
<file path=[Content_Types].xml><?xml version="1.0" encoding="utf-8"?>
<Types xmlns="http://schemas.openxmlformats.org/package/2006/content-types">
  <Default Extension="xml" ContentType="application/xml"/>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宋体" w:hAnsi="宋体" w:cs="宋体"/>
          <w:b/>
          <w:bCs/>
          <w:color w:val="auto"/>
          <w:sz w:val="52"/>
          <w:szCs w:val="52"/>
          <w:highlight w:val="none"/>
          <w:u w:val="none"/>
          <w:lang w:eastAsia="zh-CN"/>
        </w:rPr>
      </w:pPr>
      <w:bookmarkStart w:id="0" w:name="_Toc22782"/>
      <w:bookmarkStart w:id="1" w:name="_Toc8627"/>
      <w:bookmarkStart w:id="2" w:name="_Toc216582804"/>
      <w:bookmarkStart w:id="3" w:name="_Toc17230"/>
      <w:bookmarkStart w:id="4" w:name="_Toc515647798"/>
      <w:bookmarkStart w:id="5" w:name="_Toc1148"/>
      <w:bookmarkStart w:id="6" w:name="_Toc11115"/>
      <w:bookmarkStart w:id="7" w:name="_Toc16548"/>
      <w:bookmarkStart w:id="8" w:name="_Toc25253"/>
    </w:p>
    <w:p>
      <w:pPr>
        <w:pStyle w:val="4"/>
        <w:ind w:left="0" w:leftChars="0" w:firstLine="0" w:firstLineChars="0"/>
        <w:jc w:val="center"/>
        <w:rPr>
          <w:rFonts w:hint="eastAsia" w:ascii="宋体" w:hAnsi="宋体" w:cs="宋体"/>
          <w:b/>
          <w:bCs/>
          <w:color w:val="auto"/>
          <w:sz w:val="52"/>
          <w:szCs w:val="52"/>
          <w:highlight w:val="none"/>
          <w:u w:val="none"/>
          <w:lang w:eastAsia="zh-CN"/>
        </w:rPr>
      </w:pPr>
      <w:r>
        <w:rPr>
          <w:rFonts w:hint="eastAsia" w:ascii="宋体" w:hAnsi="宋体" w:cs="宋体"/>
          <w:b/>
          <w:bCs/>
          <w:color w:val="auto"/>
          <w:sz w:val="52"/>
          <w:szCs w:val="52"/>
          <w:highlight w:val="none"/>
          <w:u w:val="none"/>
          <w:lang w:eastAsia="zh-CN"/>
        </w:rPr>
        <w:t>喀什地区第二人民医院互联网医疗+心电分级诊断服务平台建设及医疗设备采购项目</w:t>
      </w:r>
    </w:p>
    <w:p>
      <w:pPr>
        <w:pageBreakBefore w:val="0"/>
        <w:widowControl w:val="0"/>
        <w:kinsoku/>
        <w:wordWrap/>
        <w:overflowPunct/>
        <w:topLinePunct w:val="0"/>
        <w:bidi w:val="0"/>
        <w:snapToGrid/>
        <w:spacing w:line="390" w:lineRule="exact"/>
        <w:ind w:firstLine="2800" w:firstLineChars="1000"/>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（第一包、第二包）</w:t>
      </w:r>
    </w:p>
    <w:p>
      <w:pPr>
        <w:spacing w:line="240" w:lineRule="atLeast"/>
        <w:jc w:val="center"/>
        <w:rPr>
          <w:rFonts w:hint="eastAsia" w:ascii="宋体" w:hAnsi="宋体" w:eastAsia="宋体" w:cs="宋体"/>
          <w:b/>
          <w:bCs/>
          <w:color w:val="auto"/>
          <w:sz w:val="52"/>
          <w:szCs w:val="52"/>
          <w:highlight w:val="none"/>
          <w:u w:val="none"/>
          <w:lang w:eastAsia="zh-CN"/>
        </w:rPr>
      </w:pPr>
    </w:p>
    <w:p>
      <w:pPr>
        <w:spacing w:line="240" w:lineRule="atLeast"/>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招 标 文 件</w:t>
      </w:r>
    </w:p>
    <w:p>
      <w:pPr>
        <w:pStyle w:val="4"/>
        <w:ind w:firstLine="2240" w:firstLineChars="700"/>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项目</w:t>
      </w:r>
      <w:r>
        <w:rPr>
          <w:rFonts w:hint="eastAsia" w:ascii="宋体" w:hAnsi="宋体" w:eastAsia="宋体" w:cs="宋体"/>
          <w:b/>
          <w:color w:val="auto"/>
          <w:sz w:val="32"/>
          <w:highlight w:val="none"/>
        </w:rPr>
        <w:t>编号：</w:t>
      </w:r>
      <w:r>
        <w:rPr>
          <w:rFonts w:hint="eastAsia" w:hAnsi="宋体" w:cs="宋体"/>
          <w:b/>
          <w:color w:val="auto"/>
          <w:sz w:val="32"/>
          <w:highlight w:val="none"/>
          <w:lang w:eastAsia="zh-CN"/>
        </w:rPr>
        <w:t>ZJ(GK)-22042</w:t>
      </w:r>
      <w:r>
        <w:rPr>
          <w:rFonts w:hint="eastAsia" w:ascii="宋体" w:hAnsi="宋体" w:eastAsia="宋体" w:cs="宋体"/>
          <w:b/>
          <w:color w:val="auto"/>
          <w:sz w:val="32"/>
          <w:highlight w:val="none"/>
        </w:rPr>
        <w:t xml:space="preserve"> </w:t>
      </w:r>
    </w:p>
    <w:p>
      <w:pPr>
        <w:outlineLvl w:val="9"/>
        <w:rPr>
          <w:rFonts w:hint="eastAsia" w:ascii="宋体" w:hAnsi="宋体" w:eastAsia="宋体" w:cs="宋体"/>
          <w:color w:val="auto"/>
          <w:highlight w:val="none"/>
        </w:rPr>
      </w:pPr>
    </w:p>
    <w:p>
      <w:pPr>
        <w:spacing w:line="24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采购单位名称：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喀什地区第二人民医院</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ind w:firstLine="560" w:firstLineChars="2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 xml:space="preserve">联   系   人：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罗丽丽</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 xml:space="preserve">      </w:t>
      </w:r>
    </w:p>
    <w:p>
      <w:pPr>
        <w:spacing w:line="360" w:lineRule="auto"/>
        <w:ind w:firstLine="560" w:firstLineChars="200"/>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 xml:space="preserve">联 系  电 话：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13899128188</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pPr>
        <w:spacing w:line="240" w:lineRule="atLeast"/>
        <w:jc w:val="center"/>
        <w:outlineLvl w:val="9"/>
        <w:rPr>
          <w:rFonts w:hint="eastAsia" w:ascii="宋体" w:hAnsi="宋体" w:eastAsia="宋体" w:cs="宋体"/>
          <w:b/>
          <w:color w:val="auto"/>
          <w:sz w:val="28"/>
          <w:szCs w:val="28"/>
          <w:highlight w:val="none"/>
        </w:rPr>
      </w:pPr>
    </w:p>
    <w:p>
      <w:pPr>
        <w:pStyle w:val="4"/>
        <w:ind w:left="0" w:leftChars="0" w:firstLine="0" w:firstLineChars="0"/>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spacing w:line="240" w:lineRule="atLeast"/>
        <w:ind w:firstLine="560" w:firstLineChars="200"/>
        <w:outlineLvl w:val="9"/>
        <w:rPr>
          <w:rFonts w:hint="eastAsia" w:ascii="宋体" w:hAnsi="宋体" w:eastAsia="宋体" w:cs="宋体"/>
          <w:b/>
          <w:color w:val="auto"/>
          <w:sz w:val="28"/>
          <w:szCs w:val="28"/>
          <w:highlight w:val="none"/>
          <w:u w:val="single"/>
          <w:lang w:eastAsia="zh-CN"/>
        </w:rPr>
      </w:pPr>
      <w:r>
        <w:rPr>
          <w:rFonts w:hint="eastAsia" w:ascii="宋体" w:hAnsi="宋体" w:eastAsia="宋体" w:cs="宋体"/>
          <w:b/>
          <w:color w:val="auto"/>
          <w:sz w:val="28"/>
          <w:szCs w:val="28"/>
          <w:highlight w:val="none"/>
        </w:rPr>
        <w:t>代理机构名称：</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eastAsia="zh-CN"/>
        </w:rPr>
        <w:t>中经国际招标集团有限公司</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eastAsia="zh-CN"/>
        </w:rPr>
        <w:t xml:space="preserve"> </w:t>
      </w:r>
    </w:p>
    <w:p>
      <w:pPr>
        <w:spacing w:line="240" w:lineRule="atLeast"/>
        <w:ind w:firstLine="560" w:firstLineChars="2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联   系   人：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eastAsia="zh-CN"/>
        </w:rPr>
        <w:t>王丽娟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240" w:lineRule="atLeast"/>
        <w:ind w:firstLine="560" w:firstLineChars="2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联 系 电 话 ：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15099650569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outlineLvl w:val="9"/>
        <w:rPr>
          <w:rFonts w:hint="eastAsia" w:ascii="宋体" w:hAnsi="宋体" w:eastAsia="宋体" w:cs="宋体"/>
          <w:color w:val="auto"/>
          <w:highlight w:val="none"/>
        </w:rPr>
      </w:pPr>
    </w:p>
    <w:p>
      <w:pPr>
        <w:spacing w:line="240" w:lineRule="atLeast"/>
        <w:jc w:val="center"/>
        <w:outlineLvl w:val="9"/>
        <w:rPr>
          <w:rFonts w:hint="eastAsia" w:ascii="宋体" w:hAnsi="宋体" w:eastAsia="宋体" w:cs="宋体"/>
          <w:b/>
          <w:color w:val="auto"/>
          <w:sz w:val="28"/>
          <w:szCs w:val="28"/>
          <w:highlight w:val="none"/>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b/>
          <w:color w:val="auto"/>
          <w:sz w:val="28"/>
          <w:szCs w:val="28"/>
          <w:highlight w:val="none"/>
        </w:rPr>
        <w:t>日期：202</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10</w:t>
      </w:r>
      <w:r>
        <w:rPr>
          <w:rFonts w:hint="eastAsia" w:ascii="宋体" w:hAnsi="宋体" w:eastAsia="宋体" w:cs="宋体"/>
          <w:b/>
          <w:color w:val="auto"/>
          <w:sz w:val="28"/>
          <w:szCs w:val="28"/>
          <w:highlight w:val="none"/>
        </w:rPr>
        <w:t>月</w:t>
      </w:r>
    </w:p>
    <w:p>
      <w:pPr>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目   录</w:t>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_Toc16525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 xml:space="preserve">第1章  </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须知</w:t>
      </w:r>
      <w:r>
        <w:rPr>
          <w:color w:val="auto"/>
        </w:rPr>
        <w:tab/>
      </w:r>
      <w:r>
        <w:rPr>
          <w:color w:val="auto"/>
        </w:rPr>
        <w:fldChar w:fldCharType="begin"/>
      </w:r>
      <w:r>
        <w:rPr>
          <w:color w:val="auto"/>
        </w:rPr>
        <w:instrText xml:space="preserve"> PAGEREF _Toc16525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_Toc8035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highlight w:val="none"/>
        </w:rPr>
        <w:t>一   总 则</w:t>
      </w:r>
      <w:r>
        <w:rPr>
          <w:color w:val="auto"/>
        </w:rPr>
        <w:tab/>
      </w:r>
      <w:r>
        <w:rPr>
          <w:color w:val="auto"/>
        </w:rPr>
        <w:fldChar w:fldCharType="begin"/>
      </w:r>
      <w:r>
        <w:rPr>
          <w:color w:val="auto"/>
        </w:rPr>
        <w:instrText xml:space="preserve"> PAGEREF _Toc8035 \h </w:instrText>
      </w:r>
      <w:r>
        <w:rPr>
          <w:color w:val="auto"/>
        </w:rPr>
        <w:fldChar w:fldCharType="separate"/>
      </w:r>
      <w:r>
        <w:rPr>
          <w:color w:val="auto"/>
        </w:rPr>
        <w:t>3</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_Toc30003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highlight w:val="none"/>
        </w:rPr>
        <w:t>二   招标文件</w:t>
      </w:r>
      <w:r>
        <w:rPr>
          <w:color w:val="auto"/>
        </w:rPr>
        <w:tab/>
      </w:r>
      <w:r>
        <w:rPr>
          <w:color w:val="auto"/>
        </w:rPr>
        <w:fldChar w:fldCharType="begin"/>
      </w:r>
      <w:r>
        <w:rPr>
          <w:color w:val="auto"/>
        </w:rPr>
        <w:instrText xml:space="preserve"> PAGEREF _Toc30003 \h </w:instrText>
      </w:r>
      <w:r>
        <w:rPr>
          <w:color w:val="auto"/>
        </w:rPr>
        <w:fldChar w:fldCharType="separate"/>
      </w:r>
      <w:r>
        <w:rPr>
          <w:color w:val="auto"/>
        </w:rPr>
        <w:t>4</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_Toc9680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highlight w:val="none"/>
        </w:rPr>
        <w:t>三   投标文件的编制</w:t>
      </w:r>
      <w:r>
        <w:rPr>
          <w:color w:val="auto"/>
        </w:rPr>
        <w:tab/>
      </w:r>
      <w:r>
        <w:rPr>
          <w:color w:val="auto"/>
        </w:rPr>
        <w:fldChar w:fldCharType="begin"/>
      </w:r>
      <w:r>
        <w:rPr>
          <w:color w:val="auto"/>
        </w:rPr>
        <w:instrText xml:space="preserve"> PAGEREF _Toc9680 \h </w:instrText>
      </w:r>
      <w:r>
        <w:rPr>
          <w:color w:val="auto"/>
        </w:rPr>
        <w:fldChar w:fldCharType="separate"/>
      </w:r>
      <w:r>
        <w:rPr>
          <w:color w:val="auto"/>
        </w:rPr>
        <w:t>5</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_Toc11446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highlight w:val="none"/>
        </w:rPr>
        <w:t>四   投标文件的递交</w:t>
      </w:r>
      <w:r>
        <w:rPr>
          <w:color w:val="auto"/>
        </w:rPr>
        <w:tab/>
      </w:r>
      <w:r>
        <w:rPr>
          <w:color w:val="auto"/>
        </w:rPr>
        <w:fldChar w:fldCharType="begin"/>
      </w:r>
      <w:r>
        <w:rPr>
          <w:color w:val="auto"/>
        </w:rPr>
        <w:instrText xml:space="preserve"> PAGEREF _Toc11446 \h </w:instrText>
      </w:r>
      <w:r>
        <w:rPr>
          <w:color w:val="auto"/>
        </w:rPr>
        <w:fldChar w:fldCharType="separate"/>
      </w:r>
      <w:r>
        <w:rPr>
          <w:color w:val="auto"/>
        </w:rPr>
        <w:t>7</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_Toc10599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highlight w:val="none"/>
        </w:rPr>
        <w:t>五   开标及评标</w:t>
      </w:r>
      <w:r>
        <w:rPr>
          <w:color w:val="auto"/>
        </w:rPr>
        <w:tab/>
      </w:r>
      <w:r>
        <w:rPr>
          <w:color w:val="auto"/>
        </w:rPr>
        <w:fldChar w:fldCharType="begin"/>
      </w:r>
      <w:r>
        <w:rPr>
          <w:color w:val="auto"/>
        </w:rPr>
        <w:instrText xml:space="preserve"> PAGEREF _Toc10599 \h </w:instrText>
      </w:r>
      <w:r>
        <w:rPr>
          <w:color w:val="auto"/>
        </w:rPr>
        <w:fldChar w:fldCharType="separate"/>
      </w:r>
      <w:r>
        <w:rPr>
          <w:color w:val="auto"/>
        </w:rPr>
        <w:t>8</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_Toc16707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highlight w:val="none"/>
        </w:rPr>
        <w:t>六   确定中标</w:t>
      </w:r>
      <w:r>
        <w:rPr>
          <w:color w:val="auto"/>
        </w:rPr>
        <w:tab/>
      </w:r>
      <w:r>
        <w:rPr>
          <w:color w:val="auto"/>
        </w:rPr>
        <w:fldChar w:fldCharType="begin"/>
      </w:r>
      <w:r>
        <w:rPr>
          <w:color w:val="auto"/>
        </w:rPr>
        <w:instrText xml:space="preserve"> PAGEREF _Toc16707 \h </w:instrText>
      </w:r>
      <w:r>
        <w:rPr>
          <w:color w:val="auto"/>
        </w:rPr>
        <w:fldChar w:fldCharType="separate"/>
      </w:r>
      <w:r>
        <w:rPr>
          <w:color w:val="auto"/>
        </w:rPr>
        <w:t>13</w:t>
      </w:r>
      <w:r>
        <w:rPr>
          <w:color w:val="auto"/>
        </w:rPr>
        <w:fldChar w:fldCharType="end"/>
      </w:r>
      <w:r>
        <w:rPr>
          <w:rFonts w:hint="eastAsia" w:ascii="宋体" w:hAnsi="宋体" w:eastAsia="宋体" w:cs="宋体"/>
          <w:color w:val="auto"/>
          <w:kern w:val="2"/>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_Toc23634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szCs w:val="32"/>
          <w:highlight w:val="none"/>
        </w:rPr>
        <w:t>第2章   投标文件格式</w:t>
      </w:r>
      <w:r>
        <w:rPr>
          <w:color w:val="auto"/>
        </w:rPr>
        <w:tab/>
      </w:r>
      <w:r>
        <w:rPr>
          <w:color w:val="auto"/>
        </w:rPr>
        <w:fldChar w:fldCharType="begin"/>
      </w:r>
      <w:r>
        <w:rPr>
          <w:color w:val="auto"/>
        </w:rPr>
        <w:instrText xml:space="preserve"> PAGEREF _Toc23634 \h </w:instrText>
      </w:r>
      <w:r>
        <w:rPr>
          <w:color w:val="auto"/>
        </w:rPr>
        <w:fldChar w:fldCharType="separate"/>
      </w:r>
      <w:r>
        <w:rPr>
          <w:color w:val="auto"/>
        </w:rPr>
        <w:t>19</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_Toc20235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rPr>
        <w:t>第一部分 开标一览表及资格证明文件</w:t>
      </w:r>
      <w:r>
        <w:rPr>
          <w:color w:val="auto"/>
        </w:rPr>
        <w:tab/>
      </w:r>
      <w:r>
        <w:rPr>
          <w:color w:val="auto"/>
        </w:rPr>
        <w:fldChar w:fldCharType="begin"/>
      </w:r>
      <w:r>
        <w:rPr>
          <w:color w:val="auto"/>
        </w:rPr>
        <w:instrText xml:space="preserve"> PAGEREF _Toc20235 \h </w:instrText>
      </w:r>
      <w:r>
        <w:rPr>
          <w:color w:val="auto"/>
        </w:rPr>
        <w:fldChar w:fldCharType="separate"/>
      </w:r>
      <w:r>
        <w:rPr>
          <w:color w:val="auto"/>
        </w:rPr>
        <w:t>19</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_Toc1414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highlight w:val="none"/>
        </w:rPr>
        <w:t>1、开标一览表</w:t>
      </w:r>
      <w:r>
        <w:rPr>
          <w:color w:val="auto"/>
        </w:rPr>
        <w:tab/>
      </w:r>
      <w:r>
        <w:rPr>
          <w:color w:val="auto"/>
        </w:rPr>
        <w:fldChar w:fldCharType="begin"/>
      </w:r>
      <w:r>
        <w:rPr>
          <w:color w:val="auto"/>
        </w:rPr>
        <w:instrText xml:space="preserve"> PAGEREF _Toc1414 \h </w:instrText>
      </w:r>
      <w:r>
        <w:rPr>
          <w:color w:val="auto"/>
        </w:rPr>
        <w:fldChar w:fldCharType="separate"/>
      </w:r>
      <w:r>
        <w:rPr>
          <w:color w:val="auto"/>
        </w:rPr>
        <w:t>20</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_Toc8655 </w:instrText>
      </w:r>
      <w:r>
        <w:rPr>
          <w:rFonts w:hint="eastAsia" w:ascii="宋体" w:hAnsi="宋体" w:eastAsia="宋体" w:cs="宋体"/>
          <w:color w:val="auto"/>
          <w:kern w:val="2"/>
          <w:szCs w:val="21"/>
          <w:highlight w:val="none"/>
        </w:rPr>
        <w:fldChar w:fldCharType="separate"/>
      </w:r>
      <w:r>
        <w:rPr>
          <w:rFonts w:hint="eastAsia" w:ascii="宋体" w:hAnsi="宋体" w:cs="宋体"/>
          <w:bCs/>
          <w:color w:val="auto"/>
          <w:lang w:val="en-US" w:eastAsia="zh-CN"/>
        </w:rPr>
        <w:t>2、</w:t>
      </w:r>
      <w:r>
        <w:rPr>
          <w:rFonts w:hint="eastAsia" w:ascii="宋体" w:hAnsi="宋体" w:cs="宋体"/>
          <w:bCs/>
          <w:color w:val="auto"/>
          <w:highlight w:val="none"/>
          <w:lang w:val="en-US" w:eastAsia="zh-CN"/>
        </w:rPr>
        <w:t>具有有效的独立法人营业执照；</w:t>
      </w:r>
      <w:r>
        <w:rPr>
          <w:color w:val="auto"/>
        </w:rPr>
        <w:tab/>
      </w:r>
      <w:r>
        <w:rPr>
          <w:color w:val="auto"/>
        </w:rPr>
        <w:fldChar w:fldCharType="begin"/>
      </w:r>
      <w:r>
        <w:rPr>
          <w:color w:val="auto"/>
        </w:rPr>
        <w:instrText xml:space="preserve"> PAGEREF _Toc8655 \h </w:instrText>
      </w:r>
      <w:r>
        <w:rPr>
          <w:color w:val="auto"/>
        </w:rPr>
        <w:fldChar w:fldCharType="separate"/>
      </w:r>
      <w:r>
        <w:rPr>
          <w:color w:val="auto"/>
        </w:rPr>
        <w:t>20</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_Toc2742 </w:instrText>
      </w:r>
      <w:r>
        <w:rPr>
          <w:rFonts w:hint="eastAsia" w:ascii="宋体" w:hAnsi="宋体" w:eastAsia="宋体" w:cs="宋体"/>
          <w:color w:val="auto"/>
          <w:kern w:val="2"/>
          <w:szCs w:val="21"/>
          <w:highlight w:val="none"/>
        </w:rPr>
        <w:fldChar w:fldCharType="separate"/>
      </w:r>
      <w:r>
        <w:rPr>
          <w:rFonts w:hint="eastAsia" w:ascii="宋体" w:hAnsi="宋体" w:cs="宋体"/>
          <w:bCs/>
          <w:color w:val="auto"/>
          <w:highlight w:val="none"/>
          <w:lang w:val="en-US" w:eastAsia="zh-CN"/>
        </w:rPr>
        <w:t>3、</w:t>
      </w:r>
      <w:r>
        <w:rPr>
          <w:rFonts w:hint="eastAsia" w:ascii="宋体" w:hAnsi="宋体" w:eastAsia="宋体" w:cs="宋体"/>
          <w:bCs/>
          <w:color w:val="auto"/>
          <w:highlight w:val="none"/>
          <w:lang w:val="en-US" w:eastAsia="zh-CN"/>
        </w:rPr>
        <w:t>法定代表人授权书、被授权人身份证；(法定代表人投标须提供身份证)</w:t>
      </w:r>
      <w:r>
        <w:rPr>
          <w:color w:val="auto"/>
        </w:rPr>
        <w:tab/>
      </w:r>
      <w:r>
        <w:rPr>
          <w:color w:val="auto"/>
        </w:rPr>
        <w:fldChar w:fldCharType="begin"/>
      </w:r>
      <w:r>
        <w:rPr>
          <w:color w:val="auto"/>
        </w:rPr>
        <w:instrText xml:space="preserve"> PAGEREF _Toc2742 \h </w:instrText>
      </w:r>
      <w:r>
        <w:rPr>
          <w:color w:val="auto"/>
        </w:rPr>
        <w:fldChar w:fldCharType="separate"/>
      </w:r>
      <w:r>
        <w:rPr>
          <w:color w:val="auto"/>
        </w:rPr>
        <w:t>20</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_Toc24559 </w:instrText>
      </w:r>
      <w:r>
        <w:rPr>
          <w:rFonts w:hint="eastAsia" w:ascii="宋体" w:hAnsi="宋体" w:eastAsia="宋体" w:cs="宋体"/>
          <w:color w:val="auto"/>
          <w:kern w:val="2"/>
          <w:szCs w:val="21"/>
          <w:highlight w:val="none"/>
        </w:rPr>
        <w:fldChar w:fldCharType="separate"/>
      </w:r>
      <w:r>
        <w:rPr>
          <w:rFonts w:hint="eastAsia" w:hAnsi="宋体" w:cs="宋体"/>
          <w:color w:val="auto"/>
          <w:kern w:val="0"/>
          <w:highlight w:val="none"/>
          <w:lang w:val="en-US" w:eastAsia="zh-CN"/>
        </w:rPr>
        <w:t>4、第二包提供《医疗器械生产企业许可证》或《医疗器械经营企业许可证》（所投产品为二类医疗器械的需提供二类医疗器械备案凭证）；</w:t>
      </w:r>
      <w:r>
        <w:rPr>
          <w:color w:val="auto"/>
        </w:rPr>
        <w:tab/>
      </w:r>
      <w:r>
        <w:rPr>
          <w:color w:val="auto"/>
        </w:rPr>
        <w:fldChar w:fldCharType="begin"/>
      </w:r>
      <w:r>
        <w:rPr>
          <w:color w:val="auto"/>
        </w:rPr>
        <w:instrText xml:space="preserve"> PAGEREF _Toc24559 \h </w:instrText>
      </w:r>
      <w:r>
        <w:rPr>
          <w:color w:val="auto"/>
        </w:rPr>
        <w:fldChar w:fldCharType="separate"/>
      </w:r>
      <w:r>
        <w:rPr>
          <w:color w:val="auto"/>
        </w:rPr>
        <w:t>22</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_Toc5352 </w:instrText>
      </w:r>
      <w:r>
        <w:rPr>
          <w:rFonts w:hint="eastAsia" w:ascii="宋体" w:hAnsi="宋体" w:eastAsia="宋体" w:cs="宋体"/>
          <w:color w:val="auto"/>
          <w:kern w:val="2"/>
          <w:szCs w:val="21"/>
          <w:highlight w:val="none"/>
        </w:rPr>
        <w:fldChar w:fldCharType="separate"/>
      </w:r>
      <w:r>
        <w:rPr>
          <w:rFonts w:hint="eastAsia" w:hAnsi="宋体" w:cs="宋体"/>
          <w:color w:val="auto"/>
          <w:kern w:val="0"/>
          <w:highlight w:val="none"/>
          <w:lang w:val="en-US" w:eastAsia="zh-CN"/>
        </w:rPr>
        <w:t>5、依法缴纳近6个月任意1个月的社会保险凭据</w:t>
      </w:r>
      <w:r>
        <w:rPr>
          <w:rFonts w:hint="eastAsia" w:ascii="宋体" w:hAnsi="宋体" w:eastAsia="宋体" w:cs="宋体"/>
          <w:color w:val="auto"/>
          <w:kern w:val="0"/>
          <w:highlight w:val="none"/>
          <w:lang w:val="en-US" w:eastAsia="zh-CN"/>
        </w:rPr>
        <w:t>；</w:t>
      </w:r>
      <w:r>
        <w:rPr>
          <w:color w:val="auto"/>
        </w:rPr>
        <w:tab/>
      </w:r>
      <w:r>
        <w:rPr>
          <w:color w:val="auto"/>
        </w:rPr>
        <w:fldChar w:fldCharType="begin"/>
      </w:r>
      <w:r>
        <w:rPr>
          <w:color w:val="auto"/>
        </w:rPr>
        <w:instrText xml:space="preserve"> PAGEREF _Toc5352 \h </w:instrText>
      </w:r>
      <w:r>
        <w:rPr>
          <w:color w:val="auto"/>
        </w:rPr>
        <w:fldChar w:fldCharType="separate"/>
      </w:r>
      <w:r>
        <w:rPr>
          <w:color w:val="auto"/>
        </w:rPr>
        <w:t>22</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_Toc27325 </w:instrText>
      </w:r>
      <w:r>
        <w:rPr>
          <w:rFonts w:hint="eastAsia" w:ascii="宋体" w:hAnsi="宋体" w:eastAsia="宋体" w:cs="宋体"/>
          <w:color w:val="auto"/>
          <w:kern w:val="2"/>
          <w:szCs w:val="21"/>
          <w:highlight w:val="none"/>
        </w:rPr>
        <w:fldChar w:fldCharType="separate"/>
      </w:r>
      <w:r>
        <w:rPr>
          <w:rFonts w:hint="eastAsia" w:hAnsi="宋体" w:cs="宋体"/>
          <w:bCs w:val="0"/>
          <w:color w:val="auto"/>
          <w:kern w:val="0"/>
          <w:highlight w:val="none"/>
          <w:lang w:val="en-US" w:eastAsia="zh-CN"/>
        </w:rPr>
        <w:t>6、税务部门出具近6个月任意1个月的完税证明</w:t>
      </w:r>
      <w:r>
        <w:rPr>
          <w:rFonts w:hint="eastAsia" w:ascii="宋体" w:hAnsi="宋体" w:cs="宋体"/>
          <w:bCs w:val="0"/>
          <w:color w:val="auto"/>
          <w:kern w:val="0"/>
          <w:highlight w:val="none"/>
          <w:lang w:val="en-US" w:eastAsia="zh-CN"/>
        </w:rPr>
        <w:t>；</w:t>
      </w:r>
      <w:r>
        <w:rPr>
          <w:color w:val="auto"/>
        </w:rPr>
        <w:tab/>
      </w:r>
      <w:r>
        <w:rPr>
          <w:color w:val="auto"/>
        </w:rPr>
        <w:fldChar w:fldCharType="begin"/>
      </w:r>
      <w:r>
        <w:rPr>
          <w:color w:val="auto"/>
        </w:rPr>
        <w:instrText xml:space="preserve"> PAGEREF _Toc27325 \h </w:instrText>
      </w:r>
      <w:r>
        <w:rPr>
          <w:color w:val="auto"/>
        </w:rPr>
        <w:fldChar w:fldCharType="separate"/>
      </w:r>
      <w:r>
        <w:rPr>
          <w:color w:val="auto"/>
        </w:rPr>
        <w:t>22</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_Toc4843 </w:instrText>
      </w:r>
      <w:r>
        <w:rPr>
          <w:rFonts w:hint="eastAsia" w:ascii="宋体" w:hAnsi="宋体" w:eastAsia="宋体" w:cs="宋体"/>
          <w:color w:val="auto"/>
          <w:kern w:val="2"/>
          <w:szCs w:val="21"/>
          <w:highlight w:val="none"/>
        </w:rPr>
        <w:fldChar w:fldCharType="separate"/>
      </w:r>
      <w:r>
        <w:rPr>
          <w:rFonts w:hint="eastAsia" w:hAnsi="宋体" w:cs="宋体"/>
          <w:bCs w:val="0"/>
          <w:color w:val="auto"/>
          <w:kern w:val="0"/>
          <w:highlight w:val="none"/>
          <w:lang w:val="en-US" w:eastAsia="zh-CN"/>
        </w:rPr>
        <w:t>7、</w:t>
      </w:r>
      <w:r>
        <w:rPr>
          <w:rFonts w:hint="eastAsia" w:ascii="宋体" w:hAnsi="宋体" w:cs="宋体"/>
          <w:bCs w:val="0"/>
          <w:color w:val="auto"/>
          <w:kern w:val="0"/>
          <w:highlight w:val="none"/>
          <w:lang w:val="en-US" w:eastAsia="zh-CN"/>
        </w:rPr>
        <w:t>近两年任意一年的财务审计报告；</w:t>
      </w:r>
      <w:r>
        <w:rPr>
          <w:color w:val="auto"/>
        </w:rPr>
        <w:tab/>
      </w:r>
      <w:r>
        <w:rPr>
          <w:color w:val="auto"/>
        </w:rPr>
        <w:fldChar w:fldCharType="begin"/>
      </w:r>
      <w:r>
        <w:rPr>
          <w:color w:val="auto"/>
        </w:rPr>
        <w:instrText xml:space="preserve"> PAGEREF _Toc4843 \h </w:instrText>
      </w:r>
      <w:r>
        <w:rPr>
          <w:color w:val="auto"/>
        </w:rPr>
        <w:fldChar w:fldCharType="separate"/>
      </w:r>
      <w:r>
        <w:rPr>
          <w:color w:val="auto"/>
        </w:rPr>
        <w:t>22</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_Toc17806 </w:instrText>
      </w:r>
      <w:r>
        <w:rPr>
          <w:rFonts w:hint="eastAsia" w:ascii="宋体" w:hAnsi="宋体" w:eastAsia="宋体" w:cs="宋体"/>
          <w:color w:val="auto"/>
          <w:kern w:val="2"/>
          <w:szCs w:val="21"/>
          <w:highlight w:val="none"/>
        </w:rPr>
        <w:fldChar w:fldCharType="separate"/>
      </w:r>
      <w:r>
        <w:rPr>
          <w:rFonts w:hint="eastAsia" w:hAnsi="宋体" w:cs="宋体"/>
          <w:bCs w:val="0"/>
          <w:color w:val="auto"/>
          <w:kern w:val="0"/>
          <w:highlight w:val="none"/>
          <w:lang w:val="en-US" w:eastAsia="zh-CN"/>
        </w:rPr>
        <w:t>8、</w:t>
      </w:r>
      <w:r>
        <w:rPr>
          <w:rFonts w:hint="eastAsia" w:ascii="宋体" w:hAnsi="宋体" w:cs="宋体"/>
          <w:bCs w:val="0"/>
          <w:color w:val="auto"/>
          <w:kern w:val="0"/>
          <w:highlight w:val="none"/>
          <w:lang w:val="en-US" w:eastAsia="zh-CN"/>
        </w:rPr>
        <w:t>提供针对本次项目《反商业贿赂承诺书》；</w:t>
      </w:r>
      <w:r>
        <w:rPr>
          <w:color w:val="auto"/>
        </w:rPr>
        <w:tab/>
      </w:r>
      <w:r>
        <w:rPr>
          <w:color w:val="auto"/>
        </w:rPr>
        <w:fldChar w:fldCharType="begin"/>
      </w:r>
      <w:r>
        <w:rPr>
          <w:color w:val="auto"/>
        </w:rPr>
        <w:instrText xml:space="preserve"> PAGEREF _Toc17806 \h </w:instrText>
      </w:r>
      <w:r>
        <w:rPr>
          <w:color w:val="auto"/>
        </w:rPr>
        <w:fldChar w:fldCharType="separate"/>
      </w:r>
      <w:r>
        <w:rPr>
          <w:color w:val="auto"/>
        </w:rPr>
        <w:t>23</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_Toc29586 </w:instrText>
      </w:r>
      <w:r>
        <w:rPr>
          <w:rFonts w:hint="eastAsia" w:ascii="宋体" w:hAnsi="宋体" w:eastAsia="宋体" w:cs="宋体"/>
          <w:color w:val="auto"/>
          <w:kern w:val="2"/>
          <w:szCs w:val="21"/>
          <w:highlight w:val="none"/>
        </w:rPr>
        <w:fldChar w:fldCharType="separate"/>
      </w:r>
      <w:r>
        <w:rPr>
          <w:rFonts w:hint="eastAsia" w:hAnsi="宋体" w:cs="宋体"/>
          <w:bCs w:val="0"/>
          <w:color w:val="auto"/>
          <w:kern w:val="0"/>
          <w:highlight w:val="none"/>
          <w:lang w:val="en-US" w:eastAsia="zh-CN"/>
        </w:rPr>
        <w:t>9、</w:t>
      </w:r>
      <w:r>
        <w:rPr>
          <w:rFonts w:hint="eastAsia" w:ascii="宋体" w:hAnsi="宋体" w:cs="宋体"/>
          <w:bCs w:val="0"/>
          <w:color w:val="auto"/>
          <w:kern w:val="0"/>
          <w:highlight w:val="none"/>
          <w:lang w:val="en-US" w:eastAsia="zh-CN"/>
        </w:rPr>
        <w:t>参与政府采购活动前3年内未被列入失信、重大税收违法案件、财政部门禁止参加政府采购活动的承诺书；</w:t>
      </w:r>
      <w:r>
        <w:rPr>
          <w:color w:val="auto"/>
        </w:rPr>
        <w:tab/>
      </w:r>
      <w:r>
        <w:rPr>
          <w:color w:val="auto"/>
        </w:rPr>
        <w:fldChar w:fldCharType="begin"/>
      </w:r>
      <w:r>
        <w:rPr>
          <w:color w:val="auto"/>
        </w:rPr>
        <w:instrText xml:space="preserve"> PAGEREF _Toc29586 \h </w:instrText>
      </w:r>
      <w:r>
        <w:rPr>
          <w:color w:val="auto"/>
        </w:rPr>
        <w:fldChar w:fldCharType="separate"/>
      </w:r>
      <w:r>
        <w:rPr>
          <w:color w:val="auto"/>
        </w:rPr>
        <w:t>23</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_Toc361 </w:instrText>
      </w:r>
      <w:r>
        <w:rPr>
          <w:rFonts w:hint="eastAsia" w:ascii="宋体" w:hAnsi="宋体" w:eastAsia="宋体" w:cs="宋体"/>
          <w:color w:val="auto"/>
          <w:kern w:val="2"/>
          <w:szCs w:val="21"/>
          <w:highlight w:val="none"/>
        </w:rPr>
        <w:fldChar w:fldCharType="separate"/>
      </w:r>
      <w:r>
        <w:rPr>
          <w:rFonts w:hint="eastAsia" w:hAnsi="宋体" w:cs="宋体"/>
          <w:bCs w:val="0"/>
          <w:color w:val="auto"/>
          <w:kern w:val="0"/>
          <w:highlight w:val="none"/>
          <w:lang w:val="en-US" w:eastAsia="zh-CN"/>
        </w:rPr>
        <w:t>10、</w:t>
      </w:r>
      <w:r>
        <w:rPr>
          <w:rFonts w:hint="eastAsia" w:ascii="宋体" w:hAnsi="宋体" w:cs="宋体"/>
          <w:bCs w:val="0"/>
          <w:color w:val="auto"/>
          <w:kern w:val="0"/>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r>
        <w:rPr>
          <w:color w:val="auto"/>
        </w:rPr>
        <w:tab/>
      </w:r>
      <w:r>
        <w:rPr>
          <w:color w:val="auto"/>
        </w:rPr>
        <w:fldChar w:fldCharType="begin"/>
      </w:r>
      <w:r>
        <w:rPr>
          <w:color w:val="auto"/>
        </w:rPr>
        <w:instrText xml:space="preserve"> PAGEREF _Toc361 \h </w:instrText>
      </w:r>
      <w:r>
        <w:rPr>
          <w:color w:val="auto"/>
        </w:rPr>
        <w:fldChar w:fldCharType="separate"/>
      </w:r>
      <w:r>
        <w:rPr>
          <w:color w:val="auto"/>
        </w:rPr>
        <w:t>23</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_Toc4904 </w:instrText>
      </w:r>
      <w:r>
        <w:rPr>
          <w:rFonts w:hint="eastAsia" w:ascii="宋体" w:hAnsi="宋体" w:eastAsia="宋体" w:cs="宋体"/>
          <w:color w:val="auto"/>
          <w:kern w:val="2"/>
          <w:szCs w:val="21"/>
          <w:highlight w:val="none"/>
        </w:rPr>
        <w:fldChar w:fldCharType="separate"/>
      </w:r>
      <w:r>
        <w:rPr>
          <w:rFonts w:hint="eastAsia" w:ascii="宋体" w:hAnsi="宋体" w:cs="宋体"/>
          <w:bCs/>
          <w:color w:val="auto"/>
          <w:highlight w:val="none"/>
          <w:lang w:val="en-US" w:eastAsia="zh-CN"/>
        </w:rPr>
        <w:t>11</w:t>
      </w:r>
      <w:r>
        <w:rPr>
          <w:rFonts w:hint="eastAsia" w:ascii="宋体" w:hAnsi="宋体" w:eastAsia="宋体" w:cs="宋体"/>
          <w:bCs/>
          <w:color w:val="auto"/>
          <w:highlight w:val="none"/>
          <w:lang w:val="en-US" w:eastAsia="zh-CN"/>
        </w:rPr>
        <w:t>、缴纳投标保证金有效凭证；</w:t>
      </w:r>
      <w:r>
        <w:rPr>
          <w:color w:val="auto"/>
        </w:rPr>
        <w:tab/>
      </w:r>
      <w:r>
        <w:rPr>
          <w:color w:val="auto"/>
        </w:rPr>
        <w:fldChar w:fldCharType="begin"/>
      </w:r>
      <w:r>
        <w:rPr>
          <w:color w:val="auto"/>
        </w:rPr>
        <w:instrText xml:space="preserve"> PAGEREF _Toc4904 \h </w:instrText>
      </w:r>
      <w:r>
        <w:rPr>
          <w:color w:val="auto"/>
        </w:rPr>
        <w:fldChar w:fldCharType="separate"/>
      </w:r>
      <w:r>
        <w:rPr>
          <w:color w:val="auto"/>
        </w:rPr>
        <w:t>23</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_Toc25423 </w:instrText>
      </w:r>
      <w:r>
        <w:rPr>
          <w:rFonts w:hint="eastAsia" w:ascii="宋体" w:hAnsi="宋体" w:eastAsia="宋体" w:cs="宋体"/>
          <w:color w:val="auto"/>
          <w:kern w:val="2"/>
          <w:szCs w:val="21"/>
          <w:highlight w:val="none"/>
        </w:rPr>
        <w:fldChar w:fldCharType="separate"/>
      </w:r>
      <w:r>
        <w:rPr>
          <w:rFonts w:hint="eastAsia" w:ascii="宋体" w:hAnsi="宋体" w:cs="宋体"/>
          <w:color w:val="auto"/>
          <w:kern w:val="0"/>
          <w:szCs w:val="20"/>
          <w:highlight w:val="none"/>
          <w:lang w:val="en-US" w:eastAsia="zh-CN" w:bidi="ar-SA"/>
        </w:rPr>
        <w:t>12</w:t>
      </w:r>
      <w:r>
        <w:rPr>
          <w:rFonts w:hint="eastAsia" w:ascii="宋体" w:hAnsi="宋体" w:eastAsia="宋体" w:cs="宋体"/>
          <w:color w:val="auto"/>
          <w:kern w:val="0"/>
          <w:szCs w:val="20"/>
          <w:highlight w:val="none"/>
          <w:lang w:val="en-US" w:eastAsia="zh-CN" w:bidi="ar-SA"/>
        </w:rPr>
        <w:t>、供应商可提供有利于投标的其他资格证明材料。</w:t>
      </w:r>
      <w:r>
        <w:rPr>
          <w:color w:val="auto"/>
        </w:rPr>
        <w:tab/>
      </w:r>
      <w:r>
        <w:rPr>
          <w:color w:val="auto"/>
        </w:rPr>
        <w:fldChar w:fldCharType="begin"/>
      </w:r>
      <w:r>
        <w:rPr>
          <w:color w:val="auto"/>
        </w:rPr>
        <w:instrText xml:space="preserve"> PAGEREF _Toc25423 \h </w:instrText>
      </w:r>
      <w:r>
        <w:rPr>
          <w:color w:val="auto"/>
        </w:rPr>
        <w:fldChar w:fldCharType="separate"/>
      </w:r>
      <w:r>
        <w:rPr>
          <w:color w:val="auto"/>
        </w:rPr>
        <w:t>24</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_Toc32031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4"/>
          <w:highlight w:val="none"/>
        </w:rPr>
        <w:t>第二部分  商务及技术文件</w:t>
      </w:r>
      <w:r>
        <w:rPr>
          <w:color w:val="auto"/>
        </w:rPr>
        <w:tab/>
      </w:r>
      <w:r>
        <w:rPr>
          <w:color w:val="auto"/>
        </w:rPr>
        <w:fldChar w:fldCharType="begin"/>
      </w:r>
      <w:r>
        <w:rPr>
          <w:color w:val="auto"/>
        </w:rPr>
        <w:instrText xml:space="preserve"> PAGEREF _Toc32031 \h </w:instrText>
      </w:r>
      <w:r>
        <w:rPr>
          <w:color w:val="auto"/>
        </w:rPr>
        <w:fldChar w:fldCharType="separate"/>
      </w:r>
      <w:r>
        <w:rPr>
          <w:color w:val="auto"/>
        </w:rPr>
        <w:t>25</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_Toc404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szCs w:val="24"/>
          <w:highlight w:val="none"/>
        </w:rPr>
        <w:t>1</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投标书</w:t>
      </w:r>
      <w:r>
        <w:rPr>
          <w:color w:val="auto"/>
        </w:rPr>
        <w:tab/>
      </w:r>
      <w:r>
        <w:rPr>
          <w:color w:val="auto"/>
        </w:rPr>
        <w:fldChar w:fldCharType="begin"/>
      </w:r>
      <w:r>
        <w:rPr>
          <w:color w:val="auto"/>
        </w:rPr>
        <w:instrText xml:space="preserve"> PAGEREF _Toc404 \h </w:instrText>
      </w:r>
      <w:r>
        <w:rPr>
          <w:color w:val="auto"/>
        </w:rPr>
        <w:fldChar w:fldCharType="separate"/>
      </w:r>
      <w:r>
        <w:rPr>
          <w:color w:val="auto"/>
        </w:rPr>
        <w:t>26</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_Toc27773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szCs w:val="28"/>
          <w:highlight w:val="none"/>
        </w:rPr>
        <w:t>2</w:t>
      </w:r>
      <w:r>
        <w:rPr>
          <w:rFonts w:hint="eastAsia" w:ascii="宋体" w:hAnsi="宋体" w:eastAsia="宋体" w:cs="宋体"/>
          <w:bCs/>
          <w:color w:val="auto"/>
          <w:szCs w:val="28"/>
          <w:highlight w:val="none"/>
          <w:lang w:eastAsia="zh-CN"/>
        </w:rPr>
        <w:t>、</w:t>
      </w:r>
      <w:r>
        <w:rPr>
          <w:rFonts w:hint="eastAsia" w:ascii="宋体" w:hAnsi="宋体" w:eastAsia="宋体" w:cs="宋体"/>
          <w:bCs/>
          <w:color w:val="auto"/>
          <w:szCs w:val="28"/>
          <w:highlight w:val="none"/>
        </w:rPr>
        <w:t>投标分项报价表</w:t>
      </w:r>
      <w:r>
        <w:rPr>
          <w:rFonts w:hint="eastAsia" w:ascii="宋体" w:hAnsi="宋体" w:eastAsia="宋体" w:cs="宋体"/>
          <w:bCs/>
          <w:color w:val="auto"/>
          <w:szCs w:val="28"/>
          <w:highlight w:val="none"/>
          <w:lang w:eastAsia="zh-CN"/>
        </w:rPr>
        <w:t>（</w:t>
      </w:r>
      <w:r>
        <w:rPr>
          <w:rFonts w:hint="eastAsia" w:ascii="宋体" w:hAnsi="宋体" w:eastAsia="宋体" w:cs="宋体"/>
          <w:bCs/>
          <w:color w:val="auto"/>
          <w:szCs w:val="28"/>
          <w:highlight w:val="none"/>
          <w:lang w:val="en-US" w:eastAsia="zh-CN"/>
        </w:rPr>
        <w:t>一</w:t>
      </w:r>
      <w:r>
        <w:rPr>
          <w:rFonts w:hint="eastAsia" w:ascii="宋体" w:hAnsi="宋体" w:eastAsia="宋体" w:cs="宋体"/>
          <w:bCs/>
          <w:color w:val="auto"/>
          <w:szCs w:val="28"/>
          <w:highlight w:val="none"/>
          <w:lang w:eastAsia="zh-CN"/>
        </w:rPr>
        <w:t>）</w:t>
      </w:r>
      <w:r>
        <w:rPr>
          <w:color w:val="auto"/>
        </w:rPr>
        <w:tab/>
      </w:r>
      <w:r>
        <w:rPr>
          <w:color w:val="auto"/>
        </w:rPr>
        <w:fldChar w:fldCharType="begin"/>
      </w:r>
      <w:r>
        <w:rPr>
          <w:color w:val="auto"/>
        </w:rPr>
        <w:instrText xml:space="preserve"> PAGEREF _Toc27773 \h </w:instrText>
      </w:r>
      <w:r>
        <w:rPr>
          <w:color w:val="auto"/>
        </w:rPr>
        <w:fldChar w:fldCharType="separate"/>
      </w:r>
      <w:r>
        <w:rPr>
          <w:color w:val="auto"/>
        </w:rPr>
        <w:t>27</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_Toc14619 </w:instrText>
      </w:r>
      <w:r>
        <w:rPr>
          <w:rFonts w:hint="eastAsia" w:ascii="宋体" w:hAnsi="宋体" w:eastAsia="宋体" w:cs="宋体"/>
          <w:color w:val="auto"/>
          <w:kern w:val="2"/>
          <w:szCs w:val="21"/>
          <w:highlight w:val="none"/>
        </w:rPr>
        <w:fldChar w:fldCharType="separate"/>
      </w:r>
      <w:r>
        <w:rPr>
          <w:rFonts w:hint="eastAsia" w:ascii="宋体" w:hAnsi="宋体" w:eastAsia="宋体" w:cs="宋体"/>
          <w:i w:val="0"/>
          <w:caps w:val="0"/>
          <w:color w:val="auto"/>
          <w:spacing w:val="0"/>
          <w:w w:val="100"/>
          <w:szCs w:val="28"/>
          <w:highlight w:val="none"/>
        </w:rPr>
        <w:t>（二）备品备件设备分项报价表</w:t>
      </w:r>
      <w:r>
        <w:rPr>
          <w:color w:val="auto"/>
        </w:rPr>
        <w:tab/>
      </w:r>
      <w:r>
        <w:rPr>
          <w:color w:val="auto"/>
        </w:rPr>
        <w:fldChar w:fldCharType="begin"/>
      </w:r>
      <w:r>
        <w:rPr>
          <w:color w:val="auto"/>
        </w:rPr>
        <w:instrText xml:space="preserve"> PAGEREF _Toc14619 \h </w:instrText>
      </w:r>
      <w:r>
        <w:rPr>
          <w:color w:val="auto"/>
        </w:rPr>
        <w:fldChar w:fldCharType="separate"/>
      </w:r>
      <w:r>
        <w:rPr>
          <w:color w:val="auto"/>
        </w:rPr>
        <w:t>28</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_Toc2215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szCs w:val="28"/>
          <w:highlight w:val="none"/>
        </w:rPr>
        <w:t>3</w:t>
      </w:r>
      <w:r>
        <w:rPr>
          <w:rFonts w:hint="eastAsia" w:ascii="宋体" w:hAnsi="宋体" w:eastAsia="宋体" w:cs="宋体"/>
          <w:bCs/>
          <w:color w:val="auto"/>
          <w:szCs w:val="28"/>
          <w:highlight w:val="none"/>
          <w:lang w:eastAsia="zh-CN"/>
        </w:rPr>
        <w:t>、</w:t>
      </w:r>
      <w:r>
        <w:rPr>
          <w:rFonts w:hint="eastAsia" w:ascii="宋体" w:hAnsi="宋体" w:eastAsia="宋体" w:cs="宋体"/>
          <w:bCs/>
          <w:color w:val="auto"/>
          <w:szCs w:val="28"/>
          <w:highlight w:val="none"/>
          <w:lang w:val="en-US" w:eastAsia="zh-CN"/>
        </w:rPr>
        <w:t>货物</w:t>
      </w:r>
      <w:r>
        <w:rPr>
          <w:rFonts w:hint="eastAsia" w:ascii="宋体" w:hAnsi="宋体" w:eastAsia="宋体" w:cs="宋体"/>
          <w:bCs/>
          <w:color w:val="auto"/>
          <w:szCs w:val="28"/>
          <w:highlight w:val="none"/>
        </w:rPr>
        <w:t>说明一览表</w:t>
      </w:r>
      <w:r>
        <w:rPr>
          <w:color w:val="auto"/>
        </w:rPr>
        <w:tab/>
      </w:r>
      <w:r>
        <w:rPr>
          <w:color w:val="auto"/>
        </w:rPr>
        <w:fldChar w:fldCharType="begin"/>
      </w:r>
      <w:r>
        <w:rPr>
          <w:color w:val="auto"/>
        </w:rPr>
        <w:instrText xml:space="preserve"> PAGEREF _Toc2215 \h </w:instrText>
      </w:r>
      <w:r>
        <w:rPr>
          <w:color w:val="auto"/>
        </w:rPr>
        <w:fldChar w:fldCharType="separate"/>
      </w:r>
      <w:r>
        <w:rPr>
          <w:color w:val="auto"/>
        </w:rPr>
        <w:t>29</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_Toc8575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szCs w:val="28"/>
          <w:highlight w:val="none"/>
        </w:rPr>
        <w:t>4</w:t>
      </w:r>
      <w:r>
        <w:rPr>
          <w:rFonts w:hint="eastAsia" w:ascii="宋体" w:hAnsi="宋体" w:eastAsia="宋体" w:cs="宋体"/>
          <w:bCs/>
          <w:color w:val="auto"/>
          <w:szCs w:val="28"/>
          <w:highlight w:val="none"/>
          <w:lang w:eastAsia="zh-CN"/>
        </w:rPr>
        <w:t>、</w:t>
      </w:r>
      <w:r>
        <w:rPr>
          <w:rFonts w:hint="eastAsia" w:ascii="宋体" w:hAnsi="宋体" w:eastAsia="宋体" w:cs="宋体"/>
          <w:bCs/>
          <w:color w:val="auto"/>
          <w:szCs w:val="28"/>
          <w:highlight w:val="none"/>
          <w:lang w:val="en-US" w:eastAsia="zh-CN"/>
        </w:rPr>
        <w:t>技术</w:t>
      </w:r>
      <w:r>
        <w:rPr>
          <w:rFonts w:hint="eastAsia" w:ascii="宋体" w:hAnsi="宋体" w:eastAsia="宋体" w:cs="宋体"/>
          <w:bCs/>
          <w:color w:val="auto"/>
          <w:szCs w:val="28"/>
          <w:highlight w:val="none"/>
        </w:rPr>
        <w:t>规格偏离表</w:t>
      </w:r>
      <w:r>
        <w:rPr>
          <w:color w:val="auto"/>
        </w:rPr>
        <w:tab/>
      </w:r>
      <w:r>
        <w:rPr>
          <w:color w:val="auto"/>
        </w:rPr>
        <w:fldChar w:fldCharType="begin"/>
      </w:r>
      <w:r>
        <w:rPr>
          <w:color w:val="auto"/>
        </w:rPr>
        <w:instrText xml:space="preserve"> PAGEREF _Toc8575 \h </w:instrText>
      </w:r>
      <w:r>
        <w:rPr>
          <w:color w:val="auto"/>
        </w:rPr>
        <w:fldChar w:fldCharType="separate"/>
      </w:r>
      <w:r>
        <w:rPr>
          <w:color w:val="auto"/>
        </w:rPr>
        <w:t>30</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_Toc2414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kern w:val="2"/>
          <w:szCs w:val="28"/>
          <w:highlight w:val="none"/>
          <w:lang w:val="en-US" w:eastAsia="zh-CN" w:bidi="ar-SA"/>
        </w:rPr>
        <w:t>5、商务条款偏离表</w:t>
      </w:r>
      <w:r>
        <w:rPr>
          <w:color w:val="auto"/>
        </w:rPr>
        <w:tab/>
      </w:r>
      <w:r>
        <w:rPr>
          <w:color w:val="auto"/>
        </w:rPr>
        <w:fldChar w:fldCharType="begin"/>
      </w:r>
      <w:r>
        <w:rPr>
          <w:color w:val="auto"/>
        </w:rPr>
        <w:instrText xml:space="preserve"> PAGEREF _Toc2414 \h </w:instrText>
      </w:r>
      <w:r>
        <w:rPr>
          <w:color w:val="auto"/>
        </w:rPr>
        <w:fldChar w:fldCharType="separate"/>
      </w:r>
      <w:r>
        <w:rPr>
          <w:color w:val="auto"/>
        </w:rPr>
        <w:t>31</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_Toc8043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kern w:val="2"/>
          <w:szCs w:val="28"/>
          <w:highlight w:val="none"/>
          <w:lang w:val="en-US" w:eastAsia="zh-CN" w:bidi="ar-SA"/>
        </w:rPr>
        <w:t>6-1  中小企业声明函</w:t>
      </w:r>
      <w:r>
        <w:rPr>
          <w:color w:val="auto"/>
        </w:rPr>
        <w:tab/>
      </w:r>
      <w:r>
        <w:rPr>
          <w:color w:val="auto"/>
        </w:rPr>
        <w:fldChar w:fldCharType="begin"/>
      </w:r>
      <w:r>
        <w:rPr>
          <w:color w:val="auto"/>
        </w:rPr>
        <w:instrText xml:space="preserve"> PAGEREF _Toc8043 \h </w:instrText>
      </w:r>
      <w:r>
        <w:rPr>
          <w:color w:val="auto"/>
        </w:rPr>
        <w:fldChar w:fldCharType="separate"/>
      </w:r>
      <w:r>
        <w:rPr>
          <w:color w:val="auto"/>
        </w:rPr>
        <w:t>32</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_Toc1160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4"/>
          <w:highlight w:val="none"/>
        </w:rPr>
        <w:t>6-2  残疾人福利性单位声明函</w:t>
      </w:r>
      <w:r>
        <w:rPr>
          <w:color w:val="auto"/>
        </w:rPr>
        <w:tab/>
      </w:r>
      <w:r>
        <w:rPr>
          <w:color w:val="auto"/>
        </w:rPr>
        <w:fldChar w:fldCharType="begin"/>
      </w:r>
      <w:r>
        <w:rPr>
          <w:color w:val="auto"/>
        </w:rPr>
        <w:instrText xml:space="preserve"> PAGEREF _Toc1160 \h </w:instrText>
      </w:r>
      <w:r>
        <w:rPr>
          <w:color w:val="auto"/>
        </w:rPr>
        <w:fldChar w:fldCharType="separate"/>
      </w:r>
      <w:r>
        <w:rPr>
          <w:color w:val="auto"/>
        </w:rPr>
        <w:t>33</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_Toc28325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4"/>
          <w:highlight w:val="none"/>
        </w:rPr>
        <w:t>7</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供应商关联单位的说明</w:t>
      </w:r>
      <w:r>
        <w:rPr>
          <w:color w:val="auto"/>
        </w:rPr>
        <w:tab/>
      </w:r>
      <w:r>
        <w:rPr>
          <w:color w:val="auto"/>
        </w:rPr>
        <w:fldChar w:fldCharType="begin"/>
      </w:r>
      <w:r>
        <w:rPr>
          <w:color w:val="auto"/>
        </w:rPr>
        <w:instrText xml:space="preserve"> PAGEREF _Toc28325 \h </w:instrText>
      </w:r>
      <w:r>
        <w:rPr>
          <w:color w:val="auto"/>
        </w:rPr>
        <w:fldChar w:fldCharType="separate"/>
      </w:r>
      <w:r>
        <w:rPr>
          <w:color w:val="auto"/>
        </w:rPr>
        <w:t>33</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_Toc30689 </w:instrText>
      </w:r>
      <w:r>
        <w:rPr>
          <w:rFonts w:hint="eastAsia" w:ascii="宋体" w:hAnsi="宋体" w:eastAsia="宋体" w:cs="宋体"/>
          <w:color w:val="auto"/>
          <w:kern w:val="2"/>
          <w:szCs w:val="21"/>
          <w:highlight w:val="none"/>
        </w:rPr>
        <w:fldChar w:fldCharType="separate"/>
      </w:r>
      <w:r>
        <w:rPr>
          <w:rFonts w:hint="eastAsia" w:hAnsi="宋体" w:cs="宋体"/>
          <w:bCs/>
          <w:color w:val="auto"/>
          <w:szCs w:val="24"/>
          <w:highlight w:val="none"/>
          <w:lang w:val="en-US" w:eastAsia="zh-CN"/>
        </w:rPr>
        <w:t>8</w:t>
      </w:r>
      <w:r>
        <w:rPr>
          <w:rFonts w:hint="eastAsia" w:ascii="宋体" w:hAnsi="宋体" w:eastAsia="宋体" w:cs="宋体"/>
          <w:bCs/>
          <w:color w:val="auto"/>
          <w:szCs w:val="24"/>
          <w:highlight w:val="none"/>
          <w:lang w:val="en-US" w:eastAsia="zh-CN"/>
        </w:rPr>
        <w:t>、</w:t>
      </w:r>
      <w:r>
        <w:rPr>
          <w:rFonts w:hint="eastAsia" w:ascii="宋体" w:hAnsi="宋体" w:eastAsia="宋体" w:cs="宋体"/>
          <w:bCs/>
          <w:color w:val="auto"/>
          <w:szCs w:val="24"/>
          <w:highlight w:val="none"/>
        </w:rPr>
        <w:t>供应商可提供有利于投标的其他资格证明材料</w:t>
      </w:r>
      <w:r>
        <w:rPr>
          <w:color w:val="auto"/>
        </w:rPr>
        <w:tab/>
      </w:r>
      <w:r>
        <w:rPr>
          <w:color w:val="auto"/>
        </w:rPr>
        <w:fldChar w:fldCharType="begin"/>
      </w:r>
      <w:r>
        <w:rPr>
          <w:color w:val="auto"/>
        </w:rPr>
        <w:instrText xml:space="preserve"> PAGEREF _Toc30689 \h </w:instrText>
      </w:r>
      <w:r>
        <w:rPr>
          <w:color w:val="auto"/>
        </w:rPr>
        <w:fldChar w:fldCharType="separate"/>
      </w:r>
      <w:r>
        <w:rPr>
          <w:color w:val="auto"/>
        </w:rPr>
        <w:t>33</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_Toc2469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kern w:val="0"/>
          <w:szCs w:val="20"/>
          <w:highlight w:val="none"/>
        </w:rPr>
        <w:t>9</w:t>
      </w:r>
      <w:r>
        <w:rPr>
          <w:rFonts w:hint="eastAsia" w:ascii="宋体" w:hAnsi="宋体" w:eastAsia="宋体" w:cs="宋体"/>
          <w:color w:val="auto"/>
          <w:kern w:val="0"/>
          <w:szCs w:val="20"/>
          <w:highlight w:val="none"/>
          <w:lang w:eastAsia="zh-CN"/>
        </w:rPr>
        <w:t>、</w:t>
      </w:r>
      <w:r>
        <w:rPr>
          <w:rFonts w:hint="eastAsia" w:ascii="宋体" w:hAnsi="宋体" w:eastAsia="宋体" w:cs="宋体"/>
          <w:color w:val="auto"/>
          <w:kern w:val="0"/>
          <w:szCs w:val="20"/>
          <w:highlight w:val="none"/>
        </w:rPr>
        <w:t>投标文件格式范本</w:t>
      </w:r>
      <w:r>
        <w:rPr>
          <w:color w:val="auto"/>
        </w:rPr>
        <w:tab/>
      </w:r>
      <w:r>
        <w:rPr>
          <w:color w:val="auto"/>
        </w:rPr>
        <w:fldChar w:fldCharType="begin"/>
      </w:r>
      <w:r>
        <w:rPr>
          <w:color w:val="auto"/>
        </w:rPr>
        <w:instrText xml:space="preserve"> PAGEREF _Toc2469 \h </w:instrText>
      </w:r>
      <w:r>
        <w:rPr>
          <w:color w:val="auto"/>
        </w:rPr>
        <w:fldChar w:fldCharType="separate"/>
      </w:r>
      <w:r>
        <w:rPr>
          <w:color w:val="auto"/>
        </w:rPr>
        <w:t>34</w:t>
      </w:r>
      <w:r>
        <w:rPr>
          <w:color w:val="auto"/>
        </w:rPr>
        <w:fldChar w:fldCharType="end"/>
      </w:r>
      <w:r>
        <w:rPr>
          <w:rFonts w:hint="eastAsia" w:ascii="宋体" w:hAnsi="宋体" w:eastAsia="宋体" w:cs="宋体"/>
          <w:color w:val="auto"/>
          <w:kern w:val="2"/>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_Toc32614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rPr>
        <w:t xml:space="preserve">第3章 </w:t>
      </w:r>
      <w:r>
        <w:rPr>
          <w:rFonts w:hint="eastAsia" w:ascii="宋体" w:hAnsi="宋体" w:eastAsia="宋体" w:cs="宋体"/>
          <w:color w:val="auto"/>
          <w:highlight w:val="none"/>
        </w:rPr>
        <w:t>投标邀请</w:t>
      </w:r>
      <w:r>
        <w:rPr>
          <w:color w:val="auto"/>
        </w:rPr>
        <w:tab/>
      </w:r>
      <w:r>
        <w:rPr>
          <w:color w:val="auto"/>
        </w:rPr>
        <w:fldChar w:fldCharType="begin"/>
      </w:r>
      <w:r>
        <w:rPr>
          <w:color w:val="auto"/>
        </w:rPr>
        <w:instrText xml:space="preserve"> PAGEREF _Toc32614 \h </w:instrText>
      </w:r>
      <w:r>
        <w:rPr>
          <w:color w:val="auto"/>
        </w:rPr>
        <w:fldChar w:fldCharType="separate"/>
      </w:r>
      <w:r>
        <w:rPr>
          <w:color w:val="auto"/>
        </w:rPr>
        <w:t>36</w:t>
      </w:r>
      <w:r>
        <w:rPr>
          <w:color w:val="auto"/>
        </w:rPr>
        <w:fldChar w:fldCharType="end"/>
      </w:r>
      <w:r>
        <w:rPr>
          <w:rFonts w:hint="eastAsia" w:ascii="宋体" w:hAnsi="宋体" w:eastAsia="宋体" w:cs="宋体"/>
          <w:color w:val="auto"/>
          <w:kern w:val="2"/>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_Toc17065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highlight w:val="none"/>
        </w:rPr>
        <w:t>第4章  供应商须知资料表</w:t>
      </w:r>
      <w:r>
        <w:rPr>
          <w:color w:val="auto"/>
        </w:rPr>
        <w:tab/>
      </w:r>
      <w:r>
        <w:rPr>
          <w:color w:val="auto"/>
        </w:rPr>
        <w:fldChar w:fldCharType="begin"/>
      </w:r>
      <w:r>
        <w:rPr>
          <w:color w:val="auto"/>
        </w:rPr>
        <w:instrText xml:space="preserve"> PAGEREF _Toc17065 \h </w:instrText>
      </w:r>
      <w:r>
        <w:rPr>
          <w:color w:val="auto"/>
        </w:rPr>
        <w:fldChar w:fldCharType="separate"/>
      </w:r>
      <w:r>
        <w:rPr>
          <w:color w:val="auto"/>
        </w:rPr>
        <w:t>42</w:t>
      </w:r>
      <w:r>
        <w:rPr>
          <w:color w:val="auto"/>
        </w:rPr>
        <w:fldChar w:fldCharType="end"/>
      </w:r>
      <w:r>
        <w:rPr>
          <w:rFonts w:hint="eastAsia" w:ascii="宋体" w:hAnsi="宋体" w:eastAsia="宋体" w:cs="宋体"/>
          <w:color w:val="auto"/>
          <w:kern w:val="2"/>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_Toc23098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32"/>
        </w:rPr>
        <w:t xml:space="preserve">第5章 </w:t>
      </w:r>
      <w:r>
        <w:rPr>
          <w:rFonts w:hint="eastAsia" w:ascii="宋体" w:hAnsi="宋体" w:eastAsia="宋体" w:cs="宋体"/>
          <w:color w:val="auto"/>
          <w:szCs w:val="32"/>
          <w:highlight w:val="none"/>
          <w:lang w:val="en-US" w:eastAsia="zh-CN"/>
        </w:rPr>
        <w:t>货物</w:t>
      </w:r>
      <w:r>
        <w:rPr>
          <w:rFonts w:hint="eastAsia" w:ascii="宋体" w:hAnsi="宋体" w:eastAsia="宋体" w:cs="宋体"/>
          <w:color w:val="auto"/>
          <w:szCs w:val="32"/>
          <w:highlight w:val="none"/>
        </w:rPr>
        <w:t>内容及项目要求</w:t>
      </w:r>
      <w:r>
        <w:rPr>
          <w:color w:val="auto"/>
        </w:rPr>
        <w:tab/>
      </w:r>
      <w:r>
        <w:rPr>
          <w:color w:val="auto"/>
        </w:rPr>
        <w:fldChar w:fldCharType="begin"/>
      </w:r>
      <w:r>
        <w:rPr>
          <w:color w:val="auto"/>
        </w:rPr>
        <w:instrText xml:space="preserve"> PAGEREF _Toc23098 \h </w:instrText>
      </w:r>
      <w:r>
        <w:rPr>
          <w:color w:val="auto"/>
        </w:rPr>
        <w:fldChar w:fldCharType="separate"/>
      </w:r>
      <w:r>
        <w:rPr>
          <w:color w:val="auto"/>
        </w:rPr>
        <w:t>46</w:t>
      </w:r>
      <w:r>
        <w:rPr>
          <w:color w:val="auto"/>
        </w:rPr>
        <w:fldChar w:fldCharType="end"/>
      </w:r>
      <w:r>
        <w:rPr>
          <w:rFonts w:hint="eastAsia" w:ascii="宋体" w:hAnsi="宋体" w:eastAsia="宋体" w:cs="宋体"/>
          <w:color w:val="auto"/>
          <w:kern w:val="2"/>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_Toc12200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highlight w:val="none"/>
        </w:rPr>
        <w:t>第6章  评标方法和标准</w:t>
      </w:r>
      <w:r>
        <w:rPr>
          <w:color w:val="auto"/>
        </w:rPr>
        <w:tab/>
      </w:r>
      <w:r>
        <w:rPr>
          <w:color w:val="auto"/>
        </w:rPr>
        <w:fldChar w:fldCharType="begin"/>
      </w:r>
      <w:r>
        <w:rPr>
          <w:color w:val="auto"/>
        </w:rPr>
        <w:instrText xml:space="preserve"> PAGEREF _Toc12200 \h </w:instrText>
      </w:r>
      <w:r>
        <w:rPr>
          <w:color w:val="auto"/>
        </w:rPr>
        <w:fldChar w:fldCharType="separate"/>
      </w:r>
      <w:r>
        <w:rPr>
          <w:color w:val="auto"/>
        </w:rPr>
        <w:t>72</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_Toc6849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highlight w:val="none"/>
        </w:rPr>
        <w:t>初步评审—资格性审查表</w:t>
      </w:r>
      <w:r>
        <w:rPr>
          <w:color w:val="auto"/>
        </w:rPr>
        <w:tab/>
      </w:r>
      <w:r>
        <w:rPr>
          <w:color w:val="auto"/>
        </w:rPr>
        <w:fldChar w:fldCharType="begin"/>
      </w:r>
      <w:r>
        <w:rPr>
          <w:color w:val="auto"/>
        </w:rPr>
        <w:instrText xml:space="preserve"> PAGEREF _Toc6849 \h </w:instrText>
      </w:r>
      <w:r>
        <w:rPr>
          <w:color w:val="auto"/>
        </w:rPr>
        <w:fldChar w:fldCharType="separate"/>
      </w:r>
      <w:r>
        <w:rPr>
          <w:color w:val="auto"/>
        </w:rPr>
        <w:t>77</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_Toc32023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highlight w:val="none"/>
        </w:rPr>
        <w:t>初步评审—符合性审查表</w:t>
      </w:r>
      <w:r>
        <w:rPr>
          <w:color w:val="auto"/>
        </w:rPr>
        <w:tab/>
      </w:r>
      <w:r>
        <w:rPr>
          <w:color w:val="auto"/>
        </w:rPr>
        <w:fldChar w:fldCharType="begin"/>
      </w:r>
      <w:r>
        <w:rPr>
          <w:color w:val="auto"/>
        </w:rPr>
        <w:instrText xml:space="preserve"> PAGEREF _Toc32023 \h </w:instrText>
      </w:r>
      <w:r>
        <w:rPr>
          <w:color w:val="auto"/>
        </w:rPr>
        <w:fldChar w:fldCharType="separate"/>
      </w:r>
      <w:r>
        <w:rPr>
          <w:color w:val="auto"/>
        </w:rPr>
        <w:t>78</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_Toc10081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szCs w:val="24"/>
          <w:highlight w:val="none"/>
          <w:lang w:val="en-US" w:eastAsia="zh-CN"/>
        </w:rPr>
        <w:t>第</w:t>
      </w:r>
      <w:r>
        <w:rPr>
          <w:rFonts w:hint="eastAsia" w:ascii="宋体" w:hAnsi="宋体" w:cs="宋体"/>
          <w:bCs/>
          <w:color w:val="auto"/>
          <w:szCs w:val="24"/>
          <w:highlight w:val="none"/>
          <w:lang w:val="en-US" w:eastAsia="zh-CN"/>
        </w:rPr>
        <w:t>一包</w:t>
      </w:r>
      <w:r>
        <w:rPr>
          <w:rFonts w:hint="eastAsia" w:ascii="宋体" w:hAnsi="宋体" w:eastAsia="宋体" w:cs="宋体"/>
          <w:bCs/>
          <w:color w:val="auto"/>
          <w:szCs w:val="24"/>
          <w:highlight w:val="none"/>
        </w:rPr>
        <w:t>综合评分表</w:t>
      </w:r>
      <w:r>
        <w:rPr>
          <w:color w:val="auto"/>
        </w:rPr>
        <w:tab/>
      </w:r>
      <w:r>
        <w:rPr>
          <w:color w:val="auto"/>
        </w:rPr>
        <w:fldChar w:fldCharType="begin"/>
      </w:r>
      <w:r>
        <w:rPr>
          <w:color w:val="auto"/>
        </w:rPr>
        <w:instrText xml:space="preserve"> PAGEREF _Toc10081 \h </w:instrText>
      </w:r>
      <w:r>
        <w:rPr>
          <w:color w:val="auto"/>
        </w:rPr>
        <w:fldChar w:fldCharType="separate"/>
      </w:r>
      <w:r>
        <w:rPr>
          <w:color w:val="auto"/>
        </w:rPr>
        <w:t>81</w:t>
      </w:r>
      <w:r>
        <w:rPr>
          <w:color w:val="auto"/>
        </w:rPr>
        <w:fldChar w:fldCharType="end"/>
      </w:r>
      <w:r>
        <w:rPr>
          <w:rFonts w:hint="eastAsia" w:ascii="宋体" w:hAnsi="宋体" w:eastAsia="宋体" w:cs="宋体"/>
          <w:color w:val="auto"/>
          <w:kern w:val="2"/>
          <w:szCs w:val="21"/>
          <w:highlight w:val="none"/>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_Toc16401 </w:instrText>
      </w:r>
      <w:r>
        <w:rPr>
          <w:rFonts w:hint="eastAsia" w:ascii="宋体" w:hAnsi="宋体" w:eastAsia="宋体" w:cs="宋体"/>
          <w:color w:val="auto"/>
          <w:kern w:val="2"/>
          <w:szCs w:val="21"/>
          <w:highlight w:val="none"/>
        </w:rPr>
        <w:fldChar w:fldCharType="separate"/>
      </w:r>
      <w:r>
        <w:rPr>
          <w:rFonts w:hint="eastAsia" w:ascii="宋体" w:hAnsi="宋体" w:cs="宋体"/>
          <w:bCs/>
          <w:color w:val="auto"/>
          <w:szCs w:val="24"/>
          <w:highlight w:val="none"/>
          <w:lang w:val="en-US" w:eastAsia="zh-CN"/>
        </w:rPr>
        <w:t>第二包</w:t>
      </w:r>
      <w:r>
        <w:rPr>
          <w:rFonts w:hint="eastAsia" w:ascii="宋体" w:hAnsi="宋体" w:eastAsia="宋体" w:cs="宋体"/>
          <w:bCs/>
          <w:color w:val="auto"/>
          <w:szCs w:val="24"/>
          <w:highlight w:val="none"/>
        </w:rPr>
        <w:t>综合评分表</w:t>
      </w:r>
      <w:r>
        <w:rPr>
          <w:color w:val="auto"/>
        </w:rPr>
        <w:tab/>
      </w:r>
      <w:r>
        <w:rPr>
          <w:color w:val="auto"/>
        </w:rPr>
        <w:fldChar w:fldCharType="begin"/>
      </w:r>
      <w:r>
        <w:rPr>
          <w:color w:val="auto"/>
        </w:rPr>
        <w:instrText xml:space="preserve"> PAGEREF _Toc16401 \h </w:instrText>
      </w:r>
      <w:r>
        <w:rPr>
          <w:color w:val="auto"/>
        </w:rPr>
        <w:fldChar w:fldCharType="separate"/>
      </w:r>
      <w:r>
        <w:rPr>
          <w:color w:val="auto"/>
        </w:rPr>
        <w:t>82</w:t>
      </w:r>
      <w:r>
        <w:rPr>
          <w:color w:val="auto"/>
        </w:rPr>
        <w:fldChar w:fldCharType="end"/>
      </w:r>
      <w:r>
        <w:rPr>
          <w:rFonts w:hint="eastAsia" w:ascii="宋体" w:hAnsi="宋体" w:eastAsia="宋体" w:cs="宋体"/>
          <w:color w:val="auto"/>
          <w:kern w:val="2"/>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60" w:lineRule="exact"/>
        <w:ind w:left="0" w:leftChars="0"/>
        <w:textAlignment w:val="auto"/>
        <w:rPr>
          <w:color w:val="auto"/>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_Toc19726 </w:instrText>
      </w:r>
      <w:r>
        <w:rPr>
          <w:rFonts w:hint="eastAsia" w:ascii="宋体" w:hAnsi="宋体" w:eastAsia="宋体" w:cs="宋体"/>
          <w:color w:val="auto"/>
          <w:kern w:val="2"/>
          <w:szCs w:val="21"/>
          <w:highlight w:val="none"/>
        </w:rPr>
        <w:fldChar w:fldCharType="separate"/>
      </w:r>
      <w:r>
        <w:rPr>
          <w:rFonts w:hint="eastAsia" w:hAnsi="宋体" w:cs="宋体"/>
          <w:bCs/>
          <w:color w:val="auto"/>
          <w:highlight w:val="none"/>
          <w:lang w:val="en-US" w:eastAsia="zh-CN"/>
        </w:rPr>
        <w:t xml:space="preserve">第7章 </w:t>
      </w:r>
      <w:r>
        <w:rPr>
          <w:rFonts w:hint="eastAsia" w:ascii="宋体" w:hAnsi="宋体" w:eastAsia="宋体" w:cs="宋体"/>
          <w:bCs/>
          <w:color w:val="auto"/>
          <w:highlight w:val="none"/>
        </w:rPr>
        <w:t>政府采购合同</w:t>
      </w:r>
      <w:r>
        <w:rPr>
          <w:color w:val="auto"/>
        </w:rPr>
        <w:tab/>
      </w:r>
      <w:r>
        <w:rPr>
          <w:color w:val="auto"/>
        </w:rPr>
        <w:fldChar w:fldCharType="begin"/>
      </w:r>
      <w:r>
        <w:rPr>
          <w:color w:val="auto"/>
        </w:rPr>
        <w:instrText xml:space="preserve"> PAGEREF _Toc19726 \h </w:instrText>
      </w:r>
      <w:r>
        <w:rPr>
          <w:color w:val="auto"/>
        </w:rPr>
        <w:fldChar w:fldCharType="separate"/>
      </w:r>
      <w:r>
        <w:rPr>
          <w:color w:val="auto"/>
        </w:rPr>
        <w:t>84</w:t>
      </w:r>
      <w:r>
        <w:rPr>
          <w:color w:val="auto"/>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color w:val="auto"/>
        </w:rPr>
      </w:pPr>
    </w:p>
    <w:p>
      <w:pPr>
        <w:jc w:val="center"/>
        <w:rPr>
          <w:rFonts w:hint="eastAsia" w:ascii="宋体" w:hAnsi="宋体" w:eastAsia="宋体" w:cs="宋体"/>
          <w:color w:val="auto"/>
          <w:highlight w:val="none"/>
        </w:rPr>
      </w:pPr>
      <w:r>
        <w:rPr>
          <w:rFonts w:hint="eastAsia" w:ascii="宋体" w:hAnsi="宋体" w:eastAsia="宋体" w:cs="宋体"/>
          <w:color w:val="auto"/>
          <w:kern w:val="2"/>
          <w:szCs w:val="21"/>
          <w:highlight w:val="none"/>
        </w:rPr>
        <w:fldChar w:fldCharType="end"/>
      </w:r>
      <w:r>
        <w:rPr>
          <w:rFonts w:hint="eastAsia" w:ascii="宋体" w:hAnsi="宋体" w:eastAsia="宋体" w:cs="宋体"/>
          <w:color w:val="auto"/>
          <w:highlight w:val="none"/>
        </w:rPr>
        <w:t xml:space="preserve"> </w:t>
      </w:r>
      <w:bookmarkStart w:id="9" w:name="_Toc16266"/>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center"/>
        <w:outlineLvl w:val="0"/>
        <w:rPr>
          <w:rFonts w:hint="eastAsia" w:ascii="宋体" w:hAnsi="宋体" w:eastAsia="宋体" w:cs="宋体"/>
          <w:color w:val="auto"/>
          <w:highlight w:val="none"/>
        </w:rPr>
      </w:pPr>
      <w:bookmarkStart w:id="10" w:name="_Toc16525"/>
      <w:r>
        <w:rPr>
          <w:rFonts w:hint="eastAsia" w:ascii="宋体" w:hAnsi="宋体" w:eastAsia="宋体" w:cs="宋体"/>
          <w:b/>
          <w:bCs/>
          <w:color w:val="auto"/>
          <w:sz w:val="28"/>
          <w:szCs w:val="21"/>
          <w:highlight w:val="none"/>
        </w:rPr>
        <w:t xml:space="preserve">第1章  </w:t>
      </w:r>
      <w:bookmarkStart w:id="11" w:name="_Toc515647756"/>
      <w:r>
        <w:rPr>
          <w:rFonts w:hint="eastAsia" w:ascii="宋体" w:hAnsi="宋体" w:eastAsia="宋体" w:cs="宋体"/>
          <w:b/>
          <w:bCs/>
          <w:color w:val="auto"/>
          <w:sz w:val="28"/>
          <w:szCs w:val="21"/>
          <w:highlight w:val="none"/>
          <w:lang w:eastAsia="zh-CN"/>
        </w:rPr>
        <w:t>供应商</w:t>
      </w:r>
      <w:r>
        <w:rPr>
          <w:rFonts w:hint="eastAsia" w:ascii="宋体" w:hAnsi="宋体" w:eastAsia="宋体" w:cs="宋体"/>
          <w:b/>
          <w:bCs/>
          <w:color w:val="auto"/>
          <w:sz w:val="28"/>
          <w:szCs w:val="21"/>
          <w:highlight w:val="none"/>
        </w:rPr>
        <w:t>须知</w:t>
      </w:r>
      <w:bookmarkEnd w:id="0"/>
      <w:bookmarkEnd w:id="1"/>
      <w:bookmarkEnd w:id="2"/>
      <w:bookmarkEnd w:id="3"/>
      <w:bookmarkEnd w:id="9"/>
      <w:bookmarkEnd w:id="10"/>
      <w:bookmarkEnd w:id="11"/>
    </w:p>
    <w:p>
      <w:pPr>
        <w:pStyle w:val="7"/>
        <w:spacing w:before="0" w:line="240" w:lineRule="atLeast"/>
        <w:ind w:left="1080" w:leftChars="257" w:hanging="540"/>
        <w:rPr>
          <w:rFonts w:hint="eastAsia" w:ascii="宋体" w:hAnsi="宋体" w:eastAsia="宋体" w:cs="宋体"/>
          <w:color w:val="auto"/>
          <w:highlight w:val="none"/>
        </w:rPr>
      </w:pPr>
      <w:bookmarkStart w:id="12" w:name="_Toc520356143"/>
      <w:bookmarkStart w:id="13" w:name="_Toc216582805"/>
      <w:bookmarkStart w:id="14" w:name="_Toc515647757"/>
      <w:bookmarkStart w:id="15" w:name="_Toc11227"/>
      <w:bookmarkStart w:id="16" w:name="_Toc30537"/>
      <w:bookmarkStart w:id="17" w:name="_Toc21215"/>
      <w:bookmarkStart w:id="18" w:name="_Toc8035"/>
      <w:bookmarkStart w:id="19" w:name="_Toc21015"/>
      <w:r>
        <w:rPr>
          <w:rFonts w:hint="eastAsia" w:ascii="宋体" w:hAnsi="宋体" w:eastAsia="宋体" w:cs="宋体"/>
          <w:color w:val="auto"/>
          <w:sz w:val="28"/>
          <w:highlight w:val="none"/>
        </w:rPr>
        <w:t xml:space="preserve">一   </w:t>
      </w:r>
      <w:bookmarkEnd w:id="12"/>
      <w:bookmarkEnd w:id="13"/>
      <w:bookmarkEnd w:id="14"/>
      <w:r>
        <w:rPr>
          <w:rFonts w:hint="eastAsia" w:ascii="宋体" w:hAnsi="宋体" w:eastAsia="宋体" w:cs="宋体"/>
          <w:color w:val="auto"/>
          <w:sz w:val="28"/>
          <w:highlight w:val="none"/>
        </w:rPr>
        <w:t>总 则</w:t>
      </w:r>
      <w:bookmarkEnd w:id="15"/>
      <w:bookmarkEnd w:id="16"/>
      <w:bookmarkEnd w:id="17"/>
      <w:bookmarkEnd w:id="18"/>
      <w:bookmarkEnd w:id="19"/>
    </w:p>
    <w:p>
      <w:pPr>
        <w:pStyle w:val="8"/>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20" w:name="_Toc32623"/>
      <w:bookmarkStart w:id="21" w:name="_Toc11808"/>
      <w:bookmarkStart w:id="22" w:name="_Toc23985"/>
      <w:bookmarkStart w:id="23" w:name="_Toc12861"/>
      <w:bookmarkStart w:id="24" w:name="_Toc32189"/>
      <w:bookmarkStart w:id="25" w:name="_Toc28967"/>
      <w:bookmarkStart w:id="26" w:name="_Toc520356144"/>
      <w:bookmarkStart w:id="27" w:name="_Toc31685"/>
      <w:bookmarkStart w:id="28" w:name="_Toc4880"/>
      <w:bookmarkStart w:id="29" w:name="_Toc333"/>
      <w:bookmarkStart w:id="30" w:name="_Toc515647758"/>
      <w:bookmarkStart w:id="31" w:name="_Toc29554"/>
      <w:bookmarkStart w:id="32" w:name="_Toc27272"/>
      <w:bookmarkStart w:id="33" w:name="_Toc6073"/>
      <w:bookmarkStart w:id="34" w:name="_Toc28836"/>
      <w:bookmarkStart w:id="35" w:name="_Toc7014"/>
      <w:bookmarkStart w:id="36" w:name="_Toc4643"/>
      <w:bookmarkStart w:id="37" w:name="_Toc14470"/>
      <w:bookmarkStart w:id="38" w:name="_Toc9948"/>
      <w:bookmarkStart w:id="39" w:name="_Toc9400"/>
      <w:bookmarkStart w:id="40" w:name="_Toc20116"/>
      <w:bookmarkStart w:id="41" w:name="_Toc18212"/>
      <w:bookmarkStart w:id="42" w:name="_Toc32742"/>
      <w:bookmarkStart w:id="43" w:name="_Toc15102"/>
      <w:bookmarkStart w:id="44" w:name="_Toc26529"/>
      <w:bookmarkStart w:id="45" w:name="_Toc18706"/>
      <w:r>
        <w:rPr>
          <w:rFonts w:hint="eastAsia" w:ascii="宋体" w:hAnsi="宋体" w:eastAsia="宋体" w:cs="宋体"/>
          <w:color w:val="auto"/>
          <w:highlight w:val="none"/>
          <w:u w:val="none"/>
        </w:rPr>
        <w:t>采购人、采购代理机构及</w:t>
      </w:r>
      <w:bookmarkEnd w:id="20"/>
      <w:bookmarkEnd w:id="21"/>
      <w:bookmarkEnd w:id="22"/>
      <w:bookmarkEnd w:id="23"/>
      <w:bookmarkEnd w:id="24"/>
      <w:bookmarkEnd w:id="25"/>
      <w:bookmarkEnd w:id="26"/>
      <w:bookmarkEnd w:id="27"/>
      <w:bookmarkEnd w:id="28"/>
      <w:bookmarkEnd w:id="29"/>
      <w:bookmarkEnd w:id="30"/>
      <w:bookmarkEnd w:id="31"/>
      <w:r>
        <w:rPr>
          <w:rFonts w:hint="eastAsia" w:ascii="宋体" w:hAnsi="宋体" w:eastAsia="宋体" w:cs="宋体"/>
          <w:color w:val="auto"/>
          <w:highlight w:val="none"/>
          <w:u w:val="none"/>
          <w:lang w:eastAsia="zh-CN"/>
        </w:rPr>
        <w:t>供应商</w:t>
      </w:r>
      <w:bookmarkEnd w:id="32"/>
      <w:bookmarkEnd w:id="33"/>
      <w:bookmarkEnd w:id="34"/>
      <w:bookmarkEnd w:id="35"/>
      <w:bookmarkEnd w:id="36"/>
      <w:bookmarkEnd w:id="37"/>
      <w:bookmarkEnd w:id="38"/>
      <w:bookmarkEnd w:id="39"/>
      <w:bookmarkEnd w:id="40"/>
      <w:bookmarkEnd w:id="41"/>
      <w:bookmarkEnd w:id="42"/>
      <w:bookmarkEnd w:id="43"/>
      <w:bookmarkEnd w:id="44"/>
      <w:bookmarkEnd w:id="45"/>
    </w:p>
    <w:p>
      <w:pPr>
        <w:pageBreakBefore w:val="0"/>
        <w:widowControl w:val="0"/>
        <w:numPr>
          <w:ilvl w:val="0"/>
          <w:numId w:val="0"/>
        </w:numPr>
        <w:tabs>
          <w:tab w:val="left" w:pos="0"/>
        </w:tabs>
        <w:kinsoku/>
        <w:wordWrap/>
        <w:overflowPunct/>
        <w:topLinePunct w:val="0"/>
        <w:bidi w:val="0"/>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1.1  </w:t>
      </w:r>
      <w:r>
        <w:rPr>
          <w:rFonts w:hint="eastAsia" w:ascii="宋体" w:hAnsi="宋体" w:eastAsia="宋体" w:cs="宋体"/>
          <w:color w:val="auto"/>
          <w:sz w:val="24"/>
          <w:highlight w:val="none"/>
        </w:rPr>
        <w:t>采购人：是指依法开展政府采购活动的国家机关、事业单位、团体组织。</w:t>
      </w:r>
    </w:p>
    <w:p>
      <w:pPr>
        <w:pageBreakBefore w:val="0"/>
        <w:widowControl w:val="0"/>
        <w:tabs>
          <w:tab w:val="left" w:pos="0"/>
        </w:tabs>
        <w:kinsoku/>
        <w:wordWrap/>
        <w:overflowPunct/>
        <w:topLinePunct w:val="0"/>
        <w:bidi w:val="0"/>
        <w:spacing w:line="360" w:lineRule="exact"/>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本项目的采购人见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ageBreakBefore w:val="0"/>
        <w:widowControl w:val="0"/>
        <w:numPr>
          <w:ilvl w:val="0"/>
          <w:numId w:val="0"/>
        </w:numPr>
        <w:tabs>
          <w:tab w:val="left" w:pos="0"/>
        </w:tabs>
        <w:kinsoku/>
        <w:wordWrap/>
        <w:overflowPunct/>
        <w:topLinePunct w:val="0"/>
        <w:bidi w:val="0"/>
        <w:spacing w:line="360" w:lineRule="exact"/>
        <w:ind w:left="72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1.2   </w:t>
      </w:r>
      <w:r>
        <w:rPr>
          <w:rFonts w:hint="eastAsia" w:ascii="宋体" w:hAnsi="宋体" w:eastAsia="宋体" w:cs="宋体"/>
          <w:color w:val="auto"/>
          <w:sz w:val="24"/>
          <w:highlight w:val="none"/>
        </w:rPr>
        <w:t>采购代理机构：是指在集中采购机构或从事采购代理业务的社会中介机构。本项目的采购代理机构见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ageBreakBefore w:val="0"/>
        <w:widowControl w:val="0"/>
        <w:numPr>
          <w:ilvl w:val="0"/>
          <w:numId w:val="0"/>
        </w:numPr>
        <w:kinsoku/>
        <w:wordWrap/>
        <w:overflowPunct/>
        <w:topLinePunct w:val="0"/>
        <w:bidi w:val="0"/>
        <w:spacing w:line="36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1.3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：是指向采购人提供货物、工程或者服务的</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组织或者自然人。本项目的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及其投标货物须满足以下条件：</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在中华人民共和国境内注册，能够独立承担民事责任，有生产或供应能力的本国供应商。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  具备《中华人民共和国政府采购法》第二十二条关于供应商条件的规定，遵守本项目采购人本级和上级财政部门政府采购的有关规定。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1.3.3   以采购代理机构认可的方式获得了本项目的招标文件。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   符合</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中规定的其他要求。</w:t>
      </w:r>
    </w:p>
    <w:p>
      <w:pPr>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1.3.5    若</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中写明专门面向中小企业采购的，如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为非中小企业且所投产品为非中小企业产品，其投标将被认定为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    如</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中允许联合体投标，对联合体规定如下：</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   两个以上供应商可以组成一个投标联合体，以一个</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的身份投标。</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   联合体各方均应符合《中华人民共和国政府采购法》第二十二条规定的条件。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   采购人根据采购项目对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的特殊要求，联合体中至少应当有一方符合相关规定。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1.4.4   联合体各方应签订共同投标协议，明确约定联合体各方承担的工作和相应的责任，并将共同投标协议连同作为投标文件第一部分的内容提交。</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   大中型企业、其他自然人、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组织与小型、微型企业组成联合体共同参加投标，共同投标协议中应写明小型、微型企业的协议合同金额占到共同投标协议投标总金额的比例。</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1.4.6  联合体中有同类资质的供应商按照联合体分工承担相同工作的，按照较低的资质等级确定联合体的资质等级。</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1.4.7  以联合体形式参加政府采购活动的，联合体各方不得再单独参加或者与其他供应商另外组成联合体参加本项目投标，否则相关投标将被认定为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   对联合体投标的其他资格要求见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    单位负责人为同一人或者存在直接控股、管理关系的不同供应商，其相关投标将被认定为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在投标过程中不得向采购人提供、给予任何有价值的物品，影响其正常决策行为。一经发现，其将被认定为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46" w:name="_Toc25676"/>
      <w:bookmarkStart w:id="47" w:name="_Toc13577"/>
      <w:bookmarkStart w:id="48" w:name="_Toc10374"/>
      <w:bookmarkStart w:id="49" w:name="_Toc10189"/>
      <w:bookmarkStart w:id="50" w:name="_Toc10699"/>
      <w:bookmarkStart w:id="51" w:name="_Toc12139"/>
      <w:bookmarkStart w:id="52" w:name="_Toc5286"/>
      <w:bookmarkStart w:id="53" w:name="_Toc27814"/>
      <w:bookmarkStart w:id="54" w:name="_Toc23243"/>
      <w:bookmarkStart w:id="55" w:name="_Toc22532"/>
      <w:bookmarkStart w:id="56" w:name="_Toc4816"/>
      <w:bookmarkStart w:id="57" w:name="_Toc28511"/>
      <w:bookmarkStart w:id="58" w:name="_Toc1760"/>
      <w:bookmarkStart w:id="59" w:name="_Toc1403"/>
      <w:bookmarkStart w:id="60" w:name="_Toc29374"/>
      <w:bookmarkStart w:id="61" w:name="_Toc12473"/>
      <w:bookmarkStart w:id="62" w:name="_Toc4311"/>
      <w:bookmarkStart w:id="63" w:name="_Toc7800"/>
      <w:bookmarkStart w:id="64" w:name="_Toc10386"/>
      <w:bookmarkStart w:id="65" w:name="_Toc12065"/>
      <w:bookmarkStart w:id="66" w:name="_Toc12985"/>
      <w:bookmarkStart w:id="67" w:name="_Toc29945"/>
      <w:bookmarkStart w:id="68" w:name="_Toc26026"/>
      <w:bookmarkStart w:id="69" w:name="_Toc13484"/>
      <w:bookmarkStart w:id="70" w:name="_Toc515647759"/>
      <w:r>
        <w:rPr>
          <w:rFonts w:hint="eastAsia" w:ascii="宋体" w:hAnsi="宋体" w:eastAsia="宋体" w:cs="宋体"/>
          <w:color w:val="auto"/>
          <w:highlight w:val="none"/>
          <w:u w:val="none"/>
        </w:rPr>
        <w:t>2.资金来源</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本项目的采购人已获得足以支付本次招标后所签订的合同项下的资金（包括财政性资金和本项目采购中无法与财政性资金分割的非财政性资金）。</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项目预算金额和分项或分包最高限价</w:t>
      </w:r>
      <w:r>
        <w:rPr>
          <w:rFonts w:hint="eastAsia" w:ascii="宋体" w:hAnsi="宋体" w:eastAsia="宋体" w:cs="宋体"/>
          <w:color w:val="auto"/>
          <w:sz w:val="24"/>
          <w:highlight w:val="none"/>
          <w:u w:val="single"/>
        </w:rPr>
        <w:t>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报价超过招标文件规定的预算金额或者分项、分包最高限价的，其投标将被认定为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71" w:name="_Toc10982"/>
      <w:bookmarkStart w:id="72" w:name="_Toc20044"/>
      <w:bookmarkStart w:id="73" w:name="_Toc7114"/>
      <w:bookmarkStart w:id="74" w:name="_Toc6389"/>
      <w:bookmarkStart w:id="75" w:name="_Toc16576"/>
      <w:bookmarkStart w:id="76" w:name="_Toc29481"/>
      <w:bookmarkStart w:id="77" w:name="_Toc30263"/>
      <w:bookmarkStart w:id="78" w:name="_Toc520356145"/>
      <w:bookmarkStart w:id="79" w:name="_Toc2290"/>
      <w:bookmarkStart w:id="80" w:name="_Toc20799"/>
      <w:bookmarkStart w:id="81" w:name="_Toc13786"/>
      <w:bookmarkStart w:id="82" w:name="_Toc5836"/>
      <w:bookmarkStart w:id="83" w:name="_Toc5207"/>
      <w:bookmarkStart w:id="84" w:name="_Toc19277"/>
      <w:bookmarkStart w:id="85" w:name="_Toc22731"/>
      <w:bookmarkStart w:id="86" w:name="_Toc15936"/>
      <w:bookmarkStart w:id="87" w:name="_Toc30650"/>
      <w:bookmarkStart w:id="88" w:name="_Toc12808"/>
      <w:bookmarkStart w:id="89" w:name="_Toc7285"/>
      <w:bookmarkStart w:id="90" w:name="_Toc14612"/>
      <w:bookmarkStart w:id="91" w:name="_Toc29502"/>
      <w:bookmarkStart w:id="92" w:name="_Toc31708"/>
      <w:bookmarkStart w:id="93" w:name="_Toc30708"/>
      <w:bookmarkStart w:id="94" w:name="_Toc20526"/>
      <w:bookmarkStart w:id="95" w:name="_Toc515647760"/>
      <w:bookmarkStart w:id="96" w:name="_Toc31738"/>
      <w:r>
        <w:rPr>
          <w:rFonts w:hint="eastAsia" w:ascii="宋体" w:hAnsi="宋体" w:eastAsia="宋体" w:cs="宋体"/>
          <w:color w:val="auto"/>
          <w:highlight w:val="none"/>
          <w:u w:val="none"/>
        </w:rPr>
        <w:t>3.投标费用</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不论投标的结果如何，</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应承担所有与准备和参加投标有关的费用。</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97" w:name="_Toc21641"/>
      <w:bookmarkStart w:id="98" w:name="_Toc12537"/>
      <w:bookmarkStart w:id="99" w:name="_Toc19683"/>
      <w:bookmarkStart w:id="100" w:name="_Toc22303"/>
      <w:bookmarkStart w:id="101" w:name="_Toc24429"/>
      <w:bookmarkStart w:id="102" w:name="_Toc16328"/>
      <w:bookmarkStart w:id="103" w:name="_Toc24504"/>
      <w:bookmarkStart w:id="104" w:name="_Toc20163"/>
      <w:bookmarkStart w:id="105" w:name="_Toc21305"/>
      <w:bookmarkStart w:id="106" w:name="_Toc10354"/>
      <w:bookmarkStart w:id="107" w:name="_Toc27687"/>
      <w:bookmarkStart w:id="108" w:name="_Toc1198"/>
      <w:bookmarkStart w:id="109" w:name="_Toc17308"/>
      <w:bookmarkStart w:id="110" w:name="_Toc13038"/>
      <w:bookmarkStart w:id="111" w:name="_Toc12920"/>
      <w:bookmarkStart w:id="112" w:name="_Toc4463"/>
      <w:bookmarkStart w:id="113" w:name="_Toc6116"/>
      <w:bookmarkStart w:id="114" w:name="_Toc515647761"/>
      <w:bookmarkStart w:id="115" w:name="_Toc4562"/>
      <w:bookmarkStart w:id="116" w:name="_Toc5853"/>
      <w:bookmarkStart w:id="117" w:name="_Toc7203"/>
      <w:bookmarkStart w:id="118" w:name="_Toc23224"/>
      <w:bookmarkStart w:id="119" w:name="_Toc15372"/>
      <w:bookmarkStart w:id="120" w:name="_Toc7511"/>
      <w:bookmarkStart w:id="121" w:name="_Toc11355"/>
      <w:r>
        <w:rPr>
          <w:rFonts w:hint="eastAsia" w:ascii="宋体" w:hAnsi="宋体" w:eastAsia="宋体" w:cs="宋体"/>
          <w:color w:val="auto"/>
          <w:highlight w:val="none"/>
          <w:u w:val="none"/>
        </w:rPr>
        <w:t>4.适用法律</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项目采购人、采购代理机构、投标供应商、评标委员会的相关行为均受《中华人民共和国政府采购法》、《中华人民共和国政府采购法实施条例》、《中华人民共和国财政部令第87号--政府采购货物和货物招标投标管理办法》及本项目本级和上级财政部门政府采购有关规定的约束，其权利受到上述法律法规的保护。</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highlight w:val="none"/>
        </w:rPr>
      </w:pPr>
    </w:p>
    <w:p>
      <w:pPr>
        <w:pStyle w:val="7"/>
        <w:pageBreakBefore w:val="0"/>
        <w:widowControl w:val="0"/>
        <w:kinsoku/>
        <w:wordWrap/>
        <w:overflowPunct/>
        <w:topLinePunct w:val="0"/>
        <w:bidi w:val="0"/>
        <w:spacing w:before="0" w:line="360" w:lineRule="exact"/>
        <w:ind w:left="0" w:leftChars="0"/>
        <w:textAlignment w:val="auto"/>
        <w:rPr>
          <w:rFonts w:hint="eastAsia" w:ascii="宋体" w:hAnsi="宋体" w:eastAsia="宋体" w:cs="宋体"/>
          <w:color w:val="auto"/>
          <w:highlight w:val="none"/>
        </w:rPr>
      </w:pPr>
      <w:bookmarkStart w:id="122" w:name="_Toc21566"/>
      <w:bookmarkStart w:id="123" w:name="_Toc4365"/>
      <w:bookmarkStart w:id="124" w:name="_Toc30003"/>
      <w:bookmarkStart w:id="125" w:name="_Toc3833"/>
      <w:bookmarkStart w:id="126" w:name="_Toc520356146"/>
      <w:bookmarkStart w:id="127" w:name="_Toc6385"/>
      <w:bookmarkStart w:id="128" w:name="_Toc515647762"/>
      <w:bookmarkStart w:id="129" w:name="_Toc216582806"/>
      <w:r>
        <w:rPr>
          <w:rFonts w:hint="eastAsia" w:ascii="宋体" w:hAnsi="宋体" w:eastAsia="宋体" w:cs="宋体"/>
          <w:color w:val="auto"/>
          <w:sz w:val="28"/>
          <w:highlight w:val="none"/>
        </w:rPr>
        <w:t>二   招标文件</w:t>
      </w:r>
      <w:bookmarkEnd w:id="122"/>
      <w:bookmarkEnd w:id="123"/>
      <w:bookmarkEnd w:id="124"/>
      <w:bookmarkEnd w:id="125"/>
      <w:bookmarkEnd w:id="126"/>
      <w:bookmarkEnd w:id="127"/>
      <w:bookmarkEnd w:id="128"/>
      <w:bookmarkEnd w:id="129"/>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130" w:name="_Toc4287"/>
      <w:bookmarkStart w:id="131" w:name="_Toc15203"/>
      <w:bookmarkStart w:id="132" w:name="_Toc14481"/>
      <w:bookmarkStart w:id="133" w:name="_Toc29550"/>
      <w:bookmarkStart w:id="134" w:name="_Toc12831"/>
      <w:bookmarkStart w:id="135" w:name="_Toc31573"/>
      <w:bookmarkStart w:id="136" w:name="_Toc14084"/>
      <w:bookmarkStart w:id="137" w:name="_Toc30280"/>
      <w:bookmarkStart w:id="138" w:name="_Toc24087"/>
      <w:bookmarkStart w:id="139" w:name="_Toc21275"/>
      <w:bookmarkStart w:id="140" w:name="_Toc18714"/>
      <w:bookmarkStart w:id="141" w:name="_Toc25743"/>
      <w:bookmarkStart w:id="142" w:name="_Toc21734"/>
      <w:bookmarkStart w:id="143" w:name="_Toc27846"/>
      <w:bookmarkStart w:id="144" w:name="_Toc15692"/>
      <w:bookmarkStart w:id="145" w:name="_Toc25241"/>
      <w:bookmarkStart w:id="146" w:name="_Toc14190"/>
      <w:bookmarkStart w:id="147" w:name="_Toc32236"/>
      <w:bookmarkStart w:id="148" w:name="_Toc25141"/>
      <w:bookmarkStart w:id="149" w:name="_Toc23772"/>
      <w:bookmarkStart w:id="150" w:name="_Toc8921"/>
      <w:bookmarkStart w:id="151" w:name="_Toc9388"/>
      <w:bookmarkStart w:id="152" w:name="_Toc18213"/>
      <w:bookmarkStart w:id="153" w:name="_Toc520356147"/>
      <w:bookmarkStart w:id="154" w:name="_Toc515647763"/>
      <w:bookmarkStart w:id="155" w:name="_Toc24971"/>
      <w:r>
        <w:rPr>
          <w:rFonts w:hint="eastAsia" w:ascii="宋体" w:hAnsi="宋体" w:eastAsia="宋体" w:cs="宋体"/>
          <w:color w:val="auto"/>
          <w:highlight w:val="none"/>
          <w:u w:val="none"/>
        </w:rPr>
        <w:t>5.招标文件构成</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招标文件分为三册共7章，内容如下：</w:t>
      </w:r>
    </w:p>
    <w:p>
      <w:pPr>
        <w:pageBreakBefore w:val="0"/>
        <w:widowControl w:val="0"/>
        <w:kinsoku/>
        <w:wordWrap/>
        <w:overflowPunct/>
        <w:topLinePunct w:val="0"/>
        <w:bidi w:val="0"/>
        <w:spacing w:line="360" w:lineRule="exact"/>
        <w:ind w:left="0" w:leftChars="0" w:firstLine="60" w:firstLineChars="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第一册</w:t>
      </w:r>
    </w:p>
    <w:p>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2投标文件格式</w:t>
      </w:r>
    </w:p>
    <w:p>
      <w:pPr>
        <w:pageBreakBefore w:val="0"/>
        <w:widowControl w:val="0"/>
        <w:kinsoku/>
        <w:wordWrap/>
        <w:overflowPunct/>
        <w:topLinePunct w:val="0"/>
        <w:bidi w:val="0"/>
        <w:spacing w:line="360" w:lineRule="exact"/>
        <w:ind w:left="0" w:leftChars="0" w:firstLine="33" w:firstLineChars="1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第二册</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 投标邀请</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须知资料表</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 xml:space="preserve">内容及项目要求 </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 评标方法和标准</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第三册</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7政府采购合同格式</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如本文件的前后内容不一致，以最后描述为准。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5.3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应认真阅读招标文件所有的事项、格式、条款和技术规范等。如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8"/>
        <w:pageBreakBefore w:val="0"/>
        <w:widowControl w:val="0"/>
        <w:kinsoku/>
        <w:wordWrap/>
        <w:overflowPunct/>
        <w:topLinePunct w:val="0"/>
        <w:bidi w:val="0"/>
        <w:snapToGrid/>
        <w:spacing w:before="0" w:after="0" w:line="350" w:lineRule="exact"/>
        <w:ind w:left="0" w:leftChars="0"/>
        <w:textAlignment w:val="auto"/>
        <w:rPr>
          <w:rFonts w:hint="eastAsia" w:ascii="宋体" w:hAnsi="宋体" w:eastAsia="宋体" w:cs="宋体"/>
          <w:color w:val="auto"/>
          <w:highlight w:val="none"/>
          <w:u w:val="none"/>
        </w:rPr>
      </w:pPr>
      <w:bookmarkStart w:id="156" w:name="_Toc520356148"/>
      <w:bookmarkStart w:id="157" w:name="_Toc515904805"/>
      <w:bookmarkStart w:id="158" w:name="_Toc9232"/>
      <w:bookmarkStart w:id="159" w:name="_Toc6992"/>
      <w:bookmarkStart w:id="160" w:name="_Toc20202"/>
      <w:bookmarkStart w:id="161" w:name="_Toc12628"/>
      <w:bookmarkStart w:id="162" w:name="_Toc1117"/>
      <w:bookmarkStart w:id="163" w:name="_Toc7767"/>
      <w:bookmarkStart w:id="164" w:name="_Toc8166"/>
      <w:bookmarkStart w:id="165" w:name="_Toc29024"/>
      <w:bookmarkStart w:id="166" w:name="_Toc28731"/>
      <w:bookmarkStart w:id="167" w:name="_Toc5991"/>
      <w:bookmarkStart w:id="168" w:name="_Toc21165"/>
      <w:bookmarkStart w:id="169" w:name="_Toc15287"/>
      <w:bookmarkStart w:id="170" w:name="_Toc24379"/>
      <w:bookmarkStart w:id="171" w:name="_Toc29488"/>
      <w:bookmarkStart w:id="172" w:name="_Toc4451"/>
      <w:bookmarkStart w:id="173" w:name="_Toc26044"/>
      <w:bookmarkStart w:id="174" w:name="_Toc6827"/>
      <w:bookmarkStart w:id="175" w:name="_Toc25866"/>
      <w:bookmarkStart w:id="176" w:name="_Toc32213"/>
      <w:bookmarkStart w:id="177" w:name="_Toc817"/>
      <w:bookmarkStart w:id="178" w:name="_Toc14087"/>
      <w:bookmarkStart w:id="179" w:name="_Toc19275"/>
      <w:bookmarkStart w:id="180" w:name="_Toc29779"/>
      <w:bookmarkStart w:id="181" w:name="_Toc10034"/>
      <w:r>
        <w:rPr>
          <w:rFonts w:hint="eastAsia" w:ascii="宋体" w:hAnsi="宋体" w:eastAsia="宋体" w:cs="宋体"/>
          <w:color w:val="auto"/>
          <w:highlight w:val="none"/>
          <w:u w:val="none"/>
        </w:rPr>
        <w:t>6.招标文件的澄清</w:t>
      </w:r>
      <w:bookmarkEnd w:id="156"/>
      <w:bookmarkEnd w:id="157"/>
      <w:r>
        <w:rPr>
          <w:rFonts w:hint="eastAsia" w:ascii="宋体" w:hAnsi="宋体" w:eastAsia="宋体" w:cs="宋体"/>
          <w:color w:val="auto"/>
          <w:highlight w:val="none"/>
          <w:u w:val="none"/>
        </w:rPr>
        <w:t>与修改</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pStyle w:val="4"/>
        <w:pageBreakBefore w:val="0"/>
        <w:widowControl w:val="0"/>
        <w:kinsoku/>
        <w:wordWrap/>
        <w:overflowPunct/>
        <w:topLinePunct w:val="0"/>
        <w:bidi w:val="0"/>
        <w:snapToGrid/>
        <w:spacing w:line="350" w:lineRule="exact"/>
        <w:ind w:left="840" w:leftChars="0" w:hanging="840" w:hangingChars="35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为了保证对招标文件的澄清和修改满足法律的时限要求，任何要求对招标文件进行澄清的</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，均应在投标截止期十五日前，以书面形式将澄清要求通知采购人或采购代理机构。</w:t>
      </w:r>
    </w:p>
    <w:p>
      <w:pPr>
        <w:pStyle w:val="4"/>
        <w:pageBreakBefore w:val="0"/>
        <w:widowControl w:val="0"/>
        <w:kinsoku/>
        <w:wordWrap/>
        <w:overflowPunct/>
        <w:topLinePunct w:val="0"/>
        <w:bidi w:val="0"/>
        <w:snapToGrid/>
        <w:spacing w:line="350" w:lineRule="exact"/>
        <w:ind w:left="840" w:leftChars="0" w:hanging="840" w:hangingChars="350"/>
        <w:textAlignment w:val="auto"/>
        <w:rPr>
          <w:rFonts w:hint="eastAsia" w:ascii="宋体" w:hAnsi="宋体" w:eastAsia="宋体" w:cs="宋体"/>
          <w:color w:val="auto"/>
          <w:szCs w:val="24"/>
          <w:highlight w:val="none"/>
        </w:rPr>
      </w:pPr>
      <w:bookmarkStart w:id="182" w:name="_Toc520356149"/>
      <w:bookmarkStart w:id="183" w:name="_Ref467378678"/>
      <w:bookmarkStart w:id="184" w:name="_Toc515904806"/>
      <w:r>
        <w:rPr>
          <w:rFonts w:hint="eastAsia" w:ascii="宋体" w:hAnsi="宋体" w:eastAsia="宋体" w:cs="宋体"/>
          <w:color w:val="auto"/>
          <w:szCs w:val="24"/>
          <w:highlight w:val="none"/>
        </w:rPr>
        <w:t>6.2</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采购人可主动地或在解答</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提出的澄清问题时对招标文件进行澄清或修改。采购代理机构将以发布澄清（更正）公告的方式，澄清或修改招标文件，澄清或修改内容作为招标文件的组成部分。</w:t>
      </w:r>
    </w:p>
    <w:p>
      <w:pPr>
        <w:pStyle w:val="4"/>
        <w:pageBreakBefore w:val="0"/>
        <w:widowControl w:val="0"/>
        <w:kinsoku/>
        <w:wordWrap/>
        <w:overflowPunct/>
        <w:topLinePunct w:val="0"/>
        <w:bidi w:val="0"/>
        <w:snapToGrid/>
        <w:spacing w:line="350" w:lineRule="exact"/>
        <w:ind w:left="840" w:leftChars="0" w:hanging="840" w:hangingChars="35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6.3</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澄清或者修改的内容可能影响投标文件编制的，采购代理机构将以书面形式通知所有购买招标文件的潜在</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，并对其具有约束力。</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在收到上述通知后，应及时向采购代理机构回函确认。</w:t>
      </w:r>
    </w:p>
    <w:p>
      <w:pPr>
        <w:pStyle w:val="8"/>
        <w:pageBreakBefore w:val="0"/>
        <w:widowControl w:val="0"/>
        <w:tabs>
          <w:tab w:val="left" w:pos="900"/>
        </w:tabs>
        <w:kinsoku/>
        <w:wordWrap/>
        <w:overflowPunct/>
        <w:topLinePunct w:val="0"/>
        <w:bidi w:val="0"/>
        <w:snapToGrid/>
        <w:spacing w:before="0" w:after="0" w:line="350" w:lineRule="exact"/>
        <w:ind w:left="0" w:leftChars="0"/>
        <w:textAlignment w:val="auto"/>
        <w:rPr>
          <w:rFonts w:hint="eastAsia" w:ascii="宋体" w:hAnsi="宋体" w:eastAsia="宋体" w:cs="宋体"/>
          <w:color w:val="auto"/>
          <w:highlight w:val="none"/>
          <w:u w:val="none"/>
        </w:rPr>
      </w:pPr>
      <w:bookmarkStart w:id="185" w:name="_Toc27811"/>
      <w:bookmarkStart w:id="186" w:name="_Toc28630"/>
      <w:bookmarkStart w:id="187" w:name="_Toc517"/>
      <w:bookmarkStart w:id="188" w:name="_Toc14569"/>
      <w:bookmarkStart w:id="189" w:name="_Toc22107"/>
      <w:bookmarkStart w:id="190" w:name="_Toc10823"/>
      <w:bookmarkStart w:id="191" w:name="_Toc22408"/>
      <w:bookmarkStart w:id="192" w:name="_Toc11828"/>
      <w:bookmarkStart w:id="193" w:name="_Toc5103"/>
      <w:bookmarkStart w:id="194" w:name="_Toc24040"/>
      <w:bookmarkStart w:id="195" w:name="_Toc8674"/>
      <w:bookmarkStart w:id="196" w:name="_Toc0"/>
      <w:bookmarkStart w:id="197" w:name="_Toc25635"/>
      <w:bookmarkStart w:id="198" w:name="_Toc1073"/>
      <w:bookmarkStart w:id="199" w:name="_Toc7919"/>
      <w:bookmarkStart w:id="200" w:name="_Toc2158"/>
      <w:bookmarkStart w:id="201" w:name="_Toc978"/>
      <w:bookmarkStart w:id="202" w:name="_Toc21821"/>
      <w:bookmarkStart w:id="203" w:name="_Toc14901"/>
      <w:bookmarkStart w:id="204" w:name="_Toc11042"/>
      <w:bookmarkStart w:id="205" w:name="_Toc1189"/>
      <w:bookmarkStart w:id="206" w:name="_Toc3027"/>
      <w:bookmarkStart w:id="207" w:name="_Toc18668"/>
      <w:bookmarkStart w:id="208" w:name="_Toc8682"/>
      <w:r>
        <w:rPr>
          <w:rFonts w:hint="eastAsia" w:ascii="宋体" w:hAnsi="宋体" w:eastAsia="宋体" w:cs="宋体"/>
          <w:color w:val="auto"/>
          <w:highlight w:val="none"/>
          <w:u w:val="none"/>
        </w:rPr>
        <w:t>7</w:t>
      </w:r>
      <w:bookmarkEnd w:id="182"/>
      <w:bookmarkEnd w:id="183"/>
      <w:bookmarkEnd w:id="184"/>
      <w:r>
        <w:rPr>
          <w:rFonts w:hint="eastAsia" w:ascii="宋体" w:hAnsi="宋体" w:eastAsia="宋体" w:cs="宋体"/>
          <w:color w:val="auto"/>
          <w:highlight w:val="none"/>
          <w:u w:val="none"/>
        </w:rPr>
        <w:t>.投标截止时间的顺延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pPr>
        <w:pageBreakBefore w:val="0"/>
        <w:widowControl w:val="0"/>
        <w:kinsoku/>
        <w:wordWrap/>
        <w:overflowPunct/>
        <w:topLinePunct w:val="0"/>
        <w:bidi w:val="0"/>
        <w:snapToGrid/>
        <w:spacing w:line="350" w:lineRule="exact"/>
        <w:ind w:left="900" w:leftChars="0" w:hanging="900" w:hangingChars="375"/>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为使</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准备投标时有足够的时间对招标文件的澄清或者修改部分进行研究，采购人将依法决定是否顺延投标截止时间。</w:t>
      </w:r>
      <w:bookmarkStart w:id="209" w:name="_Toc516367020"/>
      <w:bookmarkStart w:id="210" w:name="_Toc520356150"/>
      <w:bookmarkStart w:id="211" w:name="_Toc515647766"/>
      <w:bookmarkStart w:id="212" w:name="_Toc216582807"/>
      <w:bookmarkStart w:id="213" w:name="_Toc30808"/>
      <w:bookmarkStart w:id="214" w:name="_Toc7636"/>
    </w:p>
    <w:p>
      <w:pPr>
        <w:pageBreakBefore w:val="0"/>
        <w:widowControl w:val="0"/>
        <w:tabs>
          <w:tab w:val="left" w:pos="900"/>
        </w:tabs>
        <w:kinsoku/>
        <w:wordWrap/>
        <w:overflowPunct/>
        <w:topLinePunct w:val="0"/>
        <w:bidi w:val="0"/>
        <w:snapToGrid/>
        <w:spacing w:line="350" w:lineRule="exact"/>
        <w:ind w:left="0" w:leftChars="0" w:hanging="540"/>
        <w:textAlignment w:val="auto"/>
        <w:rPr>
          <w:rFonts w:hint="eastAsia" w:ascii="宋体" w:hAnsi="宋体" w:eastAsia="宋体" w:cs="宋体"/>
          <w:color w:val="auto"/>
          <w:sz w:val="28"/>
          <w:highlight w:val="none"/>
        </w:rPr>
      </w:pPr>
    </w:p>
    <w:p>
      <w:pPr>
        <w:pStyle w:val="7"/>
        <w:pageBreakBefore w:val="0"/>
        <w:widowControl w:val="0"/>
        <w:tabs>
          <w:tab w:val="left" w:pos="900"/>
        </w:tabs>
        <w:kinsoku/>
        <w:wordWrap/>
        <w:overflowPunct/>
        <w:topLinePunct w:val="0"/>
        <w:bidi w:val="0"/>
        <w:snapToGrid/>
        <w:spacing w:before="0" w:line="350" w:lineRule="exact"/>
        <w:ind w:left="0" w:leftChars="0" w:hanging="540"/>
        <w:textAlignment w:val="auto"/>
        <w:rPr>
          <w:rFonts w:hint="eastAsia" w:ascii="宋体" w:hAnsi="宋体" w:eastAsia="宋体" w:cs="宋体"/>
          <w:color w:val="auto"/>
          <w:sz w:val="28"/>
          <w:highlight w:val="none"/>
        </w:rPr>
      </w:pPr>
      <w:bookmarkStart w:id="215" w:name="_Toc9680"/>
      <w:bookmarkStart w:id="216" w:name="_Toc29522"/>
      <w:bookmarkStart w:id="217" w:name="_Toc22359"/>
      <w:r>
        <w:rPr>
          <w:rFonts w:hint="eastAsia" w:ascii="宋体" w:hAnsi="宋体" w:eastAsia="宋体" w:cs="宋体"/>
          <w:color w:val="auto"/>
          <w:sz w:val="28"/>
          <w:highlight w:val="none"/>
        </w:rPr>
        <w:t>三   投标文件</w:t>
      </w:r>
      <w:bookmarkEnd w:id="209"/>
      <w:r>
        <w:rPr>
          <w:rFonts w:hint="eastAsia" w:ascii="宋体" w:hAnsi="宋体" w:eastAsia="宋体" w:cs="宋体"/>
          <w:color w:val="auto"/>
          <w:sz w:val="28"/>
          <w:highlight w:val="none"/>
        </w:rPr>
        <w:t>的编制</w:t>
      </w:r>
      <w:bookmarkEnd w:id="210"/>
      <w:bookmarkEnd w:id="211"/>
      <w:bookmarkEnd w:id="212"/>
      <w:bookmarkEnd w:id="213"/>
      <w:bookmarkEnd w:id="214"/>
      <w:bookmarkEnd w:id="215"/>
      <w:bookmarkEnd w:id="216"/>
      <w:bookmarkEnd w:id="217"/>
    </w:p>
    <w:p>
      <w:pPr>
        <w:pStyle w:val="8"/>
        <w:pageBreakBefore w:val="0"/>
        <w:widowControl w:val="0"/>
        <w:shd w:val="clear"/>
        <w:tabs>
          <w:tab w:val="left" w:pos="900"/>
        </w:tabs>
        <w:kinsoku/>
        <w:wordWrap/>
        <w:overflowPunct/>
        <w:topLinePunct w:val="0"/>
        <w:bidi w:val="0"/>
        <w:snapToGrid/>
        <w:spacing w:before="0" w:after="0" w:line="350" w:lineRule="exact"/>
        <w:textAlignment w:val="auto"/>
        <w:rPr>
          <w:rFonts w:hint="eastAsia" w:ascii="宋体" w:hAnsi="宋体" w:eastAsia="宋体" w:cs="宋体"/>
          <w:color w:val="auto"/>
          <w:highlight w:val="none"/>
          <w:u w:val="none"/>
        </w:rPr>
      </w:pPr>
      <w:bookmarkStart w:id="218" w:name="_Toc520356151"/>
      <w:bookmarkStart w:id="219" w:name="_Toc4315"/>
      <w:bookmarkStart w:id="220" w:name="_Toc3553"/>
      <w:bookmarkStart w:id="221" w:name="_Toc27686"/>
      <w:bookmarkStart w:id="222" w:name="_Toc4754"/>
      <w:bookmarkStart w:id="223" w:name="_Toc12670"/>
      <w:bookmarkStart w:id="224" w:name="_Toc12233"/>
      <w:bookmarkStart w:id="225" w:name="_Toc14490"/>
      <w:bookmarkStart w:id="226" w:name="_Toc2129"/>
      <w:bookmarkStart w:id="227" w:name="_Toc2383"/>
      <w:bookmarkStart w:id="228" w:name="_Toc19600"/>
      <w:bookmarkStart w:id="229" w:name="_Toc23494"/>
      <w:bookmarkStart w:id="230" w:name="_Toc18076"/>
      <w:bookmarkStart w:id="231" w:name="_Toc515647767"/>
      <w:bookmarkStart w:id="232" w:name="_Toc5025"/>
      <w:bookmarkStart w:id="233" w:name="_Toc516367021"/>
      <w:bookmarkStart w:id="234" w:name="_Toc15642"/>
      <w:bookmarkStart w:id="235" w:name="_Toc734"/>
      <w:bookmarkStart w:id="236" w:name="_Toc7786"/>
      <w:bookmarkStart w:id="237" w:name="_Toc2412"/>
      <w:bookmarkStart w:id="238" w:name="_Toc2539"/>
      <w:bookmarkStart w:id="239" w:name="_Toc20486"/>
      <w:r>
        <w:rPr>
          <w:rFonts w:hint="eastAsia" w:ascii="宋体" w:hAnsi="宋体" w:eastAsia="宋体" w:cs="宋体"/>
          <w:color w:val="auto"/>
          <w:highlight w:val="none"/>
          <w:u w:val="none"/>
        </w:rPr>
        <w:t>8.</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投标范围及投标文件中标准和计量单位的使用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项目有分包的，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可对招标文件其中某一个或几个分包服务进行投标，除非在</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中另有规定。</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8.2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应当对所投分包招标文件中“货物内容及项目要求”所列的所有内容进行投标，如仅响应某一包中的部分内容，其该包投标将被认定为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除招标文件中有特殊要求外，投标文件中所使用的计量单位，应采用中华人民共和国法定计量单位。</w:t>
      </w:r>
    </w:p>
    <w:p>
      <w:pPr>
        <w:pStyle w:val="8"/>
        <w:pageBreakBefore w:val="0"/>
        <w:widowControl w:val="0"/>
        <w:shd w:val="clear"/>
        <w:tabs>
          <w:tab w:val="left" w:pos="900"/>
        </w:tabs>
        <w:kinsoku/>
        <w:wordWrap/>
        <w:overflowPunct/>
        <w:topLinePunct w:val="0"/>
        <w:bidi w:val="0"/>
        <w:snapToGrid/>
        <w:spacing w:before="0" w:after="0" w:line="350" w:lineRule="exact"/>
        <w:textAlignment w:val="auto"/>
        <w:rPr>
          <w:rFonts w:hint="eastAsia" w:ascii="宋体" w:hAnsi="宋体" w:eastAsia="宋体" w:cs="宋体"/>
          <w:color w:val="auto"/>
          <w:highlight w:val="none"/>
          <w:u w:val="none"/>
        </w:rPr>
      </w:pPr>
      <w:bookmarkStart w:id="240" w:name="_Toc516367022"/>
      <w:bookmarkStart w:id="241" w:name="_Ref467306195"/>
      <w:bookmarkStart w:id="242" w:name="_Ref467306676"/>
      <w:bookmarkStart w:id="243" w:name="_Toc5460"/>
      <w:bookmarkStart w:id="244" w:name="_Toc15740"/>
      <w:bookmarkStart w:id="245" w:name="_Toc28307"/>
      <w:bookmarkStart w:id="246" w:name="_Toc16016"/>
      <w:bookmarkStart w:id="247" w:name="_Toc136"/>
      <w:bookmarkStart w:id="248" w:name="_Toc23575"/>
      <w:bookmarkStart w:id="249" w:name="_Toc7159"/>
      <w:bookmarkStart w:id="250" w:name="_Toc12501"/>
      <w:bookmarkStart w:id="251" w:name="_Toc258"/>
      <w:bookmarkStart w:id="252" w:name="_Toc31704"/>
      <w:bookmarkStart w:id="253" w:name="_Toc22897"/>
      <w:bookmarkStart w:id="254" w:name="_Toc1321"/>
      <w:bookmarkStart w:id="255" w:name="_Toc17073"/>
      <w:bookmarkStart w:id="256" w:name="_Toc10364"/>
      <w:bookmarkStart w:id="257" w:name="_Toc11619"/>
      <w:bookmarkStart w:id="258" w:name="_Toc16310"/>
      <w:bookmarkStart w:id="259" w:name="_Toc22417"/>
      <w:bookmarkStart w:id="260" w:name="_Toc515647768"/>
      <w:bookmarkStart w:id="261" w:name="_Toc27275"/>
      <w:bookmarkStart w:id="262" w:name="_Toc520356152"/>
      <w:bookmarkStart w:id="263" w:name="_Toc13988"/>
      <w:r>
        <w:rPr>
          <w:rFonts w:hint="eastAsia" w:ascii="宋体" w:hAnsi="宋体" w:eastAsia="宋体" w:cs="宋体"/>
          <w:color w:val="auto"/>
          <w:highlight w:val="none"/>
          <w:u w:val="none"/>
        </w:rPr>
        <w:t>9.投标文件</w:t>
      </w:r>
      <w:bookmarkEnd w:id="240"/>
      <w:bookmarkEnd w:id="241"/>
      <w:bookmarkEnd w:id="242"/>
      <w:r>
        <w:rPr>
          <w:rFonts w:hint="eastAsia" w:ascii="宋体" w:hAnsi="宋体" w:eastAsia="宋体" w:cs="宋体"/>
          <w:color w:val="auto"/>
          <w:highlight w:val="none"/>
          <w:u w:val="none"/>
        </w:rPr>
        <w:t>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pPr>
        <w:pageBreakBefore w:val="0"/>
        <w:widowControl w:val="0"/>
        <w:shd w:val="clear"/>
        <w:tabs>
          <w:tab w:val="left" w:pos="900"/>
          <w:tab w:val="left" w:pos="5580"/>
        </w:tabs>
        <w:kinsoku/>
        <w:wordWrap/>
        <w:overflowPunct/>
        <w:topLinePunct w:val="0"/>
        <w:bidi w:val="0"/>
        <w:snapToGrid/>
        <w:spacing w:line="350" w:lineRule="exact"/>
        <w:ind w:left="960" w:hanging="960" w:hangingChars="400"/>
        <w:jc w:val="left"/>
        <w:textAlignment w:val="auto"/>
        <w:rPr>
          <w:rFonts w:hint="eastAsia" w:ascii="宋体" w:hAnsi="宋体" w:eastAsia="宋体" w:cs="宋体"/>
          <w:color w:val="auto"/>
          <w:sz w:val="24"/>
          <w:highlight w:val="none"/>
          <w:u w:val="single"/>
        </w:rPr>
      </w:pPr>
      <w:bookmarkStart w:id="264" w:name="_Ref467052588"/>
      <w:r>
        <w:rPr>
          <w:rFonts w:hint="eastAsia" w:ascii="宋体" w:hAnsi="宋体" w:eastAsia="宋体" w:cs="宋体"/>
          <w:color w:val="auto"/>
          <w:sz w:val="24"/>
          <w:highlight w:val="none"/>
        </w:rPr>
        <w:t xml:space="preserve">9.1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应完整地按招标文件提供的投标文件格式及要求</w:t>
      </w:r>
      <w:r>
        <w:rPr>
          <w:rFonts w:hint="eastAsia" w:ascii="宋体" w:hAnsi="宋体" w:cs="宋体"/>
          <w:color w:val="auto"/>
          <w:sz w:val="24"/>
          <w:highlight w:val="none"/>
          <w:u w:val="single"/>
          <w:lang w:val="en-US" w:eastAsia="zh-CN"/>
        </w:rPr>
        <w:t>编写</w:t>
      </w:r>
      <w:r>
        <w:rPr>
          <w:rFonts w:hint="eastAsia" w:ascii="宋体" w:hAnsi="宋体" w:eastAsia="宋体" w:cs="宋体"/>
          <w:color w:val="auto"/>
          <w:sz w:val="24"/>
          <w:highlight w:val="none"/>
          <w:u w:val="single"/>
        </w:rPr>
        <w:t>投标文件，投标文件应包括“开标一览表及资格证明文件”和“商务及技术文件”两部分，两部分合订成一册，</w:t>
      </w:r>
      <w:r>
        <w:rPr>
          <w:rFonts w:hint="eastAsia" w:ascii="宋体" w:hAnsi="宋体" w:eastAsia="宋体" w:cs="宋体"/>
          <w:b w:val="0"/>
          <w:i w:val="0"/>
          <w:caps w:val="0"/>
          <w:color w:val="auto"/>
          <w:spacing w:val="0"/>
          <w:w w:val="100"/>
          <w:sz w:val="24"/>
          <w:highlight w:val="none"/>
          <w:u w:val="single" w:color="000000"/>
          <w:lang w:val="en-US" w:eastAsia="zh-CN"/>
        </w:rPr>
        <w:t>上传</w:t>
      </w:r>
      <w:r>
        <w:rPr>
          <w:rFonts w:hint="eastAsia" w:ascii="宋体" w:hAnsi="宋体" w:cs="宋体"/>
          <w:b w:val="0"/>
          <w:i w:val="0"/>
          <w:caps w:val="0"/>
          <w:color w:val="auto"/>
          <w:spacing w:val="0"/>
          <w:w w:val="100"/>
          <w:sz w:val="24"/>
          <w:highlight w:val="none"/>
          <w:u w:val="single" w:color="000000"/>
          <w:lang w:val="en-US" w:eastAsia="zh-CN"/>
        </w:rPr>
        <w:t>至政采云平台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应承担</w:t>
      </w:r>
      <w:r>
        <w:rPr>
          <w:rFonts w:hint="eastAsia" w:ascii="宋体" w:hAnsi="宋体" w:eastAsia="宋体" w:cs="宋体"/>
          <w:color w:val="auto"/>
          <w:sz w:val="24"/>
          <w:highlight w:val="none"/>
          <w:u w:val="single"/>
          <w:lang w:val="en-US" w:eastAsia="zh-CN"/>
        </w:rPr>
        <w:t>上传</w:t>
      </w:r>
      <w:r>
        <w:rPr>
          <w:rFonts w:hint="eastAsia" w:ascii="宋体" w:hAnsi="宋体" w:eastAsia="宋体" w:cs="宋体"/>
          <w:color w:val="auto"/>
          <w:sz w:val="24"/>
          <w:highlight w:val="none"/>
          <w:u w:val="single"/>
        </w:rPr>
        <w:t>失误产生的任何后果。</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上述文件应按照招标文件规定的格式填写、签署和盖章。</w:t>
      </w:r>
      <w:bookmarkEnd w:id="264"/>
    </w:p>
    <w:p>
      <w:pPr>
        <w:pStyle w:val="8"/>
        <w:pageBreakBefore w:val="0"/>
        <w:widowControl w:val="0"/>
        <w:shd w:val="clear"/>
        <w:tabs>
          <w:tab w:val="left" w:pos="900"/>
        </w:tabs>
        <w:kinsoku/>
        <w:wordWrap/>
        <w:overflowPunct/>
        <w:topLinePunct w:val="0"/>
        <w:bidi w:val="0"/>
        <w:snapToGrid/>
        <w:spacing w:before="0" w:after="0" w:line="350" w:lineRule="exact"/>
        <w:textAlignment w:val="auto"/>
        <w:rPr>
          <w:rFonts w:hint="eastAsia" w:ascii="宋体" w:hAnsi="宋体" w:eastAsia="宋体" w:cs="宋体"/>
          <w:color w:val="auto"/>
          <w:highlight w:val="none"/>
          <w:u w:val="none"/>
        </w:rPr>
      </w:pPr>
      <w:bookmarkStart w:id="265" w:name="_Toc20916"/>
      <w:bookmarkStart w:id="266" w:name="_Toc30354"/>
      <w:bookmarkStart w:id="267" w:name="_Toc32007"/>
      <w:bookmarkStart w:id="268" w:name="_Toc25008"/>
      <w:bookmarkStart w:id="269" w:name="_Toc9841"/>
      <w:bookmarkStart w:id="270" w:name="_Toc17109"/>
      <w:bookmarkStart w:id="271" w:name="_Toc32034"/>
      <w:bookmarkStart w:id="272" w:name="_Toc516367023"/>
      <w:bookmarkStart w:id="273" w:name="_Toc6978"/>
      <w:bookmarkStart w:id="274" w:name="_Toc10584"/>
      <w:bookmarkStart w:id="275" w:name="_Toc24893"/>
      <w:bookmarkStart w:id="276" w:name="_Toc2056"/>
      <w:bookmarkStart w:id="277" w:name="_Toc520356153"/>
      <w:bookmarkStart w:id="278" w:name="_Toc10379"/>
      <w:bookmarkStart w:id="279" w:name="_Toc4601"/>
      <w:bookmarkStart w:id="280" w:name="_Toc15151"/>
      <w:bookmarkStart w:id="281" w:name="_Toc16058"/>
      <w:bookmarkStart w:id="282" w:name="_Toc17831"/>
      <w:bookmarkStart w:id="283" w:name="_Toc16712"/>
      <w:bookmarkStart w:id="284" w:name="_Toc515647769"/>
      <w:bookmarkStart w:id="285" w:name="_Toc2073"/>
      <w:bookmarkStart w:id="286" w:name="_Toc10353"/>
      <w:r>
        <w:rPr>
          <w:rFonts w:hint="eastAsia" w:ascii="宋体" w:hAnsi="宋体" w:eastAsia="宋体" w:cs="宋体"/>
          <w:color w:val="auto"/>
          <w:highlight w:val="none"/>
          <w:u w:val="none"/>
        </w:rPr>
        <w:t>10.</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证明投标的的合格性和符合招标文件规定的技术文件</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应提交证明文件，证明其投标内容符合招标文件规定。该证明文件是投标文件的一部分。</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bookmarkStart w:id="287" w:name="_Ref467306244"/>
      <w:r>
        <w:rPr>
          <w:rFonts w:hint="eastAsia" w:ascii="宋体" w:hAnsi="宋体" w:eastAsia="宋体" w:cs="宋体"/>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上款所述的证明文件，可以是文字资料、图纸和数据，</w:t>
      </w:r>
      <w:bookmarkEnd w:id="287"/>
      <w:r>
        <w:rPr>
          <w:rFonts w:hint="eastAsia" w:ascii="宋体" w:hAnsi="宋体" w:eastAsia="宋体" w:cs="宋体"/>
          <w:color w:val="auto"/>
          <w:sz w:val="24"/>
          <w:highlight w:val="none"/>
        </w:rPr>
        <w:t>它包括：</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设备主要技术指标的详细说明；</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货物从买方开始使用至谈判文件规定的保质期内正常、连续地使用所必须的备件和专用工具清单，包括备件和专用工具的货源及现行价格；</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对照招标文件技术规格，逐条说明所提供货物及伴随的工程和货物已对招标文件的技术规格做出了实质性的响应，或申明与技术规格条文的偏差和例外。</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10.3</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应注意采购人在技术规格中指出的工艺、材料和设备的参照品牌型号或分类号仅起说明作用，并没有任何限制性。</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在投标中可以选用替代牌号或分类号，但这些替代要实质上相当于技术规格的要求。采购人、采购代理机构承诺不以上述参照品牌型号或分类号作为评标时判定其投标是否有效的标准。</w:t>
      </w:r>
    </w:p>
    <w:p>
      <w:pPr>
        <w:pStyle w:val="8"/>
        <w:shd w:val="clear"/>
        <w:spacing w:before="0" w:after="0" w:line="360" w:lineRule="exact"/>
        <w:rPr>
          <w:rFonts w:hint="eastAsia" w:ascii="宋体" w:hAnsi="宋体" w:eastAsia="宋体" w:cs="宋体"/>
          <w:color w:val="auto"/>
          <w:highlight w:val="none"/>
          <w:u w:val="none"/>
        </w:rPr>
      </w:pPr>
      <w:bookmarkStart w:id="288" w:name="_Toc301"/>
      <w:bookmarkStart w:id="289" w:name="_Toc14852"/>
      <w:bookmarkStart w:id="290" w:name="_Toc23231"/>
      <w:bookmarkStart w:id="291" w:name="_Toc5144"/>
      <w:bookmarkStart w:id="292" w:name="_Toc14460"/>
      <w:bookmarkStart w:id="293" w:name="_Toc29220"/>
      <w:bookmarkStart w:id="294" w:name="_Toc15764"/>
      <w:bookmarkStart w:id="295" w:name="_Toc26145"/>
      <w:bookmarkStart w:id="296" w:name="_Toc30391"/>
      <w:bookmarkStart w:id="297" w:name="_Toc14878"/>
      <w:bookmarkStart w:id="298" w:name="_Toc14830"/>
      <w:bookmarkStart w:id="299" w:name="_Toc30385"/>
      <w:bookmarkStart w:id="300" w:name="_Toc25641"/>
      <w:bookmarkStart w:id="301" w:name="_Toc520356155"/>
      <w:bookmarkStart w:id="302" w:name="_Toc114"/>
      <w:bookmarkStart w:id="303" w:name="_Toc2248"/>
      <w:bookmarkStart w:id="304" w:name="_Toc22007"/>
      <w:bookmarkStart w:id="305" w:name="_Toc17561"/>
      <w:bookmarkStart w:id="306" w:name="_Toc18539"/>
      <w:bookmarkStart w:id="307" w:name="_Toc32330"/>
      <w:bookmarkStart w:id="308" w:name="_Toc515647770"/>
      <w:r>
        <w:rPr>
          <w:rFonts w:hint="eastAsia" w:ascii="宋体" w:hAnsi="宋体" w:eastAsia="宋体" w:cs="宋体"/>
          <w:color w:val="auto"/>
          <w:highlight w:val="none"/>
          <w:u w:val="none"/>
        </w:rPr>
        <w:t>11.投标报价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所有投标均以人民币报价。</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的投标报价应遵守《中华人民共和国价格法》。同时，根据《中华人民共和国政府采购法》第二条的规定，为保证公平竞争，如有主体部分的赠与行为，其投标将被认定为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应在投标分项报价表上标明投标相关货物的单价（如适用）和总价，并由法定代表人或其授权代表签署。</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投标分项报价表上的价格应按下列方式填写；</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11.5</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每种货物只能有一个投标报价。采购人不接受具有附加条件的报价。</w:t>
      </w:r>
    </w:p>
    <w:p>
      <w:pPr>
        <w:pStyle w:val="8"/>
        <w:shd w:val="clear"/>
        <w:spacing w:before="0" w:after="0" w:line="360" w:lineRule="exact"/>
        <w:rPr>
          <w:rFonts w:hint="eastAsia" w:ascii="宋体" w:hAnsi="宋体" w:eastAsia="宋体" w:cs="宋体"/>
          <w:color w:val="auto"/>
          <w:highlight w:val="none"/>
          <w:u w:val="none"/>
        </w:rPr>
      </w:pPr>
      <w:bookmarkStart w:id="309" w:name="_Toc1683"/>
      <w:bookmarkStart w:id="310" w:name="_Toc5648"/>
      <w:bookmarkStart w:id="311" w:name="_Toc21719"/>
      <w:bookmarkStart w:id="312" w:name="_Toc2504"/>
      <w:bookmarkStart w:id="313" w:name="_Toc8084"/>
      <w:bookmarkStart w:id="314" w:name="_Toc27354"/>
      <w:bookmarkStart w:id="315" w:name="_Toc5785"/>
      <w:bookmarkStart w:id="316" w:name="_Toc17788"/>
      <w:bookmarkStart w:id="317" w:name="_Toc6006"/>
      <w:bookmarkStart w:id="318" w:name="_Toc13726"/>
      <w:bookmarkStart w:id="319" w:name="_Toc515647771"/>
      <w:bookmarkStart w:id="320" w:name="_Toc520356156"/>
      <w:bookmarkStart w:id="321" w:name="_Toc11514"/>
      <w:bookmarkStart w:id="322" w:name="_Toc21150"/>
      <w:bookmarkStart w:id="323" w:name="_Toc26303"/>
      <w:bookmarkStart w:id="324" w:name="_Toc18556"/>
      <w:bookmarkStart w:id="325" w:name="_Toc4596"/>
      <w:bookmarkStart w:id="326" w:name="_Toc27772"/>
      <w:bookmarkStart w:id="327" w:name="_Ref467306513"/>
      <w:bookmarkStart w:id="328" w:name="_Toc30245"/>
      <w:bookmarkStart w:id="329" w:name="_Toc17490"/>
      <w:bookmarkStart w:id="330" w:name="_Toc14161"/>
      <w:r>
        <w:rPr>
          <w:rFonts w:hint="eastAsia" w:ascii="宋体" w:hAnsi="宋体" w:eastAsia="宋体" w:cs="宋体"/>
          <w:color w:val="auto"/>
          <w:highlight w:val="none"/>
          <w:u w:val="none"/>
        </w:rPr>
        <w:t>12.</w:t>
      </w: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highlight w:val="none"/>
          <w:u w:val="none"/>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shd w:val="clear"/>
        <w:spacing w:line="360" w:lineRule="exact"/>
        <w:ind w:left="900" w:hanging="900" w:hangingChars="375"/>
        <w:rPr>
          <w:rFonts w:hint="eastAsia" w:ascii="宋体" w:hAnsi="宋体" w:eastAsia="宋体" w:cs="宋体"/>
          <w:color w:val="auto"/>
          <w:sz w:val="24"/>
          <w:highlight w:val="none"/>
        </w:rPr>
      </w:pPr>
      <w:bookmarkStart w:id="331" w:name="_Ref467306302"/>
      <w:r>
        <w:rPr>
          <w:rFonts w:hint="eastAsia" w:ascii="宋体" w:hAnsi="宋体" w:eastAsia="宋体" w:cs="宋体"/>
          <w:color w:val="auto"/>
          <w:sz w:val="24"/>
          <w:highlight w:val="none"/>
        </w:rPr>
        <w:t>12.1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应提交</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中规定的投标保证金</w:t>
      </w:r>
      <w:bookmarkEnd w:id="331"/>
      <w:r>
        <w:rPr>
          <w:rFonts w:hint="eastAsia" w:ascii="宋体" w:hAnsi="宋体" w:eastAsia="宋体" w:cs="宋体"/>
          <w:color w:val="auto"/>
          <w:sz w:val="24"/>
          <w:highlight w:val="none"/>
        </w:rPr>
        <w:t>，并作为其投标的一部分。</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存在下列情形的，投标保证金不予退还：</w:t>
      </w:r>
    </w:p>
    <w:p>
      <w:pPr>
        <w:pStyle w:val="15"/>
        <w:shd w:val="clear"/>
        <w:tabs>
          <w:tab w:val="left" w:pos="2240"/>
        </w:tabs>
        <w:spacing w:line="360" w:lineRule="exact"/>
        <w:ind w:left="300" w:hanging="300" w:hangingChars="125"/>
        <w:rPr>
          <w:rFonts w:hint="eastAsia" w:ascii="宋体" w:hAnsi="宋体" w:eastAsia="宋体" w:cs="宋体"/>
          <w:color w:val="auto"/>
          <w:sz w:val="24"/>
          <w:highlight w:val="none"/>
        </w:rPr>
      </w:pPr>
      <w:r>
        <w:rPr>
          <w:rFonts w:hint="eastAsia" w:ascii="宋体" w:hAnsi="宋体" w:eastAsia="宋体" w:cs="宋体"/>
          <w:color w:val="auto"/>
          <w:sz w:val="24"/>
          <w:highlight w:val="none"/>
        </w:rPr>
        <w:t>（1）在投标有效期内，撤销投标的；</w:t>
      </w:r>
    </w:p>
    <w:p>
      <w:pPr>
        <w:pStyle w:val="15"/>
        <w:shd w:val="clear"/>
        <w:tabs>
          <w:tab w:val="left" w:pos="2240"/>
        </w:tabs>
        <w:spacing w:line="360" w:lineRule="exact"/>
        <w:ind w:left="300" w:hanging="300" w:hangingChars="125"/>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（2）中标后不按本须知第30条的规定与采购人签订合同的；</w:t>
      </w:r>
    </w:p>
    <w:p>
      <w:pPr>
        <w:pStyle w:val="15"/>
        <w:shd w:val="clear"/>
        <w:tabs>
          <w:tab w:val="left" w:pos="2240"/>
        </w:tabs>
        <w:spacing w:line="360" w:lineRule="exact"/>
        <w:ind w:left="300" w:hanging="300" w:hangingChars="125"/>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（3）中标后不按本须知第31条的规定提交履约保证金的；</w:t>
      </w:r>
    </w:p>
    <w:p>
      <w:pPr>
        <w:pStyle w:val="15"/>
        <w:shd w:val="clear"/>
        <w:tabs>
          <w:tab w:val="left" w:pos="2240"/>
        </w:tabs>
        <w:spacing w:line="360" w:lineRule="exact"/>
        <w:ind w:left="300" w:hanging="300" w:hangingChars="125"/>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（4）中标后不按本须知第32条的规定缴纳中标服务费的；</w:t>
      </w:r>
    </w:p>
    <w:p>
      <w:pPr>
        <w:pStyle w:val="15"/>
        <w:shd w:val="clear"/>
        <w:tabs>
          <w:tab w:val="left" w:pos="2240"/>
        </w:tabs>
        <w:spacing w:line="360" w:lineRule="exact"/>
        <w:ind w:left="300" w:hanging="300" w:hangingChars="125"/>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（5）存在其他违法违规行为的。</w:t>
      </w:r>
    </w:p>
    <w:p>
      <w:pPr>
        <w:shd w:val="clear"/>
        <w:spacing w:line="360" w:lineRule="exact"/>
        <w:ind w:left="900" w:hanging="900" w:hangingChars="375"/>
        <w:rPr>
          <w:rFonts w:hint="eastAsia" w:ascii="宋体" w:hAnsi="宋体" w:eastAsia="宋体" w:cs="宋体"/>
          <w:color w:val="auto"/>
          <w:sz w:val="24"/>
          <w:highlight w:val="none"/>
        </w:rPr>
      </w:pPr>
      <w:bookmarkStart w:id="332" w:name="_Ref467306336"/>
      <w:r>
        <w:rPr>
          <w:rFonts w:hint="eastAsia" w:ascii="宋体" w:hAnsi="宋体" w:eastAsia="宋体" w:cs="宋体"/>
          <w:color w:val="auto"/>
          <w:sz w:val="24"/>
          <w:highlight w:val="none"/>
        </w:rPr>
        <w:t>12.3</w:t>
      </w:r>
      <w:r>
        <w:rPr>
          <w:rFonts w:hint="eastAsia" w:ascii="宋体" w:hAnsi="宋体" w:eastAsia="宋体" w:cs="宋体"/>
          <w:color w:val="auto"/>
          <w:sz w:val="24"/>
          <w:highlight w:val="none"/>
        </w:rPr>
        <w:tab/>
      </w:r>
      <w:bookmarkEnd w:id="332"/>
      <w:r>
        <w:rPr>
          <w:rFonts w:hint="eastAsia" w:ascii="宋体" w:hAnsi="宋体" w:eastAsia="宋体" w:cs="宋体"/>
          <w:color w:val="auto"/>
          <w:sz w:val="24"/>
          <w:highlight w:val="none"/>
        </w:rPr>
        <w:t>政府采购信用担保试点范围内的项目，接受符合财政部门规定的政府采购投标担保函原件。</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未按本须知第12.1和12.3条规定提交投标保证金的，其投标将被认定为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12.4.1  采用电汇形式的，一般可以实时入账。</w:t>
      </w:r>
    </w:p>
    <w:p>
      <w:pPr>
        <w:shd w:val="clear"/>
        <w:spacing w:line="360" w:lineRule="exact"/>
        <w:ind w:left="960" w:hanging="960" w:hangingChars="4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12.4.2  采用支票形式的，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则应充分考虑支票入账时间，以确保投标保证金能按时进入指定账户。根据银行信息交换和付款时间，支票从递交至实际入账一般需要4-5个工作日。如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未及时提交支票或支票不符合银行委托收款要求（如污损、折叠、胶装等），导致投标保证金不能按时进入指定账户的，将按照招标文件的第22.2条相关规定处理。</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12.5   联合体投标的，可以由联合体中的一方或者共同提交投标保证金。以一方名义提交投标保证金的，对联合体各方均具有约束力。</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12.6</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投标保证金的退还</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12.6.1  中标人应在与采购人签订合同之日起5个工作日内，及时联系保证金收受机构办理投标保证金无息退还手续。</w:t>
      </w:r>
    </w:p>
    <w:p>
      <w:pPr>
        <w:shd w:val="clear"/>
        <w:spacing w:line="360" w:lineRule="exact"/>
        <w:ind w:left="960" w:hanging="960" w:hanging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12.6.2  未中标</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的投标保证金将在中标通知书发出之日暨中标结果公告公布之日起5个工作日内无息退还。</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应及时联系保证金收受机构办理退还投标保证金手续。</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12.6.3  政府采购投标担保函不予退回。</w:t>
      </w:r>
    </w:p>
    <w:p>
      <w:pPr>
        <w:shd w:val="clear"/>
        <w:spacing w:line="360" w:lineRule="exact"/>
        <w:ind w:left="960" w:hanging="960" w:hanging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12.7    因</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自身原因导致无法及时退还的，采购人或采购代理机构将不承担相应责任。</w:t>
      </w:r>
    </w:p>
    <w:p>
      <w:pPr>
        <w:pStyle w:val="8"/>
        <w:shd w:val="clear"/>
        <w:spacing w:before="0" w:after="0" w:line="360" w:lineRule="exact"/>
        <w:rPr>
          <w:rFonts w:hint="eastAsia" w:ascii="宋体" w:hAnsi="宋体" w:eastAsia="宋体" w:cs="宋体"/>
          <w:color w:val="auto"/>
          <w:highlight w:val="none"/>
          <w:u w:val="none"/>
        </w:rPr>
      </w:pPr>
      <w:bookmarkStart w:id="333" w:name="_Toc520356157"/>
      <w:bookmarkStart w:id="334" w:name="_Toc28542"/>
      <w:bookmarkStart w:id="335" w:name="_Toc515647772"/>
      <w:bookmarkStart w:id="336" w:name="_Toc10784"/>
      <w:bookmarkStart w:id="337" w:name="_Toc1977"/>
      <w:bookmarkStart w:id="338" w:name="_Toc12947"/>
      <w:bookmarkStart w:id="339" w:name="_Toc17842"/>
      <w:bookmarkStart w:id="340" w:name="_Toc27999"/>
      <w:bookmarkStart w:id="341" w:name="_Toc16871"/>
      <w:bookmarkStart w:id="342" w:name="_Toc8293"/>
      <w:bookmarkStart w:id="343" w:name="_Toc11538"/>
      <w:bookmarkStart w:id="344" w:name="_Toc26050"/>
      <w:bookmarkStart w:id="345" w:name="_Toc7190"/>
      <w:bookmarkStart w:id="346" w:name="_Toc30519"/>
      <w:bookmarkStart w:id="347" w:name="_Toc19186"/>
      <w:bookmarkStart w:id="348" w:name="_Toc31306"/>
      <w:bookmarkStart w:id="349" w:name="_Toc32569"/>
      <w:bookmarkStart w:id="350" w:name="_Toc23590"/>
      <w:bookmarkStart w:id="351" w:name="_Toc19152"/>
      <w:bookmarkStart w:id="352" w:name="_Toc16676"/>
      <w:bookmarkStart w:id="353" w:name="_Toc10029"/>
      <w:r>
        <w:rPr>
          <w:rFonts w:hint="eastAsia" w:ascii="宋体" w:hAnsi="宋体" w:eastAsia="宋体" w:cs="宋体"/>
          <w:color w:val="auto"/>
          <w:highlight w:val="none"/>
          <w:u w:val="none"/>
        </w:rPr>
        <w:t>13.投标有效期</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投标应在</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中规定时间内保持有效。投标有效期不满足要求的投标，其投标将被认定为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为保证有充分时间签订合同，采购人或采购代理机构可根据实际情况，在原投标有效期截止之前，要求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延长投标文件的有效期。接受该要求的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将不会被要求和允许修正其投标，且本须知中有关投标保证金的要求须在延长的有效期内继续有效。</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可以拒绝延长投标有效期的要求，其投标保证金将及时无息退还。上述要求和答复都应以书面形式提交。</w:t>
      </w:r>
    </w:p>
    <w:p>
      <w:pPr>
        <w:pStyle w:val="8"/>
        <w:shd w:val="clear"/>
        <w:spacing w:before="0" w:after="0" w:line="360" w:lineRule="exact"/>
        <w:rPr>
          <w:rFonts w:hint="eastAsia" w:ascii="宋体" w:hAnsi="宋体" w:eastAsia="宋体" w:cs="宋体"/>
          <w:color w:val="auto"/>
          <w:highlight w:val="none"/>
          <w:u w:val="none"/>
        </w:rPr>
      </w:pPr>
      <w:bookmarkStart w:id="354" w:name="_Toc520356158"/>
      <w:bookmarkStart w:id="355" w:name="_Toc493"/>
      <w:bookmarkStart w:id="356" w:name="_Toc17074"/>
      <w:bookmarkStart w:id="357" w:name="_Toc30127"/>
      <w:bookmarkStart w:id="358" w:name="_Toc6286"/>
      <w:bookmarkStart w:id="359" w:name="_Toc10391"/>
      <w:bookmarkStart w:id="360" w:name="_Toc515647773"/>
      <w:bookmarkStart w:id="361" w:name="_Toc9672"/>
      <w:bookmarkStart w:id="362" w:name="_Toc3558"/>
      <w:bookmarkStart w:id="363" w:name="_Toc24787"/>
      <w:bookmarkStart w:id="364" w:name="_Toc16503"/>
      <w:bookmarkStart w:id="365" w:name="_Toc29619"/>
      <w:bookmarkStart w:id="366" w:name="_Toc4425"/>
      <w:bookmarkStart w:id="367" w:name="_Toc13187"/>
      <w:bookmarkStart w:id="368" w:name="_Toc26316"/>
      <w:bookmarkStart w:id="369" w:name="_Toc8168"/>
      <w:bookmarkStart w:id="370" w:name="_Toc2549"/>
      <w:bookmarkStart w:id="371" w:name="_Toc27587"/>
      <w:bookmarkStart w:id="372" w:name="_Toc31985"/>
      <w:bookmarkStart w:id="373" w:name="_Toc32230"/>
      <w:bookmarkStart w:id="374" w:name="_Toc11669"/>
      <w:r>
        <w:rPr>
          <w:rFonts w:hint="eastAsia" w:ascii="宋体" w:hAnsi="宋体" w:eastAsia="宋体" w:cs="宋体"/>
          <w:color w:val="auto"/>
          <w:highlight w:val="none"/>
          <w:u w:val="none"/>
        </w:rPr>
        <w:t>14.投标文件的签署</w:t>
      </w:r>
      <w:bookmarkEnd w:id="354"/>
      <w:r>
        <w:rPr>
          <w:rFonts w:hint="eastAsia" w:ascii="宋体" w:hAnsi="宋体" w:eastAsia="宋体" w:cs="宋体"/>
          <w:color w:val="auto"/>
          <w:highlight w:val="none"/>
          <w:u w:val="none"/>
        </w:rPr>
        <w:t>及规定</w:t>
      </w:r>
      <w:bookmarkEnd w:id="355"/>
      <w:bookmarkEnd w:id="356"/>
      <w:bookmarkEnd w:id="357"/>
      <w:bookmarkEnd w:id="358"/>
      <w:bookmarkEnd w:id="359"/>
      <w:bookmarkEnd w:id="360"/>
      <w:bookmarkEnd w:id="361"/>
      <w:bookmarkEnd w:id="362"/>
      <w:bookmarkEnd w:id="363"/>
      <w:bookmarkEnd w:id="364"/>
      <w:bookmarkEnd w:id="365"/>
      <w:bookmarkEnd w:id="366"/>
      <w:r>
        <w:rPr>
          <w:rFonts w:hint="eastAsia" w:ascii="宋体" w:hAnsi="宋体" w:eastAsia="宋体" w:cs="宋体"/>
          <w:b/>
          <w:i w:val="0"/>
          <w:caps w:val="0"/>
          <w:color w:val="auto"/>
          <w:spacing w:val="0"/>
          <w:w w:val="100"/>
          <w:sz w:val="24"/>
          <w:highlight w:val="none"/>
          <w:u w:val="single" w:color="000000"/>
          <w:lang w:eastAsia="zh-CN"/>
        </w:rPr>
        <w:t>（</w:t>
      </w:r>
      <w:r>
        <w:rPr>
          <w:rFonts w:hint="eastAsia" w:ascii="宋体" w:hAnsi="宋体" w:eastAsia="宋体" w:cs="宋体"/>
          <w:b/>
          <w:i w:val="0"/>
          <w:caps w:val="0"/>
          <w:color w:val="auto"/>
          <w:spacing w:val="0"/>
          <w:w w:val="100"/>
          <w:sz w:val="24"/>
          <w:highlight w:val="none"/>
          <w:u w:val="single" w:color="000000"/>
          <w:lang w:val="en-US" w:eastAsia="zh-CN"/>
        </w:rPr>
        <w:t>后期邮寄的投标文件</w:t>
      </w:r>
      <w:r>
        <w:rPr>
          <w:rFonts w:hint="eastAsia" w:ascii="宋体" w:hAnsi="宋体" w:eastAsia="宋体" w:cs="宋体"/>
          <w:b/>
          <w:i w:val="0"/>
          <w:caps w:val="0"/>
          <w:color w:val="auto"/>
          <w:spacing w:val="0"/>
          <w:w w:val="100"/>
          <w:sz w:val="24"/>
          <w:highlight w:val="none"/>
          <w:u w:val="single" w:color="000000"/>
          <w:lang w:eastAsia="zh-CN"/>
        </w:rPr>
        <w:t>）</w:t>
      </w:r>
      <w:bookmarkEnd w:id="367"/>
      <w:bookmarkEnd w:id="368"/>
      <w:bookmarkEnd w:id="369"/>
      <w:bookmarkEnd w:id="370"/>
      <w:bookmarkEnd w:id="371"/>
      <w:bookmarkEnd w:id="372"/>
      <w:bookmarkEnd w:id="373"/>
      <w:bookmarkEnd w:id="374"/>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供应商应按供应商须知资料表中的规定，准备和递交</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、开标一览表”。</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的正本需打印或用不褪色墨水书写，并由供应商的法定代表人或经其正式委托代理人按</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上签字或盖章并加盖单位印章。委托代理人须持有书面的“法定代表人授权委托书”，并将其附在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中。如对</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进行了修改，则应由供应商的法定代表人或其委托代理人在每一修改处签字。</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的副本可采用正本的复印件。</w:t>
      </w:r>
    </w:p>
    <w:p>
      <w:pPr>
        <w:keepNext w:val="0"/>
        <w:keepLines w:val="0"/>
        <w:pageBreakBefore w:val="0"/>
        <w:widowControl w:val="0"/>
        <w:shd w:val="clear"/>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14.3   </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因字迹潦草、表达不清或装订不当所引起的后果由供应商负责。</w:t>
      </w:r>
      <w:bookmarkStart w:id="375" w:name="_Toc216582808"/>
      <w:bookmarkStart w:id="376" w:name="_Toc520356159"/>
      <w:bookmarkStart w:id="377" w:name="_Toc515647774"/>
      <w:bookmarkStart w:id="378" w:name="_Toc11179"/>
      <w:bookmarkStart w:id="379" w:name="_Toc16865"/>
    </w:p>
    <w:p>
      <w:pPr>
        <w:pStyle w:val="21"/>
        <w:rPr>
          <w:rFonts w:hint="eastAsia" w:ascii="宋体" w:hAnsi="宋体" w:eastAsia="宋体" w:cs="宋体"/>
          <w:color w:val="auto"/>
          <w:sz w:val="24"/>
          <w:highlight w:val="none"/>
        </w:rPr>
      </w:pPr>
    </w:p>
    <w:p>
      <w:pPr>
        <w:pStyle w:val="7"/>
        <w:shd w:val="clear"/>
        <w:spacing w:before="0" w:line="360" w:lineRule="exact"/>
        <w:ind w:hanging="540"/>
        <w:outlineLvl w:val="1"/>
        <w:rPr>
          <w:rFonts w:hint="eastAsia" w:ascii="宋体" w:hAnsi="宋体" w:eastAsia="宋体" w:cs="宋体"/>
          <w:color w:val="auto"/>
          <w:sz w:val="24"/>
          <w:highlight w:val="none"/>
        </w:rPr>
      </w:pPr>
      <w:bookmarkStart w:id="380" w:name="_Toc25125"/>
      <w:bookmarkStart w:id="381" w:name="_Toc11446"/>
      <w:bookmarkStart w:id="382" w:name="_Toc8815"/>
      <w:r>
        <w:rPr>
          <w:rFonts w:hint="eastAsia" w:ascii="宋体" w:hAnsi="宋体" w:eastAsia="宋体" w:cs="宋体"/>
          <w:color w:val="auto"/>
          <w:sz w:val="24"/>
          <w:highlight w:val="none"/>
        </w:rPr>
        <w:t>四   投标文件的递交</w:t>
      </w:r>
      <w:bookmarkEnd w:id="375"/>
      <w:bookmarkEnd w:id="376"/>
      <w:bookmarkEnd w:id="377"/>
      <w:bookmarkEnd w:id="378"/>
      <w:bookmarkEnd w:id="379"/>
      <w:bookmarkEnd w:id="380"/>
      <w:bookmarkEnd w:id="381"/>
      <w:bookmarkEnd w:id="382"/>
    </w:p>
    <w:p>
      <w:pPr>
        <w:pStyle w:val="8"/>
        <w:shd w:val="clear"/>
        <w:spacing w:before="0" w:after="0" w:line="360" w:lineRule="exact"/>
        <w:rPr>
          <w:rFonts w:hint="eastAsia" w:ascii="宋体" w:hAnsi="宋体" w:eastAsia="宋体" w:cs="宋体"/>
          <w:color w:val="auto"/>
          <w:highlight w:val="none"/>
          <w:u w:val="none"/>
        </w:rPr>
      </w:pPr>
      <w:bookmarkStart w:id="383" w:name="_Toc29113"/>
      <w:bookmarkStart w:id="384" w:name="_Toc20595"/>
      <w:r>
        <w:rPr>
          <w:rFonts w:hint="eastAsia" w:ascii="宋体" w:hAnsi="宋体" w:eastAsia="宋体" w:cs="宋体"/>
          <w:color w:val="auto"/>
          <w:highlight w:val="none"/>
          <w:u w:val="none"/>
          <w:lang w:val="en-US" w:eastAsia="zh-CN"/>
        </w:rPr>
        <w:t>15.</w:t>
      </w:r>
      <w:r>
        <w:rPr>
          <w:rFonts w:hint="eastAsia" w:ascii="宋体" w:hAnsi="宋体" w:eastAsia="宋体" w:cs="宋体"/>
          <w:color w:val="auto"/>
          <w:highlight w:val="none"/>
          <w:u w:val="none"/>
          <w:lang w:eastAsia="zh-CN"/>
        </w:rPr>
        <w:t>投标文件</w:t>
      </w:r>
      <w:r>
        <w:rPr>
          <w:rFonts w:hint="eastAsia" w:ascii="宋体" w:hAnsi="宋体" w:eastAsia="宋体" w:cs="宋体"/>
          <w:color w:val="auto"/>
          <w:highlight w:val="none"/>
          <w:u w:val="none"/>
        </w:rPr>
        <w:t>的密封和标记</w:t>
      </w:r>
      <w:r>
        <w:rPr>
          <w:rFonts w:hint="eastAsia" w:ascii="宋体" w:hAnsi="宋体" w:eastAsia="宋体" w:cs="宋体"/>
          <w:b/>
          <w:bCs/>
          <w:color w:val="auto"/>
          <w:highlight w:val="none"/>
          <w:u w:val="none"/>
          <w:lang w:eastAsia="zh-CN"/>
        </w:rPr>
        <w:t>（</w:t>
      </w:r>
      <w:r>
        <w:rPr>
          <w:rFonts w:hint="eastAsia" w:ascii="宋体" w:hAnsi="宋体" w:eastAsia="宋体" w:cs="宋体"/>
          <w:b/>
          <w:bCs/>
          <w:color w:val="auto"/>
          <w:highlight w:val="none"/>
          <w:u w:val="none"/>
          <w:lang w:val="en-US" w:eastAsia="zh-CN"/>
        </w:rPr>
        <w:t>后期邮寄的投标文件</w:t>
      </w:r>
      <w:r>
        <w:rPr>
          <w:rFonts w:hint="eastAsia" w:ascii="宋体" w:hAnsi="宋体" w:eastAsia="宋体" w:cs="宋体"/>
          <w:b/>
          <w:bCs/>
          <w:color w:val="auto"/>
          <w:highlight w:val="none"/>
          <w:u w:val="none"/>
          <w:lang w:eastAsia="zh-CN"/>
        </w:rPr>
        <w:t>）</w:t>
      </w:r>
      <w:bookmarkEnd w:id="383"/>
      <w:bookmarkEnd w:id="384"/>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15.1  为方便开启，供应商应将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第一部分和第二部分的内容合并装订成一册，密封提交，并在封皮正面标明“</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”字样。</w:t>
      </w:r>
    </w:p>
    <w:p>
      <w:pPr>
        <w:shd w:val="clear"/>
        <w:spacing w:line="36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15.2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递交的投标文件数量：壹正贰副。</w:t>
      </w:r>
    </w:p>
    <w:p>
      <w:pPr>
        <w:shd w:val="clear"/>
        <w:spacing w:line="36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15.3 </w:t>
      </w:r>
      <w:r>
        <w:rPr>
          <w:rFonts w:hint="eastAsia" w:ascii="宋体" w:hAnsi="宋体" w:eastAsia="宋体" w:cs="宋体"/>
          <w:color w:val="auto"/>
          <w:sz w:val="24"/>
          <w:highlight w:val="none"/>
        </w:rPr>
        <w:t>如果供应商未按上述要求标记的，将承担相应的后果。</w:t>
      </w:r>
    </w:p>
    <w:p>
      <w:pPr>
        <w:shd w:val="clear"/>
        <w:spacing w:line="360" w:lineRule="exact"/>
        <w:rPr>
          <w:rFonts w:hint="eastAsia" w:ascii="宋体" w:hAnsi="宋体" w:eastAsia="宋体" w:cs="宋体"/>
          <w:color w:val="auto"/>
          <w:sz w:val="24"/>
          <w:highlight w:val="none"/>
          <w:lang w:val="en-US" w:eastAsia="zh-CN"/>
        </w:rPr>
      </w:pPr>
      <w:bookmarkStart w:id="385" w:name="_Toc12575"/>
      <w:r>
        <w:rPr>
          <w:rFonts w:hint="eastAsia" w:ascii="宋体" w:hAnsi="宋体" w:eastAsia="宋体" w:cs="宋体"/>
          <w:color w:val="auto"/>
          <w:sz w:val="24"/>
          <w:highlight w:val="none"/>
          <w:lang w:val="en-US" w:eastAsia="zh-CN"/>
        </w:rPr>
        <w:t>16.投标截止</w:t>
      </w:r>
      <w:bookmarkEnd w:id="385"/>
    </w:p>
    <w:p>
      <w:pPr>
        <w:shd w:val="clear"/>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供应商应在供应商须知资料表中规定的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截止时间前，将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上传到</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公告中规定的地点。</w:t>
      </w:r>
    </w:p>
    <w:p>
      <w:pPr>
        <w:shd w:val="clear"/>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采购人和采购代理机构有权按本须知的规定，延迟</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截止时间。在此情况下，采购人、采购代理机构和供应商受</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截止时间制约的所有权利和义务均应延长至新的截止时间。</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采购人和采购代理机构将拒绝接收在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截止时间后上传的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pPr>
        <w:pStyle w:val="8"/>
        <w:shd w:val="clear"/>
        <w:spacing w:before="0" w:after="0" w:line="360" w:lineRule="exact"/>
        <w:rPr>
          <w:rFonts w:hint="eastAsia" w:ascii="宋体" w:hAnsi="宋体" w:eastAsia="宋体" w:cs="宋体"/>
          <w:color w:val="auto"/>
          <w:highlight w:val="none"/>
          <w:u w:val="none"/>
          <w:lang w:val="en-US" w:eastAsia="zh-CN"/>
        </w:rPr>
      </w:pPr>
      <w:bookmarkStart w:id="386" w:name="_Toc205"/>
      <w:bookmarkStart w:id="387" w:name="_Toc27508"/>
      <w:r>
        <w:rPr>
          <w:rFonts w:hint="eastAsia" w:ascii="宋体" w:hAnsi="宋体" w:eastAsia="宋体" w:cs="宋体"/>
          <w:color w:val="auto"/>
          <w:highlight w:val="none"/>
          <w:u w:val="none"/>
          <w:lang w:val="en-US" w:eastAsia="zh-CN"/>
        </w:rPr>
        <w:t>17.投标文件的接收、修改与撤回</w:t>
      </w:r>
      <w:bookmarkEnd w:id="386"/>
      <w:bookmarkEnd w:id="387"/>
    </w:p>
    <w:p>
      <w:pPr>
        <w:shd w:val="clear"/>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截止时间后上传的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的，采购人和采购代理机构将拒绝接收。</w:t>
      </w:r>
    </w:p>
    <w:p>
      <w:pPr>
        <w:shd w:val="clear"/>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17.2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上传</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以后，如果供应商要进行修改或撤回</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，供应商对</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的修改或撤回通知应按本须知规定编制、标记。采购人和采购代理机构将予以接收，并视为</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的组成部分。</w:t>
      </w:r>
    </w:p>
    <w:p>
      <w:pPr>
        <w:shd w:val="clear"/>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截止期之后，采购人和采购代理机构不接受供应商主动对其</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做任何修改。</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采购人和采购代理机构对所接收</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概不退回。</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highlight w:val="none"/>
          <w:lang w:eastAsia="zh-CN"/>
        </w:rPr>
      </w:pPr>
    </w:p>
    <w:p>
      <w:pPr>
        <w:pStyle w:val="7"/>
        <w:pageBreakBefore w:val="0"/>
        <w:widowControl w:val="0"/>
        <w:kinsoku/>
        <w:wordWrap/>
        <w:overflowPunct/>
        <w:topLinePunct w:val="0"/>
        <w:bidi w:val="0"/>
        <w:spacing w:before="0" w:line="360" w:lineRule="exact"/>
        <w:ind w:left="0" w:leftChars="0" w:hanging="540"/>
        <w:textAlignment w:val="auto"/>
        <w:rPr>
          <w:rFonts w:hint="eastAsia" w:ascii="宋体" w:hAnsi="宋体" w:eastAsia="宋体" w:cs="宋体"/>
          <w:color w:val="auto"/>
          <w:sz w:val="24"/>
          <w:highlight w:val="none"/>
        </w:rPr>
      </w:pPr>
      <w:bookmarkStart w:id="388" w:name="_Toc28398"/>
      <w:bookmarkStart w:id="389" w:name="_Toc7470"/>
      <w:bookmarkStart w:id="390" w:name="_Toc12022"/>
      <w:bookmarkStart w:id="391" w:name="_Toc515647778"/>
      <w:bookmarkStart w:id="392" w:name="_Toc12436"/>
      <w:bookmarkStart w:id="393" w:name="_Toc520356163"/>
      <w:bookmarkStart w:id="394" w:name="_Toc216582809"/>
      <w:bookmarkStart w:id="395" w:name="_Toc10599"/>
      <w:r>
        <w:rPr>
          <w:rFonts w:hint="eastAsia" w:ascii="宋体" w:hAnsi="宋体" w:eastAsia="宋体" w:cs="宋体"/>
          <w:color w:val="auto"/>
          <w:sz w:val="24"/>
          <w:highlight w:val="none"/>
        </w:rPr>
        <w:t>五   开标及评标</w:t>
      </w:r>
      <w:bookmarkEnd w:id="388"/>
      <w:bookmarkEnd w:id="389"/>
      <w:bookmarkEnd w:id="390"/>
      <w:bookmarkEnd w:id="391"/>
      <w:bookmarkEnd w:id="392"/>
      <w:bookmarkEnd w:id="393"/>
      <w:bookmarkEnd w:id="394"/>
      <w:bookmarkEnd w:id="395"/>
    </w:p>
    <w:p>
      <w:pPr>
        <w:rPr>
          <w:rFonts w:hint="eastAsia" w:ascii="宋体" w:hAnsi="宋体" w:eastAsia="宋体" w:cs="宋体"/>
          <w:color w:val="auto"/>
          <w:highlight w:val="none"/>
        </w:rPr>
      </w:pP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lang w:val="en-US" w:eastAsia="zh-CN"/>
        </w:rPr>
      </w:pPr>
      <w:bookmarkStart w:id="396" w:name="_Toc11017"/>
      <w:bookmarkStart w:id="397" w:name="_Toc7563"/>
      <w:bookmarkStart w:id="398" w:name="_Toc24986"/>
      <w:bookmarkStart w:id="399" w:name="_Toc1298"/>
      <w:bookmarkStart w:id="400" w:name="_Toc520356165"/>
      <w:bookmarkStart w:id="401" w:name="_Toc5052"/>
      <w:bookmarkStart w:id="402" w:name="_Toc28586"/>
      <w:bookmarkStart w:id="403" w:name="_Toc21667"/>
      <w:bookmarkStart w:id="404" w:name="_Toc21372"/>
      <w:bookmarkStart w:id="405" w:name="_Toc18233"/>
      <w:bookmarkStart w:id="406" w:name="_Toc18228"/>
      <w:bookmarkStart w:id="407" w:name="_Toc515647780"/>
      <w:bookmarkStart w:id="408" w:name="_Toc19296"/>
      <w:bookmarkStart w:id="409" w:name="_Toc16864"/>
      <w:bookmarkStart w:id="410" w:name="_Toc10550"/>
      <w:r>
        <w:rPr>
          <w:rFonts w:hint="eastAsia" w:ascii="宋体" w:hAnsi="宋体" w:eastAsia="宋体" w:cs="宋体"/>
          <w:color w:val="auto"/>
          <w:highlight w:val="none"/>
          <w:u w:val="none"/>
          <w:lang w:val="en-US" w:eastAsia="zh-CN"/>
        </w:rPr>
        <w:t>18.开标</w:t>
      </w:r>
      <w:bookmarkEnd w:id="396"/>
      <w:bookmarkEnd w:id="397"/>
      <w:bookmarkEnd w:id="398"/>
      <w:bookmarkEnd w:id="399"/>
    </w:p>
    <w:p>
      <w:pPr>
        <w:shd w:val="clear"/>
        <w:spacing w:line="360" w:lineRule="exact"/>
        <w:ind w:left="720" w:hanging="720" w:hangingChars="3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18.1采购人和采购代理机构将按投标供应商须知资料表中规定的开标时间和地点组织公开开标并邀请所有投标供应商代表参加。</w:t>
      </w:r>
    </w:p>
    <w:p>
      <w:pPr>
        <w:shd w:val="clear"/>
        <w:spacing w:line="360" w:lineRule="exact"/>
        <w:ind w:left="718" w:leftChars="342"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投标供应商不足3家的，不得开标。</w:t>
      </w:r>
    </w:p>
    <w:p>
      <w:pPr>
        <w:shd w:val="clear"/>
        <w:spacing w:line="360" w:lineRule="exact"/>
        <w:ind w:left="720" w:hanging="720" w:hangingChars="3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18.2   供应商按照须知资料表中规定的开标时间和地点，在规定时间内上传投标文件。</w:t>
      </w:r>
    </w:p>
    <w:p>
      <w:pPr>
        <w:shd w:val="clear"/>
        <w:spacing w:line="360" w:lineRule="exact"/>
        <w:ind w:left="720" w:hanging="720" w:hangingChars="3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18.3   采购代理机构在规定时间内对投标文件进行</w:t>
      </w:r>
      <w:r>
        <w:rPr>
          <w:rFonts w:hint="eastAsia" w:ascii="宋体" w:hAnsi="宋体" w:eastAsia="宋体" w:cs="宋体"/>
          <w:b/>
          <w:bCs/>
          <w:color w:val="auto"/>
          <w:sz w:val="24"/>
          <w:highlight w:val="none"/>
          <w:lang w:val="en-US" w:eastAsia="zh-CN"/>
        </w:rPr>
        <w:t>解密，时长为30分钟。</w:t>
      </w:r>
    </w:p>
    <w:p>
      <w:pPr>
        <w:shd w:val="clear"/>
        <w:spacing w:line="360" w:lineRule="exact"/>
        <w:ind w:left="720" w:hanging="720" w:hangingChars="3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18.4   由采购代理机构开启开标记录，须供应商在政采云平台对报价进行签字确认。</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411" w:name="_Toc9011"/>
      <w:bookmarkStart w:id="412" w:name="_Toc10124"/>
      <w:bookmarkStart w:id="413" w:name="_Toc23326"/>
      <w:bookmarkStart w:id="414" w:name="_Toc828"/>
      <w:bookmarkStart w:id="415" w:name="_Toc26266"/>
      <w:bookmarkStart w:id="416" w:name="_Toc31235"/>
      <w:bookmarkStart w:id="417" w:name="_Toc11974"/>
      <w:bookmarkStart w:id="418" w:name="_Toc17451"/>
      <w:bookmarkStart w:id="419" w:name="_Toc452"/>
      <w:bookmarkStart w:id="420" w:name="_Toc10746"/>
      <w:bookmarkStart w:id="421" w:name="_Toc26877"/>
      <w:bookmarkStart w:id="422" w:name="_Toc18646"/>
      <w:bookmarkStart w:id="423" w:name="_Toc24000"/>
      <w:bookmarkStart w:id="424" w:name="_Toc15326"/>
      <w:bookmarkStart w:id="425" w:name="_Toc11218"/>
      <w:r>
        <w:rPr>
          <w:rFonts w:hint="eastAsia" w:ascii="宋体" w:hAnsi="宋体" w:eastAsia="宋体" w:cs="宋体"/>
          <w:color w:val="auto"/>
          <w:highlight w:val="none"/>
          <w:u w:val="none"/>
        </w:rPr>
        <w:t>19.</w:t>
      </w:r>
      <w:bookmarkEnd w:id="400"/>
      <w:r>
        <w:rPr>
          <w:rFonts w:hint="eastAsia" w:ascii="宋体" w:hAnsi="宋体" w:eastAsia="宋体" w:cs="宋体"/>
          <w:color w:val="auto"/>
          <w:highlight w:val="none"/>
          <w:u w:val="none"/>
        </w:rPr>
        <w:t>资格审查及组建评标委员会</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pageBreakBefore w:val="0"/>
        <w:widowControl w:val="0"/>
        <w:kinsoku/>
        <w:wordWrap/>
        <w:overflowPunct/>
        <w:topLinePunct w:val="0"/>
        <w:bidi w:val="0"/>
        <w:spacing w:line="360" w:lineRule="exact"/>
        <w:ind w:left="960" w:leftChars="0" w:hanging="960" w:hangingChars="4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19.1    采购人或采购代理机构依据法律法规和招标文件中规定的内容，对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及其服务的资格进行审查，</w:t>
      </w:r>
      <w:r>
        <w:rPr>
          <w:rFonts w:hint="eastAsia" w:ascii="宋体" w:hAnsi="宋体" w:eastAsia="宋体" w:cs="宋体"/>
          <w:b/>
          <w:bCs/>
          <w:color w:val="auto"/>
          <w:sz w:val="24"/>
          <w:highlight w:val="none"/>
        </w:rPr>
        <w:t>本项目审查内容如下：</w:t>
      </w:r>
    </w:p>
    <w:p>
      <w:pPr>
        <w:pageBreakBefore w:val="0"/>
        <w:widowControl w:val="0"/>
        <w:kinsoku/>
        <w:wordWrap/>
        <w:overflowPunct/>
        <w:topLinePunct w:val="0"/>
        <w:bidi w:val="0"/>
        <w:spacing w:line="360" w:lineRule="exact"/>
        <w:ind w:left="0" w:leftChars="0" w:firstLine="964" w:firstLineChars="4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本项目资格审查资料须附在投标文件中：</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both"/>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(1)</w:t>
      </w:r>
      <w:r>
        <w:rPr>
          <w:rFonts w:hint="eastAsia" w:ascii="宋体" w:hAnsi="宋体" w:cs="宋体"/>
          <w:b/>
          <w:bCs/>
          <w:i w:val="0"/>
          <w:caps w:val="0"/>
          <w:color w:val="auto"/>
          <w:spacing w:val="0"/>
          <w:w w:val="100"/>
          <w:sz w:val="24"/>
          <w:highlight w:val="none"/>
          <w:lang w:val="en-US" w:eastAsia="zh-CN"/>
        </w:rPr>
        <w:t>具有有效的独立法人营业执照</w:t>
      </w:r>
      <w:r>
        <w:rPr>
          <w:rFonts w:hint="eastAsia" w:ascii="宋体" w:hAnsi="宋体" w:eastAsia="宋体" w:cs="宋体"/>
          <w:b/>
          <w:bCs/>
          <w:i w:val="0"/>
          <w:caps w:val="0"/>
          <w:color w:val="auto"/>
          <w:spacing w:val="0"/>
          <w:w w:val="100"/>
          <w:sz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both"/>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(2)法定代表人授权书、被授权人身份证；(法定代表人投标须提供身份证)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both"/>
        <w:textAlignment w:val="baseline"/>
        <w:rPr>
          <w:rFonts w:hint="default"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(3)</w:t>
      </w:r>
      <w:r>
        <w:rPr>
          <w:rFonts w:hint="eastAsia" w:ascii="宋体" w:hAnsi="宋体" w:cs="宋体"/>
          <w:b/>
          <w:bCs/>
          <w:i w:val="0"/>
          <w:caps w:val="0"/>
          <w:color w:val="auto"/>
          <w:spacing w:val="0"/>
          <w:w w:val="100"/>
          <w:sz w:val="24"/>
          <w:highlight w:val="none"/>
          <w:lang w:val="en-US" w:eastAsia="zh-CN"/>
        </w:rPr>
        <w:t>第二包提供《医疗器械生产企业许可证》或《医疗器械经营企业许可证》（所投产品为二类医疗器械的需提供二类医疗器械备案凭证）；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4</w:t>
      </w: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依法缴纳近6个月任意1个月的社会保险凭据</w:t>
      </w:r>
      <w:r>
        <w:rPr>
          <w:rFonts w:hint="eastAsia" w:ascii="宋体" w:hAnsi="宋体" w:eastAsia="宋体" w:cs="宋体"/>
          <w:b/>
          <w:bCs/>
          <w:i w:val="0"/>
          <w:caps w:val="0"/>
          <w:color w:val="auto"/>
          <w:spacing w:val="0"/>
          <w:w w:val="100"/>
          <w:sz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5</w:t>
      </w: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税务部门出具近6个月任意1个月的完税证明</w:t>
      </w:r>
      <w:r>
        <w:rPr>
          <w:rFonts w:hint="eastAsia" w:ascii="宋体" w:hAnsi="宋体" w:eastAsia="宋体" w:cs="宋体"/>
          <w:b/>
          <w:bCs/>
          <w:i w:val="0"/>
          <w:caps w:val="0"/>
          <w:color w:val="auto"/>
          <w:spacing w:val="0"/>
          <w:w w:val="100"/>
          <w:sz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6</w:t>
      </w:r>
      <w:r>
        <w:rPr>
          <w:rFonts w:hint="eastAsia" w:ascii="宋体" w:hAnsi="宋体" w:eastAsia="宋体" w:cs="宋体"/>
          <w:b/>
          <w:bCs/>
          <w:i w:val="0"/>
          <w:caps w:val="0"/>
          <w:color w:val="auto"/>
          <w:spacing w:val="0"/>
          <w:w w:val="100"/>
          <w:sz w:val="24"/>
          <w:highlight w:val="none"/>
          <w:lang w:val="en-US" w:eastAsia="zh-CN"/>
        </w:rPr>
        <w:t>)近两年任意一年的财务审计报告；</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7</w:t>
      </w:r>
      <w:r>
        <w:rPr>
          <w:rFonts w:hint="eastAsia" w:ascii="宋体" w:hAnsi="宋体" w:eastAsia="宋体" w:cs="宋体"/>
          <w:b/>
          <w:bCs/>
          <w:i w:val="0"/>
          <w:caps w:val="0"/>
          <w:color w:val="auto"/>
          <w:spacing w:val="0"/>
          <w:w w:val="100"/>
          <w:sz w:val="24"/>
          <w:highlight w:val="none"/>
          <w:lang w:val="en-US" w:eastAsia="zh-CN"/>
        </w:rPr>
        <w:t>)提供针对本次项目《反商业贿赂承诺书》；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8</w:t>
      </w:r>
      <w:r>
        <w:rPr>
          <w:rFonts w:hint="eastAsia" w:ascii="宋体" w:hAnsi="宋体" w:eastAsia="宋体" w:cs="宋体"/>
          <w:b/>
          <w:bCs/>
          <w:i w:val="0"/>
          <w:caps w:val="0"/>
          <w:color w:val="auto"/>
          <w:spacing w:val="0"/>
          <w:w w:val="100"/>
          <w:sz w:val="24"/>
          <w:highlight w:val="none"/>
          <w:lang w:val="en-US" w:eastAsia="zh-CN"/>
        </w:rPr>
        <w:t>)参与政府采购活动前3年内未被列入失信、重大税收违法案件、财政部门禁止参加政府采购活动的承诺书；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9</w:t>
      </w:r>
      <w:r>
        <w:rPr>
          <w:rFonts w:hint="eastAsia" w:ascii="宋体" w:hAnsi="宋体" w:eastAsia="宋体" w:cs="宋体"/>
          <w:b/>
          <w:bCs/>
          <w:i w:val="0"/>
          <w:caps w:val="0"/>
          <w:color w:val="auto"/>
          <w:spacing w:val="0"/>
          <w:w w:val="100"/>
          <w:sz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kern w:val="2"/>
          <w:sz w:val="24"/>
          <w:szCs w:val="24"/>
          <w:highlight w:val="none"/>
          <w:u w:val="none"/>
          <w:lang w:val="en-US" w:eastAsia="zh-CN" w:bidi="ar-SA"/>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10</w:t>
      </w:r>
      <w:r>
        <w:rPr>
          <w:rFonts w:hint="eastAsia" w:ascii="宋体" w:hAnsi="宋体" w:eastAsia="宋体" w:cs="宋体"/>
          <w:b/>
          <w:bCs/>
          <w:i w:val="0"/>
          <w:caps w:val="0"/>
          <w:color w:val="auto"/>
          <w:spacing w:val="0"/>
          <w:w w:val="100"/>
          <w:sz w:val="24"/>
          <w:highlight w:val="none"/>
          <w:lang w:val="en-US" w:eastAsia="zh-CN"/>
        </w:rPr>
        <w:t>)缴纳投标保证金有效凭证</w:t>
      </w:r>
      <w:r>
        <w:rPr>
          <w:rFonts w:hint="eastAsia" w:ascii="宋体" w:hAnsi="宋体" w:cs="宋体"/>
          <w:b/>
          <w:bCs/>
          <w:i w:val="0"/>
          <w:caps w:val="0"/>
          <w:color w:val="auto"/>
          <w:spacing w:val="0"/>
          <w:w w:val="100"/>
          <w:sz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firstLine="482" w:firstLineChars="2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注：1、“</w:t>
      </w:r>
      <w:r>
        <w:rPr>
          <w:rFonts w:hint="eastAsia" w:ascii="宋体" w:hAnsi="宋体" w:cs="宋体"/>
          <w:b/>
          <w:bCs/>
          <w:i w:val="0"/>
          <w:caps w:val="0"/>
          <w:color w:val="auto"/>
          <w:spacing w:val="0"/>
          <w:w w:val="100"/>
          <w:sz w:val="24"/>
          <w:highlight w:val="none"/>
          <w:lang w:eastAsia="zh-CN"/>
        </w:rPr>
        <w:t>税务部门出具近6个月任意1个月的完税证明</w:t>
      </w:r>
      <w:r>
        <w:rPr>
          <w:rFonts w:hint="eastAsia" w:ascii="宋体" w:hAnsi="宋体" w:eastAsia="宋体" w:cs="宋体"/>
          <w:b/>
          <w:bCs/>
          <w:i w:val="0"/>
          <w:caps w:val="0"/>
          <w:color w:val="auto"/>
          <w:spacing w:val="0"/>
          <w:w w:val="100"/>
          <w:sz w:val="24"/>
          <w:highlight w:val="none"/>
        </w:rPr>
        <w:t>”：①若供应商某月税收为零申报，须提供“国家税务总局电子税务局（12366.chinatax.gov.cn/bsfw/onlinetaxation/main）”的申报结果查询截图。②完税证明中“税种”非养老保险、医疗保险、失业保险、工伤保险和生育保险。请各供应商注意！</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2" w:firstLineChars="2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lang w:val="en-US" w:eastAsia="zh-CN"/>
        </w:rPr>
        <w:t>2、</w:t>
      </w:r>
      <w:r>
        <w:rPr>
          <w:rFonts w:hint="eastAsia" w:ascii="宋体" w:hAnsi="宋体" w:eastAsia="宋体" w:cs="宋体"/>
          <w:b/>
          <w:bCs/>
          <w:i w:val="0"/>
          <w:caps w:val="0"/>
          <w:color w:val="auto"/>
          <w:spacing w:val="0"/>
          <w:w w:val="100"/>
          <w:sz w:val="24"/>
          <w:highlight w:val="none"/>
        </w:rPr>
        <w:t>上述资质开标现场能够通过官方网络查证的，均视为合格供应商。</w:t>
      </w:r>
    </w:p>
    <w:p>
      <w:pPr>
        <w:pageBreakBefore w:val="0"/>
        <w:widowControl w:val="0"/>
        <w:kinsoku/>
        <w:wordWrap/>
        <w:overflowPunct/>
        <w:topLinePunct w:val="0"/>
        <w:bidi w:val="0"/>
        <w:spacing w:line="360" w:lineRule="exact"/>
        <w:ind w:left="0" w:leftChars="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未通过资格审查的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不进入评标；通过资格审查的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少于不足三家的，不得评标。</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采购人或采购代理机构将在开标前1个工作日至投标截止后1小时的期间内查询</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的信用记录。</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存在不良信用记录的，其投标将被认定为投标无效。</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19.2.1 不良信用记录指：在“信用中国”网站（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及企业信用信息公示报告</w:t>
      </w:r>
      <w:r>
        <w:rPr>
          <w:rFonts w:hint="eastAsia" w:ascii="宋体" w:hAnsi="宋体" w:eastAsia="宋体" w:cs="宋体"/>
          <w:color w:val="auto"/>
          <w:sz w:val="24"/>
          <w:highlight w:val="none"/>
          <w:lang w:eastAsia="zh-CN"/>
        </w:rPr>
        <w:t>。</w:t>
      </w:r>
    </w:p>
    <w:p>
      <w:pPr>
        <w:pageBreakBefore w:val="0"/>
        <w:widowControl w:val="0"/>
        <w:kinsoku/>
        <w:wordWrap/>
        <w:overflowPunct/>
        <w:topLinePunct w:val="0"/>
        <w:bidi w:val="0"/>
        <w:spacing w:line="360" w:lineRule="exact"/>
        <w:ind w:left="958" w:leftChars="456" w:firstLine="60" w:firstLineChars="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以联合体形式参加投标的，联合体任何成员存在以上不良信用记录的，联合体投标将被认定为投标无效。</w:t>
      </w:r>
    </w:p>
    <w:p>
      <w:pPr>
        <w:pStyle w:val="4"/>
        <w:pageBreakBefore w:val="0"/>
        <w:widowControl w:val="0"/>
        <w:kinsoku/>
        <w:wordWrap/>
        <w:overflowPunct/>
        <w:topLinePunct w:val="0"/>
        <w:bidi w:val="0"/>
        <w:spacing w:line="360" w:lineRule="exact"/>
        <w:ind w:left="849" w:leftChars="0" w:hanging="849" w:hangingChars="354"/>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19.2.2 查询及记录方式：采购人或采购代理机构经办人将查询网页打印、签字并存档备查。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不良信用记录以采购人或采购代理机构查询结果为准。</w:t>
      </w:r>
    </w:p>
    <w:p>
      <w:pPr>
        <w:pStyle w:val="4"/>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在本招标文件规定的查询时间之后，网站信息发生的任何变更均不再作为评标依据。</w:t>
      </w:r>
    </w:p>
    <w:p>
      <w:pPr>
        <w:pStyle w:val="4"/>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自行提供的与网站信息不一致的其他证明材料亦不作为资格审查依据。</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19.3   按照《中华人民共和国政府采购法》、《中华人民共和国政府采购法实施条例》</w:t>
      </w:r>
      <w:r>
        <w:rPr>
          <w:rFonts w:hint="eastAsia" w:ascii="宋体" w:hAnsi="宋体" w:eastAsia="宋体" w:cs="宋体"/>
          <w:color w:val="auto"/>
          <w:sz w:val="24"/>
          <w:highlight w:val="none"/>
          <w:lang w:eastAsia="zh-CN"/>
        </w:rPr>
        <w:t>、《政府采购货物和服务招标投标管理办法》财政部令第87号</w:t>
      </w:r>
      <w:r>
        <w:rPr>
          <w:rFonts w:hint="eastAsia" w:ascii="宋体" w:hAnsi="宋体" w:eastAsia="宋体" w:cs="宋体"/>
          <w:color w:val="auto"/>
          <w:sz w:val="24"/>
          <w:highlight w:val="none"/>
        </w:rPr>
        <w:t>及本项目本级和上级财政部门的有关规定依法</w:t>
      </w:r>
      <w:r>
        <w:rPr>
          <w:rFonts w:hint="eastAsia" w:ascii="宋体" w:hAnsi="宋体" w:eastAsia="宋体" w:cs="宋体"/>
          <w:color w:val="auto"/>
          <w:sz w:val="24"/>
          <w:highlight w:val="none"/>
          <w:lang w:val="en-US" w:eastAsia="zh-CN"/>
        </w:rPr>
        <w:t>在</w:t>
      </w:r>
      <w:bookmarkStart w:id="426" w:name="_Toc520356166"/>
      <w:r>
        <w:rPr>
          <w:rFonts w:hint="eastAsia" w:ascii="宋体" w:hAnsi="宋体" w:eastAsia="宋体" w:cs="宋体"/>
          <w:color w:val="auto"/>
          <w:sz w:val="24"/>
          <w:highlight w:val="none"/>
          <w:lang w:eastAsia="zh-CN"/>
        </w:rPr>
        <w:t>政采云平台上随机抽取</w:t>
      </w:r>
      <w:r>
        <w:rPr>
          <w:rFonts w:hint="eastAsia" w:ascii="宋体" w:hAnsi="宋体" w:cs="宋体"/>
          <w:color w:val="auto"/>
          <w:sz w:val="24"/>
          <w:highlight w:val="none"/>
          <w:lang w:val="en-US" w:eastAsia="zh-CN"/>
        </w:rPr>
        <w:t>5</w:t>
      </w:r>
      <w:r>
        <w:rPr>
          <w:rFonts w:hint="eastAsia" w:ascii="宋体" w:hAnsi="宋体" w:eastAsia="宋体" w:cs="宋体"/>
          <w:b/>
          <w:bCs/>
          <w:color w:val="auto"/>
          <w:sz w:val="24"/>
          <w:highlight w:val="none"/>
          <w:lang w:eastAsia="zh-CN"/>
        </w:rPr>
        <w:t>名专家</w:t>
      </w:r>
      <w:r>
        <w:rPr>
          <w:rFonts w:hint="eastAsia" w:ascii="宋体" w:hAnsi="宋体" w:cs="宋体"/>
          <w:b/>
          <w:bCs/>
          <w:color w:val="auto"/>
          <w:sz w:val="24"/>
          <w:highlight w:val="none"/>
          <w:lang w:eastAsia="zh-CN"/>
        </w:rPr>
        <w:t>，</w:t>
      </w:r>
      <w:r>
        <w:rPr>
          <w:rFonts w:hint="eastAsia" w:ascii="宋体" w:hAnsi="宋体" w:eastAsia="宋体" w:cs="宋体"/>
          <w:color w:val="auto"/>
          <w:sz w:val="24"/>
          <w:highlight w:val="none"/>
          <w:lang w:eastAsia="zh-CN"/>
        </w:rPr>
        <w:t>负责评标工作。</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bCs/>
          <w:color w:val="auto"/>
          <w:highlight w:val="none"/>
          <w:bdr w:val="single" w:color="auto" w:sz="4" w:space="0"/>
        </w:rPr>
      </w:pPr>
      <w:bookmarkStart w:id="427" w:name="_Toc515647781"/>
      <w:bookmarkStart w:id="428" w:name="_Toc22736"/>
      <w:bookmarkStart w:id="429" w:name="_Toc2188"/>
      <w:bookmarkStart w:id="430" w:name="_Toc23453"/>
      <w:bookmarkStart w:id="431" w:name="_Toc13929"/>
      <w:bookmarkStart w:id="432" w:name="_Toc30220"/>
      <w:bookmarkStart w:id="433" w:name="_Toc19094"/>
      <w:bookmarkStart w:id="434" w:name="_Toc31746"/>
      <w:bookmarkStart w:id="435" w:name="_Toc14377"/>
      <w:bookmarkStart w:id="436" w:name="_Toc32378"/>
      <w:bookmarkStart w:id="437" w:name="_Toc25903"/>
      <w:bookmarkStart w:id="438" w:name="_Toc449"/>
      <w:bookmarkStart w:id="439" w:name="_Toc26550"/>
      <w:bookmarkStart w:id="440" w:name="_Toc13396"/>
      <w:bookmarkStart w:id="441" w:name="_Toc4264"/>
      <w:bookmarkStart w:id="442" w:name="_Toc13469"/>
      <w:bookmarkStart w:id="443" w:name="_Toc28479"/>
      <w:bookmarkStart w:id="444" w:name="_Toc6252"/>
      <w:bookmarkStart w:id="445" w:name="_Toc31229"/>
      <w:bookmarkStart w:id="446" w:name="_Toc3936"/>
      <w:bookmarkStart w:id="447" w:name="_Toc14028"/>
      <w:bookmarkStart w:id="448" w:name="_Toc19949"/>
      <w:bookmarkStart w:id="449" w:name="_Toc13892"/>
      <w:bookmarkStart w:id="450" w:name="_Toc8432"/>
      <w:bookmarkStart w:id="451" w:name="_Toc22021"/>
      <w:r>
        <w:rPr>
          <w:rFonts w:hint="eastAsia" w:ascii="宋体" w:hAnsi="宋体" w:eastAsia="宋体" w:cs="宋体"/>
          <w:color w:val="auto"/>
          <w:highlight w:val="none"/>
          <w:u w:val="none"/>
        </w:rPr>
        <w:t>20.投标文件</w:t>
      </w:r>
      <w:bookmarkEnd w:id="426"/>
      <w:r>
        <w:rPr>
          <w:rFonts w:hint="eastAsia" w:ascii="宋体" w:hAnsi="宋体" w:eastAsia="宋体" w:cs="宋体"/>
          <w:color w:val="auto"/>
          <w:highlight w:val="none"/>
          <w:u w:val="none"/>
        </w:rPr>
        <w:t>符合性审查与澄清</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符合性审查是指依据招标文件的规定，从投标文件的有效性和完整性对招标文件的响应程度进行审查，以确定是否对招标文件的实质性要求做出响应。</w:t>
      </w:r>
      <w:bookmarkStart w:id="452" w:name="_Hlt522424701"/>
      <w:bookmarkEnd w:id="452"/>
      <w:bookmarkStart w:id="453" w:name="_Toc520356167"/>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投标文件的澄清</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20.2.1  在评标期间，评标委员会将以书面方式要求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对其投标文件中含义不明确、对同类问题表述不一致或者有明显文字和计算错误的内容，以及评标委员会认为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的报价明显低于其他通过符合性检查</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的报价，有可能影响履约的情况作必要的澄清、说明或补正。</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的澄清、说明或补正应在评标委员会规定的时间内以书面方式进行，并不得超出投标文件范围或者改变投标文件的实质性内容。</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20.2.2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的的澄清、说明或补正将作为投标文件的一部分。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20.3  投标文件报价出现前后不一致的，按照下列规定修正：</w:t>
      </w:r>
    </w:p>
    <w:p>
      <w:pPr>
        <w:pageBreakBefore w:val="0"/>
        <w:widowControl w:val="0"/>
        <w:kinsoku/>
        <w:wordWrap/>
        <w:overflowPunct/>
        <w:topLinePunct w:val="0"/>
        <w:bidi w:val="0"/>
        <w:spacing w:line="360" w:lineRule="exact"/>
        <w:ind w:left="1020" w:leftChars="0" w:hanging="1020" w:hangingChars="4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（一）投标文件中开标一览表（报价表）内容与投标文件中相应内容不一致的，以开标一览表（报价表）为准；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（二）大写金额和小写金额不一致的，以大写金额为准；</w:t>
      </w:r>
    </w:p>
    <w:p>
      <w:pPr>
        <w:pageBreakBefore w:val="0"/>
        <w:widowControl w:val="0"/>
        <w:kinsoku/>
        <w:wordWrap/>
        <w:overflowPunct/>
        <w:topLinePunct w:val="0"/>
        <w:bidi w:val="0"/>
        <w:spacing w:line="360" w:lineRule="exact"/>
        <w:ind w:left="1020" w:leftChars="0" w:hanging="1020" w:hangingChars="4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（三）单价金额小数点或者百分比有明显错位的，以开标一览表的总价为准，并修改单价；</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（四）总价金额与按单价汇总金额不一致的，以单价金额计算结果为准。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同时出现两种以上不一致的，按照前款规定的顺序修正。修正后的报价按照第20.2条的规定经</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确认后产生约束力，</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不确认的，其投标将被认定为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0" w:leftChars="0" w:firstLine="120" w:firstLineChars="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   如一个分包内只有一种产品，不同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所投产品为同一品牌的，按如下方式处理：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20.4.1  如本项目使用最低评标价法，提供相同品牌产品的不同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；未规定的采取随机抽取方式确定，其他投标将被认定为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20.4.2  如本项目使用综合评分法，提供相同品牌产品且通过资格审查、符合性审查的不同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，按一家</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计算，评审后得分最高的同品牌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获得中标人推荐资格；评审得分相同的，由采购人或者采购人委托评标委员会按照招标文件中评标办法规定的方式确定一个</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获得中标人推荐资格；未规定的采取随机抽取方式确定，其他同品牌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不作为中标候选人。</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20.5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如采购人所采购产品为政府强制采购的节能产品，</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所投产品的品牌及型号必须为清单中有效期内产品并提供证明文件，否则其投标将被认定为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454" w:name="_Toc27690"/>
      <w:bookmarkStart w:id="455" w:name="_Toc15515"/>
      <w:bookmarkStart w:id="456" w:name="_Toc6364"/>
      <w:bookmarkStart w:id="457" w:name="_Toc28908"/>
      <w:bookmarkStart w:id="458" w:name="_Toc7973"/>
      <w:bookmarkStart w:id="459" w:name="_Toc11110"/>
      <w:bookmarkStart w:id="460" w:name="_Toc11608"/>
      <w:bookmarkStart w:id="461" w:name="_Toc1331"/>
      <w:bookmarkStart w:id="462" w:name="_Toc30300"/>
      <w:bookmarkStart w:id="463" w:name="_Toc9469"/>
      <w:bookmarkStart w:id="464" w:name="_Toc18304"/>
      <w:bookmarkStart w:id="465" w:name="_Toc26018"/>
      <w:bookmarkStart w:id="466" w:name="_Toc6538"/>
      <w:bookmarkStart w:id="467" w:name="_Toc8246"/>
      <w:bookmarkStart w:id="468" w:name="_Toc15089"/>
      <w:bookmarkStart w:id="469" w:name="_Toc4372"/>
      <w:bookmarkStart w:id="470" w:name="_Toc21293"/>
      <w:bookmarkStart w:id="471" w:name="_Toc29292"/>
      <w:bookmarkStart w:id="472" w:name="_Toc18062"/>
      <w:bookmarkStart w:id="473" w:name="_Toc16070"/>
      <w:bookmarkStart w:id="474" w:name="_Toc21482"/>
      <w:bookmarkStart w:id="475" w:name="_Toc630"/>
      <w:bookmarkStart w:id="476" w:name="_Toc515647782"/>
      <w:bookmarkStart w:id="477" w:name="_Toc27517"/>
      <w:bookmarkStart w:id="478" w:name="_Toc12161"/>
      <w:r>
        <w:rPr>
          <w:rFonts w:hint="eastAsia" w:ascii="宋体" w:hAnsi="宋体" w:eastAsia="宋体" w:cs="宋体"/>
          <w:color w:val="auto"/>
          <w:highlight w:val="none"/>
          <w:u w:val="none"/>
        </w:rPr>
        <w:t>21.投标偏离</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pPr>
        <w:pageBreakBefore w:val="0"/>
        <w:widowControl w:val="0"/>
        <w:kinsoku/>
        <w:wordWrap/>
        <w:overflowPunct/>
        <w:topLinePunct w:val="0"/>
        <w:bidi w:val="0"/>
        <w:spacing w:line="360" w:lineRule="exact"/>
        <w:ind w:left="640" w:leftChars="0" w:hanging="640" w:hangingChars="267"/>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评标委员会可以接受投标文件中不构成实质性偏离的不正规或不一致。</w:t>
      </w:r>
      <w:bookmarkStart w:id="479" w:name="_Toc515647783"/>
      <w:bookmarkStart w:id="480" w:name="_Toc6092"/>
      <w:bookmarkStart w:id="481" w:name="_Toc4950"/>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482" w:name="_Toc8973"/>
      <w:bookmarkStart w:id="483" w:name="_Toc23335"/>
      <w:bookmarkStart w:id="484" w:name="_Toc1222"/>
      <w:bookmarkStart w:id="485" w:name="_Toc4727"/>
      <w:bookmarkStart w:id="486" w:name="_Toc26299"/>
      <w:bookmarkStart w:id="487" w:name="_Toc14351"/>
      <w:bookmarkStart w:id="488" w:name="_Toc28676"/>
      <w:bookmarkStart w:id="489" w:name="_Toc513"/>
      <w:bookmarkStart w:id="490" w:name="_Toc28742"/>
      <w:bookmarkStart w:id="491" w:name="_Toc29512"/>
      <w:bookmarkStart w:id="492" w:name="_Toc30181"/>
      <w:bookmarkStart w:id="493" w:name="_Toc8411"/>
      <w:bookmarkStart w:id="494" w:name="_Toc26762"/>
      <w:bookmarkStart w:id="495" w:name="_Toc7150"/>
      <w:bookmarkStart w:id="496" w:name="_Toc31156"/>
      <w:bookmarkStart w:id="497" w:name="_Toc1257"/>
      <w:bookmarkStart w:id="498" w:name="_Toc550"/>
      <w:bookmarkStart w:id="499" w:name="_Toc16910"/>
      <w:bookmarkStart w:id="500" w:name="_Toc16778"/>
      <w:bookmarkStart w:id="501" w:name="_Toc8254"/>
      <w:bookmarkStart w:id="502" w:name="_Toc19852"/>
      <w:bookmarkStart w:id="503" w:name="_Toc14769"/>
      <w:r>
        <w:rPr>
          <w:rFonts w:hint="eastAsia" w:ascii="宋体" w:hAnsi="宋体" w:eastAsia="宋体" w:cs="宋体"/>
          <w:color w:val="auto"/>
          <w:highlight w:val="none"/>
          <w:u w:val="none"/>
        </w:rPr>
        <w:t>22.投标</w:t>
      </w:r>
      <w:bookmarkEnd w:id="479"/>
      <w:r>
        <w:rPr>
          <w:rFonts w:hint="eastAsia" w:ascii="宋体" w:hAnsi="宋体" w:eastAsia="宋体" w:cs="宋体"/>
          <w:color w:val="auto"/>
          <w:highlight w:val="none"/>
          <w:u w:val="none"/>
        </w:rPr>
        <w:t>无效</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不得通过修正或撤销不符合要求的偏离，从而使其投标成为实质上响应的投标。</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评标委员会决定投标的响应性只根据招标文件要求、投标文件内容及财政主管部门指定相关信息发布媒体。</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z w:val="24"/>
          <w:highlight w:val="none"/>
        </w:rPr>
        <w:tab/>
      </w:r>
      <w:r>
        <w:rPr>
          <w:rFonts w:hint="eastAsia" w:ascii="宋体" w:hAnsi="宋体" w:eastAsia="宋体" w:cs="宋体"/>
          <w:b/>
          <w:bCs/>
          <w:color w:val="auto"/>
          <w:sz w:val="24"/>
          <w:highlight w:val="none"/>
        </w:rPr>
        <w:t>如发现下列情况之一的，其投标将被认定为投标无效</w:t>
      </w:r>
      <w:r>
        <w:rPr>
          <w:rFonts w:hint="eastAsia" w:ascii="宋体" w:hAnsi="宋体" w:eastAsia="宋体" w:cs="宋体"/>
          <w:color w:val="auto"/>
          <w:sz w:val="24"/>
          <w:highlight w:val="none"/>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未按招标文件规定的形式和金额提交投标保证金的；</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未按照招标文件规定要求签署、盖章的；</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未满足招标文件中技术条款的实质性要求；</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与其他</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串通投标，或者与</w:t>
      </w:r>
      <w:r>
        <w:rPr>
          <w:rFonts w:hint="eastAsia" w:ascii="宋体" w:hAnsi="宋体" w:eastAsia="宋体" w:cs="宋体"/>
          <w:b/>
          <w:bCs/>
          <w:color w:val="auto"/>
          <w:sz w:val="24"/>
          <w:highlight w:val="none"/>
          <w:lang w:eastAsia="zh-CN"/>
        </w:rPr>
        <w:t>采购人</w:t>
      </w:r>
      <w:r>
        <w:rPr>
          <w:rFonts w:hint="eastAsia" w:ascii="宋体" w:hAnsi="宋体" w:eastAsia="宋体" w:cs="宋体"/>
          <w:b/>
          <w:bCs/>
          <w:color w:val="auto"/>
          <w:sz w:val="24"/>
          <w:highlight w:val="none"/>
        </w:rPr>
        <w:t>串通投标；</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属于招标文件规定的其他投标无效情形；</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评标委员会认为</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的报价明显低于其他通过符合性检查</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的报价，有可能影响履约的，且</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未按照规定证明其报价合理性的；</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投标文件含有采购人不能接受的附加条件的；</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不符合法规和招标文件中规定的其他实质性要求的。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22.3   有下列情形之一的，属于恶意串通，对供应商依照政府采购法第七十七条第一款的规定追究法律责任，对采购人、采购代理机构及其工作人员依照政府采购法第七十二条的规定追究法律责任：</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（1）供应商直接或者间接从采购人或者采购代理机构处获得其他供应商的相关情况并修改其投标文件或者投标文件；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（2）供应商按照采购人或者采购代理机构的授意撤换、修改投标文件或者投标文件；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（3）供应商之间协商报价、技术方案等投标文件或者投标文件的实质性内容；</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（4）属于同一集团、协会、商会等组织成员的供应商按照该组织要求协同参加政府采购活动；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（5）供应商之间事先约定由某一特定供应商中标、成交；</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（6）供应商之间商定部分供应商放弃参加政府采购活动或者放弃中标、成交；</w:t>
      </w:r>
    </w:p>
    <w:p>
      <w:pPr>
        <w:keepNext w:val="0"/>
        <w:keepLines w:val="0"/>
        <w:pageBreakBefore w:val="0"/>
        <w:widowControl w:val="0"/>
        <w:kinsoku/>
        <w:wordWrap/>
        <w:overflowPunct/>
        <w:topLinePunct w:val="0"/>
        <w:autoSpaceDE/>
        <w:autoSpaceDN/>
        <w:bidi w:val="0"/>
        <w:adjustRightInd/>
        <w:snapToGrid/>
        <w:spacing w:line="34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（7）供应商与采购人或者采购代理机构之间、供应商相互之间，为谋求特定供应商中标、成交或者排斥其他供应商的其他串通行为。</w:t>
      </w:r>
    </w:p>
    <w:p>
      <w:pPr>
        <w:pStyle w:val="8"/>
        <w:keepNext w:val="0"/>
        <w:keepLines w:val="0"/>
        <w:pageBreakBefore w:val="0"/>
        <w:widowControl w:val="0"/>
        <w:kinsoku/>
        <w:wordWrap/>
        <w:overflowPunct/>
        <w:topLinePunct w:val="0"/>
        <w:autoSpaceDE/>
        <w:autoSpaceDN/>
        <w:bidi w:val="0"/>
        <w:adjustRightInd/>
        <w:snapToGrid/>
        <w:spacing w:before="0" w:after="0" w:line="380" w:lineRule="exact"/>
        <w:ind w:left="0" w:leftChars="0"/>
        <w:textAlignment w:val="auto"/>
        <w:rPr>
          <w:rFonts w:hint="eastAsia" w:ascii="宋体" w:hAnsi="宋体" w:eastAsia="宋体" w:cs="宋体"/>
          <w:color w:val="auto"/>
          <w:highlight w:val="none"/>
          <w:u w:val="none"/>
        </w:rPr>
      </w:pPr>
      <w:bookmarkStart w:id="504" w:name="_Toc515647784"/>
      <w:bookmarkStart w:id="505" w:name="_Toc26865"/>
      <w:bookmarkStart w:id="506" w:name="_Toc18639"/>
      <w:bookmarkStart w:id="507" w:name="_Toc30533"/>
      <w:bookmarkStart w:id="508" w:name="_Toc17675"/>
      <w:bookmarkStart w:id="509" w:name="_Toc3077"/>
      <w:bookmarkStart w:id="510" w:name="_Toc22981"/>
      <w:bookmarkStart w:id="511" w:name="_Toc22804"/>
      <w:bookmarkStart w:id="512" w:name="_Toc22941"/>
      <w:bookmarkStart w:id="513" w:name="_Toc27478"/>
      <w:bookmarkStart w:id="514" w:name="_Toc8151"/>
      <w:bookmarkStart w:id="515" w:name="_Toc22174"/>
      <w:bookmarkStart w:id="516" w:name="_Toc17792"/>
      <w:bookmarkStart w:id="517" w:name="_Toc20639"/>
      <w:bookmarkStart w:id="518" w:name="_Toc13652"/>
      <w:bookmarkStart w:id="519" w:name="_Toc29542"/>
      <w:bookmarkStart w:id="520" w:name="_Toc4328"/>
      <w:bookmarkStart w:id="521" w:name="_Toc20498"/>
      <w:bookmarkStart w:id="522" w:name="_Toc2833"/>
      <w:bookmarkStart w:id="523" w:name="_Toc9458"/>
      <w:bookmarkStart w:id="524" w:name="_Toc19373"/>
      <w:bookmarkStart w:id="525" w:name="_Toc13566"/>
      <w:r>
        <w:rPr>
          <w:rFonts w:hint="eastAsia" w:ascii="宋体" w:hAnsi="宋体" w:eastAsia="宋体" w:cs="宋体"/>
          <w:color w:val="auto"/>
          <w:highlight w:val="none"/>
          <w:u w:val="none"/>
        </w:rPr>
        <w:t>23.</w:t>
      </w:r>
      <w:bookmarkEnd w:id="453"/>
      <w:r>
        <w:rPr>
          <w:rFonts w:hint="eastAsia" w:ascii="宋体" w:hAnsi="宋体" w:eastAsia="宋体" w:cs="宋体"/>
          <w:color w:val="auto"/>
          <w:highlight w:val="none"/>
          <w:u w:val="none"/>
        </w:rPr>
        <w:t>比较与评价</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keepNext w:val="0"/>
        <w:keepLines w:val="0"/>
        <w:pageBreakBefore w:val="0"/>
        <w:widowControl w:val="0"/>
        <w:kinsoku/>
        <w:wordWrap/>
        <w:overflowPunct/>
        <w:topLinePunct w:val="0"/>
        <w:autoSpaceDE/>
        <w:autoSpaceDN/>
        <w:bidi w:val="0"/>
        <w:adjustRightInd/>
        <w:snapToGrid/>
        <w:spacing w:line="38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经符合性审查合格的投标文件，评标委员会将根据招标文件确定的评标方法和标准，对其技术部分和商务部分作进一步的比较和评价。</w:t>
      </w:r>
    </w:p>
    <w:p>
      <w:pPr>
        <w:keepNext w:val="0"/>
        <w:keepLines w:val="0"/>
        <w:pageBreakBefore w:val="0"/>
        <w:widowControl w:val="0"/>
        <w:kinsoku/>
        <w:wordWrap/>
        <w:overflowPunct/>
        <w:topLinePunct w:val="0"/>
        <w:autoSpaceDE/>
        <w:autoSpaceDN/>
        <w:bidi w:val="0"/>
        <w:adjustRightInd/>
        <w:snapToGrid/>
        <w:spacing w:line="38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23.2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评标严格按照招标文件的要求和条件进行。根据实际情况，在</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中规定采用下列一种评标方法</w:t>
      </w:r>
      <w:r>
        <w:rPr>
          <w:rFonts w:hint="eastAsia" w:ascii="宋体" w:hAnsi="宋体" w:eastAsia="宋体" w:cs="宋体"/>
          <w:color w:val="auto"/>
          <w:sz w:val="24"/>
          <w:highlight w:val="none"/>
          <w:lang w:eastAsia="zh-CN"/>
        </w:rPr>
        <w:t>。</w:t>
      </w:r>
    </w:p>
    <w:p>
      <w:pPr>
        <w:pStyle w:val="15"/>
        <w:keepNext w:val="0"/>
        <w:keepLines w:val="0"/>
        <w:pageBreakBefore w:val="0"/>
        <w:widowControl w:val="0"/>
        <w:kinsoku/>
        <w:wordWrap/>
        <w:overflowPunct/>
        <w:topLinePunct w:val="0"/>
        <w:autoSpaceDE/>
        <w:autoSpaceDN/>
        <w:bidi w:val="0"/>
        <w:adjustRightInd/>
        <w:snapToGrid/>
        <w:spacing w:line="380" w:lineRule="exact"/>
        <w:ind w:left="239" w:leftChars="114" w:firstLine="31" w:firstLineChars="1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为中标候选人的评标方法。</w:t>
      </w:r>
    </w:p>
    <w:p>
      <w:pPr>
        <w:pStyle w:val="15"/>
        <w:keepNext w:val="0"/>
        <w:keepLines w:val="0"/>
        <w:pageBreakBefore w:val="0"/>
        <w:widowControl w:val="0"/>
        <w:kinsoku/>
        <w:wordWrap/>
        <w:overflowPunct/>
        <w:topLinePunct w:val="0"/>
        <w:autoSpaceDE/>
        <w:autoSpaceDN/>
        <w:bidi w:val="0"/>
        <w:adjustRightInd/>
        <w:snapToGrid/>
        <w:spacing w:line="380" w:lineRule="exact"/>
        <w:ind w:left="239" w:leftChars="114" w:firstLine="33" w:firstLineChars="1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为中标候选人的评标方法。</w:t>
      </w:r>
    </w:p>
    <w:p>
      <w:pPr>
        <w:pStyle w:val="12"/>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bCs/>
          <w:i w:val="0"/>
          <w:caps w:val="0"/>
          <w:color w:val="auto"/>
          <w:spacing w:val="0"/>
          <w:w w:val="100"/>
          <w:sz w:val="24"/>
          <w:highlight w:val="none"/>
        </w:rPr>
      </w:pPr>
      <w:r>
        <w:rPr>
          <w:rFonts w:hint="eastAsia" w:hAnsi="宋体" w:cs="宋体"/>
          <w:b/>
          <w:bCs/>
          <w:color w:val="auto"/>
          <w:sz w:val="24"/>
          <w:szCs w:val="24"/>
          <w:highlight w:val="none"/>
          <w:lang w:val="en-US" w:eastAsia="zh-CN"/>
        </w:rPr>
        <w:t>采用综合评分法</w:t>
      </w:r>
      <w:r>
        <w:rPr>
          <w:rFonts w:hint="eastAsia" w:cs="宋体"/>
          <w:b/>
          <w:bCs/>
          <w:color w:val="auto"/>
          <w:sz w:val="24"/>
          <w:szCs w:val="24"/>
          <w:highlight w:val="none"/>
          <w:lang w:val="en-US" w:eastAsia="zh-CN"/>
        </w:rPr>
        <w:t>， 第一包和</w:t>
      </w:r>
      <w:r>
        <w:rPr>
          <w:rFonts w:hint="eastAsia" w:ascii="宋体" w:hAnsi="宋体" w:eastAsia="宋体" w:cs="宋体"/>
          <w:b/>
          <w:bCs/>
          <w:color w:val="auto"/>
          <w:kern w:val="2"/>
          <w:sz w:val="24"/>
          <w:szCs w:val="24"/>
          <w:highlight w:val="none"/>
          <w:lang w:val="en-US" w:eastAsia="zh-CN" w:bidi="ar-SA"/>
        </w:rPr>
        <w:t>第</w:t>
      </w: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包</w:t>
      </w:r>
      <w:r>
        <w:rPr>
          <w:rFonts w:hint="eastAsia" w:cs="宋体"/>
          <w:b/>
          <w:bCs/>
          <w:color w:val="auto"/>
          <w:sz w:val="24"/>
          <w:szCs w:val="24"/>
          <w:highlight w:val="none"/>
          <w:lang w:val="en-US" w:eastAsia="zh-CN"/>
        </w:rPr>
        <w:t>：</w:t>
      </w:r>
      <w:r>
        <w:rPr>
          <w:rFonts w:hint="eastAsia" w:ascii="宋体" w:hAnsi="宋体" w:eastAsia="宋体" w:cs="宋体"/>
          <w:b/>
          <w:bCs/>
          <w:i w:val="0"/>
          <w:caps w:val="0"/>
          <w:color w:val="auto"/>
          <w:spacing w:val="0"/>
          <w:w w:val="100"/>
          <w:sz w:val="24"/>
          <w:highlight w:val="none"/>
        </w:rPr>
        <w:t>价格占</w:t>
      </w:r>
      <w:r>
        <w:rPr>
          <w:rFonts w:hint="eastAsia" w:ascii="宋体" w:hAnsi="宋体" w:eastAsia="宋体" w:cs="宋体"/>
          <w:b/>
          <w:bCs/>
          <w:i w:val="0"/>
          <w:caps w:val="0"/>
          <w:color w:val="auto"/>
          <w:spacing w:val="0"/>
          <w:w w:val="100"/>
          <w:sz w:val="24"/>
          <w:highlight w:val="none"/>
          <w:lang w:val="en-US" w:eastAsia="zh-CN"/>
        </w:rPr>
        <w:t>30</w:t>
      </w:r>
      <w:r>
        <w:rPr>
          <w:rFonts w:hint="eastAsia" w:ascii="宋体" w:hAnsi="宋体" w:eastAsia="宋体" w:cs="宋体"/>
          <w:b/>
          <w:bCs/>
          <w:i w:val="0"/>
          <w:caps w:val="0"/>
          <w:color w:val="auto"/>
          <w:spacing w:val="0"/>
          <w:w w:val="100"/>
          <w:sz w:val="24"/>
          <w:highlight w:val="none"/>
        </w:rPr>
        <w:t>%，商务占</w:t>
      </w:r>
      <w:r>
        <w:rPr>
          <w:rFonts w:hint="eastAsia" w:cs="宋体"/>
          <w:b/>
          <w:bCs/>
          <w:i w:val="0"/>
          <w:caps w:val="0"/>
          <w:color w:val="auto"/>
          <w:spacing w:val="0"/>
          <w:w w:val="100"/>
          <w:sz w:val="24"/>
          <w:highlight w:val="none"/>
          <w:lang w:val="en-US" w:eastAsia="zh-CN"/>
        </w:rPr>
        <w:t>6</w:t>
      </w:r>
      <w:r>
        <w:rPr>
          <w:rFonts w:hint="eastAsia" w:ascii="宋体" w:hAnsi="宋体" w:eastAsia="宋体" w:cs="宋体"/>
          <w:b/>
          <w:bCs/>
          <w:i w:val="0"/>
          <w:caps w:val="0"/>
          <w:color w:val="auto"/>
          <w:spacing w:val="0"/>
          <w:w w:val="100"/>
          <w:sz w:val="24"/>
          <w:highlight w:val="none"/>
        </w:rPr>
        <w:t>%，技术占</w:t>
      </w:r>
      <w:r>
        <w:rPr>
          <w:rFonts w:hint="eastAsia" w:ascii="宋体" w:hAnsi="宋体" w:eastAsia="宋体" w:cs="宋体"/>
          <w:b/>
          <w:bCs/>
          <w:i w:val="0"/>
          <w:caps w:val="0"/>
          <w:color w:val="auto"/>
          <w:spacing w:val="0"/>
          <w:w w:val="100"/>
          <w:sz w:val="24"/>
          <w:highlight w:val="none"/>
          <w:lang w:val="en-US" w:eastAsia="zh-CN"/>
        </w:rPr>
        <w:t>6</w:t>
      </w:r>
      <w:r>
        <w:rPr>
          <w:rFonts w:hint="eastAsia" w:cs="宋体"/>
          <w:b/>
          <w:bCs/>
          <w:i w:val="0"/>
          <w:caps w:val="0"/>
          <w:color w:val="auto"/>
          <w:spacing w:val="0"/>
          <w:w w:val="100"/>
          <w:sz w:val="24"/>
          <w:highlight w:val="none"/>
          <w:lang w:val="en-US" w:eastAsia="zh-CN"/>
        </w:rPr>
        <w:t>4</w:t>
      </w:r>
      <w:r>
        <w:rPr>
          <w:rFonts w:hint="eastAsia" w:ascii="宋体" w:hAnsi="宋体" w:eastAsia="宋体" w:cs="宋体"/>
          <w:b/>
          <w:bCs/>
          <w:i w:val="0"/>
          <w:caps w:val="0"/>
          <w:color w:val="auto"/>
          <w:spacing w:val="0"/>
          <w:w w:val="100"/>
          <w:sz w:val="24"/>
          <w:highlight w:val="none"/>
        </w:rPr>
        <w:t>%。</w:t>
      </w:r>
    </w:p>
    <w:p>
      <w:pPr>
        <w:keepNext w:val="0"/>
        <w:keepLines w:val="0"/>
        <w:pageBreakBefore w:val="0"/>
        <w:widowControl/>
        <w:kinsoku/>
        <w:wordWrap/>
        <w:overflowPunct/>
        <w:topLinePunct w:val="0"/>
        <w:autoSpaceDE/>
        <w:autoSpaceDN/>
        <w:bidi w:val="0"/>
        <w:adjustRightInd/>
        <w:snapToGrid/>
        <w:spacing w:line="380" w:lineRule="exact"/>
        <w:ind w:left="241" w:hanging="241" w:hangingChars="100"/>
        <w:textAlignment w:val="auto"/>
        <w:rPr>
          <w:rFonts w:hint="eastAsia"/>
          <w:color w:val="auto"/>
          <w:highlight w:val="none"/>
          <w:lang w:eastAsia="zh-CN"/>
        </w:rPr>
      </w:pPr>
      <w:r>
        <w:rPr>
          <w:rFonts w:hint="eastAsia" w:ascii="宋体" w:hAnsi="宋体" w:eastAsia="宋体" w:cs="宋体"/>
          <w:b/>
          <w:bCs/>
          <w:color w:val="auto"/>
          <w:sz w:val="24"/>
          <w:szCs w:val="24"/>
          <w:highlight w:val="none"/>
        </w:rPr>
        <w:t xml:space="preserve">23.3 </w:t>
      </w:r>
      <w:r>
        <w:rPr>
          <w:rFonts w:hint="eastAsia" w:ascii="宋体" w:hAnsi="宋体" w:eastAsia="宋体" w:cs="宋体"/>
          <w:b/>
          <w:bCs/>
          <w:color w:val="auto"/>
          <w:sz w:val="24"/>
          <w:highlight w:val="none"/>
        </w:rPr>
        <w:t>根据《政府采购促进中小企业发展管理办法》（财库[2020]46号）、《财政部司法部关于政府采购支持监狱企业发展有关问</w:t>
      </w:r>
      <w:r>
        <w:rPr>
          <w:rFonts w:hint="eastAsia" w:ascii="宋体" w:hAnsi="宋体" w:cs="宋体"/>
          <w:b/>
          <w:bCs/>
          <w:color w:val="auto"/>
          <w:sz w:val="24"/>
          <w:highlight w:val="none"/>
          <w:lang w:val="en-US" w:eastAsia="zh-CN"/>
        </w:rPr>
        <w:t xml:space="preserve"> </w:t>
      </w:r>
      <w:r>
        <w:rPr>
          <w:rFonts w:hint="eastAsia" w:ascii="宋体" w:hAnsi="宋体" w:eastAsia="宋体" w:cs="宋体"/>
          <w:b/>
          <w:bCs/>
          <w:color w:val="auto"/>
          <w:sz w:val="24"/>
          <w:highlight w:val="none"/>
        </w:rPr>
        <w:t>题</w:t>
      </w:r>
      <w:r>
        <w:rPr>
          <w:rFonts w:hint="eastAsia" w:ascii="宋体" w:hAnsi="宋体" w:cs="宋体"/>
          <w:b/>
          <w:bCs/>
          <w:color w:val="auto"/>
          <w:sz w:val="24"/>
          <w:highlight w:val="none"/>
          <w:lang w:val="en-US" w:eastAsia="zh-CN"/>
        </w:rPr>
        <w:t xml:space="preserve"> </w:t>
      </w:r>
      <w:r>
        <w:rPr>
          <w:rFonts w:hint="eastAsia" w:ascii="宋体" w:hAnsi="宋体" w:eastAsia="宋体" w:cs="宋体"/>
          <w:b/>
          <w:bCs/>
          <w:color w:val="auto"/>
          <w:sz w:val="24"/>
          <w:highlight w:val="none"/>
        </w:rPr>
        <w:t>的通知》（财库〔2014〕68号）和《三部门联合发布关于促进残疾人就业政府采购政策的通知》（财库〔2017〕141号）的规定，</w:t>
      </w:r>
      <w:r>
        <w:rPr>
          <w:rFonts w:hint="eastAsia" w:ascii="宋体" w:hAnsi="宋体" w:cs="宋体"/>
          <w:b/>
          <w:bCs/>
          <w:color w:val="auto"/>
          <w:sz w:val="24"/>
          <w:highlight w:val="none"/>
          <w:lang w:eastAsia="zh-CN"/>
        </w:rPr>
        <w:t>其中小型、微型及小微企业</w:t>
      </w:r>
      <w:r>
        <w:rPr>
          <w:rFonts w:hint="eastAsia" w:ascii="宋体" w:hAnsi="宋体" w:eastAsia="宋体" w:cs="宋体"/>
          <w:b/>
          <w:bCs/>
          <w:color w:val="auto"/>
          <w:sz w:val="24"/>
          <w:highlight w:val="none"/>
        </w:rPr>
        <w:t>在投标文件中提交了《</w:t>
      </w:r>
      <w:r>
        <w:rPr>
          <w:rFonts w:hint="eastAsia" w:ascii="宋体" w:hAnsi="宋体" w:eastAsia="宋体" w:cs="宋体"/>
          <w:b/>
          <w:bCs/>
          <w:color w:val="auto"/>
          <w:sz w:val="24"/>
          <w:highlight w:val="none"/>
          <w:lang w:eastAsia="zh-CN"/>
        </w:rPr>
        <w:t>中小企业声明函</w:t>
      </w:r>
      <w:r>
        <w:rPr>
          <w:rFonts w:hint="eastAsia" w:ascii="宋体" w:hAnsi="宋体" w:eastAsia="宋体" w:cs="宋体"/>
          <w:b/>
          <w:bCs/>
          <w:color w:val="auto"/>
          <w:sz w:val="24"/>
          <w:highlight w:val="none"/>
        </w:rPr>
        <w:t>》、《残疾人福利性单位声明函》或省级以上监狱管理局、戒毒管理局（含新疆生产建设兵团）出具的属于监狱企业的证明文件的供应商，</w:t>
      </w:r>
      <w:r>
        <w:rPr>
          <w:rFonts w:hint="eastAsia" w:ascii="宋体" w:hAnsi="宋体" w:eastAsia="宋体" w:cs="宋体"/>
          <w:b/>
          <w:bCs/>
          <w:color w:val="auto"/>
          <w:sz w:val="24"/>
          <w:highlight w:val="none"/>
          <w:lang w:eastAsia="zh-CN"/>
        </w:rPr>
        <w:t>其报价扣除</w:t>
      </w:r>
      <w:r>
        <w:rPr>
          <w:rFonts w:hint="eastAsia" w:ascii="宋体" w:hAnsi="宋体" w:eastAsia="宋体" w:cs="宋体"/>
          <w:b/>
          <w:bCs/>
          <w:color w:val="auto"/>
          <w:sz w:val="24"/>
          <w:highlight w:val="none"/>
          <w:u w:val="single"/>
          <w:lang w:eastAsia="zh-CN"/>
        </w:rPr>
        <w:t xml:space="preserve">  10  %</w:t>
      </w:r>
      <w:r>
        <w:rPr>
          <w:rFonts w:hint="eastAsia" w:ascii="宋体" w:hAnsi="宋体" w:eastAsia="宋体" w:cs="宋体"/>
          <w:b/>
          <w:bCs/>
          <w:color w:val="auto"/>
          <w:sz w:val="24"/>
          <w:highlight w:val="none"/>
          <w:lang w:eastAsia="zh-CN"/>
        </w:rPr>
        <w:t>后参与评审。对于同时属于</w:t>
      </w:r>
      <w:r>
        <w:rPr>
          <w:rFonts w:hint="eastAsia" w:ascii="宋体" w:hAnsi="宋体" w:cs="宋体"/>
          <w:b/>
          <w:bCs/>
          <w:color w:val="auto"/>
          <w:sz w:val="24"/>
          <w:highlight w:val="none"/>
          <w:lang w:eastAsia="zh-CN"/>
        </w:rPr>
        <w:t>小型、微型及小微企业</w:t>
      </w:r>
      <w:r>
        <w:rPr>
          <w:rFonts w:hint="eastAsia" w:ascii="宋体" w:hAnsi="宋体" w:eastAsia="宋体" w:cs="宋体"/>
          <w:b/>
          <w:bCs/>
          <w:color w:val="auto"/>
          <w:sz w:val="24"/>
          <w:highlight w:val="none"/>
          <w:lang w:eastAsia="zh-CN"/>
        </w:rPr>
        <w:t>、监狱企业或残疾人福利性单位的，不重复进行报价扣除。</w:t>
      </w:r>
      <w:r>
        <w:rPr>
          <w:rFonts w:hint="eastAsia" w:ascii="宋体" w:hAnsi="宋体" w:eastAsia="宋体" w:cs="宋体"/>
          <w:b/>
          <w:bCs/>
          <w:color w:val="auto"/>
          <w:sz w:val="24"/>
          <w:szCs w:val="24"/>
          <w:highlight w:val="none"/>
        </w:rPr>
        <w:t>具体办法详见</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文件第6章。</w:t>
      </w:r>
    </w:p>
    <w:p>
      <w:pPr>
        <w:pStyle w:val="8"/>
        <w:keepNext w:val="0"/>
        <w:keepLines w:val="0"/>
        <w:pageBreakBefore w:val="0"/>
        <w:widowControl w:val="0"/>
        <w:kinsoku/>
        <w:wordWrap/>
        <w:overflowPunct/>
        <w:topLinePunct w:val="0"/>
        <w:autoSpaceDE/>
        <w:autoSpaceDN/>
        <w:bidi w:val="0"/>
        <w:adjustRightInd/>
        <w:snapToGrid/>
        <w:spacing w:before="0" w:after="0" w:line="380" w:lineRule="exact"/>
        <w:ind w:left="0" w:leftChars="0"/>
        <w:textAlignment w:val="auto"/>
        <w:rPr>
          <w:rFonts w:hint="eastAsia" w:ascii="宋体" w:hAnsi="宋体" w:eastAsia="宋体" w:cs="宋体"/>
          <w:color w:val="auto"/>
          <w:highlight w:val="none"/>
          <w:u w:val="none"/>
        </w:rPr>
      </w:pPr>
      <w:bookmarkStart w:id="526" w:name="_Toc520356168"/>
      <w:bookmarkStart w:id="527" w:name="_Toc31170"/>
      <w:bookmarkStart w:id="528" w:name="_Toc10976"/>
      <w:bookmarkStart w:id="529" w:name="_Toc3612"/>
      <w:bookmarkStart w:id="530" w:name="_Toc9378"/>
      <w:bookmarkStart w:id="531" w:name="_Toc6254"/>
      <w:bookmarkStart w:id="532" w:name="_Toc6053"/>
      <w:bookmarkStart w:id="533" w:name="_Toc20227"/>
      <w:bookmarkStart w:id="534" w:name="_Toc14346"/>
      <w:bookmarkStart w:id="535" w:name="_Toc9016"/>
      <w:bookmarkStart w:id="536" w:name="_Toc27067"/>
      <w:bookmarkStart w:id="537" w:name="_Toc7770"/>
      <w:bookmarkStart w:id="538" w:name="_Toc18343"/>
      <w:bookmarkStart w:id="539" w:name="_Toc4626"/>
      <w:bookmarkStart w:id="540" w:name="_Toc13823"/>
      <w:bookmarkStart w:id="541" w:name="_Toc10442"/>
      <w:bookmarkStart w:id="542" w:name="_Toc7553"/>
      <w:bookmarkStart w:id="543" w:name="_Toc23302"/>
      <w:bookmarkStart w:id="544" w:name="_Toc515647785"/>
      <w:bookmarkStart w:id="545" w:name="_Toc7858"/>
      <w:bookmarkStart w:id="546" w:name="_Toc21912"/>
      <w:bookmarkStart w:id="547" w:name="_Toc19218"/>
      <w:bookmarkStart w:id="548" w:name="_Toc30532"/>
      <w:bookmarkStart w:id="549" w:name="_Toc692"/>
      <w:bookmarkStart w:id="550" w:name="_Toc17055"/>
      <w:bookmarkStart w:id="551" w:name="_Toc31084"/>
      <w:r>
        <w:rPr>
          <w:rFonts w:hint="eastAsia" w:ascii="宋体" w:hAnsi="宋体" w:eastAsia="宋体" w:cs="宋体"/>
          <w:color w:val="auto"/>
          <w:highlight w:val="none"/>
          <w:u w:val="none"/>
        </w:rPr>
        <w:t>24</w:t>
      </w:r>
      <w:bookmarkEnd w:id="526"/>
      <w:r>
        <w:rPr>
          <w:rFonts w:hint="eastAsia" w:ascii="宋体" w:hAnsi="宋体" w:eastAsia="宋体" w:cs="宋体"/>
          <w:color w:val="auto"/>
          <w:highlight w:val="none"/>
          <w:u w:val="none"/>
        </w:rPr>
        <w:t>.废标</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pPr>
        <w:keepNext w:val="0"/>
        <w:keepLines w:val="0"/>
        <w:pageBreakBefore w:val="0"/>
        <w:widowControl w:val="0"/>
        <w:kinsoku/>
        <w:wordWrap/>
        <w:overflowPunct/>
        <w:topLinePunct w:val="0"/>
        <w:autoSpaceDE/>
        <w:autoSpaceDN/>
        <w:bidi w:val="0"/>
        <w:adjustRightInd/>
        <w:snapToGrid/>
        <w:spacing w:line="380" w:lineRule="exact"/>
        <w:ind w:left="60" w:leftChars="0" w:hanging="60" w:hangingChars="2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24.1</w:t>
      </w:r>
      <w:r>
        <w:rPr>
          <w:rFonts w:hint="eastAsia" w:ascii="宋体" w:hAnsi="宋体" w:eastAsia="宋体" w:cs="宋体"/>
          <w:b/>
          <w:bCs/>
          <w:color w:val="auto"/>
          <w:sz w:val="24"/>
          <w:highlight w:val="none"/>
        </w:rPr>
        <w:t xml:space="preserve">出现下列情形之一，将导致项目废标： </w:t>
      </w:r>
    </w:p>
    <w:p>
      <w:pPr>
        <w:keepNext w:val="0"/>
        <w:keepLines w:val="0"/>
        <w:pageBreakBefore w:val="0"/>
        <w:widowControl w:val="0"/>
        <w:kinsoku/>
        <w:wordWrap/>
        <w:overflowPunct/>
        <w:topLinePunct w:val="0"/>
        <w:autoSpaceDE/>
        <w:autoSpaceDN/>
        <w:bidi w:val="0"/>
        <w:adjustRightInd/>
        <w:snapToGrid/>
        <w:spacing w:line="380" w:lineRule="exact"/>
        <w:ind w:left="904" w:leftChars="0" w:hanging="904" w:hangingChars="3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t>（1）符合专业条件的供应商或者对招标文件做实质性响应的供应商不足三家；</w:t>
      </w:r>
    </w:p>
    <w:p>
      <w:pPr>
        <w:keepNext w:val="0"/>
        <w:keepLines w:val="0"/>
        <w:pageBreakBefore w:val="0"/>
        <w:widowControl w:val="0"/>
        <w:kinsoku/>
        <w:wordWrap/>
        <w:overflowPunct/>
        <w:topLinePunct w:val="0"/>
        <w:autoSpaceDE/>
        <w:autoSpaceDN/>
        <w:bidi w:val="0"/>
        <w:adjustRightInd/>
        <w:snapToGrid/>
        <w:spacing w:line="380" w:lineRule="exact"/>
        <w:ind w:left="904" w:leftChars="0" w:hanging="904" w:hangingChars="3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t>（2）出现影响采购公正的违法、违规行为的；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843" w:firstLineChars="35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的报价均超过了采购预算，采购人不能支付的；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843" w:firstLineChars="350"/>
        <w:textAlignment w:val="auto"/>
        <w:rPr>
          <w:rFonts w:hint="eastAsia"/>
          <w:color w:val="auto"/>
          <w:highlight w:val="none"/>
        </w:rPr>
      </w:pPr>
      <w:r>
        <w:rPr>
          <w:rFonts w:hint="eastAsia" w:ascii="宋体" w:hAnsi="宋体" w:eastAsia="宋体" w:cs="宋体"/>
          <w:b/>
          <w:bCs/>
          <w:color w:val="auto"/>
          <w:sz w:val="24"/>
          <w:highlight w:val="none"/>
        </w:rPr>
        <w:t xml:space="preserve">（4）因重大变故，采购任务取消的。  </w:t>
      </w:r>
      <w:r>
        <w:rPr>
          <w:rFonts w:hint="eastAsia" w:ascii="宋体" w:hAnsi="宋体" w:eastAsia="宋体" w:cs="宋体"/>
          <w:color w:val="auto"/>
          <w:sz w:val="24"/>
          <w:highlight w:val="none"/>
        </w:rPr>
        <w:t xml:space="preserve"> </w:t>
      </w:r>
    </w:p>
    <w:p>
      <w:pPr>
        <w:pStyle w:val="8"/>
        <w:pageBreakBefore w:val="0"/>
        <w:widowControl w:val="0"/>
        <w:kinsoku/>
        <w:wordWrap/>
        <w:overflowPunct/>
        <w:topLinePunct w:val="0"/>
        <w:bidi w:val="0"/>
        <w:spacing w:before="0" w:after="0" w:line="380" w:lineRule="exact"/>
        <w:ind w:left="0" w:leftChars="0"/>
        <w:textAlignment w:val="auto"/>
        <w:rPr>
          <w:rFonts w:hint="eastAsia" w:ascii="宋体" w:hAnsi="宋体" w:eastAsia="宋体" w:cs="宋体"/>
          <w:color w:val="auto"/>
          <w:highlight w:val="none"/>
          <w:u w:val="none"/>
        </w:rPr>
      </w:pPr>
      <w:bookmarkStart w:id="552" w:name="_Toc16129"/>
      <w:bookmarkStart w:id="553" w:name="_Toc10226"/>
      <w:bookmarkStart w:id="554" w:name="_Toc31289"/>
      <w:bookmarkStart w:id="555" w:name="_Toc21697"/>
      <w:bookmarkStart w:id="556" w:name="_Toc25775"/>
      <w:bookmarkStart w:id="557" w:name="_Toc20665"/>
      <w:bookmarkStart w:id="558" w:name="_Toc24972"/>
      <w:bookmarkStart w:id="559" w:name="_Toc29646"/>
      <w:bookmarkStart w:id="560" w:name="_Toc30672"/>
      <w:bookmarkStart w:id="561" w:name="_Toc31780"/>
      <w:bookmarkStart w:id="562" w:name="_Toc21380"/>
      <w:bookmarkStart w:id="563" w:name="_Toc17634"/>
      <w:bookmarkStart w:id="564" w:name="_Toc515647786"/>
      <w:bookmarkStart w:id="565" w:name="_Toc30298"/>
      <w:bookmarkStart w:id="566" w:name="_Toc10657"/>
      <w:bookmarkStart w:id="567" w:name="_Toc10261"/>
      <w:bookmarkStart w:id="568" w:name="_Toc29207"/>
      <w:bookmarkStart w:id="569" w:name="_Toc3793"/>
      <w:bookmarkStart w:id="570" w:name="_Toc23725"/>
      <w:bookmarkStart w:id="571" w:name="_Toc16154"/>
      <w:bookmarkStart w:id="572" w:name="_Toc30848"/>
      <w:bookmarkStart w:id="573" w:name="_Toc31226"/>
      <w:bookmarkStart w:id="574" w:name="_Toc829"/>
      <w:bookmarkStart w:id="575" w:name="_Toc11422"/>
      <w:bookmarkStart w:id="576" w:name="_Toc23012"/>
      <w:bookmarkStart w:id="577" w:name="_Toc520356169"/>
      <w:r>
        <w:rPr>
          <w:rFonts w:hint="eastAsia" w:ascii="宋体" w:hAnsi="宋体" w:eastAsia="宋体" w:cs="宋体"/>
          <w:color w:val="auto"/>
          <w:highlight w:val="none"/>
          <w:u w:val="none"/>
        </w:rPr>
        <w:t>25.保密原则</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pPr>
        <w:pageBreakBefore w:val="0"/>
        <w:widowControl w:val="0"/>
        <w:kinsoku/>
        <w:wordWrap/>
        <w:overflowPunct/>
        <w:topLinePunct w:val="0"/>
        <w:bidi w:val="0"/>
        <w:spacing w:line="38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评标将在严格保密的情况下进行。</w:t>
      </w:r>
    </w:p>
    <w:p>
      <w:pPr>
        <w:pageBreakBefore w:val="0"/>
        <w:widowControl w:val="0"/>
        <w:kinsoku/>
        <w:wordWrap/>
        <w:overflowPunct/>
        <w:topLinePunct w:val="0"/>
        <w:bidi w:val="0"/>
        <w:spacing w:line="380" w:lineRule="exact"/>
        <w:ind w:left="900" w:leftChars="0" w:hanging="900" w:hangingChars="375"/>
        <w:textAlignment w:val="auto"/>
        <w:rPr>
          <w:rFonts w:hint="eastAsia"/>
          <w:color w:val="auto"/>
          <w:highlight w:val="none"/>
        </w:rPr>
      </w:pPr>
      <w:r>
        <w:rPr>
          <w:rFonts w:hint="eastAsia" w:ascii="宋体" w:hAnsi="宋体" w:eastAsia="宋体" w:cs="宋体"/>
          <w:color w:val="auto"/>
          <w:sz w:val="24"/>
          <w:highlight w:val="none"/>
        </w:rPr>
        <w:t>25.2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政府采购评审专家应当遵守评审工作纪律，不得泄露评审文件、评审情况和评审中获悉的商业秘密。</w:t>
      </w:r>
    </w:p>
    <w:p>
      <w:pPr>
        <w:pStyle w:val="7"/>
        <w:pageBreakBefore w:val="0"/>
        <w:widowControl w:val="0"/>
        <w:kinsoku/>
        <w:wordWrap/>
        <w:overflowPunct/>
        <w:topLinePunct w:val="0"/>
        <w:bidi w:val="0"/>
        <w:spacing w:before="0" w:line="380" w:lineRule="exact"/>
        <w:ind w:left="0" w:leftChars="0" w:hanging="540"/>
        <w:textAlignment w:val="auto"/>
        <w:rPr>
          <w:rFonts w:hint="eastAsia" w:ascii="宋体" w:hAnsi="宋体" w:eastAsia="宋体" w:cs="宋体"/>
          <w:color w:val="auto"/>
          <w:sz w:val="24"/>
          <w:highlight w:val="none"/>
        </w:rPr>
      </w:pPr>
      <w:bookmarkStart w:id="578" w:name="_Toc216582810"/>
      <w:bookmarkStart w:id="579" w:name="_Toc23904"/>
      <w:bookmarkStart w:id="580" w:name="_Toc12143"/>
      <w:bookmarkStart w:id="581" w:name="_Toc6452"/>
      <w:bookmarkStart w:id="582" w:name="_Toc16707"/>
      <w:bookmarkStart w:id="583" w:name="_Toc31410"/>
      <w:bookmarkStart w:id="584" w:name="_Toc515647787"/>
      <w:r>
        <w:rPr>
          <w:rFonts w:hint="eastAsia" w:ascii="宋体" w:hAnsi="宋体" w:eastAsia="宋体" w:cs="宋体"/>
          <w:color w:val="auto"/>
          <w:sz w:val="24"/>
          <w:highlight w:val="none"/>
        </w:rPr>
        <w:t xml:space="preserve">六   </w:t>
      </w:r>
      <w:bookmarkEnd w:id="577"/>
      <w:r>
        <w:rPr>
          <w:rFonts w:hint="eastAsia" w:ascii="宋体" w:hAnsi="宋体" w:eastAsia="宋体" w:cs="宋体"/>
          <w:color w:val="auto"/>
          <w:sz w:val="24"/>
          <w:highlight w:val="none"/>
        </w:rPr>
        <w:t>确定中标</w:t>
      </w:r>
      <w:bookmarkEnd w:id="578"/>
      <w:bookmarkEnd w:id="579"/>
      <w:bookmarkEnd w:id="580"/>
      <w:bookmarkEnd w:id="581"/>
      <w:bookmarkEnd w:id="582"/>
      <w:bookmarkEnd w:id="583"/>
      <w:bookmarkEnd w:id="584"/>
    </w:p>
    <w:p>
      <w:pPr>
        <w:rPr>
          <w:rFonts w:hint="eastAsia"/>
          <w:color w:val="auto"/>
          <w:highlight w:val="none"/>
        </w:rPr>
      </w:pPr>
    </w:p>
    <w:p>
      <w:pPr>
        <w:pStyle w:val="8"/>
        <w:keepNext w:val="0"/>
        <w:keepLines w:val="0"/>
        <w:pageBreakBefore w:val="0"/>
        <w:widowControl w:val="0"/>
        <w:kinsoku/>
        <w:wordWrap/>
        <w:overflowPunct/>
        <w:topLinePunct w:val="0"/>
        <w:autoSpaceDE/>
        <w:autoSpaceDN/>
        <w:bidi w:val="0"/>
        <w:adjustRightInd/>
        <w:spacing w:before="0" w:after="0" w:line="400" w:lineRule="exact"/>
        <w:ind w:left="0" w:leftChars="0"/>
        <w:textAlignment w:val="auto"/>
        <w:rPr>
          <w:rFonts w:hint="eastAsia" w:ascii="宋体" w:hAnsi="宋体" w:eastAsia="宋体" w:cs="宋体"/>
          <w:color w:val="auto"/>
          <w:highlight w:val="none"/>
          <w:u w:val="none"/>
        </w:rPr>
      </w:pPr>
      <w:bookmarkStart w:id="585" w:name="_Toc515647788"/>
      <w:bookmarkStart w:id="586" w:name="_Toc2520"/>
      <w:bookmarkStart w:id="587" w:name="_Toc28179"/>
      <w:bookmarkStart w:id="588" w:name="_Toc30510"/>
      <w:bookmarkStart w:id="589" w:name="_Toc24798"/>
      <w:bookmarkStart w:id="590" w:name="_Toc24563"/>
      <w:bookmarkStart w:id="591" w:name="_Toc6758"/>
      <w:bookmarkStart w:id="592" w:name="_Toc25301"/>
      <w:bookmarkStart w:id="593" w:name="_Toc17430"/>
      <w:bookmarkStart w:id="594" w:name="_Toc520356170"/>
      <w:bookmarkStart w:id="595" w:name="_Toc23617"/>
      <w:bookmarkStart w:id="596" w:name="_Toc1329"/>
      <w:bookmarkStart w:id="597" w:name="_Toc13936"/>
      <w:bookmarkStart w:id="598" w:name="_Toc5485"/>
      <w:bookmarkStart w:id="599" w:name="_Toc17894"/>
      <w:bookmarkStart w:id="600" w:name="_Ref467307010"/>
      <w:bookmarkStart w:id="601" w:name="_Toc16453"/>
      <w:bookmarkStart w:id="602" w:name="_Toc31710"/>
      <w:bookmarkStart w:id="603" w:name="_Toc14800"/>
      <w:bookmarkStart w:id="604" w:name="_Toc9978"/>
      <w:bookmarkStart w:id="605" w:name="_Toc20061"/>
      <w:bookmarkStart w:id="606" w:name="_Toc27501"/>
      <w:bookmarkStart w:id="607" w:name="_Toc15535"/>
      <w:bookmarkStart w:id="608" w:name="_Toc23963"/>
      <w:bookmarkStart w:id="609" w:name="_Toc31091"/>
      <w:bookmarkStart w:id="610" w:name="_Toc23762"/>
      <w:r>
        <w:rPr>
          <w:rFonts w:hint="eastAsia" w:ascii="宋体" w:hAnsi="宋体" w:eastAsia="宋体" w:cs="宋体"/>
          <w:color w:val="auto"/>
          <w:highlight w:val="none"/>
          <w:u w:val="none"/>
        </w:rPr>
        <w:t>26.中标候选人的确定原则及标准</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对实质上响应招标文件的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按下列方法进行排序，确定投标候选人：</w:t>
      </w:r>
    </w:p>
    <w:p>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sz w:val="24"/>
          <w:highlight w:val="none"/>
        </w:rPr>
      </w:pPr>
      <w:bookmarkStart w:id="611" w:name="_Toc515647789"/>
      <w:bookmarkStart w:id="612" w:name="_Toc520356171"/>
      <w:r>
        <w:rPr>
          <w:rFonts w:hint="eastAsia" w:ascii="宋体" w:hAnsi="宋体" w:eastAsia="宋体" w:cs="宋体"/>
          <w:color w:val="auto"/>
          <w:sz w:val="24"/>
          <w:highlight w:val="none"/>
        </w:rPr>
        <w:t>（1）采用最低评标价法的，除了算术修正和落实政府采购政策需进行的价格扣除外，不对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的投标价格进行任何调整。评标结果按修正和扣除后的投标报价由低到高顺序排列。报价相同的处理方式详见招标文件第6章。</w:t>
      </w:r>
    </w:p>
    <w:p>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（2）采用综合评分法的，评标结果按评审后得分由高到低顺序排列。得分相同的，按修正和扣除后的投标报价由低到高顺序排列。</w:t>
      </w:r>
    </w:p>
    <w:p>
      <w:pPr>
        <w:pStyle w:val="12"/>
        <w:keepNext w:val="0"/>
        <w:keepLines w:val="0"/>
        <w:pageBreakBefore w:val="0"/>
        <w:widowControl w:val="0"/>
        <w:kinsoku/>
        <w:wordWrap/>
        <w:overflowPunct/>
        <w:topLinePunct w:val="0"/>
        <w:autoSpaceDE/>
        <w:autoSpaceDN/>
        <w:bidi w:val="0"/>
        <w:adjustRightInd/>
        <w:spacing w:line="400" w:lineRule="exact"/>
        <w:rPr>
          <w:rFonts w:hint="eastAsia" w:ascii="宋体" w:hAnsi="宋体" w:eastAsia="宋体" w:cs="宋体"/>
          <w:b/>
          <w:bCs/>
          <w:i w:val="0"/>
          <w:caps w:val="0"/>
          <w:color w:val="auto"/>
          <w:spacing w:val="0"/>
          <w:w w:val="100"/>
          <w:sz w:val="24"/>
          <w:highlight w:val="none"/>
          <w:lang w:eastAsia="zh-CN"/>
        </w:rPr>
      </w:pPr>
      <w:r>
        <w:rPr>
          <w:rFonts w:hint="eastAsia" w:ascii="宋体" w:hAnsi="宋体" w:eastAsia="宋体" w:cs="宋体"/>
          <w:b/>
          <w:bCs/>
          <w:i w:val="0"/>
          <w:caps w:val="0"/>
          <w:color w:val="auto"/>
          <w:spacing w:val="0"/>
          <w:w w:val="100"/>
          <w:sz w:val="24"/>
          <w:highlight w:val="none"/>
        </w:rPr>
        <w:t>本项目采用综合评分法，</w:t>
      </w:r>
      <w:r>
        <w:rPr>
          <w:rFonts w:hint="eastAsia" w:ascii="宋体" w:hAnsi="宋体" w:eastAsia="宋体" w:cs="宋体"/>
          <w:b/>
          <w:bCs/>
          <w:i w:val="0"/>
          <w:caps w:val="0"/>
          <w:color w:val="auto"/>
          <w:spacing w:val="0"/>
          <w:w w:val="100"/>
          <w:sz w:val="24"/>
          <w:highlight w:val="none"/>
          <w:lang w:val="en-US" w:eastAsia="zh-CN"/>
        </w:rPr>
        <w:t>第</w:t>
      </w:r>
      <w:r>
        <w:rPr>
          <w:rFonts w:hint="eastAsia" w:cs="宋体"/>
          <w:b/>
          <w:bCs/>
          <w:i w:val="0"/>
          <w:caps w:val="0"/>
          <w:color w:val="auto"/>
          <w:spacing w:val="0"/>
          <w:w w:val="100"/>
          <w:sz w:val="24"/>
          <w:highlight w:val="none"/>
          <w:lang w:val="en-US" w:eastAsia="zh-CN"/>
        </w:rPr>
        <w:t>一</w:t>
      </w:r>
      <w:r>
        <w:rPr>
          <w:rFonts w:hint="eastAsia" w:ascii="宋体" w:hAnsi="宋体" w:eastAsia="宋体" w:cs="宋体"/>
          <w:b/>
          <w:bCs/>
          <w:i w:val="0"/>
          <w:caps w:val="0"/>
          <w:color w:val="auto"/>
          <w:spacing w:val="0"/>
          <w:w w:val="100"/>
          <w:sz w:val="24"/>
          <w:highlight w:val="none"/>
          <w:lang w:val="en-US" w:eastAsia="zh-CN"/>
        </w:rPr>
        <w:t>包</w:t>
      </w:r>
      <w:r>
        <w:rPr>
          <w:rFonts w:hint="eastAsia" w:cs="宋体"/>
          <w:b/>
          <w:bCs/>
          <w:i w:val="0"/>
          <w:caps w:val="0"/>
          <w:color w:val="auto"/>
          <w:spacing w:val="0"/>
          <w:w w:val="100"/>
          <w:sz w:val="24"/>
          <w:highlight w:val="none"/>
          <w:lang w:val="en-US" w:eastAsia="zh-CN"/>
        </w:rPr>
        <w:t>和</w:t>
      </w:r>
      <w:r>
        <w:rPr>
          <w:rFonts w:hint="eastAsia" w:ascii="宋体" w:hAnsi="宋体" w:eastAsia="宋体" w:cs="宋体"/>
          <w:b/>
          <w:bCs/>
          <w:i w:val="0"/>
          <w:caps w:val="0"/>
          <w:color w:val="auto"/>
          <w:spacing w:val="0"/>
          <w:w w:val="100"/>
          <w:kern w:val="2"/>
          <w:sz w:val="24"/>
          <w:szCs w:val="24"/>
          <w:highlight w:val="none"/>
          <w:lang w:val="en-US" w:eastAsia="zh-CN" w:bidi="ar-SA"/>
        </w:rPr>
        <w:t>第</w:t>
      </w:r>
      <w:r>
        <w:rPr>
          <w:rFonts w:hint="eastAsia" w:ascii="宋体" w:hAnsi="宋体" w:cs="宋体"/>
          <w:b/>
          <w:bCs/>
          <w:i w:val="0"/>
          <w:caps w:val="0"/>
          <w:color w:val="auto"/>
          <w:spacing w:val="0"/>
          <w:w w:val="100"/>
          <w:kern w:val="2"/>
          <w:sz w:val="24"/>
          <w:szCs w:val="24"/>
          <w:highlight w:val="none"/>
          <w:lang w:val="en-US" w:eastAsia="zh-CN" w:bidi="ar-SA"/>
        </w:rPr>
        <w:t>二</w:t>
      </w:r>
      <w:r>
        <w:rPr>
          <w:rFonts w:hint="eastAsia" w:ascii="宋体" w:hAnsi="宋体" w:eastAsia="宋体" w:cs="宋体"/>
          <w:b/>
          <w:bCs/>
          <w:i w:val="0"/>
          <w:caps w:val="0"/>
          <w:color w:val="auto"/>
          <w:spacing w:val="0"/>
          <w:w w:val="100"/>
          <w:kern w:val="2"/>
          <w:sz w:val="24"/>
          <w:szCs w:val="24"/>
          <w:highlight w:val="none"/>
          <w:lang w:val="en-US" w:eastAsia="zh-CN" w:bidi="ar-SA"/>
        </w:rPr>
        <w:t>包</w:t>
      </w: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eastAsia="宋体" w:cs="宋体"/>
          <w:b/>
          <w:bCs/>
          <w:i w:val="0"/>
          <w:caps w:val="0"/>
          <w:color w:val="auto"/>
          <w:spacing w:val="0"/>
          <w:w w:val="100"/>
          <w:sz w:val="24"/>
          <w:highlight w:val="none"/>
        </w:rPr>
        <w:t>价格占</w:t>
      </w:r>
      <w:r>
        <w:rPr>
          <w:rFonts w:hint="eastAsia" w:ascii="宋体" w:hAnsi="宋体" w:eastAsia="宋体" w:cs="宋体"/>
          <w:b/>
          <w:bCs/>
          <w:i w:val="0"/>
          <w:caps w:val="0"/>
          <w:color w:val="auto"/>
          <w:spacing w:val="0"/>
          <w:w w:val="100"/>
          <w:sz w:val="24"/>
          <w:highlight w:val="none"/>
          <w:lang w:val="en-US" w:eastAsia="zh-CN"/>
        </w:rPr>
        <w:t>30</w:t>
      </w:r>
      <w:r>
        <w:rPr>
          <w:rFonts w:hint="eastAsia" w:ascii="宋体" w:hAnsi="宋体" w:eastAsia="宋体" w:cs="宋体"/>
          <w:b/>
          <w:bCs/>
          <w:i w:val="0"/>
          <w:caps w:val="0"/>
          <w:color w:val="auto"/>
          <w:spacing w:val="0"/>
          <w:w w:val="100"/>
          <w:sz w:val="24"/>
          <w:highlight w:val="none"/>
        </w:rPr>
        <w:t>%，商务占</w:t>
      </w:r>
      <w:r>
        <w:rPr>
          <w:rFonts w:hint="eastAsia" w:cs="宋体"/>
          <w:b/>
          <w:bCs/>
          <w:i w:val="0"/>
          <w:caps w:val="0"/>
          <w:color w:val="auto"/>
          <w:spacing w:val="0"/>
          <w:w w:val="100"/>
          <w:sz w:val="24"/>
          <w:highlight w:val="none"/>
          <w:lang w:val="en-US" w:eastAsia="zh-CN"/>
        </w:rPr>
        <w:t>6</w:t>
      </w:r>
      <w:r>
        <w:rPr>
          <w:rFonts w:hint="eastAsia" w:ascii="宋体" w:hAnsi="宋体" w:eastAsia="宋体" w:cs="宋体"/>
          <w:b/>
          <w:bCs/>
          <w:i w:val="0"/>
          <w:caps w:val="0"/>
          <w:color w:val="auto"/>
          <w:spacing w:val="0"/>
          <w:w w:val="100"/>
          <w:sz w:val="24"/>
          <w:highlight w:val="none"/>
        </w:rPr>
        <w:t>%，技术占</w:t>
      </w:r>
      <w:r>
        <w:rPr>
          <w:rFonts w:hint="eastAsia" w:cs="宋体"/>
          <w:b/>
          <w:bCs/>
          <w:i w:val="0"/>
          <w:caps w:val="0"/>
          <w:color w:val="auto"/>
          <w:spacing w:val="0"/>
          <w:w w:val="100"/>
          <w:sz w:val="24"/>
          <w:highlight w:val="none"/>
          <w:lang w:val="en-US" w:eastAsia="zh-CN"/>
        </w:rPr>
        <w:t>64</w:t>
      </w:r>
      <w:r>
        <w:rPr>
          <w:rFonts w:hint="eastAsia" w:ascii="宋体" w:hAnsi="宋体" w:eastAsia="宋体" w:cs="宋体"/>
          <w:b/>
          <w:bCs/>
          <w:i w:val="0"/>
          <w:caps w:val="0"/>
          <w:color w:val="auto"/>
          <w:spacing w:val="0"/>
          <w:w w:val="100"/>
          <w:sz w:val="24"/>
          <w:highlight w:val="none"/>
        </w:rPr>
        <w:t>%</w:t>
      </w:r>
      <w:r>
        <w:rPr>
          <w:rFonts w:hint="eastAsia" w:cs="宋体"/>
          <w:b/>
          <w:bCs/>
          <w:i w:val="0"/>
          <w:caps w:val="0"/>
          <w:color w:val="auto"/>
          <w:spacing w:val="0"/>
          <w:w w:val="100"/>
          <w:sz w:val="24"/>
          <w:highlight w:val="none"/>
          <w:lang w:eastAsia="zh-CN"/>
        </w:rPr>
        <w:t>。</w:t>
      </w:r>
    </w:p>
    <w:p>
      <w:pPr>
        <w:pStyle w:val="8"/>
        <w:shd w:val="clear"/>
        <w:spacing w:before="0" w:after="0" w:line="360" w:lineRule="exact"/>
        <w:rPr>
          <w:rFonts w:hint="eastAsia" w:ascii="宋体" w:hAnsi="宋体" w:eastAsia="宋体" w:cs="宋体"/>
          <w:color w:val="auto"/>
          <w:highlight w:val="none"/>
          <w:u w:val="none"/>
          <w:lang w:val="en-US" w:eastAsia="zh-CN"/>
        </w:rPr>
      </w:pPr>
      <w:bookmarkStart w:id="613" w:name="_Toc17933"/>
      <w:bookmarkStart w:id="614" w:name="_Toc23789"/>
      <w:bookmarkStart w:id="615" w:name="_Toc721"/>
      <w:bookmarkStart w:id="616" w:name="_Toc6337"/>
      <w:bookmarkStart w:id="617" w:name="_Toc4537"/>
      <w:bookmarkStart w:id="618" w:name="_Toc28728"/>
      <w:bookmarkStart w:id="619" w:name="_Toc18581"/>
      <w:bookmarkStart w:id="620" w:name="_Toc21913"/>
      <w:bookmarkStart w:id="621" w:name="_Toc16846"/>
      <w:bookmarkStart w:id="622" w:name="_Toc16980"/>
      <w:bookmarkStart w:id="623" w:name="_Toc24948"/>
      <w:bookmarkStart w:id="624" w:name="_Toc3720"/>
      <w:bookmarkStart w:id="625" w:name="_Toc1490"/>
      <w:bookmarkStart w:id="626" w:name="_Toc10881"/>
      <w:bookmarkStart w:id="627" w:name="_Toc5017"/>
      <w:bookmarkStart w:id="628" w:name="_Toc1644"/>
      <w:bookmarkStart w:id="629" w:name="_Toc14558"/>
      <w:bookmarkStart w:id="630" w:name="_Toc21306"/>
      <w:bookmarkStart w:id="631" w:name="_Toc28125"/>
      <w:bookmarkStart w:id="632" w:name="_Toc11247"/>
      <w:bookmarkStart w:id="633" w:name="_Toc976"/>
      <w:bookmarkStart w:id="634" w:name="_Toc5340"/>
      <w:bookmarkStart w:id="635" w:name="_Toc8018"/>
      <w:bookmarkStart w:id="636" w:name="_Toc17647"/>
      <w:bookmarkStart w:id="637" w:name="_Toc17164"/>
      <w:r>
        <w:rPr>
          <w:rFonts w:hint="eastAsia" w:ascii="宋体" w:hAnsi="宋体" w:eastAsia="宋体" w:cs="宋体"/>
          <w:color w:val="auto"/>
          <w:highlight w:val="none"/>
          <w:u w:val="none"/>
          <w:lang w:val="en-US" w:eastAsia="zh-CN"/>
        </w:rPr>
        <w:t>27.确定成交候选人和</w:t>
      </w:r>
      <w:bookmarkEnd w:id="613"/>
      <w:r>
        <w:rPr>
          <w:rFonts w:hint="eastAsia" w:ascii="宋体" w:hAnsi="宋体" w:eastAsia="宋体" w:cs="宋体"/>
          <w:color w:val="auto"/>
          <w:highlight w:val="none"/>
          <w:u w:val="none"/>
          <w:lang w:val="en-US" w:eastAsia="zh-CN"/>
        </w:rPr>
        <w:t>成交人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bookmarkEnd w:id="611"/>
    <w:bookmarkEnd w:id="612"/>
    <w:p>
      <w:pPr>
        <w:keepNext w:val="0"/>
        <w:keepLines w:val="0"/>
        <w:pageBreakBefore w:val="0"/>
        <w:widowControl w:val="0"/>
        <w:kinsoku/>
        <w:wordWrap/>
        <w:overflowPunct/>
        <w:topLinePunct w:val="0"/>
        <w:autoSpaceDE/>
        <w:autoSpaceDN/>
        <w:bidi w:val="0"/>
        <w:adjustRightInd/>
        <w:spacing w:line="400" w:lineRule="exact"/>
        <w:ind w:left="479" w:leftChars="228" w:firstLine="60" w:firstLineChars="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评标委员会将根据评标标准，按</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须知资料表中</w:t>
      </w:r>
      <w:r>
        <w:rPr>
          <w:rFonts w:hint="eastAsia" w:ascii="宋体" w:hAnsi="宋体" w:eastAsia="宋体" w:cs="宋体"/>
          <w:color w:val="auto"/>
          <w:sz w:val="24"/>
          <w:highlight w:val="none"/>
        </w:rPr>
        <w:t>规定数量推荐中标候</w:t>
      </w:r>
    </w:p>
    <w:p>
      <w:pPr>
        <w:keepNext w:val="0"/>
        <w:keepLines w:val="0"/>
        <w:pageBreakBefore w:val="0"/>
        <w:widowControl w:val="0"/>
        <w:kinsoku/>
        <w:wordWrap/>
        <w:overflowPunct/>
        <w:topLinePunct w:val="0"/>
        <w:autoSpaceDE/>
        <w:autoSpaceDN/>
        <w:bidi w:val="0"/>
        <w:adjustRightInd/>
        <w:spacing w:line="400" w:lineRule="exact"/>
        <w:ind w:left="479" w:leftChars="228" w:firstLine="60" w:firstLineChars="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选人；或根据采购人的委托，直接确定中标人。</w:t>
      </w:r>
    </w:p>
    <w:p>
      <w:pPr>
        <w:pStyle w:val="8"/>
        <w:keepNext w:val="0"/>
        <w:keepLines w:val="0"/>
        <w:pageBreakBefore w:val="0"/>
        <w:widowControl w:val="0"/>
        <w:tabs>
          <w:tab w:val="left" w:pos="900"/>
        </w:tabs>
        <w:kinsoku/>
        <w:wordWrap/>
        <w:overflowPunct/>
        <w:topLinePunct w:val="0"/>
        <w:autoSpaceDE/>
        <w:autoSpaceDN/>
        <w:bidi w:val="0"/>
        <w:adjustRightInd/>
        <w:spacing w:before="0" w:after="0" w:line="400" w:lineRule="exact"/>
        <w:ind w:left="0" w:leftChars="0"/>
        <w:textAlignment w:val="auto"/>
        <w:rPr>
          <w:rFonts w:hint="eastAsia" w:ascii="宋体" w:hAnsi="宋体" w:eastAsia="宋体" w:cs="宋体"/>
          <w:color w:val="auto"/>
          <w:highlight w:val="none"/>
          <w:u w:val="none"/>
        </w:rPr>
      </w:pPr>
      <w:bookmarkStart w:id="638" w:name="_Toc520356173"/>
      <w:bookmarkStart w:id="639" w:name="_Ref467306874"/>
      <w:bookmarkStart w:id="640" w:name="_Toc14184"/>
      <w:bookmarkStart w:id="641" w:name="_Toc21618"/>
      <w:bookmarkStart w:id="642" w:name="_Toc7156"/>
      <w:bookmarkStart w:id="643" w:name="_Toc9701"/>
      <w:bookmarkStart w:id="644" w:name="_Toc20001"/>
      <w:bookmarkStart w:id="645" w:name="_Toc18880"/>
      <w:bookmarkStart w:id="646" w:name="_Toc15612"/>
      <w:bookmarkStart w:id="647" w:name="_Toc31043"/>
      <w:bookmarkStart w:id="648" w:name="_Toc19814"/>
      <w:bookmarkStart w:id="649" w:name="_Toc515647790"/>
      <w:bookmarkStart w:id="650" w:name="_Toc8389"/>
      <w:bookmarkStart w:id="651" w:name="_Toc24596"/>
      <w:bookmarkStart w:id="652" w:name="_Toc31048"/>
      <w:bookmarkStart w:id="653" w:name="_Toc1202"/>
      <w:bookmarkStart w:id="654" w:name="_Toc15373"/>
      <w:bookmarkStart w:id="655" w:name="_Toc32455"/>
      <w:bookmarkStart w:id="656" w:name="_Toc21571"/>
      <w:bookmarkStart w:id="657" w:name="_Toc24852"/>
      <w:bookmarkStart w:id="658" w:name="_Toc6340"/>
      <w:bookmarkStart w:id="659" w:name="_Toc20705"/>
      <w:bookmarkStart w:id="660" w:name="_Toc18183"/>
      <w:bookmarkStart w:id="661" w:name="_Toc21132"/>
      <w:bookmarkStart w:id="662" w:name="_Toc17591"/>
      <w:bookmarkStart w:id="663" w:name="_Toc24117"/>
      <w:bookmarkStart w:id="664" w:name="_Toc28562"/>
      <w:r>
        <w:rPr>
          <w:rFonts w:hint="eastAsia" w:ascii="宋体" w:hAnsi="宋体" w:eastAsia="宋体" w:cs="宋体"/>
          <w:color w:val="auto"/>
          <w:highlight w:val="none"/>
          <w:u w:val="none"/>
        </w:rPr>
        <w:t>28.</w:t>
      </w:r>
      <w:bookmarkEnd w:id="638"/>
      <w:bookmarkEnd w:id="639"/>
      <w:r>
        <w:rPr>
          <w:rFonts w:hint="eastAsia" w:ascii="宋体" w:hAnsi="宋体" w:eastAsia="宋体" w:cs="宋体"/>
          <w:color w:val="auto"/>
          <w:highlight w:val="none"/>
          <w:u w:val="none"/>
        </w:rPr>
        <w:t>采购任务取消</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因重大变故采购任务取消时，采购人有权拒绝任何</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中标，且对受影响的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不承担任何责任。</w:t>
      </w:r>
      <w:bookmarkStart w:id="665" w:name="_Toc520356174"/>
    </w:p>
    <w:p>
      <w:pPr>
        <w:pStyle w:val="8"/>
        <w:keepNext w:val="0"/>
        <w:keepLines w:val="0"/>
        <w:pageBreakBefore w:val="0"/>
        <w:widowControl w:val="0"/>
        <w:kinsoku/>
        <w:wordWrap/>
        <w:overflowPunct/>
        <w:topLinePunct w:val="0"/>
        <w:autoSpaceDE/>
        <w:autoSpaceDN/>
        <w:bidi w:val="0"/>
        <w:adjustRightInd/>
        <w:spacing w:before="0" w:after="0" w:line="400" w:lineRule="exact"/>
        <w:ind w:left="0" w:leftChars="0"/>
        <w:textAlignment w:val="auto"/>
        <w:rPr>
          <w:rFonts w:hint="eastAsia" w:ascii="宋体" w:hAnsi="宋体" w:eastAsia="宋体" w:cs="宋体"/>
          <w:color w:val="auto"/>
          <w:highlight w:val="none"/>
          <w:u w:val="none"/>
        </w:rPr>
      </w:pPr>
      <w:bookmarkStart w:id="666" w:name="_Toc30170"/>
      <w:bookmarkStart w:id="667" w:name="_Toc30931"/>
      <w:bookmarkStart w:id="668" w:name="_Toc31099"/>
      <w:bookmarkStart w:id="669" w:name="_Toc17202"/>
      <w:bookmarkStart w:id="670" w:name="_Toc16108"/>
      <w:bookmarkStart w:id="671" w:name="_Toc28085"/>
      <w:bookmarkStart w:id="672" w:name="_Toc5942"/>
      <w:bookmarkStart w:id="673" w:name="_Toc11238"/>
      <w:bookmarkStart w:id="674" w:name="_Toc10615"/>
      <w:bookmarkStart w:id="675" w:name="_Toc30149"/>
      <w:bookmarkStart w:id="676" w:name="_Toc515647791"/>
      <w:bookmarkStart w:id="677" w:name="_Toc27996"/>
      <w:bookmarkStart w:id="678" w:name="_Toc12348"/>
      <w:bookmarkStart w:id="679" w:name="_Toc11720"/>
      <w:bookmarkStart w:id="680" w:name="_Toc28619"/>
      <w:bookmarkStart w:id="681" w:name="_Toc26323"/>
      <w:bookmarkStart w:id="682" w:name="_Toc2995"/>
      <w:bookmarkStart w:id="683" w:name="_Toc878"/>
      <w:bookmarkStart w:id="684" w:name="_Toc17166"/>
      <w:bookmarkStart w:id="685" w:name="_Toc30504"/>
      <w:bookmarkStart w:id="686" w:name="_Toc8834"/>
      <w:bookmarkStart w:id="687" w:name="_Toc5079"/>
      <w:bookmarkStart w:id="688" w:name="_Toc1178"/>
      <w:bookmarkStart w:id="689" w:name="_Toc21583"/>
      <w:bookmarkStart w:id="690" w:name="_Toc1818"/>
      <w:r>
        <w:rPr>
          <w:rFonts w:hint="eastAsia" w:ascii="宋体" w:hAnsi="宋体" w:eastAsia="宋体" w:cs="宋体"/>
          <w:color w:val="auto"/>
          <w:highlight w:val="none"/>
          <w:u w:val="none"/>
        </w:rPr>
        <w:t>29.中标通知书</w:t>
      </w:r>
      <w:bookmarkEnd w:id="665"/>
      <w:r>
        <w:rPr>
          <w:rFonts w:hint="eastAsia" w:ascii="宋体" w:hAnsi="宋体" w:eastAsia="宋体" w:cs="宋体"/>
          <w:color w:val="auto"/>
          <w:highlight w:val="none"/>
          <w:u w:val="none"/>
        </w:rPr>
        <w:t>和招标结果通知书</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在投标有效期内，中标人确定后，采购人或者采购代理机构发布中标公告，同时以书面形式向中标人发出中标通知书。</w:t>
      </w:r>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中标通知书是合同的组成部分。</w:t>
      </w:r>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29.3    招标结果通知书和中标通知书同时发出。招标结果通知书中将告知未通过资格审查的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未通过的原因；采用综合评分法评审的，还将告知未中标人本人的评审得分和排序。</w:t>
      </w:r>
    </w:p>
    <w:p>
      <w:pPr>
        <w:pStyle w:val="8"/>
        <w:keepNext w:val="0"/>
        <w:keepLines w:val="0"/>
        <w:pageBreakBefore w:val="0"/>
        <w:widowControl w:val="0"/>
        <w:kinsoku/>
        <w:wordWrap/>
        <w:overflowPunct/>
        <w:topLinePunct w:val="0"/>
        <w:autoSpaceDE/>
        <w:autoSpaceDN/>
        <w:bidi w:val="0"/>
        <w:adjustRightInd/>
        <w:spacing w:before="0" w:after="0" w:line="400" w:lineRule="exact"/>
        <w:ind w:left="0" w:leftChars="0"/>
        <w:textAlignment w:val="auto"/>
        <w:rPr>
          <w:rFonts w:hint="eastAsia" w:ascii="宋体" w:hAnsi="宋体" w:eastAsia="宋体" w:cs="宋体"/>
          <w:color w:val="auto"/>
          <w:highlight w:val="none"/>
          <w:u w:val="none"/>
        </w:rPr>
      </w:pPr>
      <w:bookmarkStart w:id="691" w:name="_Toc520356175"/>
      <w:bookmarkStart w:id="692" w:name="_Toc3367"/>
      <w:bookmarkStart w:id="693" w:name="_Toc20019"/>
      <w:bookmarkStart w:id="694" w:name="_Toc830"/>
      <w:bookmarkStart w:id="695" w:name="_Toc13873"/>
      <w:bookmarkStart w:id="696" w:name="_Toc15018"/>
      <w:bookmarkStart w:id="697" w:name="_Toc13437"/>
      <w:bookmarkStart w:id="698" w:name="_Toc14606"/>
      <w:bookmarkStart w:id="699" w:name="_Ref467306978"/>
      <w:bookmarkStart w:id="700" w:name="_Toc29299"/>
      <w:bookmarkStart w:id="701" w:name="_Toc515647792"/>
      <w:bookmarkStart w:id="702" w:name="_Toc11294"/>
      <w:bookmarkStart w:id="703" w:name="_Ref467307204"/>
      <w:bookmarkStart w:id="704" w:name="_Ref467307062"/>
      <w:bookmarkStart w:id="705" w:name="_Toc25801"/>
      <w:bookmarkStart w:id="706" w:name="_Toc19738"/>
      <w:bookmarkStart w:id="707" w:name="_Toc790"/>
      <w:bookmarkStart w:id="708" w:name="_Toc24666"/>
      <w:bookmarkStart w:id="709" w:name="_Toc29255"/>
      <w:bookmarkStart w:id="710" w:name="_Ref467306377"/>
      <w:bookmarkStart w:id="711" w:name="_Toc7779"/>
      <w:bookmarkStart w:id="712" w:name="_Toc14106"/>
      <w:bookmarkStart w:id="713" w:name="_Toc10884"/>
      <w:bookmarkStart w:id="714" w:name="_Toc14551"/>
      <w:bookmarkStart w:id="715" w:name="_Toc8492"/>
      <w:bookmarkStart w:id="716" w:name="_Toc5416"/>
      <w:bookmarkStart w:id="717" w:name="_Toc24820"/>
      <w:bookmarkStart w:id="718" w:name="_Toc26894"/>
      <w:bookmarkStart w:id="719" w:name="_Toc17823"/>
      <w:bookmarkStart w:id="720" w:name="_Toc7584"/>
      <w:r>
        <w:rPr>
          <w:rFonts w:hint="eastAsia" w:ascii="宋体" w:hAnsi="宋体" w:eastAsia="宋体" w:cs="宋体"/>
          <w:color w:val="auto"/>
          <w:highlight w:val="none"/>
          <w:u w:val="none"/>
        </w:rPr>
        <w:t>30.签订合同</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中标人应当自发出中标通知书之日起30日内，与采购人签订合同。</w:t>
      </w:r>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w:t>
      </w:r>
      <w:r>
        <w:rPr>
          <w:rFonts w:hint="eastAsia" w:ascii="宋体" w:hAnsi="宋体" w:eastAsia="宋体" w:cs="宋体"/>
          <w:color w:val="auto"/>
          <w:sz w:val="24"/>
          <w:highlight w:val="none"/>
        </w:rPr>
        <w:tab/>
      </w:r>
      <w:bookmarkStart w:id="721" w:name="_Ref467306425"/>
      <w:bookmarkStart w:id="722" w:name="_Ref467307090"/>
      <w:bookmarkStart w:id="723" w:name="_Toc520356176"/>
      <w:r>
        <w:rPr>
          <w:rFonts w:hint="eastAsia" w:ascii="宋体" w:hAnsi="宋体" w:eastAsia="宋体" w:cs="宋体"/>
          <w:color w:val="auto"/>
          <w:sz w:val="24"/>
          <w:highlight w:val="none"/>
        </w:rPr>
        <w:t>招标文件、中标人的投标文件及其澄清文件等，均为签订合同的依据。</w:t>
      </w:r>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30.3   中标人拒绝与采购人签订合同的，采购人可以按照评审报告推荐的中标候选人名单排序，确定下一中标候选人为中标人，也可以重新开展政府采购活动。</w:t>
      </w:r>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30.4   当出现法规规定的</w:t>
      </w:r>
      <w:r>
        <w:rPr>
          <w:rFonts w:hint="eastAsia" w:ascii="宋体" w:hAnsi="宋体" w:eastAsia="宋体" w:cs="宋体"/>
          <w:b/>
          <w:color w:val="auto"/>
          <w:sz w:val="24"/>
          <w:highlight w:val="none"/>
        </w:rPr>
        <w:t>中标无效或中标结果无效</w:t>
      </w:r>
      <w:r>
        <w:rPr>
          <w:rFonts w:hint="eastAsia" w:ascii="宋体" w:hAnsi="宋体" w:eastAsia="宋体" w:cs="宋体"/>
          <w:color w:val="auto"/>
          <w:sz w:val="24"/>
          <w:highlight w:val="none"/>
        </w:rPr>
        <w:t>情形时，采购人可与排名下一位的中标候选人另行签订合同，或依法重新开展采购活动。</w:t>
      </w:r>
    </w:p>
    <w:p>
      <w:pPr>
        <w:pStyle w:val="8"/>
        <w:keepNext w:val="0"/>
        <w:keepLines w:val="0"/>
        <w:pageBreakBefore w:val="0"/>
        <w:widowControl w:val="0"/>
        <w:kinsoku/>
        <w:wordWrap/>
        <w:overflowPunct/>
        <w:topLinePunct w:val="0"/>
        <w:autoSpaceDE/>
        <w:autoSpaceDN/>
        <w:bidi w:val="0"/>
        <w:adjustRightInd/>
        <w:spacing w:before="0" w:after="0" w:line="400" w:lineRule="exact"/>
        <w:ind w:left="0" w:leftChars="0"/>
        <w:textAlignment w:val="auto"/>
        <w:rPr>
          <w:rFonts w:hint="eastAsia" w:ascii="宋体" w:hAnsi="宋体" w:eastAsia="宋体" w:cs="宋体"/>
          <w:color w:val="auto"/>
          <w:highlight w:val="none"/>
          <w:u w:val="none"/>
        </w:rPr>
      </w:pPr>
      <w:bookmarkStart w:id="724" w:name="_Toc4207"/>
      <w:bookmarkStart w:id="725" w:name="_Toc11867"/>
      <w:bookmarkStart w:id="726" w:name="_Toc17960"/>
      <w:bookmarkStart w:id="727" w:name="_Toc28788"/>
      <w:bookmarkStart w:id="728" w:name="_Toc26902"/>
      <w:bookmarkStart w:id="729" w:name="_Toc11467"/>
      <w:bookmarkStart w:id="730" w:name="_Toc8189"/>
      <w:bookmarkStart w:id="731" w:name="_Toc24630"/>
      <w:bookmarkStart w:id="732" w:name="_Toc15654"/>
      <w:bookmarkStart w:id="733" w:name="_Toc4849"/>
      <w:bookmarkStart w:id="734" w:name="_Toc22555"/>
      <w:bookmarkStart w:id="735" w:name="_Toc14080"/>
      <w:bookmarkStart w:id="736" w:name="_Toc515647793"/>
      <w:bookmarkStart w:id="737" w:name="_Toc16544"/>
      <w:bookmarkStart w:id="738" w:name="_Toc27707"/>
      <w:bookmarkStart w:id="739" w:name="_Toc3351"/>
      <w:bookmarkStart w:id="740" w:name="_Toc10991"/>
      <w:bookmarkStart w:id="741" w:name="_Toc32131"/>
      <w:bookmarkStart w:id="742" w:name="_Toc11471"/>
      <w:bookmarkStart w:id="743" w:name="_Toc21029"/>
      <w:bookmarkStart w:id="744" w:name="_Toc16148"/>
      <w:bookmarkStart w:id="745" w:name="_Toc4666"/>
      <w:bookmarkStart w:id="746" w:name="_Toc2817"/>
      <w:bookmarkStart w:id="747" w:name="_Toc3943"/>
      <w:bookmarkStart w:id="748" w:name="_Toc4000"/>
      <w:r>
        <w:rPr>
          <w:rFonts w:hint="eastAsia" w:ascii="宋体" w:hAnsi="宋体" w:eastAsia="宋体" w:cs="宋体"/>
          <w:color w:val="auto"/>
          <w:highlight w:val="none"/>
          <w:u w:val="none"/>
        </w:rPr>
        <w:t>31.履约保证金</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中标人应按照</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规定向采购人缴纳履约保证金。</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政府采购利用担保试点范围内的项目，除31.1规定的情形外，中标人也可以按照财政部门的规定，向采购人提供合格的履约担保函</w:t>
      </w:r>
      <w:r>
        <w:rPr>
          <w:rFonts w:hint="eastAsia" w:ascii="宋体" w:hAnsi="宋体" w:eastAsia="宋体" w:cs="宋体"/>
          <w:color w:val="auto"/>
          <w:sz w:val="24"/>
          <w:highlight w:val="none"/>
          <w:lang w:eastAsia="zh-CN"/>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749" w:name="_Toc24916"/>
      <w:bookmarkStart w:id="750" w:name="_Toc515647794"/>
      <w:bookmarkStart w:id="751" w:name="_Toc25441"/>
      <w:bookmarkStart w:id="752" w:name="_Toc16406"/>
      <w:bookmarkStart w:id="753" w:name="_Toc29408"/>
      <w:bookmarkStart w:id="754" w:name="_Toc18315"/>
      <w:bookmarkStart w:id="755" w:name="_Toc17876"/>
      <w:bookmarkStart w:id="756" w:name="_Toc15314"/>
      <w:bookmarkStart w:id="757" w:name="_Toc6220"/>
      <w:bookmarkStart w:id="758" w:name="_Toc5407"/>
      <w:bookmarkStart w:id="759" w:name="_Toc21246"/>
      <w:bookmarkStart w:id="760" w:name="_Toc11295"/>
      <w:bookmarkStart w:id="761" w:name="_Toc9967"/>
      <w:bookmarkStart w:id="762" w:name="_Toc20694"/>
      <w:bookmarkStart w:id="763" w:name="_Toc16269"/>
      <w:bookmarkStart w:id="764" w:name="_Toc455"/>
      <w:bookmarkStart w:id="765" w:name="_Toc13628"/>
      <w:bookmarkStart w:id="766" w:name="_Toc10960"/>
      <w:bookmarkStart w:id="767" w:name="_Toc21835"/>
      <w:bookmarkStart w:id="768" w:name="_Toc5886"/>
      <w:bookmarkStart w:id="769" w:name="_Toc9993"/>
      <w:bookmarkStart w:id="770" w:name="_Toc13043"/>
      <w:bookmarkStart w:id="771" w:name="_Toc14539"/>
      <w:bookmarkStart w:id="772" w:name="_Toc26497"/>
      <w:bookmarkStart w:id="773" w:name="_Toc3090"/>
      <w:r>
        <w:rPr>
          <w:rFonts w:hint="eastAsia" w:ascii="宋体" w:hAnsi="宋体" w:eastAsia="宋体" w:cs="宋体"/>
          <w:color w:val="auto"/>
          <w:highlight w:val="none"/>
          <w:u w:val="none"/>
        </w:rPr>
        <w:t>32.中标服务费</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pPr>
        <w:pageBreakBefore w:val="0"/>
        <w:widowControl w:val="0"/>
        <w:kinsoku/>
        <w:wordWrap/>
        <w:overflowPunct/>
        <w:topLinePunct w:val="0"/>
        <w:bidi w:val="0"/>
        <w:spacing w:line="360" w:lineRule="exact"/>
        <w:ind w:left="420" w:leftChars="0" w:hanging="420" w:hanging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中标人须按照</w:t>
      </w:r>
      <w:r>
        <w:rPr>
          <w:rFonts w:hint="eastAsia" w:ascii="宋体" w:hAnsi="宋体" w:eastAsia="宋体" w:cs="宋体"/>
          <w:color w:val="auto"/>
          <w:sz w:val="24"/>
          <w:highlight w:val="none"/>
          <w:u w:val="single"/>
        </w:rPr>
        <w:t>投标须知资料表</w:t>
      </w:r>
      <w:r>
        <w:rPr>
          <w:rFonts w:hint="eastAsia" w:ascii="宋体" w:hAnsi="宋体" w:eastAsia="宋体" w:cs="宋体"/>
          <w:color w:val="auto"/>
          <w:sz w:val="24"/>
          <w:highlight w:val="none"/>
        </w:rPr>
        <w:t>规定，向采购代理机构支付中标服务费。</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774" w:name="_Toc26063"/>
      <w:bookmarkStart w:id="775" w:name="_Toc14969"/>
      <w:bookmarkStart w:id="776" w:name="_Toc11639"/>
      <w:bookmarkStart w:id="777" w:name="_Toc4947"/>
      <w:bookmarkStart w:id="778" w:name="_Toc7049"/>
      <w:bookmarkStart w:id="779" w:name="_Toc23330"/>
      <w:bookmarkStart w:id="780" w:name="_Toc24525"/>
      <w:bookmarkStart w:id="781" w:name="_Toc31379"/>
      <w:bookmarkStart w:id="782" w:name="_Toc19513"/>
      <w:bookmarkStart w:id="783" w:name="_Toc17165"/>
      <w:bookmarkStart w:id="784" w:name="_Toc27338"/>
      <w:bookmarkStart w:id="785" w:name="_Toc515647795"/>
      <w:bookmarkStart w:id="786" w:name="_Toc3053"/>
      <w:bookmarkStart w:id="787" w:name="_Toc8477"/>
      <w:bookmarkStart w:id="788" w:name="_Toc10567"/>
      <w:bookmarkStart w:id="789" w:name="_Toc17910"/>
      <w:bookmarkStart w:id="790" w:name="_Toc28907"/>
      <w:bookmarkStart w:id="791" w:name="_Toc16900"/>
      <w:bookmarkStart w:id="792" w:name="_Toc6923"/>
      <w:bookmarkStart w:id="793" w:name="_Toc8007"/>
      <w:bookmarkStart w:id="794" w:name="_Toc14476"/>
      <w:bookmarkStart w:id="795" w:name="_Toc15892"/>
      <w:bookmarkStart w:id="796" w:name="_Toc20843"/>
      <w:bookmarkStart w:id="797" w:name="_Toc2399"/>
      <w:bookmarkStart w:id="798" w:name="_Toc25120"/>
      <w:r>
        <w:rPr>
          <w:rFonts w:hint="eastAsia" w:ascii="宋体" w:hAnsi="宋体" w:eastAsia="宋体" w:cs="宋体"/>
          <w:color w:val="auto"/>
          <w:highlight w:val="none"/>
          <w:u w:val="none"/>
        </w:rPr>
        <w:t>33.政府采购信用担保</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   本项目是否属于信用担保试点范围见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如属于政府采购信用担保试点范围内，中小型企业</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可以自由按照财政部门的规定，采用投标担保、履约担保和融资担保。</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33.2.1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递交的投标担保函和履约担保函应符合本招标文件的规定。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33.2.2 中标人可以采取融资担保的形式为政府采购项目履约进行融资。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33.2.3 合格的政府采购专业信用担保机构名单见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799" w:name="_Toc26274"/>
      <w:bookmarkStart w:id="800" w:name="_Toc515647796"/>
      <w:bookmarkStart w:id="801" w:name="_Toc25791"/>
      <w:bookmarkStart w:id="802" w:name="_Toc29943"/>
      <w:bookmarkStart w:id="803" w:name="_Toc27009"/>
      <w:bookmarkStart w:id="804" w:name="_Toc9095"/>
      <w:bookmarkStart w:id="805" w:name="_Toc16561"/>
      <w:bookmarkStart w:id="806" w:name="_Toc23999"/>
      <w:bookmarkStart w:id="807" w:name="_Toc28181"/>
      <w:bookmarkStart w:id="808" w:name="_Toc7384"/>
      <w:bookmarkStart w:id="809" w:name="_Toc22695"/>
      <w:bookmarkStart w:id="810" w:name="_Toc16609"/>
      <w:bookmarkStart w:id="811" w:name="_Toc11555"/>
      <w:bookmarkStart w:id="812" w:name="_Toc2133"/>
      <w:bookmarkStart w:id="813" w:name="_Toc26569"/>
      <w:bookmarkStart w:id="814" w:name="_Toc29108"/>
      <w:bookmarkStart w:id="815" w:name="_Toc152"/>
      <w:bookmarkStart w:id="816" w:name="_Toc3616"/>
      <w:bookmarkStart w:id="817" w:name="_Toc3656"/>
      <w:bookmarkStart w:id="818" w:name="_Toc7587"/>
      <w:bookmarkStart w:id="819" w:name="_Toc31178"/>
      <w:bookmarkStart w:id="820" w:name="_Toc17849"/>
      <w:bookmarkStart w:id="821" w:name="_Toc23161"/>
      <w:bookmarkStart w:id="822" w:name="_Toc29307"/>
      <w:bookmarkStart w:id="823" w:name="_Toc11552"/>
      <w:r>
        <w:rPr>
          <w:rFonts w:hint="eastAsia" w:ascii="宋体" w:hAnsi="宋体" w:eastAsia="宋体" w:cs="宋体"/>
          <w:color w:val="auto"/>
          <w:highlight w:val="none"/>
          <w:u w:val="none"/>
        </w:rPr>
        <w:t>34.廉洁自律规定</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   采购代理机构工作人员不得以不正当手段获取政府采购代理业务，不得与采购人、供应商恶意串通操纵政府采购活动。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34.2   采购代理机构工作人员不得接受采购人或者供应商组织的宴请、旅游、娱乐，不得收受礼品、现金、有价证券等，不得向采购人或者供应商报销应当由个人承担的费用。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34.3   为强化采购代理机构内部监督机制，供应商可按</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须知资料表中的</w:t>
      </w:r>
      <w:r>
        <w:rPr>
          <w:rFonts w:hint="eastAsia" w:ascii="宋体" w:hAnsi="宋体" w:eastAsia="宋体" w:cs="宋体"/>
          <w:color w:val="auto"/>
          <w:sz w:val="24"/>
          <w:highlight w:val="none"/>
        </w:rPr>
        <w:t>监督电话和邮箱，反映采购代理机构的廉洁自律等问题。</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824" w:name="_Toc5448"/>
      <w:bookmarkStart w:id="825" w:name="_Toc23126"/>
      <w:bookmarkStart w:id="826" w:name="_Toc20497"/>
      <w:bookmarkStart w:id="827" w:name="_Toc30009"/>
      <w:bookmarkStart w:id="828" w:name="_Toc14146"/>
      <w:bookmarkStart w:id="829" w:name="_Toc3535"/>
      <w:bookmarkStart w:id="830" w:name="_Toc11586"/>
      <w:bookmarkStart w:id="831" w:name="_Toc3319"/>
      <w:bookmarkStart w:id="832" w:name="_Toc29018"/>
      <w:bookmarkStart w:id="833" w:name="_Toc5918"/>
      <w:bookmarkStart w:id="834" w:name="_Toc17079"/>
      <w:bookmarkStart w:id="835" w:name="_Toc27260"/>
      <w:bookmarkStart w:id="836" w:name="_Toc31963"/>
      <w:bookmarkStart w:id="837" w:name="_Toc15534"/>
      <w:bookmarkStart w:id="838" w:name="_Toc5069"/>
      <w:bookmarkStart w:id="839" w:name="_Toc31447"/>
      <w:bookmarkStart w:id="840" w:name="_Toc29778"/>
      <w:bookmarkStart w:id="841" w:name="_Toc19556"/>
      <w:bookmarkStart w:id="842" w:name="_Toc32252"/>
      <w:bookmarkStart w:id="843" w:name="_Toc3232"/>
      <w:bookmarkStart w:id="844" w:name="_Toc4826"/>
      <w:bookmarkStart w:id="845" w:name="_Toc25127"/>
      <w:bookmarkStart w:id="846" w:name="_Toc25480"/>
      <w:bookmarkStart w:id="847" w:name="_Toc29794"/>
      <w:bookmarkStart w:id="848" w:name="_Toc515647797"/>
      <w:r>
        <w:rPr>
          <w:rFonts w:hint="eastAsia" w:ascii="宋体" w:hAnsi="宋体" w:eastAsia="宋体" w:cs="宋体"/>
          <w:color w:val="auto"/>
          <w:highlight w:val="none"/>
          <w:u w:val="none"/>
        </w:rPr>
        <w:t>35.人员回避</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认为采购人员及其相关人员有法律法规所列与其他供应商有利害关系的，可以向采购人或采购代理机构书面提出回避申请，并说明理由。</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szCs w:val="24"/>
          <w:highlight w:val="none"/>
          <w:u w:val="none"/>
        </w:rPr>
      </w:pPr>
      <w:bookmarkStart w:id="849" w:name="_Toc31362"/>
      <w:bookmarkStart w:id="850" w:name="_Toc7870"/>
      <w:bookmarkStart w:id="851" w:name="_Toc8352"/>
      <w:bookmarkStart w:id="852" w:name="_Toc6387"/>
      <w:bookmarkStart w:id="853" w:name="_Toc30943"/>
      <w:bookmarkStart w:id="854" w:name="_Toc17986"/>
      <w:bookmarkStart w:id="855" w:name="_Toc12727"/>
      <w:bookmarkStart w:id="856" w:name="_Toc12880"/>
      <w:bookmarkStart w:id="857" w:name="_Toc30120"/>
      <w:bookmarkStart w:id="858" w:name="_Toc28500"/>
      <w:bookmarkStart w:id="859" w:name="_Toc28653"/>
      <w:bookmarkStart w:id="860" w:name="_Toc14074"/>
      <w:bookmarkStart w:id="861" w:name="_Toc32326"/>
      <w:bookmarkStart w:id="862" w:name="_Toc6634"/>
      <w:bookmarkStart w:id="863" w:name="_Toc5382"/>
      <w:bookmarkStart w:id="864" w:name="_Toc21264"/>
      <w:bookmarkStart w:id="865" w:name="_Toc19309"/>
      <w:bookmarkStart w:id="866" w:name="_Toc32678"/>
      <w:bookmarkStart w:id="867" w:name="_Toc2432"/>
      <w:bookmarkStart w:id="868" w:name="_Toc8390"/>
      <w:bookmarkStart w:id="869" w:name="_Toc21197"/>
      <w:bookmarkStart w:id="870" w:name="_Toc15630"/>
      <w:r>
        <w:rPr>
          <w:rFonts w:hint="eastAsia" w:ascii="宋体" w:hAnsi="宋体" w:eastAsia="宋体" w:cs="宋体"/>
          <w:color w:val="auto"/>
          <w:highlight w:val="none"/>
          <w:u w:val="none"/>
        </w:rPr>
        <w:t>36.</w:t>
      </w:r>
      <w:bookmarkEnd w:id="849"/>
      <w:r>
        <w:rPr>
          <w:rFonts w:hint="eastAsia" w:ascii="宋体" w:hAnsi="宋体" w:eastAsia="宋体" w:cs="宋体"/>
          <w:color w:val="auto"/>
          <w:szCs w:val="24"/>
          <w:highlight w:val="none"/>
          <w:u w:val="none"/>
        </w:rPr>
        <w:t>质疑与接收</w:t>
      </w:r>
      <w:bookmarkEnd w:id="4"/>
      <w:bookmarkEnd w:id="5"/>
      <w:bookmarkEnd w:id="6"/>
      <w:bookmarkEnd w:id="7"/>
      <w:bookmarkEnd w:id="8"/>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37"/>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37"/>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36.5  采购代理机构质疑函接收部门、联系电话和通讯地址, 见</w:t>
      </w:r>
      <w:r>
        <w:rPr>
          <w:rFonts w:hint="eastAsia" w:ascii="宋体" w:hAnsi="宋体" w:eastAsia="宋体" w:cs="宋体"/>
          <w:color w:val="auto"/>
          <w:sz w:val="24"/>
          <w:highlight w:val="none"/>
          <w:u w:val="single"/>
        </w:rPr>
        <w:t>供应商须知资料表。</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widowControl w:val="0"/>
        <w:kinsoku/>
        <w:wordWrap/>
        <w:overflowPunct/>
        <w:topLinePunct w:val="0"/>
        <w:bidi w:val="0"/>
        <w:spacing w:line="360" w:lineRule="exact"/>
        <w:ind w:left="1199" w:leftChars="228"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（一）对可以质疑的采购文件提出质疑的，为收到采购文件之日或者采购文件公告期限届满之日；</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（二）对采购过程提出质疑的，为各采购程序环节结束之日；</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（三）对中标结果提出质疑的，为中标结果公告期限届满之日。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 xml:space="preserve">36.7   </w:t>
      </w:r>
      <w:r>
        <w:rPr>
          <w:rFonts w:hint="eastAsia" w:ascii="宋体" w:hAnsi="宋体" w:eastAsia="宋体" w:cs="宋体"/>
          <w:b w:val="0"/>
          <w:bCs w:val="0"/>
          <w:color w:val="auto"/>
          <w:sz w:val="24"/>
          <w:highlight w:val="none"/>
          <w:lang w:val="en-US" w:eastAsia="zh-CN"/>
        </w:rPr>
        <w:t>供应商有权提出一次质疑，不能多次提出。</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 xml:space="preserve">36.8   </w:t>
      </w:r>
      <w:r>
        <w:rPr>
          <w:rFonts w:hint="eastAsia" w:ascii="宋体" w:hAnsi="宋体" w:eastAsia="宋体" w:cs="宋体"/>
          <w:b w:val="0"/>
          <w:bCs w:val="0"/>
          <w:color w:val="auto"/>
          <w:sz w:val="24"/>
          <w:highlight w:val="none"/>
        </w:rPr>
        <w:t>对可以质</w:t>
      </w:r>
      <w:r>
        <w:rPr>
          <w:rFonts w:hint="eastAsia" w:ascii="宋体" w:hAnsi="宋体" w:eastAsia="宋体" w:cs="宋体"/>
          <w:color w:val="auto"/>
          <w:sz w:val="24"/>
          <w:highlight w:val="none"/>
        </w:rPr>
        <w:t>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开启、评审等各个采购程序环节。</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 xml:space="preserve">  提出质疑应当符合下列条件：</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（一）质疑主体应当符合有关规定；</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（二）在质疑法定期限内提出；</w:t>
      </w:r>
    </w:p>
    <w:p>
      <w:pPr>
        <w:pageBreakBefore w:val="0"/>
        <w:widowControl w:val="0"/>
        <w:kinsoku/>
        <w:wordWrap/>
        <w:overflowPunct/>
        <w:topLinePunct w:val="0"/>
        <w:bidi w:val="0"/>
        <w:spacing w:line="360" w:lineRule="exact"/>
        <w:ind w:left="959" w:leftChars="228" w:hanging="480" w:hanging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（三）属于可以提出质疑的政府采购事项受理范围和本项目采购人的管辖权范围；</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（四）政府采购法律、法规、规章规定的其他条件。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 xml:space="preserve">  质疑人所提供的证明材料应当具有真实性、合法性以及与质疑事项的关联性和证明力，否则不能作为认定该质疑事项成立的依据。</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 xml:space="preserve"> 质疑人提出质疑时应当提交质疑函。质疑函包括下列内容：</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（一）提出质疑的质疑人的名称、地址、邮编、联系人及联系电话等；</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（二）质疑项目的名称、编号；</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（四）事实依据和证明材料；</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（五）法律依据；</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（六）提出质疑的日期。</w:t>
      </w:r>
    </w:p>
    <w:p>
      <w:pPr>
        <w:pageBreakBefore w:val="0"/>
        <w:widowControl w:val="0"/>
        <w:kinsoku/>
        <w:wordWrap/>
        <w:overflowPunct/>
        <w:topLinePunct w:val="0"/>
        <w:bidi w:val="0"/>
        <w:spacing w:line="360" w:lineRule="exact"/>
        <w:ind w:left="479" w:leftChars="228"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质疑函采用实名制。质疑人为自然人的应当由本人签字，并附有效身份证明文件；质疑人为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组织的应当由法定代表人或者负责人签字并加盖公章，并附有效身份证明文件。</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 xml:space="preserve">  质疑人可以委托代理人进行质疑。代理人应当提交授权委托书。授权委</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托书应当载明委托代理的具体权限、期限和相关事项。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质疑的审查和受理</w:t>
      </w:r>
    </w:p>
    <w:p>
      <w:pPr>
        <w:pageBreakBefore w:val="0"/>
        <w:widowControl w:val="0"/>
        <w:kinsoku/>
        <w:wordWrap/>
        <w:overflowPunct/>
        <w:topLinePunct w:val="0"/>
        <w:bidi w:val="0"/>
        <w:spacing w:line="360" w:lineRule="exact"/>
        <w:ind w:left="479" w:leftChars="228"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采购方在收到质疑函后应当及时审查是否符合质疑受理条件，对符合质疑受理条件的，及时予以受理。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对不符合质疑受理条件的，分别按照下列不同情形予以处理：</w:t>
      </w:r>
    </w:p>
    <w:p>
      <w:pPr>
        <w:pageBreakBefore w:val="0"/>
        <w:widowControl w:val="0"/>
        <w:kinsoku/>
        <w:wordWrap/>
        <w:overflowPunct/>
        <w:topLinePunct w:val="0"/>
        <w:bidi w:val="0"/>
        <w:spacing w:line="360" w:lineRule="exact"/>
        <w:ind w:left="958" w:leftChars="342" w:hanging="240" w:hangingChars="1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pPr>
        <w:pageBreakBefore w:val="0"/>
        <w:widowControl w:val="0"/>
        <w:kinsoku/>
        <w:wordWrap/>
        <w:overflowPunct/>
        <w:topLinePunct w:val="0"/>
        <w:bidi w:val="0"/>
        <w:spacing w:line="360" w:lineRule="exact"/>
        <w:ind w:left="0" w:leftChars="0" w:firstLine="720" w:firstLine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（二）质疑主体不符合有关规定的，告知质疑人不予受理；</w:t>
      </w:r>
    </w:p>
    <w:p>
      <w:pPr>
        <w:pageBreakBefore w:val="0"/>
        <w:widowControl w:val="0"/>
        <w:kinsoku/>
        <w:wordWrap/>
        <w:overflowPunct/>
        <w:topLinePunct w:val="0"/>
        <w:bidi w:val="0"/>
        <w:spacing w:line="360" w:lineRule="exact"/>
        <w:ind w:left="0" w:leftChars="0" w:firstLine="720" w:firstLine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（三）超过质疑法定期限提出质疑的，告知质疑人不予受理；</w:t>
      </w:r>
    </w:p>
    <w:p>
      <w:pPr>
        <w:pageBreakBefore w:val="0"/>
        <w:widowControl w:val="0"/>
        <w:kinsoku/>
        <w:wordWrap/>
        <w:overflowPunct/>
        <w:topLinePunct w:val="0"/>
        <w:bidi w:val="0"/>
        <w:spacing w:line="360" w:lineRule="exact"/>
        <w:ind w:left="958" w:leftChars="342" w:hanging="240" w:hangingChars="1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（四）对不属于可以提出质疑的政府采购事项提出质疑的，告知质疑人不予受理；</w:t>
      </w:r>
    </w:p>
    <w:p>
      <w:pPr>
        <w:pageBreakBefore w:val="0"/>
        <w:widowControl w:val="0"/>
        <w:kinsoku/>
        <w:wordWrap/>
        <w:overflowPunct/>
        <w:topLinePunct w:val="0"/>
        <w:bidi w:val="0"/>
        <w:spacing w:line="360" w:lineRule="exact"/>
        <w:ind w:left="958" w:leftChars="342" w:hanging="240" w:hangingChars="1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（五）质疑不属于本项目采购方管辖的，告知质疑人向有管辖权的采购人提出质疑；</w:t>
      </w:r>
    </w:p>
    <w:p>
      <w:pPr>
        <w:pageBreakBefore w:val="0"/>
        <w:widowControl w:val="0"/>
        <w:kinsoku/>
        <w:wordWrap/>
        <w:overflowPunct/>
        <w:topLinePunct w:val="0"/>
        <w:bidi w:val="0"/>
        <w:spacing w:line="360" w:lineRule="exact"/>
        <w:ind w:left="0" w:leftChars="0" w:firstLine="720" w:firstLine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（六）质疑不符合其他条件的，告知质疑人不予受理。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 xml:space="preserve">  质疑的处理和答复</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 xml:space="preserve">  采购方受理质疑后，将及时把质疑函发送给被质疑人，并要求其在一定限期内提交书面答复，同时提供有关证据、依据和相关材料。</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 xml:space="preserve">  对于质疑事项中涉及的问题较多、情况比较复杂的，为了全面查清事实、取得充分的证据，采购方认为有必要时，可以进行调查取证或者组织质证。</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 xml:space="preserve">  对评审过程、中标结果提出质疑的，采购方可以组织原评审委员会协助答复质疑。</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质疑处理过程中，质疑人书面申请撤回质疑的，将终止质疑处理程序。</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36.2</w:t>
      </w:r>
      <w:r>
        <w:rPr>
          <w:rFonts w:hint="eastAsia" w:ascii="宋体" w:hAnsi="宋体" w:eastAsia="宋体" w:cs="宋体"/>
          <w:color w:val="auto"/>
          <w:sz w:val="24"/>
          <w:highlight w:val="none"/>
          <w:lang w:val="en-US" w:eastAsia="zh-CN"/>
        </w:rPr>
        <w:t xml:space="preserve">3 </w:t>
      </w:r>
      <w:r>
        <w:rPr>
          <w:rFonts w:hint="eastAsia" w:ascii="宋体" w:hAnsi="宋体" w:eastAsia="宋体" w:cs="宋体"/>
          <w:color w:val="auto"/>
          <w:sz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sz w:val="24"/>
          <w:highlight w:val="none"/>
        </w:rPr>
        <w:t>36.2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采购方将在正式受理质疑后7个工作日内作出答复。</w:t>
      </w:r>
      <w:r>
        <w:rPr>
          <w:rFonts w:hint="eastAsia" w:ascii="宋体" w:hAnsi="宋体" w:eastAsia="宋体" w:cs="宋体"/>
          <w:color w:val="auto"/>
          <w:sz w:val="24"/>
          <w:highlight w:val="none"/>
          <w:lang w:val="en-US" w:eastAsia="zh-CN"/>
        </w:rPr>
        <w:t xml:space="preserve"> </w:t>
      </w:r>
    </w:p>
    <w:p>
      <w:pPr>
        <w:pStyle w:val="37"/>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36.2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质疑答复应当包括下列内容：</w:t>
      </w:r>
    </w:p>
    <w:p>
      <w:pPr>
        <w:pStyle w:val="37"/>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（一）质疑人的姓名或者名称；</w:t>
      </w:r>
    </w:p>
    <w:p>
      <w:pPr>
        <w:pStyle w:val="37"/>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（二）收到质疑函的日期、质疑项目名称及编号；</w:t>
      </w:r>
    </w:p>
    <w:p>
      <w:pPr>
        <w:pStyle w:val="37"/>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（三）质疑事项、质疑答复的具体内容、事实依据和法律依据；</w:t>
      </w:r>
    </w:p>
    <w:p>
      <w:pPr>
        <w:pStyle w:val="37"/>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（四）告知质疑供应商依法投诉的权利；</w:t>
      </w:r>
    </w:p>
    <w:p>
      <w:pPr>
        <w:pStyle w:val="37"/>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（五）质疑答复人名称；</w:t>
      </w:r>
    </w:p>
    <w:p>
      <w:pPr>
        <w:pStyle w:val="37"/>
        <w:pageBreakBefore w:val="0"/>
        <w:widowControl w:val="0"/>
        <w:kinsoku/>
        <w:wordWrap/>
        <w:overflowPunct/>
        <w:topLinePunct w:val="0"/>
        <w:bidi w:val="0"/>
        <w:spacing w:line="360" w:lineRule="exact"/>
        <w:ind w:left="0" w:leftChars="0"/>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t>（六）答复质疑的日期。</w:t>
      </w:r>
    </w:p>
    <w:p>
      <w:pPr>
        <w:rPr>
          <w:rFonts w:hint="eastAsia" w:ascii="宋体" w:hAnsi="宋体" w:eastAsia="宋体" w:cs="宋体"/>
          <w:b/>
          <w:bCs/>
          <w:color w:val="auto"/>
          <w:sz w:val="24"/>
          <w:highlight w:val="none"/>
        </w:rPr>
      </w:pPr>
      <w:bookmarkStart w:id="871" w:name="_Toc11297"/>
      <w:bookmarkStart w:id="872" w:name="_Toc16553"/>
      <w:bookmarkStart w:id="873" w:name="_Toc27601"/>
      <w:bookmarkStart w:id="874" w:name="_Toc12088"/>
      <w:bookmarkStart w:id="875" w:name="_Toc30093"/>
      <w:bookmarkStart w:id="876" w:name="_Toc25636"/>
      <w:bookmarkStart w:id="877" w:name="_Toc8353"/>
      <w:bookmarkStart w:id="878" w:name="_Toc23411"/>
      <w:bookmarkStart w:id="879" w:name="_Toc1369"/>
      <w:bookmarkStart w:id="880" w:name="_Toc9437"/>
      <w:bookmarkStart w:id="881" w:name="_Toc2500"/>
      <w:r>
        <w:rPr>
          <w:rFonts w:hint="eastAsia" w:ascii="宋体" w:hAnsi="宋体" w:eastAsia="宋体" w:cs="宋体"/>
          <w:b/>
          <w:bCs/>
          <w:color w:val="auto"/>
          <w:sz w:val="24"/>
          <w:highlight w:val="none"/>
        </w:rPr>
        <w:br w:type="page"/>
      </w:r>
    </w:p>
    <w:p>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highlight w:val="none"/>
        </w:rPr>
      </w:pPr>
      <w:bookmarkStart w:id="882" w:name="_Toc20635"/>
      <w:bookmarkStart w:id="883" w:name="_Toc25337"/>
      <w:bookmarkStart w:id="884" w:name="_Toc18518"/>
      <w:bookmarkStart w:id="885" w:name="_Toc4085"/>
      <w:bookmarkStart w:id="886" w:name="_Toc31265"/>
      <w:bookmarkStart w:id="887" w:name="_Toc22044"/>
      <w:bookmarkStart w:id="888" w:name="_Toc19691"/>
      <w:bookmarkStart w:id="889" w:name="_Toc13879"/>
      <w:bookmarkStart w:id="890" w:name="_Toc24089"/>
      <w:bookmarkStart w:id="891" w:name="_Toc30512"/>
      <w:bookmarkStart w:id="892" w:name="_Toc14867"/>
      <w:bookmarkStart w:id="893" w:name="_Toc6839"/>
      <w:bookmarkStart w:id="894" w:name="_Toc29455"/>
      <w:bookmarkStart w:id="895" w:name="_Toc2098"/>
      <w:bookmarkStart w:id="896" w:name="_Toc20633"/>
      <w:r>
        <w:rPr>
          <w:rFonts w:hint="eastAsia" w:ascii="宋体" w:hAnsi="宋体" w:eastAsia="宋体" w:cs="宋体"/>
          <w:b/>
          <w:bCs/>
          <w:color w:val="auto"/>
          <w:sz w:val="24"/>
          <w:highlight w:val="none"/>
        </w:rPr>
        <w:t>质疑函范本</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highlight w:val="none"/>
        </w:rPr>
      </w:pPr>
    </w:p>
    <w:p>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或者其他组织的，质疑函应由法定代表人、主要负责人，或者其授权代表签字或者盖章，并加盖公章。</w:t>
      </w:r>
    </w:p>
    <w:p>
      <w:pPr>
        <w:pStyle w:val="4"/>
        <w:spacing w:line="400" w:lineRule="exact"/>
        <w:ind w:firstLine="0"/>
        <w:rPr>
          <w:rFonts w:hint="eastAsia" w:ascii="宋体" w:hAnsi="宋体" w:eastAsia="宋体" w:cs="宋体"/>
          <w:color w:val="auto"/>
          <w:kern w:val="2"/>
          <w:sz w:val="21"/>
          <w:szCs w:val="21"/>
          <w:highlight w:val="none"/>
        </w:rPr>
      </w:pPr>
      <w:r>
        <w:rPr>
          <w:rFonts w:hint="eastAsia" w:ascii="宋体" w:hAnsi="宋体" w:eastAsia="宋体" w:cs="宋体"/>
          <w:b/>
          <w:color w:val="auto"/>
          <w:szCs w:val="24"/>
          <w:highlight w:val="none"/>
        </w:rPr>
        <w:br w:type="page"/>
      </w:r>
    </w:p>
    <w:p>
      <w:pPr>
        <w:pStyle w:val="6"/>
        <w:spacing w:before="0" w:after="0" w:line="240" w:lineRule="atLeast"/>
        <w:ind w:left="1844"/>
        <w:jc w:val="center"/>
        <w:rPr>
          <w:rFonts w:hint="eastAsia" w:ascii="宋体" w:hAnsi="宋体" w:eastAsia="宋体" w:cs="宋体"/>
          <w:b/>
          <w:bCs/>
          <w:color w:val="auto"/>
          <w:szCs w:val="21"/>
          <w:highlight w:val="none"/>
        </w:rPr>
      </w:pPr>
      <w:bookmarkStart w:id="897" w:name="_Toc728"/>
      <w:bookmarkStart w:id="898" w:name="_Toc216582812"/>
      <w:bookmarkStart w:id="899" w:name="_Toc515647802"/>
      <w:bookmarkStart w:id="900" w:name="_Toc29770"/>
      <w:bookmarkStart w:id="901" w:name="_Toc23634"/>
      <w:bookmarkStart w:id="902" w:name="_Toc3574"/>
      <w:bookmarkStart w:id="903" w:name="_Toc20542"/>
      <w:bookmarkStart w:id="904" w:name="_Toc702"/>
      <w:r>
        <w:rPr>
          <w:rFonts w:hint="eastAsia" w:ascii="宋体" w:hAnsi="宋体" w:eastAsia="宋体" w:cs="宋体"/>
          <w:b/>
          <w:bCs/>
          <w:color w:val="auto"/>
          <w:szCs w:val="32"/>
          <w:highlight w:val="none"/>
        </w:rPr>
        <w:t>第2章   投标文件格式</w:t>
      </w:r>
      <w:bookmarkEnd w:id="897"/>
      <w:bookmarkEnd w:id="898"/>
      <w:bookmarkEnd w:id="899"/>
      <w:bookmarkEnd w:id="900"/>
      <w:bookmarkEnd w:id="901"/>
      <w:bookmarkEnd w:id="902"/>
      <w:bookmarkEnd w:id="903"/>
      <w:bookmarkEnd w:id="904"/>
    </w:p>
    <w:p>
      <w:pPr>
        <w:pStyle w:val="7"/>
        <w:spacing w:before="0" w:line="240" w:lineRule="atLeast"/>
        <w:ind w:left="1080" w:leftChars="257" w:hanging="540"/>
        <w:rPr>
          <w:rFonts w:hint="eastAsia" w:ascii="宋体" w:hAnsi="宋体" w:eastAsia="宋体" w:cs="宋体"/>
          <w:color w:val="auto"/>
          <w:szCs w:val="21"/>
          <w:highlight w:val="none"/>
        </w:rPr>
      </w:pPr>
      <w:bookmarkStart w:id="905" w:name="_Toc22572"/>
      <w:bookmarkStart w:id="906" w:name="_Toc32079"/>
      <w:bookmarkStart w:id="907" w:name="_Toc515647803"/>
      <w:bookmarkStart w:id="908" w:name="_Toc20235"/>
      <w:bookmarkStart w:id="909" w:name="_Toc18974"/>
      <w:bookmarkStart w:id="910" w:name="_Toc32151"/>
      <w:bookmarkStart w:id="911" w:name="_Toc32123"/>
      <w:bookmarkStart w:id="912" w:name="_Toc18694"/>
      <w:bookmarkStart w:id="913" w:name="_Toc29091"/>
      <w:bookmarkStart w:id="914" w:name="_Toc11138"/>
      <w:bookmarkStart w:id="915" w:name="_Toc16568"/>
      <w:bookmarkStart w:id="916" w:name="_Toc16750"/>
      <w:bookmarkStart w:id="917" w:name="_Toc30630"/>
      <w:bookmarkStart w:id="918" w:name="_Toc3620"/>
      <w:bookmarkStart w:id="919" w:name="_Toc30524"/>
      <w:bookmarkStart w:id="920" w:name="_Toc515647804"/>
      <w:bookmarkStart w:id="921" w:name="_Toc522"/>
      <w:bookmarkStart w:id="922" w:name="_Toc21614"/>
      <w:bookmarkStart w:id="923" w:name="_Toc14118"/>
      <w:bookmarkStart w:id="924" w:name="_Toc13595"/>
      <w:bookmarkStart w:id="925" w:name="_Toc480942349"/>
      <w:bookmarkStart w:id="926" w:name="_Toc216582813"/>
      <w:bookmarkStart w:id="927" w:name="_Toc520356217"/>
      <w:bookmarkStart w:id="928" w:name="_Ref467988698"/>
      <w:r>
        <w:rPr>
          <w:rFonts w:hint="eastAsia" w:ascii="宋体" w:hAnsi="宋体" w:eastAsia="宋体" w:cs="宋体"/>
          <w:color w:val="auto"/>
          <w:sz w:val="28"/>
          <w:szCs w:val="28"/>
          <w:highlight w:val="none"/>
        </w:rPr>
        <w:t>第一部分 开标一览表及资格证明文件</w:t>
      </w:r>
      <w:bookmarkEnd w:id="905"/>
      <w:bookmarkEnd w:id="906"/>
      <w:bookmarkEnd w:id="907"/>
      <w:bookmarkEnd w:id="908"/>
      <w:bookmarkEnd w:id="909"/>
      <w:bookmarkEnd w:id="910"/>
      <w:bookmarkEnd w:id="911"/>
      <w:bookmarkEnd w:id="912"/>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开标一览表</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具有有效的独立法人营业执照</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3、法定代表人授权书、被授权人身份证；(法定代表人投标须提供身份证)</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第二包提供《医疗器械生产企业许可证》或《医疗器械经营企业许可证》（所投产品为二类医疗器械的需提供二类医疗器械备案凭证）</w:t>
      </w:r>
      <w:r>
        <w:rPr>
          <w:rFonts w:hint="eastAsia" w:ascii="宋体" w:hAnsi="宋体" w:eastAsia="宋体" w:cs="宋体"/>
          <w:color w:val="auto"/>
          <w:kern w:val="2"/>
          <w:sz w:val="24"/>
          <w:szCs w:val="24"/>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依法缴纳近6个月任意1个月的社会保险凭据；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税务部门出具近6个月任意1个月的完税证明</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、近两年任意一年的财务审计报告；</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、提供针对本次项目《反商业贿赂承诺书》；</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缴纳投标保证金有效凭证</w:t>
      </w:r>
      <w:r>
        <w:rPr>
          <w:rFonts w:hint="eastAsia" w:ascii="宋体" w:hAnsi="宋体" w:eastAsia="宋体" w:cs="宋体"/>
          <w:color w:val="auto"/>
          <w:sz w:val="24"/>
          <w:highlight w:val="none"/>
        </w:rPr>
        <w:t>；</w:t>
      </w:r>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、供应商可提供有利于投标的其他资格证明材料。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color w:val="auto"/>
          <w:sz w:val="22"/>
          <w:szCs w:val="21"/>
          <w:highlight w:val="none"/>
          <w:lang w:eastAsia="zh-CN"/>
        </w:rPr>
      </w:pPr>
      <w:r>
        <w:rPr>
          <w:rFonts w:hint="eastAsia" w:ascii="宋体" w:hAnsi="宋体" w:eastAsia="宋体" w:cs="宋体"/>
          <w:b/>
          <w:bCs/>
          <w:color w:val="auto"/>
          <w:sz w:val="22"/>
          <w:szCs w:val="21"/>
          <w:highlight w:val="none"/>
        </w:rPr>
        <w:t>注：1、</w:t>
      </w:r>
      <w:r>
        <w:rPr>
          <w:rFonts w:hint="eastAsia" w:ascii="宋体" w:hAnsi="宋体" w:cs="宋体"/>
          <w:b/>
          <w:bCs/>
          <w:color w:val="auto"/>
          <w:sz w:val="22"/>
          <w:szCs w:val="21"/>
          <w:highlight w:val="none"/>
          <w:lang w:eastAsia="zh-CN"/>
        </w:rPr>
        <w:t>“税务部门出具近6个月任意1个月的完税证明”：①若供应商某月税收为零申报，须提供“国家税务总局电子税务局（12366.chinatax.gov.cn/bsfw/onlinetaxation/main）”的申报结果查询截图。②完税证明中“税种”非养老保险、医疗保险、失业保险、工伤保险和生育保险。请各供应商注意！</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7"/>
        <w:spacing w:before="0" w:line="400" w:lineRule="exact"/>
        <w:ind w:left="1080" w:leftChars="257" w:hanging="540"/>
        <w:rPr>
          <w:rFonts w:hint="eastAsia" w:ascii="宋体" w:hAnsi="宋体" w:eastAsia="宋体" w:cs="宋体"/>
          <w:color w:val="auto"/>
          <w:sz w:val="24"/>
          <w:szCs w:val="24"/>
          <w:highlight w:val="none"/>
        </w:rPr>
      </w:pPr>
      <w:bookmarkStart w:id="929" w:name="_Toc1414"/>
      <w:bookmarkStart w:id="930" w:name="_Toc9584"/>
      <w:bookmarkStart w:id="931" w:name="_Toc8974"/>
      <w:bookmarkStart w:id="932" w:name="_Toc17510"/>
      <w:r>
        <w:rPr>
          <w:rFonts w:hint="eastAsia" w:ascii="宋体" w:hAnsi="宋体" w:eastAsia="宋体" w:cs="宋体"/>
          <w:color w:val="auto"/>
          <w:sz w:val="24"/>
          <w:highlight w:val="none"/>
        </w:rPr>
        <w:t>1、开标一览表</w:t>
      </w:r>
      <w:bookmarkEnd w:id="913"/>
      <w:bookmarkEnd w:id="914"/>
      <w:bookmarkEnd w:id="915"/>
      <w:bookmarkEnd w:id="916"/>
      <w:bookmarkEnd w:id="917"/>
      <w:bookmarkEnd w:id="918"/>
      <w:bookmarkEnd w:id="919"/>
      <w:bookmarkEnd w:id="920"/>
      <w:bookmarkEnd w:id="921"/>
      <w:bookmarkEnd w:id="922"/>
      <w:bookmarkEnd w:id="923"/>
      <w:bookmarkEnd w:id="924"/>
      <w:bookmarkEnd w:id="929"/>
      <w:bookmarkEnd w:id="930"/>
      <w:bookmarkEnd w:id="931"/>
      <w:bookmarkEnd w:id="932"/>
    </w:p>
    <w:p>
      <w:pPr>
        <w:pStyle w:val="4"/>
        <w:tabs>
          <w:tab w:val="left" w:pos="5580"/>
        </w:tabs>
        <w:spacing w:line="400" w:lineRule="exact"/>
        <w:ind w:left="1080" w:leftChars="257" w:hanging="540"/>
        <w:jc w:val="center"/>
        <w:rPr>
          <w:rFonts w:hint="eastAsia" w:ascii="宋体" w:hAnsi="宋体" w:eastAsia="宋体" w:cs="宋体"/>
          <w:color w:val="auto"/>
          <w:highlight w:val="none"/>
        </w:rPr>
      </w:pPr>
      <w:bookmarkStart w:id="933" w:name="_Hlt520356241"/>
      <w:bookmarkEnd w:id="933"/>
      <w:bookmarkStart w:id="934" w:name="_Toc494296984"/>
      <w:r>
        <w:rPr>
          <w:rFonts w:hint="eastAsia" w:ascii="宋体" w:hAnsi="宋体" w:eastAsia="宋体" w:cs="宋体"/>
          <w:b/>
          <w:color w:val="auto"/>
          <w:highlight w:val="none"/>
        </w:rPr>
        <w:t>开标一览表</w:t>
      </w:r>
      <w:bookmarkEnd w:id="934"/>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r>
        <w:rPr>
          <w:rFonts w:hint="eastAsia" w:ascii="宋体" w:hAnsi="宋体" w:eastAsia="宋体" w:cs="宋体"/>
          <w:color w:val="auto"/>
          <w:sz w:val="24"/>
          <w:highlight w:val="none"/>
          <w:lang w:eastAsia="zh-CN"/>
        </w:rPr>
        <w:t>包号：</w:t>
      </w:r>
      <w:r>
        <w:rPr>
          <w:rFonts w:hint="eastAsia" w:ascii="宋体" w:hAnsi="宋体" w:eastAsia="宋体" w:cs="宋体"/>
          <w:color w:val="auto"/>
          <w:sz w:val="24"/>
          <w:highlight w:val="none"/>
        </w:rPr>
        <w:t xml:space="preserve">        </w:t>
      </w:r>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报价单位：人民币  </w:t>
      </w:r>
      <w:r>
        <w:rPr>
          <w:rFonts w:hint="eastAsia" w:ascii="宋体" w:hAnsi="宋体" w:eastAsia="宋体" w:cs="宋体"/>
          <w:b/>
          <w:color w:val="auto"/>
          <w:sz w:val="24"/>
          <w:highlight w:val="none"/>
        </w:rPr>
        <w:t>元</w:t>
      </w:r>
    </w:p>
    <w:tbl>
      <w:tblPr>
        <w:tblStyle w:val="26"/>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400" w:lineRule="exact"/>
              <w:ind w:right="-19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交货期</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w:t>
            </w:r>
            <w:r>
              <w:rPr>
                <w:rFonts w:hint="eastAsia" w:ascii="宋体" w:hAnsi="宋体" w:eastAsia="宋体" w:cs="宋体"/>
                <w:color w:val="auto"/>
                <w:sz w:val="24"/>
                <w:highlight w:val="none"/>
              </w:rPr>
              <w:t>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p>
            <w:pPr>
              <w:tabs>
                <w:tab w:val="left" w:pos="5580"/>
              </w:tabs>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129"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tabs>
                <w:tab w:val="left" w:pos="5580"/>
              </w:tabs>
              <w:kinsoku/>
              <w:wordWrap/>
              <w:overflowPunct/>
              <w:topLinePunct w:val="0"/>
              <w:autoSpaceDE/>
              <w:autoSpaceDN/>
              <w:bidi w:val="0"/>
              <w:adjustRightInd/>
              <w:snapToGrid/>
              <w:spacing w:line="400" w:lineRule="exact"/>
              <w:ind w:left="539" w:leftChars="0" w:hanging="539"/>
              <w:jc w:val="center"/>
              <w:textAlignment w:val="auto"/>
              <w:rPr>
                <w:rFonts w:hint="eastAsia" w:ascii="宋体" w:hAnsi="宋体" w:eastAsia="宋体" w:cs="宋体"/>
                <w:color w:val="auto"/>
                <w:sz w:val="24"/>
                <w:highlight w:val="none"/>
              </w:rPr>
            </w:pPr>
          </w:p>
        </w:tc>
      </w:tr>
    </w:tbl>
    <w:p>
      <w:pPr>
        <w:pStyle w:val="15"/>
        <w:tabs>
          <w:tab w:val="left" w:pos="5580"/>
        </w:tabs>
        <w:spacing w:line="400" w:lineRule="exact"/>
        <w:ind w:left="1080" w:leftChars="257" w:hanging="540"/>
        <w:rPr>
          <w:rFonts w:hint="eastAsia" w:ascii="宋体" w:hAnsi="宋体" w:eastAsia="宋体" w:cs="宋体"/>
          <w:color w:val="auto"/>
          <w:sz w:val="24"/>
          <w:highlight w:val="none"/>
        </w:rPr>
      </w:pPr>
    </w:p>
    <w:p>
      <w:pPr>
        <w:pStyle w:val="15"/>
        <w:tabs>
          <w:tab w:val="left" w:pos="5580"/>
        </w:tabs>
        <w:spacing w:line="400" w:lineRule="exact"/>
        <w:ind w:left="1080" w:leftChars="257" w:hanging="540"/>
        <w:rPr>
          <w:rFonts w:hint="eastAsia" w:ascii="宋体" w:hAnsi="宋体" w:eastAsia="宋体" w:cs="宋体"/>
          <w:color w:val="auto"/>
          <w:sz w:val="24"/>
          <w:highlight w:val="none"/>
          <w:u w:val="single"/>
        </w:rPr>
      </w:pPr>
    </w:p>
    <w:p>
      <w:pPr>
        <w:pStyle w:val="15"/>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pStyle w:val="15"/>
        <w:tabs>
          <w:tab w:val="left" w:pos="5580"/>
        </w:tabs>
        <w:spacing w:line="400" w:lineRule="exac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法定代表人或委托代理(签字):</w:t>
      </w:r>
      <w:r>
        <w:rPr>
          <w:rFonts w:hint="eastAsia" w:ascii="宋体" w:hAnsi="宋体" w:eastAsia="宋体" w:cs="宋体"/>
          <w:color w:val="auto"/>
          <w:sz w:val="24"/>
          <w:highlight w:val="none"/>
          <w:u w:val="single"/>
        </w:rPr>
        <w:tab/>
      </w:r>
    </w:p>
    <w:p>
      <w:pPr>
        <w:pStyle w:val="15"/>
        <w:tabs>
          <w:tab w:val="left" w:pos="5580"/>
        </w:tabs>
        <w:spacing w:line="400" w:lineRule="exact"/>
        <w:ind w:left="1080" w:leftChars="257" w:hanging="540"/>
        <w:rPr>
          <w:rFonts w:hint="eastAsia" w:ascii="宋体" w:hAnsi="宋体" w:eastAsia="宋体" w:cs="宋体"/>
          <w:color w:val="auto"/>
          <w:sz w:val="24"/>
          <w:highlight w:val="none"/>
        </w:rPr>
      </w:pPr>
    </w:p>
    <w:p>
      <w:pPr>
        <w:pStyle w:val="15"/>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注:1、此表应按供应商须知的规定装订密封。</w:t>
      </w:r>
    </w:p>
    <w:p>
      <w:pPr>
        <w:pStyle w:val="15"/>
        <w:tabs>
          <w:tab w:val="left" w:pos="5580"/>
        </w:tabs>
        <w:spacing w:line="400" w:lineRule="exact"/>
        <w:ind w:left="741" w:leftChars="353"/>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2、此表中，投标总价应和投标分项报价表的总价相一致。</w:t>
      </w:r>
    </w:p>
    <w:p>
      <w:pPr>
        <w:pStyle w:val="15"/>
        <w:tabs>
          <w:tab w:val="left" w:pos="5580"/>
        </w:tabs>
        <w:spacing w:line="400" w:lineRule="exact"/>
        <w:ind w:left="741" w:leftChars="353"/>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3、投标商报价时包含税费等一切与本次项目相关的费用。</w:t>
      </w:r>
    </w:p>
    <w:p>
      <w:pPr>
        <w:pStyle w:val="15"/>
        <w:tabs>
          <w:tab w:val="left" w:pos="5580"/>
        </w:tabs>
        <w:spacing w:line="240" w:lineRule="atLeast"/>
        <w:jc w:val="both"/>
        <w:rPr>
          <w:rFonts w:hint="eastAsia" w:ascii="宋体" w:hAnsi="宋体" w:eastAsia="宋体" w:cs="宋体"/>
          <w:b/>
          <w:color w:val="auto"/>
          <w:sz w:val="24"/>
          <w:highlight w:val="none"/>
        </w:rPr>
      </w:pPr>
    </w:p>
    <w:p>
      <w:pPr>
        <w:pStyle w:val="15"/>
        <w:tabs>
          <w:tab w:val="left" w:pos="5580"/>
        </w:tabs>
        <w:spacing w:line="240" w:lineRule="atLeast"/>
        <w:jc w:val="center"/>
        <w:rPr>
          <w:rFonts w:hint="eastAsia" w:ascii="宋体" w:hAnsi="宋体" w:eastAsia="宋体" w:cs="宋体"/>
          <w:b/>
          <w:color w:val="auto"/>
          <w:sz w:val="24"/>
          <w:highlight w:val="none"/>
        </w:rPr>
      </w:pPr>
    </w:p>
    <w:p>
      <w:pPr>
        <w:pStyle w:val="15"/>
        <w:tabs>
          <w:tab w:val="left" w:pos="5580"/>
        </w:tabs>
        <w:spacing w:line="240" w:lineRule="atLeast"/>
        <w:jc w:val="center"/>
        <w:rPr>
          <w:rFonts w:hint="eastAsia" w:ascii="宋体" w:hAnsi="宋体" w:eastAsia="宋体" w:cs="宋体"/>
          <w:b/>
          <w:color w:val="auto"/>
          <w:sz w:val="24"/>
          <w:highlight w:val="none"/>
        </w:rPr>
      </w:pPr>
    </w:p>
    <w:p>
      <w:pPr>
        <w:pStyle w:val="15"/>
        <w:tabs>
          <w:tab w:val="left" w:pos="5580"/>
        </w:tabs>
        <w:spacing w:line="240" w:lineRule="atLeast"/>
        <w:jc w:val="center"/>
        <w:rPr>
          <w:rFonts w:hint="eastAsia" w:ascii="宋体" w:hAnsi="宋体" w:eastAsia="宋体" w:cs="宋体"/>
          <w:b/>
          <w:color w:val="auto"/>
          <w:sz w:val="24"/>
          <w:highlight w:val="none"/>
        </w:rPr>
      </w:pPr>
    </w:p>
    <w:p>
      <w:pPr>
        <w:pStyle w:val="15"/>
        <w:tabs>
          <w:tab w:val="left" w:pos="5580"/>
        </w:tabs>
        <w:spacing w:line="240" w:lineRule="atLeast"/>
        <w:jc w:val="center"/>
        <w:rPr>
          <w:rFonts w:hint="eastAsia" w:ascii="宋体" w:hAnsi="宋体" w:eastAsia="宋体" w:cs="宋体"/>
          <w:b/>
          <w:color w:val="auto"/>
          <w:sz w:val="24"/>
          <w:highlight w:val="none"/>
        </w:rPr>
      </w:pPr>
    </w:p>
    <w:p>
      <w:pPr>
        <w:numPr>
          <w:ilvl w:val="0"/>
          <w:numId w:val="6"/>
        </w:numPr>
        <w:tabs>
          <w:tab w:val="left" w:pos="5580"/>
        </w:tabs>
        <w:spacing w:line="400" w:lineRule="exact"/>
        <w:outlineLvl w:val="1"/>
        <w:rPr>
          <w:rFonts w:hint="eastAsia" w:ascii="宋体" w:hAnsi="宋体" w:cs="宋体"/>
          <w:b/>
          <w:bCs/>
          <w:color w:val="auto"/>
          <w:sz w:val="24"/>
          <w:highlight w:val="none"/>
          <w:lang w:val="en-US" w:eastAsia="zh-CN"/>
        </w:rPr>
      </w:pPr>
      <w:bookmarkStart w:id="935" w:name="_Toc6759"/>
      <w:bookmarkStart w:id="936" w:name="_Toc8655"/>
      <w:bookmarkStart w:id="937" w:name="_Toc27413"/>
      <w:bookmarkStart w:id="938" w:name="_Toc5470"/>
      <w:r>
        <w:rPr>
          <w:rFonts w:hint="eastAsia" w:ascii="宋体" w:hAnsi="宋体" w:cs="宋体"/>
          <w:b/>
          <w:bCs/>
          <w:color w:val="auto"/>
          <w:sz w:val="24"/>
          <w:highlight w:val="none"/>
          <w:lang w:val="en-US" w:eastAsia="zh-CN"/>
        </w:rPr>
        <w:t>具有有效的独立法人营业执照；</w:t>
      </w:r>
      <w:bookmarkEnd w:id="935"/>
      <w:bookmarkEnd w:id="936"/>
      <w:bookmarkEnd w:id="937"/>
    </w:p>
    <w:p>
      <w:pPr>
        <w:numPr>
          <w:ilvl w:val="0"/>
          <w:numId w:val="0"/>
        </w:numPr>
        <w:outlineLvl w:val="9"/>
        <w:rPr>
          <w:rFonts w:hint="eastAsia"/>
          <w:color w:val="auto"/>
          <w:highlight w:val="none"/>
          <w:lang w:val="en-US" w:eastAsia="zh-CN"/>
        </w:rPr>
      </w:pPr>
    </w:p>
    <w:p>
      <w:pPr>
        <w:pStyle w:val="4"/>
        <w:outlineLvl w:val="9"/>
        <w:rPr>
          <w:rFonts w:hint="eastAsia"/>
          <w:color w:val="auto"/>
          <w:highlight w:val="none"/>
          <w:lang w:val="en-US" w:eastAsia="zh-CN"/>
        </w:rPr>
      </w:pPr>
    </w:p>
    <w:p>
      <w:pPr>
        <w:pStyle w:val="5"/>
        <w:outlineLvl w:val="9"/>
        <w:rPr>
          <w:rFonts w:hint="eastAsia"/>
          <w:color w:val="auto"/>
          <w:highlight w:val="none"/>
          <w:lang w:val="en-US" w:eastAsia="zh-CN"/>
        </w:rPr>
      </w:pPr>
    </w:p>
    <w:p>
      <w:pPr>
        <w:outlineLvl w:val="9"/>
        <w:rPr>
          <w:rFonts w:hint="eastAsia"/>
          <w:color w:val="auto"/>
          <w:highlight w:val="none"/>
          <w:lang w:val="en-US" w:eastAsia="zh-CN"/>
        </w:rPr>
      </w:pPr>
    </w:p>
    <w:p>
      <w:pPr>
        <w:outlineLvl w:val="9"/>
        <w:rPr>
          <w:rFonts w:hint="eastAsia"/>
          <w:color w:val="auto"/>
          <w:highlight w:val="none"/>
          <w:lang w:val="en-US" w:eastAsia="zh-CN"/>
        </w:rPr>
      </w:pPr>
    </w:p>
    <w:p>
      <w:pPr>
        <w:pStyle w:val="4"/>
        <w:outlineLvl w:val="9"/>
        <w:rPr>
          <w:rFonts w:hint="eastAsia"/>
          <w:color w:val="auto"/>
          <w:highlight w:val="none"/>
          <w:lang w:val="en-US" w:eastAsia="zh-CN"/>
        </w:rPr>
      </w:pPr>
    </w:p>
    <w:p>
      <w:pPr>
        <w:pStyle w:val="5"/>
        <w:outlineLvl w:val="9"/>
        <w:rPr>
          <w:rFonts w:hint="eastAsia"/>
          <w:color w:val="auto"/>
          <w:highlight w:val="none"/>
          <w:lang w:val="en-US" w:eastAsia="zh-CN"/>
        </w:rPr>
      </w:pPr>
    </w:p>
    <w:p>
      <w:pPr>
        <w:outlineLvl w:val="9"/>
        <w:rPr>
          <w:rFonts w:hint="eastAsia"/>
          <w:color w:val="auto"/>
          <w:highlight w:val="none"/>
          <w:lang w:val="en-US" w:eastAsia="zh-CN"/>
        </w:rPr>
      </w:pPr>
    </w:p>
    <w:p>
      <w:pPr>
        <w:outlineLvl w:val="9"/>
        <w:rPr>
          <w:rFonts w:hint="eastAsia"/>
          <w:color w:val="auto"/>
          <w:highlight w:val="none"/>
          <w:lang w:val="en-US" w:eastAsia="zh-CN"/>
        </w:rPr>
      </w:pPr>
    </w:p>
    <w:p>
      <w:pPr>
        <w:pStyle w:val="4"/>
        <w:rPr>
          <w:rFonts w:hint="eastAsia"/>
          <w:color w:val="auto"/>
          <w:highlight w:val="none"/>
          <w:lang w:val="en-US" w:eastAsia="zh-CN"/>
        </w:rPr>
      </w:pPr>
    </w:p>
    <w:p>
      <w:pPr>
        <w:numPr>
          <w:ilvl w:val="0"/>
          <w:numId w:val="0"/>
        </w:numPr>
        <w:tabs>
          <w:tab w:val="left" w:pos="5580"/>
        </w:tabs>
        <w:spacing w:line="400" w:lineRule="exact"/>
        <w:outlineLvl w:val="1"/>
        <w:rPr>
          <w:rFonts w:hint="eastAsia" w:ascii="宋体" w:hAnsi="宋体" w:eastAsia="宋体" w:cs="宋体"/>
          <w:b/>
          <w:bCs/>
          <w:color w:val="auto"/>
          <w:sz w:val="24"/>
          <w:highlight w:val="none"/>
          <w:lang w:val="en-US" w:eastAsia="zh-CN"/>
        </w:rPr>
      </w:pPr>
      <w:bookmarkStart w:id="939" w:name="_Toc2742"/>
      <w:bookmarkStart w:id="940" w:name="_Toc32613"/>
      <w:bookmarkStart w:id="941" w:name="_Toc32261"/>
      <w:r>
        <w:rPr>
          <w:rFonts w:hint="eastAsia" w:ascii="宋体" w:hAnsi="宋体" w:cs="宋体"/>
          <w:b/>
          <w:bCs/>
          <w:color w:val="auto"/>
          <w:sz w:val="24"/>
          <w:highlight w:val="none"/>
          <w:lang w:val="en-US" w:eastAsia="zh-CN"/>
        </w:rPr>
        <w:t>3、</w:t>
      </w:r>
      <w:bookmarkEnd w:id="938"/>
      <w:r>
        <w:rPr>
          <w:rFonts w:hint="eastAsia" w:ascii="宋体" w:hAnsi="宋体" w:eastAsia="宋体" w:cs="宋体"/>
          <w:b/>
          <w:bCs/>
          <w:color w:val="auto"/>
          <w:sz w:val="24"/>
          <w:highlight w:val="none"/>
          <w:lang w:val="en-US" w:eastAsia="zh-CN"/>
        </w:rPr>
        <w:t>法定代表人授权书、被授权人身份证；(法定代表人投标须提供身份证)</w:t>
      </w:r>
      <w:bookmarkEnd w:id="939"/>
      <w:bookmarkEnd w:id="940"/>
      <w:bookmarkEnd w:id="941"/>
    </w:p>
    <w:p>
      <w:pPr>
        <w:adjustRightInd w:val="0"/>
        <w:snapToGrid w:val="0"/>
        <w:spacing w:before="240" w:beforeLines="100" w:after="240" w:afterLines="100" w:line="400" w:lineRule="exact"/>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法定代表人身份证</w:t>
      </w:r>
    </w:p>
    <w:p>
      <w:pPr>
        <w:snapToGrid w:val="0"/>
        <w:spacing w:before="0" w:beforeAutospacing="0" w:after="0" w:afterAutospacing="0" w:line="400" w:lineRule="exact"/>
        <w:ind w:firstLine="240" w:firstLineChars="100"/>
        <w:jc w:val="both"/>
        <w:textAlignment w:val="baseline"/>
        <w:rPr>
          <w:rFonts w:hint="eastAsia" w:ascii="宋体" w:hAnsi="宋体" w:eastAsia="宋体" w:cs="宋体"/>
          <w:b/>
          <w:bCs/>
          <w:i w:val="0"/>
          <w:caps w:val="0"/>
          <w:color w:val="auto"/>
          <w:spacing w:val="0"/>
          <w:w w:val="100"/>
          <w:sz w:val="24"/>
          <w:szCs w:val="20"/>
          <w:highlight w:val="none"/>
          <w:lang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bookmarkStart w:id="942" w:name="_Toc21867"/>
      <w:bookmarkStart w:id="943" w:name="_Toc16640"/>
      <w:bookmarkStart w:id="944" w:name="_Toc5436"/>
      <w:bookmarkStart w:id="945" w:name="_Toc22472"/>
      <w:bookmarkStart w:id="946" w:name="_Toc6829"/>
      <w:bookmarkStart w:id="947" w:name="_Toc1083"/>
      <w:bookmarkStart w:id="948" w:name="_Toc515647807"/>
      <w:bookmarkStart w:id="949" w:name="_Toc13107"/>
    </w:p>
    <w:p>
      <w:pPr>
        <w:pStyle w:val="21"/>
        <w:snapToGrid w:val="0"/>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18"/>
          <w:highlight w:val="none"/>
          <w:lang w:eastAsia="zh-CN"/>
        </w:rPr>
      </w:pPr>
    </w:p>
    <w:p>
      <w:pPr>
        <w:snapToGrid w:val="0"/>
        <w:spacing w:before="0" w:beforeAutospacing="0" w:after="0" w:afterAutospacing="0" w:line="240" w:lineRule="auto"/>
        <w:jc w:val="both"/>
        <w:textAlignment w:val="baseline"/>
        <w:rPr>
          <w:rFonts w:hint="eastAsia" w:ascii="宋体" w:hAnsi="宋体" w:eastAsia="宋体" w:cs="宋体"/>
          <w:b w:val="0"/>
          <w:i w:val="0"/>
          <w:caps w:val="0"/>
          <w:color w:val="auto"/>
          <w:spacing w:val="0"/>
          <w:w w:val="100"/>
          <w:sz w:val="24"/>
          <w:szCs w:val="20"/>
          <w:highlight w:val="none"/>
        </w:rPr>
      </w:pPr>
      <w:r>
        <w:rPr>
          <w:rFonts w:hint="eastAsia" w:ascii="宋体" w:hAnsi="宋体" w:eastAsia="宋体" w:cs="宋体"/>
          <w:b w:val="0"/>
          <w:i w:val="0"/>
          <w:caps w:val="0"/>
          <w:color w:val="auto"/>
          <w:spacing w:val="0"/>
          <w:w w:val="100"/>
          <w:sz w:val="24"/>
          <w:szCs w:val="20"/>
          <w:highlight w:val="none"/>
        </w:rPr>
        <mc:AlternateContent>
          <mc:Choice Requires="wps">
            <w:drawing>
              <wp:anchor distT="0" distB="0" distL="0" distR="0" simplePos="0" relativeHeight="251666432" behindDoc="0" locked="0" layoutInCell="1" allowOverlap="1">
                <wp:simplePos x="0" y="0"/>
                <wp:positionH relativeFrom="column">
                  <wp:posOffset>154305</wp:posOffset>
                </wp:positionH>
                <wp:positionV relativeFrom="paragraph">
                  <wp:posOffset>10795</wp:posOffset>
                </wp:positionV>
                <wp:extent cx="2114550" cy="1375410"/>
                <wp:effectExtent l="4445" t="4445" r="14605" b="6985"/>
                <wp:wrapNone/>
                <wp:docPr id="1026" name="1026"/>
                <wp:cNvGraphicFramePr/>
                <a:graphic xmlns:a="http://schemas.openxmlformats.org/drawingml/2006/main">
                  <a:graphicData uri="http://schemas.microsoft.com/office/word/2010/wordprocessingShape">
                    <wps:wsp>
                      <wps:cNvSpPr/>
                      <wps:spPr>
                        <a:xfrm>
                          <a:off x="0" y="0"/>
                          <a:ext cx="21145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1026" o:spid="_x0000_s1026" o:spt="176" type="#_x0000_t176" style="position:absolute;left:0pt;margin-left:12.15pt;margin-top:0.85pt;height:108.3pt;width:166.5pt;z-index:251666432;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nXif1QAAAAgBAAAPAAAAAAAAAAEAIAAAACIAAABkcnMvZG93&#10;bnJldi54bWxQSwECFAAUAAAACACHTuJAI9EnHQMCAAA+BAAADgAAAAAAAAABACAAAAAkAQAAZHJz&#10;L2Uyb0RvYy54bWxQSwUGAAAAAAYABgBZAQAAm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eastAsia="宋体" w:cs="宋体"/>
          <w:b w:val="0"/>
          <w:i w:val="0"/>
          <w:caps w:val="0"/>
          <w:color w:val="auto"/>
          <w:spacing w:val="0"/>
          <w:w w:val="100"/>
          <w:sz w:val="24"/>
          <w:szCs w:val="20"/>
          <w:highlight w:val="none"/>
        </w:rPr>
        <mc:AlternateContent>
          <mc:Choice Requires="wps">
            <w:drawing>
              <wp:anchor distT="0" distB="0" distL="0" distR="0" simplePos="0" relativeHeight="251666432" behindDoc="0" locked="0" layoutInCell="1" allowOverlap="1">
                <wp:simplePos x="0" y="0"/>
                <wp:positionH relativeFrom="column">
                  <wp:posOffset>2918460</wp:posOffset>
                </wp:positionH>
                <wp:positionV relativeFrom="paragraph">
                  <wp:posOffset>28575</wp:posOffset>
                </wp:positionV>
                <wp:extent cx="2077085" cy="1385570"/>
                <wp:effectExtent l="7620" t="7620" r="18415" b="8890"/>
                <wp:wrapNone/>
                <wp:docPr id="1027" name="1027"/>
                <wp:cNvGraphicFramePr/>
                <a:graphic xmlns:a="http://schemas.openxmlformats.org/drawingml/2006/main">
                  <a:graphicData uri="http://schemas.microsoft.com/office/word/2010/wordprocessingShape">
                    <wps:wsp>
                      <wps:cNvSpPr/>
                      <wps:spPr>
                        <a:xfrm>
                          <a:off x="0" y="0"/>
                          <a:ext cx="2077084" cy="1385570"/>
                        </a:xfrm>
                        <a:prstGeom prst="roundRect">
                          <a:avLst>
                            <a:gd name="adj" fmla="val 0"/>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r>
                              <w:rPr>
                                <w:rFonts w:hint="eastAsia"/>
                              </w:rPr>
                              <w:t>法定代表人身份证复印件</w:t>
                            </w:r>
                          </w:p>
                          <w:p>
                            <w:pPr>
                              <w:pStyle w:val="4"/>
                            </w:pPr>
                          </w:p>
                          <w:p>
                            <w:pPr>
                              <w:pStyle w:val="4"/>
                            </w:pPr>
                          </w:p>
                          <w:p>
                            <w:pPr>
                              <w:pStyle w:val="4"/>
                            </w:pPr>
                          </w:p>
                          <w:p>
                            <w:pPr>
                              <w:pStyle w:val="4"/>
                            </w:pPr>
                          </w:p>
                        </w:txbxContent>
                      </wps:txbx>
                      <wps:bodyPr upright="1"/>
                    </wps:wsp>
                  </a:graphicData>
                </a:graphic>
              </wp:anchor>
            </w:drawing>
          </mc:Choice>
          <mc:Fallback>
            <w:pict>
              <v:roundrect id="1027" o:spid="_x0000_s1026" o:spt="2" style="position:absolute;left:0pt;margin-left:229.8pt;margin-top:2.25pt;height:109.1pt;width:163.55pt;z-index:251666432;mso-width-relative:page;mso-height-relative:page;" fillcolor="#FFFFFF" filled="t" stroked="t" coordsize="21600,21600" arcsize="0"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z9yTZ2gAAAAkBAAAPAAAAAAAAAAEAIAAA&#10;ACIAAABkcnMvZG93bnJldi54bWxQSwECFAAUAAAACACHTuJABru/pQoCAABXBAAADgAAAAAAAAAB&#10;ACAAAAApAQAAZHJzL2Uyb0RvYy54bWxQSwUGAAAAAAYABgBZAQAApQU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r>
                        <w:rPr>
                          <w:rFonts w:hint="eastAsia"/>
                        </w:rPr>
                        <w:t>法定代表人身份证复印件</w:t>
                      </w:r>
                    </w:p>
                    <w:p>
                      <w:pPr>
                        <w:pStyle w:val="4"/>
                      </w:pPr>
                    </w:p>
                    <w:p>
                      <w:pPr>
                        <w:pStyle w:val="4"/>
                      </w:pPr>
                    </w:p>
                    <w:p>
                      <w:pPr>
                        <w:pStyle w:val="4"/>
                      </w:pPr>
                    </w:p>
                    <w:p>
                      <w:pPr>
                        <w:pStyle w:val="4"/>
                      </w:pPr>
                    </w:p>
                  </w:txbxContent>
                </v:textbox>
              </v:roundrect>
            </w:pict>
          </mc:Fallback>
        </mc:AlternateContent>
      </w:r>
    </w:p>
    <w:p>
      <w:pPr>
        <w:snapToGrid w:val="0"/>
        <w:spacing w:before="0" w:beforeAutospacing="0" w:after="0" w:afterAutospacing="0" w:line="240" w:lineRule="auto"/>
        <w:jc w:val="both"/>
        <w:textAlignment w:val="baseline"/>
        <w:rPr>
          <w:rFonts w:hint="eastAsia" w:ascii="宋体" w:hAnsi="宋体" w:eastAsia="宋体" w:cs="宋体"/>
          <w:b w:val="0"/>
          <w:i w:val="0"/>
          <w:caps w:val="0"/>
          <w:color w:val="auto"/>
          <w:spacing w:val="0"/>
          <w:w w:val="100"/>
          <w:sz w:val="24"/>
          <w:szCs w:val="20"/>
          <w:highlight w:val="none"/>
        </w:rPr>
      </w:pPr>
    </w:p>
    <w:p>
      <w:pPr>
        <w:pStyle w:val="21"/>
        <w:snapToGrid w:val="0"/>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24"/>
          <w:szCs w:val="20"/>
          <w:highlight w:val="none"/>
        </w:rPr>
      </w:pPr>
    </w:p>
    <w:p>
      <w:pPr>
        <w:pStyle w:val="21"/>
        <w:snapToGrid w:val="0"/>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24"/>
          <w:szCs w:val="20"/>
          <w:highlight w:val="none"/>
        </w:rPr>
      </w:pPr>
    </w:p>
    <w:p>
      <w:pPr>
        <w:pStyle w:val="21"/>
        <w:snapToGrid w:val="0"/>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24"/>
          <w:szCs w:val="20"/>
          <w:highlight w:val="none"/>
        </w:rPr>
      </w:pPr>
    </w:p>
    <w:p>
      <w:pPr>
        <w:pStyle w:val="21"/>
        <w:snapToGrid w:val="0"/>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24"/>
          <w:szCs w:val="20"/>
          <w:highlight w:val="none"/>
        </w:rPr>
      </w:pPr>
    </w:p>
    <w:p>
      <w:pPr>
        <w:pStyle w:val="21"/>
        <w:snapToGrid w:val="0"/>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24"/>
          <w:szCs w:val="20"/>
          <w:highlight w:val="none"/>
        </w:rPr>
      </w:pPr>
    </w:p>
    <w:p>
      <w:pPr>
        <w:snapToGrid w:val="0"/>
        <w:spacing w:before="0" w:beforeAutospacing="0" w:after="0" w:afterAutospacing="0" w:line="400" w:lineRule="exact"/>
        <w:ind w:firstLine="240" w:firstLineChars="100"/>
        <w:jc w:val="both"/>
        <w:textAlignment w:val="baseline"/>
        <w:rPr>
          <w:rFonts w:hint="eastAsia" w:ascii="宋体" w:hAnsi="宋体" w:eastAsia="宋体" w:cs="宋体"/>
          <w:b/>
          <w:bCs/>
          <w:i w:val="0"/>
          <w:caps w:val="0"/>
          <w:color w:val="auto"/>
          <w:spacing w:val="0"/>
          <w:w w:val="100"/>
          <w:sz w:val="24"/>
          <w:szCs w:val="20"/>
          <w:highlight w:val="none"/>
          <w:lang w:eastAsia="zh-CN"/>
        </w:rPr>
      </w:pPr>
      <w:r>
        <w:rPr>
          <w:rFonts w:hint="eastAsia" w:ascii="宋体" w:hAnsi="宋体" w:eastAsia="宋体" w:cs="宋体"/>
          <w:b w:val="0"/>
          <w:i w:val="0"/>
          <w:caps w:val="0"/>
          <w:color w:val="auto"/>
          <w:spacing w:val="0"/>
          <w:w w:val="100"/>
          <w:sz w:val="24"/>
          <w:szCs w:val="20"/>
          <w:highlight w:val="none"/>
        </w:rPr>
        <w:t xml:space="preserve">  </w:t>
      </w:r>
      <w:r>
        <w:rPr>
          <w:rFonts w:hint="eastAsia" w:ascii="宋体" w:hAnsi="宋体" w:eastAsia="宋体" w:cs="宋体"/>
          <w:b/>
          <w:bCs/>
          <w:i w:val="0"/>
          <w:caps w:val="0"/>
          <w:color w:val="auto"/>
          <w:spacing w:val="0"/>
          <w:w w:val="100"/>
          <w:sz w:val="24"/>
          <w:szCs w:val="20"/>
          <w:highlight w:val="none"/>
          <w:lang w:val="en-US" w:eastAsia="zh-CN"/>
        </w:rPr>
        <w:t xml:space="preserve">   注</w:t>
      </w:r>
      <w:r>
        <w:rPr>
          <w:rFonts w:hint="eastAsia" w:ascii="宋体" w:hAnsi="宋体" w:cs="宋体"/>
          <w:b w:val="0"/>
          <w:i w:val="0"/>
          <w:caps w:val="0"/>
          <w:color w:val="auto"/>
          <w:spacing w:val="0"/>
          <w:w w:val="100"/>
          <w:sz w:val="24"/>
          <w:szCs w:val="20"/>
          <w:highlight w:val="none"/>
          <w:lang w:val="en-US" w:eastAsia="zh-CN"/>
        </w:rPr>
        <w:t>：</w:t>
      </w:r>
      <w:r>
        <w:rPr>
          <w:rFonts w:hint="eastAsia" w:ascii="宋体" w:hAnsi="宋体" w:eastAsia="宋体" w:cs="宋体"/>
          <w:b/>
          <w:bCs/>
          <w:i w:val="0"/>
          <w:caps w:val="0"/>
          <w:color w:val="auto"/>
          <w:spacing w:val="0"/>
          <w:w w:val="100"/>
          <w:sz w:val="24"/>
          <w:szCs w:val="20"/>
          <w:highlight w:val="none"/>
        </w:rPr>
        <w:t>提供</w:t>
      </w:r>
      <w:r>
        <w:rPr>
          <w:rFonts w:hint="eastAsia" w:ascii="宋体" w:hAnsi="宋体" w:eastAsia="宋体" w:cs="宋体"/>
          <w:b/>
          <w:bCs/>
          <w:i w:val="0"/>
          <w:caps w:val="0"/>
          <w:color w:val="auto"/>
          <w:spacing w:val="0"/>
          <w:w w:val="100"/>
          <w:sz w:val="24"/>
          <w:szCs w:val="20"/>
          <w:highlight w:val="none"/>
          <w:lang w:val="en-US" w:eastAsia="zh-CN"/>
        </w:rPr>
        <w:t>法定代表人</w:t>
      </w:r>
      <w:r>
        <w:rPr>
          <w:rFonts w:hint="eastAsia" w:ascii="宋体" w:hAnsi="宋体" w:eastAsia="宋体" w:cs="宋体"/>
          <w:b/>
          <w:bCs/>
          <w:i w:val="0"/>
          <w:caps w:val="0"/>
          <w:color w:val="auto"/>
          <w:spacing w:val="0"/>
          <w:w w:val="100"/>
          <w:sz w:val="24"/>
          <w:szCs w:val="20"/>
          <w:highlight w:val="none"/>
        </w:rPr>
        <w:t>身份证</w:t>
      </w:r>
      <w:r>
        <w:rPr>
          <w:rFonts w:hint="eastAsia" w:ascii="宋体" w:hAnsi="宋体" w:eastAsia="宋体" w:cs="宋体"/>
          <w:b/>
          <w:bCs/>
          <w:i w:val="0"/>
          <w:caps w:val="0"/>
          <w:color w:val="auto"/>
          <w:spacing w:val="0"/>
          <w:w w:val="100"/>
          <w:sz w:val="24"/>
          <w:szCs w:val="20"/>
          <w:highlight w:val="none"/>
          <w:lang w:val="en-US" w:eastAsia="zh-CN"/>
        </w:rPr>
        <w:t>正反面</w:t>
      </w:r>
      <w:r>
        <w:rPr>
          <w:rFonts w:hint="eastAsia" w:ascii="宋体" w:hAnsi="宋体" w:eastAsia="宋体" w:cs="宋体"/>
          <w:b/>
          <w:bCs/>
          <w:i w:val="0"/>
          <w:caps w:val="0"/>
          <w:color w:val="auto"/>
          <w:spacing w:val="0"/>
          <w:w w:val="100"/>
          <w:sz w:val="24"/>
          <w:szCs w:val="20"/>
          <w:highlight w:val="none"/>
        </w:rPr>
        <w:t>复印件</w:t>
      </w:r>
    </w:p>
    <w:p>
      <w:pPr>
        <w:snapToGrid w:val="0"/>
        <w:spacing w:before="0" w:beforeAutospacing="0" w:after="0" w:afterAutospacing="0" w:line="240" w:lineRule="auto"/>
        <w:ind w:right="246"/>
        <w:jc w:val="both"/>
        <w:textAlignment w:val="baseline"/>
        <w:rPr>
          <w:rFonts w:hint="eastAsia" w:ascii="宋体" w:hAnsi="宋体" w:eastAsia="宋体" w:cs="宋体"/>
          <w:b w:val="0"/>
          <w:i w:val="0"/>
          <w:caps w:val="0"/>
          <w:color w:val="auto"/>
          <w:spacing w:val="0"/>
          <w:w w:val="100"/>
          <w:sz w:val="24"/>
          <w:szCs w:val="20"/>
          <w:highlight w:val="none"/>
        </w:rPr>
      </w:pPr>
      <w:r>
        <w:rPr>
          <w:rFonts w:hint="eastAsia" w:ascii="宋体" w:hAnsi="宋体" w:eastAsia="宋体" w:cs="宋体"/>
          <w:b w:val="0"/>
          <w:i w:val="0"/>
          <w:caps w:val="0"/>
          <w:color w:val="auto"/>
          <w:spacing w:val="0"/>
          <w:w w:val="100"/>
          <w:sz w:val="24"/>
          <w:szCs w:val="20"/>
          <w:highlight w:val="none"/>
        </w:rPr>
        <w:t xml:space="preserve">              </w:t>
      </w:r>
    </w:p>
    <w:p>
      <w:pPr>
        <w:pStyle w:val="15"/>
        <w:tabs>
          <w:tab w:val="left" w:pos="5580"/>
        </w:tabs>
        <w:snapToGrid w:val="0"/>
        <w:spacing w:before="0" w:beforeAutospacing="0" w:after="0" w:afterAutospacing="0" w:line="400" w:lineRule="exact"/>
        <w:ind w:left="1080" w:leftChars="257" w:hanging="54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供应商名称（公章）：</w:t>
      </w:r>
      <w:r>
        <w:rPr>
          <w:rFonts w:hint="eastAsia" w:ascii="宋体" w:hAnsi="宋体" w:eastAsia="宋体" w:cs="宋体"/>
          <w:b w:val="0"/>
          <w:i w:val="0"/>
          <w:caps w:val="0"/>
          <w:color w:val="auto"/>
          <w:spacing w:val="0"/>
          <w:w w:val="100"/>
          <w:sz w:val="24"/>
          <w:highlight w:val="none"/>
          <w:u w:val="single" w:color="000000"/>
        </w:rPr>
        <w:t xml:space="preserve">                       </w:t>
      </w:r>
    </w:p>
    <w:p>
      <w:pPr>
        <w:snapToGrid w:val="0"/>
        <w:spacing w:before="0" w:beforeAutospacing="0" w:after="0" w:afterAutospacing="0" w:line="400" w:lineRule="exact"/>
        <w:ind w:firstLine="784" w:firstLineChars="327"/>
        <w:jc w:val="both"/>
        <w:textAlignment w:val="baseline"/>
        <w:rPr>
          <w:rFonts w:hint="eastAsia" w:ascii="宋体" w:hAnsi="宋体" w:eastAsia="宋体" w:cs="宋体"/>
          <w:b w:val="0"/>
          <w:i w:val="0"/>
          <w:caps w:val="0"/>
          <w:color w:val="auto"/>
          <w:spacing w:val="0"/>
          <w:w w:val="100"/>
          <w:sz w:val="24"/>
          <w:szCs w:val="20"/>
          <w:highlight w:val="none"/>
        </w:rPr>
      </w:pPr>
      <w:r>
        <w:rPr>
          <w:rFonts w:hint="eastAsia" w:ascii="宋体" w:hAnsi="宋体" w:eastAsia="宋体" w:cs="宋体"/>
          <w:b w:val="0"/>
          <w:i w:val="0"/>
          <w:caps w:val="0"/>
          <w:color w:val="auto"/>
          <w:spacing w:val="0"/>
          <w:w w:val="100"/>
          <w:sz w:val="24"/>
          <w:szCs w:val="20"/>
          <w:highlight w:val="none"/>
        </w:rPr>
        <w:t>法定代表人签字或</w:t>
      </w:r>
      <w:r>
        <w:rPr>
          <w:rFonts w:hint="eastAsia" w:ascii="宋体" w:hAnsi="宋体" w:eastAsia="宋体" w:cs="宋体"/>
          <w:b w:val="0"/>
          <w:i w:val="0"/>
          <w:caps w:val="0"/>
          <w:color w:val="auto"/>
          <w:spacing w:val="0"/>
          <w:w w:val="100"/>
          <w:sz w:val="24"/>
          <w:highlight w:val="none"/>
        </w:rPr>
        <w:t>（签/章）</w:t>
      </w:r>
      <w:r>
        <w:rPr>
          <w:rFonts w:hint="eastAsia" w:ascii="宋体" w:hAnsi="宋体" w:eastAsia="宋体" w:cs="宋体"/>
          <w:b w:val="0"/>
          <w:i w:val="0"/>
          <w:caps w:val="0"/>
          <w:color w:val="auto"/>
          <w:spacing w:val="0"/>
          <w:w w:val="100"/>
          <w:sz w:val="24"/>
          <w:szCs w:val="20"/>
          <w:highlight w:val="none"/>
        </w:rPr>
        <w:t xml:space="preserve">：                    </w:t>
      </w:r>
    </w:p>
    <w:p>
      <w:pPr>
        <w:snapToGrid w:val="0"/>
        <w:spacing w:before="0" w:beforeAutospacing="0" w:after="0" w:afterAutospacing="0" w:line="400" w:lineRule="exact"/>
        <w:ind w:firstLine="784" w:firstLineChars="327"/>
        <w:jc w:val="both"/>
        <w:textAlignment w:val="baseline"/>
        <w:rPr>
          <w:rFonts w:hint="eastAsia" w:ascii="宋体" w:hAnsi="宋体" w:eastAsia="宋体" w:cs="宋体"/>
          <w:b w:val="0"/>
          <w:i w:val="0"/>
          <w:caps w:val="0"/>
          <w:color w:val="auto"/>
          <w:spacing w:val="0"/>
          <w:w w:val="100"/>
          <w:sz w:val="24"/>
          <w:szCs w:val="20"/>
          <w:highlight w:val="none"/>
        </w:rPr>
      </w:pPr>
      <w:r>
        <w:rPr>
          <w:rFonts w:hint="eastAsia" w:ascii="宋体" w:hAnsi="宋体" w:eastAsia="宋体" w:cs="宋体"/>
          <w:b w:val="0"/>
          <w:i w:val="0"/>
          <w:caps w:val="0"/>
          <w:color w:val="auto"/>
          <w:spacing w:val="0"/>
          <w:w w:val="100"/>
          <w:sz w:val="24"/>
          <w:szCs w:val="20"/>
          <w:highlight w:val="none"/>
        </w:rPr>
        <w:t xml:space="preserve">日期：                                       </w:t>
      </w:r>
    </w:p>
    <w:p>
      <w:pPr>
        <w:pStyle w:val="15"/>
        <w:tabs>
          <w:tab w:val="left" w:pos="5580"/>
        </w:tabs>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说明：1.提供有效的营业执照等证明文件复印件，复印件上应加盖本单位章。</w:t>
      </w:r>
    </w:p>
    <w:p>
      <w:pPr>
        <w:pStyle w:val="15"/>
        <w:tabs>
          <w:tab w:val="left" w:pos="5580"/>
        </w:tabs>
        <w:snapToGrid w:val="0"/>
        <w:spacing w:before="0" w:beforeAutospacing="0" w:after="0" w:afterAutospacing="0" w:line="400" w:lineRule="exact"/>
        <w:ind w:left="1080" w:leftChars="257" w:hanging="54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xml:space="preserve">  2. 供应商为自然人的，应提供身份证明的复印件。</w:t>
      </w:r>
    </w:p>
    <w:p>
      <w:pPr>
        <w:pStyle w:val="15"/>
        <w:tabs>
          <w:tab w:val="left" w:pos="5580"/>
        </w:tabs>
        <w:snapToGrid w:val="0"/>
        <w:spacing w:before="0" w:beforeAutospacing="0" w:after="0" w:afterAutospacing="0" w:line="400" w:lineRule="exact"/>
        <w:ind w:left="1080" w:leftChars="257" w:hanging="54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xml:space="preserve">  3.联合体投标应提供联合体各方满足以上要求的证明文件。</w:t>
      </w:r>
    </w:p>
    <w:p>
      <w:pPr>
        <w:pStyle w:val="15"/>
        <w:tabs>
          <w:tab w:val="left" w:pos="5580"/>
        </w:tabs>
        <w:spacing w:line="400" w:lineRule="exact"/>
        <w:ind w:left="1080" w:leftChars="257" w:hanging="540"/>
        <w:rPr>
          <w:rFonts w:hint="eastAsia" w:ascii="宋体" w:hAnsi="宋体" w:eastAsia="宋体" w:cs="宋体"/>
          <w:color w:val="auto"/>
          <w:sz w:val="24"/>
          <w:highlight w:val="none"/>
        </w:rPr>
      </w:pPr>
    </w:p>
    <w:p>
      <w:pPr>
        <w:pStyle w:val="15"/>
        <w:tabs>
          <w:tab w:val="left" w:pos="5580"/>
        </w:tabs>
        <w:spacing w:line="400" w:lineRule="exact"/>
        <w:ind w:left="1080" w:leftChars="257" w:hanging="540"/>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540" w:leftChars="257" w:firstLine="0"/>
        <w:jc w:val="center"/>
        <w:textAlignment w:val="auto"/>
        <w:rPr>
          <w:rFonts w:hint="eastAsia" w:ascii="宋体" w:hAnsi="宋体" w:eastAsia="宋体" w:cs="宋体"/>
          <w:color w:val="auto"/>
          <w:sz w:val="24"/>
          <w:highlight w:val="none"/>
        </w:rPr>
      </w:pPr>
      <w:bookmarkStart w:id="950" w:name="_Toc24769"/>
      <w:bookmarkStart w:id="951" w:name="_Toc32380"/>
      <w:bookmarkStart w:id="952" w:name="_Toc6179"/>
      <w:r>
        <w:rPr>
          <w:rFonts w:hint="eastAsia" w:ascii="宋体" w:hAnsi="宋体" w:eastAsia="宋体" w:cs="宋体"/>
          <w:b/>
          <w:bCs/>
          <w:color w:val="auto"/>
          <w:sz w:val="24"/>
          <w:highlight w:val="none"/>
        </w:rPr>
        <w:t>法定代表人授权委托书</w:t>
      </w:r>
      <w:bookmarkEnd w:id="942"/>
      <w:bookmarkEnd w:id="943"/>
      <w:bookmarkEnd w:id="944"/>
      <w:bookmarkEnd w:id="945"/>
      <w:bookmarkEnd w:id="946"/>
      <w:bookmarkEnd w:id="947"/>
      <w:bookmarkEnd w:id="948"/>
      <w:bookmarkEnd w:id="949"/>
      <w:bookmarkEnd w:id="950"/>
      <w:bookmarkEnd w:id="951"/>
      <w:bookmarkEnd w:id="952"/>
      <w:bookmarkStart w:id="953" w:name="_Toc32520"/>
      <w:bookmarkStart w:id="954" w:name="_Toc515647808"/>
      <w:bookmarkStart w:id="955" w:name="_Toc7039"/>
      <w:r>
        <w:rPr>
          <w:rFonts w:hint="eastAsia" w:ascii="宋体" w:hAnsi="宋体" w:eastAsia="宋体" w:cs="宋体"/>
          <w:color w:val="auto"/>
          <w:sz w:val="24"/>
          <w:highlight w:val="none"/>
        </w:rPr>
        <w:cr/>
      </w:r>
      <w:r>
        <w:rPr>
          <w:rFonts w:hint="eastAsia" w:ascii="宋体" w:hAnsi="宋体" w:eastAsia="宋体" w:cs="宋体"/>
          <w:color w:val="auto"/>
          <w:sz w:val="24"/>
          <w:highlight w:val="none"/>
        </w:rPr>
        <w:t xml:space="preserve">    本授权书声明：注册于（国家或地区的名称）的（供应商）的在下面签字的（</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姓名、职务）代表我单位授权（单位名称）的在下面签字的（被授权人的姓名、职务）为我单位的合法代理人，就（项目名称）的投标，以我单位名义处理一切与之有关的事务。　　</w:t>
      </w:r>
    </w:p>
    <w:p>
      <w:pPr>
        <w:pStyle w:val="15"/>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本授权书于           年     月     日签字生效,特此声明。</w:t>
      </w:r>
    </w:p>
    <w:p>
      <w:pPr>
        <w:pStyle w:val="15"/>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028"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pPr>
                              <w:ind w:firstLine="630" w:firstLineChars="300"/>
                              <w:jc w:val="both"/>
                            </w:pPr>
                            <w:r>
                              <w:rPr>
                                <w:rFonts w:hint="eastAsia" w:hAnsi="宋体"/>
                              </w:rPr>
                              <w:t>授权委托人身份证复印件</w:t>
                            </w:r>
                          </w:p>
                          <w:p/>
                        </w:txbxContent>
                      </wps:txbx>
                      <wps:bodyPr upright="1"/>
                    </wps:wsp>
                  </a:graphicData>
                </a:graphic>
              </wp:anchor>
            </w:drawing>
          </mc:Choice>
          <mc:Fallback>
            <w:pict>
              <v:roundrect id="圆角矩形 15" o:spid="_x0000_s1026" o:spt="2" style="position:absolute;left:0pt;margin-left:239.3pt;margin-top:7.65pt;height:109.25pt;width:195.15pt;z-index:251659264;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extPLAIAAGY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pPr>
                        <w:ind w:firstLine="630" w:firstLineChars="300"/>
                        <w:jc w:val="both"/>
                      </w:pPr>
                      <w:r>
                        <w:rPr>
                          <w:rFonts w:hint="eastAsia" w:hAnsi="宋体"/>
                        </w:rPr>
                        <w:t>授权委托人身份证复印件</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rFonts w:hint="eastAsia" w:eastAsia="宋体"/>
                                <w:lang w:eastAsia="zh-CN"/>
                              </w:rPr>
                            </w:pPr>
                            <w:r>
                              <w:rPr>
                                <w:rFonts w:hint="eastAsia" w:hAnsi="宋体"/>
                              </w:rPr>
                              <w:t>授权委托人身份证复印</w:t>
                            </w:r>
                            <w:r>
                              <w:rPr>
                                <w:rFonts w:hint="eastAsia" w:hAnsi="宋体"/>
                                <w:lang w:eastAsia="zh-CN"/>
                              </w:rPr>
                              <w:t>件</w:t>
                            </w:r>
                          </w:p>
                        </w:txbxContent>
                      </wps:txbx>
                      <wps:bodyPr upright="1"/>
                    </wps:wsp>
                  </a:graphicData>
                </a:graphic>
              </wp:anchor>
            </w:drawing>
          </mc:Choice>
          <mc:Fallback>
            <w:pict>
              <v:shape id="流程图: 可选过程 19" o:spid="_x0000_s1026" o:spt="176" type="#_x0000_t176" style="position:absolute;left:0pt;margin-left:1.65pt;margin-top:10.7pt;height:110.7pt;width:197.45pt;z-index:251659264;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S6tt1wAAAAgBAAAPAAAAAAAAAAEAIAAAACIAAABkcnMvZG93bnJldi54bWxQSwEC&#10;FAAUAAAACACHTuJAbjjyqS4CAABUBAAADgAAAAAAAAABACAAAAAmAQAAZHJzL2Uyb0RvYy54bWxQ&#10;SwUGAAAAAAYABgBZAQAAxg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rFonts w:hint="eastAsia" w:eastAsia="宋体"/>
                          <w:lang w:eastAsia="zh-CN"/>
                        </w:rPr>
                      </w:pPr>
                      <w:r>
                        <w:rPr>
                          <w:rFonts w:hint="eastAsia" w:hAnsi="宋体"/>
                        </w:rPr>
                        <w:t>授权委托人身份证复印</w:t>
                      </w:r>
                      <w:r>
                        <w:rPr>
                          <w:rFonts w:hint="eastAsia" w:hAnsi="宋体"/>
                          <w:lang w:eastAsia="zh-CN"/>
                        </w:rPr>
                        <w:t>件</w:t>
                      </w:r>
                    </w:p>
                  </w:txbxContent>
                </v:textbox>
              </v:shape>
            </w:pict>
          </mc:Fallback>
        </mc:AlternateContent>
      </w:r>
    </w:p>
    <w:p>
      <w:pPr>
        <w:pStyle w:val="15"/>
        <w:tabs>
          <w:tab w:val="left" w:pos="5580"/>
        </w:tabs>
        <w:spacing w:line="240" w:lineRule="atLeast"/>
        <w:ind w:left="1080" w:leftChars="257" w:hanging="540"/>
        <w:rPr>
          <w:rFonts w:hint="eastAsia" w:ascii="宋体" w:hAnsi="宋体" w:eastAsia="宋体" w:cs="宋体"/>
          <w:color w:val="auto"/>
          <w:sz w:val="24"/>
          <w:highlight w:val="none"/>
        </w:rPr>
      </w:pPr>
    </w:p>
    <w:p>
      <w:pPr>
        <w:pStyle w:val="15"/>
        <w:tabs>
          <w:tab w:val="left" w:pos="5580"/>
        </w:tabs>
        <w:spacing w:line="240" w:lineRule="atLeast"/>
        <w:rPr>
          <w:rFonts w:hint="eastAsia" w:ascii="宋体" w:hAnsi="宋体" w:eastAsia="宋体" w:cs="宋体"/>
          <w:color w:val="auto"/>
          <w:sz w:val="24"/>
          <w:highlight w:val="none"/>
        </w:rPr>
      </w:pPr>
    </w:p>
    <w:p>
      <w:pPr>
        <w:pStyle w:val="15"/>
        <w:tabs>
          <w:tab w:val="left" w:pos="5580"/>
        </w:tabs>
        <w:spacing w:line="240" w:lineRule="atLeast"/>
        <w:rPr>
          <w:rFonts w:hint="eastAsia" w:ascii="宋体" w:hAnsi="宋体" w:eastAsia="宋体" w:cs="宋体"/>
          <w:color w:val="auto"/>
          <w:sz w:val="24"/>
          <w:highlight w:val="none"/>
        </w:rPr>
      </w:pPr>
    </w:p>
    <w:p>
      <w:pPr>
        <w:pStyle w:val="15"/>
        <w:tabs>
          <w:tab w:val="left" w:pos="5580"/>
        </w:tabs>
        <w:spacing w:line="240" w:lineRule="atLeast"/>
        <w:rPr>
          <w:rFonts w:hint="eastAsia" w:ascii="宋体" w:hAnsi="宋体" w:eastAsia="宋体" w:cs="宋体"/>
          <w:color w:val="auto"/>
          <w:sz w:val="24"/>
          <w:highlight w:val="none"/>
        </w:rPr>
      </w:pPr>
    </w:p>
    <w:p>
      <w:pPr>
        <w:pStyle w:val="15"/>
        <w:tabs>
          <w:tab w:val="left" w:pos="5580"/>
        </w:tabs>
        <w:spacing w:line="240" w:lineRule="atLeast"/>
        <w:rPr>
          <w:rFonts w:hint="eastAsia" w:ascii="宋体" w:hAnsi="宋体" w:eastAsia="宋体" w:cs="宋体"/>
          <w:color w:val="auto"/>
          <w:sz w:val="24"/>
          <w:highlight w:val="none"/>
        </w:rPr>
      </w:pPr>
    </w:p>
    <w:p>
      <w:pPr>
        <w:pStyle w:val="15"/>
        <w:tabs>
          <w:tab w:val="left" w:pos="5580"/>
        </w:tabs>
        <w:spacing w:line="240" w:lineRule="atLeast"/>
        <w:ind w:left="1080" w:leftChars="257" w:hanging="540"/>
        <w:rPr>
          <w:rFonts w:hint="eastAsia" w:ascii="宋体" w:hAnsi="宋体" w:eastAsia="宋体" w:cs="宋体"/>
          <w:color w:val="auto"/>
          <w:sz w:val="24"/>
          <w:highlight w:val="none"/>
        </w:rPr>
      </w:pPr>
    </w:p>
    <w:p>
      <w:pPr>
        <w:pStyle w:val="15"/>
        <w:tabs>
          <w:tab w:val="left" w:pos="5580"/>
        </w:tabs>
        <w:spacing w:line="240" w:lineRule="atLeast"/>
        <w:ind w:left="1080" w:leftChars="257" w:hanging="540"/>
        <w:rPr>
          <w:rFonts w:hint="eastAsia" w:ascii="宋体" w:hAnsi="宋体" w:eastAsia="宋体" w:cs="宋体"/>
          <w:color w:val="auto"/>
          <w:sz w:val="24"/>
          <w:highlight w:val="none"/>
        </w:rPr>
      </w:pPr>
    </w:p>
    <w:p>
      <w:pPr>
        <w:pStyle w:val="15"/>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highlight w:val="none"/>
                              </w:rPr>
                            </w:pPr>
                            <w:r>
                              <w:rPr>
                                <w:rFonts w:hint="eastAsia" w:hAnsi="宋体"/>
                                <w:highlight w:val="none"/>
                              </w:rPr>
                              <w:t>法</w:t>
                            </w:r>
                            <w:r>
                              <w:rPr>
                                <w:rFonts w:hint="eastAsia" w:hAnsi="宋体"/>
                                <w:highlight w:val="none"/>
                                <w:lang w:eastAsia="zh-CN"/>
                              </w:rPr>
                              <w:t>定代表人</w:t>
                            </w:r>
                            <w:r>
                              <w:rPr>
                                <w:rFonts w:hint="eastAsia" w:hAnsi="宋体"/>
                                <w:highlight w:val="none"/>
                              </w:rPr>
                              <w:t>身份证复印件</w:t>
                            </w:r>
                          </w:p>
                          <w:p/>
                        </w:txbxContent>
                      </wps:txbx>
                      <wps:bodyPr upright="1"/>
                    </wps:wsp>
                  </a:graphicData>
                </a:graphic>
              </wp:anchor>
            </w:drawing>
          </mc:Choice>
          <mc:Fallback>
            <w:pict>
              <v:roundrect id="圆角矩形 16" o:spid="_x0000_s1026" o:spt="2" style="position:absolute;left:0pt;margin-left:2.35pt;margin-top:18.55pt;height:110.95pt;width:201.2pt;z-index:251659264;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1cJUzZAAAACAEAAA8AAAAAAAAAAQAgAAAAIgAAAGRycy9kb3ducmV2LnhtbFBLAQIU&#10;ABQAAAAIAIdO4kAwn2ooKwIAAGYEAAAOAAAAAAAAAAEAIAAAACgBAABkcnMvZTJvRG9jLnhtbFBL&#10;BQYAAAAABgAGAFkBAADF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highlight w:val="none"/>
                        </w:rPr>
                      </w:pPr>
                      <w:r>
                        <w:rPr>
                          <w:rFonts w:hint="eastAsia" w:hAnsi="宋体"/>
                          <w:highlight w:val="none"/>
                        </w:rPr>
                        <w:t>法</w:t>
                      </w:r>
                      <w:r>
                        <w:rPr>
                          <w:rFonts w:hint="eastAsia" w:hAnsi="宋体"/>
                          <w:highlight w:val="none"/>
                          <w:lang w:eastAsia="zh-CN"/>
                        </w:rPr>
                        <w:t>定代表人</w:t>
                      </w:r>
                      <w:r>
                        <w:rPr>
                          <w:rFonts w:hint="eastAsia" w:hAnsi="宋体"/>
                          <w:highlight w:val="none"/>
                        </w:rPr>
                        <w:t>身份证复印件</w:t>
                      </w:r>
                    </w:p>
                    <w:p/>
                  </w:txbxContent>
                </v:textbox>
              </v:roundrect>
            </w:pict>
          </mc:Fallback>
        </mc:AlternateContent>
      </w:r>
    </w:p>
    <w:p>
      <w:pPr>
        <w:pStyle w:val="15"/>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3028315</wp:posOffset>
                </wp:positionH>
                <wp:positionV relativeFrom="paragraph">
                  <wp:posOffset>140335</wp:posOffset>
                </wp:positionV>
                <wp:extent cx="2535555" cy="1252220"/>
                <wp:effectExtent l="7620" t="7620" r="9525" b="16510"/>
                <wp:wrapNone/>
                <wp:docPr id="1031" name="圆角矩形 13"/>
                <wp:cNvGraphicFramePr/>
                <a:graphic xmlns:a="http://schemas.openxmlformats.org/drawingml/2006/main">
                  <a:graphicData uri="http://schemas.microsoft.com/office/word/2010/wordprocessingShape">
                    <wps:wsp>
                      <wps:cNvSpPr/>
                      <wps:spPr>
                        <a:xfrm>
                          <a:off x="0" y="0"/>
                          <a:ext cx="2535554" cy="12522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txbxContent>
                      </wps:txbx>
                      <wps:bodyPr upright="1"/>
                    </wps:wsp>
                  </a:graphicData>
                </a:graphic>
              </wp:anchor>
            </w:drawing>
          </mc:Choice>
          <mc:Fallback>
            <w:pict>
              <v:roundrect id="圆角矩形 13" o:spid="_x0000_s1026" o:spt="2" style="position:absolute;left:0pt;margin-left:238.45pt;margin-top:11.05pt;height:98.6pt;width:199.65pt;z-index:251659264;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bhb8+2wAAAAoBAAAPAAAAAAAAAAEAIAAAACIAAABkcnMvZG93bnJldi54bWxQ&#10;SwECFAAUAAAACACHTuJA1/Zebi0CAABmBAAADgAAAAAAAAABACAAAAAqAQAAZHJzL2Uyb0RvYy54&#10;bWxQSwUGAAAAAAYABgBZAQAAyQ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txbxContent>
                </v:textbox>
              </v:roundrect>
            </w:pict>
          </mc:Fallback>
        </mc:AlternateContent>
      </w:r>
    </w:p>
    <w:p>
      <w:pPr>
        <w:pStyle w:val="15"/>
        <w:tabs>
          <w:tab w:val="left" w:pos="5580"/>
        </w:tabs>
        <w:spacing w:line="240" w:lineRule="atLeast"/>
        <w:rPr>
          <w:rFonts w:hint="eastAsia" w:ascii="宋体" w:hAnsi="宋体" w:eastAsia="宋体" w:cs="宋体"/>
          <w:color w:val="auto"/>
          <w:sz w:val="24"/>
          <w:highlight w:val="none"/>
        </w:rPr>
      </w:pPr>
    </w:p>
    <w:p>
      <w:pPr>
        <w:pStyle w:val="15"/>
        <w:tabs>
          <w:tab w:val="left" w:pos="5580"/>
        </w:tabs>
        <w:spacing w:line="240" w:lineRule="atLeast"/>
        <w:rPr>
          <w:rFonts w:hint="eastAsia" w:ascii="宋体" w:hAnsi="宋体" w:eastAsia="宋体" w:cs="宋体"/>
          <w:color w:val="auto"/>
          <w:sz w:val="24"/>
          <w:highlight w:val="none"/>
        </w:rPr>
      </w:pPr>
    </w:p>
    <w:p>
      <w:pPr>
        <w:pStyle w:val="15"/>
        <w:tabs>
          <w:tab w:val="left" w:pos="5580"/>
        </w:tabs>
        <w:spacing w:line="240" w:lineRule="atLeast"/>
        <w:rPr>
          <w:rFonts w:hint="eastAsia" w:ascii="宋体" w:hAnsi="宋体" w:eastAsia="宋体" w:cs="宋体"/>
          <w:color w:val="auto"/>
          <w:sz w:val="24"/>
          <w:highlight w:val="none"/>
        </w:rPr>
      </w:pPr>
    </w:p>
    <w:p>
      <w:pPr>
        <w:pStyle w:val="15"/>
        <w:tabs>
          <w:tab w:val="left" w:pos="5580"/>
        </w:tabs>
        <w:spacing w:line="240" w:lineRule="atLeast"/>
        <w:rPr>
          <w:rFonts w:hint="eastAsia" w:ascii="宋体" w:hAnsi="宋体" w:eastAsia="宋体" w:cs="宋体"/>
          <w:color w:val="auto"/>
          <w:sz w:val="24"/>
          <w:highlight w:val="none"/>
        </w:rPr>
      </w:pPr>
    </w:p>
    <w:p>
      <w:pPr>
        <w:pStyle w:val="15"/>
        <w:tabs>
          <w:tab w:val="left" w:pos="5580"/>
        </w:tabs>
        <w:spacing w:line="240" w:lineRule="atLeast"/>
        <w:rPr>
          <w:rFonts w:hint="eastAsia" w:ascii="宋体" w:hAnsi="宋体" w:eastAsia="宋体" w:cs="宋体"/>
          <w:color w:val="auto"/>
          <w:sz w:val="24"/>
          <w:highlight w:val="none"/>
        </w:rPr>
      </w:pPr>
    </w:p>
    <w:p>
      <w:pPr>
        <w:pStyle w:val="15"/>
        <w:tabs>
          <w:tab w:val="left" w:pos="5580"/>
        </w:tabs>
        <w:spacing w:line="240" w:lineRule="atLeast"/>
        <w:rPr>
          <w:rFonts w:hint="eastAsia" w:ascii="宋体" w:hAnsi="宋体" w:eastAsia="宋体" w:cs="宋体"/>
          <w:color w:val="auto"/>
          <w:sz w:val="24"/>
          <w:highlight w:val="none"/>
        </w:rPr>
      </w:pPr>
    </w:p>
    <w:p>
      <w:pPr>
        <w:pStyle w:val="15"/>
        <w:tabs>
          <w:tab w:val="left" w:pos="5580"/>
        </w:tabs>
        <w:spacing w:line="240" w:lineRule="atLeast"/>
        <w:rPr>
          <w:rFonts w:hint="eastAsia" w:ascii="宋体" w:hAnsi="宋体" w:eastAsia="宋体" w:cs="宋体"/>
          <w:color w:val="auto"/>
          <w:sz w:val="24"/>
          <w:highlight w:val="none"/>
        </w:rPr>
      </w:pPr>
    </w:p>
    <w:p>
      <w:pPr>
        <w:pStyle w:val="15"/>
        <w:tabs>
          <w:tab w:val="left" w:pos="5580"/>
        </w:tabs>
        <w:spacing w:line="240" w:lineRule="atLeast"/>
        <w:rPr>
          <w:rFonts w:hint="eastAsia" w:ascii="宋体" w:hAnsi="宋体" w:eastAsia="宋体" w:cs="宋体"/>
          <w:color w:val="auto"/>
          <w:sz w:val="24"/>
          <w:highlight w:val="none"/>
        </w:rPr>
      </w:pPr>
    </w:p>
    <w:p>
      <w:pPr>
        <w:pStyle w:val="15"/>
        <w:tabs>
          <w:tab w:val="left" w:pos="5580"/>
        </w:tabs>
        <w:spacing w:line="240" w:lineRule="atLeast"/>
        <w:ind w:left="1080" w:leftChars="257" w:hanging="540"/>
        <w:rPr>
          <w:rFonts w:hint="eastAsia" w:ascii="宋体" w:hAnsi="宋体" w:eastAsia="宋体" w:cs="宋体"/>
          <w:color w:val="auto"/>
          <w:sz w:val="24"/>
          <w:highlight w:val="none"/>
        </w:rPr>
      </w:pPr>
    </w:p>
    <w:p>
      <w:pPr>
        <w:ind w:firstLine="482" w:firstLineChars="200"/>
        <w:outlineLvl w:val="9"/>
        <w:rPr>
          <w:rFonts w:hint="eastAsia" w:ascii="宋体" w:hAnsi="宋体" w:eastAsia="宋体" w:cs="宋体"/>
          <w:b/>
          <w:bCs/>
          <w:color w:val="auto"/>
          <w:highlight w:val="none"/>
          <w:u w:val="none"/>
          <w:lang w:eastAsia="zh-CN"/>
        </w:rPr>
      </w:pPr>
      <w:r>
        <w:rPr>
          <w:rFonts w:hint="eastAsia" w:ascii="宋体" w:hAnsi="宋体" w:eastAsia="宋体" w:cs="宋体"/>
          <w:b/>
          <w:bCs/>
          <w:color w:val="auto"/>
          <w:sz w:val="24"/>
          <w:szCs w:val="20"/>
          <w:highlight w:val="none"/>
          <w:u w:val="none"/>
          <w:lang w:eastAsia="zh-CN"/>
        </w:rPr>
        <w:t>注：须提供身份证正反面。</w:t>
      </w:r>
    </w:p>
    <w:p>
      <w:pPr>
        <w:pStyle w:val="15"/>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none"/>
        </w:rPr>
        <w:t xml:space="preserve">                       </w:t>
      </w:r>
    </w:p>
    <w:p>
      <w:pPr>
        <w:pStyle w:val="15"/>
        <w:tabs>
          <w:tab w:val="left" w:pos="5580"/>
        </w:tabs>
        <w:spacing w:line="400" w:lineRule="exact"/>
        <w:ind w:left="1079" w:leftChars="257" w:hanging="53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w:t>
      </w:r>
      <w:r>
        <w:rPr>
          <w:rFonts w:hint="eastAsia" w:ascii="宋体" w:hAnsi="宋体" w:eastAsia="宋体" w:cs="宋体"/>
          <w:color w:val="auto"/>
          <w:sz w:val="24"/>
          <w:szCs w:val="24"/>
          <w:highlight w:val="none"/>
        </w:rPr>
        <w:t>（签/章）</w:t>
      </w:r>
      <w:r>
        <w:rPr>
          <w:rFonts w:hint="eastAsia" w:ascii="宋体" w:hAnsi="宋体" w:eastAsia="宋体" w:cs="宋体"/>
          <w:color w:val="auto"/>
          <w:sz w:val="24"/>
          <w:highlight w:val="none"/>
        </w:rPr>
        <w:t>：</w:t>
      </w:r>
    </w:p>
    <w:p>
      <w:pPr>
        <w:pStyle w:val="15"/>
        <w:tabs>
          <w:tab w:val="left" w:pos="5580"/>
        </w:tabs>
        <w:spacing w:line="400" w:lineRule="exact"/>
        <w:ind w:left="1079" w:leftChars="257" w:hanging="53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身份证号码：</w:t>
      </w:r>
    </w:p>
    <w:p>
      <w:pPr>
        <w:pStyle w:val="15"/>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szCs w:val="24"/>
          <w:highlight w:val="none"/>
        </w:rPr>
        <w:t>（签/章）</w:t>
      </w:r>
      <w:r>
        <w:rPr>
          <w:rFonts w:hint="eastAsia" w:ascii="宋体" w:hAnsi="宋体" w:eastAsia="宋体" w:cs="宋体"/>
          <w:color w:val="auto"/>
          <w:sz w:val="24"/>
          <w:highlight w:val="none"/>
        </w:rPr>
        <w:t xml:space="preserve">：                                </w:t>
      </w:r>
    </w:p>
    <w:p>
      <w:pPr>
        <w:pStyle w:val="15"/>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身份证号码：                                 </w:t>
      </w:r>
    </w:p>
    <w:p>
      <w:pPr>
        <w:pStyle w:val="15"/>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详细通讯地址：                               </w:t>
      </w:r>
    </w:p>
    <w:p>
      <w:pPr>
        <w:pStyle w:val="15"/>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邮 政 编 码 ：                               </w:t>
      </w:r>
    </w:p>
    <w:p>
      <w:pPr>
        <w:pStyle w:val="15"/>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传　　　　真：                              </w:t>
      </w:r>
    </w:p>
    <w:p>
      <w:pPr>
        <w:pStyle w:val="15"/>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  </w:t>
      </w:r>
    </w:p>
    <w:p>
      <w:pPr>
        <w:pStyle w:val="15"/>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bookmarkEnd w:id="953"/>
      <w:bookmarkEnd w:id="954"/>
      <w:bookmarkEnd w:id="955"/>
    </w:p>
    <w:p>
      <w:pPr>
        <w:pStyle w:val="15"/>
        <w:tabs>
          <w:tab w:val="left" w:pos="5580"/>
        </w:tabs>
        <w:spacing w:line="400" w:lineRule="exact"/>
        <w:ind w:left="1079" w:leftChars="257" w:hanging="539"/>
        <w:rPr>
          <w:rFonts w:hint="eastAsia" w:ascii="宋体" w:hAnsi="宋体" w:eastAsia="宋体" w:cs="宋体"/>
          <w:color w:val="auto"/>
          <w:sz w:val="24"/>
          <w:highlight w:val="none"/>
        </w:rPr>
      </w:pPr>
    </w:p>
    <w:p>
      <w:pPr>
        <w:pStyle w:val="15"/>
        <w:tabs>
          <w:tab w:val="left" w:pos="5580"/>
        </w:tabs>
        <w:spacing w:line="400" w:lineRule="exact"/>
        <w:ind w:left="1079" w:leftChars="257" w:hanging="539"/>
        <w:rPr>
          <w:rFonts w:hint="eastAsia" w:ascii="宋体" w:hAnsi="宋体" w:eastAsia="宋体" w:cs="宋体"/>
          <w:color w:val="auto"/>
          <w:sz w:val="24"/>
          <w:highlight w:val="none"/>
        </w:rPr>
      </w:pPr>
    </w:p>
    <w:p>
      <w:pPr>
        <w:pStyle w:val="15"/>
        <w:tabs>
          <w:tab w:val="left" w:pos="5580"/>
        </w:tabs>
        <w:spacing w:line="400" w:lineRule="exact"/>
        <w:ind w:left="1079" w:leftChars="257" w:hanging="539"/>
        <w:rPr>
          <w:rFonts w:hint="eastAsia" w:ascii="宋体" w:hAnsi="宋体" w:eastAsia="宋体" w:cs="宋体"/>
          <w:color w:val="auto"/>
          <w:sz w:val="24"/>
          <w:highlight w:val="none"/>
        </w:rPr>
      </w:pPr>
    </w:p>
    <w:p>
      <w:pPr>
        <w:pStyle w:val="15"/>
        <w:tabs>
          <w:tab w:val="left" w:pos="5580"/>
        </w:tabs>
        <w:spacing w:line="400" w:lineRule="exact"/>
        <w:outlineLvl w:val="1"/>
        <w:rPr>
          <w:rFonts w:hint="eastAsia" w:ascii="宋体" w:hAnsi="宋体" w:eastAsia="宋体" w:cs="宋体"/>
          <w:b/>
          <w:color w:val="auto"/>
          <w:kern w:val="0"/>
          <w:sz w:val="24"/>
          <w:highlight w:val="none"/>
          <w:lang w:val="en-US" w:eastAsia="zh-CN"/>
        </w:rPr>
      </w:pPr>
      <w:bookmarkStart w:id="956" w:name="_Toc24559"/>
      <w:r>
        <w:rPr>
          <w:rFonts w:hint="eastAsia" w:hAnsi="宋体" w:cs="宋体"/>
          <w:b/>
          <w:color w:val="auto"/>
          <w:kern w:val="0"/>
          <w:sz w:val="24"/>
          <w:highlight w:val="none"/>
          <w:lang w:val="en-US" w:eastAsia="zh-CN"/>
        </w:rPr>
        <w:t>4、第二包提供《医疗器械生产企业许可证》或《医疗器械经营企业许可证》（所投产品为二类医疗器械的需提供二类医疗器械备案凭证）；</w:t>
      </w:r>
      <w:bookmarkEnd w:id="956"/>
    </w:p>
    <w:p>
      <w:pPr>
        <w:pStyle w:val="15"/>
        <w:tabs>
          <w:tab w:val="left" w:pos="5580"/>
        </w:tabs>
        <w:spacing w:line="400" w:lineRule="exact"/>
        <w:ind w:left="1080" w:leftChars="257" w:hanging="540"/>
        <w:outlineLvl w:val="9"/>
        <w:rPr>
          <w:rFonts w:hint="eastAsia" w:ascii="宋体" w:hAnsi="宋体" w:eastAsia="宋体" w:cs="宋体"/>
          <w:b/>
          <w:color w:val="auto"/>
          <w:kern w:val="0"/>
          <w:sz w:val="24"/>
          <w:highlight w:val="none"/>
        </w:rPr>
      </w:pPr>
    </w:p>
    <w:p>
      <w:pPr>
        <w:pStyle w:val="15"/>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5"/>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5"/>
        <w:numPr>
          <w:ilvl w:val="0"/>
          <w:numId w:val="0"/>
        </w:numPr>
        <w:tabs>
          <w:tab w:val="left" w:pos="5580"/>
        </w:tabs>
        <w:spacing w:line="400" w:lineRule="exact"/>
        <w:ind w:leftChars="0"/>
        <w:outlineLvl w:val="1"/>
        <w:rPr>
          <w:rFonts w:hint="eastAsia" w:ascii="宋体" w:hAnsi="宋体" w:eastAsia="宋体" w:cs="宋体"/>
          <w:b/>
          <w:color w:val="auto"/>
          <w:kern w:val="0"/>
          <w:sz w:val="24"/>
          <w:highlight w:val="none"/>
        </w:rPr>
      </w:pPr>
      <w:bookmarkStart w:id="957" w:name="_Toc5352"/>
      <w:r>
        <w:rPr>
          <w:rFonts w:hint="eastAsia" w:hAnsi="宋体" w:cs="宋体"/>
          <w:b/>
          <w:color w:val="auto"/>
          <w:kern w:val="0"/>
          <w:sz w:val="24"/>
          <w:highlight w:val="none"/>
          <w:lang w:val="en-US" w:eastAsia="zh-CN"/>
        </w:rPr>
        <w:t>5、依法缴纳近6个月任意1个月的社会保险凭据</w:t>
      </w:r>
      <w:r>
        <w:rPr>
          <w:rFonts w:hint="eastAsia" w:ascii="宋体" w:hAnsi="宋体" w:eastAsia="宋体" w:cs="宋体"/>
          <w:b/>
          <w:color w:val="auto"/>
          <w:kern w:val="0"/>
          <w:sz w:val="24"/>
          <w:highlight w:val="none"/>
          <w:lang w:val="en-US" w:eastAsia="zh-CN"/>
        </w:rPr>
        <w:t>；</w:t>
      </w:r>
      <w:bookmarkEnd w:id="957"/>
    </w:p>
    <w:p>
      <w:pPr>
        <w:pStyle w:val="15"/>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5"/>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5"/>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5"/>
        <w:numPr>
          <w:ilvl w:val="0"/>
          <w:numId w:val="0"/>
        </w:numPr>
        <w:tabs>
          <w:tab w:val="left" w:pos="5580"/>
        </w:tabs>
        <w:spacing w:line="400" w:lineRule="exact"/>
        <w:outlineLvl w:val="1"/>
        <w:rPr>
          <w:rFonts w:hint="eastAsia" w:ascii="宋体" w:hAnsi="宋体" w:cs="宋体"/>
          <w:b/>
          <w:bCs w:val="0"/>
          <w:color w:val="auto"/>
          <w:kern w:val="0"/>
          <w:sz w:val="24"/>
          <w:highlight w:val="none"/>
          <w:lang w:val="en-US" w:eastAsia="zh-CN"/>
        </w:rPr>
      </w:pPr>
      <w:bookmarkStart w:id="958" w:name="_Toc27325"/>
      <w:r>
        <w:rPr>
          <w:rFonts w:hint="eastAsia" w:hAnsi="宋体" w:cs="宋体"/>
          <w:b/>
          <w:bCs w:val="0"/>
          <w:color w:val="auto"/>
          <w:kern w:val="0"/>
          <w:sz w:val="24"/>
          <w:highlight w:val="none"/>
          <w:lang w:val="en-US" w:eastAsia="zh-CN"/>
        </w:rPr>
        <w:t>6、税务部门出具近6个月任意1个月的完税证明</w:t>
      </w:r>
      <w:r>
        <w:rPr>
          <w:rFonts w:hint="eastAsia" w:ascii="宋体" w:hAnsi="宋体" w:cs="宋体"/>
          <w:b/>
          <w:bCs w:val="0"/>
          <w:color w:val="auto"/>
          <w:kern w:val="0"/>
          <w:sz w:val="24"/>
          <w:highlight w:val="none"/>
          <w:lang w:val="en-US" w:eastAsia="zh-CN"/>
        </w:rPr>
        <w:t>；</w:t>
      </w:r>
      <w:bookmarkEnd w:id="958"/>
    </w:p>
    <w:p>
      <w:pPr>
        <w:pStyle w:val="15"/>
        <w:numPr>
          <w:ilvl w:val="0"/>
          <w:numId w:val="0"/>
        </w:numPr>
        <w:tabs>
          <w:tab w:val="left" w:pos="5580"/>
        </w:tabs>
        <w:spacing w:line="400" w:lineRule="exact"/>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ind w:leftChars="0"/>
        <w:outlineLvl w:val="1"/>
        <w:rPr>
          <w:rFonts w:hint="eastAsia" w:ascii="宋体" w:hAnsi="宋体" w:cs="宋体"/>
          <w:b/>
          <w:bCs w:val="0"/>
          <w:color w:val="auto"/>
          <w:kern w:val="0"/>
          <w:sz w:val="24"/>
          <w:highlight w:val="none"/>
          <w:lang w:val="en-US" w:eastAsia="zh-CN"/>
        </w:rPr>
      </w:pPr>
      <w:bookmarkStart w:id="959" w:name="_Toc4843"/>
      <w:r>
        <w:rPr>
          <w:rFonts w:hint="eastAsia" w:hAnsi="宋体" w:cs="宋体"/>
          <w:b/>
          <w:bCs w:val="0"/>
          <w:color w:val="auto"/>
          <w:kern w:val="0"/>
          <w:sz w:val="24"/>
          <w:highlight w:val="none"/>
          <w:lang w:val="en-US" w:eastAsia="zh-CN"/>
        </w:rPr>
        <w:t>7、</w:t>
      </w:r>
      <w:r>
        <w:rPr>
          <w:rFonts w:hint="eastAsia" w:ascii="宋体" w:hAnsi="宋体" w:cs="宋体"/>
          <w:b/>
          <w:bCs w:val="0"/>
          <w:color w:val="auto"/>
          <w:kern w:val="0"/>
          <w:sz w:val="24"/>
          <w:highlight w:val="none"/>
          <w:lang w:val="en-US" w:eastAsia="zh-CN"/>
        </w:rPr>
        <w:t>近两年任意一年的财务审计报告；</w:t>
      </w:r>
      <w:bookmarkEnd w:id="959"/>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ind w:leftChars="0"/>
        <w:outlineLvl w:val="1"/>
        <w:rPr>
          <w:rFonts w:hint="eastAsia" w:ascii="宋体" w:hAnsi="宋体" w:cs="宋体"/>
          <w:b/>
          <w:bCs w:val="0"/>
          <w:color w:val="auto"/>
          <w:kern w:val="0"/>
          <w:sz w:val="24"/>
          <w:highlight w:val="none"/>
          <w:lang w:val="en-US" w:eastAsia="zh-CN"/>
        </w:rPr>
      </w:pPr>
      <w:bookmarkStart w:id="960" w:name="_Toc17806"/>
      <w:r>
        <w:rPr>
          <w:rFonts w:hint="eastAsia" w:hAnsi="宋体" w:cs="宋体"/>
          <w:b/>
          <w:bCs w:val="0"/>
          <w:color w:val="auto"/>
          <w:kern w:val="0"/>
          <w:sz w:val="24"/>
          <w:highlight w:val="none"/>
          <w:lang w:val="en-US" w:eastAsia="zh-CN"/>
        </w:rPr>
        <w:t>8、</w:t>
      </w:r>
      <w:r>
        <w:rPr>
          <w:rFonts w:hint="eastAsia" w:ascii="宋体" w:hAnsi="宋体" w:cs="宋体"/>
          <w:b/>
          <w:bCs w:val="0"/>
          <w:color w:val="auto"/>
          <w:kern w:val="0"/>
          <w:sz w:val="24"/>
          <w:highlight w:val="none"/>
          <w:lang w:val="en-US" w:eastAsia="zh-CN"/>
        </w:rPr>
        <w:t>提供针对本次项目《反商业贿赂承诺书》；</w:t>
      </w:r>
      <w:bookmarkEnd w:id="960"/>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ind w:leftChars="0"/>
        <w:outlineLvl w:val="1"/>
        <w:rPr>
          <w:rFonts w:hint="eastAsia" w:ascii="宋体" w:hAnsi="宋体" w:cs="宋体"/>
          <w:b/>
          <w:bCs w:val="0"/>
          <w:color w:val="auto"/>
          <w:kern w:val="0"/>
          <w:sz w:val="24"/>
          <w:highlight w:val="none"/>
          <w:lang w:val="en-US" w:eastAsia="zh-CN"/>
        </w:rPr>
      </w:pPr>
      <w:bookmarkStart w:id="961" w:name="_Toc29586"/>
      <w:r>
        <w:rPr>
          <w:rFonts w:hint="eastAsia" w:hAnsi="宋体" w:cs="宋体"/>
          <w:b/>
          <w:bCs w:val="0"/>
          <w:color w:val="auto"/>
          <w:kern w:val="0"/>
          <w:sz w:val="24"/>
          <w:highlight w:val="none"/>
          <w:lang w:val="en-US" w:eastAsia="zh-CN"/>
        </w:rPr>
        <w:t>9、</w:t>
      </w:r>
      <w:r>
        <w:rPr>
          <w:rFonts w:hint="eastAsia" w:ascii="宋体" w:hAnsi="宋体" w:cs="宋体"/>
          <w:b/>
          <w:bCs w:val="0"/>
          <w:color w:val="auto"/>
          <w:kern w:val="0"/>
          <w:sz w:val="24"/>
          <w:highlight w:val="none"/>
          <w:lang w:val="en-US" w:eastAsia="zh-CN"/>
        </w:rPr>
        <w:t>参与政府采购活动前3年内未被列入失信、重大税收违法案件、财政部门禁止参加政府采购活动的承诺书；</w:t>
      </w:r>
      <w:bookmarkEnd w:id="961"/>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outlineLvl w:val="1"/>
        <w:rPr>
          <w:rFonts w:hint="eastAsia" w:ascii="宋体" w:hAnsi="宋体" w:cs="宋体"/>
          <w:b/>
          <w:bCs w:val="0"/>
          <w:color w:val="auto"/>
          <w:kern w:val="0"/>
          <w:sz w:val="24"/>
          <w:highlight w:val="none"/>
          <w:lang w:val="en-US" w:eastAsia="zh-CN"/>
        </w:rPr>
      </w:pPr>
      <w:bookmarkStart w:id="962" w:name="_Toc361"/>
      <w:r>
        <w:rPr>
          <w:rFonts w:hint="eastAsia" w:hAnsi="宋体" w:cs="宋体"/>
          <w:b/>
          <w:bCs w:val="0"/>
          <w:color w:val="auto"/>
          <w:kern w:val="0"/>
          <w:sz w:val="24"/>
          <w:highlight w:val="none"/>
          <w:lang w:val="en-US" w:eastAsia="zh-CN"/>
        </w:rPr>
        <w:t>10、</w:t>
      </w:r>
      <w:r>
        <w:rPr>
          <w:rFonts w:hint="eastAsia" w:ascii="宋体" w:hAnsi="宋体" w:cs="宋体"/>
          <w:b/>
          <w:bCs w:val="0"/>
          <w:color w:val="auto"/>
          <w:kern w:val="0"/>
          <w:sz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bookmarkEnd w:id="962"/>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pStyle w:val="15"/>
        <w:numPr>
          <w:ilvl w:val="0"/>
          <w:numId w:val="0"/>
        </w:numPr>
        <w:tabs>
          <w:tab w:val="left" w:pos="5580"/>
        </w:tabs>
        <w:spacing w:line="400" w:lineRule="exact"/>
        <w:ind w:leftChars="0"/>
        <w:rPr>
          <w:rFonts w:hint="eastAsia" w:ascii="宋体" w:hAnsi="宋体" w:cs="宋体"/>
          <w:b/>
          <w:bCs w:val="0"/>
          <w:color w:val="auto"/>
          <w:kern w:val="0"/>
          <w:sz w:val="24"/>
          <w:highlight w:val="none"/>
          <w:lang w:val="en-US" w:eastAsia="zh-CN"/>
        </w:rPr>
      </w:pPr>
    </w:p>
    <w:p>
      <w:pPr>
        <w:numPr>
          <w:ilvl w:val="0"/>
          <w:numId w:val="0"/>
        </w:numPr>
        <w:outlineLvl w:val="1"/>
        <w:rPr>
          <w:rFonts w:hint="eastAsia" w:ascii="宋体" w:hAnsi="宋体" w:eastAsia="宋体" w:cs="宋体"/>
          <w:color w:val="auto"/>
          <w:highlight w:val="none"/>
        </w:rPr>
      </w:pPr>
      <w:bookmarkStart w:id="963" w:name="_Toc30842"/>
      <w:bookmarkStart w:id="964" w:name="_Toc30622"/>
      <w:bookmarkStart w:id="965" w:name="_Toc4904"/>
      <w:bookmarkStart w:id="966" w:name="_Toc31251"/>
      <w:bookmarkStart w:id="967" w:name="_Toc30653"/>
      <w:bookmarkStart w:id="968" w:name="_Toc515647816"/>
      <w:bookmarkStart w:id="969" w:name="_Toc18263"/>
      <w:bookmarkStart w:id="970" w:name="_Toc22967"/>
      <w:bookmarkStart w:id="971" w:name="_Toc15346"/>
      <w:bookmarkStart w:id="972" w:name="_Toc11180"/>
      <w:r>
        <w:rPr>
          <w:rFonts w:hint="eastAsia" w:ascii="宋体" w:hAnsi="宋体" w:cs="宋体"/>
          <w:b/>
          <w:bCs/>
          <w:color w:val="auto"/>
          <w:sz w:val="24"/>
          <w:highlight w:val="none"/>
          <w:lang w:val="en-US" w:eastAsia="zh-CN"/>
        </w:rPr>
        <w:t>11</w:t>
      </w:r>
      <w:r>
        <w:rPr>
          <w:rFonts w:hint="eastAsia" w:ascii="宋体" w:hAnsi="宋体" w:eastAsia="宋体" w:cs="宋体"/>
          <w:b/>
          <w:bCs/>
          <w:color w:val="auto"/>
          <w:sz w:val="24"/>
          <w:highlight w:val="none"/>
          <w:lang w:val="en-US" w:eastAsia="zh-CN"/>
        </w:rPr>
        <w:t>、缴纳投标保证金有效凭证；</w:t>
      </w:r>
      <w:bookmarkEnd w:id="963"/>
      <w:bookmarkEnd w:id="964"/>
      <w:bookmarkEnd w:id="965"/>
      <w:bookmarkEnd w:id="966"/>
    </w:p>
    <w:tbl>
      <w:tblPr>
        <w:tblStyle w:val="26"/>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tcPr>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center"/>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color w:val="auto"/>
                <w:sz w:val="24"/>
                <w:highlight w:val="none"/>
              </w:rPr>
              <w:t>缴纳</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保证金的</w:t>
            </w:r>
            <w:r>
              <w:rPr>
                <w:rFonts w:hint="eastAsia" w:ascii="宋体" w:hAnsi="宋体" w:eastAsia="宋体" w:cs="宋体"/>
                <w:b/>
                <w:color w:val="auto"/>
                <w:kern w:val="0"/>
                <w:sz w:val="24"/>
                <w:highlight w:val="none"/>
              </w:rPr>
              <w:t>银行转账回执单</w:t>
            </w:r>
            <w:r>
              <w:rPr>
                <w:rFonts w:hint="eastAsia" w:ascii="宋体" w:hAnsi="宋体" w:eastAsia="宋体" w:cs="宋体"/>
                <w:b w:val="0"/>
                <w:i w:val="0"/>
                <w:caps w:val="0"/>
                <w:color w:val="auto"/>
                <w:spacing w:val="0"/>
                <w:w w:val="100"/>
                <w:kern w:val="0"/>
                <w:sz w:val="24"/>
                <w:highlight w:val="none"/>
                <w:lang w:val="en-US" w:eastAsia="zh-CN"/>
              </w:rPr>
              <w:t>或保函</w:t>
            </w:r>
          </w:p>
        </w:tc>
      </w:tr>
    </w:tbl>
    <w:p>
      <w:pPr>
        <w:pStyle w:val="21"/>
        <w:ind w:firstLine="482" w:firstLineChars="200"/>
        <w:rPr>
          <w:rFonts w:hint="eastAsia" w:ascii="宋体" w:hAnsi="宋体" w:eastAsia="宋体" w:cs="宋体"/>
          <w:b/>
          <w:bCs/>
          <w:i w:val="0"/>
          <w:caps w:val="0"/>
          <w:color w:val="auto"/>
          <w:spacing w:val="0"/>
          <w:w w:val="100"/>
          <w:sz w:val="24"/>
          <w:szCs w:val="24"/>
          <w:highlight w:val="none"/>
        </w:rPr>
      </w:pPr>
    </w:p>
    <w:p>
      <w:pPr>
        <w:pStyle w:val="21"/>
        <w:rPr>
          <w:rFonts w:hint="eastAsia" w:ascii="宋体" w:hAnsi="宋体" w:eastAsia="宋体" w:cs="宋体"/>
          <w:color w:val="auto"/>
          <w:highlight w:val="none"/>
        </w:rPr>
      </w:pPr>
      <w:r>
        <w:rPr>
          <w:rFonts w:hint="eastAsia" w:ascii="宋体" w:hAnsi="宋体" w:eastAsia="宋体" w:cs="宋体"/>
          <w:b/>
          <w:bCs/>
          <w:i w:val="0"/>
          <w:caps w:val="0"/>
          <w:color w:val="auto"/>
          <w:spacing w:val="0"/>
          <w:w w:val="100"/>
          <w:sz w:val="24"/>
          <w:szCs w:val="24"/>
          <w:highlight w:val="none"/>
        </w:rPr>
        <w:t>注：本项目以缴纳</w:t>
      </w:r>
      <w:r>
        <w:rPr>
          <w:rFonts w:hint="eastAsia" w:ascii="宋体" w:hAnsi="宋体" w:eastAsia="宋体" w:cs="宋体"/>
          <w:b/>
          <w:bCs/>
          <w:i w:val="0"/>
          <w:caps w:val="0"/>
          <w:color w:val="auto"/>
          <w:spacing w:val="0"/>
          <w:w w:val="100"/>
          <w:sz w:val="24"/>
          <w:szCs w:val="24"/>
          <w:highlight w:val="none"/>
          <w:lang w:eastAsia="zh-CN"/>
        </w:rPr>
        <w:t>投标</w:t>
      </w:r>
      <w:r>
        <w:rPr>
          <w:rFonts w:hint="eastAsia" w:ascii="宋体" w:hAnsi="宋体" w:eastAsia="宋体" w:cs="宋体"/>
          <w:b/>
          <w:bCs/>
          <w:i w:val="0"/>
          <w:caps w:val="0"/>
          <w:color w:val="auto"/>
          <w:spacing w:val="0"/>
          <w:w w:val="100"/>
          <w:sz w:val="24"/>
          <w:szCs w:val="24"/>
          <w:highlight w:val="none"/>
        </w:rPr>
        <w:t>保证金的银行转账回执单或</w:t>
      </w:r>
      <w:r>
        <w:rPr>
          <w:rFonts w:hint="eastAsia" w:ascii="宋体" w:hAnsi="宋体" w:eastAsia="宋体" w:cs="宋体"/>
          <w:b/>
          <w:bCs/>
          <w:i w:val="0"/>
          <w:caps w:val="0"/>
          <w:color w:val="auto"/>
          <w:spacing w:val="0"/>
          <w:w w:val="100"/>
          <w:sz w:val="24"/>
          <w:szCs w:val="24"/>
          <w:highlight w:val="none"/>
          <w:lang w:eastAsia="zh-CN"/>
        </w:rPr>
        <w:t>保函</w:t>
      </w:r>
      <w:r>
        <w:rPr>
          <w:rFonts w:hint="eastAsia" w:ascii="宋体" w:hAnsi="宋体" w:eastAsia="宋体" w:cs="宋体"/>
          <w:b/>
          <w:bCs/>
          <w:i w:val="0"/>
          <w:caps w:val="0"/>
          <w:color w:val="auto"/>
          <w:spacing w:val="0"/>
          <w:w w:val="100"/>
          <w:sz w:val="24"/>
          <w:szCs w:val="24"/>
          <w:highlight w:val="none"/>
        </w:rPr>
        <w:t>复印件盖公章为准。</w:t>
      </w: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numPr>
          <w:ilvl w:val="0"/>
          <w:numId w:val="0"/>
        </w:numPr>
        <w:outlineLvl w:val="1"/>
        <w:rPr>
          <w:rFonts w:hint="eastAsia" w:ascii="宋体" w:hAnsi="宋体" w:eastAsia="宋体" w:cs="宋体"/>
          <w:b/>
          <w:color w:val="auto"/>
          <w:kern w:val="0"/>
          <w:sz w:val="24"/>
          <w:szCs w:val="20"/>
          <w:highlight w:val="none"/>
          <w:lang w:val="en-US" w:eastAsia="zh-CN" w:bidi="ar-SA"/>
        </w:rPr>
      </w:pPr>
      <w:bookmarkStart w:id="973" w:name="_Toc24410"/>
      <w:bookmarkStart w:id="974" w:name="_Toc21759"/>
      <w:bookmarkStart w:id="975" w:name="_Toc30469"/>
      <w:bookmarkStart w:id="976" w:name="_Toc25423"/>
      <w:bookmarkStart w:id="977" w:name="_Toc22169"/>
      <w:r>
        <w:rPr>
          <w:rFonts w:hint="eastAsia" w:ascii="宋体" w:hAnsi="宋体" w:cs="宋体"/>
          <w:b/>
          <w:color w:val="auto"/>
          <w:kern w:val="0"/>
          <w:sz w:val="24"/>
          <w:szCs w:val="20"/>
          <w:highlight w:val="none"/>
          <w:lang w:val="en-US" w:eastAsia="zh-CN" w:bidi="ar-SA"/>
        </w:rPr>
        <w:t>12</w:t>
      </w:r>
      <w:r>
        <w:rPr>
          <w:rFonts w:hint="eastAsia" w:ascii="宋体" w:hAnsi="宋体" w:eastAsia="宋体" w:cs="宋体"/>
          <w:b/>
          <w:color w:val="auto"/>
          <w:kern w:val="0"/>
          <w:sz w:val="24"/>
          <w:szCs w:val="20"/>
          <w:highlight w:val="none"/>
          <w:lang w:val="en-US" w:eastAsia="zh-CN" w:bidi="ar-SA"/>
        </w:rPr>
        <w:t>、</w:t>
      </w:r>
      <w:bookmarkEnd w:id="973"/>
      <w:bookmarkStart w:id="978" w:name="_Toc29517"/>
      <w:r>
        <w:rPr>
          <w:rFonts w:hint="eastAsia" w:ascii="宋体" w:hAnsi="宋体" w:eastAsia="宋体" w:cs="宋体"/>
          <w:b/>
          <w:color w:val="auto"/>
          <w:kern w:val="0"/>
          <w:sz w:val="24"/>
          <w:szCs w:val="20"/>
          <w:highlight w:val="none"/>
          <w:lang w:val="en-US" w:eastAsia="zh-CN" w:bidi="ar-SA"/>
        </w:rPr>
        <w:t>供应商可提供有利于投标的其他资格证明材料。</w:t>
      </w:r>
      <w:bookmarkEnd w:id="974"/>
      <w:bookmarkEnd w:id="975"/>
      <w:bookmarkEnd w:id="976"/>
      <w:bookmarkEnd w:id="977"/>
      <w:bookmarkEnd w:id="978"/>
    </w:p>
    <w:p>
      <w:pPr>
        <w:rPr>
          <w:rFonts w:hint="eastAsia" w:ascii="宋体" w:hAnsi="宋体" w:eastAsia="宋体" w:cs="宋体"/>
          <w:b/>
          <w:color w:val="auto"/>
          <w:kern w:val="0"/>
          <w:sz w:val="24"/>
          <w:szCs w:val="20"/>
          <w:highlight w:val="none"/>
        </w:rPr>
      </w:pPr>
    </w:p>
    <w:p>
      <w:pPr>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rPr>
          <w:rFonts w:hint="eastAsia" w:ascii="宋体" w:hAnsi="宋体" w:eastAsia="宋体" w:cs="宋体"/>
          <w:color w:val="auto"/>
          <w:sz w:val="24"/>
          <w:szCs w:val="24"/>
          <w:highlight w:val="none"/>
        </w:rPr>
      </w:pPr>
    </w:p>
    <w:p>
      <w:pPr>
        <w:pStyle w:val="7"/>
        <w:spacing w:before="0" w:line="400" w:lineRule="exact"/>
        <w:ind w:left="540" w:leftChars="257"/>
        <w:jc w:val="both"/>
        <w:rPr>
          <w:rFonts w:hint="eastAsia" w:ascii="宋体" w:hAnsi="宋体" w:eastAsia="宋体" w:cs="宋体"/>
          <w:color w:val="auto"/>
          <w:sz w:val="24"/>
          <w:szCs w:val="24"/>
          <w:highlight w:val="none"/>
        </w:rPr>
      </w:pPr>
      <w:bookmarkStart w:id="979" w:name="_Toc32031"/>
      <w:bookmarkStart w:id="980" w:name="_Toc15854"/>
      <w:r>
        <w:rPr>
          <w:rFonts w:hint="eastAsia" w:ascii="宋体" w:hAnsi="宋体" w:eastAsia="宋体" w:cs="宋体"/>
          <w:color w:val="auto"/>
          <w:sz w:val="24"/>
          <w:szCs w:val="24"/>
          <w:highlight w:val="none"/>
        </w:rPr>
        <w:t>第二部分  商务及技术文件</w:t>
      </w:r>
      <w:bookmarkEnd w:id="979"/>
      <w:bookmarkEnd w:id="980"/>
    </w:p>
    <w:p>
      <w:pPr>
        <w:pStyle w:val="15"/>
        <w:spacing w:line="400" w:lineRule="exact"/>
        <w:ind w:left="1079" w:leftChars="257" w:hanging="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1、投标书</w:t>
      </w:r>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szCs w:val="24"/>
          <w:highlight w:val="none"/>
        </w:rPr>
        <w:t>投标分项报价表</w:t>
      </w:r>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说明一览表</w:t>
      </w:r>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规格偏离表</w:t>
      </w:r>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5、商务条款偏离表</w:t>
      </w:r>
    </w:p>
    <w:p>
      <w:pPr>
        <w:pStyle w:val="15"/>
        <w:spacing w:line="400" w:lineRule="exact"/>
        <w:ind w:left="311" w:leftChars="148" w:firstLine="228"/>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6-1中小企业声明函</w:t>
      </w:r>
    </w:p>
    <w:p>
      <w:pPr>
        <w:pStyle w:val="15"/>
        <w:spacing w:line="400" w:lineRule="exact"/>
        <w:ind w:left="311" w:leftChars="148" w:firstLine="228"/>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6-2残疾人福利性单位声明函</w:t>
      </w:r>
    </w:p>
    <w:p>
      <w:pPr>
        <w:pStyle w:val="15"/>
        <w:spacing w:line="400" w:lineRule="exact"/>
        <w:ind w:left="311" w:leftChars="148" w:firstLine="228"/>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rPr>
        <w:t>供应商关联单位的说明</w:t>
      </w:r>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bookmarkStart w:id="981" w:name="_Toc2041"/>
      <w:bookmarkStart w:id="982" w:name="_Toc515647817"/>
      <w:bookmarkStart w:id="983" w:name="_Toc14915"/>
      <w:r>
        <w:rPr>
          <w:rFonts w:hint="eastAsia" w:ascii="宋体" w:hAnsi="宋体" w:eastAsia="宋体" w:cs="宋体"/>
          <w:color w:val="auto"/>
          <w:sz w:val="24"/>
          <w:szCs w:val="24"/>
          <w:highlight w:val="none"/>
        </w:rPr>
        <w:t>供应商可提供有利于投标的其他资格证明材料</w:t>
      </w:r>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投标文件格式范本</w:t>
      </w:r>
    </w:p>
    <w:p>
      <w:pPr>
        <w:spacing w:line="360" w:lineRule="auto"/>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spacing w:line="360" w:lineRule="auto"/>
        <w:rPr>
          <w:rFonts w:hint="eastAsia" w:ascii="宋体" w:hAnsi="宋体" w:eastAsia="宋体" w:cs="宋体"/>
          <w:color w:val="auto"/>
          <w:sz w:val="24"/>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rPr>
          <w:rFonts w:hint="eastAsia" w:ascii="宋体" w:hAnsi="宋体" w:eastAsia="宋体" w:cs="宋体"/>
          <w:b/>
          <w:bCs/>
          <w:color w:val="auto"/>
          <w:sz w:val="24"/>
          <w:szCs w:val="24"/>
          <w:highlight w:val="none"/>
        </w:rPr>
      </w:pPr>
      <w:bookmarkStart w:id="984" w:name="_Toc30408"/>
      <w:bookmarkStart w:id="985" w:name="_Toc25918"/>
      <w:bookmarkStart w:id="986" w:name="_Toc29625"/>
      <w:bookmarkStart w:id="987" w:name="_Toc21772"/>
      <w:r>
        <w:rPr>
          <w:rFonts w:hint="eastAsia" w:ascii="宋体" w:hAnsi="宋体" w:eastAsia="宋体" w:cs="宋体"/>
          <w:b/>
          <w:bCs/>
          <w:color w:val="auto"/>
          <w:sz w:val="24"/>
          <w:szCs w:val="24"/>
          <w:highlight w:val="none"/>
        </w:rPr>
        <w:br w:type="page"/>
      </w:r>
    </w:p>
    <w:p>
      <w:pPr>
        <w:pStyle w:val="15"/>
        <w:spacing w:line="240" w:lineRule="atLeast"/>
        <w:ind w:left="1080" w:leftChars="257" w:hanging="540"/>
        <w:jc w:val="center"/>
        <w:outlineLvl w:val="1"/>
        <w:rPr>
          <w:rFonts w:hint="eastAsia" w:ascii="宋体" w:hAnsi="宋体" w:eastAsia="宋体" w:cs="宋体"/>
          <w:b/>
          <w:bCs/>
          <w:color w:val="auto"/>
          <w:sz w:val="28"/>
          <w:szCs w:val="28"/>
          <w:highlight w:val="none"/>
        </w:rPr>
      </w:pPr>
      <w:bookmarkStart w:id="988" w:name="_Toc31660"/>
      <w:bookmarkStart w:id="989" w:name="_Toc404"/>
      <w:bookmarkStart w:id="990" w:name="_Toc6200"/>
      <w:bookmarkStart w:id="991" w:name="_Toc8700"/>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投标书</w:t>
      </w:r>
      <w:bookmarkEnd w:id="981"/>
      <w:bookmarkEnd w:id="982"/>
      <w:bookmarkEnd w:id="983"/>
      <w:bookmarkEnd w:id="984"/>
      <w:bookmarkEnd w:id="985"/>
      <w:bookmarkEnd w:id="986"/>
      <w:bookmarkEnd w:id="987"/>
      <w:bookmarkEnd w:id="988"/>
      <w:bookmarkEnd w:id="989"/>
      <w:bookmarkEnd w:id="990"/>
      <w:bookmarkEnd w:id="991"/>
    </w:p>
    <w:p>
      <w:pPr>
        <w:tabs>
          <w:tab w:val="left" w:pos="5580"/>
        </w:tabs>
        <w:spacing w:line="400" w:lineRule="exact"/>
        <w:ind w:left="1080" w:hanging="108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致：</w:t>
      </w:r>
    </w:p>
    <w:p>
      <w:pPr>
        <w:pStyle w:val="15"/>
        <w:tabs>
          <w:tab w:val="left" w:pos="5580"/>
        </w:tabs>
        <w:spacing w:line="40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)项目的投标邀请(</w:t>
      </w:r>
      <w:r>
        <w:rPr>
          <w:rFonts w:hint="eastAsia" w:ascii="宋体" w:hAnsi="宋体" w:eastAsia="宋体" w:cs="宋体"/>
          <w:i/>
          <w:color w:val="auto"/>
          <w:sz w:val="24"/>
          <w:szCs w:val="24"/>
          <w:highlight w:val="none"/>
          <w:u w:val="single"/>
        </w:rPr>
        <w:t>项目编号</w:t>
      </w:r>
      <w:r>
        <w:rPr>
          <w:rFonts w:hint="eastAsia" w:ascii="宋体" w:hAnsi="宋体" w:eastAsia="宋体" w:cs="宋体"/>
          <w:color w:val="auto"/>
          <w:sz w:val="24"/>
          <w:szCs w:val="24"/>
          <w:highlight w:val="none"/>
        </w:rPr>
        <w:t>),签字代表(</w:t>
      </w:r>
      <w:r>
        <w:rPr>
          <w:rFonts w:hint="eastAsia" w:ascii="宋体" w:hAnsi="宋体" w:eastAsia="宋体" w:cs="宋体"/>
          <w:i/>
          <w:color w:val="auto"/>
          <w:sz w:val="24"/>
          <w:szCs w:val="24"/>
          <w:highlight w:val="none"/>
          <w:u w:val="single"/>
        </w:rPr>
        <w:t>姓名、职务</w:t>
      </w:r>
      <w:r>
        <w:rPr>
          <w:rFonts w:hint="eastAsia" w:ascii="宋体" w:hAnsi="宋体" w:eastAsia="宋体" w:cs="宋体"/>
          <w:color w:val="auto"/>
          <w:sz w:val="24"/>
          <w:szCs w:val="24"/>
          <w:highlight w:val="none"/>
        </w:rPr>
        <w:t>)经正式授权并代表供应商（</w:t>
      </w:r>
      <w:r>
        <w:rPr>
          <w:rFonts w:hint="eastAsia" w:ascii="宋体" w:hAnsi="宋体" w:eastAsia="宋体" w:cs="宋体"/>
          <w:i/>
          <w:color w:val="auto"/>
          <w:sz w:val="24"/>
          <w:szCs w:val="24"/>
          <w:highlight w:val="none"/>
          <w:u w:val="single"/>
        </w:rPr>
        <w:t>名称、地址</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上传投标</w:t>
      </w:r>
      <w:r>
        <w:rPr>
          <w:rFonts w:hint="eastAsia" w:ascii="宋体" w:hAnsi="宋体" w:eastAsia="宋体" w:cs="宋体"/>
          <w:color w:val="auto"/>
          <w:sz w:val="24"/>
          <w:szCs w:val="24"/>
          <w:highlight w:val="none"/>
        </w:rPr>
        <w:t>文件，并以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元的投标保证金。</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据此，签字代表宣布同意如下：</w:t>
      </w:r>
    </w:p>
    <w:p>
      <w:pPr>
        <w:pStyle w:val="15"/>
        <w:tabs>
          <w:tab w:val="left" w:pos="720"/>
          <w:tab w:val="left" w:pos="900"/>
        </w:tabs>
        <w:spacing w:line="400" w:lineRule="exact"/>
        <w:ind w:left="769" w:leftChars="257" w:hanging="22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（1）附投标价格表中规定的应提供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的投标总价详见开标一览表，</w:t>
      </w:r>
      <w:r>
        <w:rPr>
          <w:rFonts w:hint="eastAsia" w:ascii="宋体" w:hAnsi="宋体" w:eastAsia="宋体" w:cs="宋体"/>
          <w:color w:val="auto"/>
          <w:sz w:val="24"/>
          <w:szCs w:val="24"/>
          <w:highlight w:val="none"/>
          <w:u w:val="single"/>
        </w:rPr>
        <w:t>其中由小型和</w:t>
      </w:r>
      <w:r>
        <w:rPr>
          <w:rFonts w:hint="eastAsia" w:ascii="宋体" w:hAnsi="宋体" w:eastAsia="宋体" w:cs="宋体"/>
          <w:color w:val="auto"/>
          <w:sz w:val="24"/>
          <w:szCs w:val="24"/>
          <w:highlight w:val="none"/>
        </w:rPr>
        <w:t>微型企业制造产品的价格为</w:t>
      </w:r>
      <w:r>
        <w:rPr>
          <w:rFonts w:hint="eastAsia" w:ascii="宋体" w:hAnsi="宋体" w:eastAsia="宋体" w:cs="宋体"/>
          <w:color w:val="auto"/>
          <w:sz w:val="24"/>
          <w:szCs w:val="24"/>
          <w:highlight w:val="none"/>
          <w:u w:val="single"/>
        </w:rPr>
        <w:t>　　  （用文字和数字表示），占投标总价   %</w:t>
      </w:r>
      <w:r>
        <w:rPr>
          <w:rFonts w:hint="eastAsia" w:ascii="宋体" w:hAnsi="宋体" w:eastAsia="宋体" w:cs="宋体"/>
          <w:color w:val="auto"/>
          <w:sz w:val="24"/>
          <w:szCs w:val="24"/>
          <w:highlight w:val="none"/>
        </w:rPr>
        <w:t>。</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（2）本投标有效期为自投标截止之日起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（3）联合体中的大中型企业和其他自然人、</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或者非</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组织，与联合体中的小型、微型企业之间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存在、不存在）投资关系（如果是联合体的话）。</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（4）已详细审查全部招标文件，包括所有补充通知（如果有的话），完全理解并同意放弃对这方面有不明、误解和质疑的权力。</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（5）在规定的开标时间后，遵守招标文件中有关保证金的规定。</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（6）我方不是为本项目提供整体设计、规范编制或者项目管理、监理、检测等</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的供应商，我方不是采购代理机构的附属机构。</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（7）在领取中标通知书的同时按招标文件规定的形式，向贵方一次性支付中标服务费。</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（8）按照贵方可能要求，提供与其投标有关的一切数据或资料，完全理解贵方不一定接受最低价的投标或收到的任何投标。</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（9）按照招标文件的规定履行合同责任和义务。</w:t>
      </w:r>
    </w:p>
    <w:p>
      <w:pPr>
        <w:pStyle w:val="15"/>
        <w:tabs>
          <w:tab w:val="left" w:pos="5580"/>
        </w:tabs>
        <w:spacing w:line="400" w:lineRule="exact"/>
        <w:ind w:left="359" w:leftChars="68" w:hanging="216" w:hangingChars="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与本投标有关的一切正式往来信函请寄：</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供应商开户银行（全称）</w:t>
      </w:r>
      <w:r>
        <w:rPr>
          <w:rFonts w:hint="eastAsia" w:ascii="宋体" w:hAnsi="宋体" w:eastAsia="宋体" w:cs="宋体"/>
          <w:color w:val="auto"/>
          <w:sz w:val="24"/>
          <w:szCs w:val="24"/>
          <w:highlight w:val="none"/>
          <w:u w:val="single"/>
        </w:rPr>
        <w:t xml:space="preserve">　　　　　　 </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供应商银行帐号</w:t>
      </w:r>
      <w:r>
        <w:rPr>
          <w:rFonts w:hint="eastAsia" w:ascii="宋体" w:hAnsi="宋体" w:eastAsia="宋体" w:cs="宋体"/>
          <w:color w:val="auto"/>
          <w:sz w:val="24"/>
          <w:szCs w:val="24"/>
          <w:highlight w:val="none"/>
          <w:u w:val="single"/>
        </w:rPr>
        <w:t>　　　　　　　　 　　</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bookmarkStart w:id="992" w:name="_Toc30947"/>
      <w:bookmarkStart w:id="993" w:name="_Toc1266"/>
      <w:bookmarkStart w:id="994" w:name="_Toc23473"/>
      <w:bookmarkStart w:id="995" w:name="_Toc6738"/>
      <w:bookmarkStart w:id="996" w:name="_Toc14219"/>
      <w:bookmarkStart w:id="997" w:name="_Toc19819"/>
    </w:p>
    <w:p>
      <w:pPr>
        <w:pStyle w:val="15"/>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9"/>
        <w:rPr>
          <w:rFonts w:hint="eastAsia" w:ascii="宋体" w:hAnsi="宋体" w:eastAsia="宋体" w:cs="宋体"/>
          <w:b/>
          <w:bCs/>
          <w:color w:val="auto"/>
          <w:sz w:val="28"/>
          <w:szCs w:val="28"/>
          <w:highlight w:val="none"/>
        </w:rPr>
      </w:pPr>
    </w:p>
    <w:p>
      <w:pPr>
        <w:pStyle w:val="15"/>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9"/>
        <w:rPr>
          <w:rFonts w:hint="eastAsia" w:ascii="宋体" w:hAnsi="宋体" w:eastAsia="宋体" w:cs="宋体"/>
          <w:b/>
          <w:bCs/>
          <w:color w:val="auto"/>
          <w:sz w:val="28"/>
          <w:szCs w:val="28"/>
          <w:highlight w:val="none"/>
        </w:rPr>
      </w:pPr>
    </w:p>
    <w:p>
      <w:pPr>
        <w:pStyle w:val="15"/>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9"/>
        <w:rPr>
          <w:rFonts w:hint="eastAsia" w:ascii="宋体" w:hAnsi="宋体" w:eastAsia="宋体" w:cs="宋体"/>
          <w:b/>
          <w:bCs/>
          <w:color w:val="auto"/>
          <w:sz w:val="28"/>
          <w:szCs w:val="28"/>
          <w:highlight w:val="none"/>
        </w:rPr>
      </w:pPr>
    </w:p>
    <w:p>
      <w:pPr>
        <w:pStyle w:val="15"/>
        <w:spacing w:line="240" w:lineRule="atLeast"/>
        <w:ind w:left="1080" w:leftChars="257" w:hanging="540"/>
        <w:jc w:val="center"/>
        <w:outlineLvl w:val="1"/>
        <w:rPr>
          <w:rFonts w:hint="eastAsia" w:ascii="宋体" w:hAnsi="宋体" w:eastAsia="宋体" w:cs="宋体"/>
          <w:color w:val="auto"/>
          <w:sz w:val="24"/>
          <w:szCs w:val="24"/>
          <w:highlight w:val="none"/>
          <w:lang w:eastAsia="zh-CN"/>
        </w:rPr>
      </w:pPr>
      <w:bookmarkStart w:id="998" w:name="_Toc13686"/>
      <w:bookmarkStart w:id="999" w:name="_Toc17704"/>
      <w:bookmarkStart w:id="1000" w:name="_Toc27773"/>
      <w:bookmarkStart w:id="1001" w:name="_Toc342"/>
      <w:r>
        <w:rPr>
          <w:rFonts w:hint="eastAsia" w:ascii="宋体" w:hAnsi="宋体" w:eastAsia="宋体" w:cs="宋体"/>
          <w:b/>
          <w:bCs/>
          <w:color w:val="auto"/>
          <w:sz w:val="28"/>
          <w:szCs w:val="28"/>
          <w:highlight w:val="none"/>
        </w:rPr>
        <w:t>2</w:t>
      </w:r>
      <w:bookmarkEnd w:id="992"/>
      <w:bookmarkEnd w:id="993"/>
      <w:bookmarkEnd w:id="994"/>
      <w:bookmarkEnd w:id="995"/>
      <w:bookmarkEnd w:id="996"/>
      <w:bookmarkEnd w:id="997"/>
      <w:bookmarkStart w:id="1002" w:name="_Toc22563"/>
      <w:bookmarkStart w:id="1003" w:name="_Toc216582817"/>
      <w:bookmarkStart w:id="1004" w:name="_Toc515647820"/>
      <w:bookmarkStart w:id="1005" w:name="_Toc28959"/>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投标分项报价表</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eastAsia="zh-CN"/>
        </w:rPr>
        <w:t>）</w:t>
      </w:r>
      <w:bookmarkEnd w:id="998"/>
      <w:bookmarkEnd w:id="999"/>
      <w:bookmarkEnd w:id="1000"/>
      <w:bookmarkEnd w:id="1001"/>
    </w:p>
    <w:p>
      <w:pPr>
        <w:pStyle w:val="15"/>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                      项目编号:                        　 　          报价单位： 人民币元</w:t>
      </w:r>
      <w:r>
        <w:rPr>
          <w:rFonts w:hint="eastAsia" w:ascii="宋体" w:hAnsi="宋体" w:eastAsia="宋体" w:cs="宋体"/>
          <w:color w:val="auto"/>
          <w:sz w:val="24"/>
          <w:szCs w:val="24"/>
          <w:highlight w:val="none"/>
          <w:lang w:val="en-US" w:eastAsia="zh-CN"/>
        </w:rPr>
        <w:t xml:space="preserve">            包号：</w:t>
      </w:r>
    </w:p>
    <w:tbl>
      <w:tblPr>
        <w:tblStyle w:val="26"/>
        <w:tblW w:w="97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930"/>
        <w:gridCol w:w="1005"/>
        <w:gridCol w:w="990"/>
        <w:gridCol w:w="1155"/>
        <w:gridCol w:w="825"/>
        <w:gridCol w:w="735"/>
        <w:gridCol w:w="915"/>
        <w:gridCol w:w="810"/>
        <w:gridCol w:w="85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tc>
        <w:tc>
          <w:tcPr>
            <w:tcW w:w="930"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100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990"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115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供货厂商名称</w:t>
            </w:r>
          </w:p>
        </w:tc>
        <w:tc>
          <w:tcPr>
            <w:tcW w:w="82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tc>
        <w:tc>
          <w:tcPr>
            <w:tcW w:w="73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9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810"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85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合价</w:t>
            </w:r>
          </w:p>
        </w:tc>
        <w:tc>
          <w:tcPr>
            <w:tcW w:w="873"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5" w:type="dxa"/>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65" w:type="dxa"/>
            <w:gridSpan w:val="1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r>
              <w:rPr>
                <w:rFonts w:hint="eastAsia" w:ascii="宋体" w:hAnsi="宋体" w:eastAsia="宋体" w:cs="宋体"/>
                <w:color w:val="auto"/>
                <w:spacing w:val="-34"/>
                <w:sz w:val="24"/>
                <w:highlight w:val="none"/>
              </w:rPr>
              <w:t>（元）</w:t>
            </w:r>
          </w:p>
        </w:tc>
        <w:tc>
          <w:tcPr>
            <w:tcW w:w="873" w:type="dxa"/>
            <w:vAlign w:val="center"/>
          </w:tcPr>
          <w:p>
            <w:pPr>
              <w:spacing w:line="360" w:lineRule="auto"/>
              <w:rPr>
                <w:rFonts w:hint="eastAsia" w:ascii="宋体" w:hAnsi="宋体" w:eastAsia="宋体" w:cs="宋体"/>
                <w:color w:val="auto"/>
                <w:sz w:val="24"/>
                <w:highlight w:val="none"/>
              </w:rPr>
            </w:pPr>
          </w:p>
        </w:tc>
      </w:tr>
    </w:tbl>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5"/>
        <w:tabs>
          <w:tab w:val="left" w:pos="537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ab/>
      </w:r>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注:1.如果供应商认为需要，每种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填写一份该表。</w:t>
      </w:r>
    </w:p>
    <w:p>
      <w:pPr>
        <w:pStyle w:val="15"/>
        <w:spacing w:line="400" w:lineRule="exact"/>
        <w:ind w:left="1079" w:leftChars="428" w:hanging="180" w:hangingChars="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2.如果按单价计算的结果与总价不一致,以单价为准修正总价。</w:t>
      </w:r>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3.如果不提供详细分项报价将视为没有实质性响应招标文件。</w:t>
      </w:r>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4.上述各项的详细分项报价，应另页描述。</w:t>
      </w:r>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5.如果开标一览表（报价表）内容与投标文件中明细表内容不一致的，以开标一览表（报价表）内容为准。</w:t>
      </w:r>
    </w:p>
    <w:p>
      <w:pPr>
        <w:pStyle w:val="15"/>
        <w:spacing w:line="400" w:lineRule="exact"/>
        <w:ind w:left="1080" w:leftChars="257" w:hanging="540"/>
        <w:rPr>
          <w:rFonts w:hint="eastAsia" w:ascii="宋体" w:hAnsi="宋体" w:eastAsia="宋体" w:cs="宋体"/>
          <w:color w:val="auto"/>
          <w:sz w:val="24"/>
          <w:szCs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p>
    <w:p>
      <w:pPr>
        <w:pStyle w:val="7"/>
        <w:shd w:val="clear"/>
        <w:snapToGrid w:val="0"/>
        <w:spacing w:before="0" w:beforeAutospacing="0" w:after="0" w:afterAutospacing="0" w:line="240" w:lineRule="atLeast"/>
        <w:ind w:left="1080" w:leftChars="257" w:hanging="540"/>
        <w:jc w:val="center"/>
        <w:textAlignment w:val="baseline"/>
        <w:rPr>
          <w:rFonts w:hint="eastAsia" w:ascii="宋体" w:hAnsi="宋体" w:eastAsia="宋体" w:cs="宋体"/>
          <w:b/>
          <w:i w:val="0"/>
          <w:caps w:val="0"/>
          <w:color w:val="auto"/>
          <w:spacing w:val="0"/>
          <w:w w:val="100"/>
          <w:sz w:val="28"/>
          <w:szCs w:val="28"/>
          <w:highlight w:val="none"/>
        </w:rPr>
      </w:pPr>
      <w:bookmarkStart w:id="1006" w:name="_Toc13950"/>
      <w:bookmarkStart w:id="1007" w:name="_Toc27721"/>
      <w:bookmarkStart w:id="1008" w:name="_Toc16798"/>
      <w:bookmarkStart w:id="1009" w:name="_Toc10123"/>
      <w:bookmarkStart w:id="1010" w:name="_Toc2132"/>
      <w:bookmarkStart w:id="1011" w:name="_Toc14619"/>
      <w:bookmarkStart w:id="1012" w:name="_Toc30209"/>
      <w:bookmarkStart w:id="1013" w:name="_Toc29174"/>
      <w:bookmarkStart w:id="1014" w:name="_Toc4279"/>
      <w:bookmarkStart w:id="1015" w:name="_Toc10486"/>
      <w:bookmarkStart w:id="1016" w:name="_Toc28199"/>
      <w:bookmarkStart w:id="1017" w:name="_Toc21933"/>
      <w:bookmarkStart w:id="1018" w:name="_Toc27975"/>
      <w:bookmarkStart w:id="1019" w:name="_Toc1284"/>
      <w:bookmarkStart w:id="1020" w:name="_Toc6480"/>
      <w:bookmarkStart w:id="1021" w:name="_Toc3096"/>
      <w:bookmarkStart w:id="1022" w:name="_Toc32439"/>
      <w:bookmarkStart w:id="1023" w:name="_Toc26185"/>
      <w:r>
        <w:rPr>
          <w:rFonts w:hint="eastAsia" w:ascii="宋体" w:hAnsi="宋体" w:eastAsia="宋体" w:cs="宋体"/>
          <w:b/>
          <w:i w:val="0"/>
          <w:caps w:val="0"/>
          <w:color w:val="auto"/>
          <w:spacing w:val="0"/>
          <w:w w:val="100"/>
          <w:sz w:val="28"/>
          <w:szCs w:val="28"/>
          <w:highlight w:val="none"/>
        </w:rPr>
        <w:t>（二）备品备件设备分项报价表</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tbl>
      <w:tblPr>
        <w:tblStyle w:val="26"/>
        <w:tblW w:w="9806" w:type="dxa"/>
        <w:tblInd w:w="-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794"/>
        <w:gridCol w:w="703"/>
        <w:gridCol w:w="805"/>
        <w:gridCol w:w="1249"/>
        <w:gridCol w:w="975"/>
        <w:gridCol w:w="543"/>
        <w:gridCol w:w="675"/>
        <w:gridCol w:w="732"/>
        <w:gridCol w:w="675"/>
        <w:gridCol w:w="656"/>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2" w:type="dxa"/>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w w:val="100"/>
                <w:sz w:val="24"/>
                <w:szCs w:val="24"/>
                <w:highlight w:val="none"/>
                <w:lang w:val="en-US" w:eastAsia="zh-CN"/>
              </w:rPr>
              <w:t>制造商名称</w:t>
            </w: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w:t>
            </w: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质保期外设备报价</w:t>
            </w: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62" w:type="dxa"/>
            <w:vAlign w:val="center"/>
          </w:tcPr>
          <w:p>
            <w:pPr>
              <w:shd w:val="clear"/>
              <w:spacing w:line="360" w:lineRule="auto"/>
              <w:jc w:val="center"/>
              <w:rPr>
                <w:rFonts w:hint="eastAsia" w:ascii="宋体" w:hAnsi="宋体" w:eastAsia="宋体" w:cs="宋体"/>
                <w:color w:val="auto"/>
                <w:sz w:val="24"/>
                <w:szCs w:val="24"/>
                <w:highlight w:val="none"/>
              </w:rPr>
            </w:pPr>
          </w:p>
        </w:tc>
        <w:tc>
          <w:tcPr>
            <w:tcW w:w="8444" w:type="dxa"/>
            <w:gridSpan w:val="11"/>
            <w:vAlign w:val="center"/>
          </w:tcPr>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质保期内免费设备</w:t>
            </w:r>
          </w:p>
        </w:tc>
        <w:tc>
          <w:tcPr>
            <w:tcW w:w="794" w:type="dxa"/>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9169" w:type="dxa"/>
            <w:gridSpan w:val="11"/>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价（元）：</w:t>
            </w:r>
          </w:p>
          <w:p>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（质保期外设备报价）</w:t>
            </w:r>
          </w:p>
        </w:tc>
        <w:tc>
          <w:tcPr>
            <w:tcW w:w="637" w:type="dxa"/>
            <w:vAlign w:val="center"/>
          </w:tcPr>
          <w:p>
            <w:pPr>
              <w:shd w:val="clear"/>
              <w:spacing w:line="360" w:lineRule="auto"/>
              <w:rPr>
                <w:rFonts w:hint="eastAsia" w:ascii="宋体" w:hAnsi="宋体" w:eastAsia="宋体" w:cs="宋体"/>
                <w:color w:val="auto"/>
                <w:sz w:val="24"/>
                <w:szCs w:val="24"/>
                <w:highlight w:val="none"/>
              </w:rPr>
            </w:pPr>
          </w:p>
        </w:tc>
      </w:tr>
    </w:tbl>
    <w:p>
      <w:pPr>
        <w:shd w:val="clea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w:t>
      </w:r>
    </w:p>
    <w:p>
      <w:pPr>
        <w:shd w:val="clea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或授权代表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pStyle w:val="4"/>
        <w:shd w:val="clear"/>
        <w:spacing w:line="36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   </w:t>
      </w:r>
    </w:p>
    <w:p>
      <w:pPr>
        <w:shd w:val="clea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 表格长度方向可做扩展根据需求可补充相关资料，但不可减少。</w:t>
      </w:r>
    </w:p>
    <w:p>
      <w:pPr>
        <w:shd w:val="clea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2、备品备件设备分项报价仅供</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在设备发生故障情况下采用此报价，填写此表时请谨慎。备品备件分为两部分（1、质保期内免费的备品备件、2、质保期外备品备件报价）                 </w:t>
      </w:r>
    </w:p>
    <w:p>
      <w:pPr>
        <w:pStyle w:val="4"/>
        <w:shd w:val="clear"/>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3、备品备件设备分项报价不合计于</w:t>
      </w:r>
      <w:r>
        <w:rPr>
          <w:rFonts w:hint="eastAsia" w:ascii="宋体" w:hAnsi="宋体" w:eastAsia="宋体" w:cs="宋体"/>
          <w:color w:val="auto"/>
          <w:kern w:val="2"/>
          <w:sz w:val="24"/>
          <w:szCs w:val="24"/>
          <w:highlight w:val="none"/>
          <w:lang w:eastAsia="zh-CN"/>
        </w:rPr>
        <w:t>投标报价表</w:t>
      </w:r>
      <w:r>
        <w:rPr>
          <w:rFonts w:hint="eastAsia" w:ascii="宋体" w:hAnsi="宋体" w:eastAsia="宋体" w:cs="宋体"/>
          <w:color w:val="auto"/>
          <w:kern w:val="2"/>
          <w:sz w:val="24"/>
          <w:szCs w:val="24"/>
          <w:highlight w:val="none"/>
        </w:rPr>
        <w:t>总价，单独名列即可。</w:t>
      </w:r>
    </w:p>
    <w:p>
      <w:pPr>
        <w:pStyle w:val="4"/>
        <w:shd w:val="clear"/>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pPr>
        <w:pStyle w:val="5"/>
        <w:rPr>
          <w:rFonts w:hint="eastAsia" w:ascii="宋体" w:hAnsi="宋体" w:eastAsia="宋体" w:cs="宋体"/>
          <w:color w:val="auto"/>
          <w:kern w:val="2"/>
          <w:sz w:val="24"/>
          <w:szCs w:val="24"/>
          <w:highlight w:val="none"/>
        </w:rPr>
      </w:pPr>
    </w:p>
    <w:p>
      <w:pPr>
        <w:rPr>
          <w:rFonts w:hint="eastAsia" w:ascii="宋体" w:hAnsi="宋体" w:eastAsia="宋体" w:cs="宋体"/>
          <w:color w:val="auto"/>
          <w:kern w:val="2"/>
          <w:sz w:val="24"/>
          <w:szCs w:val="24"/>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highlight w:val="none"/>
        </w:rPr>
      </w:pPr>
    </w:p>
    <w:p>
      <w:pPr>
        <w:pStyle w:val="15"/>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9"/>
        <w:rPr>
          <w:rFonts w:hint="eastAsia" w:ascii="宋体" w:hAnsi="宋体" w:eastAsia="宋体" w:cs="宋体"/>
          <w:b/>
          <w:bCs/>
          <w:color w:val="auto"/>
          <w:sz w:val="28"/>
          <w:szCs w:val="28"/>
          <w:highlight w:val="none"/>
        </w:rPr>
      </w:pPr>
    </w:p>
    <w:p>
      <w:pPr>
        <w:pStyle w:val="15"/>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9"/>
        <w:rPr>
          <w:rFonts w:hint="eastAsia" w:ascii="宋体" w:hAnsi="宋体" w:eastAsia="宋体" w:cs="宋体"/>
          <w:b/>
          <w:bCs/>
          <w:color w:val="auto"/>
          <w:sz w:val="28"/>
          <w:szCs w:val="28"/>
          <w:highlight w:val="none"/>
        </w:rPr>
      </w:pPr>
    </w:p>
    <w:p>
      <w:pPr>
        <w:pStyle w:val="15"/>
        <w:spacing w:line="240" w:lineRule="atLeast"/>
        <w:ind w:left="1080" w:leftChars="257" w:hanging="540"/>
        <w:jc w:val="center"/>
        <w:outlineLvl w:val="1"/>
        <w:rPr>
          <w:rFonts w:hint="eastAsia" w:ascii="宋体" w:hAnsi="宋体" w:eastAsia="宋体" w:cs="宋体"/>
          <w:b/>
          <w:bCs/>
          <w:color w:val="auto"/>
          <w:sz w:val="28"/>
          <w:szCs w:val="28"/>
          <w:highlight w:val="none"/>
        </w:rPr>
      </w:pPr>
      <w:bookmarkStart w:id="1024" w:name="_Toc18800"/>
      <w:bookmarkStart w:id="1025" w:name="_Toc8361"/>
      <w:bookmarkStart w:id="1026" w:name="_Toc2215"/>
      <w:bookmarkStart w:id="1027" w:name="_Toc24604"/>
      <w:r>
        <w:rPr>
          <w:rFonts w:hint="eastAsia" w:ascii="宋体" w:hAnsi="宋体" w:eastAsia="宋体" w:cs="宋体"/>
          <w:b/>
          <w:bCs/>
          <w:color w:val="auto"/>
          <w:sz w:val="28"/>
          <w:szCs w:val="28"/>
          <w:highlight w:val="none"/>
        </w:rPr>
        <w:t>3</w:t>
      </w:r>
      <w:bookmarkEnd w:id="1021"/>
      <w:bookmarkEnd w:id="1022"/>
      <w:bookmarkEnd w:id="1023"/>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货物</w:t>
      </w:r>
      <w:r>
        <w:rPr>
          <w:rFonts w:hint="eastAsia" w:ascii="宋体" w:hAnsi="宋体" w:eastAsia="宋体" w:cs="宋体"/>
          <w:b/>
          <w:bCs/>
          <w:color w:val="auto"/>
          <w:sz w:val="28"/>
          <w:szCs w:val="28"/>
          <w:highlight w:val="none"/>
        </w:rPr>
        <w:t>说明一览表</w:t>
      </w:r>
      <w:bookmarkEnd w:id="1024"/>
      <w:bookmarkEnd w:id="1025"/>
      <w:bookmarkEnd w:id="1026"/>
      <w:bookmarkEnd w:id="1027"/>
    </w:p>
    <w:p>
      <w:pPr>
        <w:pStyle w:val="15"/>
        <w:spacing w:line="360" w:lineRule="exact"/>
        <w:ind w:left="1080" w:leftChars="257" w:hanging="540"/>
        <w:rPr>
          <w:rFonts w:hint="eastAsia" w:ascii="宋体" w:hAnsi="宋体" w:eastAsia="宋体" w:cs="宋体"/>
          <w:color w:val="auto"/>
          <w:sz w:val="24"/>
          <w:highlight w:val="none"/>
        </w:rPr>
      </w:pPr>
    </w:p>
    <w:p>
      <w:pPr>
        <w:pStyle w:val="15"/>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highlight w:val="none"/>
        </w:rPr>
        <w:t xml:space="preserve"> </w:t>
      </w:r>
    </w:p>
    <w:p>
      <w:pPr>
        <w:pStyle w:val="15"/>
        <w:spacing w:line="360" w:lineRule="exact"/>
        <w:ind w:left="1080" w:leftChars="257" w:hanging="5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749"/>
        <w:gridCol w:w="1461"/>
        <w:gridCol w:w="1545"/>
        <w:gridCol w:w="1152"/>
        <w:gridCol w:w="1194"/>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6" w:type="dxa"/>
          </w:tcPr>
          <w:p>
            <w:pPr>
              <w:pStyle w:val="15"/>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49" w:type="dxa"/>
          </w:tcPr>
          <w:p>
            <w:pPr>
              <w:pStyle w:val="15"/>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1461" w:type="dxa"/>
          </w:tcPr>
          <w:p>
            <w:pPr>
              <w:pStyle w:val="15"/>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主要规格</w:t>
            </w:r>
          </w:p>
        </w:tc>
        <w:tc>
          <w:tcPr>
            <w:tcW w:w="1545" w:type="dxa"/>
          </w:tcPr>
          <w:p>
            <w:pPr>
              <w:pStyle w:val="15"/>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152" w:type="dxa"/>
          </w:tcPr>
          <w:p>
            <w:pPr>
              <w:pStyle w:val="15"/>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w:t>
            </w:r>
          </w:p>
        </w:tc>
        <w:tc>
          <w:tcPr>
            <w:tcW w:w="1194" w:type="dxa"/>
          </w:tcPr>
          <w:p>
            <w:pPr>
              <w:pStyle w:val="15"/>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w:t>
            </w:r>
            <w:r>
              <w:rPr>
                <w:rFonts w:hint="eastAsia" w:ascii="宋体" w:hAnsi="宋体" w:eastAsia="宋体" w:cs="宋体"/>
                <w:color w:val="auto"/>
                <w:sz w:val="24"/>
                <w:highlight w:val="none"/>
              </w:rPr>
              <w:t>地点</w:t>
            </w:r>
          </w:p>
        </w:tc>
        <w:tc>
          <w:tcPr>
            <w:tcW w:w="971" w:type="dxa"/>
          </w:tcPr>
          <w:p>
            <w:pPr>
              <w:pStyle w:val="15"/>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5"/>
              <w:spacing w:line="360" w:lineRule="exact"/>
              <w:ind w:left="1080" w:leftChars="257" w:hanging="540"/>
              <w:rPr>
                <w:rFonts w:hint="eastAsia" w:ascii="宋体" w:hAnsi="宋体" w:eastAsia="宋体" w:cs="宋体"/>
                <w:color w:val="auto"/>
                <w:sz w:val="24"/>
                <w:highlight w:val="none"/>
              </w:rPr>
            </w:pPr>
          </w:p>
        </w:tc>
        <w:tc>
          <w:tcPr>
            <w:tcW w:w="1749" w:type="dxa"/>
          </w:tcPr>
          <w:p>
            <w:pPr>
              <w:pStyle w:val="15"/>
              <w:spacing w:line="360" w:lineRule="exact"/>
              <w:ind w:left="1080" w:leftChars="257" w:hanging="540"/>
              <w:rPr>
                <w:rFonts w:hint="eastAsia" w:ascii="宋体" w:hAnsi="宋体" w:eastAsia="宋体" w:cs="宋体"/>
                <w:color w:val="auto"/>
                <w:sz w:val="24"/>
                <w:highlight w:val="none"/>
              </w:rPr>
            </w:pPr>
          </w:p>
        </w:tc>
        <w:tc>
          <w:tcPr>
            <w:tcW w:w="1461" w:type="dxa"/>
          </w:tcPr>
          <w:p>
            <w:pPr>
              <w:pStyle w:val="15"/>
              <w:spacing w:line="360" w:lineRule="exact"/>
              <w:ind w:left="1080" w:leftChars="257" w:hanging="540"/>
              <w:rPr>
                <w:rFonts w:hint="eastAsia" w:ascii="宋体" w:hAnsi="宋体" w:eastAsia="宋体" w:cs="宋体"/>
                <w:color w:val="auto"/>
                <w:sz w:val="24"/>
                <w:highlight w:val="none"/>
              </w:rPr>
            </w:pPr>
          </w:p>
        </w:tc>
        <w:tc>
          <w:tcPr>
            <w:tcW w:w="1545" w:type="dxa"/>
          </w:tcPr>
          <w:p>
            <w:pPr>
              <w:pStyle w:val="15"/>
              <w:spacing w:line="360" w:lineRule="exact"/>
              <w:ind w:left="1080" w:leftChars="257" w:hanging="540"/>
              <w:rPr>
                <w:rFonts w:hint="eastAsia" w:ascii="宋体" w:hAnsi="宋体" w:eastAsia="宋体" w:cs="宋体"/>
                <w:color w:val="auto"/>
                <w:sz w:val="24"/>
                <w:highlight w:val="none"/>
              </w:rPr>
            </w:pPr>
          </w:p>
        </w:tc>
        <w:tc>
          <w:tcPr>
            <w:tcW w:w="1152" w:type="dxa"/>
          </w:tcPr>
          <w:p>
            <w:pPr>
              <w:pStyle w:val="15"/>
              <w:spacing w:line="360" w:lineRule="exact"/>
              <w:ind w:left="1080" w:leftChars="257" w:hanging="540"/>
              <w:rPr>
                <w:rFonts w:hint="eastAsia" w:ascii="宋体" w:hAnsi="宋体" w:eastAsia="宋体" w:cs="宋体"/>
                <w:color w:val="auto"/>
                <w:sz w:val="24"/>
                <w:highlight w:val="none"/>
              </w:rPr>
            </w:pPr>
          </w:p>
        </w:tc>
        <w:tc>
          <w:tcPr>
            <w:tcW w:w="1194" w:type="dxa"/>
          </w:tcPr>
          <w:p>
            <w:pPr>
              <w:pStyle w:val="15"/>
              <w:spacing w:line="360" w:lineRule="exact"/>
              <w:ind w:left="1080" w:leftChars="257" w:hanging="540"/>
              <w:rPr>
                <w:rFonts w:hint="eastAsia" w:ascii="宋体" w:hAnsi="宋体" w:eastAsia="宋体" w:cs="宋体"/>
                <w:color w:val="auto"/>
                <w:sz w:val="24"/>
                <w:highlight w:val="none"/>
              </w:rPr>
            </w:pPr>
          </w:p>
        </w:tc>
        <w:tc>
          <w:tcPr>
            <w:tcW w:w="971" w:type="dxa"/>
          </w:tcPr>
          <w:p>
            <w:pPr>
              <w:pStyle w:val="15"/>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5"/>
              <w:spacing w:line="360" w:lineRule="exact"/>
              <w:ind w:left="1080" w:leftChars="257" w:hanging="540"/>
              <w:rPr>
                <w:rFonts w:hint="eastAsia" w:ascii="宋体" w:hAnsi="宋体" w:eastAsia="宋体" w:cs="宋体"/>
                <w:color w:val="auto"/>
                <w:sz w:val="24"/>
                <w:highlight w:val="none"/>
              </w:rPr>
            </w:pPr>
          </w:p>
        </w:tc>
        <w:tc>
          <w:tcPr>
            <w:tcW w:w="1749" w:type="dxa"/>
          </w:tcPr>
          <w:p>
            <w:pPr>
              <w:pStyle w:val="15"/>
              <w:spacing w:line="360" w:lineRule="exact"/>
              <w:ind w:left="1080" w:leftChars="257" w:hanging="540"/>
              <w:rPr>
                <w:rFonts w:hint="eastAsia" w:ascii="宋体" w:hAnsi="宋体" w:eastAsia="宋体" w:cs="宋体"/>
                <w:color w:val="auto"/>
                <w:sz w:val="24"/>
                <w:highlight w:val="none"/>
              </w:rPr>
            </w:pPr>
          </w:p>
        </w:tc>
        <w:tc>
          <w:tcPr>
            <w:tcW w:w="1461" w:type="dxa"/>
          </w:tcPr>
          <w:p>
            <w:pPr>
              <w:pStyle w:val="15"/>
              <w:spacing w:line="360" w:lineRule="exact"/>
              <w:ind w:left="1080" w:leftChars="257" w:hanging="540"/>
              <w:rPr>
                <w:rFonts w:hint="eastAsia" w:ascii="宋体" w:hAnsi="宋体" w:eastAsia="宋体" w:cs="宋体"/>
                <w:color w:val="auto"/>
                <w:sz w:val="24"/>
                <w:highlight w:val="none"/>
              </w:rPr>
            </w:pPr>
          </w:p>
        </w:tc>
        <w:tc>
          <w:tcPr>
            <w:tcW w:w="1545" w:type="dxa"/>
          </w:tcPr>
          <w:p>
            <w:pPr>
              <w:pStyle w:val="15"/>
              <w:spacing w:line="360" w:lineRule="exact"/>
              <w:ind w:left="1080" w:leftChars="257" w:hanging="540"/>
              <w:rPr>
                <w:rFonts w:hint="eastAsia" w:ascii="宋体" w:hAnsi="宋体" w:eastAsia="宋体" w:cs="宋体"/>
                <w:color w:val="auto"/>
                <w:sz w:val="24"/>
                <w:highlight w:val="none"/>
              </w:rPr>
            </w:pPr>
          </w:p>
        </w:tc>
        <w:tc>
          <w:tcPr>
            <w:tcW w:w="1152" w:type="dxa"/>
          </w:tcPr>
          <w:p>
            <w:pPr>
              <w:pStyle w:val="15"/>
              <w:spacing w:line="360" w:lineRule="exact"/>
              <w:ind w:left="1080" w:leftChars="257" w:hanging="540"/>
              <w:rPr>
                <w:rFonts w:hint="eastAsia" w:ascii="宋体" w:hAnsi="宋体" w:eastAsia="宋体" w:cs="宋体"/>
                <w:color w:val="auto"/>
                <w:sz w:val="24"/>
                <w:highlight w:val="none"/>
              </w:rPr>
            </w:pPr>
          </w:p>
        </w:tc>
        <w:tc>
          <w:tcPr>
            <w:tcW w:w="1194" w:type="dxa"/>
          </w:tcPr>
          <w:p>
            <w:pPr>
              <w:pStyle w:val="15"/>
              <w:spacing w:line="360" w:lineRule="exact"/>
              <w:ind w:left="1080" w:leftChars="257" w:hanging="540"/>
              <w:rPr>
                <w:rFonts w:hint="eastAsia" w:ascii="宋体" w:hAnsi="宋体" w:eastAsia="宋体" w:cs="宋体"/>
                <w:color w:val="auto"/>
                <w:sz w:val="24"/>
                <w:highlight w:val="none"/>
              </w:rPr>
            </w:pPr>
          </w:p>
        </w:tc>
        <w:tc>
          <w:tcPr>
            <w:tcW w:w="971" w:type="dxa"/>
          </w:tcPr>
          <w:p>
            <w:pPr>
              <w:pStyle w:val="15"/>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5"/>
              <w:spacing w:line="360" w:lineRule="exact"/>
              <w:ind w:left="1080" w:leftChars="257" w:hanging="540"/>
              <w:rPr>
                <w:rFonts w:hint="eastAsia" w:ascii="宋体" w:hAnsi="宋体" w:eastAsia="宋体" w:cs="宋体"/>
                <w:color w:val="auto"/>
                <w:sz w:val="24"/>
                <w:highlight w:val="none"/>
              </w:rPr>
            </w:pPr>
          </w:p>
        </w:tc>
        <w:tc>
          <w:tcPr>
            <w:tcW w:w="1749" w:type="dxa"/>
          </w:tcPr>
          <w:p>
            <w:pPr>
              <w:pStyle w:val="15"/>
              <w:spacing w:line="360" w:lineRule="exact"/>
              <w:ind w:left="1080" w:leftChars="257" w:hanging="540"/>
              <w:rPr>
                <w:rFonts w:hint="eastAsia" w:ascii="宋体" w:hAnsi="宋体" w:eastAsia="宋体" w:cs="宋体"/>
                <w:color w:val="auto"/>
                <w:sz w:val="24"/>
                <w:highlight w:val="none"/>
              </w:rPr>
            </w:pPr>
          </w:p>
        </w:tc>
        <w:tc>
          <w:tcPr>
            <w:tcW w:w="1461" w:type="dxa"/>
          </w:tcPr>
          <w:p>
            <w:pPr>
              <w:pStyle w:val="15"/>
              <w:spacing w:line="360" w:lineRule="exact"/>
              <w:ind w:left="1080" w:leftChars="257" w:hanging="540"/>
              <w:rPr>
                <w:rFonts w:hint="eastAsia" w:ascii="宋体" w:hAnsi="宋体" w:eastAsia="宋体" w:cs="宋体"/>
                <w:color w:val="auto"/>
                <w:sz w:val="24"/>
                <w:highlight w:val="none"/>
              </w:rPr>
            </w:pPr>
          </w:p>
        </w:tc>
        <w:tc>
          <w:tcPr>
            <w:tcW w:w="1545" w:type="dxa"/>
          </w:tcPr>
          <w:p>
            <w:pPr>
              <w:pStyle w:val="15"/>
              <w:spacing w:line="360" w:lineRule="exact"/>
              <w:ind w:left="1080" w:leftChars="257" w:hanging="540"/>
              <w:rPr>
                <w:rFonts w:hint="eastAsia" w:ascii="宋体" w:hAnsi="宋体" w:eastAsia="宋体" w:cs="宋体"/>
                <w:color w:val="auto"/>
                <w:sz w:val="24"/>
                <w:highlight w:val="none"/>
              </w:rPr>
            </w:pPr>
          </w:p>
        </w:tc>
        <w:tc>
          <w:tcPr>
            <w:tcW w:w="1152" w:type="dxa"/>
          </w:tcPr>
          <w:p>
            <w:pPr>
              <w:pStyle w:val="15"/>
              <w:spacing w:line="360" w:lineRule="exact"/>
              <w:ind w:left="1080" w:leftChars="257" w:hanging="540"/>
              <w:rPr>
                <w:rFonts w:hint="eastAsia" w:ascii="宋体" w:hAnsi="宋体" w:eastAsia="宋体" w:cs="宋体"/>
                <w:color w:val="auto"/>
                <w:sz w:val="24"/>
                <w:highlight w:val="none"/>
              </w:rPr>
            </w:pPr>
          </w:p>
        </w:tc>
        <w:tc>
          <w:tcPr>
            <w:tcW w:w="1194" w:type="dxa"/>
          </w:tcPr>
          <w:p>
            <w:pPr>
              <w:pStyle w:val="15"/>
              <w:spacing w:line="360" w:lineRule="exact"/>
              <w:ind w:left="1080" w:leftChars="257" w:hanging="540"/>
              <w:rPr>
                <w:rFonts w:hint="eastAsia" w:ascii="宋体" w:hAnsi="宋体" w:eastAsia="宋体" w:cs="宋体"/>
                <w:color w:val="auto"/>
                <w:sz w:val="24"/>
                <w:highlight w:val="none"/>
              </w:rPr>
            </w:pPr>
          </w:p>
        </w:tc>
        <w:tc>
          <w:tcPr>
            <w:tcW w:w="971" w:type="dxa"/>
          </w:tcPr>
          <w:p>
            <w:pPr>
              <w:pStyle w:val="15"/>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5"/>
              <w:spacing w:line="360" w:lineRule="exact"/>
              <w:ind w:left="1080" w:leftChars="257" w:hanging="540"/>
              <w:rPr>
                <w:rFonts w:hint="eastAsia" w:ascii="宋体" w:hAnsi="宋体" w:eastAsia="宋体" w:cs="宋体"/>
                <w:color w:val="auto"/>
                <w:sz w:val="24"/>
                <w:highlight w:val="none"/>
              </w:rPr>
            </w:pPr>
          </w:p>
        </w:tc>
        <w:tc>
          <w:tcPr>
            <w:tcW w:w="1749" w:type="dxa"/>
          </w:tcPr>
          <w:p>
            <w:pPr>
              <w:pStyle w:val="15"/>
              <w:spacing w:line="360" w:lineRule="exact"/>
              <w:ind w:left="1080" w:leftChars="257" w:hanging="540"/>
              <w:rPr>
                <w:rFonts w:hint="eastAsia" w:ascii="宋体" w:hAnsi="宋体" w:eastAsia="宋体" w:cs="宋体"/>
                <w:color w:val="auto"/>
                <w:sz w:val="24"/>
                <w:highlight w:val="none"/>
              </w:rPr>
            </w:pPr>
          </w:p>
        </w:tc>
        <w:tc>
          <w:tcPr>
            <w:tcW w:w="1461" w:type="dxa"/>
          </w:tcPr>
          <w:p>
            <w:pPr>
              <w:pStyle w:val="15"/>
              <w:spacing w:line="360" w:lineRule="exact"/>
              <w:ind w:left="1080" w:leftChars="257" w:hanging="540"/>
              <w:rPr>
                <w:rFonts w:hint="eastAsia" w:ascii="宋体" w:hAnsi="宋体" w:eastAsia="宋体" w:cs="宋体"/>
                <w:color w:val="auto"/>
                <w:sz w:val="24"/>
                <w:highlight w:val="none"/>
              </w:rPr>
            </w:pPr>
          </w:p>
        </w:tc>
        <w:tc>
          <w:tcPr>
            <w:tcW w:w="1545" w:type="dxa"/>
          </w:tcPr>
          <w:p>
            <w:pPr>
              <w:pStyle w:val="15"/>
              <w:spacing w:line="360" w:lineRule="exact"/>
              <w:ind w:left="1080" w:leftChars="257" w:hanging="540"/>
              <w:rPr>
                <w:rFonts w:hint="eastAsia" w:ascii="宋体" w:hAnsi="宋体" w:eastAsia="宋体" w:cs="宋体"/>
                <w:color w:val="auto"/>
                <w:sz w:val="24"/>
                <w:highlight w:val="none"/>
              </w:rPr>
            </w:pPr>
          </w:p>
        </w:tc>
        <w:tc>
          <w:tcPr>
            <w:tcW w:w="1152" w:type="dxa"/>
          </w:tcPr>
          <w:p>
            <w:pPr>
              <w:pStyle w:val="15"/>
              <w:spacing w:line="360" w:lineRule="exact"/>
              <w:ind w:left="1080" w:leftChars="257" w:hanging="540"/>
              <w:rPr>
                <w:rFonts w:hint="eastAsia" w:ascii="宋体" w:hAnsi="宋体" w:eastAsia="宋体" w:cs="宋体"/>
                <w:color w:val="auto"/>
                <w:sz w:val="24"/>
                <w:highlight w:val="none"/>
              </w:rPr>
            </w:pPr>
          </w:p>
        </w:tc>
        <w:tc>
          <w:tcPr>
            <w:tcW w:w="1194" w:type="dxa"/>
          </w:tcPr>
          <w:p>
            <w:pPr>
              <w:pStyle w:val="15"/>
              <w:spacing w:line="360" w:lineRule="exact"/>
              <w:ind w:left="1080" w:leftChars="257" w:hanging="540"/>
              <w:rPr>
                <w:rFonts w:hint="eastAsia" w:ascii="宋体" w:hAnsi="宋体" w:eastAsia="宋体" w:cs="宋体"/>
                <w:color w:val="auto"/>
                <w:sz w:val="24"/>
                <w:highlight w:val="none"/>
              </w:rPr>
            </w:pPr>
          </w:p>
        </w:tc>
        <w:tc>
          <w:tcPr>
            <w:tcW w:w="971" w:type="dxa"/>
          </w:tcPr>
          <w:p>
            <w:pPr>
              <w:pStyle w:val="15"/>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5"/>
              <w:spacing w:line="360" w:lineRule="exact"/>
              <w:ind w:left="1080" w:leftChars="257" w:hanging="540"/>
              <w:rPr>
                <w:rFonts w:hint="eastAsia" w:ascii="宋体" w:hAnsi="宋体" w:eastAsia="宋体" w:cs="宋体"/>
                <w:color w:val="auto"/>
                <w:sz w:val="24"/>
                <w:highlight w:val="none"/>
              </w:rPr>
            </w:pPr>
          </w:p>
        </w:tc>
        <w:tc>
          <w:tcPr>
            <w:tcW w:w="1749" w:type="dxa"/>
          </w:tcPr>
          <w:p>
            <w:pPr>
              <w:pStyle w:val="15"/>
              <w:spacing w:line="360" w:lineRule="exact"/>
              <w:ind w:left="1080" w:leftChars="257" w:hanging="540"/>
              <w:rPr>
                <w:rFonts w:hint="eastAsia" w:ascii="宋体" w:hAnsi="宋体" w:eastAsia="宋体" w:cs="宋体"/>
                <w:color w:val="auto"/>
                <w:sz w:val="24"/>
                <w:highlight w:val="none"/>
              </w:rPr>
            </w:pPr>
          </w:p>
        </w:tc>
        <w:tc>
          <w:tcPr>
            <w:tcW w:w="1461" w:type="dxa"/>
          </w:tcPr>
          <w:p>
            <w:pPr>
              <w:pStyle w:val="15"/>
              <w:spacing w:line="360" w:lineRule="exact"/>
              <w:ind w:left="1080" w:leftChars="257" w:hanging="540"/>
              <w:rPr>
                <w:rFonts w:hint="eastAsia" w:ascii="宋体" w:hAnsi="宋体" w:eastAsia="宋体" w:cs="宋体"/>
                <w:color w:val="auto"/>
                <w:sz w:val="24"/>
                <w:highlight w:val="none"/>
              </w:rPr>
            </w:pPr>
          </w:p>
        </w:tc>
        <w:tc>
          <w:tcPr>
            <w:tcW w:w="1545" w:type="dxa"/>
          </w:tcPr>
          <w:p>
            <w:pPr>
              <w:pStyle w:val="15"/>
              <w:spacing w:line="360" w:lineRule="exact"/>
              <w:ind w:left="1080" w:leftChars="257" w:hanging="540"/>
              <w:rPr>
                <w:rFonts w:hint="eastAsia" w:ascii="宋体" w:hAnsi="宋体" w:eastAsia="宋体" w:cs="宋体"/>
                <w:color w:val="auto"/>
                <w:sz w:val="24"/>
                <w:highlight w:val="none"/>
              </w:rPr>
            </w:pPr>
          </w:p>
        </w:tc>
        <w:tc>
          <w:tcPr>
            <w:tcW w:w="1152" w:type="dxa"/>
          </w:tcPr>
          <w:p>
            <w:pPr>
              <w:pStyle w:val="15"/>
              <w:spacing w:line="360" w:lineRule="exact"/>
              <w:ind w:left="1080" w:leftChars="257" w:hanging="540"/>
              <w:rPr>
                <w:rFonts w:hint="eastAsia" w:ascii="宋体" w:hAnsi="宋体" w:eastAsia="宋体" w:cs="宋体"/>
                <w:color w:val="auto"/>
                <w:sz w:val="24"/>
                <w:highlight w:val="none"/>
              </w:rPr>
            </w:pPr>
          </w:p>
        </w:tc>
        <w:tc>
          <w:tcPr>
            <w:tcW w:w="1194" w:type="dxa"/>
          </w:tcPr>
          <w:p>
            <w:pPr>
              <w:pStyle w:val="15"/>
              <w:spacing w:line="360" w:lineRule="exact"/>
              <w:ind w:left="1080" w:leftChars="257" w:hanging="540"/>
              <w:rPr>
                <w:rFonts w:hint="eastAsia" w:ascii="宋体" w:hAnsi="宋体" w:eastAsia="宋体" w:cs="宋体"/>
                <w:color w:val="auto"/>
                <w:sz w:val="24"/>
                <w:highlight w:val="none"/>
              </w:rPr>
            </w:pPr>
          </w:p>
        </w:tc>
        <w:tc>
          <w:tcPr>
            <w:tcW w:w="971" w:type="dxa"/>
          </w:tcPr>
          <w:p>
            <w:pPr>
              <w:pStyle w:val="15"/>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5"/>
              <w:spacing w:line="360" w:lineRule="exact"/>
              <w:ind w:left="1080" w:leftChars="257" w:hanging="540"/>
              <w:rPr>
                <w:rFonts w:hint="eastAsia" w:ascii="宋体" w:hAnsi="宋体" w:eastAsia="宋体" w:cs="宋体"/>
                <w:color w:val="auto"/>
                <w:sz w:val="24"/>
                <w:highlight w:val="none"/>
              </w:rPr>
            </w:pPr>
          </w:p>
        </w:tc>
        <w:tc>
          <w:tcPr>
            <w:tcW w:w="1749" w:type="dxa"/>
          </w:tcPr>
          <w:p>
            <w:pPr>
              <w:pStyle w:val="15"/>
              <w:spacing w:line="360" w:lineRule="exact"/>
              <w:ind w:left="1080" w:leftChars="257" w:hanging="540"/>
              <w:rPr>
                <w:rFonts w:hint="eastAsia" w:ascii="宋体" w:hAnsi="宋体" w:eastAsia="宋体" w:cs="宋体"/>
                <w:color w:val="auto"/>
                <w:sz w:val="24"/>
                <w:highlight w:val="none"/>
              </w:rPr>
            </w:pPr>
          </w:p>
        </w:tc>
        <w:tc>
          <w:tcPr>
            <w:tcW w:w="1461" w:type="dxa"/>
          </w:tcPr>
          <w:p>
            <w:pPr>
              <w:pStyle w:val="15"/>
              <w:spacing w:line="360" w:lineRule="exact"/>
              <w:ind w:left="1080" w:leftChars="257" w:hanging="540"/>
              <w:rPr>
                <w:rFonts w:hint="eastAsia" w:ascii="宋体" w:hAnsi="宋体" w:eastAsia="宋体" w:cs="宋体"/>
                <w:color w:val="auto"/>
                <w:sz w:val="24"/>
                <w:highlight w:val="none"/>
              </w:rPr>
            </w:pPr>
          </w:p>
        </w:tc>
        <w:tc>
          <w:tcPr>
            <w:tcW w:w="1545" w:type="dxa"/>
          </w:tcPr>
          <w:p>
            <w:pPr>
              <w:pStyle w:val="15"/>
              <w:spacing w:line="360" w:lineRule="exact"/>
              <w:ind w:left="1080" w:leftChars="257" w:hanging="540"/>
              <w:rPr>
                <w:rFonts w:hint="eastAsia" w:ascii="宋体" w:hAnsi="宋体" w:eastAsia="宋体" w:cs="宋体"/>
                <w:color w:val="auto"/>
                <w:sz w:val="24"/>
                <w:highlight w:val="none"/>
              </w:rPr>
            </w:pPr>
          </w:p>
        </w:tc>
        <w:tc>
          <w:tcPr>
            <w:tcW w:w="1152" w:type="dxa"/>
          </w:tcPr>
          <w:p>
            <w:pPr>
              <w:pStyle w:val="15"/>
              <w:spacing w:line="360" w:lineRule="exact"/>
              <w:ind w:left="1080" w:leftChars="257" w:hanging="540"/>
              <w:rPr>
                <w:rFonts w:hint="eastAsia" w:ascii="宋体" w:hAnsi="宋体" w:eastAsia="宋体" w:cs="宋体"/>
                <w:color w:val="auto"/>
                <w:sz w:val="24"/>
                <w:highlight w:val="none"/>
              </w:rPr>
            </w:pPr>
          </w:p>
        </w:tc>
        <w:tc>
          <w:tcPr>
            <w:tcW w:w="1194" w:type="dxa"/>
          </w:tcPr>
          <w:p>
            <w:pPr>
              <w:pStyle w:val="15"/>
              <w:spacing w:line="360" w:lineRule="exact"/>
              <w:ind w:left="1080" w:leftChars="257" w:hanging="540"/>
              <w:rPr>
                <w:rFonts w:hint="eastAsia" w:ascii="宋体" w:hAnsi="宋体" w:eastAsia="宋体" w:cs="宋体"/>
                <w:color w:val="auto"/>
                <w:sz w:val="24"/>
                <w:highlight w:val="none"/>
              </w:rPr>
            </w:pPr>
          </w:p>
        </w:tc>
        <w:tc>
          <w:tcPr>
            <w:tcW w:w="971" w:type="dxa"/>
          </w:tcPr>
          <w:p>
            <w:pPr>
              <w:pStyle w:val="15"/>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5"/>
              <w:spacing w:line="360" w:lineRule="exact"/>
              <w:ind w:left="1080" w:leftChars="257" w:hanging="540"/>
              <w:rPr>
                <w:rFonts w:hint="eastAsia" w:ascii="宋体" w:hAnsi="宋体" w:eastAsia="宋体" w:cs="宋体"/>
                <w:color w:val="auto"/>
                <w:sz w:val="24"/>
                <w:highlight w:val="none"/>
              </w:rPr>
            </w:pPr>
          </w:p>
        </w:tc>
        <w:tc>
          <w:tcPr>
            <w:tcW w:w="1749" w:type="dxa"/>
          </w:tcPr>
          <w:p>
            <w:pPr>
              <w:pStyle w:val="15"/>
              <w:spacing w:line="360" w:lineRule="exact"/>
              <w:ind w:left="1080" w:leftChars="257" w:hanging="540"/>
              <w:rPr>
                <w:rFonts w:hint="eastAsia" w:ascii="宋体" w:hAnsi="宋体" w:eastAsia="宋体" w:cs="宋体"/>
                <w:color w:val="auto"/>
                <w:sz w:val="24"/>
                <w:highlight w:val="none"/>
              </w:rPr>
            </w:pPr>
          </w:p>
        </w:tc>
        <w:tc>
          <w:tcPr>
            <w:tcW w:w="1461" w:type="dxa"/>
          </w:tcPr>
          <w:p>
            <w:pPr>
              <w:pStyle w:val="15"/>
              <w:spacing w:line="360" w:lineRule="exact"/>
              <w:ind w:left="1080" w:leftChars="257" w:hanging="540"/>
              <w:rPr>
                <w:rFonts w:hint="eastAsia" w:ascii="宋体" w:hAnsi="宋体" w:eastAsia="宋体" w:cs="宋体"/>
                <w:color w:val="auto"/>
                <w:sz w:val="24"/>
                <w:highlight w:val="none"/>
              </w:rPr>
            </w:pPr>
          </w:p>
        </w:tc>
        <w:tc>
          <w:tcPr>
            <w:tcW w:w="1545" w:type="dxa"/>
          </w:tcPr>
          <w:p>
            <w:pPr>
              <w:pStyle w:val="15"/>
              <w:spacing w:line="360" w:lineRule="exact"/>
              <w:ind w:left="1080" w:leftChars="257" w:hanging="540"/>
              <w:rPr>
                <w:rFonts w:hint="eastAsia" w:ascii="宋体" w:hAnsi="宋体" w:eastAsia="宋体" w:cs="宋体"/>
                <w:color w:val="auto"/>
                <w:sz w:val="24"/>
                <w:highlight w:val="none"/>
              </w:rPr>
            </w:pPr>
          </w:p>
        </w:tc>
        <w:tc>
          <w:tcPr>
            <w:tcW w:w="1152" w:type="dxa"/>
          </w:tcPr>
          <w:p>
            <w:pPr>
              <w:pStyle w:val="15"/>
              <w:spacing w:line="360" w:lineRule="exact"/>
              <w:ind w:left="1080" w:leftChars="257" w:hanging="540"/>
              <w:rPr>
                <w:rFonts w:hint="eastAsia" w:ascii="宋体" w:hAnsi="宋体" w:eastAsia="宋体" w:cs="宋体"/>
                <w:color w:val="auto"/>
                <w:sz w:val="24"/>
                <w:highlight w:val="none"/>
              </w:rPr>
            </w:pPr>
          </w:p>
        </w:tc>
        <w:tc>
          <w:tcPr>
            <w:tcW w:w="1194" w:type="dxa"/>
          </w:tcPr>
          <w:p>
            <w:pPr>
              <w:pStyle w:val="15"/>
              <w:spacing w:line="360" w:lineRule="exact"/>
              <w:ind w:left="1080" w:leftChars="257" w:hanging="540"/>
              <w:rPr>
                <w:rFonts w:hint="eastAsia" w:ascii="宋体" w:hAnsi="宋体" w:eastAsia="宋体" w:cs="宋体"/>
                <w:color w:val="auto"/>
                <w:sz w:val="24"/>
                <w:highlight w:val="none"/>
              </w:rPr>
            </w:pPr>
          </w:p>
        </w:tc>
        <w:tc>
          <w:tcPr>
            <w:tcW w:w="971" w:type="dxa"/>
          </w:tcPr>
          <w:p>
            <w:pPr>
              <w:pStyle w:val="15"/>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tcPr>
          <w:p>
            <w:pPr>
              <w:pStyle w:val="15"/>
              <w:spacing w:line="360" w:lineRule="exact"/>
              <w:ind w:left="1080" w:leftChars="257" w:hanging="540"/>
              <w:rPr>
                <w:rFonts w:hint="eastAsia" w:ascii="宋体" w:hAnsi="宋体" w:eastAsia="宋体" w:cs="宋体"/>
                <w:color w:val="auto"/>
                <w:sz w:val="24"/>
                <w:highlight w:val="none"/>
              </w:rPr>
            </w:pPr>
          </w:p>
        </w:tc>
        <w:tc>
          <w:tcPr>
            <w:tcW w:w="1749" w:type="dxa"/>
          </w:tcPr>
          <w:p>
            <w:pPr>
              <w:pStyle w:val="15"/>
              <w:spacing w:line="360" w:lineRule="exact"/>
              <w:ind w:left="1080" w:leftChars="257" w:hanging="540"/>
              <w:rPr>
                <w:rFonts w:hint="eastAsia" w:ascii="宋体" w:hAnsi="宋体" w:eastAsia="宋体" w:cs="宋体"/>
                <w:color w:val="auto"/>
                <w:sz w:val="24"/>
                <w:highlight w:val="none"/>
              </w:rPr>
            </w:pPr>
          </w:p>
        </w:tc>
        <w:tc>
          <w:tcPr>
            <w:tcW w:w="1461" w:type="dxa"/>
          </w:tcPr>
          <w:p>
            <w:pPr>
              <w:pStyle w:val="15"/>
              <w:spacing w:line="360" w:lineRule="exact"/>
              <w:ind w:left="1080" w:leftChars="257" w:hanging="540"/>
              <w:rPr>
                <w:rFonts w:hint="eastAsia" w:ascii="宋体" w:hAnsi="宋体" w:eastAsia="宋体" w:cs="宋体"/>
                <w:color w:val="auto"/>
                <w:sz w:val="24"/>
                <w:highlight w:val="none"/>
              </w:rPr>
            </w:pPr>
          </w:p>
        </w:tc>
        <w:tc>
          <w:tcPr>
            <w:tcW w:w="1545" w:type="dxa"/>
          </w:tcPr>
          <w:p>
            <w:pPr>
              <w:pStyle w:val="15"/>
              <w:spacing w:line="360" w:lineRule="exact"/>
              <w:ind w:left="1080" w:leftChars="257" w:hanging="540"/>
              <w:rPr>
                <w:rFonts w:hint="eastAsia" w:ascii="宋体" w:hAnsi="宋体" w:eastAsia="宋体" w:cs="宋体"/>
                <w:color w:val="auto"/>
                <w:sz w:val="24"/>
                <w:highlight w:val="none"/>
              </w:rPr>
            </w:pPr>
          </w:p>
        </w:tc>
        <w:tc>
          <w:tcPr>
            <w:tcW w:w="1152" w:type="dxa"/>
          </w:tcPr>
          <w:p>
            <w:pPr>
              <w:pStyle w:val="15"/>
              <w:spacing w:line="360" w:lineRule="exact"/>
              <w:ind w:left="1080" w:leftChars="257" w:hanging="540"/>
              <w:rPr>
                <w:rFonts w:hint="eastAsia" w:ascii="宋体" w:hAnsi="宋体" w:eastAsia="宋体" w:cs="宋体"/>
                <w:color w:val="auto"/>
                <w:sz w:val="24"/>
                <w:highlight w:val="none"/>
              </w:rPr>
            </w:pPr>
          </w:p>
        </w:tc>
        <w:tc>
          <w:tcPr>
            <w:tcW w:w="1194" w:type="dxa"/>
          </w:tcPr>
          <w:p>
            <w:pPr>
              <w:pStyle w:val="15"/>
              <w:spacing w:line="360" w:lineRule="exact"/>
              <w:ind w:left="1080" w:leftChars="257" w:hanging="540"/>
              <w:rPr>
                <w:rFonts w:hint="eastAsia" w:ascii="宋体" w:hAnsi="宋体" w:eastAsia="宋体" w:cs="宋体"/>
                <w:color w:val="auto"/>
                <w:sz w:val="24"/>
                <w:highlight w:val="none"/>
              </w:rPr>
            </w:pPr>
          </w:p>
        </w:tc>
        <w:tc>
          <w:tcPr>
            <w:tcW w:w="971" w:type="dxa"/>
          </w:tcPr>
          <w:p>
            <w:pPr>
              <w:pStyle w:val="15"/>
              <w:spacing w:line="360" w:lineRule="exact"/>
              <w:ind w:left="1080" w:leftChars="257" w:hanging="540"/>
              <w:rPr>
                <w:rFonts w:hint="eastAsia" w:ascii="宋体" w:hAnsi="宋体" w:eastAsia="宋体" w:cs="宋体"/>
                <w:color w:val="auto"/>
                <w:sz w:val="24"/>
                <w:highlight w:val="none"/>
              </w:rPr>
            </w:pPr>
          </w:p>
        </w:tc>
      </w:tr>
    </w:tbl>
    <w:p>
      <w:pPr>
        <w:pStyle w:val="15"/>
        <w:spacing w:line="360" w:lineRule="exact"/>
        <w:ind w:left="1080" w:leftChars="257" w:hanging="540"/>
        <w:rPr>
          <w:rFonts w:hint="eastAsia" w:ascii="宋体" w:hAnsi="宋体" w:eastAsia="宋体" w:cs="宋体"/>
          <w:color w:val="auto"/>
          <w:sz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5"/>
        <w:tabs>
          <w:tab w:val="left" w:pos="537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ab/>
      </w:r>
    </w:p>
    <w:p>
      <w:pPr>
        <w:pStyle w:val="15"/>
        <w:spacing w:line="400" w:lineRule="exact"/>
        <w:ind w:left="1080" w:leftChars="257" w:hanging="540"/>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4"/>
          <w:szCs w:val="24"/>
          <w:highlight w:val="none"/>
        </w:rPr>
        <w:t>注: 各项</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详细技术性能应另页描述</w:t>
      </w:r>
      <w:r>
        <w:rPr>
          <w:rFonts w:hint="eastAsia" w:ascii="宋体" w:hAnsi="宋体" w:eastAsia="宋体" w:cs="宋体"/>
          <w:color w:val="auto"/>
          <w:sz w:val="24"/>
          <w:szCs w:val="24"/>
          <w:highlight w:val="none"/>
          <w:lang w:eastAsia="zh-CN"/>
        </w:rPr>
        <w:t>。</w:t>
      </w: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9"/>
        <w:rPr>
          <w:rFonts w:hint="eastAsia" w:ascii="宋体" w:hAnsi="宋体" w:eastAsia="宋体" w:cs="宋体"/>
          <w:b/>
          <w:bCs/>
          <w:color w:val="auto"/>
          <w:sz w:val="28"/>
          <w:szCs w:val="28"/>
          <w:highlight w:val="none"/>
        </w:rPr>
      </w:pPr>
    </w:p>
    <w:p>
      <w:pPr>
        <w:pStyle w:val="15"/>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9"/>
        <w:rPr>
          <w:rFonts w:hint="eastAsia" w:ascii="宋体" w:hAnsi="宋体" w:eastAsia="宋体" w:cs="宋体"/>
          <w:b/>
          <w:bCs/>
          <w:color w:val="auto"/>
          <w:sz w:val="28"/>
          <w:szCs w:val="28"/>
          <w:highlight w:val="none"/>
        </w:rPr>
      </w:pPr>
    </w:p>
    <w:p>
      <w:pPr>
        <w:pStyle w:val="15"/>
        <w:spacing w:line="240" w:lineRule="atLeast"/>
        <w:ind w:left="1080" w:leftChars="257" w:hanging="540"/>
        <w:jc w:val="center"/>
        <w:outlineLvl w:val="1"/>
        <w:rPr>
          <w:rFonts w:hint="eastAsia" w:ascii="宋体" w:hAnsi="宋体" w:eastAsia="宋体" w:cs="宋体"/>
          <w:b/>
          <w:bCs/>
          <w:color w:val="auto"/>
          <w:sz w:val="28"/>
          <w:szCs w:val="28"/>
          <w:highlight w:val="none"/>
        </w:rPr>
      </w:pPr>
      <w:bookmarkStart w:id="1028" w:name="_Toc13127"/>
      <w:bookmarkStart w:id="1029" w:name="_Toc8575"/>
      <w:bookmarkStart w:id="1030" w:name="_Toc6403"/>
      <w:bookmarkStart w:id="1031" w:name="_Toc16963"/>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技术</w:t>
      </w:r>
      <w:r>
        <w:rPr>
          <w:rFonts w:hint="eastAsia" w:ascii="宋体" w:hAnsi="宋体" w:eastAsia="宋体" w:cs="宋体"/>
          <w:b/>
          <w:bCs/>
          <w:color w:val="auto"/>
          <w:sz w:val="28"/>
          <w:szCs w:val="28"/>
          <w:highlight w:val="none"/>
        </w:rPr>
        <w:t>规格偏离表</w:t>
      </w:r>
      <w:bookmarkEnd w:id="1028"/>
      <w:bookmarkEnd w:id="1029"/>
      <w:bookmarkEnd w:id="1030"/>
      <w:bookmarkEnd w:id="1031"/>
    </w:p>
    <w:p>
      <w:pPr>
        <w:pStyle w:val="15"/>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项目名称:                     项目编号:            </w:t>
      </w:r>
      <w:r>
        <w:rPr>
          <w:rFonts w:hint="eastAsia" w:ascii="宋体" w:hAnsi="宋体" w:eastAsia="宋体" w:cs="宋体"/>
          <w:color w:val="auto"/>
          <w:sz w:val="24"/>
          <w:szCs w:val="24"/>
          <w:highlight w:val="none"/>
          <w:lang w:val="en-US" w:eastAsia="zh-CN"/>
        </w:rPr>
        <w:t>包号：</w:t>
      </w:r>
    </w:p>
    <w:p>
      <w:pPr>
        <w:pStyle w:val="15"/>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szCs w:val="24"/>
          <w:highlight w:val="none"/>
          <w:lang w:val="en-US" w:eastAsia="zh-CN"/>
        </w:rPr>
      </w:pPr>
    </w:p>
    <w:tbl>
      <w:tblPr>
        <w:tblStyle w:val="2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0" w:type="dxa"/>
            <w:vAlign w:val="center"/>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szCs w:val="24"/>
                <w:highlight w:val="none"/>
              </w:rPr>
              <w:t>名称</w:t>
            </w:r>
          </w:p>
        </w:tc>
        <w:tc>
          <w:tcPr>
            <w:tcW w:w="2472" w:type="dxa"/>
            <w:vAlign w:val="center"/>
          </w:tcPr>
          <w:p>
            <w:pPr>
              <w:pStyle w:val="15"/>
              <w:spacing w:line="400" w:lineRule="exact"/>
              <w:ind w:left="269" w:leftChars="1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331" w:type="dxa"/>
            <w:vAlign w:val="center"/>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1331" w:type="dxa"/>
            <w:vAlign w:val="center"/>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w:t>
            </w:r>
          </w:p>
        </w:tc>
        <w:tc>
          <w:tcPr>
            <w:tcW w:w="950" w:type="dxa"/>
            <w:vAlign w:val="center"/>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951" w:type="dxa"/>
            <w:vAlign w:val="center"/>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5"/>
              <w:spacing w:line="400" w:lineRule="exact"/>
              <w:ind w:left="1080" w:leftChars="257" w:hanging="540"/>
              <w:rPr>
                <w:rFonts w:hint="eastAsia" w:ascii="宋体" w:hAnsi="宋体" w:eastAsia="宋体" w:cs="宋体"/>
                <w:color w:val="auto"/>
                <w:sz w:val="24"/>
                <w:szCs w:val="24"/>
                <w:highlight w:val="none"/>
              </w:rPr>
            </w:pPr>
          </w:p>
        </w:tc>
      </w:tr>
    </w:tbl>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ab/>
      </w:r>
      <w:bookmarkEnd w:id="1002"/>
      <w:bookmarkEnd w:id="1003"/>
      <w:bookmarkEnd w:id="1004"/>
      <w:bookmarkEnd w:id="1005"/>
      <w:bookmarkStart w:id="1032" w:name="_Toc216582818"/>
      <w:bookmarkStart w:id="1033" w:name="_Toc1980"/>
      <w:bookmarkStart w:id="1034" w:name="_Toc23"/>
      <w:bookmarkStart w:id="1035" w:name="_Toc515647821"/>
      <w:bookmarkStart w:id="1036" w:name="_Toc31439"/>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spacing w:line="240" w:lineRule="atLeast"/>
        <w:ind w:left="1080" w:leftChars="257" w:hanging="540"/>
        <w:jc w:val="center"/>
        <w:outlineLvl w:val="1"/>
        <w:rPr>
          <w:rFonts w:hint="eastAsia" w:ascii="宋体" w:hAnsi="宋体" w:eastAsia="宋体" w:cs="宋体"/>
          <w:b/>
          <w:bCs/>
          <w:color w:val="auto"/>
          <w:sz w:val="28"/>
          <w:szCs w:val="28"/>
          <w:highlight w:val="none"/>
          <w:lang w:val="en-US" w:eastAsia="zh-CN"/>
        </w:rPr>
      </w:pPr>
      <w:bookmarkStart w:id="1037" w:name="_Toc22109"/>
      <w:bookmarkStart w:id="1038" w:name="_Toc20506"/>
      <w:bookmarkStart w:id="1039" w:name="_Toc10103"/>
      <w:bookmarkStart w:id="1040" w:name="_Toc12914"/>
      <w:bookmarkStart w:id="1041" w:name="_Toc14887"/>
      <w:bookmarkStart w:id="1042" w:name="_Toc7121"/>
      <w:bookmarkStart w:id="1043" w:name="_Toc2414"/>
      <w:r>
        <w:rPr>
          <w:rFonts w:hint="eastAsia" w:ascii="宋体" w:hAnsi="宋体" w:eastAsia="宋体" w:cs="宋体"/>
          <w:b/>
          <w:bCs/>
          <w:color w:val="auto"/>
          <w:sz w:val="28"/>
          <w:szCs w:val="28"/>
          <w:highlight w:val="none"/>
          <w:lang w:val="en-US" w:eastAsia="zh-CN"/>
        </w:rPr>
        <w:t>5、商务条款偏离表</w:t>
      </w:r>
      <w:bookmarkEnd w:id="1032"/>
      <w:bookmarkEnd w:id="1033"/>
      <w:bookmarkEnd w:id="1034"/>
      <w:bookmarkEnd w:id="1035"/>
      <w:bookmarkEnd w:id="1036"/>
      <w:bookmarkEnd w:id="1037"/>
      <w:bookmarkEnd w:id="1038"/>
      <w:bookmarkEnd w:id="1039"/>
      <w:bookmarkEnd w:id="1040"/>
      <w:bookmarkEnd w:id="1041"/>
      <w:bookmarkEnd w:id="1042"/>
      <w:bookmarkEnd w:id="1043"/>
    </w:p>
    <w:p>
      <w:pPr>
        <w:pStyle w:val="15"/>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项目名称:                      项目编号:          </w:t>
      </w:r>
      <w:r>
        <w:rPr>
          <w:rFonts w:hint="eastAsia" w:ascii="宋体" w:hAnsi="宋体" w:eastAsia="宋体" w:cs="宋体"/>
          <w:color w:val="auto"/>
          <w:sz w:val="24"/>
          <w:szCs w:val="24"/>
          <w:highlight w:val="none"/>
          <w:lang w:val="en-US" w:eastAsia="zh-CN"/>
        </w:rPr>
        <w:t>包号：</w:t>
      </w:r>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26"/>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40" w:type="dxa"/>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2520" w:type="dxa"/>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520" w:type="dxa"/>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1014" w:type="dxa"/>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jc w:val="center"/>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jc w:val="center"/>
              <w:rPr>
                <w:rFonts w:hint="eastAsia" w:ascii="宋体" w:hAnsi="宋体" w:eastAsia="宋体" w:cs="宋体"/>
                <w:color w:val="auto"/>
                <w:sz w:val="24"/>
                <w:szCs w:val="24"/>
                <w:highlight w:val="none"/>
              </w:rPr>
            </w:pPr>
          </w:p>
        </w:tc>
        <w:tc>
          <w:tcPr>
            <w:tcW w:w="1014" w:type="dxa"/>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5"/>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5"/>
              <w:spacing w:line="400" w:lineRule="exact"/>
              <w:ind w:left="1080" w:leftChars="257" w:hanging="540"/>
              <w:rPr>
                <w:rFonts w:hint="eastAsia" w:ascii="宋体" w:hAnsi="宋体" w:eastAsia="宋体" w:cs="宋体"/>
                <w:color w:val="auto"/>
                <w:sz w:val="24"/>
                <w:szCs w:val="24"/>
                <w:highlight w:val="none"/>
              </w:rPr>
            </w:pPr>
          </w:p>
        </w:tc>
      </w:tr>
    </w:tbl>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ab/>
      </w: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rPr>
          <w:rFonts w:hint="eastAsia" w:ascii="宋体" w:hAnsi="宋体" w:eastAsia="宋体" w:cs="宋体"/>
          <w:color w:val="auto"/>
          <w:highlight w:val="none"/>
        </w:rPr>
      </w:pPr>
      <w:bookmarkStart w:id="1044" w:name="_Hlt520273711"/>
      <w:bookmarkEnd w:id="1044"/>
      <w:bookmarkStart w:id="1045" w:name="_Hlt520273973"/>
      <w:bookmarkEnd w:id="1045"/>
      <w:bookmarkStart w:id="1046" w:name="_Hlt520350918"/>
      <w:bookmarkEnd w:id="1046"/>
      <w:bookmarkStart w:id="1047" w:name="_Hlt520343392"/>
      <w:bookmarkEnd w:id="1047"/>
      <w:bookmarkStart w:id="1048" w:name="_Hlt520343000"/>
      <w:bookmarkEnd w:id="1048"/>
      <w:bookmarkStart w:id="1049" w:name="_Hlt520271212"/>
      <w:bookmarkEnd w:id="1049"/>
      <w:bookmarkStart w:id="1050" w:name="_Hlt520274911"/>
      <w:bookmarkEnd w:id="1050"/>
      <w:bookmarkStart w:id="1051" w:name="_Hlt520274407"/>
      <w:bookmarkEnd w:id="1051"/>
      <w:bookmarkStart w:id="1052" w:name="_Hlt520274393"/>
      <w:bookmarkEnd w:id="1052"/>
      <w:bookmarkStart w:id="1053" w:name="_Hlt520350957"/>
      <w:bookmarkEnd w:id="1053"/>
      <w:bookmarkStart w:id="1054" w:name="_Hlt520274065"/>
      <w:bookmarkEnd w:id="1054"/>
      <w:bookmarkStart w:id="1055" w:name="_Toc31694"/>
      <w:bookmarkStart w:id="1056" w:name="_Toc21312"/>
      <w:bookmarkStart w:id="1057" w:name="_Toc27043"/>
      <w:bookmarkStart w:id="1058" w:name="_Toc10725"/>
      <w:bookmarkStart w:id="1059" w:name="_Toc17820"/>
      <w:bookmarkStart w:id="1060" w:name="_Toc515647823"/>
      <w:bookmarkStart w:id="1061" w:name="_Toc25797"/>
    </w:p>
    <w:bookmarkEnd w:id="1055"/>
    <w:bookmarkEnd w:id="1056"/>
    <w:bookmarkEnd w:id="1057"/>
    <w:bookmarkEnd w:id="1058"/>
    <w:bookmarkEnd w:id="1059"/>
    <w:bookmarkEnd w:id="1060"/>
    <w:bookmarkEnd w:id="1061"/>
    <w:p>
      <w:pPr>
        <w:spacing w:line="400" w:lineRule="exact"/>
        <w:ind w:left="1080" w:leftChars="257" w:hanging="540"/>
        <w:jc w:val="center"/>
        <w:rPr>
          <w:rFonts w:hint="eastAsia" w:ascii="宋体" w:hAnsi="宋体" w:eastAsia="宋体" w:cs="宋体"/>
          <w:b/>
          <w:color w:val="auto"/>
          <w:kern w:val="0"/>
          <w:sz w:val="24"/>
          <w:highlight w:val="none"/>
        </w:rPr>
      </w:pPr>
    </w:p>
    <w:p>
      <w:pPr>
        <w:pStyle w:val="15"/>
        <w:spacing w:line="240" w:lineRule="atLeast"/>
        <w:ind w:left="1080" w:leftChars="257" w:hanging="540"/>
        <w:jc w:val="center"/>
        <w:outlineLvl w:val="1"/>
        <w:rPr>
          <w:rFonts w:hint="eastAsia" w:ascii="宋体" w:hAnsi="宋体" w:eastAsia="宋体" w:cs="宋体"/>
          <w:b/>
          <w:bCs/>
          <w:color w:val="auto"/>
          <w:sz w:val="28"/>
          <w:szCs w:val="28"/>
          <w:highlight w:val="none"/>
          <w:lang w:val="en-US" w:eastAsia="zh-CN"/>
        </w:rPr>
      </w:pPr>
      <w:bookmarkStart w:id="1062" w:name="_Toc26993"/>
      <w:bookmarkStart w:id="1063" w:name="_Toc1860"/>
      <w:bookmarkStart w:id="1064" w:name="_Toc8043"/>
      <w:bookmarkStart w:id="1065" w:name="_Toc2958"/>
      <w:r>
        <w:rPr>
          <w:rFonts w:hint="eastAsia" w:ascii="宋体" w:hAnsi="宋体" w:eastAsia="宋体" w:cs="宋体"/>
          <w:b/>
          <w:bCs/>
          <w:color w:val="auto"/>
          <w:sz w:val="28"/>
          <w:szCs w:val="28"/>
          <w:highlight w:val="none"/>
          <w:lang w:val="en-US" w:eastAsia="zh-CN"/>
        </w:rPr>
        <w:t>6-1  中小企业声明函</w:t>
      </w:r>
      <w:bookmarkEnd w:id="1062"/>
      <w:bookmarkEnd w:id="1063"/>
      <w:bookmarkEnd w:id="1064"/>
      <w:bookmarkEnd w:id="1065"/>
      <w:bookmarkStart w:id="1066" w:name="_Toc515647824"/>
      <w:bookmarkStart w:id="1067" w:name="_Toc11803"/>
      <w:bookmarkStart w:id="1068" w:name="_Toc2709"/>
      <w:bookmarkStart w:id="1069" w:name="_Toc11343"/>
      <w:bookmarkStart w:id="1070" w:name="_Toc9687"/>
      <w:bookmarkStart w:id="1071" w:name="_Toc10977"/>
      <w:bookmarkStart w:id="1072" w:name="_Toc21610"/>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（单位名称）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的</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（项目名称）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采购活动，提供的货物全部由符合政策要求的中小企业制造。相关企业（含联合体中的中小企业、签订分包意向协议的中小企业）的具体情况如下：</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1.</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行业；制造商为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w:t>
      </w:r>
      <w:r>
        <w:rPr>
          <w:rFonts w:hint="eastAsia" w:ascii="宋体" w:hAnsi="宋体" w:eastAsia="宋体" w:cs="宋体"/>
          <w:i w:val="0"/>
          <w:iCs w:val="0"/>
          <w:caps w:val="0"/>
          <w:color w:val="auto"/>
          <w:spacing w:val="0"/>
          <w:kern w:val="0"/>
          <w:sz w:val="24"/>
          <w:szCs w:val="24"/>
          <w:highlight w:val="none"/>
          <w:shd w:val="clear" w:color="auto" w:fill="FFFFFF"/>
          <w:vertAlign w:val="superscript"/>
          <w:lang w:val="en-US" w:eastAsia="zh-CN"/>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2.</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行业；制造商为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w:t>
      </w:r>
      <w:r>
        <w:rPr>
          <w:rFonts w:hint="eastAsia" w:ascii="宋体" w:hAnsi="宋体" w:eastAsia="宋体" w:cs="宋体"/>
          <w:i w:val="0"/>
          <w:iCs w:val="0"/>
          <w:caps w:val="0"/>
          <w:color w:val="auto"/>
          <w:spacing w:val="0"/>
          <w:kern w:val="0"/>
          <w:sz w:val="24"/>
          <w:szCs w:val="24"/>
          <w:highlight w:val="none"/>
          <w:shd w:val="clear" w:color="auto" w:fill="FFFFFF"/>
          <w:vertAlign w:val="superscript"/>
          <w:lang w:val="en-US" w:eastAsia="zh-CN"/>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企业名称（盖章）：</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日 期：</w:t>
      </w:r>
    </w:p>
    <w:p>
      <w:pPr>
        <w:pStyle w:val="21"/>
        <w:keepNext w:val="0"/>
        <w:keepLines w:val="0"/>
        <w:pageBreakBefore w:val="0"/>
        <w:shd w:val="clear" w:color="auto" w:fill="auto"/>
        <w:kinsoku/>
        <w:wordWrap/>
        <w:overflowPunct/>
        <w:topLinePunct w:val="0"/>
        <w:autoSpaceDE/>
        <w:autoSpaceDN/>
        <w:bidi w:val="0"/>
        <w:adjustRightInd/>
        <w:spacing w:line="500" w:lineRule="exact"/>
        <w:textAlignment w:val="auto"/>
        <w:rPr>
          <w:rFonts w:hint="eastAsia" w:ascii="宋体" w:hAnsi="宋体" w:eastAsia="宋体" w:cs="宋体"/>
          <w:color w:val="auto"/>
          <w:sz w:val="24"/>
          <w:szCs w:val="24"/>
          <w:highlight w:val="none"/>
        </w:rPr>
      </w:pPr>
    </w:p>
    <w:p>
      <w:pPr>
        <w:pStyle w:val="21"/>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注：潜在投标企业属于中小微企业的，请在投标文件中提供“中小企业声明函”，如果未提供或提供虚假的“中小企业声明函”，投标企业将承担由此造成的一切不利后果。</w:t>
      </w:r>
    </w:p>
    <w:p>
      <w:pPr>
        <w:pStyle w:val="21"/>
        <w:rPr>
          <w:rFonts w:hint="eastAsia" w:ascii="宋体" w:hAnsi="宋体" w:eastAsia="宋体" w:cs="宋体"/>
          <w:b/>
          <w:bCs/>
          <w:color w:val="auto"/>
          <w:kern w:val="0"/>
          <w:sz w:val="24"/>
          <w:szCs w:val="24"/>
          <w:highlight w:val="none"/>
          <w:lang w:val="en-US" w:eastAsia="zh-CN"/>
        </w:rPr>
      </w:pPr>
    </w:p>
    <w:p>
      <w:pPr>
        <w:pStyle w:val="21"/>
        <w:rPr>
          <w:rFonts w:hint="eastAsia" w:ascii="宋体" w:hAnsi="宋体" w:eastAsia="宋体" w:cs="宋体"/>
          <w:b/>
          <w:bCs/>
          <w:color w:val="auto"/>
          <w:kern w:val="0"/>
          <w:sz w:val="21"/>
          <w:szCs w:val="21"/>
          <w:highlight w:val="none"/>
          <w:lang w:val="en-US" w:eastAsia="zh-CN"/>
        </w:rPr>
      </w:pPr>
    </w:p>
    <w:p>
      <w:pPr>
        <w:rPr>
          <w:rFonts w:hint="eastAsia" w:ascii="宋体" w:hAnsi="宋体" w:eastAsia="宋体" w:cs="宋体"/>
          <w:color w:val="auto"/>
          <w:sz w:val="24"/>
          <w:szCs w:val="24"/>
          <w:highlight w:val="none"/>
        </w:rPr>
      </w:pPr>
      <w:bookmarkStart w:id="1073" w:name="_Toc32336"/>
      <w:r>
        <w:rPr>
          <w:rFonts w:hint="eastAsia" w:ascii="宋体" w:hAnsi="宋体" w:eastAsia="宋体" w:cs="宋体"/>
          <w:color w:val="auto"/>
          <w:sz w:val="24"/>
          <w:szCs w:val="24"/>
          <w:highlight w:val="none"/>
        </w:rPr>
        <w:br w:type="page"/>
      </w:r>
    </w:p>
    <w:p>
      <w:pPr>
        <w:pStyle w:val="15"/>
        <w:spacing w:line="240" w:lineRule="atLeast"/>
        <w:ind w:left="1080" w:leftChars="257" w:hanging="540"/>
        <w:jc w:val="center"/>
        <w:outlineLvl w:val="1"/>
        <w:rPr>
          <w:rFonts w:hint="eastAsia" w:ascii="宋体" w:hAnsi="宋体" w:eastAsia="宋体" w:cs="宋体"/>
          <w:b/>
          <w:bCs/>
          <w:color w:val="auto"/>
          <w:sz w:val="28"/>
          <w:szCs w:val="28"/>
          <w:highlight w:val="none"/>
        </w:rPr>
      </w:pPr>
      <w:bookmarkStart w:id="1074" w:name="_Toc6597"/>
      <w:bookmarkStart w:id="1075" w:name="_Toc2354"/>
      <w:bookmarkStart w:id="1076" w:name="_Toc1160"/>
      <w:r>
        <w:rPr>
          <w:rFonts w:hint="eastAsia" w:ascii="宋体" w:hAnsi="宋体" w:eastAsia="宋体" w:cs="宋体"/>
          <w:b/>
          <w:bCs/>
          <w:color w:val="auto"/>
          <w:sz w:val="28"/>
          <w:szCs w:val="28"/>
          <w:highlight w:val="none"/>
        </w:rPr>
        <w:t xml:space="preserve">6-2  </w:t>
      </w:r>
      <w:bookmarkEnd w:id="1066"/>
      <w:bookmarkEnd w:id="1067"/>
      <w:bookmarkEnd w:id="1068"/>
      <w:bookmarkEnd w:id="1069"/>
      <w:bookmarkEnd w:id="1070"/>
      <w:bookmarkEnd w:id="1071"/>
      <w:bookmarkEnd w:id="1072"/>
      <w:bookmarkStart w:id="1077" w:name="OLE_LINK13"/>
      <w:bookmarkStart w:id="1078" w:name="_Toc23068"/>
      <w:bookmarkStart w:id="1079" w:name="_Toc11516"/>
      <w:bookmarkStart w:id="1080" w:name="_Toc15294"/>
      <w:bookmarkStart w:id="1081" w:name="_Toc19284"/>
      <w:bookmarkStart w:id="1082" w:name="OLE_LINK14"/>
      <w:bookmarkStart w:id="1083" w:name="_Toc31700"/>
      <w:bookmarkStart w:id="1084" w:name="_Toc19312"/>
      <w:bookmarkStart w:id="1085" w:name="_Toc515647825"/>
      <w:r>
        <w:rPr>
          <w:rFonts w:hint="eastAsia" w:ascii="宋体" w:hAnsi="宋体" w:eastAsia="宋体" w:cs="宋体"/>
          <w:b/>
          <w:bCs/>
          <w:color w:val="auto"/>
          <w:sz w:val="28"/>
          <w:szCs w:val="28"/>
          <w:highlight w:val="none"/>
        </w:rPr>
        <w:t>残疾人福利性单位声明函</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pPr>
        <w:spacing w:line="400" w:lineRule="exact"/>
        <w:ind w:left="1080" w:leftChars="257" w:hanging="540"/>
        <w:jc w:val="center"/>
        <w:rPr>
          <w:rFonts w:hint="eastAsia" w:ascii="宋体" w:hAnsi="宋体" w:eastAsia="宋体" w:cs="宋体"/>
          <w:color w:val="auto"/>
          <w:kern w:val="0"/>
          <w:sz w:val="24"/>
          <w:highlight w:val="none"/>
        </w:rPr>
      </w:pP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，或者提供其他残疾人福利性单位制造的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（不包括使用非残疾人福利性单位注册商标的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w:t>
      </w:r>
    </w:p>
    <w:p>
      <w:pPr>
        <w:spacing w:line="400" w:lineRule="exact"/>
        <w:ind w:left="1080" w:leftChars="257" w:hanging="54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本单位对上述声明的真实性负责。如有虚假，将依法承担相应责任。</w:t>
      </w:r>
    </w:p>
    <w:p>
      <w:pPr>
        <w:spacing w:line="400" w:lineRule="exact"/>
        <w:ind w:left="1080" w:leftChars="257" w:hanging="54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残疾人福利性单位名称（公章）：______________</w:t>
      </w:r>
    </w:p>
    <w:p>
      <w:pPr>
        <w:spacing w:line="400" w:lineRule="exact"/>
        <w:ind w:left="1080" w:leftChars="257" w:hanging="540"/>
        <w:jc w:val="center"/>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color="FFFFFF"/>
        </w:rPr>
        <w:t xml:space="preserve">       </w:t>
      </w:r>
      <w:r>
        <w:rPr>
          <w:rFonts w:hint="eastAsia" w:ascii="宋体" w:hAnsi="宋体" w:eastAsia="宋体" w:cs="宋体"/>
          <w:color w:val="auto"/>
          <w:kern w:val="0"/>
          <w:sz w:val="24"/>
          <w:highlight w:val="none"/>
        </w:rPr>
        <w:t>日  期：_____________________________________________</w:t>
      </w:r>
    </w:p>
    <w:p>
      <w:pPr>
        <w:pStyle w:val="2"/>
        <w:spacing w:line="400" w:lineRule="exact"/>
        <w:ind w:firstLine="480"/>
        <w:rPr>
          <w:rFonts w:hint="eastAsia" w:ascii="宋体" w:hAnsi="宋体" w:eastAsia="宋体" w:cs="宋体"/>
          <w:color w:val="auto"/>
          <w:highlight w:val="none"/>
        </w:rPr>
      </w:pPr>
    </w:p>
    <w:p>
      <w:pPr>
        <w:spacing w:line="400" w:lineRule="exact"/>
        <w:ind w:left="1080" w:leftChars="257" w:hanging="540"/>
        <w:jc w:val="center"/>
        <w:rPr>
          <w:rFonts w:hint="eastAsia" w:ascii="宋体" w:hAnsi="宋体" w:eastAsia="宋体" w:cs="宋体"/>
          <w:b/>
          <w:color w:val="auto"/>
          <w:kern w:val="0"/>
          <w:sz w:val="24"/>
          <w:highlight w:val="none"/>
        </w:rPr>
      </w:pPr>
    </w:p>
    <w:p>
      <w:pPr>
        <w:pStyle w:val="15"/>
        <w:spacing w:line="240" w:lineRule="atLeast"/>
        <w:ind w:left="1080" w:leftChars="257" w:hanging="540"/>
        <w:jc w:val="center"/>
        <w:outlineLvl w:val="1"/>
        <w:rPr>
          <w:rFonts w:hint="eastAsia" w:ascii="宋体" w:hAnsi="宋体" w:eastAsia="宋体" w:cs="宋体"/>
          <w:b/>
          <w:bCs/>
          <w:color w:val="auto"/>
          <w:sz w:val="28"/>
          <w:szCs w:val="28"/>
          <w:highlight w:val="none"/>
        </w:rPr>
      </w:pPr>
      <w:bookmarkStart w:id="1086" w:name="_Toc27855"/>
      <w:bookmarkStart w:id="1087" w:name="_Toc17401"/>
      <w:bookmarkStart w:id="1088" w:name="_Toc6004"/>
      <w:bookmarkStart w:id="1089" w:name="_Toc18369"/>
      <w:bookmarkStart w:id="1090" w:name="_Toc28325"/>
      <w:bookmarkStart w:id="1091" w:name="_Toc28099"/>
      <w:bookmarkStart w:id="1092" w:name="_Toc515647827"/>
      <w:bookmarkStart w:id="1093" w:name="_Toc28768"/>
      <w:bookmarkStart w:id="1094" w:name="_Toc23926"/>
      <w:bookmarkStart w:id="1095" w:name="_Toc30795"/>
      <w:bookmarkStart w:id="1096" w:name="_Toc22102"/>
      <w:r>
        <w:rPr>
          <w:rFonts w:hint="eastAsia" w:ascii="宋体" w:hAnsi="宋体" w:eastAsia="宋体" w:cs="宋体"/>
          <w:b/>
          <w:bCs/>
          <w:color w:val="auto"/>
          <w:sz w:val="28"/>
          <w:szCs w:val="28"/>
          <w:highlight w:val="none"/>
        </w:rPr>
        <w:t>7</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供应商关联单位的说明</w:t>
      </w:r>
      <w:bookmarkEnd w:id="1086"/>
      <w:bookmarkEnd w:id="1087"/>
      <w:bookmarkEnd w:id="1088"/>
      <w:bookmarkEnd w:id="1089"/>
      <w:bookmarkEnd w:id="1090"/>
      <w:bookmarkEnd w:id="1091"/>
      <w:bookmarkEnd w:id="1092"/>
      <w:bookmarkEnd w:id="1093"/>
      <w:bookmarkEnd w:id="1094"/>
      <w:bookmarkEnd w:id="1095"/>
      <w:bookmarkEnd w:id="1096"/>
    </w:p>
    <w:p>
      <w:pPr>
        <w:pStyle w:val="4"/>
        <w:spacing w:line="400" w:lineRule="exact"/>
        <w:jc w:val="center"/>
        <w:rPr>
          <w:rFonts w:hint="eastAsia" w:ascii="宋体" w:hAnsi="宋体" w:eastAsia="宋体" w:cs="宋体"/>
          <w:color w:val="auto"/>
          <w:szCs w:val="24"/>
          <w:highlight w:val="none"/>
        </w:rPr>
      </w:pPr>
    </w:p>
    <w:p>
      <w:pPr>
        <w:pStyle w:val="4"/>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说明：供应商应当如实披露与本单位存在下列关联关系的单位名称：</w:t>
      </w:r>
    </w:p>
    <w:p>
      <w:pPr>
        <w:pStyle w:val="4"/>
        <w:spacing w:line="400" w:lineRule="exact"/>
        <w:ind w:firstLine="960" w:firstLineChars="4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（1）与供应商单位负责人为同一人的其他单位；</w:t>
      </w:r>
    </w:p>
    <w:p>
      <w:pPr>
        <w:pStyle w:val="4"/>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 xml:space="preserve">    （2）与供应商存在直接控股、管理关系的其他单位。</w:t>
      </w:r>
    </w:p>
    <w:p>
      <w:pPr>
        <w:pStyle w:val="21"/>
        <w:rPr>
          <w:rFonts w:hint="eastAsia" w:ascii="宋体" w:hAnsi="宋体" w:eastAsia="宋体" w:cs="宋体"/>
          <w:b/>
          <w:color w:val="auto"/>
          <w:kern w:val="0"/>
          <w:sz w:val="24"/>
          <w:highlight w:val="none"/>
        </w:rPr>
      </w:pPr>
    </w:p>
    <w:p>
      <w:pPr>
        <w:pStyle w:val="21"/>
        <w:rPr>
          <w:rFonts w:hint="eastAsia" w:ascii="宋体" w:hAnsi="宋体" w:eastAsia="宋体" w:cs="宋体"/>
          <w:b/>
          <w:color w:val="auto"/>
          <w:kern w:val="0"/>
          <w:sz w:val="24"/>
          <w:highlight w:val="none"/>
        </w:rPr>
      </w:pPr>
    </w:p>
    <w:p>
      <w:pPr>
        <w:pStyle w:val="21"/>
        <w:rPr>
          <w:rFonts w:hint="eastAsia" w:ascii="宋体" w:hAnsi="宋体" w:eastAsia="宋体" w:cs="宋体"/>
          <w:b/>
          <w:color w:val="auto"/>
          <w:kern w:val="0"/>
          <w:sz w:val="24"/>
          <w:highlight w:val="none"/>
        </w:rPr>
      </w:pPr>
    </w:p>
    <w:p>
      <w:pPr>
        <w:pStyle w:val="21"/>
        <w:rPr>
          <w:rFonts w:hint="eastAsia" w:ascii="宋体" w:hAnsi="宋体" w:eastAsia="宋体" w:cs="宋体"/>
          <w:b/>
          <w:color w:val="auto"/>
          <w:kern w:val="0"/>
          <w:sz w:val="24"/>
          <w:highlight w:val="none"/>
        </w:rPr>
      </w:pPr>
    </w:p>
    <w:p>
      <w:pPr>
        <w:pStyle w:val="21"/>
        <w:rPr>
          <w:rFonts w:hint="eastAsia" w:ascii="宋体" w:hAnsi="宋体" w:eastAsia="宋体" w:cs="宋体"/>
          <w:b/>
          <w:color w:val="auto"/>
          <w:kern w:val="0"/>
          <w:sz w:val="24"/>
          <w:highlight w:val="none"/>
        </w:rPr>
      </w:pPr>
    </w:p>
    <w:p>
      <w:pPr>
        <w:pStyle w:val="21"/>
        <w:rPr>
          <w:rFonts w:hint="eastAsia" w:ascii="宋体" w:hAnsi="宋体" w:eastAsia="宋体" w:cs="宋体"/>
          <w:b/>
          <w:color w:val="auto"/>
          <w:kern w:val="0"/>
          <w:sz w:val="24"/>
          <w:highlight w:val="none"/>
        </w:rPr>
      </w:pPr>
    </w:p>
    <w:p>
      <w:pPr>
        <w:pStyle w:val="21"/>
        <w:rPr>
          <w:rFonts w:hint="eastAsia" w:ascii="宋体" w:hAnsi="宋体" w:eastAsia="宋体" w:cs="宋体"/>
          <w:b/>
          <w:color w:val="auto"/>
          <w:kern w:val="0"/>
          <w:sz w:val="24"/>
          <w:highlight w:val="none"/>
        </w:rPr>
      </w:pPr>
    </w:p>
    <w:p>
      <w:pPr>
        <w:pStyle w:val="21"/>
        <w:rPr>
          <w:rFonts w:hint="eastAsia" w:ascii="宋体" w:hAnsi="宋体" w:eastAsia="宋体" w:cs="宋体"/>
          <w:b/>
          <w:color w:val="auto"/>
          <w:kern w:val="0"/>
          <w:sz w:val="24"/>
          <w:highlight w:val="none"/>
        </w:rPr>
      </w:pPr>
    </w:p>
    <w:p>
      <w:pPr>
        <w:pStyle w:val="21"/>
        <w:rPr>
          <w:rFonts w:hint="eastAsia" w:ascii="宋体" w:hAnsi="宋体" w:eastAsia="宋体" w:cs="宋体"/>
          <w:b/>
          <w:color w:val="auto"/>
          <w:kern w:val="0"/>
          <w:sz w:val="24"/>
          <w:highlight w:val="none"/>
        </w:rPr>
      </w:pPr>
    </w:p>
    <w:p>
      <w:pPr>
        <w:pStyle w:val="21"/>
        <w:rPr>
          <w:rFonts w:hint="eastAsia" w:ascii="宋体" w:hAnsi="宋体" w:eastAsia="宋体" w:cs="宋体"/>
          <w:b/>
          <w:color w:val="auto"/>
          <w:kern w:val="0"/>
          <w:sz w:val="24"/>
          <w:highlight w:val="none"/>
        </w:rPr>
      </w:pPr>
    </w:p>
    <w:p>
      <w:pPr>
        <w:pStyle w:val="4"/>
        <w:outlineLvl w:val="1"/>
        <w:rPr>
          <w:rFonts w:hint="eastAsia" w:ascii="宋体" w:hAnsi="宋体" w:eastAsia="宋体" w:cs="宋体"/>
          <w:color w:val="auto"/>
          <w:sz w:val="24"/>
          <w:highlight w:val="none"/>
        </w:rPr>
      </w:pPr>
      <w:bookmarkStart w:id="1097" w:name="_Toc18913"/>
      <w:bookmarkStart w:id="1098" w:name="_Toc23610"/>
      <w:bookmarkStart w:id="1099" w:name="_Toc30689"/>
      <w:bookmarkStart w:id="1100" w:name="_Toc29406"/>
      <w:r>
        <w:rPr>
          <w:rFonts w:hint="eastAsia"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供应商可提供有利于投标的其他资格证明材料</w:t>
      </w:r>
      <w:bookmarkEnd w:id="1097"/>
      <w:bookmarkEnd w:id="1098"/>
      <w:bookmarkEnd w:id="1099"/>
      <w:bookmarkEnd w:id="1100"/>
    </w:p>
    <w:p>
      <w:pPr>
        <w:pStyle w:val="4"/>
        <w:ind w:left="0" w:leftChars="0" w:firstLine="0" w:firstLineChars="0"/>
        <w:rPr>
          <w:rFonts w:hint="eastAsia" w:ascii="宋体" w:hAnsi="宋体" w:eastAsia="宋体" w:cs="宋体"/>
          <w:color w:val="auto"/>
          <w:sz w:val="24"/>
          <w:highlight w:val="none"/>
        </w:rPr>
      </w:pPr>
    </w:p>
    <w:p>
      <w:pPr>
        <w:pStyle w:val="5"/>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1"/>
        <w:rPr>
          <w:rFonts w:hint="eastAsia" w:ascii="宋体" w:hAnsi="宋体" w:eastAsia="宋体" w:cs="宋体"/>
          <w:color w:val="auto"/>
          <w:sz w:val="24"/>
          <w:highlight w:val="none"/>
        </w:rPr>
      </w:pPr>
    </w:p>
    <w:p>
      <w:pPr>
        <w:pStyle w:val="21"/>
        <w:rPr>
          <w:rFonts w:hint="eastAsia" w:ascii="宋体" w:hAnsi="宋体" w:eastAsia="宋体" w:cs="宋体"/>
          <w:color w:val="auto"/>
          <w:sz w:val="24"/>
          <w:highlight w:val="none"/>
        </w:rPr>
      </w:pPr>
    </w:p>
    <w:p>
      <w:pPr>
        <w:pStyle w:val="21"/>
        <w:rPr>
          <w:rFonts w:hint="eastAsia" w:ascii="宋体" w:hAnsi="宋体" w:eastAsia="宋体" w:cs="宋体"/>
          <w:color w:val="auto"/>
          <w:sz w:val="24"/>
          <w:highlight w:val="none"/>
        </w:rPr>
      </w:pPr>
    </w:p>
    <w:p>
      <w:pPr>
        <w:rPr>
          <w:rFonts w:hint="eastAsia" w:ascii="宋体" w:hAnsi="宋体" w:eastAsia="宋体" w:cs="宋体"/>
          <w:b/>
          <w:color w:val="auto"/>
          <w:kern w:val="0"/>
          <w:sz w:val="24"/>
          <w:szCs w:val="20"/>
          <w:highlight w:val="none"/>
        </w:rPr>
      </w:pPr>
      <w:bookmarkStart w:id="1101" w:name="_Toc10651"/>
      <w:r>
        <w:rPr>
          <w:rFonts w:hint="eastAsia" w:ascii="宋体" w:hAnsi="宋体" w:eastAsia="宋体" w:cs="宋体"/>
          <w:b/>
          <w:color w:val="auto"/>
          <w:kern w:val="0"/>
          <w:sz w:val="24"/>
          <w:szCs w:val="20"/>
          <w:highlight w:val="none"/>
        </w:rPr>
        <w:br w:type="page"/>
      </w:r>
    </w:p>
    <w:p>
      <w:pPr>
        <w:pStyle w:val="15"/>
        <w:spacing w:line="240" w:lineRule="atLeast"/>
        <w:ind w:left="1080" w:leftChars="257" w:hanging="540"/>
        <w:jc w:val="left"/>
        <w:outlineLvl w:val="1"/>
        <w:rPr>
          <w:rFonts w:hint="eastAsia" w:ascii="宋体" w:hAnsi="宋体" w:eastAsia="宋体" w:cs="宋体"/>
          <w:b/>
          <w:bCs/>
          <w:color w:val="auto"/>
          <w:sz w:val="28"/>
          <w:szCs w:val="28"/>
          <w:highlight w:val="none"/>
        </w:rPr>
      </w:pPr>
      <w:bookmarkStart w:id="1102" w:name="_Toc11395"/>
      <w:bookmarkStart w:id="1103" w:name="_Toc2469"/>
      <w:bookmarkStart w:id="1104" w:name="_Toc5722"/>
      <w:r>
        <w:rPr>
          <w:rFonts w:hint="eastAsia" w:ascii="宋体" w:hAnsi="宋体" w:eastAsia="宋体" w:cs="宋体"/>
          <w:b/>
          <w:bCs/>
          <w:color w:val="auto"/>
          <w:sz w:val="28"/>
          <w:szCs w:val="28"/>
          <w:highlight w:val="none"/>
        </w:rPr>
        <w:t>9</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投标文件格式范本</w:t>
      </w:r>
      <w:bookmarkEnd w:id="1101"/>
      <w:bookmarkEnd w:id="1102"/>
      <w:bookmarkEnd w:id="1103"/>
      <w:bookmarkEnd w:id="1104"/>
    </w:p>
    <w:tbl>
      <w:tblPr>
        <w:tblStyle w:val="26"/>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12"/>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（正本</w:t>
            </w:r>
            <w:r>
              <w:rPr>
                <w:rFonts w:hint="eastAsia" w:ascii="宋体" w:hAnsi="宋体" w:eastAsia="宋体" w:cs="宋体"/>
                <w:b/>
                <w:bCs/>
                <w:color w:val="auto"/>
                <w:sz w:val="28"/>
                <w:szCs w:val="28"/>
                <w:highlight w:val="none"/>
                <w:lang w:val="en-US" w:eastAsia="zh-CN"/>
              </w:rPr>
              <w:t>和</w:t>
            </w:r>
            <w:r>
              <w:rPr>
                <w:rFonts w:hint="eastAsia" w:ascii="宋体" w:hAnsi="宋体" w:eastAsia="宋体" w:cs="宋体"/>
                <w:b/>
                <w:bCs/>
                <w:color w:val="auto"/>
                <w:sz w:val="28"/>
                <w:szCs w:val="28"/>
                <w:highlight w:val="none"/>
              </w:rPr>
              <w:t>副本）</w:t>
            </w:r>
          </w:p>
          <w:p>
            <w:pPr>
              <w:pStyle w:val="12"/>
              <w:ind w:firstLine="4216" w:firstLineChars="1500"/>
              <w:rPr>
                <w:rFonts w:hint="eastAsia" w:ascii="宋体" w:hAnsi="宋体" w:eastAsia="宋体" w:cs="宋体"/>
                <w:b/>
                <w:bCs/>
                <w:color w:val="auto"/>
                <w:sz w:val="28"/>
                <w:szCs w:val="28"/>
                <w:highlight w:val="none"/>
              </w:rPr>
            </w:pPr>
          </w:p>
          <w:p>
            <w:pPr>
              <w:pStyle w:val="12"/>
              <w:ind w:firstLine="4216" w:firstLineChars="1500"/>
              <w:rPr>
                <w:rFonts w:hint="eastAsia" w:ascii="宋体" w:hAnsi="宋体" w:eastAsia="宋体" w:cs="宋体"/>
                <w:b/>
                <w:bCs/>
                <w:color w:val="auto"/>
                <w:sz w:val="28"/>
                <w:szCs w:val="28"/>
                <w:highlight w:val="none"/>
              </w:rPr>
            </w:pPr>
          </w:p>
          <w:p>
            <w:pPr>
              <w:pStyle w:val="12"/>
              <w:rPr>
                <w:rFonts w:hint="eastAsia" w:ascii="宋体" w:hAnsi="宋体" w:eastAsia="宋体" w:cs="宋体"/>
                <w:b/>
                <w:bCs/>
                <w:color w:val="auto"/>
                <w:sz w:val="28"/>
                <w:szCs w:val="28"/>
                <w:highlight w:val="none"/>
              </w:rPr>
            </w:pPr>
          </w:p>
          <w:p>
            <w:pPr>
              <w:pStyle w:val="12"/>
              <w:ind w:firstLine="1897"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8"/>
                <w:szCs w:val="28"/>
                <w:highlight w:val="none"/>
              </w:rPr>
              <w:t>项目</w:t>
            </w:r>
          </w:p>
          <w:p>
            <w:pPr>
              <w:pStyle w:val="12"/>
              <w:jc w:val="center"/>
              <w:rPr>
                <w:rFonts w:hint="eastAsia" w:ascii="宋体" w:hAnsi="宋体" w:eastAsia="宋体" w:cs="宋体"/>
                <w:b/>
                <w:bCs/>
                <w:color w:val="auto"/>
                <w:sz w:val="21"/>
                <w:szCs w:val="21"/>
                <w:highlight w:val="none"/>
              </w:rPr>
            </w:pPr>
          </w:p>
          <w:p>
            <w:pPr>
              <w:pStyle w:val="12"/>
              <w:ind w:firstLine="3162" w:firstLineChars="15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编号 ＊＊＊      包号：＊＊＊</w:t>
            </w:r>
          </w:p>
          <w:p>
            <w:pPr>
              <w:pStyle w:val="12"/>
              <w:jc w:val="center"/>
              <w:rPr>
                <w:rFonts w:hint="eastAsia" w:ascii="宋体" w:hAnsi="宋体" w:eastAsia="宋体" w:cs="宋体"/>
                <w:b/>
                <w:bCs/>
                <w:color w:val="auto"/>
                <w:sz w:val="48"/>
                <w:highlight w:val="none"/>
              </w:rPr>
            </w:pPr>
          </w:p>
          <w:p>
            <w:pPr>
              <w:pStyle w:val="12"/>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rPr>
              <w:t>投 标 文 件</w:t>
            </w:r>
          </w:p>
          <w:p>
            <w:pPr>
              <w:pStyle w:val="4"/>
              <w:ind w:firstLine="0"/>
              <w:rPr>
                <w:rFonts w:hint="eastAsia" w:ascii="宋体" w:hAnsi="宋体" w:eastAsia="宋体" w:cs="宋体"/>
                <w:b/>
                <w:color w:val="auto"/>
                <w:sz w:val="32"/>
                <w:highlight w:val="none"/>
              </w:rPr>
            </w:pPr>
          </w:p>
          <w:p>
            <w:pPr>
              <w:pStyle w:val="4"/>
              <w:rPr>
                <w:rFonts w:hint="eastAsia" w:ascii="宋体" w:hAnsi="宋体" w:eastAsia="宋体" w:cs="宋体"/>
                <w:b/>
                <w:color w:val="auto"/>
                <w:sz w:val="32"/>
                <w:highlight w:val="none"/>
              </w:rPr>
            </w:pPr>
          </w:p>
          <w:p>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b/>
                <w:bCs/>
                <w:color w:val="auto"/>
                <w:highlight w:val="none"/>
              </w:rPr>
            </w:pPr>
            <w:r>
              <w:rPr>
                <w:rFonts w:hint="eastAsia" w:ascii="宋体" w:hAnsi="宋体" w:eastAsia="宋体" w:cs="宋体"/>
                <w:color w:val="auto"/>
                <w:szCs w:val="21"/>
                <w:highlight w:val="none"/>
              </w:rPr>
              <w:t xml:space="preserve">地    址  ：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jc w:val="center"/>
              <w:rPr>
                <w:rFonts w:hint="eastAsia" w:ascii="宋体" w:hAnsi="宋体" w:eastAsia="宋体" w:cs="宋体"/>
                <w:b/>
                <w:bCs/>
                <w:color w:val="auto"/>
                <w:highlight w:val="none"/>
              </w:rPr>
            </w:pPr>
          </w:p>
          <w:p>
            <w:pPr>
              <w:pStyle w:val="4"/>
              <w:rPr>
                <w:rFonts w:hint="eastAsia" w:ascii="宋体" w:hAnsi="宋体" w:eastAsia="宋体" w:cs="宋体"/>
                <w:color w:val="auto"/>
                <w:highlight w:val="none"/>
              </w:rPr>
            </w:pPr>
          </w:p>
          <w:p>
            <w:pPr>
              <w:jc w:val="center"/>
              <w:rPr>
                <w:rFonts w:hint="eastAsia" w:ascii="宋体" w:hAnsi="宋体" w:eastAsia="宋体" w:cs="宋体"/>
                <w:b/>
                <w:bCs/>
                <w:color w:val="auto"/>
                <w:highlight w:val="none"/>
              </w:rPr>
            </w:pPr>
          </w:p>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注：   在202</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年</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月</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日</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午</w:t>
            </w:r>
            <w:r>
              <w:rPr>
                <w:rFonts w:hint="eastAsia" w:ascii="宋体" w:hAnsi="宋体" w:eastAsia="宋体" w:cs="宋体"/>
                <w:color w:val="auto"/>
                <w:kern w:val="0"/>
                <w:szCs w:val="21"/>
                <w:highlight w:val="none"/>
              </w:rPr>
              <w:t>XX</w:t>
            </w:r>
            <w:r>
              <w:rPr>
                <w:rFonts w:hint="eastAsia" w:ascii="宋体" w:hAnsi="宋体" w:eastAsia="宋体" w:cs="宋体"/>
                <w:b/>
                <w:bCs/>
                <w:color w:val="auto"/>
                <w:highlight w:val="none"/>
              </w:rPr>
              <w:t>之前不得启封</w:t>
            </w:r>
          </w:p>
          <w:p>
            <w:pPr>
              <w:jc w:val="center"/>
              <w:rPr>
                <w:rFonts w:hint="eastAsia" w:ascii="宋体" w:hAnsi="宋体" w:eastAsia="宋体" w:cs="宋体"/>
                <w:b/>
                <w:bCs/>
                <w:color w:val="auto"/>
                <w:highlight w:val="none"/>
              </w:rPr>
            </w:pPr>
          </w:p>
        </w:tc>
      </w:tr>
    </w:tbl>
    <w:p>
      <w:pPr>
        <w:spacing w:line="240" w:lineRule="atLeast"/>
        <w:jc w:val="both"/>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rPr>
          <w:rFonts w:hint="eastAsia" w:ascii="宋体" w:hAnsi="宋体" w:eastAsia="宋体" w:cs="宋体"/>
          <w:b/>
          <w:color w:val="auto"/>
          <w:sz w:val="44"/>
          <w:szCs w:val="44"/>
          <w:highlight w:val="none"/>
        </w:rPr>
      </w:pPr>
    </w:p>
    <w:p>
      <w:pPr>
        <w:pStyle w:val="12"/>
        <w:rPr>
          <w:rFonts w:hint="eastAsia" w:ascii="宋体" w:hAnsi="宋体" w:eastAsia="宋体" w:cs="宋体"/>
          <w:b/>
          <w:color w:val="auto"/>
          <w:sz w:val="44"/>
          <w:szCs w:val="44"/>
          <w:highlight w:val="none"/>
        </w:rPr>
      </w:pPr>
    </w:p>
    <w:p>
      <w:pPr>
        <w:pStyle w:val="13"/>
        <w:rPr>
          <w:rFonts w:hint="eastAsia" w:ascii="宋体" w:hAnsi="宋体" w:eastAsia="宋体" w:cs="宋体"/>
          <w:b/>
          <w:color w:val="auto"/>
          <w:sz w:val="44"/>
          <w:szCs w:val="44"/>
          <w:highlight w:val="none"/>
        </w:rPr>
      </w:pPr>
    </w:p>
    <w:p>
      <w:pPr>
        <w:pStyle w:val="12"/>
        <w:rPr>
          <w:rFonts w:hint="eastAsia" w:ascii="宋体" w:hAnsi="宋体" w:eastAsia="宋体" w:cs="宋体"/>
          <w:b/>
          <w:color w:val="auto"/>
          <w:sz w:val="44"/>
          <w:szCs w:val="44"/>
          <w:highlight w:val="none"/>
        </w:rPr>
      </w:pPr>
    </w:p>
    <w:p>
      <w:pPr>
        <w:pStyle w:val="13"/>
        <w:rPr>
          <w:rFonts w:hint="eastAsia" w:ascii="宋体" w:hAnsi="宋体" w:eastAsia="宋体" w:cs="宋体"/>
          <w:b/>
          <w:color w:val="auto"/>
          <w:sz w:val="44"/>
          <w:szCs w:val="44"/>
          <w:highlight w:val="none"/>
        </w:rPr>
      </w:pPr>
    </w:p>
    <w:p>
      <w:pPr>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4"/>
          <w:szCs w:val="44"/>
          <w:highlight w:val="none"/>
        </w:rPr>
      </w:pPr>
    </w:p>
    <w:p>
      <w:pPr>
        <w:pStyle w:val="21"/>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360" w:lineRule="auto"/>
        <w:rPr>
          <w:rFonts w:hint="eastAsia" w:ascii="宋体" w:hAnsi="宋体" w:eastAsia="宋体" w:cs="宋体"/>
          <w:b/>
          <w:color w:val="auto"/>
          <w:sz w:val="40"/>
          <w:szCs w:val="40"/>
          <w:highlight w:val="none"/>
        </w:rPr>
      </w:pPr>
      <w:bookmarkStart w:id="1105" w:name="_Toc24900_WPSOffice_Level2"/>
    </w:p>
    <w:p>
      <w:pPr>
        <w:spacing w:line="240" w:lineRule="atLeast"/>
        <w:jc w:val="center"/>
        <w:rPr>
          <w:rFonts w:hint="eastAsia"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rPr>
        <w:t>项目编号：</w:t>
      </w:r>
      <w:bookmarkEnd w:id="1105"/>
      <w:r>
        <w:rPr>
          <w:rFonts w:hint="eastAsia" w:ascii="宋体" w:hAnsi="宋体" w:cs="宋体"/>
          <w:b/>
          <w:color w:val="auto"/>
          <w:sz w:val="40"/>
          <w:szCs w:val="40"/>
          <w:highlight w:val="none"/>
          <w:lang w:val="en-US" w:eastAsia="zh-CN"/>
        </w:rPr>
        <w:t>ZJ(GK)-22042</w:t>
      </w: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第 二 册</w:t>
      </w:r>
    </w:p>
    <w:p>
      <w:pPr>
        <w:rPr>
          <w:rFonts w:hint="eastAsia" w:ascii="宋体" w:hAnsi="宋体" w:eastAsia="宋体" w:cs="宋体"/>
          <w:color w:val="auto"/>
          <w:sz w:val="44"/>
          <w:szCs w:val="36"/>
          <w:highlight w:val="none"/>
        </w:rPr>
      </w:pPr>
    </w:p>
    <w:p>
      <w:pPr>
        <w:pStyle w:val="4"/>
        <w:rPr>
          <w:rFonts w:hint="eastAsia" w:ascii="宋体" w:hAnsi="宋体" w:eastAsia="宋体" w:cs="宋体"/>
          <w:b/>
          <w:color w:val="auto"/>
          <w:sz w:val="44"/>
          <w:szCs w:val="36"/>
          <w:highlight w:val="none"/>
        </w:rPr>
      </w:pPr>
    </w:p>
    <w:p>
      <w:pPr>
        <w:pStyle w:val="5"/>
        <w:rPr>
          <w:rFonts w:hint="eastAsia" w:ascii="宋体" w:hAnsi="宋体" w:eastAsia="宋体" w:cs="宋体"/>
          <w:b/>
          <w:color w:val="auto"/>
          <w:sz w:val="44"/>
          <w:szCs w:val="36"/>
          <w:highlight w:val="none"/>
        </w:rPr>
      </w:pPr>
    </w:p>
    <w:p>
      <w:pPr>
        <w:rPr>
          <w:rFonts w:hint="eastAsia" w:ascii="宋体" w:hAnsi="宋体" w:eastAsia="宋体" w:cs="宋体"/>
          <w:b/>
          <w:color w:val="auto"/>
          <w:sz w:val="44"/>
          <w:szCs w:val="36"/>
          <w:highlight w:val="none"/>
        </w:rPr>
      </w:pPr>
    </w:p>
    <w:p>
      <w:pPr>
        <w:pStyle w:val="12"/>
        <w:rPr>
          <w:rFonts w:hint="eastAsia" w:ascii="宋体" w:hAnsi="宋体" w:eastAsia="宋体" w:cs="宋体"/>
          <w:color w:val="auto"/>
          <w:highlight w:val="none"/>
        </w:rPr>
      </w:pPr>
    </w:p>
    <w:p>
      <w:pPr>
        <w:pStyle w:val="5"/>
        <w:rPr>
          <w:rFonts w:hint="eastAsia" w:ascii="宋体" w:hAnsi="宋体" w:eastAsia="宋体" w:cs="宋体"/>
          <w:b/>
          <w:color w:val="auto"/>
          <w:sz w:val="44"/>
          <w:szCs w:val="36"/>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bookmarkEnd w:id="925"/>
    <w:bookmarkEnd w:id="926"/>
    <w:bookmarkEnd w:id="927"/>
    <w:bookmarkEnd w:id="928"/>
    <w:bookmarkEnd w:id="967"/>
    <w:bookmarkEnd w:id="968"/>
    <w:bookmarkEnd w:id="969"/>
    <w:bookmarkEnd w:id="970"/>
    <w:bookmarkEnd w:id="971"/>
    <w:bookmarkEnd w:id="972"/>
    <w:p>
      <w:pPr>
        <w:widowControl/>
        <w:numPr>
          <w:ilvl w:val="0"/>
          <w:numId w:val="7"/>
        </w:numPr>
        <w:spacing w:line="440" w:lineRule="exact"/>
        <w:jc w:val="center"/>
        <w:outlineLvl w:val="0"/>
        <w:rPr>
          <w:rStyle w:val="38"/>
          <w:rFonts w:hint="eastAsia" w:ascii="宋体" w:hAnsi="宋体" w:eastAsia="宋体" w:cs="宋体"/>
          <w:color w:val="auto"/>
          <w:highlight w:val="none"/>
        </w:rPr>
      </w:pPr>
      <w:bookmarkStart w:id="1106" w:name="_Toc16370"/>
      <w:bookmarkStart w:id="1107" w:name="_Toc22081"/>
      <w:bookmarkStart w:id="1108" w:name="_Toc29715"/>
      <w:bookmarkStart w:id="1109" w:name="_Toc28765"/>
      <w:bookmarkStart w:id="1110" w:name="_Toc216582822"/>
      <w:bookmarkStart w:id="1111" w:name="_Toc219175634"/>
      <w:bookmarkStart w:id="1112" w:name="_Toc17931"/>
      <w:bookmarkStart w:id="1113" w:name="_Toc218935350"/>
      <w:bookmarkStart w:id="1114" w:name="_Toc515647829"/>
      <w:bookmarkStart w:id="1115" w:name="_Toc507399902"/>
      <w:r>
        <w:rPr>
          <w:rStyle w:val="38"/>
          <w:rFonts w:hint="eastAsia" w:ascii="宋体" w:hAnsi="宋体" w:eastAsia="宋体" w:cs="宋体"/>
          <w:color w:val="auto"/>
          <w:highlight w:val="none"/>
        </w:rPr>
        <w:t xml:space="preserve"> </w:t>
      </w:r>
      <w:bookmarkStart w:id="1116" w:name="_Toc32614"/>
      <w:r>
        <w:rPr>
          <w:rStyle w:val="38"/>
          <w:rFonts w:hint="eastAsia" w:ascii="宋体" w:hAnsi="宋体" w:eastAsia="宋体" w:cs="宋体"/>
          <w:color w:val="auto"/>
          <w:highlight w:val="none"/>
        </w:rPr>
        <w:t>投标邀请</w:t>
      </w:r>
      <w:bookmarkEnd w:id="1106"/>
      <w:bookmarkEnd w:id="1107"/>
      <w:bookmarkEnd w:id="1108"/>
      <w:bookmarkEnd w:id="1109"/>
      <w:bookmarkEnd w:id="1110"/>
      <w:bookmarkEnd w:id="1111"/>
      <w:bookmarkEnd w:id="1112"/>
      <w:bookmarkEnd w:id="1113"/>
      <w:bookmarkEnd w:id="1114"/>
      <w:bookmarkEnd w:id="1115"/>
      <w:bookmarkEnd w:id="1116"/>
      <w:bookmarkStart w:id="1117" w:name="_Toc5272"/>
      <w:bookmarkStart w:id="1118" w:name="_Toc216582823"/>
      <w:bookmarkStart w:id="1119" w:name="_Toc512937850"/>
      <w:bookmarkStart w:id="1120" w:name="_Toc515647830"/>
      <w:bookmarkStart w:id="1121" w:name="_Toc31583"/>
      <w:bookmarkStart w:id="1122" w:name="_Toc507399903"/>
      <w:bookmarkStart w:id="1123" w:name="_Toc10488"/>
    </w:p>
    <w:p>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36"/>
          <w:szCs w:val="36"/>
          <w:highlight w:val="none"/>
        </w:rPr>
      </w:pPr>
      <w:bookmarkStart w:id="1124" w:name="_Toc35393789"/>
      <w:bookmarkStart w:id="1125" w:name="_Toc281"/>
      <w:bookmarkStart w:id="1126" w:name="_Toc28359001"/>
      <w:bookmarkStart w:id="1127" w:name="_Toc23145"/>
      <w:bookmarkStart w:id="1128" w:name="_Toc15674"/>
      <w:r>
        <w:rPr>
          <w:rFonts w:hint="eastAsia" w:ascii="宋体" w:hAnsi="宋体" w:cs="宋体"/>
          <w:b/>
          <w:bCs/>
          <w:color w:val="auto"/>
          <w:sz w:val="36"/>
          <w:szCs w:val="36"/>
          <w:highlight w:val="none"/>
          <w:lang w:eastAsia="zh-CN"/>
        </w:rPr>
        <w:t>喀什地区第二人民医院互联网医疗+心电分级诊断服务平台建设及医疗设备采购项目</w:t>
      </w:r>
      <w:r>
        <w:rPr>
          <w:rFonts w:hint="eastAsia" w:ascii="宋体" w:hAnsi="宋体" w:eastAsia="宋体" w:cs="宋体"/>
          <w:b/>
          <w:bCs/>
          <w:color w:val="auto"/>
          <w:sz w:val="36"/>
          <w:szCs w:val="36"/>
          <w:highlight w:val="none"/>
        </w:rPr>
        <w:t>公开招标公告</w:t>
      </w:r>
      <w:bookmarkEnd w:id="1124"/>
      <w:bookmarkEnd w:id="1125"/>
      <w:bookmarkEnd w:id="1126"/>
      <w:bookmarkEnd w:id="1127"/>
      <w:bookmarkEnd w:id="1128"/>
    </w:p>
    <w:p>
      <w:pPr>
        <w:pBdr>
          <w:top w:val="single" w:color="auto" w:sz="4" w:space="1"/>
          <w:left w:val="single" w:color="auto" w:sz="4" w:space="4"/>
          <w:bottom w:val="single" w:color="auto" w:sz="4" w:space="1"/>
          <w:right w:val="single" w:color="auto" w:sz="4" w:space="4"/>
        </w:pBd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项目概况</w:t>
      </w:r>
    </w:p>
    <w:p>
      <w:pPr>
        <w:pBdr>
          <w:top w:val="single" w:color="auto" w:sz="4" w:space="1"/>
          <w:left w:val="single" w:color="auto" w:sz="4" w:space="4"/>
          <w:bottom w:val="single" w:color="auto" w:sz="4" w:space="1"/>
          <w:right w:val="single" w:color="auto" w:sz="4" w:space="4"/>
        </w:pBdr>
        <w:spacing w:line="400" w:lineRule="exact"/>
        <w:rPr>
          <w:rFonts w:hint="eastAsia" w:ascii="宋体" w:hAnsi="宋体" w:eastAsia="宋体" w:cs="宋体"/>
          <w:b/>
          <w:bCs/>
          <w:color w:val="auto"/>
          <w:sz w:val="24"/>
          <w:highlight w:val="none"/>
        </w:rPr>
      </w:pPr>
      <w:r>
        <w:rPr>
          <w:rFonts w:hint="eastAsia" w:ascii="宋体" w:hAnsi="宋体" w:cs="宋体"/>
          <w:color w:val="auto"/>
          <w:sz w:val="24"/>
          <w:highlight w:val="none"/>
          <w:u w:val="single"/>
          <w:lang w:eastAsia="zh-CN"/>
        </w:rPr>
        <w:t>喀什地区第二人民医院互联网医疗+心电分级诊断服务平台建设及医疗设备采购项目</w:t>
      </w:r>
      <w:r>
        <w:rPr>
          <w:rFonts w:hint="eastAsia" w:ascii="宋体" w:hAnsi="宋体" w:eastAsia="宋体" w:cs="宋体"/>
          <w:color w:val="auto"/>
          <w:sz w:val="24"/>
          <w:highlight w:val="none"/>
        </w:rPr>
        <w:t>的潜在供应商应在</w:t>
      </w:r>
      <w:r>
        <w:rPr>
          <w:rFonts w:hint="eastAsia" w:ascii="宋体" w:hAnsi="宋体" w:eastAsia="宋体" w:cs="宋体"/>
          <w:color w:val="auto"/>
          <w:sz w:val="24"/>
          <w:highlight w:val="none"/>
          <w:u w:val="single"/>
        </w:rPr>
        <w:t>政采云平台</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u w:val="single"/>
        </w:rPr>
        <w:t>2022年</w:t>
      </w:r>
      <w:r>
        <w:rPr>
          <w:rFonts w:hint="eastAsia" w:ascii="宋体" w:hAnsi="宋体" w:cs="宋体"/>
          <w:color w:val="auto"/>
          <w:sz w:val="24"/>
          <w:highlight w:val="none"/>
          <w:u w:val="single"/>
          <w:lang w:val="en-US" w:eastAsia="zh-CN"/>
        </w:rPr>
        <w:t>11</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16</w:t>
      </w:r>
      <w:r>
        <w:rPr>
          <w:rFonts w:hint="eastAsia" w:ascii="宋体" w:hAnsi="宋体" w:eastAsia="宋体" w:cs="宋体"/>
          <w:color w:val="auto"/>
          <w:sz w:val="24"/>
          <w:highlight w:val="none"/>
          <w:u w:val="single"/>
        </w:rPr>
        <w:t>日上午10点30分（北京时间）</w:t>
      </w:r>
      <w:r>
        <w:rPr>
          <w:rFonts w:hint="eastAsia" w:ascii="宋体" w:hAnsi="宋体" w:eastAsia="宋体" w:cs="宋体"/>
          <w:bCs/>
          <w:color w:val="auto"/>
          <w:sz w:val="24"/>
          <w:highlight w:val="none"/>
        </w:rPr>
        <w:t>前递交投标文件</w:t>
      </w:r>
      <w:r>
        <w:rPr>
          <w:rFonts w:hint="eastAsia" w:ascii="宋体" w:hAnsi="宋体" w:eastAsia="宋体" w:cs="宋体"/>
          <w:color w:val="auto"/>
          <w:sz w:val="24"/>
          <w:highlight w:val="none"/>
        </w:rPr>
        <w:t>。</w:t>
      </w:r>
      <w:bookmarkStart w:id="1129" w:name="_Toc35393621"/>
      <w:bookmarkStart w:id="1130" w:name="_Toc28359079"/>
      <w:bookmarkStart w:id="1131" w:name="_Toc28217"/>
      <w:bookmarkStart w:id="1132" w:name="_Toc35393790"/>
      <w:bookmarkStart w:id="1133" w:name="_Toc28359002"/>
      <w:bookmarkStart w:id="1134" w:name="_Hlk24379207"/>
    </w:p>
    <w:p>
      <w:pPr>
        <w:pageBreakBefore w:val="0"/>
        <w:widowControl w:val="0"/>
        <w:kinsoku/>
        <w:wordWrap/>
        <w:overflowPunct/>
        <w:topLinePunct w:val="0"/>
        <w:bidi w:val="0"/>
        <w:snapToGrid/>
        <w:spacing w:line="390" w:lineRule="exact"/>
        <w:jc w:val="both"/>
        <w:textAlignment w:val="auto"/>
        <w:outlineLvl w:val="9"/>
        <w:rPr>
          <w:rFonts w:hint="eastAsia" w:ascii="宋体" w:hAnsi="宋体" w:eastAsia="宋体" w:cs="宋体"/>
          <w:b/>
          <w:bCs w:val="0"/>
          <w:color w:val="auto"/>
          <w:sz w:val="24"/>
          <w:szCs w:val="24"/>
          <w:highlight w:val="none"/>
        </w:rPr>
      </w:pPr>
      <w:bookmarkStart w:id="1135" w:name="_Toc20970"/>
      <w:bookmarkStart w:id="1136" w:name="_Toc28253"/>
      <w:r>
        <w:rPr>
          <w:rFonts w:hint="eastAsia" w:ascii="宋体" w:hAnsi="宋体" w:eastAsia="宋体" w:cs="宋体"/>
          <w:b/>
          <w:bCs w:val="0"/>
          <w:color w:val="auto"/>
          <w:sz w:val="24"/>
          <w:szCs w:val="24"/>
          <w:highlight w:val="none"/>
        </w:rPr>
        <w:t>一、</w:t>
      </w:r>
      <w:bookmarkEnd w:id="1129"/>
      <w:bookmarkEnd w:id="1130"/>
      <w:bookmarkEnd w:id="1131"/>
      <w:bookmarkEnd w:id="1132"/>
      <w:bookmarkEnd w:id="1133"/>
      <w:r>
        <w:rPr>
          <w:rFonts w:hint="eastAsia" w:ascii="宋体" w:hAnsi="宋体" w:eastAsia="宋体" w:cs="宋体"/>
          <w:b/>
          <w:bCs w:val="0"/>
          <w:color w:val="auto"/>
          <w:sz w:val="24"/>
          <w:szCs w:val="24"/>
          <w:highlight w:val="none"/>
        </w:rPr>
        <w:t>项目基本情况</w:t>
      </w:r>
      <w:bookmarkEnd w:id="1135"/>
      <w:bookmarkEnd w:id="1136"/>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项目编号：ZJ(GK)-22042</w:t>
      </w:r>
    </w:p>
    <w:p>
      <w:pPr>
        <w:pageBreakBefore w:val="0"/>
        <w:widowControl w:val="0"/>
        <w:kinsoku/>
        <w:wordWrap/>
        <w:overflowPunct/>
        <w:topLinePunct w:val="0"/>
        <w:bidi w:val="0"/>
        <w:snapToGrid/>
        <w:spacing w:line="390" w:lineRule="exact"/>
        <w:ind w:left="1919" w:leftChars="228" w:hanging="1440" w:hangingChars="600"/>
        <w:textAlignment w:val="auto"/>
        <w:outlineLvl w:val="9"/>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项目名称：</w:t>
      </w:r>
      <w:bookmarkEnd w:id="1134"/>
      <w:r>
        <w:rPr>
          <w:rFonts w:hint="eastAsia" w:ascii="宋体" w:hAnsi="宋体" w:cs="宋体"/>
          <w:color w:val="auto"/>
          <w:sz w:val="24"/>
          <w:highlight w:val="none"/>
          <w:lang w:eastAsia="zh-CN"/>
        </w:rPr>
        <w:t>喀什地区第二人民医院互联网医疗+心电分级诊断服务平台建设及医疗设备采购项目</w:t>
      </w:r>
    </w:p>
    <w:p>
      <w:pPr>
        <w:pageBreakBefore w:val="0"/>
        <w:widowControl w:val="0"/>
        <w:kinsoku/>
        <w:wordWrap/>
        <w:overflowPunct/>
        <w:topLinePunct w:val="0"/>
        <w:bidi w:val="0"/>
        <w:snapToGrid/>
        <w:spacing w:line="390" w:lineRule="exact"/>
        <w:ind w:firstLine="480" w:firstLineChars="200"/>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预算金额</w:t>
      </w:r>
      <w:r>
        <w:rPr>
          <w:rFonts w:hint="eastAsia" w:ascii="宋体" w:hAnsi="宋体" w:cs="宋体"/>
          <w:color w:val="auto"/>
          <w:sz w:val="24"/>
          <w:highlight w:val="none"/>
          <w:lang w:eastAsia="zh-CN"/>
        </w:rPr>
        <w:t>（</w:t>
      </w:r>
      <w:r>
        <w:rPr>
          <w:rFonts w:hint="eastAsia" w:ascii="宋体" w:hAnsi="宋体" w:eastAsia="宋体" w:cs="宋体"/>
          <w:b w:val="0"/>
          <w:bCs w:val="0"/>
          <w:color w:val="auto"/>
          <w:sz w:val="24"/>
          <w:szCs w:val="24"/>
          <w:highlight w:val="none"/>
          <w:lang w:val="en-US" w:eastAsia="zh-CN"/>
        </w:rPr>
        <w:t>元</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256.21万</w:t>
      </w:r>
    </w:p>
    <w:p>
      <w:pPr>
        <w:pStyle w:val="21"/>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最高限价（元）</w:t>
      </w:r>
      <w:r>
        <w:rPr>
          <w:rFonts w:hint="eastAsia" w:ascii="宋体" w:hAnsi="宋体" w:cs="宋体"/>
          <w:color w:val="auto"/>
          <w:sz w:val="24"/>
          <w:highlight w:val="none"/>
          <w:lang w:val="en-US" w:eastAsia="zh-CN"/>
        </w:rPr>
        <w:t>：256.21万</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采购需求：</w:t>
      </w:r>
    </w:p>
    <w:p>
      <w:pPr>
        <w:pageBreakBefore w:val="0"/>
        <w:widowControl w:val="0"/>
        <w:kinsoku/>
        <w:wordWrap/>
        <w:overflowPunct/>
        <w:topLinePunct w:val="0"/>
        <w:bidi w:val="0"/>
        <w:snapToGrid/>
        <w:spacing w:line="390" w:lineRule="exact"/>
        <w:ind w:firstLine="720" w:firstLineChars="300"/>
        <w:textAlignment w:val="auto"/>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第一包:互联网医疗+心电分级诊断服务平台建设；预算金额：200万元；</w:t>
      </w:r>
    </w:p>
    <w:p>
      <w:pPr>
        <w:pageBreakBefore w:val="0"/>
        <w:widowControl w:val="0"/>
        <w:kinsoku/>
        <w:wordWrap/>
        <w:overflowPunct/>
        <w:topLinePunct w:val="0"/>
        <w:bidi w:val="0"/>
        <w:snapToGrid/>
        <w:spacing w:line="390" w:lineRule="exact"/>
        <w:ind w:firstLine="720" w:firstLineChars="300"/>
        <w:textAlignment w:val="auto"/>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第二包:采购神经肌肉低频电刺激仪、超声理疗仪、磁振热治疗仪、超短波治疗仪、深层肌肉振动仪、心电监护仪等医疗设备一批；预算金额：56.21万元。（详细参数见招标文件）</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本项目不接受联合体投标。</w:t>
      </w:r>
    </w:p>
    <w:p>
      <w:pPr>
        <w:pageBreakBefore w:val="0"/>
        <w:widowControl w:val="0"/>
        <w:kinsoku/>
        <w:wordWrap/>
        <w:overflowPunct/>
        <w:topLinePunct w:val="0"/>
        <w:bidi w:val="0"/>
        <w:snapToGrid/>
        <w:spacing w:line="390" w:lineRule="exact"/>
        <w:jc w:val="both"/>
        <w:textAlignment w:val="auto"/>
        <w:outlineLvl w:val="9"/>
        <w:rPr>
          <w:rFonts w:hint="eastAsia" w:ascii="宋体" w:hAnsi="宋体" w:eastAsia="宋体" w:cs="宋体"/>
          <w:b/>
          <w:color w:val="auto"/>
          <w:sz w:val="24"/>
          <w:szCs w:val="24"/>
          <w:highlight w:val="none"/>
          <w:lang w:val="en-US" w:eastAsia="zh-CN"/>
        </w:rPr>
      </w:pPr>
      <w:bookmarkStart w:id="1137" w:name="_Toc28359080"/>
      <w:bookmarkStart w:id="1138" w:name="_Toc35393791"/>
      <w:bookmarkStart w:id="1139" w:name="_Toc35393622"/>
      <w:bookmarkStart w:id="1140" w:name="_Toc1145"/>
      <w:bookmarkStart w:id="1141" w:name="_Toc29506"/>
      <w:bookmarkStart w:id="1142" w:name="_Toc19260"/>
      <w:bookmarkStart w:id="1143" w:name="_Toc13688"/>
      <w:bookmarkStart w:id="1144" w:name="_Toc28359003"/>
      <w:r>
        <w:rPr>
          <w:rFonts w:hint="eastAsia" w:ascii="宋体" w:hAnsi="宋体" w:eastAsia="宋体" w:cs="宋体"/>
          <w:b/>
          <w:color w:val="auto"/>
          <w:sz w:val="24"/>
          <w:szCs w:val="24"/>
          <w:highlight w:val="none"/>
        </w:rPr>
        <w:t>二、申请人的资格要求：</w:t>
      </w:r>
      <w:bookmarkEnd w:id="1137"/>
      <w:bookmarkEnd w:id="1138"/>
      <w:bookmarkEnd w:id="1139"/>
      <w:bookmarkEnd w:id="1140"/>
      <w:bookmarkEnd w:id="1141"/>
      <w:bookmarkEnd w:id="1142"/>
      <w:bookmarkEnd w:id="1143"/>
      <w:bookmarkEnd w:id="1144"/>
      <w:r>
        <w:rPr>
          <w:rFonts w:hint="eastAsia" w:ascii="宋体" w:hAnsi="宋体" w:eastAsia="宋体" w:cs="宋体"/>
          <w:b/>
          <w:color w:val="auto"/>
          <w:sz w:val="24"/>
          <w:szCs w:val="24"/>
          <w:highlight w:val="none"/>
          <w:lang w:val="en-US" w:eastAsia="zh-CN"/>
        </w:rPr>
        <w:t xml:space="preserve"> </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cs="宋体"/>
          <w:color w:val="auto"/>
          <w:sz w:val="24"/>
          <w:highlight w:val="none"/>
          <w:lang w:val="en-US" w:eastAsia="zh-CN"/>
        </w:rPr>
      </w:pPr>
      <w:bookmarkStart w:id="1145" w:name="_Toc35393623"/>
      <w:bookmarkStart w:id="1146" w:name="_Toc28359081"/>
      <w:bookmarkStart w:id="1147" w:name="_Toc27678"/>
      <w:bookmarkStart w:id="1148" w:name="_Toc35393792"/>
      <w:bookmarkStart w:id="1149" w:name="_Toc28359004"/>
      <w:bookmarkStart w:id="1150" w:name="_Toc32226"/>
      <w:r>
        <w:rPr>
          <w:rFonts w:hint="eastAsia" w:ascii="宋体" w:hAnsi="宋体" w:eastAsia="宋体" w:cs="宋体"/>
          <w:color w:val="auto"/>
          <w:sz w:val="24"/>
          <w:highlight w:val="none"/>
          <w:lang w:val="en-US" w:eastAsia="zh-CN"/>
        </w:rPr>
        <w:t>1.满足《中华人民共和国政府采购法》第二十二条规定</w:t>
      </w:r>
      <w:r>
        <w:rPr>
          <w:rFonts w:hint="eastAsia" w:ascii="宋体" w:hAnsi="宋体" w:cs="宋体"/>
          <w:color w:val="auto"/>
          <w:sz w:val="24"/>
          <w:highlight w:val="none"/>
          <w:lang w:val="en-US" w:eastAsia="zh-CN"/>
        </w:rPr>
        <w:t>：</w:t>
      </w:r>
    </w:p>
    <w:p>
      <w:pPr>
        <w:pageBreakBefore w:val="0"/>
        <w:widowControl w:val="0"/>
        <w:kinsoku/>
        <w:wordWrap/>
        <w:overflowPunct/>
        <w:topLinePunct w:val="0"/>
        <w:bidi w:val="0"/>
        <w:snapToGrid/>
        <w:spacing w:line="390" w:lineRule="exact"/>
        <w:ind w:firstLine="480" w:firstLineChars="200"/>
        <w:textAlignment w:val="auto"/>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具有</w:t>
      </w:r>
      <w:r>
        <w:rPr>
          <w:rFonts w:hint="eastAsia" w:ascii="宋体" w:hAnsi="宋体" w:cs="宋体"/>
          <w:color w:val="auto"/>
          <w:sz w:val="24"/>
          <w:highlight w:val="none"/>
          <w:lang w:val="en-US" w:eastAsia="zh-CN"/>
        </w:rPr>
        <w:t>有效的独立法人营业执照；</w:t>
      </w:r>
    </w:p>
    <w:p>
      <w:pPr>
        <w:pageBreakBefore w:val="0"/>
        <w:widowControl w:val="0"/>
        <w:kinsoku/>
        <w:wordWrap/>
        <w:overflowPunct/>
        <w:topLinePunct w:val="0"/>
        <w:bidi w:val="0"/>
        <w:snapToGrid/>
        <w:spacing w:line="390" w:lineRule="exact"/>
        <w:ind w:left="1439" w:leftChars="228" w:hanging="960" w:hangingChars="400"/>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法定代表人授权书、被授权人身份证；(法定代表人投标须提供身份证）</w:t>
      </w:r>
    </w:p>
    <w:p>
      <w:pPr>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（3）依法缴纳近6个月任意1个月的社会保险凭据</w:t>
      </w:r>
      <w:r>
        <w:rPr>
          <w:rFonts w:hint="eastAsia" w:ascii="宋体" w:hAnsi="宋体" w:eastAsia="宋体" w:cs="宋体"/>
          <w:color w:val="auto"/>
          <w:sz w:val="24"/>
          <w:highlight w:val="none"/>
        </w:rPr>
        <w:t>；</w:t>
      </w:r>
    </w:p>
    <w:p>
      <w:pPr>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税务部门出具</w:t>
      </w:r>
      <w:r>
        <w:rPr>
          <w:rFonts w:hint="eastAsia" w:ascii="宋体" w:hAnsi="宋体" w:cs="宋体"/>
          <w:color w:val="auto"/>
          <w:sz w:val="24"/>
          <w:highlight w:val="none"/>
          <w:lang w:val="en-US" w:eastAsia="zh-CN"/>
        </w:rPr>
        <w:t>近6个月</w:t>
      </w:r>
      <w:r>
        <w:rPr>
          <w:rFonts w:hint="eastAsia" w:ascii="宋体" w:hAnsi="宋体" w:eastAsia="宋体" w:cs="宋体"/>
          <w:color w:val="auto"/>
          <w:sz w:val="24"/>
          <w:highlight w:val="none"/>
        </w:rPr>
        <w:t>任意1个月的完税证明；</w:t>
      </w:r>
    </w:p>
    <w:p>
      <w:pPr>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近两年任意一年的财务审计报告</w:t>
      </w:r>
      <w:r>
        <w:rPr>
          <w:rFonts w:hint="eastAsia" w:ascii="宋体" w:hAnsi="宋体" w:eastAsia="宋体" w:cs="宋体"/>
          <w:color w:val="auto"/>
          <w:sz w:val="24"/>
          <w:highlight w:val="none"/>
        </w:rPr>
        <w:t>；</w:t>
      </w:r>
    </w:p>
    <w:p>
      <w:pPr>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提供针对本次项目《反商业贿赂承诺书》；</w:t>
      </w:r>
    </w:p>
    <w:p>
      <w:pPr>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参与政府采购活动前3年内未被列入失信、重大税收违法案件、财政部门禁止参加政府采购活动的承诺书；</w:t>
      </w:r>
    </w:p>
    <w:p>
      <w:pPr>
        <w:spacing w:line="400" w:lineRule="exact"/>
        <w:ind w:firstLine="480" w:firstLineChars="200"/>
        <w:rPr>
          <w:rFonts w:hint="eastAsia"/>
          <w:color w:val="auto"/>
          <w:highlight w:val="none"/>
          <w:lang w:val="en-US"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2.落实政府采购政策需满足的资格要求：</w:t>
      </w:r>
      <w:r>
        <w:rPr>
          <w:rFonts w:hint="eastAsia" w:ascii="宋体" w:hAnsi="宋体" w:cs="宋体"/>
          <w:color w:val="auto"/>
          <w:sz w:val="24"/>
          <w:highlight w:val="none"/>
          <w:lang w:val="en-US" w:eastAsia="zh-CN"/>
        </w:rPr>
        <w:t>无</w:t>
      </w:r>
      <w:r>
        <w:rPr>
          <w:rFonts w:hint="eastAsia" w:ascii="宋体" w:hAnsi="宋体" w:eastAsia="宋体" w:cs="宋体"/>
          <w:color w:val="auto"/>
          <w:sz w:val="24"/>
          <w:highlight w:val="none"/>
          <w:lang w:val="en-US" w:eastAsia="zh-CN"/>
        </w:rPr>
        <w:t>。</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微软雅黑" w:hAnsi="微软雅黑" w:eastAsia="微软雅黑" w:cs="微软雅黑"/>
          <w:b/>
          <w:color w:val="auto"/>
          <w:sz w:val="24"/>
          <w:szCs w:val="24"/>
          <w:highlight w:val="none"/>
          <w:lang w:val="en-US" w:eastAsia="zh-CN"/>
        </w:rPr>
      </w:pPr>
      <w:r>
        <w:rPr>
          <w:rFonts w:hint="eastAsia" w:ascii="宋体" w:hAnsi="宋体" w:eastAsia="宋体" w:cs="宋体"/>
          <w:color w:val="auto"/>
          <w:sz w:val="24"/>
          <w:highlight w:val="none"/>
          <w:lang w:val="en-US" w:eastAsia="zh-CN"/>
        </w:rPr>
        <w:t>3.本项目的特定资格要求：</w:t>
      </w:r>
      <w:r>
        <w:rPr>
          <w:rFonts w:hint="eastAsia" w:ascii="宋体" w:hAnsi="宋体" w:cs="宋体"/>
          <w:color w:val="auto"/>
          <w:sz w:val="24"/>
          <w:highlight w:val="none"/>
          <w:lang w:val="en-US" w:eastAsia="zh-CN"/>
        </w:rPr>
        <w:t>第二包提供《医疗器械生产企业许可证》或《医疗器械经营企业许可证》（所投产品为二类医疗器械的需提供二类医疗器械备案凭证）。</w:t>
      </w:r>
      <w:r>
        <w:rPr>
          <w:rFonts w:hint="eastAsia" w:ascii="微软雅黑" w:hAnsi="微软雅黑" w:eastAsia="微软雅黑" w:cs="微软雅黑"/>
          <w:b/>
          <w:color w:val="auto"/>
          <w:sz w:val="24"/>
          <w:szCs w:val="24"/>
          <w:highlight w:val="none"/>
          <w:lang w:val="en-US" w:eastAsia="zh-CN"/>
        </w:rPr>
        <w:t xml:space="preserve"> </w:t>
      </w:r>
    </w:p>
    <w:p>
      <w:pPr>
        <w:spacing w:line="400" w:lineRule="exac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三、获取招标文件</w:t>
      </w:r>
      <w:bookmarkEnd w:id="1145"/>
      <w:bookmarkEnd w:id="1146"/>
      <w:bookmarkEnd w:id="1147"/>
      <w:bookmarkEnd w:id="1148"/>
      <w:bookmarkEnd w:id="1149"/>
      <w:bookmarkEnd w:id="1150"/>
    </w:p>
    <w:p>
      <w:pPr>
        <w:spacing w:line="400" w:lineRule="exact"/>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获取时间：202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eastAsia="宋体" w:cs="宋体"/>
          <w:color w:val="auto"/>
          <w:sz w:val="24"/>
          <w:highlight w:val="none"/>
        </w:rPr>
        <w:t>日至202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日，每天上午10:00至14:00，下午1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0至</w:t>
      </w:r>
      <w:r>
        <w:rPr>
          <w:rFonts w:hint="eastAsia" w:ascii="宋体" w:hAnsi="宋体" w:cs="宋体"/>
          <w:color w:val="auto"/>
          <w:sz w:val="24"/>
          <w:highlight w:val="none"/>
          <w:lang w:val="en-US" w:eastAsia="zh-CN"/>
        </w:rPr>
        <w:t>19</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0（北京时间，法定节假日除外）</w:t>
      </w:r>
    </w:p>
    <w:p>
      <w:pPr>
        <w:keepNext w:val="0"/>
        <w:keepLines w:val="0"/>
        <w:pageBreakBefore w:val="0"/>
        <w:widowControl w:val="0"/>
        <w:kinsoku/>
        <w:wordWrap/>
        <w:overflowPunct/>
        <w:topLinePunct w:val="0"/>
        <w:bidi w:val="0"/>
        <w:snapToGrid/>
        <w:spacing w:line="500" w:lineRule="exact"/>
        <w:ind w:firstLine="540"/>
        <w:textAlignment w:val="auto"/>
        <w:rPr>
          <w:rFonts w:hint="eastAsia" w:ascii="宋体" w:hAnsi="宋体" w:cs="宋体"/>
          <w:color w:val="auto"/>
          <w:sz w:val="24"/>
          <w:szCs w:val="24"/>
          <w:highlight w:val="none"/>
          <w:lang w:val="en-US" w:eastAsia="zh-CN"/>
        </w:rPr>
      </w:pPr>
      <w:bookmarkStart w:id="1151" w:name="_Toc28359082"/>
      <w:bookmarkStart w:id="1152" w:name="_Toc28359005"/>
      <w:bookmarkStart w:id="1153" w:name="_Toc2532"/>
      <w:bookmarkStart w:id="1154" w:name="_Toc2422"/>
      <w:bookmarkStart w:id="1155" w:name="_Toc35393793"/>
      <w:bookmarkStart w:id="1156" w:name="_Toc952"/>
      <w:bookmarkStart w:id="1157" w:name="_Toc9047"/>
      <w:bookmarkStart w:id="1158" w:name="_Toc35393624"/>
      <w:r>
        <w:rPr>
          <w:rFonts w:hint="eastAsia" w:ascii="宋体" w:hAnsi="宋体" w:eastAsia="宋体" w:cs="宋体"/>
          <w:color w:val="auto"/>
          <w:sz w:val="24"/>
          <w:highlight w:val="none"/>
        </w:rPr>
        <w:t>获取方式：供应商登陆政采云平台http://www.zcygov.cn/，在线申请获取采购文件（登录政府采购云平台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bidi w:val="0"/>
        <w:snapToGrid/>
        <w:spacing w:line="500" w:lineRule="exact"/>
        <w:ind w:firstLine="54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获取地点：政采云平台（https://login.zcygov.cn/user-login/#/login）</w:t>
      </w:r>
    </w:p>
    <w:p>
      <w:pPr>
        <w:keepNext w:val="0"/>
        <w:keepLines w:val="0"/>
        <w:pageBreakBefore w:val="0"/>
        <w:widowControl w:val="0"/>
        <w:kinsoku/>
        <w:wordWrap/>
        <w:overflowPunct/>
        <w:topLinePunct w:val="0"/>
        <w:bidi w:val="0"/>
        <w:snapToGrid/>
        <w:spacing w:line="500" w:lineRule="exact"/>
        <w:ind w:firstLine="54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售价（元）：</w:t>
      </w:r>
      <w:r>
        <w:rPr>
          <w:rFonts w:hint="eastAsia" w:ascii="宋体" w:hAnsi="宋体" w:eastAsia="宋体" w:cs="宋体"/>
          <w:color w:val="auto"/>
          <w:sz w:val="24"/>
          <w:highlight w:val="none"/>
          <w:lang w:val="en-US" w:eastAsia="zh-CN"/>
        </w:rPr>
        <w:t>0元</w:t>
      </w:r>
    </w:p>
    <w:p>
      <w:pPr>
        <w:spacing w:line="400" w:lineRule="exact"/>
        <w:jc w:val="both"/>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四、提交投标文件</w:t>
      </w:r>
      <w:bookmarkEnd w:id="1151"/>
      <w:bookmarkEnd w:id="1152"/>
      <w:r>
        <w:rPr>
          <w:rFonts w:hint="eastAsia" w:ascii="宋体" w:hAnsi="宋体" w:eastAsia="宋体" w:cs="宋体"/>
          <w:b/>
          <w:bCs w:val="0"/>
          <w:color w:val="auto"/>
          <w:sz w:val="24"/>
          <w:szCs w:val="24"/>
          <w:highlight w:val="none"/>
        </w:rPr>
        <w:t>截止时间、开标时间和地点</w:t>
      </w:r>
      <w:bookmarkEnd w:id="1153"/>
      <w:bookmarkEnd w:id="1154"/>
      <w:bookmarkEnd w:id="1155"/>
      <w:bookmarkEnd w:id="1156"/>
      <w:bookmarkEnd w:id="1157"/>
      <w:bookmarkEnd w:id="1158"/>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bCs/>
          <w:color w:val="auto"/>
          <w:sz w:val="24"/>
          <w:highlight w:val="none"/>
        </w:rPr>
      </w:pPr>
      <w:bookmarkStart w:id="1159" w:name="_Toc35393794"/>
      <w:bookmarkStart w:id="1160" w:name="_Toc32108"/>
      <w:bookmarkStart w:id="1161" w:name="_Toc35393625"/>
      <w:bookmarkStart w:id="1162" w:name="_Toc30400"/>
      <w:bookmarkStart w:id="1163" w:name="_Toc23672"/>
      <w:bookmarkStart w:id="1164" w:name="_Toc20863"/>
      <w:bookmarkStart w:id="1165" w:name="_Toc28359007"/>
      <w:bookmarkStart w:id="1166" w:name="_Toc28359084"/>
      <w:r>
        <w:rPr>
          <w:rFonts w:hint="eastAsia" w:ascii="宋体" w:hAnsi="宋体" w:cs="宋体"/>
          <w:color w:val="auto"/>
          <w:sz w:val="24"/>
          <w:highlight w:val="none"/>
          <w:lang w:eastAsia="zh-CN"/>
        </w:rPr>
        <w:t>提交投标文件截止</w:t>
      </w:r>
      <w:r>
        <w:rPr>
          <w:rFonts w:hint="eastAsia" w:ascii="宋体" w:hAnsi="宋体" w:eastAsia="宋体" w:cs="宋体"/>
          <w:color w:val="auto"/>
          <w:sz w:val="24"/>
          <w:highlight w:val="none"/>
        </w:rPr>
        <w:t>时间：202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eastAsia="宋体" w:cs="宋体"/>
          <w:color w:val="auto"/>
          <w:sz w:val="24"/>
          <w:highlight w:val="none"/>
        </w:rPr>
        <w:t>日</w:t>
      </w:r>
      <w:r>
        <w:rPr>
          <w:rFonts w:hint="eastAsia" w:ascii="宋体" w:hAnsi="宋体" w:eastAsia="宋体" w:cs="宋体"/>
          <w:bCs/>
          <w:color w:val="auto"/>
          <w:sz w:val="24"/>
          <w:highlight w:val="none"/>
        </w:rPr>
        <w:t>上午</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rPr>
        <w:t>点</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0分（北京时间）</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地点：政采云平台（https://login.zcygov.cn/user-login/#/login）</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开标时间：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eastAsia="宋体" w:cs="宋体"/>
          <w:color w:val="auto"/>
          <w:sz w:val="24"/>
          <w:highlight w:val="none"/>
        </w:rPr>
        <w:t>日</w:t>
      </w:r>
      <w:r>
        <w:rPr>
          <w:rFonts w:hint="eastAsia" w:ascii="宋体" w:hAnsi="宋体" w:eastAsia="宋体" w:cs="宋体"/>
          <w:bCs/>
          <w:color w:val="auto"/>
          <w:sz w:val="24"/>
          <w:highlight w:val="none"/>
        </w:rPr>
        <w:t>上午</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rPr>
        <w:t>点</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0分</w:t>
      </w:r>
      <w:r>
        <w:rPr>
          <w:rFonts w:hint="eastAsia" w:ascii="宋体" w:hAnsi="宋体" w:eastAsia="宋体" w:cs="宋体"/>
          <w:color w:val="auto"/>
          <w:sz w:val="24"/>
          <w:highlight w:val="none"/>
          <w:lang w:eastAsia="zh-CN"/>
        </w:rPr>
        <w:t>（北京时间）</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开标地点：</w:t>
      </w:r>
      <w:r>
        <w:rPr>
          <w:rFonts w:hint="eastAsia" w:ascii="宋体" w:hAnsi="宋体" w:eastAsia="宋体" w:cs="宋体"/>
          <w:color w:val="auto"/>
          <w:sz w:val="24"/>
          <w:highlight w:val="none"/>
        </w:rPr>
        <w:t>政采云平台（https://login.zcygov.cn/user-login/#/login）</w:t>
      </w:r>
    </w:p>
    <w:p>
      <w:pPr>
        <w:spacing w:line="400" w:lineRule="exact"/>
        <w:jc w:val="both"/>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五、公告期限</w:t>
      </w:r>
      <w:bookmarkEnd w:id="1159"/>
      <w:bookmarkEnd w:id="1160"/>
      <w:bookmarkEnd w:id="1161"/>
      <w:bookmarkEnd w:id="1162"/>
      <w:bookmarkEnd w:id="1163"/>
      <w:bookmarkEnd w:id="1164"/>
      <w:bookmarkEnd w:id="1165"/>
      <w:bookmarkEnd w:id="1166"/>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自本公告发布之日起5个工作日。</w:t>
      </w:r>
    </w:p>
    <w:p>
      <w:pPr>
        <w:spacing w:line="400" w:lineRule="exact"/>
        <w:jc w:val="both"/>
        <w:outlineLvl w:val="9"/>
        <w:rPr>
          <w:rFonts w:hint="eastAsia" w:ascii="宋体" w:hAnsi="宋体" w:eastAsia="宋体" w:cs="宋体"/>
          <w:b/>
          <w:bCs w:val="0"/>
          <w:color w:val="auto"/>
          <w:sz w:val="24"/>
          <w:szCs w:val="24"/>
          <w:highlight w:val="none"/>
        </w:rPr>
      </w:pPr>
      <w:bookmarkStart w:id="1167" w:name="_Toc35393626"/>
      <w:bookmarkStart w:id="1168" w:name="_Toc35393795"/>
      <w:bookmarkStart w:id="1169" w:name="_Toc13675"/>
      <w:bookmarkStart w:id="1170" w:name="_Toc999"/>
      <w:bookmarkStart w:id="1171" w:name="_Toc18258"/>
      <w:bookmarkStart w:id="1172" w:name="_Toc647"/>
      <w:r>
        <w:rPr>
          <w:rFonts w:hint="eastAsia" w:ascii="宋体" w:hAnsi="宋体" w:eastAsia="宋体" w:cs="宋体"/>
          <w:b/>
          <w:bCs w:val="0"/>
          <w:color w:val="auto"/>
          <w:sz w:val="24"/>
          <w:szCs w:val="24"/>
          <w:highlight w:val="none"/>
        </w:rPr>
        <w:t>六、</w:t>
      </w:r>
      <w:bookmarkEnd w:id="1167"/>
      <w:bookmarkEnd w:id="1168"/>
      <w:bookmarkStart w:id="1173" w:name="_Toc28359008"/>
      <w:bookmarkStart w:id="1174" w:name="_Toc35393627"/>
      <w:bookmarkStart w:id="1175" w:name="_Toc35393796"/>
      <w:bookmarkStart w:id="1176" w:name="_Toc28359085"/>
      <w:r>
        <w:rPr>
          <w:rFonts w:hint="eastAsia" w:ascii="宋体" w:hAnsi="宋体" w:eastAsia="宋体" w:cs="宋体"/>
          <w:b/>
          <w:bCs w:val="0"/>
          <w:color w:val="auto"/>
          <w:sz w:val="24"/>
          <w:szCs w:val="24"/>
          <w:highlight w:val="none"/>
        </w:rPr>
        <w:t>其它补充事宜</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2.本项目实行网上投标，采用电子响应文件(供应商须使用CA加密设备通过政采云电子投标客户端制作响应文件)。若供应商参与投标，自行承担投标一切费用。</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5.供应商在开标时须使用制作加密电子响应文件所使用的CA锁及电脑，电脑须提前配置好浏览器（建议使用谷歌浏览器），以便开标时解锁。</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pacing w:line="400" w:lineRule="exact"/>
        <w:jc w:val="left"/>
        <w:outlineLvl w:val="9"/>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rPr>
        <w:t>对本次招标提出询问，请按以下方式联系。</w:t>
      </w:r>
      <w:bookmarkEnd w:id="1169"/>
      <w:bookmarkEnd w:id="1170"/>
      <w:bookmarkEnd w:id="1171"/>
      <w:bookmarkEnd w:id="1172"/>
      <w:bookmarkEnd w:id="1173"/>
      <w:bookmarkEnd w:id="1174"/>
      <w:bookmarkEnd w:id="1175"/>
      <w:bookmarkEnd w:id="1176"/>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1.采购人信息</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称：喀什地区第二人民医院</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址：喀什市健康路1号</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 系 人：罗丽丽　</w:t>
      </w:r>
      <w:bookmarkStart w:id="1177" w:name="_Toc28359086"/>
      <w:bookmarkStart w:id="1178" w:name="_Toc28359009"/>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联系电话：13899128188</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2.代理机构信息</w:t>
      </w:r>
      <w:bookmarkEnd w:id="1177"/>
      <w:bookmarkEnd w:id="1178"/>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名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称：中经国际招标集团有限公司</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址：</w:t>
      </w:r>
      <w:r>
        <w:rPr>
          <w:rFonts w:hint="eastAsia" w:ascii="宋体" w:hAnsi="宋体" w:eastAsia="宋体" w:cs="宋体"/>
          <w:color w:val="auto"/>
          <w:sz w:val="24"/>
          <w:highlight w:val="none"/>
          <w:lang w:eastAsia="zh-CN"/>
        </w:rPr>
        <w:t>喀什经济开发区深圳城3号楼12层1204</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bookmarkStart w:id="1179" w:name="_Toc28359087"/>
      <w:bookmarkStart w:id="1180" w:name="_Toc28359010"/>
      <w:r>
        <w:rPr>
          <w:rFonts w:hint="eastAsia" w:ascii="宋体" w:hAnsi="宋体" w:eastAsia="宋体" w:cs="宋体"/>
          <w:color w:val="auto"/>
          <w:sz w:val="24"/>
          <w:highlight w:val="none"/>
          <w:lang w:val="en-US" w:eastAsia="zh-CN"/>
        </w:rPr>
        <w:t>联 系 人：王丽娟</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联系电话：15099650569</w:t>
      </w:r>
      <w:bookmarkEnd w:id="1179"/>
      <w:bookmarkEnd w:id="1180"/>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3、同级监督部门</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单位名称：喀什地区财政局采购办</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联系电话：0998-2597200</w:t>
      </w:r>
    </w:p>
    <w:p>
      <w:pPr>
        <w:pStyle w:val="21"/>
        <w:rPr>
          <w:rFonts w:hint="eastAsia"/>
          <w:color w:val="auto"/>
          <w:highlight w:val="none"/>
        </w:rPr>
      </w:pPr>
    </w:p>
    <w:p>
      <w:pPr>
        <w:pStyle w:val="4"/>
        <w:spacing w:line="400" w:lineRule="exact"/>
        <w:jc w:val="right"/>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 xml:space="preserve">中经国际招标集团有限公司  </w:t>
      </w:r>
    </w:p>
    <w:p>
      <w:pPr>
        <w:jc w:val="righ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Cs w:val="24"/>
          <w:highlight w:val="none"/>
        </w:rPr>
        <w:t xml:space="preserve">  </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eastAsia="宋体" w:cs="宋体"/>
          <w:color w:val="auto"/>
          <w:sz w:val="24"/>
          <w:highlight w:val="none"/>
        </w:rPr>
        <w:t>日</w:t>
      </w:r>
    </w:p>
    <w:p>
      <w:pPr>
        <w:rPr>
          <w:color w:val="auto"/>
          <w:highlight w:val="none"/>
        </w:rPr>
      </w:pPr>
    </w:p>
    <w:p>
      <w:pPr>
        <w:rPr>
          <w:color w:val="auto"/>
        </w:rPr>
      </w:pPr>
    </w:p>
    <w:p>
      <w:pPr>
        <w:rPr>
          <w:color w:val="auto"/>
          <w:highlight w:val="none"/>
        </w:rPr>
      </w:pPr>
    </w:p>
    <w:p>
      <w:pPr>
        <w:rPr>
          <w:color w:val="auto"/>
        </w:rPr>
      </w:pPr>
    </w:p>
    <w:p>
      <w:pPr>
        <w:rPr>
          <w:color w:val="auto"/>
          <w:highlight w:val="none"/>
        </w:rPr>
      </w:pPr>
    </w:p>
    <w:p>
      <w:pPr>
        <w:rPr>
          <w:color w:val="auto"/>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rPr>
          <w:rFonts w:hint="eastAsia"/>
          <w:color w:val="auto"/>
          <w:highlight w:val="none"/>
        </w:rPr>
      </w:pPr>
    </w:p>
    <w:p>
      <w:pPr>
        <w:pStyle w:val="5"/>
        <w:rPr>
          <w:rFonts w:hint="eastAsia"/>
          <w:color w:val="auto"/>
          <w:highlight w:val="none"/>
        </w:rPr>
      </w:pPr>
    </w:p>
    <w:p>
      <w:pPr>
        <w:rPr>
          <w:rFonts w:hint="eastAsia"/>
          <w:color w:val="auto"/>
          <w:highlight w:val="none"/>
        </w:rPr>
      </w:pPr>
    </w:p>
    <w:p>
      <w:pPr>
        <w:rPr>
          <w:rFonts w:hint="eastAsia"/>
          <w:color w:val="auto"/>
          <w:highlight w:val="none"/>
        </w:rPr>
      </w:pPr>
      <w:r>
        <w:rPr>
          <w:rFonts w:hint="eastAsia"/>
          <w:color w:val="auto"/>
          <w:highlight w:val="none"/>
        </w:rPr>
        <w:br w:type="page"/>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jc w:val="center"/>
        <w:textAlignment w:val="auto"/>
        <w:outlineLvl w:val="9"/>
        <w:rPr>
          <w:rFonts w:hint="eastAsia" w:ascii="宋体" w:hAnsi="宋体" w:eastAsia="宋体" w:cs="宋体"/>
          <w:sz w:val="36"/>
          <w:szCs w:val="36"/>
        </w:rPr>
      </w:pPr>
      <w:r>
        <w:rPr>
          <w:rFonts w:hint="eastAsia" w:ascii="宋体" w:hAnsi="宋体" w:eastAsia="宋体" w:cs="宋体"/>
          <w:sz w:val="36"/>
          <w:szCs w:val="36"/>
          <w:lang w:val="en-US" w:eastAsia="zh-CN"/>
        </w:rPr>
        <w:t>喀什地区第二人民医院互联网医疗+心电分级诊断服务平台建设及医疗设备采购项目（第一包）更正</w:t>
      </w:r>
      <w:r>
        <w:rPr>
          <w:rFonts w:hint="eastAsia" w:ascii="宋体" w:hAnsi="宋体" w:eastAsia="宋体" w:cs="宋体"/>
          <w:sz w:val="36"/>
          <w:szCs w:val="36"/>
        </w:rPr>
        <w:t>公告</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sz w:val="24"/>
          <w:szCs w:val="24"/>
        </w:rPr>
      </w:pPr>
      <w:r>
        <w:rPr>
          <w:rStyle w:val="29"/>
          <w:rFonts w:hint="eastAsia" w:ascii="宋体" w:hAnsi="宋体" w:eastAsia="宋体" w:cs="宋体"/>
          <w:i w:val="0"/>
          <w:iCs w:val="0"/>
          <w:caps w:val="0"/>
          <w:color w:val="000000"/>
          <w:spacing w:val="0"/>
          <w:sz w:val="24"/>
          <w:szCs w:val="24"/>
        </w:rPr>
        <w:t>一、项目基本情况</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原公告的采购项目编号：ZJ(GK)-22042</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原公告的采购项目名称：</w:t>
      </w:r>
      <w:r>
        <w:rPr>
          <w:rFonts w:hint="eastAsia" w:ascii="宋体" w:hAnsi="宋体" w:eastAsia="宋体" w:cs="宋体"/>
          <w:i w:val="0"/>
          <w:iCs w:val="0"/>
          <w:caps w:val="0"/>
          <w:color w:val="000000"/>
          <w:spacing w:val="0"/>
          <w:sz w:val="24"/>
          <w:szCs w:val="24"/>
          <w:lang w:eastAsia="zh-CN"/>
        </w:rPr>
        <w:t>喀什地区第二人民医院互联网医疗+心电分级诊断服务平台建设及医疗设备采购项目</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首次公告日期：</w:t>
      </w:r>
      <w:r>
        <w:rPr>
          <w:rFonts w:hint="eastAsia" w:ascii="宋体" w:hAnsi="宋体" w:eastAsia="宋体" w:cs="宋体"/>
          <w:color w:val="auto"/>
          <w:sz w:val="24"/>
          <w:szCs w:val="24"/>
          <w:highlight w:val="none"/>
        </w:rPr>
        <w:t>2022年10月2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sz w:val="24"/>
          <w:szCs w:val="24"/>
        </w:rPr>
      </w:pPr>
      <w:r>
        <w:rPr>
          <w:rStyle w:val="29"/>
          <w:rFonts w:hint="eastAsia" w:ascii="宋体" w:hAnsi="宋体" w:eastAsia="宋体" w:cs="宋体"/>
          <w:i w:val="0"/>
          <w:iCs w:val="0"/>
          <w:caps w:val="0"/>
          <w:color w:val="000000"/>
          <w:spacing w:val="0"/>
          <w:sz w:val="24"/>
          <w:szCs w:val="24"/>
        </w:rPr>
        <w:t>二、更正信息</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更正事项：</w:t>
      </w:r>
      <w:r>
        <w:rPr>
          <w:rFonts w:hint="eastAsia" w:ascii="宋体" w:hAnsi="宋体" w:eastAsia="宋体" w:cs="宋体"/>
          <w:i w:val="0"/>
          <w:iCs w:val="0"/>
          <w:caps w:val="0"/>
          <w:color w:val="000000"/>
          <w:spacing w:val="0"/>
          <w:sz w:val="24"/>
          <w:szCs w:val="24"/>
          <w:lang w:val="en-US" w:eastAsia="zh-CN"/>
        </w:rPr>
        <w:t>采购公告、</w:t>
      </w:r>
      <w:r>
        <w:rPr>
          <w:rFonts w:hint="eastAsia" w:ascii="宋体" w:hAnsi="宋体" w:eastAsia="宋体" w:cs="宋体"/>
          <w:i w:val="0"/>
          <w:iCs w:val="0"/>
          <w:caps w:val="0"/>
          <w:color w:val="000000"/>
          <w:spacing w:val="0"/>
          <w:sz w:val="24"/>
          <w:szCs w:val="24"/>
        </w:rPr>
        <w:t>采购文件</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更正内容：</w:t>
      </w:r>
    </w:p>
    <w:tbl>
      <w:tblPr>
        <w:tblStyle w:val="26"/>
        <w:tblW w:w="5912" w:type="pct"/>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56"/>
        <w:gridCol w:w="2145"/>
        <w:gridCol w:w="3634"/>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3"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序号</w:t>
            </w:r>
          </w:p>
        </w:tc>
        <w:tc>
          <w:tcPr>
            <w:tcW w:w="1060"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更正项</w:t>
            </w:r>
          </w:p>
        </w:tc>
        <w:tc>
          <w:tcPr>
            <w:tcW w:w="1796"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更正前内容</w:t>
            </w:r>
          </w:p>
        </w:tc>
        <w:tc>
          <w:tcPr>
            <w:tcW w:w="1669"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更正后内容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73"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1060" w:type="pct"/>
            <w:vMerge w:val="restar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第五章 货物内容及项目要求</w:t>
            </w:r>
          </w:p>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第一包：</w:t>
            </w:r>
          </w:p>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货物内容：</w:t>
            </w:r>
          </w:p>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center"/>
              <w:textAlignment w:val="auto"/>
              <w:rPr>
                <w:rFonts w:hint="eastAsia" w:ascii="宋体" w:hAnsi="宋体" w:eastAsia="宋体" w:cs="宋体"/>
                <w:kern w:val="0"/>
                <w:sz w:val="24"/>
                <w:szCs w:val="24"/>
                <w:lang w:val="en-US" w:eastAsia="zh-CN" w:bidi="ar"/>
              </w:rPr>
            </w:pPr>
          </w:p>
        </w:tc>
        <w:tc>
          <w:tcPr>
            <w:tcW w:w="1796"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3★依托单位： 上海三级甲等医疗机构为诊断中心；</w:t>
            </w:r>
          </w:p>
        </w:tc>
        <w:tc>
          <w:tcPr>
            <w:tcW w:w="1669"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3.★依托单位： 三级甲等医疗机构为诊断中心。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27" w:hRule="atLeast"/>
        </w:trPr>
        <w:tc>
          <w:tcPr>
            <w:tcW w:w="473"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1060" w:type="pct"/>
            <w:vMerge w:val="continue"/>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center"/>
              <w:textAlignment w:val="auto"/>
              <w:rPr>
                <w:rFonts w:hint="eastAsia" w:ascii="宋体" w:hAnsi="宋体" w:eastAsia="宋体" w:cs="宋体"/>
                <w:kern w:val="0"/>
                <w:sz w:val="24"/>
                <w:szCs w:val="24"/>
                <w:lang w:val="en-US" w:eastAsia="zh-CN" w:bidi="ar"/>
              </w:rPr>
            </w:pPr>
          </w:p>
        </w:tc>
        <w:tc>
          <w:tcPr>
            <w:tcW w:w="1796"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1★电源： 1 节 AAA 电池；</w:t>
            </w:r>
          </w:p>
        </w:tc>
        <w:tc>
          <w:tcPr>
            <w:tcW w:w="1669"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1★电源： 1 节 AAA 电池或其它供电方案；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8" w:hRule="atLeast"/>
        </w:trPr>
        <w:tc>
          <w:tcPr>
            <w:tcW w:w="473"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1060" w:type="pct"/>
            <w:vMerge w:val="continue"/>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center"/>
              <w:textAlignment w:val="auto"/>
              <w:rPr>
                <w:rFonts w:hint="eastAsia" w:ascii="宋体" w:hAnsi="宋体" w:eastAsia="宋体" w:cs="宋体"/>
                <w:kern w:val="0"/>
                <w:sz w:val="24"/>
                <w:szCs w:val="24"/>
                <w:lang w:val="en-US" w:eastAsia="zh-CN" w:bidi="ar"/>
              </w:rPr>
            </w:pPr>
          </w:p>
        </w:tc>
        <w:tc>
          <w:tcPr>
            <w:tcW w:w="1796"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3.重量： 48g； (允许偏差±3%) ； 4.基本尺寸： 72mm×53mm×16mm； (允许偏差±3%) ”；</w:t>
            </w:r>
          </w:p>
        </w:tc>
        <w:tc>
          <w:tcPr>
            <w:tcW w:w="1669"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3.重量： 50g； 4.基本尺寸： 75mm×56mm×19mm； (各数值允许偏差±10%)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9" w:hRule="atLeast"/>
        </w:trPr>
        <w:tc>
          <w:tcPr>
            <w:tcW w:w="473"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p>
        </w:tc>
        <w:tc>
          <w:tcPr>
            <w:tcW w:w="1060" w:type="pct"/>
            <w:vMerge w:val="continue"/>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center"/>
              <w:textAlignment w:val="auto"/>
              <w:rPr>
                <w:rFonts w:hint="eastAsia" w:ascii="宋体" w:hAnsi="宋体" w:eastAsia="宋体" w:cs="宋体"/>
                <w:kern w:val="0"/>
                <w:sz w:val="24"/>
                <w:szCs w:val="24"/>
                <w:lang w:val="en-US" w:eastAsia="zh-CN" w:bidi="ar"/>
              </w:rPr>
            </w:pPr>
          </w:p>
        </w:tc>
        <w:tc>
          <w:tcPr>
            <w:tcW w:w="1796"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15.★产品通过 CE 认证。</w:t>
            </w:r>
          </w:p>
        </w:tc>
        <w:tc>
          <w:tcPr>
            <w:tcW w:w="1669"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取消本项参数要求。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25" w:hRule="atLeast"/>
        </w:trPr>
        <w:tc>
          <w:tcPr>
            <w:tcW w:w="473"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1060"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四、提交投标文件截止时间、开标时间</w:t>
            </w:r>
          </w:p>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kern w:val="0"/>
                <w:sz w:val="24"/>
                <w:szCs w:val="24"/>
                <w:lang w:val="en-US" w:eastAsia="zh-CN" w:bidi="ar"/>
              </w:rPr>
            </w:pPr>
          </w:p>
        </w:tc>
        <w:tc>
          <w:tcPr>
            <w:tcW w:w="1796"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提交投标文件截止时间：2022年11月16日上午10点30分（北京时间）</w:t>
            </w:r>
          </w:p>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开标时间：2022年11月16日上午10点30分（北京时间）</w:t>
            </w:r>
          </w:p>
        </w:tc>
        <w:tc>
          <w:tcPr>
            <w:tcW w:w="1669"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提交投标文件截止时间：2022年11月18日上午10点30分（北京时间）</w:t>
            </w:r>
          </w:p>
          <w:p>
            <w:pPr>
              <w:keepNext w:val="0"/>
              <w:keepLines w:val="0"/>
              <w:pageBreakBefore w:val="0"/>
              <w:widowControl/>
              <w:suppressLineNumbers w:val="0"/>
              <w:kinsoku/>
              <w:wordWrap w:val="0"/>
              <w:overflowPunct/>
              <w:topLinePunct w:val="0"/>
              <w:autoSpaceDE/>
              <w:autoSpaceDN/>
              <w:bidi w:val="0"/>
              <w:adjustRightInd/>
              <w:snapToGrid/>
              <w:spacing w:line="420" w:lineRule="exact"/>
              <w:ind w:firstLine="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开标时间：2022年11月18日上午10点30分（北京时间）</w:t>
            </w:r>
          </w:p>
        </w:tc>
      </w:tr>
    </w:tbl>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更正日期：2022年</w:t>
      </w:r>
      <w:r>
        <w:rPr>
          <w:rFonts w:hint="eastAsia" w:ascii="宋体" w:hAnsi="宋体" w:eastAsia="宋体" w:cs="宋体"/>
          <w:i w:val="0"/>
          <w:iCs w:val="0"/>
          <w:caps w:val="0"/>
          <w:color w:val="000000"/>
          <w:spacing w:val="0"/>
          <w:sz w:val="24"/>
          <w:szCs w:val="24"/>
          <w:lang w:val="en-US" w:eastAsia="zh-CN"/>
        </w:rPr>
        <w:t>11</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lang w:val="en-US" w:eastAsia="zh-CN"/>
        </w:rPr>
        <w:t>03</w:t>
      </w:r>
      <w:r>
        <w:rPr>
          <w:rFonts w:hint="eastAsia" w:ascii="宋体" w:hAnsi="宋体" w:eastAsia="宋体" w:cs="宋体"/>
          <w:i w:val="0"/>
          <w:iCs w:val="0"/>
          <w:caps w:val="0"/>
          <w:color w:val="000000"/>
          <w:spacing w:val="0"/>
          <w:sz w:val="24"/>
          <w:szCs w:val="24"/>
        </w:rPr>
        <w:t>日</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sz w:val="24"/>
          <w:szCs w:val="24"/>
        </w:rPr>
      </w:pPr>
      <w:r>
        <w:rPr>
          <w:rStyle w:val="29"/>
          <w:rFonts w:hint="eastAsia" w:ascii="宋体" w:hAnsi="宋体" w:eastAsia="宋体" w:cs="宋体"/>
          <w:i w:val="0"/>
          <w:iCs w:val="0"/>
          <w:caps w:val="0"/>
          <w:color w:val="000000"/>
          <w:spacing w:val="0"/>
          <w:sz w:val="24"/>
          <w:szCs w:val="24"/>
        </w:rPr>
        <w:t>三、其他补充事宜</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w:t>
      </w:r>
      <w:r>
        <w:rPr>
          <w:rStyle w:val="33"/>
          <w:rFonts w:hint="eastAsia" w:ascii="宋体" w:hAnsi="宋体" w:eastAsia="宋体" w:cs="宋体"/>
          <w:i w:val="0"/>
          <w:iCs w:val="0"/>
          <w:caps w:val="0"/>
          <w:color w:val="000000"/>
          <w:spacing w:val="0"/>
          <w:sz w:val="24"/>
          <w:szCs w:val="24"/>
        </w:rPr>
        <w:t>无</w:t>
      </w:r>
      <w:r>
        <w:rPr>
          <w:rFonts w:hint="eastAsia" w:ascii="宋体" w:hAnsi="宋体" w:eastAsia="宋体" w:cs="宋体"/>
          <w:i w:val="0"/>
          <w:iCs w:val="0"/>
          <w:caps w:val="0"/>
          <w:color w:val="000000"/>
          <w:spacing w:val="0"/>
          <w:sz w:val="24"/>
          <w:szCs w:val="24"/>
        </w:rPr>
        <w:t> </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sz w:val="24"/>
          <w:szCs w:val="24"/>
        </w:rPr>
      </w:pPr>
      <w:r>
        <w:rPr>
          <w:rStyle w:val="29"/>
          <w:rFonts w:hint="eastAsia" w:ascii="宋体" w:hAnsi="宋体" w:eastAsia="宋体" w:cs="宋体"/>
          <w:i w:val="0"/>
          <w:iCs w:val="0"/>
          <w:caps w:val="0"/>
          <w:color w:val="000000"/>
          <w:spacing w:val="0"/>
          <w:sz w:val="24"/>
          <w:szCs w:val="24"/>
        </w:rPr>
        <w:t>四、对本次采购提出询问，请按以下方式联系。</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1.采购人信息</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称：喀什地区第二人民医院</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址：喀什市健康路1号</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 系 人：罗丽丽　</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联系电话：13899128188</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2.代理机构信息</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称：中经国际招标集团有限公司</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址：喀什经济开发区深圳城3号楼12层1204</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 系 人：王丽娟</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联系电话：15099650569</w:t>
      </w:r>
    </w:p>
    <w:p>
      <w:pPr>
        <w:pStyle w:val="2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i w:val="0"/>
          <w:iCs w:val="0"/>
          <w:caps w:val="0"/>
          <w:color w:val="000000"/>
          <w:spacing w:val="0"/>
          <w:sz w:val="24"/>
          <w:szCs w:val="24"/>
        </w:rPr>
      </w:pPr>
    </w:p>
    <w:p>
      <w:pPr>
        <w:pStyle w:val="4"/>
        <w:rPr>
          <w:rFonts w:hint="eastAsia"/>
        </w:rPr>
      </w:pPr>
    </w:p>
    <w:p>
      <w:pPr>
        <w:pStyle w:val="4"/>
        <w:rPr>
          <w:rFonts w:hint="eastAsia"/>
          <w:color w:val="auto"/>
          <w:highlight w:val="none"/>
        </w:rPr>
      </w:pPr>
    </w:p>
    <w:p>
      <w:pPr>
        <w:pStyle w:val="5"/>
        <w:rPr>
          <w:rFonts w:hint="eastAsia"/>
          <w:color w:val="auto"/>
          <w:highlight w:val="none"/>
        </w:rPr>
      </w:pPr>
    </w:p>
    <w:p>
      <w:pPr>
        <w:rPr>
          <w:rFonts w:hint="eastAsia"/>
          <w:color w:val="auto"/>
          <w:highlight w:val="none"/>
        </w:rPr>
      </w:pPr>
    </w:p>
    <w:p>
      <w:pPr>
        <w:outlineLvl w:val="9"/>
        <w:rPr>
          <w:rFonts w:hint="eastAsia"/>
          <w:color w:val="auto"/>
          <w:highlight w:val="none"/>
        </w:rPr>
      </w:pPr>
    </w:p>
    <w:p>
      <w:pPr>
        <w:pStyle w:val="4"/>
        <w:rPr>
          <w:rFonts w:hint="eastAsia"/>
          <w:color w:val="auto"/>
          <w:highlight w:val="none"/>
        </w:rPr>
      </w:pPr>
    </w:p>
    <w:p>
      <w:pPr>
        <w:rPr>
          <w:rFonts w:hint="eastAsia" w:ascii="宋体" w:hAnsi="宋体" w:eastAsia="宋体" w:cs="宋体"/>
          <w:b/>
          <w:bCs/>
          <w:color w:val="auto"/>
          <w:highlight w:val="none"/>
        </w:rPr>
      </w:pPr>
      <w:bookmarkStart w:id="1181" w:name="_Toc30211"/>
      <w:bookmarkStart w:id="1182" w:name="_Toc17065"/>
      <w:bookmarkStart w:id="1183" w:name="_Toc29132"/>
      <w:r>
        <w:rPr>
          <w:rFonts w:hint="eastAsia" w:ascii="宋体" w:hAnsi="宋体" w:eastAsia="宋体" w:cs="宋体"/>
          <w:b/>
          <w:bCs/>
          <w:color w:val="auto"/>
          <w:highlight w:val="none"/>
        </w:rPr>
        <w:br w:type="page"/>
      </w:r>
    </w:p>
    <w:p>
      <w:pPr>
        <w:pStyle w:val="6"/>
        <w:tabs>
          <w:tab w:val="left" w:pos="0"/>
        </w:tabs>
        <w:spacing w:before="0" w:after="0" w:line="240" w:lineRule="atLeast"/>
        <w:jc w:val="center"/>
        <w:rPr>
          <w:rFonts w:hint="eastAsia" w:ascii="宋体" w:hAnsi="宋体" w:eastAsia="宋体" w:cs="宋体"/>
          <w:b/>
          <w:bCs/>
          <w:color w:val="auto"/>
          <w:szCs w:val="32"/>
          <w:highlight w:val="none"/>
        </w:rPr>
      </w:pPr>
      <w:r>
        <w:rPr>
          <w:rFonts w:hint="eastAsia" w:ascii="宋体" w:hAnsi="宋体" w:eastAsia="宋体" w:cs="宋体"/>
          <w:b/>
          <w:bCs/>
          <w:color w:val="auto"/>
          <w:highlight w:val="none"/>
        </w:rPr>
        <w:t>第4章  供应商须知资料表</w:t>
      </w:r>
      <w:bookmarkEnd w:id="1117"/>
      <w:bookmarkEnd w:id="1118"/>
      <w:bookmarkEnd w:id="1119"/>
      <w:bookmarkEnd w:id="1120"/>
      <w:bookmarkEnd w:id="1121"/>
      <w:bookmarkEnd w:id="1122"/>
      <w:bookmarkEnd w:id="1123"/>
      <w:bookmarkEnd w:id="1181"/>
      <w:bookmarkEnd w:id="1182"/>
      <w:bookmarkEnd w:id="1183"/>
    </w:p>
    <w:p>
      <w:pPr>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本表是本招标项目的具体资料，是对供应商须知的具体补充和修改，如有矛盾，应以本资料表为准。</w:t>
      </w:r>
    </w:p>
    <w:tbl>
      <w:tblPr>
        <w:tblStyle w:val="26"/>
        <w:tblW w:w="9260" w:type="dxa"/>
        <w:tblInd w:w="-3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8"/>
        <w:gridCol w:w="78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采购人：</w:t>
            </w:r>
            <w:r>
              <w:rPr>
                <w:rFonts w:hint="eastAsia" w:ascii="宋体" w:hAnsi="宋体" w:cs="宋体"/>
                <w:color w:val="auto"/>
                <w:sz w:val="24"/>
                <w:highlight w:val="none"/>
                <w:u w:val="single"/>
                <w:lang w:val="en-US" w:eastAsia="zh-CN"/>
              </w:rPr>
              <w:t>喀什地区第二人民医院</w:t>
            </w:r>
            <w:r>
              <w:rPr>
                <w:rFonts w:hint="eastAsia" w:ascii="宋体" w:hAnsi="宋体" w:eastAsia="宋体" w:cs="宋体"/>
                <w:color w:val="auto"/>
                <w:sz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罗丽丽</w:t>
            </w:r>
            <w:r>
              <w:rPr>
                <w:rFonts w:hint="eastAsia" w:ascii="宋体" w:hAnsi="宋体" w:eastAsia="宋体" w:cs="宋体"/>
                <w:color w:val="auto"/>
                <w:sz w:val="24"/>
                <w:highlight w:val="none"/>
              </w:rPr>
              <w:t xml:space="preserve">       联系电话：</w:t>
            </w:r>
            <w:r>
              <w:rPr>
                <w:rFonts w:hint="eastAsia" w:ascii="宋体" w:hAnsi="宋体" w:cs="宋体"/>
                <w:color w:val="auto"/>
                <w:sz w:val="24"/>
                <w:highlight w:val="none"/>
                <w:u w:val="single"/>
                <w:lang w:val="en-US" w:eastAsia="zh-CN"/>
              </w:rPr>
              <w:t>13899128188</w:t>
            </w:r>
            <w:r>
              <w:rPr>
                <w:rFonts w:hint="eastAsia" w:ascii="宋体" w:hAnsi="宋体" w:eastAsia="宋体" w:cs="宋体"/>
                <w:color w:val="auto"/>
                <w:sz w:val="24"/>
                <w:highlight w:val="none"/>
                <w:u w:val="singl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u w:val="single"/>
                <w:lang w:eastAsia="zh-CN"/>
              </w:rPr>
              <w:t xml:space="preserve">中经国际招标集团有限公司 </w:t>
            </w:r>
            <w:r>
              <w:rPr>
                <w:rFonts w:hint="eastAsia" w:ascii="宋体" w:hAnsi="宋体" w:eastAsia="宋体" w:cs="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喀什经济开发区深圳城3号楼</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层</w:t>
            </w:r>
            <w:r>
              <w:rPr>
                <w:rFonts w:hint="eastAsia" w:ascii="宋体" w:hAnsi="宋体" w:eastAsia="宋体" w:cs="宋体"/>
                <w:color w:val="auto"/>
                <w:sz w:val="24"/>
                <w:highlight w:val="none"/>
                <w:u w:val="single"/>
                <w:lang w:val="en-US" w:eastAsia="zh-CN"/>
              </w:rPr>
              <w:t>1204</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业务联系人：</w:t>
            </w:r>
            <w:r>
              <w:rPr>
                <w:rFonts w:hint="eastAsia" w:ascii="宋体" w:hAnsi="宋体" w:eastAsia="宋体" w:cs="宋体"/>
                <w:color w:val="auto"/>
                <w:sz w:val="24"/>
                <w:highlight w:val="none"/>
                <w:u w:val="single"/>
              </w:rPr>
              <w:t xml:space="preserve">王丽娟 </w:t>
            </w:r>
            <w:r>
              <w:rPr>
                <w:rFonts w:hint="eastAsia" w:ascii="宋体" w:hAnsi="宋体" w:eastAsia="宋体" w:cs="宋体"/>
                <w:color w:val="auto"/>
                <w:sz w:val="24"/>
                <w:highlight w:val="none"/>
              </w:rPr>
              <w:t xml:space="preserve">　   联系电话： </w:t>
            </w:r>
            <w:r>
              <w:rPr>
                <w:rFonts w:hint="eastAsia" w:ascii="宋体" w:hAnsi="宋体" w:eastAsia="宋体" w:cs="宋体"/>
                <w:color w:val="auto"/>
                <w:sz w:val="24"/>
                <w:highlight w:val="none"/>
                <w:u w:val="single"/>
              </w:rPr>
              <w:t>15099650569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w:t>
            </w:r>
          </w:p>
        </w:tc>
        <w:tc>
          <w:tcPr>
            <w:tcW w:w="7882" w:type="dxa"/>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合格供应商的其他资格要求：（本项目资格审查资料须附在投标文件中）</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(1)具有有效的独立法人营业执照；</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(2)法定代表人授权书、被授权人身份证；(法定代表人投标须提供身份证)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default"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(3)</w:t>
            </w:r>
            <w:r>
              <w:rPr>
                <w:rFonts w:hint="eastAsia" w:ascii="宋体" w:hAnsi="宋体" w:cs="宋体"/>
                <w:b/>
                <w:bCs/>
                <w:i w:val="0"/>
                <w:caps w:val="0"/>
                <w:color w:val="auto"/>
                <w:spacing w:val="0"/>
                <w:w w:val="100"/>
                <w:sz w:val="24"/>
                <w:highlight w:val="none"/>
                <w:lang w:val="en-US" w:eastAsia="zh-CN"/>
              </w:rPr>
              <w:t>第二包</w:t>
            </w:r>
            <w:r>
              <w:rPr>
                <w:rFonts w:hint="eastAsia" w:ascii="宋体" w:hAnsi="宋体" w:eastAsia="宋体" w:cs="宋体"/>
                <w:b/>
                <w:bCs/>
                <w:i w:val="0"/>
                <w:caps w:val="0"/>
                <w:color w:val="auto"/>
                <w:spacing w:val="0"/>
                <w:w w:val="100"/>
                <w:sz w:val="24"/>
                <w:highlight w:val="none"/>
                <w:lang w:val="en-US" w:eastAsia="zh-CN"/>
              </w:rPr>
              <w:t>提供《医疗器械生产企业许可证》或《医疗器械经营企业许可证》（所投产品为二类医疗器械的需提供二类医疗器械备案凭证）；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(4)</w:t>
            </w:r>
            <w:r>
              <w:rPr>
                <w:rFonts w:hint="eastAsia" w:ascii="宋体" w:hAnsi="宋体" w:cs="宋体"/>
                <w:b/>
                <w:bCs/>
                <w:i w:val="0"/>
                <w:caps w:val="0"/>
                <w:color w:val="auto"/>
                <w:spacing w:val="0"/>
                <w:w w:val="100"/>
                <w:sz w:val="24"/>
                <w:highlight w:val="none"/>
                <w:lang w:val="en-US" w:eastAsia="zh-CN"/>
              </w:rPr>
              <w:t>依法缴纳近6个月任意1个月的社会保险凭据</w:t>
            </w:r>
            <w:r>
              <w:rPr>
                <w:rFonts w:hint="eastAsia" w:ascii="宋体" w:hAnsi="宋体" w:eastAsia="宋体" w:cs="宋体"/>
                <w:b/>
                <w:bCs/>
                <w:i w:val="0"/>
                <w:caps w:val="0"/>
                <w:color w:val="auto"/>
                <w:spacing w:val="0"/>
                <w:w w:val="100"/>
                <w:sz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(5)</w:t>
            </w:r>
            <w:r>
              <w:rPr>
                <w:rFonts w:hint="eastAsia" w:ascii="宋体" w:hAnsi="宋体" w:cs="宋体"/>
                <w:b/>
                <w:bCs/>
                <w:i w:val="0"/>
                <w:caps w:val="0"/>
                <w:color w:val="auto"/>
                <w:spacing w:val="0"/>
                <w:w w:val="100"/>
                <w:sz w:val="24"/>
                <w:highlight w:val="none"/>
                <w:lang w:val="en-US" w:eastAsia="zh-CN"/>
              </w:rPr>
              <w:t>税务部门出具近6个月任意1个月的完税证明</w:t>
            </w:r>
            <w:r>
              <w:rPr>
                <w:rFonts w:hint="eastAsia" w:ascii="宋体" w:hAnsi="宋体" w:eastAsia="宋体" w:cs="宋体"/>
                <w:b/>
                <w:bCs/>
                <w:i w:val="0"/>
                <w:caps w:val="0"/>
                <w:color w:val="auto"/>
                <w:spacing w:val="0"/>
                <w:w w:val="100"/>
                <w:sz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(6)近两年任意一年的财务审计报告；</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(7)提供针对本次项目《反商业贿赂承诺书》；</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(8)参与政府采购活动前3年内未被列入失信、重大税收违法案件、财政部门禁止参加政府采购活动的承诺书；</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(9)根据《财政部关于在政府采购活动中查询及使用信用记录有关问题的通知》（财库﹝2016﹞125号）的要求，凡拟参加本次招标项目的供应商，如在“信用中国”网站（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lang w:val="en-US" w:eastAsia="zh-CN"/>
              </w:rPr>
              <w:t>(10)</w:t>
            </w:r>
            <w:r>
              <w:rPr>
                <w:rFonts w:hint="eastAsia" w:ascii="宋体" w:hAnsi="宋体" w:eastAsia="宋体" w:cs="宋体"/>
                <w:b/>
                <w:bCs/>
                <w:i w:val="0"/>
                <w:caps w:val="0"/>
                <w:color w:val="auto"/>
                <w:spacing w:val="0"/>
                <w:w w:val="100"/>
                <w:sz w:val="24"/>
                <w:highlight w:val="none"/>
                <w:lang w:eastAsia="zh-CN"/>
              </w:rPr>
              <w:t>缴纳投标保证金有效凭证</w:t>
            </w:r>
            <w:r>
              <w:rPr>
                <w:rFonts w:hint="eastAsia" w:ascii="宋体" w:hAnsi="宋体" w:eastAsia="宋体" w:cs="宋体"/>
                <w:b/>
                <w:bCs/>
                <w:i w:val="0"/>
                <w:caps w:val="0"/>
                <w:color w:val="auto"/>
                <w:spacing w:val="0"/>
                <w:w w:val="100"/>
                <w:sz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highlight w:val="none"/>
                <w:lang w:eastAsia="zh-CN"/>
              </w:rPr>
            </w:pPr>
            <w:r>
              <w:rPr>
                <w:rFonts w:hint="eastAsia" w:ascii="宋体" w:hAnsi="宋体" w:eastAsia="宋体" w:cs="宋体"/>
                <w:b/>
                <w:bCs/>
                <w:i w:val="0"/>
                <w:caps w:val="0"/>
                <w:color w:val="auto"/>
                <w:spacing w:val="0"/>
                <w:w w:val="100"/>
                <w:sz w:val="24"/>
                <w:highlight w:val="none"/>
              </w:rPr>
              <w:t>注：1、</w:t>
            </w:r>
            <w:r>
              <w:rPr>
                <w:rFonts w:hint="eastAsia" w:ascii="宋体" w:hAnsi="宋体" w:cs="宋体"/>
                <w:b/>
                <w:bCs/>
                <w:i w:val="0"/>
                <w:caps w:val="0"/>
                <w:color w:val="auto"/>
                <w:spacing w:val="0"/>
                <w:w w:val="100"/>
                <w:sz w:val="24"/>
                <w:highlight w:val="none"/>
                <w:lang w:eastAsia="zh-CN"/>
              </w:rPr>
              <w:t>“税务部门出具近6个月任意1个月的完税证明”：①若供应商某月税收为零申报，须提供“国家税务总局电子税务局（12366.chinatax.gov.cn/bsfw/onlinetaxation/main）”的申报结果查询截图。②完税证明中“税种”非养老保险、医疗保险、失业保险、工伤保险和生育保险。请各供应商注意！</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b/>
                <w:bCs/>
                <w:i w:val="0"/>
                <w:caps w:val="0"/>
                <w:color w:val="auto"/>
                <w:spacing w:val="0"/>
                <w:w w:val="100"/>
                <w:sz w:val="24"/>
                <w:highlight w:val="none"/>
                <w:lang w:val="en-US" w:eastAsia="zh-CN"/>
              </w:rPr>
              <w:t>2、</w:t>
            </w:r>
            <w:r>
              <w:rPr>
                <w:rFonts w:hint="eastAsia" w:ascii="宋体" w:hAnsi="宋体" w:eastAsia="宋体" w:cs="宋体"/>
                <w:b/>
                <w:bCs/>
                <w:i w:val="0"/>
                <w:caps w:val="0"/>
                <w:color w:val="auto"/>
                <w:spacing w:val="0"/>
                <w:w w:val="100"/>
                <w:sz w:val="24"/>
                <w:highlight w:val="none"/>
              </w:rPr>
              <w:t>上述资质开标现场能够通过官方网络查证的，均视为合格供应商。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firstLineChars="0"/>
              <w:textAlignment w:val="auto"/>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 xml:space="preserve">1.3.5   </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highlight w:val="none"/>
              </w:rPr>
              <w:t>是否允许采购进口产品：</w:t>
            </w:r>
            <w:r>
              <w:rPr>
                <w:rFonts w:hint="eastAsia" w:ascii="宋体" w:hAnsi="宋体" w:eastAsia="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否</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1.3.6</w:t>
            </w:r>
          </w:p>
        </w:tc>
        <w:tc>
          <w:tcPr>
            <w:tcW w:w="7882" w:type="dxa"/>
            <w:vAlign w:val="center"/>
          </w:tcPr>
          <w:p>
            <w:pPr>
              <w:pStyle w:val="21"/>
              <w:keepNext w:val="0"/>
              <w:keepLines w:val="0"/>
              <w:pageBreakBefore w:val="0"/>
              <w:kinsoku/>
              <w:wordWrap/>
              <w:overflowPunct/>
              <w:topLinePunct w:val="0"/>
              <w:autoSpaceDE/>
              <w:autoSpaceDN/>
              <w:bidi w:val="0"/>
              <w:adjustRightInd/>
              <w:spacing w:line="34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szCs w:val="32"/>
                <w:highlight w:val="none"/>
              </w:rPr>
              <w:t>是否</w:t>
            </w:r>
            <w:r>
              <w:rPr>
                <w:rFonts w:hint="eastAsia" w:ascii="宋体" w:hAnsi="宋体" w:eastAsia="宋体" w:cs="宋体"/>
                <w:color w:val="auto"/>
                <w:sz w:val="24"/>
                <w:szCs w:val="32"/>
                <w:highlight w:val="none"/>
                <w:lang w:eastAsia="zh-CN"/>
              </w:rPr>
              <w:t>为专门</w:t>
            </w:r>
            <w:r>
              <w:rPr>
                <w:rFonts w:hint="eastAsia" w:ascii="宋体" w:hAnsi="宋体" w:eastAsia="宋体" w:cs="宋体"/>
                <w:color w:val="auto"/>
                <w:sz w:val="24"/>
                <w:szCs w:val="32"/>
                <w:highlight w:val="none"/>
              </w:rPr>
              <w:t>面向中小企业采购：</w:t>
            </w:r>
            <w:r>
              <w:rPr>
                <w:rFonts w:hint="eastAsia" w:ascii="宋体" w:hAnsi="宋体" w:eastAsia="宋体" w:cs="宋体"/>
                <w:color w:val="auto"/>
                <w:sz w:val="24"/>
                <w:szCs w:val="32"/>
                <w:highlight w:val="none"/>
                <w:u w:val="single"/>
                <w:lang w:val="en-US" w:eastAsia="zh-CN"/>
              </w:rPr>
              <w:t xml:space="preserve"> </w:t>
            </w:r>
            <w:r>
              <w:rPr>
                <w:rFonts w:hint="eastAsia" w:ascii="宋体" w:hAnsi="宋体" w:cs="宋体"/>
                <w:color w:val="auto"/>
                <w:sz w:val="24"/>
                <w:szCs w:val="32"/>
                <w:highlight w:val="none"/>
                <w:u w:val="single"/>
                <w:lang w:val="en-US" w:eastAsia="zh-CN"/>
              </w:rPr>
              <w:t>否</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eastAsia="zh-CN"/>
              </w:rPr>
              <w:t>（是、否）</w:t>
            </w:r>
            <w:r>
              <w:rPr>
                <w:rFonts w:hint="eastAsia" w:ascii="宋体" w:hAnsi="宋体" w:cs="宋体"/>
                <w:b/>
                <w:bCs/>
                <w:color w:val="auto"/>
                <w:sz w:val="24"/>
                <w:szCs w:val="32"/>
                <w:highlight w:val="none"/>
                <w:lang w:eastAsia="zh-CN"/>
              </w:rPr>
              <w:t>（注：</w:t>
            </w:r>
            <w:r>
              <w:rPr>
                <w:rFonts w:hint="eastAsia" w:ascii="宋体" w:hAnsi="宋体" w:eastAsia="宋体" w:cs="宋体"/>
                <w:b/>
                <w:bCs/>
                <w:color w:val="auto"/>
                <w:kern w:val="0"/>
                <w:sz w:val="24"/>
                <w:szCs w:val="24"/>
                <w:highlight w:val="none"/>
                <w:lang w:val="en-US" w:eastAsia="zh-CN"/>
              </w:rPr>
              <w:t>潜在投标企业属于中小微企业的，请在投标文件中提供“中小企业声明函”，如果未提供或提供虚假的“中小企业声明函”，投标企业将承担由此造成的一切不利后果。</w:t>
            </w:r>
            <w:r>
              <w:rPr>
                <w:rFonts w:hint="eastAsia" w:ascii="宋体" w:hAnsi="宋体" w:cs="宋体"/>
                <w:b/>
                <w:bCs/>
                <w:color w:val="auto"/>
                <w:kern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是否允许联合体投标：</w:t>
            </w:r>
            <w:r>
              <w:rPr>
                <w:rFonts w:hint="eastAsia" w:ascii="宋体" w:hAnsi="宋体" w:eastAsia="宋体" w:cs="宋体"/>
                <w:color w:val="auto"/>
                <w:sz w:val="24"/>
                <w:highlight w:val="none"/>
                <w:u w:val="single"/>
              </w:rPr>
              <w:t xml:space="preserve">  否  </w:t>
            </w:r>
            <w:r>
              <w:rPr>
                <w:rFonts w:hint="eastAsia" w:ascii="宋体" w:hAnsi="宋体" w:eastAsia="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7882" w:type="dxa"/>
            <w:vAlign w:val="center"/>
          </w:tcPr>
          <w:p>
            <w:pPr>
              <w:pageBreakBefore w:val="0"/>
              <w:widowControl w:val="0"/>
              <w:kinsoku/>
              <w:wordWrap/>
              <w:overflowPunct/>
              <w:topLinePunct w:val="0"/>
              <w:bidi w:val="0"/>
              <w:snapToGrid/>
              <w:spacing w:line="390" w:lineRule="exact"/>
              <w:textAlignment w:val="auto"/>
              <w:outlineLvl w:val="9"/>
              <w:rPr>
                <w:rFonts w:hint="eastAsia" w:ascii="宋体" w:hAnsi="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rPr>
              <w:t>项目</w:t>
            </w:r>
            <w:r>
              <w:rPr>
                <w:rFonts w:hint="eastAsia" w:ascii="宋体" w:hAnsi="宋体" w:cs="宋体"/>
                <w:b/>
                <w:bCs/>
                <w:i w:val="0"/>
                <w:caps w:val="0"/>
                <w:color w:val="auto"/>
                <w:spacing w:val="0"/>
                <w:w w:val="100"/>
                <w:sz w:val="24"/>
                <w:highlight w:val="none"/>
                <w:lang w:val="en-US" w:eastAsia="zh-CN"/>
              </w:rPr>
              <w:t>总</w:t>
            </w:r>
            <w:r>
              <w:rPr>
                <w:rFonts w:hint="eastAsia" w:ascii="宋体" w:hAnsi="宋体" w:eastAsia="宋体" w:cs="宋体"/>
                <w:b/>
                <w:bCs/>
                <w:i w:val="0"/>
                <w:caps w:val="0"/>
                <w:color w:val="auto"/>
                <w:spacing w:val="0"/>
                <w:w w:val="100"/>
                <w:sz w:val="24"/>
                <w:highlight w:val="none"/>
              </w:rPr>
              <w:t>预算金额：256.</w:t>
            </w:r>
            <w:r>
              <w:rPr>
                <w:rFonts w:hint="eastAsia" w:ascii="宋体" w:hAnsi="宋体" w:cs="宋体"/>
                <w:b/>
                <w:bCs/>
                <w:i w:val="0"/>
                <w:caps w:val="0"/>
                <w:color w:val="auto"/>
                <w:spacing w:val="0"/>
                <w:w w:val="100"/>
                <w:sz w:val="24"/>
                <w:highlight w:val="none"/>
                <w:lang w:val="en-US" w:eastAsia="zh-CN"/>
              </w:rPr>
              <w:t>21</w:t>
            </w:r>
            <w:r>
              <w:rPr>
                <w:rFonts w:hint="eastAsia" w:ascii="宋体" w:hAnsi="宋体" w:eastAsia="宋体" w:cs="宋体"/>
                <w:b/>
                <w:bCs/>
                <w:i w:val="0"/>
                <w:caps w:val="0"/>
                <w:color w:val="auto"/>
                <w:spacing w:val="0"/>
                <w:w w:val="100"/>
                <w:sz w:val="24"/>
                <w:highlight w:val="none"/>
              </w:rPr>
              <w:t>万</w:t>
            </w:r>
            <w:r>
              <w:rPr>
                <w:rFonts w:hint="eastAsia" w:ascii="宋体" w:hAnsi="宋体" w:cs="宋体"/>
                <w:b/>
                <w:bCs/>
                <w:i w:val="0"/>
                <w:caps w:val="0"/>
                <w:color w:val="auto"/>
                <w:spacing w:val="0"/>
                <w:w w:val="100"/>
                <w:sz w:val="24"/>
                <w:highlight w:val="none"/>
                <w:lang w:val="en-US" w:eastAsia="zh-CN"/>
              </w:rPr>
              <w:t>元；</w:t>
            </w:r>
          </w:p>
          <w:p>
            <w:pPr>
              <w:pageBreakBefore w:val="0"/>
              <w:widowControl w:val="0"/>
              <w:kinsoku/>
              <w:wordWrap/>
              <w:overflowPunct/>
              <w:topLinePunct w:val="0"/>
              <w:bidi w:val="0"/>
              <w:snapToGrid/>
              <w:spacing w:line="390" w:lineRule="exact"/>
              <w:textAlignment w:val="auto"/>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第一包:互联网医疗+心电分级诊断服务平台建设；预算金额：200万元；</w:t>
            </w:r>
          </w:p>
          <w:p>
            <w:pPr>
              <w:pageBreakBefore w:val="0"/>
              <w:widowControl w:val="0"/>
              <w:kinsoku/>
              <w:wordWrap/>
              <w:overflowPunct/>
              <w:topLinePunct w:val="0"/>
              <w:bidi w:val="0"/>
              <w:snapToGrid/>
              <w:spacing w:line="390" w:lineRule="exact"/>
              <w:textAlignment w:val="auto"/>
              <w:outlineLvl w:val="9"/>
              <w:rPr>
                <w:rFonts w:hint="default" w:ascii="宋体" w:hAnsi="宋体" w:eastAsia="宋体" w:cs="宋体"/>
                <w:color w:val="auto"/>
                <w:highlight w:val="none"/>
                <w:lang w:val="en-US" w:eastAsia="zh-CN"/>
              </w:rPr>
            </w:pPr>
            <w:r>
              <w:rPr>
                <w:rFonts w:hint="eastAsia" w:ascii="宋体" w:hAnsi="宋体" w:cs="宋体"/>
                <w:color w:val="auto"/>
                <w:sz w:val="24"/>
                <w:highlight w:val="none"/>
                <w:lang w:val="en-US" w:eastAsia="zh-CN"/>
              </w:rPr>
              <w:t>第二包:采购神经肌肉低频电刺激仪、超声理疗仪、磁振热治疗仪、超短波治疗仪、深层肌肉振动仪、心电监护仪等医疗设备一批；预算金额：56.21万元。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12.1</w:t>
            </w:r>
          </w:p>
        </w:tc>
        <w:tc>
          <w:tcPr>
            <w:tcW w:w="788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投标保证金</w:t>
            </w:r>
            <w:r>
              <w:rPr>
                <w:rFonts w:hint="eastAsia" w:ascii="宋体" w:hAnsi="宋体" w:eastAsia="宋体" w:cs="宋体"/>
                <w:b w:val="0"/>
                <w:bCs w:val="0"/>
                <w:color w:val="auto"/>
                <w:sz w:val="24"/>
                <w:highlight w:val="none"/>
                <w:lang w:val="en-US" w:eastAsia="zh-CN"/>
              </w:rPr>
              <w:t>形式</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☑保函</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电汇  □支票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对公转账  </w:t>
            </w:r>
            <w:r>
              <w:rPr>
                <w:rFonts w:hint="eastAsia" w:ascii="宋体" w:hAnsi="宋体" w:eastAsia="宋体" w:cs="宋体"/>
                <w:b/>
                <w:bCs/>
                <w:color w:val="auto"/>
                <w:sz w:val="24"/>
                <w:highlight w:val="none"/>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投标保证金数额：</w:t>
            </w:r>
            <w:r>
              <w:rPr>
                <w:rFonts w:hint="eastAsia" w:ascii="宋体" w:hAnsi="宋体" w:eastAsia="宋体" w:cs="宋体"/>
                <w:b/>
                <w:bCs/>
                <w:i w:val="0"/>
                <w:caps w:val="0"/>
                <w:color w:val="auto"/>
                <w:spacing w:val="0"/>
                <w:w w:val="100"/>
                <w:sz w:val="24"/>
                <w:highlight w:val="none"/>
                <w:lang w:val="en-US" w:eastAsia="zh-CN"/>
              </w:rPr>
              <w:t>第</w:t>
            </w:r>
            <w:r>
              <w:rPr>
                <w:rFonts w:hint="eastAsia" w:ascii="宋体" w:hAnsi="宋体" w:cs="宋体"/>
                <w:b/>
                <w:bCs/>
                <w:i w:val="0"/>
                <w:caps w:val="0"/>
                <w:color w:val="auto"/>
                <w:spacing w:val="0"/>
                <w:w w:val="100"/>
                <w:sz w:val="24"/>
                <w:highlight w:val="none"/>
                <w:lang w:val="en-US" w:eastAsia="zh-CN"/>
              </w:rPr>
              <w:t>一</w:t>
            </w:r>
            <w:r>
              <w:rPr>
                <w:rFonts w:hint="eastAsia" w:ascii="宋体" w:hAnsi="宋体" w:eastAsia="宋体" w:cs="宋体"/>
                <w:b/>
                <w:bCs/>
                <w:i w:val="0"/>
                <w:caps w:val="0"/>
                <w:color w:val="auto"/>
                <w:spacing w:val="0"/>
                <w:w w:val="100"/>
                <w:sz w:val="24"/>
                <w:highlight w:val="none"/>
                <w:lang w:val="en-US" w:eastAsia="zh-CN"/>
              </w:rPr>
              <w:t>包：</w:t>
            </w:r>
            <w:r>
              <w:rPr>
                <w:rFonts w:hint="eastAsia" w:ascii="宋体" w:hAnsi="宋体" w:eastAsia="宋体" w:cs="宋体"/>
                <w:b/>
                <w:bCs/>
                <w:color w:val="auto"/>
                <w:sz w:val="24"/>
                <w:highlight w:val="none"/>
                <w:u w:val="single"/>
              </w:rPr>
              <w:t>¥</w:t>
            </w:r>
            <w:r>
              <w:rPr>
                <w:rFonts w:hint="eastAsia" w:ascii="宋体" w:hAnsi="宋体" w:cs="宋体"/>
                <w:b/>
                <w:bCs/>
                <w:color w:val="auto"/>
                <w:sz w:val="24"/>
                <w:highlight w:val="none"/>
                <w:u w:val="single"/>
                <w:lang w:val="en-US" w:eastAsia="zh-CN"/>
              </w:rPr>
              <w:t>40000</w:t>
            </w:r>
            <w:r>
              <w:rPr>
                <w:rFonts w:hint="eastAsia" w:ascii="宋体" w:hAnsi="宋体" w:eastAsia="宋体" w:cs="宋体"/>
                <w:b/>
                <w:bCs/>
                <w:color w:val="auto"/>
                <w:sz w:val="24"/>
                <w:highlight w:val="none"/>
                <w:u w:val="single"/>
              </w:rPr>
              <w:t>元（人民币</w:t>
            </w:r>
            <w:r>
              <w:rPr>
                <w:rFonts w:hint="eastAsia" w:ascii="宋体" w:hAnsi="宋体" w:cs="宋体"/>
                <w:b/>
                <w:bCs/>
                <w:color w:val="auto"/>
                <w:sz w:val="24"/>
                <w:highlight w:val="none"/>
                <w:u w:val="single"/>
                <w:lang w:val="en-US" w:eastAsia="zh-CN"/>
              </w:rPr>
              <w:t>肆万</w:t>
            </w:r>
            <w:r>
              <w:rPr>
                <w:rFonts w:hint="eastAsia" w:ascii="宋体" w:hAnsi="宋体" w:eastAsia="宋体" w:cs="宋体"/>
                <w:b/>
                <w:bCs/>
                <w:color w:val="auto"/>
                <w:sz w:val="24"/>
                <w:highlight w:val="none"/>
                <w:u w:val="single"/>
                <w:lang w:val="en-US" w:eastAsia="zh-CN"/>
              </w:rPr>
              <w:t>元整</w:t>
            </w:r>
            <w:r>
              <w:rPr>
                <w:rFonts w:hint="eastAsia" w:ascii="宋体" w:hAnsi="宋体" w:eastAsia="宋体" w:cs="宋体"/>
                <w:b/>
                <w:bCs/>
                <w:color w:val="auto"/>
                <w:sz w:val="24"/>
                <w:highlight w:val="none"/>
                <w:u w:val="single"/>
              </w:rPr>
              <w:t>）</w:t>
            </w:r>
            <w:r>
              <w:rPr>
                <w:rFonts w:hint="eastAsia" w:ascii="宋体" w:hAnsi="宋体" w:eastAsia="宋体" w:cs="宋体"/>
                <w:b/>
                <w:bCs/>
                <w:color w:val="auto"/>
                <w:sz w:val="24"/>
                <w:highlight w:val="none"/>
                <w:u w:val="single"/>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firstLine="1928" w:firstLineChars="800"/>
              <w:jc w:val="left"/>
              <w:textAlignment w:val="auto"/>
              <w:rPr>
                <w:rFonts w:hint="eastAsia" w:ascii="宋体" w:hAnsi="宋体" w:eastAsia="宋体" w:cs="宋体"/>
                <w:b/>
                <w:bCs/>
                <w:color w:val="auto"/>
                <w:sz w:val="24"/>
                <w:highlight w:val="none"/>
              </w:rPr>
            </w:pPr>
            <w:r>
              <w:rPr>
                <w:rFonts w:hint="eastAsia" w:ascii="宋体" w:hAnsi="宋体" w:eastAsia="宋体" w:cs="宋体"/>
                <w:b/>
                <w:bCs/>
                <w:i w:val="0"/>
                <w:caps w:val="0"/>
                <w:color w:val="auto"/>
                <w:spacing w:val="0"/>
                <w:w w:val="100"/>
                <w:sz w:val="24"/>
                <w:highlight w:val="none"/>
                <w:lang w:val="en-US" w:eastAsia="zh-CN"/>
              </w:rPr>
              <w:t>第二包：</w:t>
            </w:r>
            <w:r>
              <w:rPr>
                <w:rFonts w:hint="eastAsia" w:ascii="宋体" w:hAnsi="宋体" w:eastAsia="宋体" w:cs="宋体"/>
                <w:b/>
                <w:bCs/>
                <w:color w:val="auto"/>
                <w:sz w:val="24"/>
                <w:highlight w:val="none"/>
                <w:u w:val="single"/>
              </w:rPr>
              <w:t>¥</w:t>
            </w:r>
            <w:r>
              <w:rPr>
                <w:rFonts w:hint="eastAsia" w:ascii="宋体" w:hAnsi="宋体" w:cs="宋体"/>
                <w:b/>
                <w:bCs/>
                <w:color w:val="auto"/>
                <w:sz w:val="24"/>
                <w:highlight w:val="none"/>
                <w:u w:val="single"/>
                <w:lang w:val="en-US" w:eastAsia="zh-CN"/>
              </w:rPr>
              <w:t>11000</w:t>
            </w:r>
            <w:r>
              <w:rPr>
                <w:rFonts w:hint="eastAsia" w:ascii="宋体" w:hAnsi="宋体" w:eastAsia="宋体" w:cs="宋体"/>
                <w:b/>
                <w:bCs/>
                <w:color w:val="auto"/>
                <w:sz w:val="24"/>
                <w:highlight w:val="none"/>
                <w:u w:val="single"/>
              </w:rPr>
              <w:t>元（人民币</w:t>
            </w:r>
            <w:r>
              <w:rPr>
                <w:rFonts w:hint="eastAsia" w:ascii="宋体" w:hAnsi="宋体" w:cs="宋体"/>
                <w:b/>
                <w:bCs/>
                <w:color w:val="auto"/>
                <w:sz w:val="24"/>
                <w:highlight w:val="none"/>
                <w:u w:val="single"/>
                <w:lang w:val="en-US" w:eastAsia="zh-CN"/>
              </w:rPr>
              <w:t>壹万壹仟</w:t>
            </w:r>
            <w:r>
              <w:rPr>
                <w:rFonts w:hint="eastAsia" w:ascii="宋体" w:hAnsi="宋体" w:eastAsia="宋体" w:cs="宋体"/>
                <w:b/>
                <w:bCs/>
                <w:color w:val="auto"/>
                <w:sz w:val="24"/>
                <w:highlight w:val="none"/>
                <w:u w:val="single"/>
                <w:lang w:val="en-US" w:eastAsia="zh-CN"/>
              </w:rPr>
              <w:t>元整</w:t>
            </w:r>
            <w:r>
              <w:rPr>
                <w:rFonts w:hint="eastAsia" w:ascii="宋体" w:hAnsi="宋体" w:eastAsia="宋体" w:cs="宋体"/>
                <w:b/>
                <w:bCs/>
                <w:color w:val="auto"/>
                <w:sz w:val="24"/>
                <w:highlight w:val="none"/>
                <w:u w:val="single"/>
              </w:rPr>
              <w:t>）</w:t>
            </w:r>
            <w:r>
              <w:rPr>
                <w:rFonts w:hint="eastAsia" w:ascii="宋体" w:hAnsi="宋体" w:cs="宋体"/>
                <w:b/>
                <w:bCs/>
                <w:color w:val="auto"/>
                <w:sz w:val="24"/>
                <w:highlight w:val="none"/>
                <w:u w:val="single"/>
                <w:lang w:eastAsia="zh-CN"/>
              </w:rPr>
              <w:t>。</w:t>
            </w:r>
            <w:r>
              <w:rPr>
                <w:rFonts w:hint="eastAsia" w:ascii="宋体" w:hAnsi="宋体" w:eastAsia="宋体" w:cs="宋体"/>
                <w:color w:val="auto"/>
                <w:sz w:val="24"/>
                <w:highlight w:val="none"/>
              </w:rPr>
              <w:t>（按照</w:t>
            </w:r>
            <w:r>
              <w:rPr>
                <w:rFonts w:hint="eastAsia" w:ascii="宋体" w:hAnsi="宋体" w:eastAsia="宋体" w:cs="宋体"/>
                <w:color w:val="auto"/>
                <w:sz w:val="24"/>
                <w:highlight w:val="none"/>
                <w:lang w:val="en-US" w:eastAsia="zh-CN"/>
              </w:rPr>
              <w:t>预算</w:t>
            </w:r>
            <w:r>
              <w:rPr>
                <w:rFonts w:hint="eastAsia" w:ascii="宋体" w:hAnsi="宋体" w:eastAsia="宋体" w:cs="宋体"/>
                <w:color w:val="auto"/>
                <w:sz w:val="24"/>
                <w:highlight w:val="none"/>
              </w:rPr>
              <w:t>金额2%以内的整数计算）</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保证金收款人：</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单位名称：中经国际招标集团有限公司喀什分公司</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 户 行：乌鲁木齐银行喀什分行营业部</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账    号：0000020070110051349823（电汇时请在汇款备注栏注明项目名称及包号（如有），并注明是投标保证金）     </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行     号：313894000405</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财务室联系人及联系方式：15099650569</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注意事项：</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A:缴纳保证金要求</w:t>
            </w:r>
            <w:r>
              <w:rPr>
                <w:rFonts w:hint="eastAsia" w:ascii="宋体" w:hAnsi="宋体" w:eastAsia="宋体" w:cs="宋体"/>
                <w:color w:val="auto"/>
                <w:sz w:val="24"/>
                <w:highlight w:val="none"/>
              </w:rPr>
              <w:t>：供应商向银行办理保证金汇（转）款时，应在用途栏（备注栏）注明项目名称及包号（如有），并注明是投标保证金字样，如填写字数有要求可简写项目名称与包号（如有），由于未按要求注明信息而导致的一切后果由供应商自行承担。</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B：退保证金</w:t>
            </w:r>
            <w:r>
              <w:rPr>
                <w:rFonts w:hint="eastAsia" w:ascii="宋体" w:hAnsi="宋体" w:eastAsia="宋体" w:cs="宋体"/>
                <w:bCs/>
                <w:color w:val="auto"/>
                <w:sz w:val="24"/>
                <w:highlight w:val="none"/>
              </w:rPr>
              <w:t>：</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根据《中华人民共和国财政部令第87号--政府采购货物和货物招标投标管理办法》第三十八条投标人在投标截止时间前撤回已提交的投标文件的，采购人或者采购代理机构应当自收到投标人书面撤回通知之日起５个工作日内，退还已收取的投标保证金，但因投标人自身原因导致无法及时退还的除外。采购人或者采购代理机构应当自中标通知书发出之日起5个工作日内退还未中标人的投标保证金，自采购合同签订之日起5个工作日内退还中标人的投标保证金或者转为中标人的履约保证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lang w:eastAsia="zh-CN"/>
              </w:rPr>
              <w:t>）中标</w:t>
            </w:r>
            <w:r>
              <w:rPr>
                <w:rFonts w:hint="eastAsia" w:ascii="宋体" w:hAnsi="宋体" w:eastAsia="宋体" w:cs="宋体"/>
                <w:b/>
                <w:color w:val="auto"/>
                <w:sz w:val="24"/>
                <w:highlight w:val="none"/>
                <w:lang w:val="en-US" w:eastAsia="zh-CN"/>
              </w:rPr>
              <w:t>供应商的</w:t>
            </w:r>
            <w:r>
              <w:rPr>
                <w:rFonts w:hint="eastAsia" w:ascii="宋体" w:hAnsi="宋体" w:eastAsia="宋体" w:cs="宋体"/>
                <w:b/>
                <w:color w:val="auto"/>
                <w:sz w:val="24"/>
                <w:highlight w:val="none"/>
                <w:lang w:eastAsia="zh-CN"/>
              </w:rPr>
              <w:t>投标保证金在与采购单位签订合同后，把合同扫描件发</w:t>
            </w:r>
            <w:r>
              <w:rPr>
                <w:rFonts w:hint="eastAsia" w:ascii="宋体" w:hAnsi="宋体" w:eastAsia="宋体" w:cs="宋体"/>
                <w:b/>
                <w:color w:val="auto"/>
                <w:sz w:val="24"/>
                <w:highlight w:val="none"/>
                <w:lang w:val="en-US" w:eastAsia="zh-CN"/>
              </w:rPr>
              <w:t>送至邮箱2783389030@qq.com</w:t>
            </w:r>
            <w:r>
              <w:rPr>
                <w:rFonts w:hint="eastAsia" w:ascii="宋体" w:hAnsi="宋体" w:eastAsia="宋体" w:cs="宋体"/>
                <w:b/>
                <w:color w:val="auto"/>
                <w:sz w:val="24"/>
                <w:highlight w:val="none"/>
                <w:lang w:eastAsia="zh-CN"/>
              </w:rPr>
              <w:t>后，当日或次日即原账户退回。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u w:val="single"/>
              </w:rPr>
              <w:t>　60　</w:t>
            </w:r>
            <w:r>
              <w:rPr>
                <w:rFonts w:hint="eastAsia" w:ascii="宋体" w:hAnsi="宋体" w:eastAsia="宋体" w:cs="宋体"/>
                <w:color w:val="auto"/>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14.1</w:t>
            </w:r>
          </w:p>
        </w:tc>
        <w:tc>
          <w:tcPr>
            <w:tcW w:w="7882" w:type="dxa"/>
            <w:vAlign w:val="center"/>
          </w:tcPr>
          <w:p>
            <w:pPr>
              <w:shd w:val="clear"/>
              <w:spacing w:line="4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shd w:val="clear"/>
              <w:spacing w:line="4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（2）本项目实行网上投标，采用电子投标文件(供应商须使用CA加密设备通过政采云电子投标客户端制作投标文件)。若供应商参与投标，自行承担投标一切费用。</w:t>
            </w:r>
          </w:p>
          <w:p>
            <w:pPr>
              <w:shd w:val="clear"/>
              <w:spacing w:line="4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shd w:val="clear"/>
              <w:spacing w:line="4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hd w:val="clear"/>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b/>
                <w:bCs/>
                <w:color w:val="auto"/>
                <w:sz w:val="24"/>
                <w:highlight w:val="none"/>
                <w:lang w:val="en-US" w:eastAsia="zh-CN"/>
              </w:rPr>
              <w:t>（5）供应商在开标时须使用制作加密电子投标文件所使用的CA锁及电脑，电脑须提前配置好浏览器（建议使用谷歌浏览器），以便开标时解锁。</w:t>
            </w:r>
          </w:p>
          <w:p>
            <w:pPr>
              <w:shd w:val="clear"/>
              <w:spacing w:line="4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shd w:val="clear"/>
              <w:spacing w:line="4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hd w:val="clear"/>
              <w:spacing w:line="400" w:lineRule="exact"/>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b/>
                <w:bCs/>
                <w:color w:val="auto"/>
                <w:sz w:val="24"/>
                <w:highlight w:val="none"/>
                <w:lang w:val="en-US" w:eastAsia="zh-CN"/>
              </w:rPr>
              <w:t>各供应商</w:t>
            </w:r>
            <w:r>
              <w:rPr>
                <w:rFonts w:hint="eastAsia" w:ascii="宋体" w:hAnsi="宋体" w:eastAsia="宋体" w:cs="宋体"/>
                <w:b/>
                <w:bCs/>
                <w:color w:val="auto"/>
                <w:sz w:val="24"/>
                <w:highlight w:val="none"/>
              </w:rPr>
              <w:t>须在投标截止时间前完成在系统上递交电子</w:t>
            </w:r>
            <w:r>
              <w:rPr>
                <w:rFonts w:hint="eastAsia" w:ascii="宋体" w:hAnsi="宋体" w:eastAsia="宋体" w:cs="宋体"/>
                <w:b/>
                <w:bCs/>
                <w:color w:val="auto"/>
                <w:sz w:val="24"/>
                <w:highlight w:val="none"/>
                <w:lang w:val="en-US" w:eastAsia="zh-CN"/>
              </w:rPr>
              <w:t>投标文件</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的电子</w:t>
            </w:r>
            <w:r>
              <w:rPr>
                <w:rFonts w:hint="eastAsia" w:ascii="宋体" w:hAnsi="宋体" w:eastAsia="宋体" w:cs="宋体"/>
                <w:b/>
                <w:bCs/>
                <w:color w:val="auto"/>
                <w:sz w:val="24"/>
                <w:highlight w:val="none"/>
                <w:lang w:eastAsia="zh-CN"/>
              </w:rPr>
              <w:t>投标文件</w:t>
            </w:r>
            <w:r>
              <w:rPr>
                <w:rFonts w:hint="eastAsia" w:ascii="宋体" w:hAnsi="宋体" w:eastAsia="宋体" w:cs="宋体"/>
                <w:b/>
                <w:bCs/>
                <w:color w:val="auto"/>
                <w:sz w:val="24"/>
                <w:highlight w:val="none"/>
              </w:rPr>
              <w:t>是经过CA证书加密后上传提交的，任何单位或个人均无法在投标截止时间(即开标时间)之前查看或篡改，不存在泄密风险。（严格按照政采云电子投标流程制作并上传电子</w:t>
            </w:r>
            <w:r>
              <w:rPr>
                <w:rFonts w:hint="eastAsia" w:ascii="宋体" w:hAnsi="宋体" w:eastAsia="宋体" w:cs="宋体"/>
                <w:b/>
                <w:bCs/>
                <w:color w:val="auto"/>
                <w:sz w:val="24"/>
                <w:highlight w:val="none"/>
                <w:lang w:eastAsia="zh-CN"/>
              </w:rPr>
              <w:t>投标文件</w:t>
            </w:r>
            <w:r>
              <w:rPr>
                <w:rFonts w:hint="eastAsia" w:ascii="宋体" w:hAnsi="宋体" w:eastAsia="宋体" w:cs="宋体"/>
                <w:b/>
                <w:bCs/>
                <w:color w:val="auto"/>
                <w:sz w:val="24"/>
                <w:highlight w:val="none"/>
              </w:rPr>
              <w:t>）</w:t>
            </w:r>
          </w:p>
          <w:p>
            <w:pPr>
              <w:shd w:val="clear"/>
              <w:spacing w:line="4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各供应商在投标截止时间前将“投标文件”上传至政采云平台。投标文件包括“开标一览表表及资格证明文件”与“商务及技术文件”两部分合并成一册。投标文件应按照招标文件规定的格式填写、签署和盖章，并以.jmbs格式上传至政采云开评标平台（投标文件为正本扫描件）。</w:t>
            </w:r>
          </w:p>
          <w:p>
            <w:pPr>
              <w:shd w:val="clear"/>
              <w:spacing w:line="4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（10）解密时长为30分钟。</w:t>
            </w:r>
          </w:p>
          <w:p>
            <w:pPr>
              <w:shd w:val="clear"/>
              <w:spacing w:line="400" w:lineRule="exact"/>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11</w:t>
            </w:r>
            <w:r>
              <w:rPr>
                <w:rFonts w:hint="eastAsia" w:ascii="宋体" w:hAnsi="宋体" w:eastAsia="宋体" w:cs="宋体"/>
                <w:b/>
                <w:bCs/>
                <w:color w:val="auto"/>
                <w:sz w:val="24"/>
                <w:highlight w:val="none"/>
                <w:lang w:val="en-US" w:eastAsia="zh-CN"/>
              </w:rPr>
              <w:t>）须供应商提供备份的投标文件,后缀为.bfbs。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w:t>
            </w:r>
            <w:r>
              <w:rPr>
                <w:rFonts w:hint="eastAsia" w:ascii="宋体" w:hAnsi="宋体" w:eastAsia="宋体" w:cs="宋体"/>
                <w:b/>
                <w:bCs/>
                <w:color w:val="auto"/>
                <w:sz w:val="24"/>
                <w:highlight w:val="none"/>
                <w:u w:val="single"/>
              </w:rPr>
              <w:t>2022年</w:t>
            </w:r>
            <w:r>
              <w:rPr>
                <w:rFonts w:hint="eastAsia" w:ascii="宋体" w:hAnsi="宋体" w:cs="宋体"/>
                <w:b/>
                <w:bCs/>
                <w:color w:val="auto"/>
                <w:sz w:val="24"/>
                <w:highlight w:val="none"/>
                <w:u w:val="single"/>
                <w:lang w:val="en-US" w:eastAsia="zh-CN"/>
              </w:rPr>
              <w:t>11</w:t>
            </w:r>
            <w:r>
              <w:rPr>
                <w:rFonts w:hint="eastAsia" w:ascii="宋体" w:hAnsi="宋体" w:eastAsia="宋体" w:cs="宋体"/>
                <w:b/>
                <w:bCs/>
                <w:color w:val="auto"/>
                <w:sz w:val="24"/>
                <w:highlight w:val="none"/>
                <w:u w:val="single"/>
              </w:rPr>
              <w:t>月</w:t>
            </w:r>
            <w:r>
              <w:rPr>
                <w:rFonts w:hint="eastAsia" w:ascii="宋体" w:hAnsi="宋体" w:cs="宋体"/>
                <w:b/>
                <w:bCs/>
                <w:color w:val="auto"/>
                <w:sz w:val="24"/>
                <w:highlight w:val="none"/>
                <w:u w:val="single"/>
                <w:lang w:val="en-US" w:eastAsia="zh-CN"/>
              </w:rPr>
              <w:t>18</w:t>
            </w:r>
            <w:r>
              <w:rPr>
                <w:rFonts w:hint="eastAsia" w:ascii="宋体" w:hAnsi="宋体" w:eastAsia="宋体" w:cs="宋体"/>
                <w:b/>
                <w:bCs/>
                <w:color w:val="auto"/>
                <w:sz w:val="24"/>
                <w:highlight w:val="none"/>
                <w:u w:val="single"/>
              </w:rPr>
              <w:t>日10点30分（北京时间）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开标时间：</w:t>
            </w:r>
            <w:r>
              <w:rPr>
                <w:rFonts w:hint="eastAsia" w:ascii="宋体" w:hAnsi="宋体" w:eastAsia="宋体" w:cs="宋体"/>
                <w:b/>
                <w:bCs/>
                <w:color w:val="auto"/>
                <w:sz w:val="24"/>
                <w:highlight w:val="none"/>
                <w:u w:val="single"/>
              </w:rPr>
              <w:t>2022年</w:t>
            </w:r>
            <w:r>
              <w:rPr>
                <w:rFonts w:hint="eastAsia" w:ascii="宋体" w:hAnsi="宋体" w:cs="宋体"/>
                <w:b/>
                <w:bCs/>
                <w:color w:val="auto"/>
                <w:sz w:val="24"/>
                <w:highlight w:val="none"/>
                <w:u w:val="single"/>
                <w:lang w:val="en-US" w:eastAsia="zh-CN"/>
              </w:rPr>
              <w:t>11</w:t>
            </w:r>
            <w:r>
              <w:rPr>
                <w:rFonts w:hint="eastAsia" w:ascii="宋体" w:hAnsi="宋体" w:eastAsia="宋体" w:cs="宋体"/>
                <w:b/>
                <w:bCs/>
                <w:color w:val="auto"/>
                <w:sz w:val="24"/>
                <w:highlight w:val="none"/>
                <w:u w:val="single"/>
              </w:rPr>
              <w:t>月</w:t>
            </w:r>
            <w:r>
              <w:rPr>
                <w:rFonts w:hint="eastAsia" w:ascii="宋体" w:hAnsi="宋体" w:cs="宋体"/>
                <w:b/>
                <w:bCs/>
                <w:color w:val="auto"/>
                <w:sz w:val="24"/>
                <w:highlight w:val="none"/>
                <w:u w:val="single"/>
                <w:lang w:val="en-US" w:eastAsia="zh-CN"/>
              </w:rPr>
              <w:t>18</w:t>
            </w:r>
            <w:r>
              <w:rPr>
                <w:rFonts w:hint="eastAsia" w:ascii="宋体" w:hAnsi="宋体" w:eastAsia="宋体" w:cs="宋体"/>
                <w:b/>
                <w:bCs/>
                <w:color w:val="auto"/>
                <w:sz w:val="24"/>
                <w:highlight w:val="none"/>
                <w:u w:val="single"/>
              </w:rPr>
              <w:t>日10点30分（北京时间）</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开标地点：</w:t>
            </w:r>
            <w:r>
              <w:rPr>
                <w:rFonts w:hint="eastAsia" w:ascii="宋体" w:hAnsi="宋体" w:eastAsia="宋体" w:cs="宋体"/>
                <w:b/>
                <w:bCs/>
                <w:color w:val="auto"/>
                <w:sz w:val="24"/>
                <w:highlight w:val="none"/>
                <w:u w:val="single"/>
              </w:rPr>
              <w:t>政采云平台（https://login.zcygov.cn/user-login/#/login</w:t>
            </w:r>
            <w:r>
              <w:rPr>
                <w:rFonts w:hint="eastAsia" w:ascii="宋体" w:hAnsi="宋体" w:eastAsia="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i/>
                <w:color w:val="auto"/>
                <w:sz w:val="24"/>
                <w:highlight w:val="none"/>
              </w:rPr>
            </w:pPr>
            <w:r>
              <w:rPr>
                <w:rFonts w:hint="eastAsia" w:ascii="宋体" w:hAnsi="宋体" w:eastAsia="宋体" w:cs="宋体"/>
                <w:color w:val="auto"/>
                <w:sz w:val="24"/>
                <w:highlight w:val="none"/>
              </w:rPr>
              <w:t>评标方法：适用</w:t>
            </w:r>
            <w:r>
              <w:rPr>
                <w:rFonts w:hint="eastAsia" w:ascii="宋体" w:hAnsi="宋体" w:eastAsia="宋体" w:cs="宋体"/>
                <w:color w:val="auto"/>
                <w:sz w:val="24"/>
                <w:highlight w:val="none"/>
                <w:u w:val="single"/>
              </w:rPr>
              <w:t>　综合评分法　</w:t>
            </w:r>
            <w:r>
              <w:rPr>
                <w:rFonts w:hint="eastAsia" w:ascii="宋体" w:hAnsi="宋体" w:eastAsia="宋体" w:cs="宋体"/>
                <w:color w:val="auto"/>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推荐中标候选供应商的数量：</w:t>
            </w:r>
            <w:r>
              <w:rPr>
                <w:rFonts w:hint="eastAsia" w:ascii="宋体" w:hAnsi="宋体" w:eastAsia="宋体" w:cs="宋体"/>
                <w:color w:val="auto"/>
                <w:sz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是否委托评标委员会直接确定中标人：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i/>
                <w:color w:val="auto"/>
                <w:sz w:val="24"/>
                <w:highlight w:val="none"/>
              </w:rPr>
            </w:pPr>
            <w:r>
              <w:rPr>
                <w:rFonts w:hint="eastAsia" w:ascii="宋体" w:hAnsi="宋体" w:eastAsia="宋体" w:cs="宋体"/>
                <w:color w:val="auto"/>
                <w:sz w:val="24"/>
                <w:highlight w:val="none"/>
              </w:rPr>
              <w:t>履约保证金金额：合同总价的</w:t>
            </w:r>
            <w:r>
              <w:rPr>
                <w:rFonts w:hint="eastAsia" w:ascii="宋体" w:hAnsi="宋体" w:eastAsia="宋体" w:cs="宋体"/>
                <w:color w:val="auto"/>
                <w:sz w:val="24"/>
                <w:highlight w:val="none"/>
                <w:u w:val="single"/>
              </w:rPr>
              <w:t>　</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　</w:t>
            </w:r>
            <w:r>
              <w:rPr>
                <w:rFonts w:hint="eastAsia" w:ascii="宋体" w:hAnsi="宋体" w:eastAsia="宋体" w:cs="宋体"/>
                <w:i/>
                <w:color w:val="auto"/>
                <w:sz w:val="24"/>
                <w:highlight w:val="none"/>
              </w:rPr>
              <w:t>（不得超过政府采购合同金额的10%）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履约保证金形式：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☑保函</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电汇  □支票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提交履约保证金的时间：签订合同前打入甲方指定账户</w:t>
            </w:r>
            <w:r>
              <w:rPr>
                <w:rFonts w:hint="eastAsia" w:ascii="宋体" w:hAnsi="宋体" w:eastAsia="宋体" w:cs="宋体"/>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注：（1）根据《中华人民共和国财政部令第87号--政府采购货物和货物招标投标管理办法》第三十八条投标人在投标截止时间前撤回已提交的投标文件的，采购人或者采购代理机构应当自收到投标人书面撤回通知之日起５个工作日内，退还已收取的投标保证金，但因投标人自身原因导致无法及时退还的除外。采购人或者采购代理机构应当自中标通知书发出之日起5个工作日内退还未中标人的投标保证金，自采购合同签订之日起5个工作日内退还中标人的投标保证金或者转为中标人的履约保证金；</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val="en-US" w:eastAsia="zh-CN"/>
              </w:rPr>
              <w:t>（2）双方可以通过协商另行约定其他退还时间和方式及用途。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中标服务费：根据发改价格[2015]299文件：确定代理服务费按照中标价的1.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%收取。（由中标供应商</w:t>
            </w:r>
            <w:r>
              <w:rPr>
                <w:rFonts w:hint="eastAsia" w:ascii="宋体" w:hAnsi="宋体" w:cs="宋体"/>
                <w:color w:val="auto"/>
                <w:sz w:val="24"/>
                <w:highlight w:val="none"/>
                <w:lang w:val="en-US" w:eastAsia="zh-CN"/>
              </w:rPr>
              <w:t>一次性</w:t>
            </w:r>
            <w:r>
              <w:rPr>
                <w:rFonts w:hint="eastAsia" w:ascii="宋体" w:hAnsi="宋体" w:eastAsia="宋体" w:cs="宋体"/>
                <w:color w:val="auto"/>
                <w:sz w:val="24"/>
                <w:highlight w:val="none"/>
              </w:rPr>
              <w:t>支付）</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支付时间：领取中标通知书时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本项目是否属于信用担保试点范围：</w:t>
            </w:r>
            <w:r>
              <w:rPr>
                <w:rFonts w:hint="eastAsia" w:ascii="宋体" w:hAnsi="宋体" w:eastAsia="宋体" w:cs="宋体"/>
                <w:color w:val="auto"/>
                <w:sz w:val="24"/>
                <w:highlight w:val="none"/>
                <w:u w:val="single"/>
              </w:rPr>
              <w:t xml:space="preserve">  否  </w:t>
            </w:r>
            <w:r>
              <w:rPr>
                <w:rFonts w:hint="eastAsia" w:ascii="宋体" w:hAnsi="宋体" w:eastAsia="宋体" w:cs="宋体"/>
                <w:color w:val="auto"/>
                <w:sz w:val="24"/>
                <w:highlight w:val="none"/>
              </w:rPr>
              <w:t xml:space="preserve"> </w:t>
            </w:r>
            <w:r>
              <w:rPr>
                <w:rFonts w:hint="eastAsia" w:ascii="宋体" w:hAnsi="宋体" w:eastAsia="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说明</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本项目可同时参加两个包投标，每个包必须单独制作及提交投标文件，否则按废标处理。本项目参加两个包投标不允许兼中兼得。</w:t>
            </w:r>
          </w:p>
        </w:tc>
      </w:tr>
    </w:tbl>
    <w:p>
      <w:pPr>
        <w:spacing w:line="240" w:lineRule="atLeast"/>
        <w:ind w:left="1080" w:leftChars="257" w:hanging="540"/>
        <w:rPr>
          <w:rFonts w:hint="eastAsia" w:ascii="宋体" w:hAnsi="宋体" w:eastAsia="宋体" w:cs="宋体"/>
          <w:color w:val="auto"/>
          <w:sz w:val="24"/>
          <w:highlight w:val="none"/>
        </w:rPr>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numPr>
          <w:ilvl w:val="0"/>
          <w:numId w:val="8"/>
        </w:numPr>
        <w:spacing w:line="440" w:lineRule="exact"/>
        <w:jc w:val="center"/>
        <w:outlineLvl w:val="0"/>
        <w:rPr>
          <w:rFonts w:hint="eastAsia" w:ascii="宋体" w:hAnsi="宋体" w:eastAsia="宋体" w:cs="宋体"/>
          <w:b/>
          <w:color w:val="auto"/>
          <w:sz w:val="32"/>
          <w:szCs w:val="32"/>
          <w:highlight w:val="none"/>
        </w:rPr>
      </w:pPr>
      <w:bookmarkStart w:id="1184" w:name="_Toc15092"/>
      <w:bookmarkStart w:id="1185" w:name="_Toc27053"/>
      <w:bookmarkStart w:id="1186" w:name="_Toc512937852"/>
      <w:r>
        <w:rPr>
          <w:rFonts w:hint="eastAsia" w:ascii="宋体" w:hAnsi="宋体" w:eastAsia="宋体" w:cs="宋体"/>
          <w:b/>
          <w:color w:val="auto"/>
          <w:sz w:val="32"/>
          <w:szCs w:val="32"/>
          <w:highlight w:val="none"/>
        </w:rPr>
        <w:t xml:space="preserve"> </w:t>
      </w:r>
      <w:bookmarkStart w:id="1187" w:name="_Toc23098"/>
      <w:bookmarkStart w:id="1188" w:name="_Toc1651"/>
      <w:r>
        <w:rPr>
          <w:rFonts w:hint="eastAsia" w:ascii="宋体" w:hAnsi="宋体" w:eastAsia="宋体" w:cs="宋体"/>
          <w:b/>
          <w:color w:val="auto"/>
          <w:sz w:val="32"/>
          <w:szCs w:val="32"/>
          <w:highlight w:val="none"/>
          <w:lang w:val="en-US" w:eastAsia="zh-CN"/>
        </w:rPr>
        <w:t>货物</w:t>
      </w:r>
      <w:r>
        <w:rPr>
          <w:rFonts w:hint="eastAsia" w:ascii="宋体" w:hAnsi="宋体" w:eastAsia="宋体" w:cs="宋体"/>
          <w:b/>
          <w:color w:val="auto"/>
          <w:sz w:val="32"/>
          <w:szCs w:val="32"/>
          <w:highlight w:val="none"/>
        </w:rPr>
        <w:t>内容及项目要求</w:t>
      </w:r>
      <w:bookmarkEnd w:id="1184"/>
      <w:bookmarkEnd w:id="1185"/>
      <w:bookmarkEnd w:id="1187"/>
      <w:bookmarkEnd w:id="1188"/>
    </w:p>
    <w:p>
      <w:pPr>
        <w:pStyle w:val="21"/>
        <w:outlineLvl w:val="1"/>
        <w:rPr>
          <w:rFonts w:hint="eastAsia" w:ascii="宋体" w:hAnsi="宋体" w:eastAsia="宋体" w:cs="宋体"/>
          <w:b/>
          <w:bCs/>
          <w:color w:val="auto"/>
          <w:sz w:val="28"/>
          <w:szCs w:val="28"/>
          <w:highlight w:val="none"/>
          <w:lang w:val="en-US" w:eastAsia="zh-CN"/>
        </w:rPr>
      </w:pPr>
      <w:bookmarkStart w:id="1189" w:name="_Toc15903"/>
      <w:bookmarkStart w:id="1190" w:name="_Toc9264"/>
      <w:bookmarkStart w:id="1191" w:name="_Toc1931"/>
      <w:bookmarkStart w:id="1192" w:name="_Toc7849"/>
      <w:bookmarkStart w:id="1193" w:name="_Toc17064"/>
      <w:bookmarkStart w:id="1194" w:name="_Toc25132"/>
      <w:bookmarkStart w:id="1195" w:name="_Toc3211"/>
      <w:bookmarkStart w:id="1196" w:name="_Toc4976"/>
      <w:bookmarkStart w:id="1197" w:name="_Toc22255"/>
      <w:r>
        <w:rPr>
          <w:rFonts w:hint="eastAsia" w:ascii="宋体" w:hAnsi="宋体" w:eastAsia="宋体" w:cs="宋体"/>
          <w:b/>
          <w:bCs/>
          <w:color w:val="auto"/>
          <w:sz w:val="28"/>
          <w:szCs w:val="28"/>
          <w:highlight w:val="none"/>
          <w:lang w:val="en-US" w:eastAsia="zh-CN"/>
        </w:rPr>
        <w:t>第</w:t>
      </w:r>
      <w:r>
        <w:rPr>
          <w:rFonts w:hint="eastAsia" w:ascii="宋体" w:hAnsi="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val="en-US" w:eastAsia="zh-CN"/>
        </w:rPr>
        <w:t>包：</w:t>
      </w:r>
      <w:bookmarkEnd w:id="1189"/>
      <w:bookmarkEnd w:id="1190"/>
      <w:bookmarkEnd w:id="1191"/>
      <w:bookmarkEnd w:id="1192"/>
      <w:bookmarkEnd w:id="1193"/>
      <w:bookmarkEnd w:id="1194"/>
      <w:bookmarkEnd w:id="1195"/>
      <w:bookmarkEnd w:id="1196"/>
      <w:bookmarkEnd w:id="1197"/>
    </w:p>
    <w:p>
      <w:pPr>
        <w:pStyle w:val="22"/>
        <w:outlineLvl w:val="1"/>
        <w:rPr>
          <w:rFonts w:hint="default" w:eastAsia="宋体"/>
          <w:color w:val="auto"/>
          <w:highlight w:val="none"/>
          <w:lang w:val="en-US" w:eastAsia="zh-CN"/>
        </w:rPr>
      </w:pPr>
      <w:bookmarkStart w:id="1198" w:name="_Toc17008"/>
      <w:r>
        <w:rPr>
          <w:rFonts w:hint="eastAsia" w:ascii="宋体" w:hAnsi="宋体" w:cs="宋体"/>
          <w:b/>
          <w:color w:val="auto"/>
          <w:sz w:val="32"/>
          <w:szCs w:val="32"/>
          <w:highlight w:val="none"/>
          <w:lang w:val="en-US" w:eastAsia="zh-CN"/>
        </w:rPr>
        <w:t>货物内容：</w:t>
      </w:r>
      <w:bookmarkEnd w:id="1198"/>
    </w:p>
    <w:bookmarkEnd w:id="1186"/>
    <w:tbl>
      <w:tblPr>
        <w:tblStyle w:val="26"/>
        <w:tblW w:w="97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4"/>
        <w:gridCol w:w="2106"/>
        <w:gridCol w:w="4487"/>
        <w:gridCol w:w="1163"/>
        <w:gridCol w:w="1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right="0" w:rightChars="0"/>
              <w:jc w:val="center"/>
              <w:textAlignment w:val="center"/>
              <w:rPr>
                <w:rFonts w:hint="eastAsia" w:ascii="宋体" w:hAnsi="宋体" w:eastAsia="宋体" w:cs="宋体"/>
                <w:b/>
                <w:bCs/>
                <w:i w:val="0"/>
                <w:iCs w:val="0"/>
                <w:color w:val="auto"/>
                <w:sz w:val="24"/>
                <w:szCs w:val="24"/>
                <w:highlight w:val="none"/>
                <w:u w:val="none"/>
              </w:rPr>
            </w:pPr>
            <w:bookmarkStart w:id="1199" w:name="_Toc3564"/>
            <w:bookmarkStart w:id="1200" w:name="_Toc8664"/>
            <w:bookmarkStart w:id="1201" w:name="_Toc9878"/>
            <w:bookmarkStart w:id="1202" w:name="_Toc27685"/>
            <w:bookmarkStart w:id="1203" w:name="_Toc14531"/>
            <w:bookmarkStart w:id="1204" w:name="_Toc2429"/>
            <w:bookmarkStart w:id="1205" w:name="_Toc2543"/>
            <w:bookmarkStart w:id="1206" w:name="_Toc23422"/>
            <w:bookmarkStart w:id="1207" w:name="_Toc13297"/>
            <w:bookmarkStart w:id="1208" w:name="_Toc16093"/>
            <w:bookmarkStart w:id="1209" w:name="_Toc17321"/>
            <w:bookmarkStart w:id="1210" w:name="_Toc12442"/>
            <w:bookmarkStart w:id="1211" w:name="_Toc22083"/>
            <w:bookmarkStart w:id="1212" w:name="_Toc4177"/>
            <w:bookmarkStart w:id="1213" w:name="_Toc27286"/>
            <w:bookmarkStart w:id="1214" w:name="_Toc13057"/>
            <w:bookmarkStart w:id="1215" w:name="_Toc3501"/>
            <w:bookmarkStart w:id="1216" w:name="_Toc29241"/>
            <w:bookmarkStart w:id="1217" w:name="_Toc11880"/>
            <w:bookmarkStart w:id="1218" w:name="_Toc31645"/>
            <w:bookmarkStart w:id="1219" w:name="_Toc31636"/>
            <w:bookmarkStart w:id="1220" w:name="_Toc1934"/>
            <w:bookmarkStart w:id="1221" w:name="_Toc216582826"/>
            <w:bookmarkStart w:id="1222" w:name="_Toc32647"/>
            <w:bookmarkStart w:id="1223" w:name="_Toc507399907"/>
            <w:bookmarkStart w:id="1224" w:name="_Toc218935355"/>
            <w:bookmarkStart w:id="1225" w:name="_Toc219175639"/>
            <w:bookmarkStart w:id="1226" w:name="_Toc515647832"/>
            <w:bookmarkStart w:id="1227" w:name="_Toc7971"/>
            <w:r>
              <w:rPr>
                <w:rFonts w:hint="eastAsia" w:ascii="宋体" w:hAnsi="宋体" w:eastAsia="宋体" w:cs="宋体"/>
                <w:b/>
                <w:bCs/>
                <w:i w:val="0"/>
                <w:iCs w:val="0"/>
                <w:color w:val="auto"/>
                <w:kern w:val="0"/>
                <w:sz w:val="24"/>
                <w:szCs w:val="24"/>
                <w:highlight w:val="none"/>
                <w:u w:val="none"/>
                <w:lang w:val="en-US" w:eastAsia="zh-CN" w:bidi="ar"/>
              </w:rPr>
              <w:t>序号</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right="0" w:right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申请科室</w:t>
            </w:r>
          </w:p>
        </w:tc>
        <w:tc>
          <w:tcPr>
            <w:tcW w:w="4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right="0" w:right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right="0" w:right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right="0" w:right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心电图室</w:t>
            </w:r>
          </w:p>
        </w:tc>
        <w:tc>
          <w:tcPr>
            <w:tcW w:w="4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互联网医疗+心电分级诊断服务平台建设项目</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bl>
    <w:p>
      <w:pPr>
        <w:keepNext w:val="0"/>
        <w:keepLines w:val="0"/>
        <w:pageBreakBefore w:val="0"/>
        <w:kinsoku/>
        <w:wordWrap/>
        <w:overflowPunct/>
        <w:topLinePunct w:val="0"/>
        <w:autoSpaceDE/>
        <w:autoSpaceDN/>
        <w:bidi w:val="0"/>
        <w:adjustRightInd/>
        <w:snapToGrid/>
        <w:spacing w:line="460" w:lineRule="exact"/>
        <w:ind w:left="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Hans"/>
        </w:rPr>
        <w:t>提供</w:t>
      </w:r>
      <w:r>
        <w:rPr>
          <w:rFonts w:hint="eastAsia" w:ascii="宋体" w:hAnsi="宋体" w:eastAsia="宋体" w:cs="宋体"/>
          <w:color w:val="auto"/>
          <w:kern w:val="2"/>
          <w:sz w:val="24"/>
          <w:szCs w:val="24"/>
          <w:highlight w:val="none"/>
          <w:lang w:eastAsia="zh-CN" w:bidi="ar-SA"/>
        </w:rPr>
        <w:t>常规心电</w:t>
      </w:r>
      <w:r>
        <w:rPr>
          <w:rFonts w:hint="eastAsia" w:ascii="宋体" w:hAnsi="宋体" w:eastAsia="宋体" w:cs="宋体"/>
          <w:color w:val="auto"/>
          <w:kern w:val="2"/>
          <w:sz w:val="24"/>
          <w:szCs w:val="24"/>
          <w:highlight w:val="none"/>
          <w:lang w:eastAsia="zh-Hans" w:bidi="ar-SA"/>
        </w:rPr>
        <w:t>、动态心电、动态血压</w:t>
      </w:r>
      <w:r>
        <w:rPr>
          <w:rFonts w:hint="eastAsia" w:ascii="宋体" w:hAnsi="宋体" w:eastAsia="宋体" w:cs="宋体"/>
          <w:color w:val="auto"/>
          <w:kern w:val="2"/>
          <w:sz w:val="24"/>
          <w:szCs w:val="24"/>
          <w:highlight w:val="none"/>
          <w:lang w:eastAsia="zh-CN" w:bidi="ar-SA"/>
        </w:rPr>
        <w:t>诊断服务，</w:t>
      </w:r>
      <w:r>
        <w:rPr>
          <w:rFonts w:hint="eastAsia" w:ascii="宋体" w:hAnsi="宋体" w:eastAsia="宋体" w:cs="宋体"/>
          <w:color w:val="auto"/>
          <w:sz w:val="24"/>
          <w:szCs w:val="24"/>
          <w:highlight w:val="none"/>
          <w:lang w:eastAsia="zh-CN"/>
        </w:rPr>
        <w:t>连接上海市优质医疗资源，</w:t>
      </w:r>
      <w:r>
        <w:rPr>
          <w:rFonts w:hint="eastAsia" w:ascii="宋体" w:hAnsi="宋体" w:eastAsia="宋体" w:cs="宋体"/>
          <w:color w:val="auto"/>
          <w:sz w:val="24"/>
          <w:szCs w:val="24"/>
          <w:highlight w:val="none"/>
          <w:lang w:eastAsia="zh-Hans"/>
        </w:rPr>
        <w:t>协助</w:t>
      </w:r>
      <w:r>
        <w:rPr>
          <w:rFonts w:hint="eastAsia" w:ascii="宋体" w:hAnsi="宋体" w:eastAsia="宋体" w:cs="宋体"/>
          <w:color w:val="auto"/>
          <w:sz w:val="24"/>
          <w:szCs w:val="24"/>
          <w:highlight w:val="none"/>
          <w:lang w:val="en-US" w:eastAsia="zh-CN"/>
        </w:rPr>
        <w:t>医院</w:t>
      </w:r>
      <w:r>
        <w:rPr>
          <w:rFonts w:hint="eastAsia" w:ascii="宋体" w:hAnsi="宋体" w:eastAsia="宋体" w:cs="宋体"/>
          <w:color w:val="auto"/>
          <w:sz w:val="24"/>
          <w:szCs w:val="24"/>
          <w:highlight w:val="none"/>
          <w:lang w:eastAsia="zh-CN"/>
        </w:rPr>
        <w:t>建设</w:t>
      </w:r>
      <w:r>
        <w:rPr>
          <w:rFonts w:hint="eastAsia" w:ascii="宋体" w:hAnsi="宋体" w:eastAsia="宋体" w:cs="宋体"/>
          <w:color w:val="auto"/>
          <w:sz w:val="24"/>
          <w:szCs w:val="24"/>
          <w:highlight w:val="none"/>
          <w:lang w:eastAsia="zh-Hans"/>
        </w:rPr>
        <w:t>远程</w:t>
      </w:r>
      <w:r>
        <w:rPr>
          <w:rFonts w:hint="eastAsia" w:ascii="宋体" w:hAnsi="宋体" w:eastAsia="宋体" w:cs="宋体"/>
          <w:color w:val="auto"/>
          <w:sz w:val="24"/>
          <w:szCs w:val="24"/>
          <w:highlight w:val="none"/>
          <w:lang w:eastAsia="zh-CN"/>
        </w:rPr>
        <w:t>常规心电诊断中心</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eastAsia="zh-CN"/>
        </w:rPr>
        <w:t>全面</w:t>
      </w:r>
      <w:r>
        <w:rPr>
          <w:rFonts w:hint="eastAsia" w:ascii="宋体" w:hAnsi="宋体" w:eastAsia="宋体" w:cs="宋体"/>
          <w:color w:val="auto"/>
          <w:sz w:val="24"/>
          <w:szCs w:val="24"/>
          <w:highlight w:val="none"/>
          <w:lang w:eastAsia="zh-Hans"/>
        </w:rPr>
        <w:t>提升</w:t>
      </w:r>
      <w:r>
        <w:rPr>
          <w:rFonts w:hint="eastAsia" w:ascii="宋体" w:hAnsi="宋体" w:eastAsia="宋体" w:cs="宋体"/>
          <w:color w:val="auto"/>
          <w:sz w:val="24"/>
          <w:szCs w:val="24"/>
          <w:highlight w:val="none"/>
          <w:lang w:val="en-US" w:eastAsia="zh-CN"/>
        </w:rPr>
        <w:t>医院</w:t>
      </w:r>
      <w:r>
        <w:rPr>
          <w:rFonts w:hint="eastAsia" w:ascii="宋体" w:hAnsi="宋体" w:eastAsia="宋体" w:cs="宋体"/>
          <w:color w:val="auto"/>
          <w:sz w:val="24"/>
          <w:szCs w:val="24"/>
          <w:highlight w:val="none"/>
          <w:lang w:eastAsia="zh-CN"/>
        </w:rPr>
        <w:t>卫生服务水平和服务效率</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eastAsia="zh-CN"/>
        </w:rPr>
        <w:t>医技人员的专业</w:t>
      </w:r>
      <w:r>
        <w:rPr>
          <w:rFonts w:hint="eastAsia" w:ascii="宋体" w:hAnsi="宋体" w:eastAsia="宋体" w:cs="宋体"/>
          <w:color w:val="auto"/>
          <w:sz w:val="24"/>
          <w:szCs w:val="24"/>
          <w:highlight w:val="none"/>
          <w:lang w:eastAsia="zh-Hans"/>
        </w:rPr>
        <w:t>水平、</w:t>
      </w:r>
      <w:r>
        <w:rPr>
          <w:rFonts w:hint="eastAsia" w:ascii="宋体" w:hAnsi="宋体" w:eastAsia="宋体" w:cs="宋体"/>
          <w:color w:val="auto"/>
          <w:sz w:val="24"/>
          <w:szCs w:val="24"/>
          <w:highlight w:val="none"/>
          <w:lang w:val="en-US" w:eastAsia="zh-CN"/>
        </w:rPr>
        <w:t>医院</w:t>
      </w:r>
      <w:r>
        <w:rPr>
          <w:rFonts w:hint="eastAsia" w:ascii="宋体" w:hAnsi="宋体" w:eastAsia="宋体" w:cs="宋体"/>
          <w:color w:val="auto"/>
          <w:sz w:val="24"/>
          <w:szCs w:val="24"/>
          <w:highlight w:val="none"/>
          <w:lang w:eastAsia="zh-CN"/>
        </w:rPr>
        <w:t>的美誉度</w:t>
      </w:r>
      <w:r>
        <w:rPr>
          <w:rFonts w:hint="eastAsia" w:ascii="宋体" w:hAnsi="宋体" w:eastAsia="宋体" w:cs="宋体"/>
          <w:color w:val="auto"/>
          <w:sz w:val="24"/>
          <w:szCs w:val="24"/>
          <w:highlight w:val="none"/>
          <w:lang w:eastAsia="zh-Hans"/>
        </w:rPr>
        <w:t>以及老百姓</w:t>
      </w:r>
      <w:r>
        <w:rPr>
          <w:rFonts w:hint="eastAsia" w:ascii="宋体" w:hAnsi="宋体" w:eastAsia="宋体" w:cs="宋体"/>
          <w:color w:val="auto"/>
          <w:sz w:val="24"/>
          <w:szCs w:val="24"/>
          <w:highlight w:val="none"/>
          <w:lang w:eastAsia="zh-CN"/>
        </w:rPr>
        <w:t>医疗保障的获得感</w:t>
      </w:r>
      <w:r>
        <w:rPr>
          <w:rFonts w:hint="eastAsia" w:ascii="宋体" w:hAnsi="宋体" w:eastAsia="宋体" w:cs="宋体"/>
          <w:color w:val="auto"/>
          <w:sz w:val="24"/>
          <w:szCs w:val="24"/>
          <w:highlight w:val="none"/>
          <w:lang w:eastAsia="zh-Hans"/>
        </w:rPr>
        <w:t>。该</w:t>
      </w:r>
      <w:r>
        <w:rPr>
          <w:rFonts w:hint="eastAsia" w:ascii="宋体" w:hAnsi="宋体" w:eastAsia="宋体" w:cs="宋体"/>
          <w:color w:val="auto"/>
          <w:sz w:val="24"/>
          <w:szCs w:val="24"/>
          <w:highlight w:val="none"/>
          <w:lang w:eastAsia="zh-CN"/>
        </w:rPr>
        <w:t>项目详细参数</w:t>
      </w:r>
      <w:r>
        <w:rPr>
          <w:rFonts w:hint="eastAsia" w:ascii="宋体" w:hAnsi="宋体" w:eastAsia="宋体" w:cs="宋体"/>
          <w:color w:val="auto"/>
          <w:sz w:val="24"/>
          <w:szCs w:val="24"/>
          <w:highlight w:val="none"/>
          <w:lang w:eastAsia="zh-Hans"/>
        </w:rPr>
        <w:t>如下</w:t>
      </w:r>
      <w:r>
        <w:rPr>
          <w:rFonts w:hint="eastAsia" w:ascii="宋体" w:hAnsi="宋体" w:eastAsia="宋体" w:cs="宋体"/>
          <w:color w:val="auto"/>
          <w:sz w:val="24"/>
          <w:szCs w:val="24"/>
          <w:highlight w:val="none"/>
          <w:lang w:eastAsia="zh-CN"/>
        </w:rPr>
        <w:t>：</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b/>
          <w:bCs/>
          <w:iCs/>
          <w:color w:val="auto"/>
          <w:sz w:val="24"/>
          <w:szCs w:val="24"/>
          <w:highlight w:val="none"/>
          <w:lang w:eastAsia="zh-Hans"/>
        </w:rPr>
      </w:pPr>
      <w:r>
        <w:rPr>
          <w:rFonts w:hint="eastAsia" w:ascii="宋体" w:hAnsi="宋体" w:eastAsia="宋体" w:cs="宋体"/>
          <w:b/>
          <w:bCs/>
          <w:iCs/>
          <w:color w:val="auto"/>
          <w:sz w:val="24"/>
          <w:szCs w:val="24"/>
          <w:highlight w:val="none"/>
          <w:lang w:val="en-US" w:eastAsia="zh-CN"/>
        </w:rPr>
        <w:t>一、</w:t>
      </w:r>
      <w:r>
        <w:rPr>
          <w:rFonts w:hint="eastAsia" w:ascii="宋体" w:hAnsi="宋体" w:eastAsia="宋体" w:cs="宋体"/>
          <w:b/>
          <w:bCs/>
          <w:iCs/>
          <w:color w:val="auto"/>
          <w:sz w:val="24"/>
          <w:szCs w:val="24"/>
          <w:highlight w:val="none"/>
          <w:lang w:eastAsia="zh-Hans"/>
        </w:rPr>
        <w:t>远程常规心电</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b/>
          <w:bCs/>
          <w:iCs/>
          <w:color w:val="auto"/>
          <w:sz w:val="24"/>
          <w:szCs w:val="24"/>
          <w:highlight w:val="none"/>
          <w:lang w:eastAsia="zh-CN"/>
        </w:rPr>
      </w:pPr>
      <w:r>
        <w:rPr>
          <w:rFonts w:hint="eastAsia" w:ascii="宋体" w:hAnsi="宋体" w:eastAsia="宋体" w:cs="宋体"/>
          <w:b/>
          <w:bCs/>
          <w:iCs/>
          <w:color w:val="auto"/>
          <w:sz w:val="24"/>
          <w:szCs w:val="24"/>
          <w:highlight w:val="none"/>
          <w:lang w:eastAsia="zh-Hans"/>
        </w:rPr>
        <w:t>（一）</w:t>
      </w:r>
      <w:r>
        <w:rPr>
          <w:rFonts w:hint="eastAsia" w:ascii="宋体" w:hAnsi="宋体" w:eastAsia="宋体" w:cs="宋体"/>
          <w:b/>
          <w:bCs/>
          <w:iCs/>
          <w:color w:val="auto"/>
          <w:sz w:val="24"/>
          <w:szCs w:val="24"/>
          <w:highlight w:val="none"/>
          <w:lang w:eastAsia="zh-CN"/>
        </w:rPr>
        <w:t>远程心电诊断服务</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1.</w:t>
      </w:r>
      <w:r>
        <w:rPr>
          <w:rFonts w:hint="eastAsia" w:ascii="宋体" w:hAnsi="宋体" w:eastAsia="宋体" w:cs="宋体"/>
          <w:iCs/>
          <w:color w:val="auto"/>
          <w:sz w:val="24"/>
          <w:szCs w:val="24"/>
          <w:highlight w:val="none"/>
          <w:lang w:eastAsia="zh-CN"/>
        </w:rPr>
        <w:t>远程诊断服务免费周期：3年；</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2.</w:t>
      </w:r>
      <w:r>
        <w:rPr>
          <w:rFonts w:hint="eastAsia" w:ascii="宋体" w:hAnsi="宋体" w:eastAsia="宋体" w:cs="宋体"/>
          <w:iCs/>
          <w:color w:val="auto"/>
          <w:sz w:val="24"/>
          <w:szCs w:val="24"/>
          <w:highlight w:val="none"/>
          <w:lang w:eastAsia="zh-CN"/>
        </w:rPr>
        <w:t>★远程心电诊断中心：心电诊断中心平台运行时间：≥3年；</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FF0000"/>
          <w:sz w:val="24"/>
          <w:szCs w:val="24"/>
          <w:highlight w:val="none"/>
          <w:lang w:eastAsia="zh-CN"/>
        </w:rPr>
      </w:pPr>
      <w:r>
        <w:rPr>
          <w:rFonts w:hint="eastAsia" w:ascii="宋体" w:hAnsi="宋体" w:eastAsia="宋体" w:cs="宋体"/>
          <w:iCs/>
          <w:color w:val="auto"/>
          <w:sz w:val="24"/>
          <w:szCs w:val="24"/>
          <w:highlight w:val="none"/>
          <w:lang w:val="en-US" w:eastAsia="zh-CN"/>
        </w:rPr>
        <w:t>3.★</w:t>
      </w:r>
      <w:r>
        <w:rPr>
          <w:rFonts w:hint="eastAsia" w:ascii="宋体" w:hAnsi="宋体" w:eastAsia="宋体" w:cs="宋体"/>
          <w:iCs/>
          <w:color w:val="FF0000"/>
          <w:sz w:val="24"/>
          <w:szCs w:val="24"/>
          <w:highlight w:val="none"/>
          <w:lang w:val="en-US" w:eastAsia="zh-CN"/>
        </w:rPr>
        <w:t>依托单位： 三级甲等医疗机构为诊断中心。</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4.</w:t>
      </w:r>
      <w:r>
        <w:rPr>
          <w:rFonts w:hint="eastAsia" w:ascii="宋体" w:hAnsi="宋体" w:eastAsia="宋体" w:cs="宋体"/>
          <w:iCs/>
          <w:color w:val="auto"/>
          <w:sz w:val="24"/>
          <w:szCs w:val="24"/>
          <w:highlight w:val="none"/>
          <w:lang w:eastAsia="zh-CN"/>
        </w:rPr>
        <w:t>★诊断报告回复时间：≤30分钟；</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5.</w:t>
      </w:r>
      <w:r>
        <w:rPr>
          <w:rFonts w:hint="eastAsia" w:ascii="宋体" w:hAnsi="宋体" w:eastAsia="宋体" w:cs="宋体"/>
          <w:iCs/>
          <w:color w:val="auto"/>
          <w:sz w:val="24"/>
          <w:szCs w:val="24"/>
          <w:highlight w:val="none"/>
          <w:lang w:eastAsia="zh-CN"/>
        </w:rPr>
        <w:t>★诊断服务时间：365天7x24小时制（含国定节假日）；</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6.</w:t>
      </w:r>
      <w:r>
        <w:rPr>
          <w:rFonts w:hint="eastAsia" w:ascii="宋体" w:hAnsi="宋体" w:eastAsia="宋体" w:cs="宋体"/>
          <w:iCs/>
          <w:color w:val="auto"/>
          <w:sz w:val="24"/>
          <w:szCs w:val="24"/>
          <w:highlight w:val="none"/>
          <w:lang w:eastAsia="zh-CN"/>
        </w:rPr>
        <w:t>心电图危急值处理：具备心电图危急值管理体系；</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7.</w:t>
      </w:r>
      <w:r>
        <w:rPr>
          <w:rFonts w:hint="eastAsia" w:ascii="宋体" w:hAnsi="宋体" w:eastAsia="宋体" w:cs="宋体"/>
          <w:iCs/>
          <w:color w:val="auto"/>
          <w:sz w:val="24"/>
          <w:szCs w:val="24"/>
          <w:highlight w:val="none"/>
          <w:lang w:eastAsia="zh-CN"/>
        </w:rPr>
        <w:t>诊断量：年诊断量大于60万人次者优先；</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8.</w:t>
      </w:r>
      <w:r>
        <w:rPr>
          <w:rFonts w:hint="eastAsia" w:ascii="宋体" w:hAnsi="宋体" w:eastAsia="宋体" w:cs="宋体"/>
          <w:iCs/>
          <w:color w:val="auto"/>
          <w:sz w:val="24"/>
          <w:szCs w:val="24"/>
          <w:highlight w:val="none"/>
          <w:lang w:eastAsia="zh-CN"/>
        </w:rPr>
        <w:t>已服务医疗机构数量：远程心电诊断中心已服务的医疗机构数大于80家者优先（需提供名单）；</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9.</w:t>
      </w:r>
      <w:r>
        <w:rPr>
          <w:rFonts w:hint="eastAsia" w:ascii="宋体" w:hAnsi="宋体" w:eastAsia="宋体" w:cs="宋体"/>
          <w:iCs/>
          <w:color w:val="auto"/>
          <w:sz w:val="24"/>
          <w:szCs w:val="24"/>
          <w:highlight w:val="none"/>
          <w:lang w:eastAsia="zh-CN"/>
        </w:rPr>
        <w:t>诊断中心资质：列表诊断医师姓名、资质、从事心电图诊断业务年限、从事远程心电诊断业务年限。</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b/>
          <w:bCs/>
          <w:iCs/>
          <w:color w:val="auto"/>
          <w:sz w:val="24"/>
          <w:szCs w:val="24"/>
          <w:highlight w:val="none"/>
          <w:lang w:eastAsia="zh-Hans"/>
        </w:rPr>
      </w:pPr>
      <w:r>
        <w:rPr>
          <w:rFonts w:hint="eastAsia" w:ascii="宋体" w:hAnsi="宋体" w:eastAsia="宋体" w:cs="宋体"/>
          <w:b/>
          <w:bCs/>
          <w:iCs/>
          <w:color w:val="auto"/>
          <w:sz w:val="24"/>
          <w:szCs w:val="24"/>
          <w:highlight w:val="none"/>
          <w:lang w:eastAsia="zh-Hans"/>
        </w:rPr>
        <w:t>（二）远程常规心电采集设备硬件参数</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1.</w:t>
      </w:r>
      <w:r>
        <w:rPr>
          <w:rFonts w:hint="eastAsia" w:ascii="宋体" w:hAnsi="宋体" w:eastAsia="宋体" w:cs="宋体"/>
          <w:iCs/>
          <w:color w:val="auto"/>
          <w:sz w:val="24"/>
          <w:szCs w:val="24"/>
          <w:highlight w:val="none"/>
          <w:lang w:eastAsia="zh-CN"/>
        </w:rPr>
        <w:t>心电产品分类及安全（心电采集盒）：内部电源、CF型设备；</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2.</w:t>
      </w:r>
      <w:r>
        <w:rPr>
          <w:rFonts w:hint="eastAsia" w:ascii="宋体" w:hAnsi="宋体" w:eastAsia="宋体" w:cs="宋体"/>
          <w:iCs/>
          <w:color w:val="auto"/>
          <w:sz w:val="24"/>
          <w:szCs w:val="24"/>
          <w:highlight w:val="none"/>
          <w:lang w:eastAsia="zh-CN"/>
        </w:rPr>
        <w:t>电源：交流或直流,直流支持干电池连续工作时间：≥8h；</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3.</w:t>
      </w:r>
      <w:r>
        <w:rPr>
          <w:rFonts w:hint="eastAsia" w:ascii="宋体" w:hAnsi="宋体" w:eastAsia="宋体" w:cs="宋体"/>
          <w:iCs/>
          <w:color w:val="auto"/>
          <w:sz w:val="24"/>
          <w:szCs w:val="24"/>
          <w:highlight w:val="none"/>
          <w:lang w:eastAsia="zh-CN"/>
        </w:rPr>
        <w:t>电量报警：在直流工作状况下实时监测电量，电量不足报警；</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4.</w:t>
      </w:r>
      <w:r>
        <w:rPr>
          <w:rFonts w:hint="eastAsia" w:ascii="宋体" w:hAnsi="宋体" w:eastAsia="宋体" w:cs="宋体"/>
          <w:iCs/>
          <w:color w:val="auto"/>
          <w:sz w:val="24"/>
          <w:szCs w:val="24"/>
          <w:highlight w:val="none"/>
          <w:lang w:eastAsia="zh-CN"/>
        </w:rPr>
        <w:t>工作模式：移动和固定两用，采集盒通过蓝牙与电脑、手机连接；</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5.</w:t>
      </w:r>
      <w:r>
        <w:rPr>
          <w:rFonts w:hint="eastAsia" w:ascii="宋体" w:hAnsi="宋体" w:eastAsia="宋体" w:cs="宋体"/>
          <w:iCs/>
          <w:color w:val="auto"/>
          <w:sz w:val="24"/>
          <w:szCs w:val="24"/>
          <w:highlight w:val="none"/>
          <w:lang w:eastAsia="zh-CN"/>
        </w:rPr>
        <w:t>采集：十二导联同步；</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6.</w:t>
      </w:r>
      <w:r>
        <w:rPr>
          <w:rFonts w:hint="eastAsia" w:ascii="宋体" w:hAnsi="宋体" w:eastAsia="宋体" w:cs="宋体"/>
          <w:iCs/>
          <w:color w:val="auto"/>
          <w:sz w:val="24"/>
          <w:szCs w:val="24"/>
          <w:highlight w:val="none"/>
          <w:lang w:eastAsia="zh-CN"/>
        </w:rPr>
        <w:t>灵敏度：5、10、20 mm/mV；</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7.</w:t>
      </w:r>
      <w:r>
        <w:rPr>
          <w:rFonts w:hint="eastAsia" w:ascii="宋体" w:hAnsi="宋体" w:eastAsia="宋体" w:cs="宋体"/>
          <w:iCs/>
          <w:color w:val="auto"/>
          <w:sz w:val="24"/>
          <w:szCs w:val="24"/>
          <w:highlight w:val="none"/>
          <w:lang w:eastAsia="zh-CN"/>
        </w:rPr>
        <w:t>走纸速度：2.5, 5, 10, 20 ,10/5(mm/mV)，AGC；</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8.</w:t>
      </w:r>
      <w:r>
        <w:rPr>
          <w:rFonts w:hint="eastAsia" w:ascii="宋体" w:hAnsi="宋体" w:eastAsia="宋体" w:cs="宋体"/>
          <w:iCs/>
          <w:color w:val="auto"/>
          <w:sz w:val="24"/>
          <w:szCs w:val="24"/>
          <w:highlight w:val="none"/>
          <w:lang w:eastAsia="zh-CN"/>
        </w:rPr>
        <w:t>定标电压：1mV±2%；</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9.</w:t>
      </w:r>
      <w:r>
        <w:rPr>
          <w:rFonts w:hint="eastAsia" w:ascii="宋体" w:hAnsi="宋体" w:eastAsia="宋体" w:cs="宋体"/>
          <w:iCs/>
          <w:color w:val="auto"/>
          <w:sz w:val="24"/>
          <w:szCs w:val="24"/>
          <w:highlight w:val="none"/>
          <w:lang w:eastAsia="zh-CN"/>
        </w:rPr>
        <w:t>共模抑制比：≥100dB；</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10.</w:t>
      </w:r>
      <w:r>
        <w:rPr>
          <w:rFonts w:hint="eastAsia" w:ascii="宋体" w:hAnsi="宋体" w:eastAsia="宋体" w:cs="宋体"/>
          <w:iCs/>
          <w:color w:val="auto"/>
          <w:sz w:val="24"/>
          <w:szCs w:val="24"/>
          <w:highlight w:val="none"/>
          <w:lang w:eastAsia="zh-CN"/>
        </w:rPr>
        <w:t>输入阻抗：≥10MΩ；</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11.</w:t>
      </w:r>
      <w:r>
        <w:rPr>
          <w:rFonts w:hint="eastAsia" w:ascii="宋体" w:hAnsi="宋体" w:eastAsia="宋体" w:cs="宋体"/>
          <w:iCs/>
          <w:color w:val="auto"/>
          <w:sz w:val="24"/>
          <w:szCs w:val="24"/>
          <w:highlight w:val="none"/>
          <w:lang w:eastAsia="zh-CN"/>
        </w:rPr>
        <w:t>时间常数：≥3.2s；</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12.</w:t>
      </w:r>
      <w:r>
        <w:rPr>
          <w:rFonts w:hint="eastAsia" w:ascii="宋体" w:hAnsi="宋体" w:eastAsia="宋体" w:cs="宋体"/>
          <w:iCs/>
          <w:color w:val="auto"/>
          <w:sz w:val="24"/>
          <w:szCs w:val="24"/>
          <w:highlight w:val="none"/>
          <w:lang w:eastAsia="zh-CN"/>
        </w:rPr>
        <w:t>★采样率：≥10kHz；</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13.</w:t>
      </w:r>
      <w:r>
        <w:rPr>
          <w:rFonts w:hint="eastAsia" w:ascii="宋体" w:hAnsi="宋体" w:eastAsia="宋体" w:cs="宋体"/>
          <w:iCs/>
          <w:color w:val="auto"/>
          <w:sz w:val="24"/>
          <w:szCs w:val="24"/>
          <w:highlight w:val="none"/>
          <w:lang w:eastAsia="zh-CN"/>
        </w:rPr>
        <w:t>频率响应：0.05Hz~150Hz；</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14.</w:t>
      </w:r>
      <w:r>
        <w:rPr>
          <w:rFonts w:hint="eastAsia" w:ascii="宋体" w:hAnsi="宋体" w:eastAsia="宋体" w:cs="宋体"/>
          <w:iCs/>
          <w:color w:val="auto"/>
          <w:sz w:val="24"/>
          <w:szCs w:val="24"/>
          <w:highlight w:val="none"/>
          <w:lang w:eastAsia="zh-CN"/>
        </w:rPr>
        <w:t>耐极化电压：±500mV；</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15.</w:t>
      </w:r>
      <w:r>
        <w:rPr>
          <w:rFonts w:hint="eastAsia" w:ascii="宋体" w:hAnsi="宋体" w:eastAsia="宋体" w:cs="宋体"/>
          <w:iCs/>
          <w:color w:val="auto"/>
          <w:sz w:val="24"/>
          <w:szCs w:val="24"/>
          <w:highlight w:val="none"/>
          <w:lang w:eastAsia="zh-CN"/>
        </w:rPr>
        <w:t>交流滤波：50Hz（≥20dB）；</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16.</w:t>
      </w:r>
      <w:r>
        <w:rPr>
          <w:rFonts w:hint="eastAsia" w:ascii="宋体" w:hAnsi="宋体" w:eastAsia="宋体" w:cs="宋体"/>
          <w:iCs/>
          <w:color w:val="auto"/>
          <w:sz w:val="24"/>
          <w:szCs w:val="24"/>
          <w:highlight w:val="none"/>
          <w:lang w:eastAsia="zh-CN"/>
        </w:rPr>
        <w:t>基漂滤波：0.05Hz/0.32Hz/0.67Hz；</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17.</w:t>
      </w:r>
      <w:r>
        <w:rPr>
          <w:rFonts w:hint="eastAsia" w:ascii="宋体" w:hAnsi="宋体" w:eastAsia="宋体" w:cs="宋体"/>
          <w:iCs/>
          <w:color w:val="auto"/>
          <w:sz w:val="24"/>
          <w:szCs w:val="24"/>
          <w:highlight w:val="none"/>
          <w:lang w:eastAsia="zh-CN"/>
        </w:rPr>
        <w:t>肌电滤波：25Hz/35Hz/45Hz/关闭；</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18.</w:t>
      </w:r>
      <w:r>
        <w:rPr>
          <w:rFonts w:hint="eastAsia" w:ascii="宋体" w:hAnsi="宋体" w:eastAsia="宋体" w:cs="宋体"/>
          <w:iCs/>
          <w:color w:val="auto"/>
          <w:sz w:val="24"/>
          <w:szCs w:val="24"/>
          <w:highlight w:val="none"/>
          <w:lang w:eastAsia="zh-CN"/>
        </w:rPr>
        <w:t>低通滤波：150Hz/100Hz/75Hz；</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19.</w:t>
      </w:r>
      <w:r>
        <w:rPr>
          <w:rFonts w:hint="eastAsia" w:ascii="宋体" w:hAnsi="宋体" w:eastAsia="宋体" w:cs="宋体"/>
          <w:iCs/>
          <w:color w:val="auto"/>
          <w:sz w:val="24"/>
          <w:szCs w:val="24"/>
          <w:highlight w:val="none"/>
          <w:lang w:eastAsia="zh-CN"/>
        </w:rPr>
        <w:t>起搏检测：支持起搏脉冲检测；</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20.</w:t>
      </w:r>
      <w:r>
        <w:rPr>
          <w:rFonts w:hint="eastAsia" w:ascii="宋体" w:hAnsi="宋体" w:eastAsia="宋体" w:cs="宋体"/>
          <w:iCs/>
          <w:color w:val="auto"/>
          <w:sz w:val="24"/>
          <w:szCs w:val="24"/>
          <w:highlight w:val="none"/>
          <w:lang w:eastAsia="zh-CN"/>
        </w:rPr>
        <w:t>★近场数据传输</w:t>
      </w:r>
      <w:r>
        <w:rPr>
          <w:rFonts w:hint="eastAsia" w:ascii="宋体" w:hAnsi="宋体" w:cs="宋体"/>
          <w:iCs/>
          <w:color w:val="auto"/>
          <w:sz w:val="24"/>
          <w:szCs w:val="24"/>
          <w:highlight w:val="none"/>
          <w:lang w:eastAsia="zh-CN"/>
        </w:rPr>
        <w:t>：</w:t>
      </w:r>
      <w:r>
        <w:rPr>
          <w:rFonts w:hint="eastAsia" w:ascii="宋体" w:hAnsi="宋体" w:eastAsia="宋体" w:cs="宋体"/>
          <w:iCs/>
          <w:color w:val="auto"/>
          <w:sz w:val="24"/>
          <w:szCs w:val="24"/>
          <w:highlight w:val="none"/>
          <w:lang w:eastAsia="zh-CN"/>
        </w:rPr>
        <w:t>支持蓝牙传输；</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21.</w:t>
      </w:r>
      <w:r>
        <w:rPr>
          <w:rFonts w:hint="eastAsia" w:ascii="宋体" w:hAnsi="宋体" w:eastAsia="宋体" w:cs="宋体"/>
          <w:iCs/>
          <w:color w:val="auto"/>
          <w:sz w:val="24"/>
          <w:szCs w:val="24"/>
          <w:highlight w:val="none"/>
          <w:lang w:eastAsia="zh-CN"/>
        </w:rPr>
        <w:t>广域数据传输：支持无线公网GSM/4G直接传输；</w:t>
      </w:r>
    </w:p>
    <w:p>
      <w:pPr>
        <w:pStyle w:val="83"/>
        <w:keepNext w:val="0"/>
        <w:keepLines w:val="0"/>
        <w:pageBreakBefore w:val="0"/>
        <w:numPr>
          <w:ilvl w:val="255"/>
          <w:numId w:val="0"/>
        </w:numPr>
        <w:kinsoku/>
        <w:wordWrap/>
        <w:overflowPunct/>
        <w:topLinePunct w:val="0"/>
        <w:autoSpaceDE/>
        <w:autoSpaceDN/>
        <w:bidi w:val="0"/>
        <w:adjustRightInd/>
        <w:snapToGrid/>
        <w:spacing w:line="460" w:lineRule="exact"/>
        <w:ind w:left="0" w:right="0" w:rightChars="0" w:firstLine="480" w:firstLineChars="200"/>
        <w:rPr>
          <w:rFonts w:hint="eastAsia" w:ascii="宋体" w:hAnsi="宋体" w:eastAsia="宋体" w:cs="宋体"/>
          <w:iCs/>
          <w:color w:val="auto"/>
          <w:sz w:val="24"/>
          <w:szCs w:val="24"/>
          <w:highlight w:val="none"/>
          <w:lang w:eastAsia="zh-CN"/>
        </w:rPr>
      </w:pP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b/>
          <w:bCs/>
          <w:iCs/>
          <w:color w:val="auto"/>
          <w:sz w:val="24"/>
          <w:szCs w:val="24"/>
          <w:highlight w:val="none"/>
          <w:lang w:eastAsia="zh-CN"/>
        </w:rPr>
      </w:pPr>
      <w:r>
        <w:rPr>
          <w:rFonts w:hint="eastAsia" w:ascii="宋体" w:hAnsi="宋体" w:cs="宋体"/>
          <w:b/>
          <w:bCs/>
          <w:iCs/>
          <w:color w:val="auto"/>
          <w:sz w:val="24"/>
          <w:szCs w:val="24"/>
          <w:highlight w:val="none"/>
          <w:lang w:val="en-US" w:eastAsia="zh-CN"/>
        </w:rPr>
        <w:t>二、</w:t>
      </w:r>
      <w:r>
        <w:rPr>
          <w:rFonts w:hint="eastAsia" w:ascii="宋体" w:hAnsi="宋体" w:eastAsia="宋体" w:cs="宋体"/>
          <w:b/>
          <w:bCs/>
          <w:iCs/>
          <w:color w:val="auto"/>
          <w:sz w:val="24"/>
          <w:szCs w:val="24"/>
          <w:highlight w:val="none"/>
          <w:lang w:eastAsia="zh-Hans"/>
        </w:rPr>
        <w:t>动态心电</w:t>
      </w:r>
      <w:r>
        <w:rPr>
          <w:rFonts w:hint="eastAsia" w:ascii="宋体" w:hAnsi="宋体" w:eastAsia="宋体" w:cs="宋体"/>
          <w:b/>
          <w:bCs/>
          <w:iCs/>
          <w:color w:val="auto"/>
          <w:sz w:val="24"/>
          <w:szCs w:val="24"/>
          <w:highlight w:val="none"/>
          <w:lang w:val="en-US" w:eastAsia="zh-Hans"/>
        </w:rPr>
        <w:t>设备</w:t>
      </w:r>
      <w:r>
        <w:rPr>
          <w:rFonts w:hint="eastAsia" w:ascii="宋体" w:hAnsi="宋体" w:cs="宋体"/>
          <w:b/>
          <w:bCs/>
          <w:iCs/>
          <w:color w:val="auto"/>
          <w:sz w:val="24"/>
          <w:szCs w:val="24"/>
          <w:highlight w:val="none"/>
          <w:lang w:val="en-US" w:eastAsia="zh-CN"/>
        </w:rPr>
        <w:t>参数</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b/>
          <w:bCs/>
          <w:iCs/>
          <w:color w:val="auto"/>
          <w:sz w:val="24"/>
          <w:szCs w:val="24"/>
          <w:highlight w:val="none"/>
          <w:lang w:val="en-US" w:eastAsia="zh-Hans"/>
        </w:rPr>
      </w:pPr>
      <w:r>
        <w:rPr>
          <w:rFonts w:hint="eastAsia" w:ascii="宋体" w:hAnsi="宋体" w:cs="宋体"/>
          <w:b/>
          <w:bCs/>
          <w:iCs/>
          <w:color w:val="auto"/>
          <w:sz w:val="24"/>
          <w:szCs w:val="24"/>
          <w:highlight w:val="none"/>
          <w:lang w:val="en-US" w:eastAsia="zh-CN"/>
        </w:rPr>
        <w:t>（一）</w:t>
      </w:r>
      <w:r>
        <w:rPr>
          <w:rFonts w:hint="eastAsia" w:ascii="宋体" w:hAnsi="宋体" w:eastAsia="宋体" w:cs="宋体"/>
          <w:b/>
          <w:bCs/>
          <w:iCs/>
          <w:color w:val="auto"/>
          <w:sz w:val="24"/>
          <w:szCs w:val="24"/>
          <w:highlight w:val="none"/>
          <w:lang w:val="en-US" w:eastAsia="zh-Hans"/>
        </w:rPr>
        <w:t>动态心电采集设备软件参数</w:t>
      </w:r>
    </w:p>
    <w:p>
      <w:pPr>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Hans"/>
        </w:rPr>
        <w:t>智能QRS分析、智能室早分析、智能伪差自动识别；</w:t>
      </w:r>
    </w:p>
    <w:p>
      <w:pPr>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Hans"/>
        </w:rPr>
        <w:t>全导联ST自动扫描，可随时设置关键点；</w:t>
      </w:r>
    </w:p>
    <w:p>
      <w:pPr>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Hans"/>
        </w:rPr>
        <w:t>高性能的起搏器分析功能，适合VVI、AAI、DDD等多种最新类型的起搏器；</w:t>
      </w:r>
    </w:p>
    <w:p>
      <w:pPr>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Hans"/>
        </w:rPr>
        <w:t>支持片段图横向或纵向打印，可以连续打印选择的片段图；</w:t>
      </w:r>
    </w:p>
    <w:p>
      <w:pPr>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Hans"/>
        </w:rPr>
        <w:t>强大的数据库管理功能，支持数据的导入、导出、归档、调档等功能；</w:t>
      </w:r>
    </w:p>
    <w:p>
      <w:pPr>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Hans"/>
        </w:rPr>
        <w:t>P-R间期趋势图，能自动识别R波前1到多个P波，甚至无P波也能准确识别；</w:t>
      </w:r>
    </w:p>
    <w:p>
      <w:pPr>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Hans"/>
        </w:rPr>
        <w:t>瀑布图：利用最先进的图形处理与数字分析技术，快速识别24小时P波、ST段、T波变异区域，检测精度达到微伏级。临床上可以快速识别传导阻滞、房颤/房扑等P波异常的病例。</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cs="宋体"/>
          <w:b/>
          <w:bCs/>
          <w:iCs/>
          <w:color w:val="auto"/>
          <w:sz w:val="24"/>
          <w:szCs w:val="24"/>
          <w:highlight w:val="none"/>
          <w:lang w:val="en-US" w:eastAsia="zh-Hans"/>
        </w:rPr>
      </w:pPr>
      <w:r>
        <w:rPr>
          <w:rFonts w:hint="eastAsia" w:ascii="宋体" w:hAnsi="宋体" w:cs="宋体"/>
          <w:b/>
          <w:bCs/>
          <w:iCs/>
          <w:color w:val="auto"/>
          <w:sz w:val="24"/>
          <w:szCs w:val="24"/>
          <w:highlight w:val="none"/>
          <w:lang w:val="en-US" w:eastAsia="zh-CN"/>
        </w:rPr>
        <w:t>（二）</w:t>
      </w:r>
      <w:r>
        <w:rPr>
          <w:rFonts w:hint="eastAsia" w:ascii="宋体" w:hAnsi="宋体" w:cs="宋体"/>
          <w:b/>
          <w:bCs/>
          <w:iCs/>
          <w:color w:val="auto"/>
          <w:sz w:val="24"/>
          <w:szCs w:val="24"/>
          <w:highlight w:val="none"/>
          <w:lang w:val="en-US" w:eastAsia="zh-Hans"/>
        </w:rPr>
        <w:t>动态心电采集设备硬件参数</w:t>
      </w:r>
    </w:p>
    <w:p>
      <w:pPr>
        <w:pStyle w:val="71"/>
        <w:keepNext w:val="0"/>
        <w:keepLines w:val="0"/>
        <w:pageBreakBefore w:val="0"/>
        <w:framePr w:wrap="around"/>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1★电源： 1 节 AAA 电池或技术更先进的其它供电方案；</w:t>
      </w:r>
    </w:p>
    <w:p>
      <w:pPr>
        <w:pStyle w:val="71"/>
        <w:keepNext w:val="0"/>
        <w:keepLines w:val="0"/>
        <w:pageBreakBefore w:val="0"/>
        <w:framePr w:wrap="around"/>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auto"/>
          <w:kern w:val="0"/>
          <w:sz w:val="24"/>
          <w:szCs w:val="24"/>
          <w:highlight w:val="none"/>
          <w:lang w:val="zh-TW" w:eastAsia="zh-TW"/>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TW" w:eastAsia="zh-TW"/>
        </w:rPr>
        <w:t>记录时间：连续记录</w:t>
      </w:r>
      <w:r>
        <w:rPr>
          <w:rFonts w:hint="eastAsia" w:ascii="宋体" w:hAnsi="宋体" w:eastAsia="宋体" w:cs="宋体"/>
          <w:color w:val="auto"/>
          <w:kern w:val="0"/>
          <w:sz w:val="24"/>
          <w:szCs w:val="24"/>
          <w:highlight w:val="none"/>
        </w:rPr>
        <w:t>48</w:t>
      </w:r>
      <w:r>
        <w:rPr>
          <w:rFonts w:hint="eastAsia" w:ascii="宋体" w:hAnsi="宋体" w:eastAsia="宋体" w:cs="宋体"/>
          <w:color w:val="auto"/>
          <w:kern w:val="0"/>
          <w:sz w:val="24"/>
          <w:szCs w:val="24"/>
          <w:highlight w:val="none"/>
          <w:lang w:val="zh-TW" w:eastAsia="zh-TW"/>
        </w:rPr>
        <w:t>小时以上</w:t>
      </w:r>
      <w:r>
        <w:rPr>
          <w:rFonts w:hint="eastAsia" w:ascii="宋体" w:hAnsi="宋体" w:eastAsia="宋体" w:cs="宋体"/>
          <w:color w:val="auto"/>
          <w:kern w:val="0"/>
          <w:sz w:val="24"/>
          <w:szCs w:val="24"/>
          <w:highlight w:val="none"/>
          <w:lang w:val="zh-TW" w:eastAsia="zh-Hans"/>
        </w:rPr>
        <w:t>；</w:t>
      </w:r>
    </w:p>
    <w:p>
      <w:pPr>
        <w:pStyle w:val="71"/>
        <w:keepNext w:val="0"/>
        <w:keepLines w:val="0"/>
        <w:pageBreakBefore w:val="0"/>
        <w:framePr w:wrap="around"/>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3.重量： 50g；  (各数值允许偏差±10%) ；</w:t>
      </w:r>
    </w:p>
    <w:p>
      <w:pPr>
        <w:pStyle w:val="71"/>
        <w:keepNext w:val="0"/>
        <w:keepLines w:val="0"/>
        <w:pageBreakBefore w:val="0"/>
        <w:framePr w:wrap="around"/>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4.基本尺寸： 75mm×56mm×19mm； (各数值允许偏差±10%) ；</w:t>
      </w:r>
    </w:p>
    <w:p>
      <w:pPr>
        <w:pStyle w:val="71"/>
        <w:keepNext w:val="0"/>
        <w:keepLines w:val="0"/>
        <w:pageBreakBefore w:val="0"/>
        <w:framePr w:wrap="around"/>
        <w:widowControl/>
        <w:numPr>
          <w:ilvl w:val="0"/>
          <w:numId w:val="0"/>
        </w:numP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zh-TW" w:eastAsia="zh-TW"/>
        </w:rPr>
        <w:t>导联</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TW" w:eastAsia="zh-TW"/>
        </w:rPr>
        <w:t>通道</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TW" w:eastAsia="zh-TW"/>
        </w:rPr>
        <w:t>：</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zh-TW" w:eastAsia="zh-TW"/>
        </w:rPr>
        <w:t>导联</w:t>
      </w:r>
      <w:r>
        <w:rPr>
          <w:rFonts w:hint="eastAsia" w:ascii="宋体" w:hAnsi="宋体" w:eastAsia="宋体" w:cs="宋体"/>
          <w:color w:val="auto"/>
          <w:kern w:val="0"/>
          <w:sz w:val="24"/>
          <w:szCs w:val="24"/>
          <w:highlight w:val="none"/>
          <w:lang w:val="zh-TW" w:eastAsia="zh-Hans"/>
        </w:rPr>
        <w:t>；</w:t>
      </w:r>
      <w:r>
        <w:rPr>
          <w:rFonts w:hint="eastAsia" w:ascii="宋体" w:hAnsi="宋体" w:eastAsia="宋体" w:cs="宋体"/>
          <w:color w:val="auto"/>
          <w:kern w:val="0"/>
          <w:sz w:val="24"/>
          <w:szCs w:val="24"/>
          <w:highlight w:val="none"/>
        </w:rPr>
        <w:t xml:space="preserve">                        </w:t>
      </w:r>
    </w:p>
    <w:p>
      <w:pPr>
        <w:pStyle w:val="71"/>
        <w:keepNext w:val="0"/>
        <w:keepLines w:val="0"/>
        <w:pageBreakBefore w:val="0"/>
        <w:framePr w:wrap="around"/>
        <w:widowControl/>
        <w:numPr>
          <w:ilvl w:val="0"/>
          <w:numId w:val="0"/>
        </w:numP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zh-TW" w:eastAsia="zh-TW"/>
        </w:rPr>
        <w:t>频率响应：</w:t>
      </w:r>
      <w:r>
        <w:rPr>
          <w:rFonts w:hint="eastAsia" w:ascii="宋体" w:hAnsi="宋体" w:eastAsia="宋体" w:cs="宋体"/>
          <w:color w:val="auto"/>
          <w:kern w:val="0"/>
          <w:sz w:val="24"/>
          <w:szCs w:val="24"/>
          <w:highlight w:val="none"/>
        </w:rPr>
        <w:t>0.05</w:t>
      </w:r>
      <w:r>
        <w:rPr>
          <w:rFonts w:hint="eastAsia" w:ascii="宋体" w:hAnsi="宋体" w:eastAsia="宋体" w:cs="宋体"/>
          <w:color w:val="auto"/>
          <w:kern w:val="0"/>
          <w:sz w:val="24"/>
          <w:szCs w:val="24"/>
          <w:highlight w:val="none"/>
          <w:lang w:val="zh-TW" w:eastAsia="zh-TW"/>
        </w:rPr>
        <w:t>～</w:t>
      </w:r>
      <w:r>
        <w:rPr>
          <w:rFonts w:hint="eastAsia" w:ascii="宋体" w:hAnsi="宋体" w:eastAsia="宋体" w:cs="宋体"/>
          <w:color w:val="auto"/>
          <w:kern w:val="0"/>
          <w:sz w:val="24"/>
          <w:szCs w:val="24"/>
          <w:highlight w:val="none"/>
        </w:rPr>
        <w:t>50HZ</w:t>
      </w:r>
      <w:r>
        <w:rPr>
          <w:rFonts w:hint="eastAsia" w:ascii="宋体" w:hAnsi="宋体" w:eastAsia="宋体" w:cs="宋体"/>
          <w:color w:val="auto"/>
          <w:kern w:val="0"/>
          <w:sz w:val="24"/>
          <w:szCs w:val="24"/>
          <w:highlight w:val="none"/>
          <w:lang w:eastAsia="zh-Hans"/>
        </w:rPr>
        <w:t>；</w:t>
      </w:r>
      <w:r>
        <w:rPr>
          <w:rFonts w:hint="eastAsia" w:ascii="宋体" w:hAnsi="宋体" w:eastAsia="宋体" w:cs="宋体"/>
          <w:color w:val="auto"/>
          <w:kern w:val="0"/>
          <w:sz w:val="24"/>
          <w:szCs w:val="24"/>
          <w:highlight w:val="none"/>
        </w:rPr>
        <w:t xml:space="preserve"> </w:t>
      </w:r>
    </w:p>
    <w:p>
      <w:pPr>
        <w:pStyle w:val="71"/>
        <w:keepNext w:val="0"/>
        <w:keepLines w:val="0"/>
        <w:pageBreakBefore w:val="0"/>
        <w:framePr w:wrap="around"/>
        <w:widowControl/>
        <w:numPr>
          <w:ilvl w:val="0"/>
          <w:numId w:val="0"/>
        </w:numP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auto"/>
          <w:kern w:val="0"/>
          <w:sz w:val="24"/>
          <w:szCs w:val="24"/>
          <w:highlight w:val="none"/>
          <w:lang w:val="zh-TW" w:eastAsia="zh-TW"/>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zh-TW" w:eastAsia="zh-TW"/>
        </w:rPr>
        <w:t>记录方式：全信息</w:t>
      </w:r>
      <w:r>
        <w:rPr>
          <w:rFonts w:hint="eastAsia" w:ascii="宋体" w:hAnsi="宋体" w:eastAsia="宋体" w:cs="宋体"/>
          <w:color w:val="auto"/>
          <w:kern w:val="0"/>
          <w:sz w:val="24"/>
          <w:szCs w:val="24"/>
          <w:highlight w:val="none"/>
          <w:lang w:val="zh-TW" w:eastAsia="zh-Hans"/>
        </w:rPr>
        <w:t>；</w:t>
      </w:r>
    </w:p>
    <w:p>
      <w:pPr>
        <w:pStyle w:val="71"/>
        <w:keepNext w:val="0"/>
        <w:keepLines w:val="0"/>
        <w:pageBreakBefore w:val="0"/>
        <w:framePr w:wrap="around"/>
        <w:widowControl/>
        <w:numPr>
          <w:ilvl w:val="0"/>
          <w:numId w:val="0"/>
        </w:numP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zh-TW" w:eastAsia="zh-TW"/>
        </w:rPr>
        <w:t>输入阻抗：</w:t>
      </w:r>
      <w:r>
        <w:rPr>
          <w:rFonts w:hint="eastAsia" w:ascii="宋体" w:hAnsi="宋体" w:eastAsia="宋体" w:cs="宋体"/>
          <w:color w:val="auto"/>
          <w:kern w:val="0"/>
          <w:sz w:val="24"/>
          <w:szCs w:val="24"/>
          <w:highlight w:val="none"/>
        </w:rPr>
        <w:t>≥6MΩ</w:t>
      </w:r>
      <w:r>
        <w:rPr>
          <w:rFonts w:hint="eastAsia" w:ascii="宋体" w:hAnsi="宋体" w:eastAsia="宋体" w:cs="宋体"/>
          <w:color w:val="auto"/>
          <w:kern w:val="0"/>
          <w:sz w:val="24"/>
          <w:szCs w:val="24"/>
          <w:highlight w:val="none"/>
          <w:lang w:eastAsia="zh-Hans"/>
        </w:rPr>
        <w:t>；</w:t>
      </w:r>
    </w:p>
    <w:p>
      <w:pPr>
        <w:pStyle w:val="71"/>
        <w:keepNext w:val="0"/>
        <w:keepLines w:val="0"/>
        <w:pageBreakBefore w:val="0"/>
        <w:framePr w:wrap="around"/>
        <w:widowControl/>
        <w:numPr>
          <w:ilvl w:val="0"/>
          <w:numId w:val="0"/>
        </w:numP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zh-TW" w:eastAsia="zh-TW"/>
        </w:rPr>
        <w:t>增益</w:t>
      </w:r>
      <w:r>
        <w:rPr>
          <w:rFonts w:hint="eastAsia" w:ascii="宋体" w:hAnsi="宋体" w:eastAsia="宋体" w:cs="宋体"/>
          <w:color w:val="auto"/>
          <w:kern w:val="0"/>
          <w:sz w:val="24"/>
          <w:szCs w:val="24"/>
          <w:highlight w:val="none"/>
        </w:rPr>
        <w:t>:0.5</w:t>
      </w:r>
      <w:r>
        <w:rPr>
          <w:rFonts w:hint="eastAsia" w:ascii="宋体" w:hAnsi="宋体" w:eastAsia="宋体" w:cs="宋体"/>
          <w:color w:val="auto"/>
          <w:kern w:val="0"/>
          <w:sz w:val="24"/>
          <w:szCs w:val="24"/>
          <w:highlight w:val="none"/>
          <w:lang w:val="zh-TW" w:eastAsia="zh-TW"/>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zh-TW" w:eastAsia="zh-TW"/>
        </w:rPr>
        <w:t>、</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Hans"/>
        </w:rPr>
        <w:t>；</w:t>
      </w:r>
    </w:p>
    <w:p>
      <w:pPr>
        <w:pStyle w:val="71"/>
        <w:keepNext w:val="0"/>
        <w:keepLines w:val="0"/>
        <w:pageBreakBefore w:val="0"/>
        <w:framePr w:wrap="around"/>
        <w:widowControl/>
        <w:numPr>
          <w:ilvl w:val="0"/>
          <w:numId w:val="0"/>
        </w:numP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zh-TW" w:eastAsia="zh-TW"/>
        </w:rPr>
        <w:t>共模抑制比：</w:t>
      </w:r>
      <w:r>
        <w:rPr>
          <w:rFonts w:hint="eastAsia" w:ascii="宋体" w:hAnsi="宋体" w:eastAsia="宋体" w:cs="宋体"/>
          <w:color w:val="auto"/>
          <w:kern w:val="0"/>
          <w:sz w:val="24"/>
          <w:szCs w:val="24"/>
          <w:highlight w:val="none"/>
        </w:rPr>
        <w:t>≥90dB</w:t>
      </w:r>
      <w:r>
        <w:rPr>
          <w:rFonts w:hint="eastAsia" w:ascii="宋体" w:hAnsi="宋体" w:eastAsia="宋体" w:cs="宋体"/>
          <w:color w:val="auto"/>
          <w:kern w:val="0"/>
          <w:sz w:val="24"/>
          <w:szCs w:val="24"/>
          <w:highlight w:val="none"/>
          <w:lang w:eastAsia="zh-Hans"/>
        </w:rPr>
        <w:t>；</w:t>
      </w:r>
    </w:p>
    <w:p>
      <w:pPr>
        <w:pStyle w:val="71"/>
        <w:keepNext w:val="0"/>
        <w:keepLines w:val="0"/>
        <w:pageBreakBefore w:val="0"/>
        <w:framePr w:wrap="around"/>
        <w:widowControl/>
        <w:numPr>
          <w:ilvl w:val="0"/>
          <w:numId w:val="0"/>
        </w:numP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iCs/>
          <w:color w:val="auto"/>
          <w:sz w:val="24"/>
          <w:szCs w:val="24"/>
          <w:highlight w:val="none"/>
          <w:lang w:eastAsia="zh-CN"/>
        </w:rPr>
        <w:t>★</w:t>
      </w:r>
      <w:r>
        <w:rPr>
          <w:rFonts w:hint="eastAsia" w:ascii="宋体" w:hAnsi="宋体" w:eastAsia="宋体" w:cs="宋体"/>
          <w:color w:val="auto"/>
          <w:kern w:val="0"/>
          <w:sz w:val="24"/>
          <w:szCs w:val="24"/>
          <w:highlight w:val="none"/>
          <w:lang w:val="zh-TW" w:eastAsia="zh-TW"/>
        </w:rPr>
        <w:t>采样率：</w:t>
      </w:r>
      <w:r>
        <w:rPr>
          <w:rFonts w:hint="eastAsia" w:ascii="宋体" w:hAnsi="宋体" w:eastAsia="宋体" w:cs="宋体"/>
          <w:color w:val="auto"/>
          <w:kern w:val="0"/>
          <w:sz w:val="24"/>
          <w:szCs w:val="24"/>
          <w:highlight w:val="none"/>
        </w:rPr>
        <w:t>128-1024</w:t>
      </w:r>
      <w:r>
        <w:rPr>
          <w:rFonts w:hint="eastAsia" w:ascii="宋体" w:hAnsi="宋体" w:eastAsia="宋体" w:cs="宋体"/>
          <w:color w:val="auto"/>
          <w:kern w:val="0"/>
          <w:sz w:val="24"/>
          <w:szCs w:val="24"/>
          <w:highlight w:val="none"/>
          <w:lang w:val="zh-TW" w:eastAsia="zh-TW"/>
        </w:rPr>
        <w:t>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TW" w:eastAsia="zh-TW"/>
        </w:rPr>
        <w:t>秒</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TW" w:eastAsia="zh-TW"/>
        </w:rPr>
        <w:t>通道</w:t>
      </w:r>
      <w:r>
        <w:rPr>
          <w:rFonts w:hint="eastAsia" w:ascii="宋体" w:hAnsi="宋体" w:eastAsia="宋体" w:cs="宋体"/>
          <w:color w:val="auto"/>
          <w:kern w:val="0"/>
          <w:sz w:val="24"/>
          <w:szCs w:val="24"/>
          <w:highlight w:val="none"/>
          <w:lang w:val="zh-TW" w:eastAsia="zh-Hans"/>
        </w:rPr>
        <w:t>；</w:t>
      </w:r>
    </w:p>
    <w:p>
      <w:pPr>
        <w:pStyle w:val="71"/>
        <w:keepNext w:val="0"/>
        <w:keepLines w:val="0"/>
        <w:pageBreakBefore w:val="0"/>
        <w:framePr w:wrap="around"/>
        <w:widowControl/>
        <w:numPr>
          <w:ilvl w:val="0"/>
          <w:numId w:val="0"/>
        </w:numP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auto"/>
          <w:kern w:val="0"/>
          <w:sz w:val="24"/>
          <w:szCs w:val="24"/>
          <w:highlight w:val="none"/>
          <w:lang w:val="zh-TW" w:eastAsia="zh-TW"/>
        </w:rPr>
      </w:pP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val="zh-TW" w:eastAsia="zh-TW"/>
        </w:rPr>
        <w:t>显示：</w:t>
      </w:r>
      <w:r>
        <w:rPr>
          <w:rFonts w:hint="eastAsia" w:ascii="宋体" w:hAnsi="宋体" w:eastAsia="宋体" w:cs="宋体"/>
          <w:color w:val="auto"/>
          <w:kern w:val="0"/>
          <w:sz w:val="24"/>
          <w:szCs w:val="24"/>
          <w:highlight w:val="none"/>
        </w:rPr>
        <w:t>LCD</w:t>
      </w:r>
      <w:r>
        <w:rPr>
          <w:rFonts w:hint="eastAsia" w:ascii="宋体" w:hAnsi="宋体" w:eastAsia="宋体" w:cs="宋体"/>
          <w:color w:val="auto"/>
          <w:kern w:val="0"/>
          <w:sz w:val="24"/>
          <w:szCs w:val="24"/>
          <w:highlight w:val="none"/>
          <w:lang w:val="zh-TW" w:eastAsia="zh-TW"/>
        </w:rPr>
        <w:t>显示文字和波形</w:t>
      </w:r>
      <w:r>
        <w:rPr>
          <w:rFonts w:hint="eastAsia" w:ascii="宋体" w:hAnsi="宋体" w:eastAsia="宋体" w:cs="宋体"/>
          <w:color w:val="auto"/>
          <w:kern w:val="0"/>
          <w:sz w:val="24"/>
          <w:szCs w:val="24"/>
          <w:highlight w:val="none"/>
          <w:lang w:val="zh-TW" w:eastAsia="zh-Hans"/>
        </w:rPr>
        <w:t>；</w:t>
      </w:r>
    </w:p>
    <w:p>
      <w:pPr>
        <w:pStyle w:val="71"/>
        <w:keepNext w:val="0"/>
        <w:keepLines w:val="0"/>
        <w:pageBreakBefore w:val="0"/>
        <w:framePr w:wrap="around"/>
        <w:widowControl/>
        <w:numPr>
          <w:ilvl w:val="0"/>
          <w:numId w:val="0"/>
        </w:numP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auto"/>
          <w:kern w:val="0"/>
          <w:sz w:val="24"/>
          <w:szCs w:val="24"/>
          <w:highlight w:val="none"/>
          <w:lang w:val="zh-TW" w:eastAsia="zh-TW"/>
        </w:rPr>
      </w:pP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val="zh-TW" w:eastAsia="zh-TW"/>
        </w:rPr>
        <w:t>转换精度：</w:t>
      </w:r>
      <w:r>
        <w:rPr>
          <w:rFonts w:hint="eastAsia" w:ascii="宋体" w:hAnsi="宋体" w:eastAsia="宋体" w:cs="宋体"/>
          <w:color w:val="auto"/>
          <w:kern w:val="0"/>
          <w:sz w:val="24"/>
          <w:szCs w:val="24"/>
          <w:highlight w:val="none"/>
        </w:rPr>
        <w:t>8-16</w:t>
      </w:r>
      <w:r>
        <w:rPr>
          <w:rFonts w:hint="eastAsia" w:ascii="宋体" w:hAnsi="宋体" w:eastAsia="宋体" w:cs="宋体"/>
          <w:color w:val="auto"/>
          <w:kern w:val="0"/>
          <w:sz w:val="24"/>
          <w:szCs w:val="24"/>
          <w:highlight w:val="none"/>
          <w:lang w:val="zh-TW" w:eastAsia="zh-TW"/>
        </w:rPr>
        <w:t>位</w:t>
      </w:r>
      <w:r>
        <w:rPr>
          <w:rFonts w:hint="eastAsia" w:ascii="宋体" w:hAnsi="宋体" w:eastAsia="宋体" w:cs="宋体"/>
          <w:color w:val="auto"/>
          <w:kern w:val="0"/>
          <w:sz w:val="24"/>
          <w:szCs w:val="24"/>
          <w:highlight w:val="none"/>
          <w:lang w:val="zh-TW" w:eastAsia="zh-Hans"/>
        </w:rPr>
        <w:t>；</w:t>
      </w:r>
    </w:p>
    <w:p>
      <w:pPr>
        <w:pStyle w:val="71"/>
        <w:keepNext w:val="0"/>
        <w:keepLines w:val="0"/>
        <w:pageBreakBefore w:val="0"/>
        <w:framePr w:wrap="around"/>
        <w:widowControl/>
        <w:numPr>
          <w:ilvl w:val="0"/>
          <w:numId w:val="0"/>
        </w:numP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auto"/>
          <w:kern w:val="0"/>
          <w:sz w:val="24"/>
          <w:szCs w:val="24"/>
          <w:highlight w:val="none"/>
          <w:lang w:val="zh-TW" w:eastAsia="zh-TW"/>
        </w:rPr>
      </w:pPr>
      <w:r>
        <w:rPr>
          <w:rFonts w:hint="eastAsia" w:ascii="宋体" w:hAnsi="宋体" w:eastAsia="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lang w:val="zh-TW" w:eastAsia="zh-TW"/>
        </w:rPr>
        <w:t>数据接口：</w:t>
      </w:r>
      <w:r>
        <w:rPr>
          <w:rFonts w:hint="eastAsia" w:ascii="宋体" w:hAnsi="宋体" w:eastAsia="宋体" w:cs="宋体"/>
          <w:color w:val="auto"/>
          <w:kern w:val="0"/>
          <w:sz w:val="24"/>
          <w:szCs w:val="24"/>
          <w:highlight w:val="none"/>
        </w:rPr>
        <w:t>USB2.0</w:t>
      </w:r>
      <w:r>
        <w:rPr>
          <w:rFonts w:hint="eastAsia" w:ascii="宋体" w:hAnsi="宋体" w:eastAsia="宋体" w:cs="宋体"/>
          <w:color w:val="auto"/>
          <w:kern w:val="0"/>
          <w:sz w:val="24"/>
          <w:szCs w:val="24"/>
          <w:highlight w:val="none"/>
          <w:lang w:val="zh-TW" w:eastAsia="zh-TW"/>
        </w:rPr>
        <w:t>或</w:t>
      </w:r>
      <w:r>
        <w:rPr>
          <w:rFonts w:hint="eastAsia" w:ascii="宋体" w:hAnsi="宋体" w:eastAsia="宋体" w:cs="宋体"/>
          <w:color w:val="auto"/>
          <w:kern w:val="0"/>
          <w:sz w:val="24"/>
          <w:szCs w:val="24"/>
          <w:highlight w:val="none"/>
        </w:rPr>
        <w:t>SD</w:t>
      </w:r>
      <w:r>
        <w:rPr>
          <w:rFonts w:hint="eastAsia" w:ascii="宋体" w:hAnsi="宋体" w:eastAsia="宋体" w:cs="宋体"/>
          <w:color w:val="auto"/>
          <w:kern w:val="0"/>
          <w:sz w:val="24"/>
          <w:szCs w:val="24"/>
          <w:highlight w:val="none"/>
          <w:lang w:val="zh-TW" w:eastAsia="zh-TW"/>
        </w:rPr>
        <w:t>卡</w:t>
      </w:r>
      <w:r>
        <w:rPr>
          <w:rFonts w:hint="eastAsia" w:ascii="宋体" w:hAnsi="宋体" w:eastAsia="宋体" w:cs="宋体"/>
          <w:color w:val="auto"/>
          <w:kern w:val="0"/>
          <w:sz w:val="24"/>
          <w:szCs w:val="24"/>
          <w:highlight w:val="none"/>
          <w:lang w:val="zh-TW" w:eastAsia="zh-Hans"/>
        </w:rPr>
        <w:t>；</w:t>
      </w:r>
    </w:p>
    <w:p>
      <w:pPr>
        <w:pStyle w:val="71"/>
        <w:keepNext w:val="0"/>
        <w:keepLines w:val="0"/>
        <w:pageBreakBefore w:val="0"/>
        <w:framePr w:wrap="around"/>
        <w:widowControl/>
        <w:numPr>
          <w:ilvl w:val="0"/>
          <w:numId w:val="0"/>
        </w:numP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auto"/>
          <w:kern w:val="0"/>
          <w:sz w:val="24"/>
          <w:szCs w:val="24"/>
          <w:highlight w:val="none"/>
          <w:lang w:val="zh-TW" w:eastAsia="zh-TW"/>
        </w:rPr>
      </w:pP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lang w:val="zh-TW" w:eastAsia="zh-TW"/>
        </w:rPr>
        <w:t>存储介质：</w:t>
      </w:r>
      <w:r>
        <w:rPr>
          <w:rFonts w:hint="eastAsia" w:ascii="宋体" w:hAnsi="宋体" w:eastAsia="宋体" w:cs="宋体"/>
          <w:color w:val="auto"/>
          <w:kern w:val="0"/>
          <w:sz w:val="24"/>
          <w:szCs w:val="24"/>
          <w:highlight w:val="none"/>
        </w:rPr>
        <w:t>Flash</w:t>
      </w:r>
      <w:r>
        <w:rPr>
          <w:rFonts w:hint="eastAsia" w:ascii="宋体" w:hAnsi="宋体" w:eastAsia="宋体" w:cs="宋体"/>
          <w:color w:val="auto"/>
          <w:kern w:val="0"/>
          <w:sz w:val="24"/>
          <w:szCs w:val="24"/>
          <w:highlight w:val="none"/>
          <w:lang w:val="zh-TW" w:eastAsia="zh-TW"/>
        </w:rPr>
        <w:t>卡</w:t>
      </w:r>
      <w:r>
        <w:rPr>
          <w:rFonts w:hint="eastAsia" w:ascii="宋体" w:hAnsi="宋体" w:eastAsia="宋体" w:cs="宋体"/>
          <w:color w:val="auto"/>
          <w:kern w:val="0"/>
          <w:sz w:val="24"/>
          <w:szCs w:val="24"/>
          <w:highlight w:val="none"/>
          <w:lang w:val="zh-TW" w:eastAsia="zh-Hans"/>
        </w:rPr>
        <w:t>；</w:t>
      </w:r>
    </w:p>
    <w:p>
      <w:pPr>
        <w:pStyle w:val="71"/>
        <w:keepNext w:val="0"/>
        <w:keepLines w:val="0"/>
        <w:pageBreakBefore w:val="0"/>
        <w:framePr w:wrap="around"/>
        <w:widowControl/>
        <w:numPr>
          <w:ilvl w:val="0"/>
          <w:numId w:val="0"/>
        </w:numP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lang w:val="zh-TW" w:eastAsia="zh-TW"/>
        </w:rPr>
        <w:t>存储容量：</w:t>
      </w:r>
      <w:r>
        <w:rPr>
          <w:rFonts w:hint="eastAsia" w:ascii="宋体" w:hAnsi="宋体" w:eastAsia="宋体" w:cs="宋体"/>
          <w:color w:val="auto"/>
          <w:kern w:val="0"/>
          <w:sz w:val="24"/>
          <w:szCs w:val="24"/>
          <w:highlight w:val="none"/>
        </w:rPr>
        <w:t>16GB</w:t>
      </w:r>
      <w:r>
        <w:rPr>
          <w:rFonts w:hint="eastAsia" w:ascii="宋体" w:hAnsi="宋体" w:eastAsia="宋体" w:cs="宋体"/>
          <w:color w:val="auto"/>
          <w:kern w:val="0"/>
          <w:sz w:val="24"/>
          <w:szCs w:val="24"/>
          <w:highlight w:val="none"/>
          <w:lang w:eastAsia="zh-Hans"/>
        </w:rPr>
        <w:t>；</w:t>
      </w:r>
    </w:p>
    <w:p>
      <w:pPr>
        <w:pStyle w:val="71"/>
        <w:keepNext w:val="0"/>
        <w:keepLines w:val="0"/>
        <w:pageBreakBefore w:val="0"/>
        <w:framePr w:wrap="around"/>
        <w:widowControl/>
        <w:numPr>
          <w:ilvl w:val="0"/>
          <w:numId w:val="0"/>
        </w:numP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auto"/>
          <w:kern w:val="0"/>
          <w:sz w:val="24"/>
          <w:szCs w:val="24"/>
          <w:highlight w:val="none"/>
          <w:lang w:val="zh-TW" w:eastAsia="zh-TW"/>
        </w:rPr>
      </w:pPr>
      <w:r>
        <w:rPr>
          <w:rFonts w:hint="eastAsia" w:ascii="宋体" w:hAnsi="宋体" w:eastAsia="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lang w:val="zh-TW" w:eastAsia="zh-TW"/>
        </w:rPr>
        <w:t>导联线：</w:t>
      </w: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val="zh-TW" w:eastAsia="zh-TW"/>
        </w:rPr>
        <w:t>芯</w:t>
      </w:r>
      <w:r>
        <w:rPr>
          <w:rFonts w:hint="eastAsia" w:ascii="宋体" w:hAnsi="宋体" w:eastAsia="宋体" w:cs="宋体"/>
          <w:color w:val="auto"/>
          <w:kern w:val="0"/>
          <w:sz w:val="24"/>
          <w:szCs w:val="24"/>
          <w:highlight w:val="none"/>
          <w:lang w:val="zh-TW" w:eastAsia="zh-Hans"/>
        </w:rPr>
        <w:t>；</w:t>
      </w:r>
    </w:p>
    <w:p>
      <w:pPr>
        <w:pStyle w:val="71"/>
        <w:keepNext w:val="0"/>
        <w:keepLines w:val="0"/>
        <w:pageBreakBefore w:val="0"/>
        <w:framePr w:wrap="around"/>
        <w:widowControl/>
        <w:numPr>
          <w:ilvl w:val="0"/>
          <w:numId w:val="0"/>
        </w:numP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auto"/>
          <w:kern w:val="0"/>
          <w:sz w:val="24"/>
          <w:szCs w:val="24"/>
          <w:highlight w:val="none"/>
          <w:lang w:val="zh-TW" w:eastAsia="zh-TW"/>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lang w:val="zh-TW" w:eastAsia="zh-TW"/>
        </w:rPr>
        <w:t>起博检测：独立显示通道，</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zh-TW" w:eastAsia="zh-TW"/>
        </w:rPr>
        <w:t>通道检测</w:t>
      </w:r>
      <w:r>
        <w:rPr>
          <w:rFonts w:hint="eastAsia" w:ascii="宋体" w:hAnsi="宋体" w:eastAsia="宋体" w:cs="宋体"/>
          <w:color w:val="auto"/>
          <w:kern w:val="0"/>
          <w:sz w:val="24"/>
          <w:szCs w:val="24"/>
          <w:highlight w:val="none"/>
          <w:lang w:val="zh-TW" w:eastAsia="zh-Hans"/>
        </w:rPr>
        <w:t>；</w:t>
      </w:r>
    </w:p>
    <w:p>
      <w:pPr>
        <w:pStyle w:val="71"/>
        <w:keepNext w:val="0"/>
        <w:keepLines w:val="0"/>
        <w:pageBreakBefore w:val="0"/>
        <w:framePr w:wrap="around"/>
        <w:widowControl/>
        <w:numPr>
          <w:ilvl w:val="0"/>
          <w:numId w:val="0"/>
        </w:numP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auto"/>
          <w:sz w:val="24"/>
          <w:szCs w:val="24"/>
          <w:highlight w:val="none"/>
          <w:lang w:val="zh-TW" w:eastAsia="zh-Hans"/>
        </w:rPr>
      </w:pPr>
      <w:r>
        <w:rPr>
          <w:rFonts w:hint="eastAsia" w:ascii="宋体" w:hAnsi="宋体" w:eastAsia="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支持</w:t>
      </w:r>
      <w:r>
        <w:rPr>
          <w:rFonts w:hint="eastAsia" w:ascii="宋体" w:hAnsi="宋体" w:eastAsia="宋体" w:cs="宋体"/>
          <w:color w:val="auto"/>
          <w:sz w:val="24"/>
          <w:szCs w:val="24"/>
          <w:highlight w:val="none"/>
          <w:lang w:val="zh-TW" w:eastAsia="zh-TW"/>
        </w:rPr>
        <w:t>接入远程诊断中心</w:t>
      </w:r>
      <w:r>
        <w:rPr>
          <w:rFonts w:hint="eastAsia" w:ascii="宋体" w:hAnsi="宋体" w:eastAsia="宋体" w:cs="宋体"/>
          <w:color w:val="auto"/>
          <w:sz w:val="24"/>
          <w:szCs w:val="24"/>
          <w:highlight w:val="none"/>
          <w:lang w:val="zh-TW" w:eastAsia="zh-Hans"/>
        </w:rPr>
        <w:t>。</w:t>
      </w:r>
    </w:p>
    <w:p>
      <w:pPr>
        <w:pStyle w:val="71"/>
        <w:keepNext w:val="0"/>
        <w:keepLines w:val="0"/>
        <w:pageBreakBefore w:val="0"/>
        <w:framePr w:wrap="around"/>
        <w:widowControl/>
        <w:numPr>
          <w:ilvl w:val="0"/>
          <w:numId w:val="0"/>
        </w:numPr>
        <w:kinsoku/>
        <w:wordWrap/>
        <w:overflowPunct/>
        <w:topLinePunct w:val="0"/>
        <w:autoSpaceDE/>
        <w:autoSpaceDN/>
        <w:bidi w:val="0"/>
        <w:adjustRightInd/>
        <w:snapToGrid/>
        <w:spacing w:after="0" w:line="460" w:lineRule="exact"/>
        <w:ind w:left="-425" w:leftChars="0" w:right="0" w:rightChars="0"/>
        <w:jc w:val="left"/>
        <w:rPr>
          <w:rFonts w:hint="eastAsia" w:ascii="宋体" w:hAnsi="宋体" w:eastAsia="宋体" w:cs="宋体"/>
          <w:color w:val="auto"/>
          <w:sz w:val="24"/>
          <w:szCs w:val="24"/>
          <w:highlight w:val="none"/>
          <w:lang w:val="en-US" w:eastAsia="zh-CN"/>
        </w:rPr>
      </w:pP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eastAsia="宋体" w:cs="宋体"/>
          <w:b/>
          <w:bCs/>
          <w:iCs/>
          <w:color w:val="auto"/>
          <w:sz w:val="24"/>
          <w:szCs w:val="24"/>
          <w:highlight w:val="none"/>
          <w:lang w:val="en-US" w:eastAsia="zh-CN"/>
        </w:rPr>
      </w:pPr>
      <w:r>
        <w:rPr>
          <w:rFonts w:hint="eastAsia" w:ascii="宋体" w:hAnsi="宋体" w:cs="宋体"/>
          <w:b/>
          <w:bCs/>
          <w:iCs/>
          <w:color w:val="auto"/>
          <w:sz w:val="24"/>
          <w:szCs w:val="24"/>
          <w:highlight w:val="none"/>
          <w:lang w:val="en-US" w:eastAsia="zh-CN"/>
        </w:rPr>
        <w:t>三、</w:t>
      </w:r>
      <w:r>
        <w:rPr>
          <w:rFonts w:hint="eastAsia" w:ascii="宋体" w:hAnsi="宋体" w:cs="宋体"/>
          <w:b/>
          <w:bCs/>
          <w:iCs/>
          <w:color w:val="auto"/>
          <w:sz w:val="24"/>
          <w:szCs w:val="24"/>
          <w:highlight w:val="none"/>
          <w:lang w:val="en-US" w:eastAsia="zh-Hans"/>
        </w:rPr>
        <w:t>动态血压设备</w:t>
      </w:r>
      <w:r>
        <w:rPr>
          <w:rFonts w:hint="eastAsia" w:ascii="宋体" w:hAnsi="宋体" w:cs="宋体"/>
          <w:b/>
          <w:bCs/>
          <w:iCs/>
          <w:color w:val="auto"/>
          <w:sz w:val="24"/>
          <w:szCs w:val="24"/>
          <w:highlight w:val="none"/>
          <w:lang w:val="en-US" w:eastAsia="zh-CN"/>
        </w:rPr>
        <w:t>参数</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cs="宋体"/>
          <w:b/>
          <w:bCs/>
          <w:iCs/>
          <w:color w:val="auto"/>
          <w:sz w:val="24"/>
          <w:szCs w:val="24"/>
          <w:highlight w:val="none"/>
          <w:lang w:val="en-US" w:eastAsia="zh-Hans"/>
        </w:rPr>
      </w:pPr>
      <w:r>
        <w:rPr>
          <w:rFonts w:hint="eastAsia" w:ascii="宋体" w:hAnsi="宋体" w:cs="宋体"/>
          <w:b/>
          <w:bCs/>
          <w:iCs/>
          <w:color w:val="auto"/>
          <w:sz w:val="24"/>
          <w:szCs w:val="24"/>
          <w:highlight w:val="none"/>
          <w:lang w:val="en-US" w:eastAsia="zh-CN"/>
        </w:rPr>
        <w:t>（一）</w:t>
      </w:r>
      <w:r>
        <w:rPr>
          <w:rFonts w:hint="eastAsia" w:ascii="宋体" w:hAnsi="宋体" w:cs="宋体"/>
          <w:b/>
          <w:bCs/>
          <w:iCs/>
          <w:color w:val="auto"/>
          <w:sz w:val="24"/>
          <w:szCs w:val="24"/>
          <w:highlight w:val="none"/>
          <w:lang w:val="en-US" w:eastAsia="zh-Hans"/>
        </w:rPr>
        <w:t>动态血压采集设备软件参数</w:t>
      </w:r>
    </w:p>
    <w:p>
      <w:pPr>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Hans"/>
        </w:rPr>
        <w:t>能够自动生成解释性总结，提供诊断术语库，方便医生快速编写诊断结论；</w:t>
      </w:r>
    </w:p>
    <w:p>
      <w:pPr>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Hans"/>
        </w:rPr>
        <w:t>具有智能检索功能，支持对病例进行快速查找；</w:t>
      </w:r>
    </w:p>
    <w:p>
      <w:pPr>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Hans"/>
        </w:rPr>
        <w:t>可自动删除已读取数据，防止病人数据混淆；</w:t>
      </w:r>
    </w:p>
    <w:p>
      <w:pPr>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Hans"/>
        </w:rPr>
        <w:t>具有数据表、统计表、直方图、饼图、昼夜节律图等分析工具，能够更加直观的分析数据；</w:t>
      </w:r>
    </w:p>
    <w:p>
      <w:pPr>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Hans"/>
        </w:rPr>
        <w:t>支持平均压、测量比较功能、脉压分析、动态动脉硬化指数分析、晨峰血压分析、白大衣分析，多种分析功能辅助医生分析诊断；</w:t>
      </w:r>
    </w:p>
    <w:p>
      <w:pPr>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Hans"/>
        </w:rPr>
        <w:t>相关图分析：可查看收缩压和舒张压相关性，查看全部和部分相关图，数据范围可支持总体、白天、夜间；</w:t>
      </w:r>
    </w:p>
    <w:p>
      <w:pPr>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Hans"/>
        </w:rPr>
        <w:t>提供病人信息、管理列表、报告内容自定义配置，灵活的配置满足多样化的需求；</w:t>
      </w:r>
    </w:p>
    <w:p>
      <w:pPr>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Hans"/>
        </w:rPr>
        <w:t>数据管理和报告打印：用户可以编辑、存储、打印病人的血压、数据表、直方图、饼图、昼夜节律图等信息</w:t>
      </w:r>
      <w:r>
        <w:rPr>
          <w:rFonts w:hint="eastAsia" w:ascii="宋体" w:hAnsi="宋体" w:eastAsia="宋体" w:cs="宋体"/>
          <w:color w:val="auto"/>
          <w:sz w:val="24"/>
          <w:szCs w:val="24"/>
          <w:highlight w:val="none"/>
          <w:lang w:eastAsia="zh-CN"/>
        </w:rPr>
        <w:t>。</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cs="宋体"/>
          <w:b/>
          <w:bCs/>
          <w:iCs/>
          <w:color w:val="auto"/>
          <w:sz w:val="24"/>
          <w:szCs w:val="24"/>
          <w:highlight w:val="none"/>
          <w:lang w:val="en-US" w:eastAsia="zh-Hans"/>
        </w:rPr>
      </w:pPr>
      <w:r>
        <w:rPr>
          <w:rFonts w:hint="eastAsia" w:ascii="宋体" w:hAnsi="宋体" w:cs="宋体"/>
          <w:b/>
          <w:bCs/>
          <w:iCs/>
          <w:color w:val="auto"/>
          <w:sz w:val="24"/>
          <w:szCs w:val="24"/>
          <w:highlight w:val="none"/>
          <w:lang w:val="en-US" w:eastAsia="zh-CN"/>
        </w:rPr>
        <w:t>（二）</w:t>
      </w:r>
      <w:r>
        <w:rPr>
          <w:rFonts w:hint="eastAsia" w:ascii="宋体" w:hAnsi="宋体" w:cs="宋体"/>
          <w:b/>
          <w:bCs/>
          <w:iCs/>
          <w:color w:val="auto"/>
          <w:sz w:val="24"/>
          <w:szCs w:val="24"/>
          <w:highlight w:val="none"/>
          <w:lang w:val="en-US" w:eastAsia="zh-Hans"/>
        </w:rPr>
        <w:t>动态血压采集设备硬件参数</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1.</w:t>
      </w:r>
      <w:r>
        <w:rPr>
          <w:rFonts w:hint="eastAsia" w:ascii="宋体" w:hAnsi="宋体" w:eastAsia="宋体" w:cs="宋体"/>
          <w:iCs/>
          <w:color w:val="auto"/>
          <w:sz w:val="24"/>
          <w:szCs w:val="24"/>
          <w:highlight w:val="none"/>
          <w:lang w:eastAsia="zh-CN"/>
        </w:rPr>
        <w:t>★全玻璃面板，体积小，重量＜260g，方便受检者佩戴</w:t>
      </w:r>
      <w:r>
        <w:rPr>
          <w:rFonts w:hint="eastAsia" w:ascii="宋体" w:hAnsi="宋体" w:eastAsia="宋体" w:cs="宋体"/>
          <w:iCs/>
          <w:color w:val="auto"/>
          <w:sz w:val="24"/>
          <w:szCs w:val="24"/>
          <w:highlight w:val="none"/>
          <w:lang w:eastAsia="zh-Hans"/>
        </w:rPr>
        <w:t>；</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2.</w:t>
      </w:r>
      <w:r>
        <w:rPr>
          <w:rFonts w:hint="eastAsia" w:ascii="宋体" w:hAnsi="宋体" w:eastAsia="宋体" w:cs="宋体"/>
          <w:iCs/>
          <w:color w:val="auto"/>
          <w:sz w:val="24"/>
          <w:szCs w:val="24"/>
          <w:highlight w:val="none"/>
          <w:lang w:eastAsia="zh-CN"/>
        </w:rPr>
        <w:t>★屏幕显示，能够清晰显示时间、电池电量、血压测量结果</w:t>
      </w:r>
      <w:r>
        <w:rPr>
          <w:rFonts w:hint="eastAsia" w:ascii="宋体" w:hAnsi="宋体" w:eastAsia="宋体" w:cs="宋体"/>
          <w:iCs/>
          <w:color w:val="auto"/>
          <w:sz w:val="24"/>
          <w:szCs w:val="24"/>
          <w:highlight w:val="none"/>
          <w:lang w:eastAsia="zh-Hans"/>
        </w:rPr>
        <w:t>；</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3.</w:t>
      </w:r>
      <w:r>
        <w:rPr>
          <w:rFonts w:hint="eastAsia" w:ascii="宋体" w:hAnsi="宋体" w:eastAsia="宋体" w:cs="宋体"/>
          <w:iCs/>
          <w:color w:val="auto"/>
          <w:sz w:val="24"/>
          <w:szCs w:val="24"/>
          <w:highlight w:val="none"/>
          <w:lang w:eastAsia="zh-CN"/>
        </w:rPr>
        <w:t>设计科学合理，能够快速连接、更换袖带，保证患者佩戴舒适性</w:t>
      </w:r>
      <w:r>
        <w:rPr>
          <w:rFonts w:hint="eastAsia" w:ascii="宋体" w:hAnsi="宋体" w:eastAsia="宋体" w:cs="宋体"/>
          <w:iCs/>
          <w:color w:val="auto"/>
          <w:sz w:val="24"/>
          <w:szCs w:val="24"/>
          <w:highlight w:val="none"/>
          <w:lang w:eastAsia="zh-Hans"/>
        </w:rPr>
        <w:t>；</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4.</w:t>
      </w:r>
      <w:r>
        <w:rPr>
          <w:rFonts w:hint="eastAsia" w:ascii="宋体" w:hAnsi="宋体" w:eastAsia="宋体" w:cs="宋体"/>
          <w:iCs/>
          <w:color w:val="auto"/>
          <w:sz w:val="24"/>
          <w:szCs w:val="24"/>
          <w:highlight w:val="none"/>
          <w:lang w:eastAsia="zh-CN"/>
        </w:rPr>
        <w:t>★灵活的数据传输方式，支持有线或无线方式进行数据传输、读取</w:t>
      </w:r>
      <w:r>
        <w:rPr>
          <w:rFonts w:hint="eastAsia" w:ascii="宋体" w:hAnsi="宋体" w:eastAsia="宋体" w:cs="宋体"/>
          <w:iCs/>
          <w:color w:val="auto"/>
          <w:sz w:val="24"/>
          <w:szCs w:val="24"/>
          <w:highlight w:val="none"/>
          <w:lang w:eastAsia="zh-Hans"/>
        </w:rPr>
        <w:t>；</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5.</w:t>
      </w:r>
      <w:r>
        <w:rPr>
          <w:rFonts w:hint="eastAsia" w:ascii="宋体" w:hAnsi="宋体" w:eastAsia="宋体" w:cs="宋体"/>
          <w:iCs/>
          <w:color w:val="auto"/>
          <w:sz w:val="24"/>
          <w:szCs w:val="24"/>
          <w:highlight w:val="none"/>
          <w:lang w:eastAsia="zh-CN"/>
        </w:rPr>
        <w:t>供电要求：直流电源电池供电</w:t>
      </w:r>
      <w:r>
        <w:rPr>
          <w:rFonts w:hint="eastAsia" w:ascii="宋体" w:hAnsi="宋体" w:eastAsia="宋体" w:cs="宋体"/>
          <w:iCs/>
          <w:color w:val="auto"/>
          <w:sz w:val="24"/>
          <w:szCs w:val="24"/>
          <w:highlight w:val="none"/>
          <w:lang w:eastAsia="zh-Hans"/>
        </w:rPr>
        <w:t>；</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6.</w:t>
      </w:r>
      <w:r>
        <w:rPr>
          <w:rFonts w:hint="eastAsia" w:ascii="宋体" w:hAnsi="宋体" w:eastAsia="宋体" w:cs="宋体"/>
          <w:iCs/>
          <w:color w:val="auto"/>
          <w:sz w:val="24"/>
          <w:szCs w:val="24"/>
          <w:highlight w:val="none"/>
          <w:lang w:eastAsia="zh-CN"/>
        </w:rPr>
        <w:t>日常电池的更换设计合理，方便临床医生使用</w:t>
      </w:r>
      <w:r>
        <w:rPr>
          <w:rFonts w:hint="eastAsia" w:ascii="宋体" w:hAnsi="宋体" w:eastAsia="宋体" w:cs="宋体"/>
          <w:iCs/>
          <w:color w:val="auto"/>
          <w:sz w:val="24"/>
          <w:szCs w:val="24"/>
          <w:highlight w:val="none"/>
          <w:lang w:eastAsia="zh-Hans"/>
        </w:rPr>
        <w:t>；</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7.</w:t>
      </w:r>
      <w:r>
        <w:rPr>
          <w:rFonts w:hint="eastAsia" w:ascii="宋体" w:hAnsi="宋体" w:eastAsia="宋体" w:cs="宋体"/>
          <w:iCs/>
          <w:color w:val="auto"/>
          <w:sz w:val="24"/>
          <w:szCs w:val="24"/>
          <w:highlight w:val="none"/>
          <w:lang w:eastAsia="zh-CN"/>
        </w:rPr>
        <w:t>支持事件记录功能，结合事件记录对血压数据进行分析</w:t>
      </w:r>
      <w:r>
        <w:rPr>
          <w:rFonts w:hint="eastAsia" w:ascii="宋体" w:hAnsi="宋体" w:eastAsia="宋体" w:cs="宋体"/>
          <w:iCs/>
          <w:color w:val="auto"/>
          <w:sz w:val="24"/>
          <w:szCs w:val="24"/>
          <w:highlight w:val="none"/>
          <w:lang w:eastAsia="zh-Hans"/>
        </w:rPr>
        <w:t>；</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8.</w:t>
      </w:r>
      <w:r>
        <w:rPr>
          <w:rFonts w:hint="eastAsia" w:ascii="宋体" w:hAnsi="宋体" w:eastAsia="宋体" w:cs="宋体"/>
          <w:iCs/>
          <w:color w:val="auto"/>
          <w:sz w:val="24"/>
          <w:szCs w:val="24"/>
          <w:highlight w:val="none"/>
          <w:lang w:eastAsia="zh-CN"/>
        </w:rPr>
        <w:t>数据存储器：闪存储存，至少可存储100组数据</w:t>
      </w:r>
      <w:r>
        <w:rPr>
          <w:rFonts w:hint="eastAsia" w:ascii="宋体" w:hAnsi="宋体" w:eastAsia="宋体" w:cs="宋体"/>
          <w:iCs/>
          <w:color w:val="auto"/>
          <w:sz w:val="24"/>
          <w:szCs w:val="24"/>
          <w:highlight w:val="none"/>
          <w:lang w:eastAsia="zh-Hans"/>
        </w:rPr>
        <w:t>；</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9.</w:t>
      </w:r>
      <w:r>
        <w:rPr>
          <w:rFonts w:hint="eastAsia" w:ascii="宋体" w:hAnsi="宋体" w:eastAsia="宋体" w:cs="宋体"/>
          <w:iCs/>
          <w:color w:val="auto"/>
          <w:sz w:val="24"/>
          <w:szCs w:val="24"/>
          <w:highlight w:val="none"/>
          <w:lang w:eastAsia="zh-CN"/>
        </w:rPr>
        <w:t>测量方法：示波法</w:t>
      </w:r>
      <w:r>
        <w:rPr>
          <w:rFonts w:hint="eastAsia" w:ascii="宋体" w:hAnsi="宋体" w:eastAsia="宋体" w:cs="宋体"/>
          <w:iCs/>
          <w:color w:val="auto"/>
          <w:sz w:val="24"/>
          <w:szCs w:val="24"/>
          <w:highlight w:val="none"/>
          <w:lang w:eastAsia="zh-Hans"/>
        </w:rPr>
        <w:t>；</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10.</w:t>
      </w:r>
      <w:r>
        <w:rPr>
          <w:rFonts w:hint="eastAsia" w:ascii="宋体" w:hAnsi="宋体" w:eastAsia="宋体" w:cs="宋体"/>
          <w:iCs/>
          <w:color w:val="auto"/>
          <w:sz w:val="24"/>
          <w:szCs w:val="24"/>
          <w:highlight w:val="none"/>
          <w:lang w:eastAsia="zh-CN"/>
        </w:rPr>
        <w:t>量程：0 mmHg~260 mmHg</w:t>
      </w:r>
      <w:r>
        <w:rPr>
          <w:rFonts w:hint="eastAsia" w:ascii="宋体" w:hAnsi="宋体" w:eastAsia="宋体" w:cs="宋体"/>
          <w:iCs/>
          <w:color w:val="auto"/>
          <w:sz w:val="24"/>
          <w:szCs w:val="24"/>
          <w:highlight w:val="none"/>
          <w:lang w:eastAsia="zh-Hans"/>
        </w:rPr>
        <w:t>；</w:t>
      </w:r>
      <w:r>
        <w:rPr>
          <w:rFonts w:hint="eastAsia" w:ascii="宋体" w:hAnsi="宋体" w:eastAsia="宋体" w:cs="宋体"/>
          <w:iCs/>
          <w:color w:val="auto"/>
          <w:sz w:val="24"/>
          <w:szCs w:val="24"/>
          <w:highlight w:val="none"/>
          <w:lang w:eastAsia="zh-CN"/>
        </w:rPr>
        <w:t xml:space="preserve"> </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11.</w:t>
      </w:r>
      <w:r>
        <w:rPr>
          <w:rFonts w:hint="eastAsia" w:ascii="宋体" w:hAnsi="宋体" w:eastAsia="宋体" w:cs="宋体"/>
          <w:iCs/>
          <w:color w:val="auto"/>
          <w:sz w:val="24"/>
          <w:szCs w:val="24"/>
          <w:highlight w:val="none"/>
          <w:lang w:eastAsia="zh-CN"/>
        </w:rPr>
        <w:t>压力测量范围：20 mmHg~260 mmHg</w:t>
      </w:r>
      <w:r>
        <w:rPr>
          <w:rFonts w:hint="eastAsia" w:ascii="宋体" w:hAnsi="宋体" w:eastAsia="宋体" w:cs="宋体"/>
          <w:iCs/>
          <w:color w:val="auto"/>
          <w:sz w:val="24"/>
          <w:szCs w:val="24"/>
          <w:highlight w:val="none"/>
          <w:lang w:eastAsia="zh-Hans"/>
        </w:rPr>
        <w:t>；</w:t>
      </w:r>
      <w:r>
        <w:rPr>
          <w:rFonts w:hint="eastAsia" w:ascii="宋体" w:hAnsi="宋体" w:eastAsia="宋体" w:cs="宋体"/>
          <w:iCs/>
          <w:color w:val="auto"/>
          <w:sz w:val="24"/>
          <w:szCs w:val="24"/>
          <w:highlight w:val="none"/>
          <w:lang w:eastAsia="zh-CN"/>
        </w:rPr>
        <w:t xml:space="preserve"> </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12.</w:t>
      </w:r>
      <w:r>
        <w:rPr>
          <w:rFonts w:hint="eastAsia" w:ascii="宋体" w:hAnsi="宋体" w:eastAsia="宋体" w:cs="宋体"/>
          <w:iCs/>
          <w:color w:val="auto"/>
          <w:sz w:val="24"/>
          <w:szCs w:val="24"/>
          <w:highlight w:val="none"/>
          <w:lang w:eastAsia="zh-CN"/>
        </w:rPr>
        <w:t>脉率测量范围：50 bpm~200 bpm</w:t>
      </w:r>
      <w:r>
        <w:rPr>
          <w:rFonts w:hint="eastAsia" w:ascii="宋体" w:hAnsi="宋体" w:eastAsia="宋体" w:cs="宋体"/>
          <w:iCs/>
          <w:color w:val="auto"/>
          <w:sz w:val="24"/>
          <w:szCs w:val="24"/>
          <w:highlight w:val="none"/>
          <w:lang w:eastAsia="zh-Hans"/>
        </w:rPr>
        <w:t>；</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13.</w:t>
      </w:r>
      <w:r>
        <w:rPr>
          <w:rFonts w:hint="eastAsia" w:ascii="宋体" w:hAnsi="宋体" w:eastAsia="宋体" w:cs="宋体"/>
          <w:iCs/>
          <w:color w:val="auto"/>
          <w:sz w:val="24"/>
          <w:szCs w:val="24"/>
          <w:highlight w:val="none"/>
          <w:lang w:eastAsia="zh-CN"/>
        </w:rPr>
        <w:t>过压保护：有过压保护功能</w:t>
      </w:r>
      <w:r>
        <w:rPr>
          <w:rFonts w:hint="eastAsia" w:ascii="宋体" w:hAnsi="宋体" w:eastAsia="宋体" w:cs="宋体"/>
          <w:iCs/>
          <w:color w:val="auto"/>
          <w:sz w:val="24"/>
          <w:szCs w:val="24"/>
          <w:highlight w:val="none"/>
          <w:lang w:eastAsia="zh-Hans"/>
        </w:rPr>
        <w:t>；</w:t>
      </w:r>
      <w:r>
        <w:rPr>
          <w:rFonts w:hint="eastAsia" w:ascii="宋体" w:hAnsi="宋体" w:eastAsia="宋体" w:cs="宋体"/>
          <w:iCs/>
          <w:color w:val="auto"/>
          <w:sz w:val="24"/>
          <w:szCs w:val="24"/>
          <w:highlight w:val="none"/>
          <w:lang w:eastAsia="zh-CN"/>
        </w:rPr>
        <w:t xml:space="preserve"> </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5" w:leftChars="0" w:right="0" w:rightChars="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14.</w:t>
      </w:r>
      <w:r>
        <w:rPr>
          <w:rFonts w:hint="eastAsia" w:ascii="宋体" w:hAnsi="宋体" w:eastAsia="宋体" w:cs="宋体"/>
          <w:iCs/>
          <w:color w:val="auto"/>
          <w:sz w:val="24"/>
          <w:szCs w:val="24"/>
          <w:highlight w:val="none"/>
          <w:lang w:eastAsia="zh-CN"/>
        </w:rPr>
        <w:t>监测间隔：5分钟、10分钟、20分钟、30分钟、60分钟、90分钟、120分钟</w:t>
      </w:r>
      <w:r>
        <w:rPr>
          <w:rFonts w:hint="eastAsia" w:ascii="宋体" w:hAnsi="宋体" w:eastAsia="宋体" w:cs="宋体"/>
          <w:iCs/>
          <w:color w:val="auto"/>
          <w:sz w:val="24"/>
          <w:szCs w:val="24"/>
          <w:highlight w:val="none"/>
          <w:lang w:eastAsia="zh-Hans"/>
        </w:rPr>
        <w:t>；</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rPr>
          <w:rFonts w:hint="eastAsia" w:ascii="宋体" w:hAnsi="宋体" w:eastAsia="宋体" w:cs="宋体"/>
          <w:iCs/>
          <w:color w:val="auto"/>
          <w:sz w:val="24"/>
          <w:szCs w:val="24"/>
          <w:highlight w:val="none"/>
          <w:lang w:eastAsia="zh-CN"/>
        </w:rPr>
      </w:pP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cs="宋体"/>
          <w:b/>
          <w:bCs/>
          <w:iCs/>
          <w:color w:val="auto"/>
          <w:sz w:val="24"/>
          <w:szCs w:val="24"/>
          <w:highlight w:val="none"/>
          <w:lang w:val="en-US" w:eastAsia="zh-CN"/>
        </w:rPr>
      </w:pPr>
      <w:r>
        <w:rPr>
          <w:rFonts w:hint="eastAsia" w:ascii="宋体" w:hAnsi="宋体" w:cs="宋体"/>
          <w:b/>
          <w:bCs/>
          <w:iCs/>
          <w:color w:val="auto"/>
          <w:sz w:val="24"/>
          <w:szCs w:val="24"/>
          <w:highlight w:val="none"/>
          <w:lang w:val="en-US" w:eastAsia="zh-Hans"/>
        </w:rPr>
        <w:t>四、</w:t>
      </w:r>
      <w:r>
        <w:rPr>
          <w:rFonts w:hint="eastAsia" w:ascii="宋体" w:hAnsi="宋体" w:cs="宋体"/>
          <w:b/>
          <w:bCs/>
          <w:iCs/>
          <w:color w:val="auto"/>
          <w:sz w:val="24"/>
          <w:szCs w:val="24"/>
          <w:highlight w:val="none"/>
          <w:lang w:val="en-US" w:eastAsia="zh-CN"/>
        </w:rPr>
        <w:t>其他要求</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firstLine="241" w:firstLineChars="100"/>
        <w:rPr>
          <w:rFonts w:hint="eastAsia" w:ascii="宋体" w:hAnsi="宋体" w:cs="宋体"/>
          <w:b/>
          <w:bCs/>
          <w:iCs/>
          <w:color w:val="auto"/>
          <w:sz w:val="24"/>
          <w:szCs w:val="24"/>
          <w:highlight w:val="none"/>
          <w:lang w:val="en-US" w:eastAsia="zh-CN"/>
        </w:rPr>
      </w:pPr>
      <w:r>
        <w:rPr>
          <w:rFonts w:hint="eastAsia" w:ascii="宋体" w:hAnsi="宋体" w:cs="宋体"/>
          <w:b/>
          <w:bCs/>
          <w:iCs/>
          <w:color w:val="auto"/>
          <w:sz w:val="24"/>
          <w:szCs w:val="24"/>
          <w:highlight w:val="none"/>
          <w:lang w:val="en-US" w:eastAsia="zh-CN"/>
        </w:rPr>
        <w:t>1.接口改造服务：</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firstLine="240" w:firstLineChars="100"/>
        <w:rPr>
          <w:rFonts w:hint="eastAsia" w:ascii="宋体" w:hAnsi="宋体" w:eastAsia="宋体" w:cs="宋体"/>
          <w:iCs/>
          <w:color w:val="auto"/>
          <w:sz w:val="24"/>
          <w:szCs w:val="24"/>
          <w:highlight w:val="none"/>
          <w:lang w:val="en-US" w:eastAsia="zh-CN" w:bidi="en-US"/>
        </w:rPr>
      </w:pPr>
      <w:r>
        <w:rPr>
          <w:rFonts w:hint="eastAsia" w:ascii="宋体" w:hAnsi="宋体" w:eastAsia="宋体" w:cs="宋体"/>
          <w:iCs/>
          <w:color w:val="auto"/>
          <w:sz w:val="24"/>
          <w:szCs w:val="24"/>
          <w:highlight w:val="none"/>
          <w:lang w:val="en-US" w:eastAsia="zh-CN" w:bidi="en-US"/>
        </w:rPr>
        <w:t>第三方接口改造服务：本项目</w:t>
      </w:r>
      <w:r>
        <w:rPr>
          <w:rFonts w:hint="eastAsia" w:ascii="宋体" w:hAnsi="宋体" w:eastAsia="宋体" w:cs="宋体"/>
          <w:iCs/>
          <w:color w:val="auto"/>
          <w:sz w:val="24"/>
          <w:szCs w:val="24"/>
          <w:highlight w:val="none"/>
          <w:lang w:val="en-US" w:eastAsia="zh-Hans" w:bidi="en-US"/>
        </w:rPr>
        <w:t>的“</w:t>
      </w:r>
      <w:r>
        <w:rPr>
          <w:rFonts w:hint="eastAsia" w:ascii="宋体" w:hAnsi="宋体" w:eastAsia="宋体" w:cs="宋体"/>
          <w:iCs/>
          <w:color w:val="auto"/>
          <w:sz w:val="24"/>
          <w:szCs w:val="24"/>
          <w:highlight w:val="none"/>
          <w:lang w:val="en-US" w:eastAsia="zh-CN" w:bidi="en-US"/>
        </w:rPr>
        <w:t>十二导联常规心电图机</w:t>
      </w:r>
      <w:r>
        <w:rPr>
          <w:rFonts w:hint="eastAsia" w:ascii="宋体" w:hAnsi="宋体" w:eastAsia="宋体" w:cs="宋体"/>
          <w:iCs/>
          <w:color w:val="auto"/>
          <w:sz w:val="24"/>
          <w:szCs w:val="24"/>
          <w:highlight w:val="none"/>
          <w:lang w:val="en-US" w:eastAsia="zh-Hans" w:bidi="en-US"/>
        </w:rPr>
        <w:t>”</w:t>
      </w:r>
      <w:r>
        <w:rPr>
          <w:rFonts w:hint="eastAsia" w:ascii="宋体" w:hAnsi="宋体" w:eastAsia="宋体" w:cs="宋体"/>
          <w:iCs/>
          <w:color w:val="auto"/>
          <w:sz w:val="24"/>
          <w:szCs w:val="24"/>
          <w:highlight w:val="none"/>
          <w:lang w:val="en-US" w:eastAsia="zh-CN" w:bidi="en-US"/>
        </w:rPr>
        <w:t>如果需要和我院使用的HIS</w:t>
      </w:r>
      <w:r>
        <w:rPr>
          <w:rFonts w:hint="eastAsia" w:ascii="宋体" w:hAnsi="宋体" w:eastAsia="宋体" w:cs="宋体"/>
          <w:iCs/>
          <w:color w:val="auto"/>
          <w:sz w:val="24"/>
          <w:szCs w:val="24"/>
          <w:highlight w:val="none"/>
          <w:lang w:eastAsia="zh-CN" w:bidi="en-US"/>
        </w:rPr>
        <w:t>、</w:t>
      </w:r>
      <w:r>
        <w:rPr>
          <w:rFonts w:hint="eastAsia" w:ascii="宋体" w:hAnsi="宋体" w:eastAsia="宋体" w:cs="宋体"/>
          <w:iCs/>
          <w:color w:val="auto"/>
          <w:sz w:val="24"/>
          <w:szCs w:val="24"/>
          <w:highlight w:val="none"/>
          <w:lang w:val="en-US" w:eastAsia="zh-Hans" w:bidi="en-US"/>
        </w:rPr>
        <w:t>心电系统</w:t>
      </w:r>
      <w:r>
        <w:rPr>
          <w:rFonts w:hint="eastAsia" w:ascii="宋体" w:hAnsi="宋体" w:eastAsia="宋体" w:cs="宋体"/>
          <w:iCs/>
          <w:color w:val="auto"/>
          <w:sz w:val="24"/>
          <w:szCs w:val="24"/>
          <w:highlight w:val="none"/>
          <w:lang w:eastAsia="zh-Hans" w:bidi="en-US"/>
        </w:rPr>
        <w:t>、</w:t>
      </w:r>
      <w:r>
        <w:rPr>
          <w:rFonts w:hint="eastAsia" w:ascii="宋体" w:hAnsi="宋体" w:eastAsia="宋体" w:cs="宋体"/>
          <w:iCs/>
          <w:color w:val="auto"/>
          <w:sz w:val="24"/>
          <w:szCs w:val="24"/>
          <w:highlight w:val="none"/>
          <w:lang w:val="en-US" w:eastAsia="zh-CN" w:bidi="en-US"/>
        </w:rPr>
        <w:t>体检等第三方系统对接，接口改造工作由中标方自行联系相关厂家进行对接，本项目与上述各个系统对接时第三方公司收取的接口费由中标方承担。</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firstLine="241" w:firstLineChars="1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2.其他服务：</w:t>
      </w:r>
    </w:p>
    <w:p>
      <w:pPr>
        <w:keepNext w:val="0"/>
        <w:keepLines w:val="0"/>
        <w:pageBreakBefore w:val="0"/>
        <w:numPr>
          <w:ilvl w:val="0"/>
          <w:numId w:val="0"/>
        </w:numPr>
        <w:kinsoku/>
        <w:wordWrap/>
        <w:overflowPunct/>
        <w:topLinePunct w:val="0"/>
        <w:autoSpaceDE/>
        <w:autoSpaceDN/>
        <w:bidi w:val="0"/>
        <w:adjustRightInd/>
        <w:snapToGrid/>
        <w:spacing w:line="460" w:lineRule="exact"/>
        <w:ind w:left="0" w:right="0" w:rightChars="0" w:firstLine="480" w:firstLineChars="200"/>
        <w:rPr>
          <w:rFonts w:hint="eastAsia" w:ascii="宋体" w:hAnsi="宋体" w:eastAsia="宋体" w:cs="宋体"/>
          <w:iCs/>
          <w:color w:val="auto"/>
          <w:sz w:val="24"/>
          <w:szCs w:val="24"/>
          <w:highlight w:val="none"/>
          <w:lang w:val="en-US" w:eastAsia="zh-CN" w:bidi="en-US"/>
        </w:rPr>
      </w:pPr>
      <w:r>
        <w:rPr>
          <w:rFonts w:hint="eastAsia" w:ascii="宋体" w:hAnsi="宋体" w:eastAsia="宋体" w:cs="宋体"/>
          <w:iCs/>
          <w:color w:val="auto"/>
          <w:sz w:val="24"/>
          <w:szCs w:val="24"/>
          <w:highlight w:val="none"/>
          <w:lang w:val="en-US" w:eastAsia="zh-CN" w:bidi="en-US"/>
        </w:rPr>
        <w:t>项目中部署软件所新增的物理服务器或虚拟服务器必须进行安全加固及防勒索防护（按照每个服务器端计算），由项目中标单位联系我院原有安全服务提供商进行安装部署，符合要求后方可进行项目验收。</w:t>
      </w:r>
    </w:p>
    <w:p>
      <w:pPr>
        <w:pStyle w:val="82"/>
        <w:keepNext w:val="0"/>
        <w:keepLines w:val="0"/>
        <w:pageBreakBefore w:val="0"/>
        <w:numPr>
          <w:ilvl w:val="0"/>
          <w:numId w:val="0"/>
        </w:numPr>
        <w:kinsoku/>
        <w:wordWrap/>
        <w:overflowPunct/>
        <w:topLinePunct w:val="0"/>
        <w:autoSpaceDE/>
        <w:autoSpaceDN/>
        <w:bidi w:val="0"/>
        <w:adjustRightInd/>
        <w:snapToGrid/>
        <w:spacing w:line="460" w:lineRule="exact"/>
        <w:ind w:left="-420" w:leftChars="0" w:right="0" w:rightChars="0"/>
        <w:rPr>
          <w:rFonts w:hint="eastAsia" w:ascii="宋体" w:hAnsi="宋体" w:cs="宋体"/>
          <w:b/>
          <w:bCs/>
          <w:iCs/>
          <w:color w:val="auto"/>
          <w:sz w:val="24"/>
          <w:szCs w:val="24"/>
          <w:highlight w:val="none"/>
          <w:lang w:val="en-US" w:eastAsia="zh-CN"/>
        </w:rPr>
      </w:pPr>
      <w:r>
        <w:rPr>
          <w:rFonts w:hint="eastAsia" w:ascii="宋体" w:hAnsi="宋体" w:cs="宋体"/>
          <w:b/>
          <w:bCs/>
          <w:iCs/>
          <w:color w:val="auto"/>
          <w:sz w:val="24"/>
          <w:szCs w:val="24"/>
          <w:highlight w:val="none"/>
          <w:lang w:val="en-US" w:eastAsia="zh-CN"/>
        </w:rPr>
        <w:t>五、配置清单</w:t>
      </w:r>
    </w:p>
    <w:tbl>
      <w:tblPr>
        <w:tblStyle w:val="27"/>
        <w:tblpPr w:leftFromText="180" w:rightFromText="180" w:vertAnchor="text" w:horzAnchor="page" w:tblpX="1703" w:tblpY="2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507"/>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设备名称</w:t>
            </w:r>
          </w:p>
        </w:tc>
        <w:tc>
          <w:tcPr>
            <w:tcW w:w="25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c>
          <w:tcPr>
            <w:tcW w:w="28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十二导联常规心电图机</w:t>
            </w:r>
          </w:p>
        </w:tc>
        <w:tc>
          <w:tcPr>
            <w:tcW w:w="25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28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动态血压监测仪</w:t>
            </w:r>
          </w:p>
        </w:tc>
        <w:tc>
          <w:tcPr>
            <w:tcW w:w="25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28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4"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right="0" w:right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动态心电图机</w:t>
            </w:r>
          </w:p>
        </w:tc>
        <w:tc>
          <w:tcPr>
            <w:tcW w:w="2507"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right="0" w:rightChars="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10</w:t>
            </w:r>
          </w:p>
        </w:tc>
        <w:tc>
          <w:tcPr>
            <w:tcW w:w="28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right="0" w:rightChars="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台</w:t>
            </w:r>
          </w:p>
        </w:tc>
      </w:tr>
    </w:tbl>
    <w:p>
      <w:pPr>
        <w:jc w:val="left"/>
        <w:rPr>
          <w:rFonts w:hint="eastAsia" w:ascii="宋体" w:hAnsi="宋体" w:eastAsia="宋体" w:cs="宋体"/>
          <w:b/>
          <w:color w:val="auto"/>
          <w:sz w:val="24"/>
          <w:szCs w:val="24"/>
          <w:highlight w:val="none"/>
          <w:lang w:val="en-US" w:eastAsia="zh-CN"/>
        </w:rPr>
      </w:pPr>
    </w:p>
    <w:p>
      <w:pPr>
        <w:pStyle w:val="7"/>
        <w:jc w:val="both"/>
        <w:outlineLvl w:val="1"/>
        <w:rPr>
          <w:rFonts w:hint="eastAsia" w:ascii="宋体" w:hAnsi="宋体" w:eastAsia="宋体" w:cs="宋体"/>
          <w:b/>
          <w:bCs/>
          <w:color w:val="auto"/>
          <w:kern w:val="2"/>
          <w:sz w:val="28"/>
          <w:szCs w:val="28"/>
          <w:highlight w:val="none"/>
          <w:u w:val="none"/>
          <w:lang w:val="en-US" w:eastAsia="zh-CN" w:bidi="ar-SA"/>
        </w:rPr>
      </w:pPr>
      <w:bookmarkStart w:id="1228" w:name="_Toc25201"/>
      <w:bookmarkStart w:id="1229" w:name="_Toc29895"/>
      <w:bookmarkStart w:id="1230" w:name="_Toc16802"/>
    </w:p>
    <w:p>
      <w:pPr>
        <w:pStyle w:val="7"/>
        <w:jc w:val="both"/>
        <w:outlineLvl w:val="1"/>
        <w:rPr>
          <w:rFonts w:hint="eastAsia" w:ascii="宋体" w:hAnsi="宋体" w:eastAsia="宋体" w:cs="宋体"/>
          <w:b/>
          <w:bCs/>
          <w:color w:val="auto"/>
          <w:kern w:val="2"/>
          <w:sz w:val="28"/>
          <w:szCs w:val="28"/>
          <w:highlight w:val="none"/>
          <w:u w:val="none"/>
          <w:lang w:val="en-US" w:eastAsia="zh-CN" w:bidi="ar-SA"/>
        </w:rPr>
      </w:pPr>
    </w:p>
    <w:p>
      <w:pPr>
        <w:pStyle w:val="7"/>
        <w:jc w:val="both"/>
        <w:outlineLvl w:val="1"/>
        <w:rPr>
          <w:rFonts w:hint="eastAsia" w:ascii="宋体" w:hAnsi="宋体" w:eastAsia="宋体" w:cs="宋体"/>
          <w:b/>
          <w:bCs/>
          <w:color w:val="auto"/>
          <w:kern w:val="2"/>
          <w:sz w:val="28"/>
          <w:szCs w:val="28"/>
          <w:highlight w:val="none"/>
          <w:u w:val="none"/>
          <w:lang w:val="en-US" w:eastAsia="zh-CN" w:bidi="ar-SA"/>
        </w:rPr>
      </w:pPr>
    </w:p>
    <w:p>
      <w:pPr>
        <w:pStyle w:val="7"/>
        <w:jc w:val="both"/>
        <w:outlineLvl w:val="1"/>
        <w:rPr>
          <w:rFonts w:hint="eastAsia" w:ascii="宋体" w:hAnsi="宋体" w:eastAsia="宋体" w:cs="宋体"/>
          <w:b/>
          <w:bCs/>
          <w:color w:val="auto"/>
          <w:kern w:val="2"/>
          <w:sz w:val="28"/>
          <w:szCs w:val="28"/>
          <w:highlight w:val="none"/>
          <w:u w:val="none"/>
          <w:lang w:val="en-US" w:eastAsia="zh-CN" w:bidi="ar-SA"/>
        </w:rPr>
      </w:pPr>
      <w:bookmarkStart w:id="1231" w:name="_Toc1166"/>
      <w:r>
        <w:rPr>
          <w:rFonts w:hint="eastAsia" w:ascii="宋体" w:hAnsi="宋体" w:eastAsia="宋体" w:cs="宋体"/>
          <w:b/>
          <w:bCs/>
          <w:color w:val="auto"/>
          <w:kern w:val="2"/>
          <w:sz w:val="28"/>
          <w:szCs w:val="28"/>
          <w:highlight w:val="none"/>
          <w:u w:val="none"/>
          <w:lang w:val="en-US" w:eastAsia="zh-CN" w:bidi="ar-SA"/>
        </w:rPr>
        <w:t>第二包</w:t>
      </w:r>
      <w:bookmarkEnd w:id="1228"/>
      <w:bookmarkEnd w:id="1229"/>
      <w:r>
        <w:rPr>
          <w:rFonts w:hint="eastAsia" w:ascii="宋体" w:hAnsi="宋体" w:eastAsia="宋体" w:cs="宋体"/>
          <w:b/>
          <w:bCs/>
          <w:color w:val="auto"/>
          <w:kern w:val="2"/>
          <w:sz w:val="28"/>
          <w:szCs w:val="28"/>
          <w:highlight w:val="none"/>
          <w:u w:val="none"/>
          <w:lang w:val="en-US" w:eastAsia="zh-CN" w:bidi="ar-SA"/>
        </w:rPr>
        <w:t>：</w:t>
      </w:r>
      <w:bookmarkEnd w:id="1230"/>
      <w:bookmarkEnd w:id="1231"/>
    </w:p>
    <w:p>
      <w:pPr>
        <w:pStyle w:val="22"/>
        <w:numPr>
          <w:ilvl w:val="0"/>
          <w:numId w:val="9"/>
        </w:numPr>
        <w:outlineLvl w:val="1"/>
        <w:rPr>
          <w:rFonts w:hint="eastAsia" w:ascii="宋体" w:hAnsi="宋体" w:cs="宋体"/>
          <w:b/>
          <w:color w:val="auto"/>
          <w:sz w:val="32"/>
          <w:szCs w:val="32"/>
          <w:highlight w:val="none"/>
          <w:lang w:val="en-US" w:eastAsia="zh-CN"/>
        </w:rPr>
      </w:pPr>
      <w:bookmarkStart w:id="1232" w:name="_Toc29636"/>
      <w:r>
        <w:rPr>
          <w:rFonts w:hint="eastAsia" w:ascii="宋体" w:hAnsi="宋体" w:cs="宋体"/>
          <w:b/>
          <w:color w:val="auto"/>
          <w:sz w:val="32"/>
          <w:szCs w:val="32"/>
          <w:highlight w:val="none"/>
          <w:lang w:val="en-US" w:eastAsia="zh-CN"/>
        </w:rPr>
        <w:t>货物内容</w:t>
      </w:r>
      <w:bookmarkEnd w:id="1232"/>
    </w:p>
    <w:tbl>
      <w:tblPr>
        <w:tblStyle w:val="2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0"/>
        <w:gridCol w:w="4523"/>
        <w:gridCol w:w="1835"/>
        <w:gridCol w:w="1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医用冷藏柜</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涡旋混匀器</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平车</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行走辅助用具</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坐式体重计</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气垫床</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神经肌肉低频电刺激仪</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超声理疗仪</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特定电磁波治疗器</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音频电治疗仪</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磁振热治疗仪</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超短波治疗仪</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深层肌肉振动仪</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床头柜</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治疗车</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检查床</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气垫床</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心电监护仪</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双通道注射泵</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输液泵</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bl>
    <w:p>
      <w:pPr>
        <w:rPr>
          <w:rFonts w:hint="eastAsia" w:ascii="宋体" w:hAnsi="宋体" w:eastAsia="宋体" w:cs="宋体"/>
          <w:color w:val="auto"/>
          <w:sz w:val="24"/>
          <w:szCs w:val="24"/>
          <w:highlight w:val="none"/>
        </w:rPr>
      </w:pPr>
    </w:p>
    <w:p>
      <w:pPr>
        <w:pStyle w:val="22"/>
        <w:numPr>
          <w:ilvl w:val="0"/>
          <w:numId w:val="10"/>
        </w:numPr>
        <w:shd w:val="clear" w:color="auto"/>
        <w:spacing w:before="0" w:beforeAutospacing="0" w:after="0" w:afterAutospacing="0" w:line="360" w:lineRule="atLeast"/>
        <w:jc w:val="center"/>
        <w:outlineLvl w:val="2"/>
        <w:rPr>
          <w:rFonts w:hint="eastAsia" w:ascii="宋体" w:hAnsi="宋体" w:cs="宋体"/>
          <w:b/>
          <w:bCs/>
          <w:iCs/>
          <w:color w:val="auto"/>
          <w:sz w:val="28"/>
          <w:szCs w:val="28"/>
          <w:highlight w:val="none"/>
          <w:lang w:val="en-US" w:eastAsia="zh-CN"/>
        </w:rPr>
      </w:pPr>
      <w:bookmarkStart w:id="1233" w:name="_Toc22437"/>
      <w:r>
        <w:rPr>
          <w:rFonts w:hint="eastAsia" w:ascii="宋体" w:hAnsi="宋体" w:cs="宋体"/>
          <w:b/>
          <w:bCs/>
          <w:iCs/>
          <w:color w:val="auto"/>
          <w:sz w:val="28"/>
          <w:szCs w:val="28"/>
          <w:highlight w:val="none"/>
          <w:lang w:val="en-US" w:eastAsia="zh-CN"/>
        </w:rPr>
        <w:t>医用冷藏柜</w:t>
      </w:r>
      <w:bookmarkEnd w:id="1233"/>
    </w:p>
    <w:p>
      <w:pPr>
        <w:pStyle w:val="22"/>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技术参数：</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样式：立式，单门。</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有效容积(L)：395。（允许偏差±3%）</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净重/毛重（KG）：94.5/108。（允许偏差±3%）</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箱体材质：内壁为PCM彩板材质，经久耐用、便于清洁，内胆材质为ABS材质。</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箱内筒状双LED照明系统，功耗低，亮度高，箱体内部一目了然。</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压缩机：采用高效压缩机，风扇电机，节能高效、静音。R600a制冷剂。</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高密度钢丝浸塑搁架（间距小于1公分，防止物品掉落），带标签卡，方便存放物品标识，且易于清洗，配备储物篮筐（6搁架+1吊篮）。</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门体箱体上下双锁设计，可加外挂锁，防止随意开启，存储物品安全。</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 xml:space="preserve">前后四个万向脚轮+前两个支撑脚设计，方便移动安放。 </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门体加热模式：自动加热模式、一直加热模式、关闭模式，实现32℃环温80%湿度条件下无凝露，小角度自动关门功能。</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rPr>
        <w:t>高精度微电脑温度控制系统，内置上部温度、下部温度、控制/报警温度、环境温度、蒸发器温度、冷凝器温度、湿度传感器等7路传感器，确保运行状态安全稳定。</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箱内温度波动范围±3℃，可通过设定温度使箱内温度保持在2-8℃范围内。风道式强制冷气循环系统，确保箱体内部温度均匀性。</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rPr>
        <w:t>英寸高亮度天蓝色数码温度屏，视觉更柔和，显示精度0.1℃；可调阅湿度。</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完善的报警功能：具有高温、低温、高环温报警、传感器故警、开门、断电报警、电池电量低报警、显示板通信故障报警、记录仪通讯故障报警等多种报警功能。开门蜂鸣报警，门关闭报警消除。</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15、</w:t>
      </w:r>
      <w:r>
        <w:rPr>
          <w:rFonts w:hint="eastAsia" w:ascii="宋体" w:hAnsi="宋体" w:eastAsia="宋体" w:cs="宋体"/>
          <w:b w:val="0"/>
          <w:bCs/>
          <w:color w:val="auto"/>
          <w:sz w:val="24"/>
          <w:szCs w:val="24"/>
          <w:highlight w:val="none"/>
        </w:rPr>
        <w:t>报警模式：声音蜂鸣、报警代码3秒/次间隔闪烁，物品存放更安全，具备远程报警功能。</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16、</w:t>
      </w:r>
      <w:r>
        <w:rPr>
          <w:rFonts w:hint="eastAsia" w:ascii="宋体" w:hAnsi="宋体" w:eastAsia="宋体" w:cs="宋体"/>
          <w:b w:val="0"/>
          <w:bCs/>
          <w:color w:val="auto"/>
          <w:sz w:val="24"/>
          <w:szCs w:val="24"/>
          <w:highlight w:val="none"/>
        </w:rPr>
        <w:t>风冷式高效冷凝器，翅片式蒸发器，冷藏内置吸风风扇，制冷迅速；具备自动化霜功能。</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17、</w:t>
      </w:r>
      <w:r>
        <w:rPr>
          <w:rFonts w:hint="eastAsia" w:ascii="宋体" w:hAnsi="宋体" w:eastAsia="宋体" w:cs="宋体"/>
          <w:b w:val="0"/>
          <w:bCs/>
          <w:color w:val="auto"/>
          <w:sz w:val="24"/>
          <w:szCs w:val="24"/>
          <w:highlight w:val="none"/>
        </w:rPr>
        <w:t>选配：温度记录打印机，打印时间间隔1～240分钟可选。系统内时间与北京时间同步。可打印当天及一周内数据，也可打印定义时间段数据。</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18、</w:t>
      </w:r>
      <w:r>
        <w:rPr>
          <w:rFonts w:hint="eastAsia" w:ascii="宋体" w:hAnsi="宋体" w:eastAsia="宋体" w:cs="宋体"/>
          <w:b w:val="0"/>
          <w:bCs/>
          <w:color w:val="auto"/>
          <w:sz w:val="24"/>
          <w:szCs w:val="24"/>
          <w:highlight w:val="none"/>
        </w:rPr>
        <w:t>USB数据导出接口，接入U盘可自动存储当月及上月数据，数据PDF格式。U盘持续连接可自动持续存储温度数据。蓄电池可提供不少于48小时报警及为温度记录打印机、USB端口供电。</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19、</w:t>
      </w:r>
      <w:r>
        <w:rPr>
          <w:rFonts w:hint="eastAsia" w:ascii="宋体" w:hAnsi="宋体" w:eastAsia="宋体" w:cs="宋体"/>
          <w:b w:val="0"/>
          <w:bCs/>
          <w:color w:val="auto"/>
          <w:sz w:val="24"/>
          <w:szCs w:val="24"/>
          <w:highlight w:val="none"/>
        </w:rPr>
        <w:t>标配RS485接口、远程报警接口。</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20、</w:t>
      </w:r>
      <w:r>
        <w:rPr>
          <w:rFonts w:hint="eastAsia" w:ascii="宋体" w:hAnsi="宋体" w:eastAsia="宋体" w:cs="宋体"/>
          <w:b w:val="0"/>
          <w:bCs/>
          <w:color w:val="auto"/>
          <w:sz w:val="24"/>
          <w:szCs w:val="24"/>
          <w:highlight w:val="none"/>
        </w:rPr>
        <w:t>左侧标配一个测试孔，方便监控箱内温度。当控制/报警传感器发生故障时，压缩机以开机5分钟、停机6分钟规律运作，确保物品存储安全。</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21、</w:t>
      </w:r>
      <w:r>
        <w:rPr>
          <w:rFonts w:hint="eastAsia" w:ascii="宋体" w:hAnsi="宋体" w:eastAsia="宋体" w:cs="宋体"/>
          <w:b w:val="0"/>
          <w:bCs/>
          <w:color w:val="auto"/>
          <w:sz w:val="24"/>
          <w:szCs w:val="24"/>
          <w:highlight w:val="none"/>
        </w:rPr>
        <w:t>冷凝水汇集后自动蒸发，免除人工处理冷凝水的烦恼。</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二、售后服务：</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乙方应提供整机保修期3年，保修期的期限应以甲乙双方的验收合格之日起计算，保修期内免费更换零配件及免工时费。</w:t>
      </w:r>
    </w:p>
    <w:p>
      <w:pPr>
        <w:pStyle w:val="8"/>
        <w:rPr>
          <w:rFonts w:hint="eastAsia"/>
          <w:color w:val="auto"/>
          <w:highlight w:val="none"/>
        </w:rPr>
      </w:pPr>
    </w:p>
    <w:p>
      <w:pPr>
        <w:pStyle w:val="22"/>
        <w:numPr>
          <w:ilvl w:val="0"/>
          <w:numId w:val="10"/>
        </w:numPr>
        <w:shd w:val="clear" w:color="auto"/>
        <w:spacing w:before="0" w:beforeAutospacing="0" w:after="0" w:afterAutospacing="0" w:line="360" w:lineRule="atLeast"/>
        <w:jc w:val="center"/>
        <w:outlineLvl w:val="2"/>
        <w:rPr>
          <w:rFonts w:hint="eastAsia" w:ascii="宋体" w:hAnsi="宋体" w:cs="宋体"/>
          <w:b/>
          <w:bCs/>
          <w:iCs/>
          <w:color w:val="auto"/>
          <w:sz w:val="28"/>
          <w:szCs w:val="28"/>
          <w:highlight w:val="none"/>
          <w:lang w:val="en-US" w:eastAsia="zh-CN"/>
        </w:rPr>
      </w:pPr>
      <w:bookmarkStart w:id="1234" w:name="_Toc24805"/>
      <w:r>
        <w:rPr>
          <w:rFonts w:hint="eastAsia" w:ascii="宋体" w:hAnsi="宋体" w:cs="宋体"/>
          <w:b/>
          <w:bCs/>
          <w:iCs/>
          <w:color w:val="auto"/>
          <w:sz w:val="28"/>
          <w:szCs w:val="28"/>
          <w:highlight w:val="none"/>
          <w:lang w:val="en-US" w:eastAsia="zh-CN"/>
        </w:rPr>
        <w:t>涡旋混匀器</w:t>
      </w:r>
      <w:bookmarkEnd w:id="1234"/>
    </w:p>
    <w:p>
      <w:pPr>
        <w:keepNext w:val="0"/>
        <w:keepLines w:val="0"/>
        <w:pageBreakBefore w:val="0"/>
        <w:widowControl w:val="0"/>
        <w:numPr>
          <w:ilvl w:val="0"/>
          <w:numId w:val="11"/>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技术参数：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转速</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500~2500rpm</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振幅</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4mm水平回转</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时间设置</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1min~99h59min</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最大载重</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4.5kg</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val="0"/>
          <w:color w:val="auto"/>
          <w:sz w:val="24"/>
          <w:szCs w:val="24"/>
          <w:highlight w:val="none"/>
          <w:lang w:val="en-US" w:eastAsia="zh-CN"/>
        </w:rPr>
        <w:t>外形尺寸</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410x276x432mm(长宽高)</w:t>
      </w:r>
      <w:r>
        <w:rPr>
          <w:rFonts w:hint="eastAsia" w:ascii="宋体" w:hAnsi="宋体" w:eastAsia="宋体" w:cs="宋体"/>
          <w:b w:val="0"/>
          <w:bCs/>
          <w:color w:val="auto"/>
          <w:sz w:val="24"/>
          <w:szCs w:val="24"/>
          <w:highlight w:val="none"/>
        </w:rPr>
        <w:t>（允许偏差±3%）</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二、售后服务：</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乙方应提供整机保修期2年，保修期的期限应以甲乙双方的验收合格之日起计算，保修期内免费更换零配件及免工时费。</w:t>
      </w:r>
    </w:p>
    <w:p>
      <w:pPr>
        <w:pStyle w:val="22"/>
        <w:numPr>
          <w:ilvl w:val="0"/>
          <w:numId w:val="0"/>
        </w:numPr>
        <w:shd w:val="clear" w:color="auto"/>
        <w:spacing w:before="0" w:beforeAutospacing="0" w:after="0" w:afterAutospacing="0" w:line="360" w:lineRule="atLeast"/>
        <w:ind w:leftChars="0"/>
        <w:jc w:val="both"/>
        <w:rPr>
          <w:rFonts w:hint="eastAsia" w:ascii="宋体" w:hAnsi="宋体" w:cs="宋体"/>
          <w:b/>
          <w:bCs/>
          <w:iCs/>
          <w:color w:val="auto"/>
          <w:sz w:val="24"/>
          <w:szCs w:val="24"/>
          <w:highlight w:val="none"/>
          <w:lang w:val="en-US" w:eastAsia="zh-CN"/>
        </w:rPr>
      </w:pPr>
    </w:p>
    <w:p>
      <w:pPr>
        <w:pStyle w:val="22"/>
        <w:numPr>
          <w:ilvl w:val="0"/>
          <w:numId w:val="10"/>
        </w:numPr>
        <w:shd w:val="clear" w:color="auto"/>
        <w:spacing w:before="0" w:beforeAutospacing="0" w:after="0" w:afterAutospacing="0" w:line="360" w:lineRule="atLeast"/>
        <w:jc w:val="center"/>
        <w:outlineLvl w:val="2"/>
        <w:rPr>
          <w:rFonts w:hint="eastAsia" w:ascii="宋体" w:hAnsi="宋体" w:cs="宋体"/>
          <w:b/>
          <w:bCs/>
          <w:iCs/>
          <w:color w:val="auto"/>
          <w:sz w:val="28"/>
          <w:szCs w:val="28"/>
          <w:highlight w:val="none"/>
          <w:lang w:val="en-US" w:eastAsia="zh-CN"/>
        </w:rPr>
      </w:pPr>
      <w:bookmarkStart w:id="1235" w:name="_Toc2598"/>
      <w:r>
        <w:rPr>
          <w:rFonts w:hint="eastAsia" w:ascii="宋体" w:hAnsi="宋体" w:cs="宋体"/>
          <w:b/>
          <w:bCs/>
          <w:iCs/>
          <w:color w:val="auto"/>
          <w:sz w:val="28"/>
          <w:szCs w:val="28"/>
          <w:highlight w:val="none"/>
          <w:lang w:val="en-US" w:eastAsia="zh-CN"/>
        </w:rPr>
        <w:t>平车</w:t>
      </w:r>
      <w:bookmarkEnd w:id="1235"/>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技术参数：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1.平车面尺寸：1930*640mm</w:t>
      </w:r>
      <w:r>
        <w:rPr>
          <w:rFonts w:hint="eastAsia" w:ascii="宋体" w:hAnsi="宋体" w:eastAsia="宋体" w:cs="宋体"/>
          <w:b w:val="0"/>
          <w:bCs/>
          <w:color w:val="auto"/>
          <w:sz w:val="24"/>
          <w:szCs w:val="24"/>
          <w:highlight w:val="none"/>
        </w:rPr>
        <w:t>（允许偏差±3%）</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2.平车升降高</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3.净重约200kg 承重≥250kg</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4.车面采用ABS工程注塑料一次铸压成型，具有阻燃性高，耐腐蚀，韧性强等特点，四角分别设计有把手，方便护理急救人员操作。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5.护栏采用ABS提拉升降式护栏，放下采用气弹簧缓冲设计，提高舒适度及护栏使用寿命。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6.背部起背采用气弹簧式起背，操作简便，可单手操作。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7.头部带有氧气瓶托架，可放置5L氧气瓶，以便急救使用。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8.车头车尾带有对角输液架插孔，并配有1根输液架，方便患者输液。</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9.整体升降采用摇杆式设计，升降行程550-900mm，摇把采用双向过盈保护，自动润滑功能。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10.脚轮为2档中控脚轮，直径150mm。</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11.辅助装置：带有厚度4CM牛津布车垫，带有4条安全绑带，使用魔术贴固定，在紧急运送病人时，可保护病人不从运送推车掉落。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售后服务</w:t>
      </w:r>
      <w:r>
        <w:rPr>
          <w:rFonts w:hint="eastAsia" w:ascii="宋体" w:hAnsi="宋体" w:cs="宋体"/>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乙方应提供整机保修期1年，保修期的期限应以甲乙双方的验收合格之日起计算，保修期内免费更换零配件及免工时费。</w:t>
      </w:r>
    </w:p>
    <w:p>
      <w:pPr>
        <w:pStyle w:val="22"/>
        <w:numPr>
          <w:ilvl w:val="0"/>
          <w:numId w:val="0"/>
        </w:numPr>
        <w:shd w:val="clear" w:color="auto"/>
        <w:spacing w:before="0" w:beforeAutospacing="0" w:after="0" w:afterAutospacing="0" w:line="360" w:lineRule="atLeast"/>
        <w:ind w:leftChars="0"/>
        <w:jc w:val="both"/>
        <w:rPr>
          <w:rFonts w:hint="eastAsia" w:ascii="宋体" w:hAnsi="宋体" w:cs="宋体"/>
          <w:b/>
          <w:bCs/>
          <w:iCs/>
          <w:color w:val="auto"/>
          <w:sz w:val="24"/>
          <w:szCs w:val="24"/>
          <w:highlight w:val="none"/>
          <w:lang w:val="en-US" w:eastAsia="zh-CN"/>
        </w:rPr>
      </w:pPr>
    </w:p>
    <w:p>
      <w:pPr>
        <w:pStyle w:val="22"/>
        <w:numPr>
          <w:ilvl w:val="0"/>
          <w:numId w:val="10"/>
        </w:numPr>
        <w:shd w:val="clear" w:color="auto"/>
        <w:spacing w:before="0" w:beforeAutospacing="0" w:after="0" w:afterAutospacing="0" w:line="360" w:lineRule="atLeast"/>
        <w:ind w:left="0" w:leftChars="0" w:firstLine="0" w:firstLineChars="0"/>
        <w:jc w:val="center"/>
        <w:outlineLvl w:val="2"/>
        <w:rPr>
          <w:rFonts w:hint="eastAsia" w:ascii="宋体" w:hAnsi="宋体" w:cs="宋体"/>
          <w:b/>
          <w:bCs/>
          <w:iCs/>
          <w:color w:val="auto"/>
          <w:sz w:val="28"/>
          <w:szCs w:val="28"/>
          <w:highlight w:val="none"/>
          <w:lang w:val="en-US" w:eastAsia="zh-CN"/>
        </w:rPr>
      </w:pPr>
      <w:bookmarkStart w:id="1236" w:name="_Toc21587"/>
      <w:r>
        <w:rPr>
          <w:rFonts w:hint="eastAsia" w:ascii="宋体" w:hAnsi="宋体" w:cs="宋体"/>
          <w:b/>
          <w:bCs/>
          <w:iCs/>
          <w:color w:val="auto"/>
          <w:sz w:val="28"/>
          <w:szCs w:val="28"/>
          <w:highlight w:val="none"/>
          <w:lang w:val="en-US" w:eastAsia="zh-CN"/>
        </w:rPr>
        <w:t>行走辅助用具</w:t>
      </w:r>
      <w:bookmarkEnd w:id="1236"/>
    </w:p>
    <w:p>
      <w:pPr>
        <w:pStyle w:val="22"/>
        <w:keepNext w:val="0"/>
        <w:keepLines w:val="0"/>
        <w:pageBreakBefore w:val="0"/>
        <w:widowControl w:val="0"/>
        <w:numPr>
          <w:ilvl w:val="0"/>
          <w:numId w:val="0"/>
        </w:numPr>
        <w:shd w:val="clear" w:color="auto"/>
        <w:kinsoku/>
        <w:wordWrap/>
        <w:overflowPunct/>
        <w:topLinePunct w:val="0"/>
        <w:autoSpaceDE/>
        <w:autoSpaceDN/>
        <w:bidi w:val="0"/>
        <w:adjustRightInd/>
        <w:snapToGrid/>
        <w:spacing w:before="0" w:beforeAutospacing="0" w:after="0" w:afterAutospacing="0" w:line="460" w:lineRule="exact"/>
        <w:ind w:leftChars="0"/>
        <w:jc w:val="both"/>
        <w:textAlignment w:val="auto"/>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iCs/>
          <w:color w:val="auto"/>
          <w:sz w:val="24"/>
          <w:szCs w:val="24"/>
          <w:highlight w:val="none"/>
          <w:lang w:val="en-US" w:eastAsia="zh-CN"/>
        </w:rPr>
        <w:t>一、技术参数：</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承重≥100kg</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重量≤3kg</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轻便，稳固，省力</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铝合金材质，高度可调节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二、售后服务：</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乙方应提供整机保修期1年，保修期的期限应以甲乙双方的验收合格之日起计算，保修期内免费更换零配件及免工时费。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drawing>
          <wp:anchor distT="0" distB="0" distL="114300" distR="114300" simplePos="0" relativeHeight="251667456" behindDoc="1" locked="0" layoutInCell="1" allowOverlap="1">
            <wp:simplePos x="0" y="0"/>
            <wp:positionH relativeFrom="column">
              <wp:posOffset>704850</wp:posOffset>
            </wp:positionH>
            <wp:positionV relativeFrom="paragraph">
              <wp:posOffset>177165</wp:posOffset>
            </wp:positionV>
            <wp:extent cx="3863340" cy="3692525"/>
            <wp:effectExtent l="0" t="0" r="7620" b="10795"/>
            <wp:wrapNone/>
            <wp:docPr id="2" name="图片 2"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标题-1"/>
                    <pic:cNvPicPr>
                      <a:picLocks noChangeAspect="1"/>
                    </pic:cNvPicPr>
                  </pic:nvPicPr>
                  <pic:blipFill>
                    <a:blip r:embed="rId13"/>
                    <a:stretch>
                      <a:fillRect/>
                    </a:stretch>
                  </pic:blipFill>
                  <pic:spPr>
                    <a:xfrm>
                      <a:off x="0" y="0"/>
                      <a:ext cx="3863340" cy="3692525"/>
                    </a:xfrm>
                    <a:prstGeom prst="rect">
                      <a:avLst/>
                    </a:prstGeom>
                  </pic:spPr>
                </pic:pic>
              </a:graphicData>
            </a:graphic>
          </wp:anchor>
        </w:drawing>
      </w:r>
    </w:p>
    <w:p>
      <w:pPr>
        <w:pStyle w:val="22"/>
        <w:numPr>
          <w:ilvl w:val="0"/>
          <w:numId w:val="0"/>
        </w:numPr>
        <w:shd w:val="clear" w:color="auto"/>
        <w:spacing w:before="0" w:beforeAutospacing="0" w:after="0" w:afterAutospacing="0" w:line="360" w:lineRule="atLeast"/>
        <w:ind w:leftChars="0"/>
        <w:jc w:val="both"/>
        <w:rPr>
          <w:rFonts w:hint="default" w:ascii="宋体" w:hAnsi="宋体" w:cs="宋体"/>
          <w:b/>
          <w:bCs/>
          <w:iCs/>
          <w:color w:val="auto"/>
          <w:sz w:val="28"/>
          <w:szCs w:val="28"/>
          <w:highlight w:val="none"/>
          <w:lang w:val="en-US" w:eastAsia="zh-CN"/>
        </w:rPr>
      </w:pPr>
      <w:r>
        <w:rPr>
          <w:rFonts w:hint="eastAsia" w:ascii="宋体" w:hAnsi="宋体" w:cs="宋体"/>
          <w:b/>
          <w:bCs/>
          <w:iCs/>
          <w:color w:val="auto"/>
          <w:sz w:val="28"/>
          <w:szCs w:val="28"/>
          <w:highlight w:val="none"/>
          <w:lang w:val="en-US" w:eastAsia="zh-CN"/>
        </w:rPr>
        <w:t>参考图片：</w:t>
      </w:r>
    </w:p>
    <w:p>
      <w:pPr>
        <w:pStyle w:val="22"/>
        <w:numPr>
          <w:ilvl w:val="0"/>
          <w:numId w:val="0"/>
        </w:numPr>
        <w:shd w:val="clear" w:color="auto"/>
        <w:spacing w:before="0" w:beforeAutospacing="0" w:after="0" w:afterAutospacing="0" w:line="360" w:lineRule="atLeast"/>
        <w:jc w:val="both"/>
        <w:rPr>
          <w:rFonts w:hint="eastAsia" w:ascii="宋体" w:hAnsi="宋体" w:cs="宋体"/>
          <w:b/>
          <w:bCs/>
          <w:iCs/>
          <w:color w:val="auto"/>
          <w:sz w:val="28"/>
          <w:szCs w:val="28"/>
          <w:highlight w:val="none"/>
          <w:lang w:val="en-US" w:eastAsia="zh-CN"/>
        </w:rPr>
      </w:pPr>
    </w:p>
    <w:p>
      <w:pPr>
        <w:pStyle w:val="22"/>
        <w:numPr>
          <w:ilvl w:val="0"/>
          <w:numId w:val="0"/>
        </w:numPr>
        <w:shd w:val="clear" w:color="auto"/>
        <w:spacing w:before="0" w:beforeAutospacing="0" w:after="0" w:afterAutospacing="0" w:line="360" w:lineRule="atLeast"/>
        <w:jc w:val="both"/>
        <w:rPr>
          <w:rFonts w:hint="eastAsia" w:ascii="宋体" w:hAnsi="宋体" w:cs="宋体"/>
          <w:b/>
          <w:bCs/>
          <w:iCs/>
          <w:color w:val="auto"/>
          <w:sz w:val="28"/>
          <w:szCs w:val="28"/>
          <w:highlight w:val="none"/>
          <w:lang w:val="en-US" w:eastAsia="zh-CN"/>
        </w:rPr>
      </w:pPr>
    </w:p>
    <w:p>
      <w:pPr>
        <w:pStyle w:val="22"/>
        <w:numPr>
          <w:ilvl w:val="0"/>
          <w:numId w:val="0"/>
        </w:numPr>
        <w:shd w:val="clear" w:color="auto"/>
        <w:spacing w:before="0" w:beforeAutospacing="0" w:after="0" w:afterAutospacing="0" w:line="360" w:lineRule="atLeast"/>
        <w:jc w:val="both"/>
        <w:rPr>
          <w:rFonts w:hint="eastAsia" w:ascii="宋体" w:hAnsi="宋体" w:cs="宋体"/>
          <w:b/>
          <w:bCs/>
          <w:iCs/>
          <w:color w:val="auto"/>
          <w:sz w:val="28"/>
          <w:szCs w:val="28"/>
          <w:highlight w:val="none"/>
          <w:lang w:val="en-US" w:eastAsia="zh-CN"/>
        </w:rPr>
      </w:pPr>
    </w:p>
    <w:p>
      <w:pPr>
        <w:pStyle w:val="22"/>
        <w:numPr>
          <w:ilvl w:val="0"/>
          <w:numId w:val="0"/>
        </w:numPr>
        <w:shd w:val="clear" w:color="auto"/>
        <w:spacing w:before="0" w:beforeAutospacing="0" w:after="0" w:afterAutospacing="0" w:line="360" w:lineRule="atLeast"/>
        <w:jc w:val="both"/>
        <w:rPr>
          <w:rFonts w:hint="eastAsia" w:ascii="宋体" w:hAnsi="宋体" w:cs="宋体"/>
          <w:b/>
          <w:bCs/>
          <w:iCs/>
          <w:color w:val="auto"/>
          <w:sz w:val="28"/>
          <w:szCs w:val="28"/>
          <w:highlight w:val="none"/>
          <w:lang w:val="en-US" w:eastAsia="zh-CN"/>
        </w:rPr>
      </w:pPr>
    </w:p>
    <w:p>
      <w:pPr>
        <w:pStyle w:val="22"/>
        <w:numPr>
          <w:ilvl w:val="0"/>
          <w:numId w:val="0"/>
        </w:numPr>
        <w:shd w:val="clear" w:color="auto"/>
        <w:spacing w:before="0" w:beforeAutospacing="0" w:after="0" w:afterAutospacing="0" w:line="360" w:lineRule="atLeast"/>
        <w:jc w:val="both"/>
        <w:rPr>
          <w:rFonts w:hint="eastAsia" w:ascii="宋体" w:hAnsi="宋体" w:cs="宋体"/>
          <w:b/>
          <w:bCs/>
          <w:iCs/>
          <w:color w:val="auto"/>
          <w:sz w:val="28"/>
          <w:szCs w:val="28"/>
          <w:highlight w:val="none"/>
          <w:lang w:val="en-US" w:eastAsia="zh-CN"/>
        </w:rPr>
      </w:pPr>
    </w:p>
    <w:p>
      <w:pPr>
        <w:pStyle w:val="22"/>
        <w:numPr>
          <w:ilvl w:val="0"/>
          <w:numId w:val="0"/>
        </w:numPr>
        <w:shd w:val="clear" w:color="auto"/>
        <w:spacing w:before="0" w:beforeAutospacing="0" w:after="0" w:afterAutospacing="0" w:line="360" w:lineRule="atLeast"/>
        <w:jc w:val="both"/>
        <w:rPr>
          <w:rFonts w:hint="eastAsia" w:ascii="宋体" w:hAnsi="宋体" w:cs="宋体"/>
          <w:b/>
          <w:bCs/>
          <w:iCs/>
          <w:color w:val="auto"/>
          <w:sz w:val="28"/>
          <w:szCs w:val="28"/>
          <w:highlight w:val="none"/>
          <w:lang w:val="en-US" w:eastAsia="zh-CN"/>
        </w:rPr>
      </w:pPr>
    </w:p>
    <w:p>
      <w:pPr>
        <w:pStyle w:val="22"/>
        <w:numPr>
          <w:ilvl w:val="0"/>
          <w:numId w:val="0"/>
        </w:numPr>
        <w:shd w:val="clear" w:color="auto"/>
        <w:spacing w:before="0" w:beforeAutospacing="0" w:after="0" w:afterAutospacing="0" w:line="360" w:lineRule="atLeast"/>
        <w:jc w:val="both"/>
        <w:rPr>
          <w:rFonts w:hint="eastAsia" w:ascii="宋体" w:hAnsi="宋体" w:cs="宋体"/>
          <w:b/>
          <w:bCs/>
          <w:iCs/>
          <w:color w:val="auto"/>
          <w:sz w:val="28"/>
          <w:szCs w:val="28"/>
          <w:highlight w:val="none"/>
          <w:lang w:val="en-US" w:eastAsia="zh-CN"/>
        </w:rPr>
      </w:pPr>
    </w:p>
    <w:p>
      <w:pPr>
        <w:pStyle w:val="22"/>
        <w:numPr>
          <w:ilvl w:val="0"/>
          <w:numId w:val="0"/>
        </w:numPr>
        <w:shd w:val="clear" w:color="auto"/>
        <w:spacing w:before="0" w:beforeAutospacing="0" w:after="0" w:afterAutospacing="0" w:line="360" w:lineRule="atLeast"/>
        <w:jc w:val="both"/>
        <w:rPr>
          <w:rFonts w:hint="eastAsia" w:ascii="宋体" w:hAnsi="宋体" w:cs="宋体"/>
          <w:b/>
          <w:bCs/>
          <w:iCs/>
          <w:color w:val="auto"/>
          <w:sz w:val="28"/>
          <w:szCs w:val="28"/>
          <w:highlight w:val="none"/>
          <w:lang w:val="en-US" w:eastAsia="zh-CN"/>
        </w:rPr>
      </w:pPr>
    </w:p>
    <w:p>
      <w:pPr>
        <w:pStyle w:val="22"/>
        <w:numPr>
          <w:ilvl w:val="0"/>
          <w:numId w:val="10"/>
        </w:numPr>
        <w:shd w:val="clear" w:color="auto"/>
        <w:spacing w:before="0" w:beforeAutospacing="0" w:after="0" w:afterAutospacing="0" w:line="360" w:lineRule="atLeast"/>
        <w:ind w:left="0" w:leftChars="0" w:firstLine="0" w:firstLineChars="0"/>
        <w:jc w:val="center"/>
        <w:outlineLvl w:val="2"/>
        <w:rPr>
          <w:rFonts w:hint="eastAsia" w:ascii="宋体" w:hAnsi="宋体" w:cs="宋体"/>
          <w:b/>
          <w:bCs/>
          <w:iCs/>
          <w:color w:val="auto"/>
          <w:sz w:val="28"/>
          <w:szCs w:val="28"/>
          <w:highlight w:val="none"/>
          <w:lang w:val="en-US" w:eastAsia="zh-CN"/>
        </w:rPr>
      </w:pPr>
      <w:bookmarkStart w:id="1237" w:name="_Toc9522"/>
      <w:r>
        <w:rPr>
          <w:rFonts w:hint="eastAsia" w:ascii="宋体" w:hAnsi="宋体" w:cs="宋体"/>
          <w:b/>
          <w:bCs/>
          <w:iCs/>
          <w:color w:val="auto"/>
          <w:sz w:val="28"/>
          <w:szCs w:val="28"/>
          <w:highlight w:val="none"/>
          <w:lang w:val="en-US" w:eastAsia="zh-CN"/>
        </w:rPr>
        <w:t>坐式体重计</w:t>
      </w:r>
      <w:bookmarkEnd w:id="1237"/>
    </w:p>
    <w:p>
      <w:pPr>
        <w:keepNext w:val="0"/>
        <w:keepLines w:val="0"/>
        <w:pageBreakBefore w:val="0"/>
        <w:widowControl w:val="0"/>
        <w:numPr>
          <w:ilvl w:val="0"/>
          <w:numId w:val="1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技术参数：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.台面加固，台面防滑设计</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cstheme="minorEastAsia"/>
          <w:color w:val="auto"/>
          <w:sz w:val="24"/>
          <w:szCs w:val="24"/>
          <w:highlight w:val="none"/>
          <w:lang w:val="en-US" w:eastAsia="zh-CN"/>
        </w:rPr>
        <w:t>.加厚钢板</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.体重测量范围</w:t>
      </w:r>
      <w:r>
        <w:rPr>
          <w:rFonts w:hint="eastAsia" w:ascii="宋体" w:hAnsi="宋体"/>
          <w:color w:val="auto"/>
          <w:sz w:val="24"/>
          <w:szCs w:val="24"/>
          <w:highlight w:val="none"/>
        </w:rPr>
        <w:t>≥</w:t>
      </w:r>
      <w:r>
        <w:rPr>
          <w:rFonts w:hint="eastAsia" w:asciiTheme="minorEastAsia" w:hAnsiTheme="minorEastAsia" w:cstheme="minorEastAsia"/>
          <w:color w:val="auto"/>
          <w:sz w:val="24"/>
          <w:szCs w:val="24"/>
          <w:highlight w:val="none"/>
          <w:lang w:val="en-US" w:eastAsia="zh-CN"/>
        </w:rPr>
        <w:t>120kg</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4.能实现（老幼）坐式测量体重</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二、</w:t>
      </w:r>
      <w:r>
        <w:rPr>
          <w:rFonts w:hint="eastAsia" w:ascii="Times New Roman" w:hAnsi="Times New Roman" w:eastAsia="宋体" w:cs="Times New Roman"/>
          <w:b/>
          <w:bCs/>
          <w:color w:val="auto"/>
          <w:sz w:val="24"/>
          <w:szCs w:val="24"/>
          <w:highlight w:val="none"/>
          <w:lang w:val="en-US" w:eastAsia="zh-CN"/>
        </w:rPr>
        <w:t>售后服务</w:t>
      </w:r>
      <w:r>
        <w:rPr>
          <w:rFonts w:hint="eastAsia" w:ascii="Times New Roman" w:hAnsi="Times New Roman" w:cs="Times New Roman"/>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乙方应提供整机保修期</w:t>
      </w:r>
      <w:r>
        <w:rPr>
          <w:rFonts w:hint="eastAsia"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年，保修期的期限应以甲乙双方的验收合格之日起计算，保修期内免费更换零配件及免工时费。</w:t>
      </w:r>
    </w:p>
    <w:p>
      <w:pPr>
        <w:pStyle w:val="22"/>
        <w:numPr>
          <w:ilvl w:val="0"/>
          <w:numId w:val="0"/>
        </w:numPr>
        <w:shd w:val="clear" w:color="auto"/>
        <w:spacing w:before="0" w:beforeAutospacing="0" w:after="0" w:afterAutospacing="0" w:line="360" w:lineRule="atLeast"/>
        <w:ind w:leftChars="0"/>
        <w:jc w:val="both"/>
        <w:rPr>
          <w:rFonts w:hint="eastAsia" w:ascii="宋体" w:hAnsi="宋体" w:cs="宋体"/>
          <w:b/>
          <w:bCs/>
          <w:iCs/>
          <w:color w:val="auto"/>
          <w:sz w:val="28"/>
          <w:szCs w:val="28"/>
          <w:highlight w:val="none"/>
          <w:lang w:val="en-US" w:eastAsia="zh-CN"/>
        </w:rPr>
      </w:pPr>
    </w:p>
    <w:p>
      <w:pPr>
        <w:pStyle w:val="22"/>
        <w:numPr>
          <w:ilvl w:val="0"/>
          <w:numId w:val="10"/>
        </w:numPr>
        <w:shd w:val="clear" w:color="auto"/>
        <w:spacing w:before="0" w:beforeAutospacing="0" w:after="0" w:afterAutospacing="0" w:line="360" w:lineRule="atLeast"/>
        <w:ind w:left="0" w:leftChars="0" w:firstLine="0" w:firstLineChars="0"/>
        <w:jc w:val="center"/>
        <w:outlineLvl w:val="2"/>
        <w:rPr>
          <w:rFonts w:hint="eastAsia" w:ascii="宋体" w:hAnsi="宋体" w:cs="宋体"/>
          <w:b/>
          <w:bCs/>
          <w:iCs/>
          <w:color w:val="auto"/>
          <w:sz w:val="28"/>
          <w:szCs w:val="28"/>
          <w:highlight w:val="none"/>
          <w:lang w:val="en-US" w:eastAsia="zh-CN"/>
        </w:rPr>
      </w:pPr>
      <w:bookmarkStart w:id="1238" w:name="_Toc24791"/>
      <w:r>
        <w:rPr>
          <w:rFonts w:hint="eastAsia" w:ascii="宋体" w:hAnsi="宋体" w:cs="宋体"/>
          <w:b/>
          <w:bCs/>
          <w:iCs/>
          <w:color w:val="auto"/>
          <w:sz w:val="28"/>
          <w:szCs w:val="28"/>
          <w:highlight w:val="none"/>
          <w:lang w:val="en-US" w:eastAsia="zh-CN"/>
        </w:rPr>
        <w:t>气垫床（老年友善医疗机构建设）</w:t>
      </w:r>
      <w:bookmarkEnd w:id="1238"/>
    </w:p>
    <w:p>
      <w:pPr>
        <w:pStyle w:val="22"/>
        <w:keepNext w:val="0"/>
        <w:keepLines w:val="0"/>
        <w:pageBreakBefore w:val="0"/>
        <w:widowControl w:val="0"/>
        <w:numPr>
          <w:ilvl w:val="0"/>
          <w:numId w:val="0"/>
        </w:numPr>
        <w:shd w:val="clear" w:color="auto"/>
        <w:kinsoku/>
        <w:wordWrap/>
        <w:overflowPunct/>
        <w:topLinePunct w:val="0"/>
        <w:autoSpaceDE/>
        <w:autoSpaceDN/>
        <w:bidi w:val="0"/>
        <w:adjustRightInd/>
        <w:snapToGrid/>
        <w:spacing w:before="0" w:beforeAutospacing="0" w:after="0" w:afterAutospacing="0" w:line="460" w:lineRule="exact"/>
        <w:ind w:leftChars="0"/>
        <w:jc w:val="both"/>
        <w:textAlignment w:val="auto"/>
        <w:rPr>
          <w:rFonts w:hint="default" w:ascii="宋体" w:hAnsi="宋体" w:cs="宋体"/>
          <w:b/>
          <w:bCs/>
          <w:iCs/>
          <w:color w:val="auto"/>
          <w:sz w:val="24"/>
          <w:szCs w:val="24"/>
          <w:highlight w:val="none"/>
          <w:lang w:val="en-US" w:eastAsia="zh-CN"/>
        </w:rPr>
      </w:pPr>
      <w:r>
        <w:rPr>
          <w:rFonts w:hint="eastAsia" w:ascii="宋体" w:hAnsi="宋体" w:cs="宋体"/>
          <w:b/>
          <w:bCs/>
          <w:iCs/>
          <w:color w:val="auto"/>
          <w:sz w:val="24"/>
          <w:szCs w:val="24"/>
          <w:highlight w:val="none"/>
          <w:lang w:val="en-US" w:eastAsia="zh-CN"/>
        </w:rPr>
        <w:t>一、技术参数：</w:t>
      </w:r>
    </w:p>
    <w:p>
      <w:pPr>
        <w:keepNext w:val="0"/>
        <w:keepLines w:val="0"/>
        <w:pageBreakBefore w:val="0"/>
        <w:widowControl w:val="0"/>
        <w:numPr>
          <w:ilvl w:val="0"/>
          <w:numId w:val="14"/>
        </w:numPr>
        <w:kinsoku/>
        <w:wordWrap/>
        <w:overflowPunct/>
        <w:topLinePunct w:val="0"/>
        <w:autoSpaceDE/>
        <w:autoSpaceDN/>
        <w:bidi w:val="0"/>
        <w:adjustRightInd/>
        <w:snapToGrid/>
        <w:spacing w:line="460" w:lineRule="exact"/>
        <w:jc w:val="both"/>
        <w:textAlignment w:val="auto"/>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可调充气压力</w:t>
      </w:r>
    </w:p>
    <w:p>
      <w:pPr>
        <w:keepNext w:val="0"/>
        <w:keepLines w:val="0"/>
        <w:pageBreakBefore w:val="0"/>
        <w:widowControl w:val="0"/>
        <w:numPr>
          <w:ilvl w:val="0"/>
          <w:numId w:val="14"/>
        </w:numPr>
        <w:kinsoku/>
        <w:wordWrap/>
        <w:overflowPunct/>
        <w:topLinePunct w:val="0"/>
        <w:autoSpaceDE/>
        <w:autoSpaceDN/>
        <w:bidi w:val="0"/>
        <w:adjustRightInd/>
        <w:snapToGrid/>
        <w:spacing w:line="460" w:lineRule="exact"/>
        <w:jc w:val="both"/>
        <w:textAlignment w:val="auto"/>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充气尺寸：2000*900*100mm</w:t>
      </w:r>
      <w:r>
        <w:rPr>
          <w:rFonts w:hint="eastAsia" w:ascii="宋体" w:hAnsi="宋体" w:eastAsia="宋体" w:cs="宋体"/>
          <w:b w:val="0"/>
          <w:bCs/>
          <w:color w:val="auto"/>
          <w:sz w:val="24"/>
          <w:szCs w:val="24"/>
          <w:highlight w:val="none"/>
        </w:rPr>
        <w:t>（允许偏差±3%）</w:t>
      </w:r>
    </w:p>
    <w:p>
      <w:pPr>
        <w:keepNext w:val="0"/>
        <w:keepLines w:val="0"/>
        <w:pageBreakBefore w:val="0"/>
        <w:widowControl w:val="0"/>
        <w:numPr>
          <w:ilvl w:val="0"/>
          <w:numId w:val="14"/>
        </w:numPr>
        <w:kinsoku/>
        <w:wordWrap/>
        <w:overflowPunct/>
        <w:topLinePunct w:val="0"/>
        <w:autoSpaceDE/>
        <w:autoSpaceDN/>
        <w:bidi w:val="0"/>
        <w:adjustRightInd/>
        <w:snapToGrid/>
        <w:spacing w:line="460" w:lineRule="exact"/>
        <w:jc w:val="both"/>
        <w:textAlignment w:val="auto"/>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载重≥130kg</w:t>
      </w:r>
    </w:p>
    <w:p>
      <w:pPr>
        <w:keepNext w:val="0"/>
        <w:keepLines w:val="0"/>
        <w:pageBreakBefore w:val="0"/>
        <w:widowControl w:val="0"/>
        <w:numPr>
          <w:ilvl w:val="0"/>
          <w:numId w:val="14"/>
        </w:numPr>
        <w:kinsoku/>
        <w:wordWrap/>
        <w:overflowPunct/>
        <w:topLinePunct w:val="0"/>
        <w:autoSpaceDE/>
        <w:autoSpaceDN/>
        <w:bidi w:val="0"/>
        <w:adjustRightInd/>
        <w:snapToGrid/>
        <w:spacing w:line="460" w:lineRule="exact"/>
        <w:jc w:val="both"/>
        <w:textAlignment w:val="auto"/>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外壳材料：阻燃级ABS</w:t>
      </w:r>
    </w:p>
    <w:p>
      <w:pPr>
        <w:keepNext w:val="0"/>
        <w:keepLines w:val="0"/>
        <w:pageBreakBefore w:val="0"/>
        <w:widowControl w:val="0"/>
        <w:numPr>
          <w:ilvl w:val="0"/>
          <w:numId w:val="14"/>
        </w:numPr>
        <w:kinsoku/>
        <w:wordWrap/>
        <w:overflowPunct/>
        <w:topLinePunct w:val="0"/>
        <w:autoSpaceDE/>
        <w:autoSpaceDN/>
        <w:bidi w:val="0"/>
        <w:adjustRightInd/>
        <w:snapToGrid/>
        <w:spacing w:line="460" w:lineRule="exact"/>
        <w:jc w:val="both"/>
        <w:textAlignment w:val="auto"/>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气条材料：尼龙PVC</w:t>
      </w:r>
    </w:p>
    <w:p>
      <w:pPr>
        <w:keepNext w:val="0"/>
        <w:keepLines w:val="0"/>
        <w:pageBreakBefore w:val="0"/>
        <w:widowControl w:val="0"/>
        <w:numPr>
          <w:ilvl w:val="0"/>
          <w:numId w:val="14"/>
        </w:numPr>
        <w:kinsoku/>
        <w:wordWrap/>
        <w:overflowPunct/>
        <w:topLinePunct w:val="0"/>
        <w:autoSpaceDE/>
        <w:autoSpaceDN/>
        <w:bidi w:val="0"/>
        <w:adjustRightInd/>
        <w:snapToGrid/>
        <w:spacing w:line="460" w:lineRule="exact"/>
        <w:jc w:val="both"/>
        <w:textAlignment w:val="auto"/>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流动模式：双管交替波动</w:t>
      </w:r>
    </w:p>
    <w:p>
      <w:pPr>
        <w:keepNext w:val="0"/>
        <w:keepLines w:val="0"/>
        <w:pageBreakBefore w:val="0"/>
        <w:widowControl w:val="0"/>
        <w:numPr>
          <w:ilvl w:val="0"/>
          <w:numId w:val="14"/>
        </w:numPr>
        <w:kinsoku/>
        <w:wordWrap/>
        <w:overflowPunct/>
        <w:topLinePunct w:val="0"/>
        <w:autoSpaceDE/>
        <w:autoSpaceDN/>
        <w:bidi w:val="0"/>
        <w:adjustRightInd/>
        <w:snapToGrid/>
        <w:spacing w:line="460" w:lineRule="exact"/>
        <w:jc w:val="both"/>
        <w:textAlignment w:val="auto"/>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床罩材料：尼龙PU床罩</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二、售后服务：</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乙方应提供整机保修期</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年，保修期的期限应以甲乙双方的验收合格之日起计算，保修期内免费更换零配件及免工时费。</w:t>
      </w:r>
    </w:p>
    <w:p>
      <w:pPr>
        <w:pStyle w:val="22"/>
        <w:numPr>
          <w:ilvl w:val="0"/>
          <w:numId w:val="0"/>
        </w:numPr>
        <w:shd w:val="clear" w:color="auto"/>
        <w:spacing w:before="0" w:beforeAutospacing="0" w:after="0" w:afterAutospacing="0" w:line="360" w:lineRule="atLeast"/>
        <w:ind w:leftChars="0"/>
        <w:jc w:val="both"/>
        <w:rPr>
          <w:rFonts w:hint="eastAsia" w:ascii="宋体" w:hAnsi="宋体" w:cs="宋体"/>
          <w:b/>
          <w:bCs/>
          <w:iCs/>
          <w:color w:val="auto"/>
          <w:sz w:val="28"/>
          <w:szCs w:val="28"/>
          <w:highlight w:val="none"/>
          <w:lang w:val="en-US" w:eastAsia="zh-CN"/>
        </w:rPr>
      </w:pPr>
    </w:p>
    <w:p>
      <w:pPr>
        <w:pStyle w:val="22"/>
        <w:numPr>
          <w:ilvl w:val="0"/>
          <w:numId w:val="10"/>
        </w:numPr>
        <w:shd w:val="clear" w:color="auto"/>
        <w:spacing w:before="0" w:beforeAutospacing="0" w:after="0" w:afterAutospacing="0" w:line="360" w:lineRule="atLeast"/>
        <w:ind w:left="0" w:leftChars="0" w:firstLine="0" w:firstLineChars="0"/>
        <w:jc w:val="center"/>
        <w:outlineLvl w:val="2"/>
        <w:rPr>
          <w:rFonts w:hint="eastAsia" w:ascii="宋体" w:hAnsi="宋体" w:cs="宋体"/>
          <w:b/>
          <w:bCs/>
          <w:iCs/>
          <w:color w:val="auto"/>
          <w:sz w:val="28"/>
          <w:szCs w:val="28"/>
          <w:highlight w:val="none"/>
          <w:lang w:val="en-US" w:eastAsia="zh-CN"/>
        </w:rPr>
      </w:pPr>
      <w:bookmarkStart w:id="1239" w:name="_Toc11725"/>
      <w:r>
        <w:rPr>
          <w:rFonts w:hint="eastAsia" w:ascii="宋体" w:hAnsi="宋体" w:cs="宋体"/>
          <w:b/>
          <w:bCs/>
          <w:iCs/>
          <w:color w:val="auto"/>
          <w:sz w:val="28"/>
          <w:szCs w:val="28"/>
          <w:highlight w:val="none"/>
          <w:lang w:val="en-US" w:eastAsia="zh-CN"/>
        </w:rPr>
        <w:t>神经肌肉低频电刺激仪</w:t>
      </w:r>
      <w:bookmarkEnd w:id="1239"/>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一、技术参数：</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可以快速的选择参数及操作：</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1、输出波形为双向不对称方波（矩形波），调制波为方波。</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2、输出频率：模式一输出脉冲基波频率为500Hz；调制脉冲频率为0.5Hz～5Hz；模式二输出脉冲频率为0.5Hz～5Hz；允差为每档最高频率的±10%</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3、输出脉冲宽度和调制波脉宽：模式一输出脉冲宽度为1ms；调制波脉宽为10ms；模式二输出脉冲宽度为10ms；允差为±20%</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4、输出强度：刺激仪各路独立输出，在1KΩ负载阻抗时，每路输出电流的峰值Ip从0mA～100mA连续可调；输出值允差±30%</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5、定时时间为5min～30min可调，允差±5%</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6、输出通道：四组输出；</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二、配置要求：</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主机：壹台。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理疗电极片：16个</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电极线：8条</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电源线：1条</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熔断器：2个</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使用说明书：1份</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产品培训验收报告：1份</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合格证：1份</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装箱单：壹份</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保修卡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壹份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三、售后服务：</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乙方应提供整机保修期2年，保修期的期限应以甲乙双方的验收合格之日起计算，保修期内免费更换零配件及免工时费。</w:t>
      </w:r>
    </w:p>
    <w:p>
      <w:pPr>
        <w:pStyle w:val="22"/>
        <w:numPr>
          <w:ilvl w:val="0"/>
          <w:numId w:val="0"/>
        </w:numPr>
        <w:shd w:val="clear" w:color="auto"/>
        <w:spacing w:before="0" w:beforeAutospacing="0" w:after="0" w:afterAutospacing="0" w:line="360" w:lineRule="atLeast"/>
        <w:ind w:leftChars="0"/>
        <w:jc w:val="both"/>
        <w:rPr>
          <w:rFonts w:hint="eastAsia" w:ascii="宋体" w:hAnsi="宋体" w:cs="宋体"/>
          <w:b/>
          <w:bCs/>
          <w:iCs/>
          <w:color w:val="auto"/>
          <w:sz w:val="28"/>
          <w:szCs w:val="28"/>
          <w:highlight w:val="none"/>
          <w:lang w:val="en-US" w:eastAsia="zh-CN"/>
        </w:rPr>
      </w:pPr>
    </w:p>
    <w:p>
      <w:pPr>
        <w:pStyle w:val="22"/>
        <w:numPr>
          <w:ilvl w:val="0"/>
          <w:numId w:val="10"/>
        </w:numPr>
        <w:shd w:val="clear" w:color="auto"/>
        <w:spacing w:before="0" w:beforeAutospacing="0" w:after="0" w:afterAutospacing="0" w:line="360" w:lineRule="atLeast"/>
        <w:ind w:left="0" w:leftChars="0" w:firstLine="0" w:firstLineChars="0"/>
        <w:jc w:val="center"/>
        <w:outlineLvl w:val="2"/>
        <w:rPr>
          <w:rFonts w:hint="eastAsia" w:ascii="宋体" w:hAnsi="宋体" w:cs="宋体"/>
          <w:b/>
          <w:bCs/>
          <w:iCs/>
          <w:color w:val="auto"/>
          <w:sz w:val="28"/>
          <w:szCs w:val="28"/>
          <w:highlight w:val="none"/>
          <w:lang w:val="en-US" w:eastAsia="zh-CN"/>
        </w:rPr>
      </w:pPr>
      <w:bookmarkStart w:id="1240" w:name="_Toc26407"/>
      <w:r>
        <w:rPr>
          <w:rFonts w:hint="eastAsia" w:ascii="宋体" w:hAnsi="宋体" w:cs="宋体"/>
          <w:b/>
          <w:bCs/>
          <w:iCs/>
          <w:color w:val="auto"/>
          <w:sz w:val="28"/>
          <w:szCs w:val="28"/>
          <w:highlight w:val="none"/>
          <w:lang w:val="en-US" w:eastAsia="zh-CN"/>
        </w:rPr>
        <w:t>超声理疗仪</w:t>
      </w:r>
      <w:bookmarkEnd w:id="1240"/>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heme="minorEastAsia" w:hAnsiTheme="minorEastAsia" w:eastAsiaTheme="minorEastAsia" w:cstheme="minorEastAsia"/>
          <w:b/>
          <w:bCs/>
          <w:color w:val="auto"/>
          <w:spacing w:val="0"/>
          <w:w w:val="100"/>
          <w:position w:val="0"/>
          <w:sz w:val="24"/>
          <w:szCs w:val="24"/>
          <w:highlight w:val="none"/>
          <w:lang w:val="en-US" w:eastAsia="zh-CN"/>
        </w:rPr>
      </w:pPr>
      <w:r>
        <w:rPr>
          <w:rFonts w:hint="eastAsia" w:asciiTheme="minorEastAsia" w:hAnsiTheme="minorEastAsia" w:cstheme="minorEastAsia"/>
          <w:b/>
          <w:bCs/>
          <w:color w:val="auto"/>
          <w:spacing w:val="0"/>
          <w:w w:val="100"/>
          <w:position w:val="0"/>
          <w:sz w:val="24"/>
          <w:szCs w:val="24"/>
          <w:highlight w:val="none"/>
          <w:lang w:val="en-US" w:eastAsia="zh-CN"/>
        </w:rPr>
        <w:t>一、技术参数：</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bookmarkStart w:id="1241" w:name="bookmark0"/>
      <w:bookmarkEnd w:id="1241"/>
      <w:r>
        <w:rPr>
          <w:rFonts w:hint="eastAsia" w:asciiTheme="minorEastAsia" w:hAnsiTheme="minorEastAsia" w:eastAsiaTheme="minorEastAsia" w:cstheme="minorEastAsia"/>
          <w:color w:val="auto"/>
          <w:spacing w:val="0"/>
          <w:w w:val="100"/>
          <w:position w:val="0"/>
          <w:sz w:val="24"/>
          <w:szCs w:val="24"/>
          <w:highlight w:val="none"/>
          <w:lang w:val="en-US" w:eastAsia="zh-CN" w:bidi="zh-TW"/>
        </w:rPr>
        <w:t>1.</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安全分类：I类</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bf</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型应用部分设备</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bookmarkStart w:id="1242" w:name="bookmark1"/>
      <w:bookmarkEnd w:id="1242"/>
      <w:r>
        <w:rPr>
          <w:rFonts w:hint="eastAsia" w:asciiTheme="minorEastAsia" w:hAnsiTheme="minorEastAsia" w:eastAsiaTheme="minorEastAsia" w:cstheme="minorEastAsia"/>
          <w:color w:val="auto"/>
          <w:spacing w:val="0"/>
          <w:w w:val="100"/>
          <w:position w:val="0"/>
          <w:sz w:val="24"/>
          <w:szCs w:val="24"/>
          <w:highlight w:val="none"/>
          <w:lang w:val="en-US" w:eastAsia="zh-CN" w:bidi="zh-TW"/>
        </w:rPr>
        <w:t>2.</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 xml:space="preserve">尺寸：350 </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(L) x1</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 xml:space="preserve">85 </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(W) x80 (H) mm</w:t>
      </w:r>
      <w:r>
        <w:rPr>
          <w:rFonts w:hint="eastAsia" w:ascii="宋体" w:hAnsi="宋体" w:eastAsia="宋体" w:cs="宋体"/>
          <w:b w:val="0"/>
          <w:bCs/>
          <w:color w:val="auto"/>
          <w:sz w:val="24"/>
          <w:szCs w:val="24"/>
          <w:highlight w:val="none"/>
        </w:rPr>
        <w:t>（允许偏差±3%）</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bookmarkStart w:id="1243" w:name="bookmark2"/>
      <w:bookmarkEnd w:id="1243"/>
      <w:r>
        <w:rPr>
          <w:rFonts w:hint="eastAsia" w:asciiTheme="minorEastAsia" w:hAnsiTheme="minorEastAsia" w:eastAsiaTheme="minorEastAsia" w:cstheme="minorEastAsia"/>
          <w:color w:val="auto"/>
          <w:spacing w:val="0"/>
          <w:w w:val="100"/>
          <w:position w:val="0"/>
          <w:sz w:val="24"/>
          <w:szCs w:val="24"/>
          <w:highlight w:val="none"/>
          <w:lang w:val="en-US" w:eastAsia="zh-CN" w:bidi="zh-TW"/>
        </w:rPr>
        <w:t>3.</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重量：</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2.25kg</w:t>
      </w:r>
      <w:r>
        <w:rPr>
          <w:rFonts w:hint="eastAsia" w:ascii="宋体" w:hAnsi="宋体" w:eastAsia="宋体" w:cs="宋体"/>
          <w:b w:val="0"/>
          <w:bCs/>
          <w:color w:val="auto"/>
          <w:sz w:val="24"/>
          <w:szCs w:val="24"/>
          <w:highlight w:val="none"/>
        </w:rPr>
        <w:t>（允许偏差±3%）</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bookmarkStart w:id="1244" w:name="bookmark3"/>
      <w:bookmarkEnd w:id="1244"/>
      <w:r>
        <w:rPr>
          <w:rFonts w:hint="eastAsia" w:asciiTheme="minorEastAsia" w:hAnsiTheme="minorEastAsia" w:eastAsiaTheme="minorEastAsia" w:cstheme="minorEastAsia"/>
          <w:color w:val="auto"/>
          <w:spacing w:val="0"/>
          <w:w w:val="100"/>
          <w:position w:val="0"/>
          <w:sz w:val="24"/>
          <w:szCs w:val="24"/>
          <w:highlight w:val="none"/>
          <w:lang w:val="en-US" w:eastAsia="zh-CN" w:bidi="zh-TW"/>
        </w:rPr>
        <w:t>4.</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电源输</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A： 100V-240V-, 47-63Hz, 1.35A</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bookmarkStart w:id="1245" w:name="bookmark4"/>
      <w:bookmarkEnd w:id="1245"/>
      <w:r>
        <w:rPr>
          <w:rFonts w:hint="eastAsia" w:asciiTheme="minorEastAsia" w:hAnsiTheme="minorEastAsia" w:eastAsiaTheme="minorEastAsia" w:cstheme="minorEastAsia"/>
          <w:color w:val="auto"/>
          <w:spacing w:val="0"/>
          <w:w w:val="100"/>
          <w:position w:val="0"/>
          <w:sz w:val="24"/>
          <w:szCs w:val="24"/>
          <w:highlight w:val="none"/>
          <w:lang w:val="en-US" w:eastAsia="zh-CN" w:bidi="zh-TW"/>
        </w:rPr>
        <w:t>5.</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输出：</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15V=3A</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bookmarkStart w:id="1246" w:name="bookmark5"/>
      <w:bookmarkEnd w:id="1246"/>
      <w:r>
        <w:rPr>
          <w:rFonts w:hint="eastAsia" w:asciiTheme="minorEastAsia" w:hAnsiTheme="minorEastAsia" w:eastAsiaTheme="minorEastAsia" w:cstheme="minorEastAsia"/>
          <w:color w:val="auto"/>
          <w:spacing w:val="0"/>
          <w:w w:val="100"/>
          <w:position w:val="0"/>
          <w:sz w:val="24"/>
          <w:szCs w:val="24"/>
          <w:highlight w:val="none"/>
          <w:lang w:val="en-US" w:eastAsia="zh-CN" w:bidi="zh-TW"/>
        </w:rPr>
        <w:t>6.</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超声工作频率：</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1MHz±10%, 3MHz±10%</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bookmarkStart w:id="1247" w:name="bookmark6"/>
      <w:bookmarkEnd w:id="1247"/>
      <w:r>
        <w:rPr>
          <w:rFonts w:hint="eastAsia" w:asciiTheme="minorEastAsia" w:hAnsiTheme="minorEastAsia" w:eastAsiaTheme="minorEastAsia" w:cstheme="minorEastAsia"/>
          <w:color w:val="auto"/>
          <w:spacing w:val="0"/>
          <w:w w:val="100"/>
          <w:position w:val="0"/>
          <w:sz w:val="24"/>
          <w:szCs w:val="24"/>
          <w:highlight w:val="none"/>
          <w:lang w:val="en-US" w:eastAsia="zh-CN" w:bidi="zh-TW"/>
        </w:rPr>
        <w:t>7.</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输出功率：</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0.5W-10W±20%,</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当占空</w:t>
      </w:r>
      <w:r>
        <w:rPr>
          <w:rFonts w:hint="eastAsia" w:asciiTheme="minorEastAsia" w:hAnsiTheme="minorEastAsia" w:eastAsiaTheme="minorEastAsia" w:cstheme="minorEastAsia"/>
          <w:color w:val="auto"/>
          <w:spacing w:val="0"/>
          <w:w w:val="100"/>
          <w:position w:val="0"/>
          <w:sz w:val="24"/>
          <w:szCs w:val="24"/>
          <w:highlight w:val="none"/>
          <w:lang w:val="zh-CN" w:eastAsia="zh-CN" w:bidi="zh-TW"/>
        </w:rPr>
        <w:t>比≥</w:t>
      </w:r>
      <w:r>
        <w:rPr>
          <w:rFonts w:hint="eastAsia" w:asciiTheme="minorEastAsia" w:hAnsiTheme="minorEastAsia" w:eastAsiaTheme="minorEastAsia" w:cstheme="minorEastAsia"/>
          <w:color w:val="auto"/>
          <w:spacing w:val="0"/>
          <w:w w:val="100"/>
          <w:position w:val="0"/>
          <w:sz w:val="24"/>
          <w:szCs w:val="24"/>
          <w:highlight w:val="none"/>
          <w:lang w:val="en-US" w:eastAsia="zh-CN" w:bidi="zh-TW"/>
        </w:rPr>
        <w:t>8</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 xml:space="preserve">0%,使用5 </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cm²</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治疗头。</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0.5W-15W±20%,</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当占空比≤</w:t>
      </w:r>
      <w:r>
        <w:rPr>
          <w:rFonts w:hint="eastAsia" w:asciiTheme="minorEastAsia" w:hAnsiTheme="minorEastAsia" w:eastAsiaTheme="minorEastAsia" w:cstheme="minorEastAsia"/>
          <w:color w:val="auto"/>
          <w:spacing w:val="0"/>
          <w:w w:val="100"/>
          <w:position w:val="0"/>
          <w:sz w:val="24"/>
          <w:szCs w:val="24"/>
          <w:highlight w:val="none"/>
          <w:lang w:val="en-US" w:eastAsia="zh-CN" w:bidi="zh-TW"/>
        </w:rPr>
        <w:t>7</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 xml:space="preserve">0%,使用5 </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cm²</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治疗头。</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0.1W-2.0W±20%,</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当占空比≥</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80%,</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使用1 ㎝²治疗头。</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0.1W-3.0W±20%,</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当占空比≤</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70%,</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 xml:space="preserve">使用1 </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cm²</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治疗头。</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bookmarkStart w:id="1248" w:name="bookmark7"/>
      <w:bookmarkEnd w:id="1248"/>
      <w:r>
        <w:rPr>
          <w:rFonts w:hint="eastAsia" w:asciiTheme="minorEastAsia" w:hAnsiTheme="minorEastAsia" w:eastAsiaTheme="minorEastAsia" w:cstheme="minorEastAsia"/>
          <w:color w:val="auto"/>
          <w:spacing w:val="0"/>
          <w:w w:val="100"/>
          <w:position w:val="0"/>
          <w:sz w:val="24"/>
          <w:szCs w:val="24"/>
          <w:highlight w:val="none"/>
          <w:lang w:val="en-US" w:eastAsia="zh-CN" w:bidi="zh-TW"/>
        </w:rPr>
        <w:t>8.</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脉冲持续时间：</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1ms-56ms</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bookmarkStart w:id="1249" w:name="bookmark8"/>
      <w:bookmarkEnd w:id="1249"/>
      <w:r>
        <w:rPr>
          <w:rFonts w:hint="eastAsia" w:asciiTheme="minorEastAsia" w:hAnsiTheme="minorEastAsia" w:eastAsiaTheme="minorEastAsia" w:cstheme="minorEastAsia"/>
          <w:color w:val="auto"/>
          <w:spacing w:val="0"/>
          <w:w w:val="100"/>
          <w:position w:val="0"/>
          <w:sz w:val="24"/>
          <w:szCs w:val="24"/>
          <w:highlight w:val="none"/>
          <w:lang w:val="en-US" w:eastAsia="zh-CN" w:bidi="zh-TW"/>
        </w:rPr>
        <w:t>9.</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脉冲重复周期：</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63ms, 21ms, 10ms</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bookmarkStart w:id="1250" w:name="bookmark9"/>
      <w:bookmarkEnd w:id="1250"/>
      <w:r>
        <w:rPr>
          <w:rFonts w:hint="eastAsia" w:asciiTheme="minorEastAsia" w:hAnsiTheme="minorEastAsia" w:eastAsiaTheme="minorEastAsia" w:cstheme="minorEastAsia"/>
          <w:color w:val="auto"/>
          <w:spacing w:val="0"/>
          <w:w w:val="100"/>
          <w:position w:val="0"/>
          <w:sz w:val="24"/>
          <w:szCs w:val="24"/>
          <w:highlight w:val="none"/>
          <w:lang w:val="en-US" w:eastAsia="zh-CN" w:bidi="zh-TW"/>
        </w:rPr>
        <w:t>10.</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脉冲重复频率：</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16Hz, 48Hz, 100Hz</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bookmarkStart w:id="1251" w:name="bookmark10"/>
      <w:bookmarkEnd w:id="1251"/>
      <w:r>
        <w:rPr>
          <w:rFonts w:hint="eastAsia" w:asciiTheme="minorEastAsia" w:hAnsiTheme="minorEastAsia" w:eastAsiaTheme="minorEastAsia" w:cstheme="minorEastAsia"/>
          <w:color w:val="auto"/>
          <w:spacing w:val="0"/>
          <w:w w:val="100"/>
          <w:position w:val="0"/>
          <w:sz w:val="24"/>
          <w:szCs w:val="24"/>
          <w:highlight w:val="none"/>
          <w:lang w:val="en-US" w:eastAsia="zh-CN" w:bidi="zh-TW"/>
        </w:rPr>
        <w:t>11.</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占空比：10%-100%,每步调节10%</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bookmarkStart w:id="1252" w:name="bookmark11"/>
      <w:bookmarkEnd w:id="1252"/>
      <w:r>
        <w:rPr>
          <w:rFonts w:hint="eastAsia" w:asciiTheme="minorEastAsia" w:hAnsiTheme="minorEastAsia" w:eastAsiaTheme="minorEastAsia" w:cstheme="minorEastAsia"/>
          <w:color w:val="auto"/>
          <w:spacing w:val="0"/>
          <w:w w:val="100"/>
          <w:position w:val="0"/>
          <w:sz w:val="24"/>
          <w:szCs w:val="24"/>
          <w:highlight w:val="none"/>
          <w:lang w:val="en-US" w:eastAsia="zh-CN" w:bidi="zh-TW"/>
        </w:rPr>
        <w:t>12.</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治疗时间：</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1-30</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分钟可调，允许</w:t>
      </w:r>
      <w:r>
        <w:rPr>
          <w:rFonts w:hint="eastAsia" w:asciiTheme="minorEastAsia" w:hAnsiTheme="minorEastAsia" w:eastAsiaTheme="minorEastAsia" w:cstheme="minorEastAsia"/>
          <w:color w:val="auto"/>
          <w:spacing w:val="0"/>
          <w:w w:val="100"/>
          <w:position w:val="0"/>
          <w:sz w:val="24"/>
          <w:szCs w:val="24"/>
          <w:highlight w:val="none"/>
          <w:lang w:val="zh-CN" w:eastAsia="zh-CN" w:bidi="zh-TW"/>
        </w:rPr>
        <w:t>差±</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10%</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bookmarkStart w:id="1253" w:name="bookmark12"/>
      <w:bookmarkEnd w:id="1253"/>
      <w:r>
        <w:rPr>
          <w:rFonts w:hint="eastAsia" w:asciiTheme="minorEastAsia" w:hAnsiTheme="minorEastAsia" w:eastAsiaTheme="minorEastAsia" w:cstheme="minorEastAsia"/>
          <w:color w:val="auto"/>
          <w:spacing w:val="0"/>
          <w:w w:val="100"/>
          <w:position w:val="0"/>
          <w:sz w:val="24"/>
          <w:szCs w:val="24"/>
          <w:highlight w:val="none"/>
          <w:lang w:val="en-US" w:eastAsia="zh-CN" w:bidi="zh-TW"/>
        </w:rPr>
        <w:t>13.</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有效辐射面积：1</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 xml:space="preserve">cm2±20%; </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 xml:space="preserve">5 </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cm2±20%</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bookmarkStart w:id="1254" w:name="bookmark13"/>
      <w:bookmarkEnd w:id="1254"/>
      <w:r>
        <w:rPr>
          <w:rFonts w:hint="eastAsia" w:asciiTheme="minorEastAsia" w:hAnsiTheme="minorEastAsia" w:eastAsiaTheme="minorEastAsia" w:cstheme="minorEastAsia"/>
          <w:color w:val="auto"/>
          <w:spacing w:val="0"/>
          <w:w w:val="100"/>
          <w:position w:val="0"/>
          <w:sz w:val="24"/>
          <w:szCs w:val="24"/>
          <w:highlight w:val="none"/>
          <w:lang w:val="en-US" w:eastAsia="zh-CN" w:bidi="zh-TW"/>
        </w:rPr>
        <w:t>14.</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有臓强：不大于</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3.0W/ cm²</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bookmarkStart w:id="1255" w:name="bookmark14"/>
      <w:bookmarkEnd w:id="1255"/>
      <w:r>
        <w:rPr>
          <w:rFonts w:hint="eastAsia" w:asciiTheme="minorEastAsia" w:hAnsiTheme="minorEastAsia" w:eastAsiaTheme="minorEastAsia" w:cstheme="minorEastAsia"/>
          <w:color w:val="auto"/>
          <w:spacing w:val="0"/>
          <w:w w:val="100"/>
          <w:position w:val="0"/>
          <w:sz w:val="24"/>
          <w:szCs w:val="24"/>
          <w:highlight w:val="none"/>
          <w:lang w:val="en-US" w:eastAsia="zh-CN" w:bidi="zh-TW"/>
        </w:rPr>
        <w:t>15.</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波束不均匀系数：≤</w:t>
      </w:r>
      <w:r>
        <w:rPr>
          <w:rFonts w:hint="eastAsia" w:asciiTheme="minorEastAsia" w:hAnsiTheme="minorEastAsia" w:eastAsiaTheme="minorEastAsia" w:cstheme="minorEastAsia"/>
          <w:color w:val="auto"/>
          <w:spacing w:val="0"/>
          <w:w w:val="100"/>
          <w:position w:val="0"/>
          <w:sz w:val="24"/>
          <w:szCs w:val="24"/>
          <w:highlight w:val="none"/>
          <w:lang w:val="en-US" w:eastAsia="zh-CN" w:bidi="zh-TW"/>
        </w:rPr>
        <w:t>8.0</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bookmarkStart w:id="1256" w:name="bookmark15"/>
      <w:bookmarkEnd w:id="1256"/>
      <w:r>
        <w:rPr>
          <w:rFonts w:hint="eastAsia" w:asciiTheme="minorEastAsia" w:hAnsiTheme="minorEastAsia" w:eastAsiaTheme="minorEastAsia" w:cstheme="minorEastAsia"/>
          <w:color w:val="auto"/>
          <w:spacing w:val="0"/>
          <w:w w:val="100"/>
          <w:position w:val="0"/>
          <w:sz w:val="24"/>
          <w:szCs w:val="24"/>
          <w:highlight w:val="none"/>
          <w:lang w:val="en-US" w:eastAsia="zh-CN" w:bidi="zh-TW"/>
        </w:rPr>
        <w:t>16.</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波束类型：准直型</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bookmarkStart w:id="1257" w:name="bookmark16"/>
      <w:bookmarkEnd w:id="1257"/>
      <w:r>
        <w:rPr>
          <w:rFonts w:hint="eastAsia" w:asciiTheme="minorEastAsia" w:hAnsiTheme="minorEastAsia" w:eastAsiaTheme="minorEastAsia" w:cstheme="minorEastAsia"/>
          <w:color w:val="auto"/>
          <w:spacing w:val="0"/>
          <w:w w:val="100"/>
          <w:position w:val="0"/>
          <w:sz w:val="24"/>
          <w:szCs w:val="24"/>
          <w:highlight w:val="none"/>
          <w:lang w:val="en-US" w:eastAsia="zh-CN" w:bidi="zh-TW"/>
        </w:rPr>
        <w:t>17.</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防水等级：</w:t>
      </w:r>
      <w:r>
        <w:rPr>
          <w:rFonts w:hint="eastAsia" w:asciiTheme="minorEastAsia" w:hAnsiTheme="minorEastAsia" w:eastAsiaTheme="minorEastAsia" w:cstheme="minorEastAsia"/>
          <w:color w:val="auto"/>
          <w:spacing w:val="0"/>
          <w:w w:val="100"/>
          <w:position w:val="0"/>
          <w:sz w:val="24"/>
          <w:szCs w:val="24"/>
          <w:highlight w:val="none"/>
          <w:lang w:val="en-US" w:eastAsia="en-US" w:bidi="zh-TW"/>
        </w:rPr>
        <w:t xml:space="preserve">IPX7 </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(可用于水下操作)</w:t>
      </w:r>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en-US" w:eastAsia="en-US" w:bidi="zh-TW"/>
        </w:rPr>
      </w:pPr>
      <w:bookmarkStart w:id="1258" w:name="bookmark17"/>
      <w:bookmarkEnd w:id="1258"/>
      <w:r>
        <w:rPr>
          <w:rFonts w:hint="eastAsia" w:asciiTheme="minorEastAsia" w:hAnsiTheme="minorEastAsia" w:eastAsiaTheme="minorEastAsia" w:cstheme="minorEastAsia"/>
          <w:color w:val="auto"/>
          <w:spacing w:val="0"/>
          <w:w w:val="100"/>
          <w:position w:val="0"/>
          <w:sz w:val="24"/>
          <w:szCs w:val="24"/>
          <w:highlight w:val="none"/>
          <w:lang w:val="en-US" w:eastAsia="zh-CN" w:bidi="zh-TW"/>
        </w:rPr>
        <w:t>18.</w:t>
      </w:r>
      <w:r>
        <w:rPr>
          <w:rFonts w:hint="eastAsia" w:asciiTheme="minorEastAsia" w:hAnsiTheme="minorEastAsia" w:eastAsiaTheme="minorEastAsia" w:cstheme="minorEastAsia"/>
          <w:color w:val="auto"/>
          <w:spacing w:val="0"/>
          <w:w w:val="100"/>
          <w:position w:val="0"/>
          <w:sz w:val="24"/>
          <w:szCs w:val="24"/>
          <w:highlight w:val="none"/>
          <w:lang w:val="zh-TW" w:eastAsia="zh-TW" w:bidi="zh-TW"/>
        </w:rPr>
        <w:t>波形类型：连续波' 脉冲波</w:t>
      </w:r>
      <w:bookmarkStart w:id="1259" w:name="bookmark18"/>
      <w:bookmarkEnd w:id="1259"/>
    </w:p>
    <w:p>
      <w:pPr>
        <w:pStyle w:val="84"/>
        <w:keepNext w:val="0"/>
        <w:keepLines w:val="0"/>
        <w:pageBreakBefore w:val="0"/>
        <w:widowControl w:val="0"/>
        <w:numPr>
          <w:ilvl w:val="0"/>
          <w:numId w:val="0"/>
        </w:numPr>
        <w:shd w:val="clear" w:color="auto" w:fill="auto"/>
        <w:tabs>
          <w:tab w:val="left" w:pos="498"/>
        </w:tabs>
        <w:kinsoku/>
        <w:wordWrap/>
        <w:overflowPunct/>
        <w:topLinePunct w:val="0"/>
        <w:autoSpaceDE/>
        <w:autoSpaceDN/>
        <w:bidi w:val="0"/>
        <w:adjustRightInd/>
        <w:snapToGrid/>
        <w:spacing w:before="0" w:after="0" w:line="460" w:lineRule="exact"/>
        <w:ind w:leftChars="0" w:right="0" w:rightChars="0"/>
        <w:jc w:val="lef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r>
        <w:rPr>
          <w:rFonts w:hint="eastAsia" w:asciiTheme="minorEastAsia" w:hAnsiTheme="minorEastAsia" w:eastAsiaTheme="minorEastAsia" w:cstheme="minorEastAsia"/>
          <w:color w:val="auto"/>
          <w:spacing w:val="0"/>
          <w:w w:val="100"/>
          <w:position w:val="0"/>
          <w:sz w:val="24"/>
          <w:szCs w:val="24"/>
          <w:highlight w:val="none"/>
          <w:lang w:val="en-US" w:eastAsia="zh-CN" w:bidi="zh-TW"/>
        </w:rPr>
        <w:t>19.</w:t>
      </w:r>
      <w:r>
        <w:rPr>
          <w:rFonts w:hint="eastAsia" w:asciiTheme="minorEastAsia" w:hAnsiTheme="minorEastAsia" w:eastAsiaTheme="minorEastAsia" w:cstheme="minorEastAsia"/>
          <w:color w:val="auto"/>
          <w:spacing w:val="0"/>
          <w:w w:val="100"/>
          <w:position w:val="0"/>
          <w:sz w:val="24"/>
          <w:szCs w:val="24"/>
          <w:highlight w:val="none"/>
          <w:lang w:val="zh-TW" w:eastAsia="zh-CN" w:bidi="zh-TW"/>
        </w:rPr>
        <w:t>波束最大声强：</w:t>
      </w:r>
      <w:r>
        <w:rPr>
          <w:rFonts w:hint="eastAsia" w:asciiTheme="minorEastAsia" w:hAnsiTheme="minorEastAsia" w:eastAsiaTheme="minorEastAsia" w:cstheme="minorEastAsia"/>
          <w:color w:val="auto"/>
          <w:spacing w:val="0"/>
          <w:w w:val="100"/>
          <w:position w:val="0"/>
          <w:sz w:val="24"/>
          <w:szCs w:val="24"/>
          <w:highlight w:val="none"/>
          <w:lang w:val="en-US" w:eastAsia="zh-CN" w:bidi="zh-TW"/>
        </w:rPr>
        <w:t>24W/cm²</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二、售后服务：</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color w:val="auto"/>
          <w:sz w:val="24"/>
          <w:szCs w:val="24"/>
          <w:highlight w:val="none"/>
        </w:rPr>
      </w:pPr>
      <w:r>
        <w:rPr>
          <w:rFonts w:hint="eastAsia" w:ascii="Times New Roman" w:hAnsi="Times New Roman" w:eastAsia="宋体" w:cs="Times New Roman"/>
          <w:color w:val="auto"/>
          <w:sz w:val="24"/>
          <w:szCs w:val="24"/>
          <w:highlight w:val="none"/>
          <w:lang w:val="en-US" w:eastAsia="zh-CN"/>
        </w:rPr>
        <w:t>乙方应提供整机保修期</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年，保修期的期限应以甲乙双方的验收合格之日起计算，保修期内免费更换零配件及免工时费。</w:t>
      </w:r>
    </w:p>
    <w:p>
      <w:pPr>
        <w:pStyle w:val="22"/>
        <w:numPr>
          <w:ilvl w:val="0"/>
          <w:numId w:val="0"/>
        </w:numPr>
        <w:shd w:val="clear" w:color="auto"/>
        <w:spacing w:before="0" w:beforeAutospacing="0" w:after="0" w:afterAutospacing="0" w:line="360" w:lineRule="atLeast"/>
        <w:ind w:leftChars="0"/>
        <w:jc w:val="both"/>
        <w:rPr>
          <w:rFonts w:hint="eastAsia" w:ascii="宋体" w:hAnsi="宋体" w:cs="宋体"/>
          <w:b/>
          <w:bCs/>
          <w:iCs/>
          <w:color w:val="auto"/>
          <w:sz w:val="28"/>
          <w:szCs w:val="28"/>
          <w:highlight w:val="none"/>
          <w:lang w:val="en-US" w:eastAsia="zh-CN"/>
        </w:rPr>
      </w:pPr>
    </w:p>
    <w:p>
      <w:pPr>
        <w:pStyle w:val="22"/>
        <w:numPr>
          <w:ilvl w:val="0"/>
          <w:numId w:val="10"/>
        </w:numPr>
        <w:shd w:val="clear" w:color="auto"/>
        <w:spacing w:before="0" w:beforeAutospacing="0" w:after="0" w:afterAutospacing="0" w:line="360" w:lineRule="atLeast"/>
        <w:ind w:left="0" w:leftChars="0" w:firstLine="0" w:firstLineChars="0"/>
        <w:jc w:val="center"/>
        <w:outlineLvl w:val="2"/>
        <w:rPr>
          <w:rFonts w:hint="eastAsia" w:ascii="宋体" w:hAnsi="宋体" w:cs="宋体"/>
          <w:b/>
          <w:bCs/>
          <w:iCs/>
          <w:color w:val="auto"/>
          <w:sz w:val="28"/>
          <w:szCs w:val="28"/>
          <w:highlight w:val="none"/>
          <w:lang w:val="en-US" w:eastAsia="zh-CN"/>
        </w:rPr>
      </w:pPr>
      <w:bookmarkStart w:id="1260" w:name="_Toc15001"/>
      <w:r>
        <w:rPr>
          <w:rFonts w:hint="eastAsia" w:ascii="宋体" w:hAnsi="宋体" w:cs="宋体"/>
          <w:b/>
          <w:bCs/>
          <w:iCs/>
          <w:color w:val="auto"/>
          <w:sz w:val="28"/>
          <w:szCs w:val="28"/>
          <w:highlight w:val="none"/>
          <w:lang w:val="en-US" w:eastAsia="zh-CN"/>
        </w:rPr>
        <w:t>特定电磁波治疗器</w:t>
      </w:r>
      <w:bookmarkEnd w:id="1260"/>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一、技术参数：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电源电压：220V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频率：50Hz</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安全类型：</w:t>
      </w:r>
      <w:r>
        <w:rPr>
          <w:rFonts w:hint="eastAsia" w:asciiTheme="minorEastAsia" w:hAnsiTheme="minorEastAsia" w:eastAsiaTheme="minorEastAsia" w:cstheme="minorEastAsia"/>
          <w:b/>
          <w:bCs/>
          <w:color w:val="auto"/>
          <w:sz w:val="24"/>
          <w:szCs w:val="24"/>
          <w:highlight w:val="none"/>
        </w:rPr>
        <w:t>Ⅰ</w:t>
      </w:r>
      <w:r>
        <w:rPr>
          <w:rFonts w:hint="eastAsia" w:asciiTheme="minorEastAsia" w:hAnsiTheme="minorEastAsia" w:eastAsiaTheme="minorEastAsia" w:cstheme="minorEastAsia"/>
          <w:color w:val="auto"/>
          <w:sz w:val="24"/>
          <w:szCs w:val="24"/>
          <w:highlight w:val="none"/>
        </w:rPr>
        <w:t>类B型</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功耗：250W（每个照射头）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运行方式：连续工作</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定时控制范围：0-60min（机械定时）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工作环境温度：5-40℃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工作环境湿度：≤80％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电磁波谱范围：2-22μm</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升降杆升降范围：＞200mm</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支臂伸缩范围：＞500mm</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俯仰角：＞90°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转角：360°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治疗板直径：166毫米</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治疗板寿命：1000小时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二、</w:t>
      </w:r>
      <w:r>
        <w:rPr>
          <w:rFonts w:hint="eastAsia" w:ascii="Times New Roman" w:hAnsi="Times New Roman" w:eastAsia="宋体" w:cs="Times New Roman"/>
          <w:b/>
          <w:bCs/>
          <w:color w:val="auto"/>
          <w:sz w:val="24"/>
          <w:szCs w:val="24"/>
          <w:highlight w:val="none"/>
          <w:lang w:val="en-US" w:eastAsia="zh-CN"/>
        </w:rPr>
        <w:t>售后服务</w:t>
      </w:r>
      <w:r>
        <w:rPr>
          <w:rFonts w:hint="eastAsia" w:ascii="Times New Roman" w:hAnsi="Times New Roman" w:cs="Times New Roman"/>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color w:val="auto"/>
          <w:sz w:val="24"/>
          <w:szCs w:val="24"/>
          <w:highlight w:val="none"/>
        </w:rPr>
      </w:pPr>
      <w:r>
        <w:rPr>
          <w:rFonts w:hint="eastAsia" w:ascii="Times New Roman" w:hAnsi="Times New Roman" w:eastAsia="宋体" w:cs="Times New Roman"/>
          <w:color w:val="auto"/>
          <w:sz w:val="24"/>
          <w:szCs w:val="24"/>
          <w:highlight w:val="none"/>
          <w:lang w:val="en-US" w:eastAsia="zh-CN"/>
        </w:rPr>
        <w:t>乙方应提供整机保修期</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年，保修期的期限应以甲乙双方的验收合格之日起计算，保修期内免费更换零配件及免工时费。</w:t>
      </w:r>
    </w:p>
    <w:p>
      <w:pPr>
        <w:pStyle w:val="22"/>
        <w:numPr>
          <w:ilvl w:val="0"/>
          <w:numId w:val="0"/>
        </w:numPr>
        <w:shd w:val="clear" w:color="auto"/>
        <w:spacing w:before="0" w:beforeAutospacing="0" w:after="0" w:afterAutospacing="0" w:line="360" w:lineRule="atLeast"/>
        <w:ind w:leftChars="0"/>
        <w:jc w:val="both"/>
        <w:rPr>
          <w:rFonts w:hint="eastAsia" w:ascii="宋体" w:hAnsi="宋体" w:cs="宋体"/>
          <w:b/>
          <w:bCs/>
          <w:iCs/>
          <w:color w:val="auto"/>
          <w:sz w:val="28"/>
          <w:szCs w:val="28"/>
          <w:highlight w:val="none"/>
          <w:lang w:val="en-US" w:eastAsia="zh-CN"/>
        </w:rPr>
      </w:pPr>
    </w:p>
    <w:p>
      <w:pPr>
        <w:pStyle w:val="22"/>
        <w:numPr>
          <w:ilvl w:val="0"/>
          <w:numId w:val="10"/>
        </w:numPr>
        <w:shd w:val="clear" w:color="auto"/>
        <w:spacing w:before="0" w:beforeAutospacing="0" w:after="0" w:afterAutospacing="0" w:line="360" w:lineRule="atLeast"/>
        <w:ind w:left="0" w:leftChars="0" w:firstLine="0" w:firstLineChars="0"/>
        <w:jc w:val="center"/>
        <w:outlineLvl w:val="2"/>
        <w:rPr>
          <w:rFonts w:hint="eastAsia" w:ascii="宋体" w:hAnsi="宋体" w:cs="宋体"/>
          <w:b/>
          <w:bCs/>
          <w:iCs/>
          <w:color w:val="auto"/>
          <w:sz w:val="28"/>
          <w:szCs w:val="28"/>
          <w:highlight w:val="none"/>
          <w:lang w:val="en-US" w:eastAsia="zh-CN"/>
        </w:rPr>
      </w:pPr>
      <w:bookmarkStart w:id="1261" w:name="_Toc24880"/>
      <w:r>
        <w:rPr>
          <w:rFonts w:hint="eastAsia" w:ascii="宋体" w:hAnsi="宋体" w:cs="宋体"/>
          <w:b/>
          <w:bCs/>
          <w:iCs/>
          <w:color w:val="auto"/>
          <w:sz w:val="28"/>
          <w:szCs w:val="28"/>
          <w:highlight w:val="none"/>
          <w:lang w:val="en-US" w:eastAsia="zh-CN"/>
        </w:rPr>
        <w:t>音频电治疗仪</w:t>
      </w:r>
      <w:bookmarkEnd w:id="1261"/>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技术参数：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功率：≤100VA</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脉冲频率：0.5Hz~9000Hz</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输出组数：电疗4组、热疗四组、一路激光输出，每路输出单独操作，同异步治疗四位患者或四个部位；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调制波形：有连续波、方波、尖波、正弦波、指数波、三角波、阶梯波、积分波、间断波、疏密波、簇形波、起伏波和锯齿波等脉冲波形；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工作时间：10min 20min 30min；治疗时间到语音提示，并停止输出；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内存功能：负压治疗、激光治疗、全功能、中频、针灸、按摩</w:t>
      </w:r>
      <w:r>
        <w:rPr>
          <w:rFonts w:hint="eastAsia" w:asciiTheme="minorEastAsia" w:hAnsiTheme="minorEastAsia" w:cstheme="minorEastAsia"/>
          <w:color w:val="auto"/>
          <w:sz w:val="24"/>
          <w:szCs w:val="24"/>
          <w:highlight w:val="none"/>
          <w:lang w:eastAsia="zh-CN"/>
        </w:rPr>
        <w:t>、音频电治疗</w:t>
      </w:r>
      <w:r>
        <w:rPr>
          <w:rFonts w:hint="eastAsia" w:asciiTheme="minorEastAsia" w:hAnsiTheme="minorEastAsia" w:eastAsiaTheme="minorEastAsia" w:cstheme="minorEastAsia"/>
          <w:color w:val="auto"/>
          <w:sz w:val="24"/>
          <w:szCs w:val="24"/>
          <w:highlight w:val="none"/>
        </w:rPr>
        <w:t>等；</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四种处方设置:每种处方有多种波形循环;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远红外热疗、药物离子导入功能和负压治疗功能,远红外热疗温度：40℃、50℃、60℃可选择；</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设备具有恒温装置，温度控制在60℃以下，同时设置附件线路检测功能。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二、</w:t>
      </w:r>
      <w:r>
        <w:rPr>
          <w:rFonts w:hint="eastAsia" w:ascii="Times New Roman" w:hAnsi="Times New Roman" w:eastAsia="宋体" w:cs="Times New Roman"/>
          <w:b/>
          <w:bCs/>
          <w:color w:val="auto"/>
          <w:sz w:val="24"/>
          <w:szCs w:val="24"/>
          <w:highlight w:val="none"/>
          <w:lang w:val="en-US" w:eastAsia="zh-CN"/>
        </w:rPr>
        <w:t>售后服务</w:t>
      </w:r>
      <w:r>
        <w:rPr>
          <w:rFonts w:hint="eastAsia" w:ascii="Times New Roman" w:hAnsi="Times New Roman" w:cs="Times New Roman"/>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color w:val="auto"/>
          <w:sz w:val="24"/>
          <w:szCs w:val="24"/>
          <w:highlight w:val="none"/>
        </w:rPr>
      </w:pPr>
      <w:r>
        <w:rPr>
          <w:rFonts w:hint="eastAsia" w:ascii="Times New Roman" w:hAnsi="Times New Roman" w:eastAsia="宋体" w:cs="Times New Roman"/>
          <w:color w:val="auto"/>
          <w:sz w:val="24"/>
          <w:szCs w:val="24"/>
          <w:highlight w:val="none"/>
          <w:lang w:val="en-US" w:eastAsia="zh-CN"/>
        </w:rPr>
        <w:t>乙方应提供整机保修期</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年，保修期的期限应以甲乙双方的验收合格之日起计算，保修期内免费更换零配件及免工时费。</w:t>
      </w:r>
    </w:p>
    <w:p>
      <w:pPr>
        <w:rPr>
          <w:color w:val="auto"/>
          <w:highlight w:val="none"/>
        </w:rPr>
      </w:pPr>
    </w:p>
    <w:p>
      <w:pPr>
        <w:pStyle w:val="22"/>
        <w:numPr>
          <w:ilvl w:val="0"/>
          <w:numId w:val="0"/>
        </w:numPr>
        <w:shd w:val="clear" w:color="auto"/>
        <w:spacing w:before="0" w:beforeAutospacing="0" w:after="0" w:afterAutospacing="0" w:line="360" w:lineRule="atLeast"/>
        <w:ind w:leftChars="0"/>
        <w:jc w:val="both"/>
        <w:outlineLvl w:val="2"/>
        <w:rPr>
          <w:rFonts w:hint="eastAsia" w:ascii="宋体" w:hAnsi="宋体" w:cs="宋体"/>
          <w:b/>
          <w:bCs/>
          <w:iCs/>
          <w:color w:val="auto"/>
          <w:sz w:val="28"/>
          <w:szCs w:val="28"/>
          <w:highlight w:val="none"/>
          <w:lang w:val="en-US" w:eastAsia="zh-CN"/>
        </w:rPr>
      </w:pPr>
    </w:p>
    <w:p>
      <w:pPr>
        <w:pStyle w:val="22"/>
        <w:numPr>
          <w:ilvl w:val="0"/>
          <w:numId w:val="10"/>
        </w:numPr>
        <w:shd w:val="clear" w:color="auto"/>
        <w:spacing w:before="0" w:beforeAutospacing="0" w:after="0" w:afterAutospacing="0" w:line="360" w:lineRule="atLeast"/>
        <w:ind w:left="0" w:leftChars="0" w:firstLine="0" w:firstLineChars="0"/>
        <w:jc w:val="center"/>
        <w:outlineLvl w:val="2"/>
        <w:rPr>
          <w:rFonts w:hint="eastAsia" w:ascii="宋体" w:hAnsi="宋体" w:cs="宋体"/>
          <w:b/>
          <w:bCs/>
          <w:iCs/>
          <w:color w:val="auto"/>
          <w:sz w:val="28"/>
          <w:szCs w:val="28"/>
          <w:highlight w:val="none"/>
          <w:lang w:val="en-US" w:eastAsia="zh-CN"/>
        </w:rPr>
      </w:pPr>
      <w:bookmarkStart w:id="1262" w:name="_Toc27735"/>
      <w:r>
        <w:rPr>
          <w:rFonts w:hint="eastAsia" w:ascii="宋体" w:hAnsi="宋体" w:cs="宋体"/>
          <w:b/>
          <w:bCs/>
          <w:iCs/>
          <w:color w:val="auto"/>
          <w:sz w:val="28"/>
          <w:szCs w:val="28"/>
          <w:highlight w:val="none"/>
          <w:lang w:val="en-US" w:eastAsia="zh-CN"/>
        </w:rPr>
        <w:t>磁振热治疗仪</w:t>
      </w:r>
      <w:bookmarkEnd w:id="1262"/>
    </w:p>
    <w:p>
      <w:pPr>
        <w:keepNext w:val="0"/>
        <w:keepLines w:val="0"/>
        <w:pageBreakBefore w:val="0"/>
        <w:widowControl w:val="0"/>
        <w:kinsoku/>
        <w:wordWrap/>
        <w:overflowPunct/>
        <w:topLinePunct w:val="0"/>
        <w:autoSpaceDE/>
        <w:autoSpaceDN/>
        <w:bidi w:val="0"/>
        <w:adjustRightInd/>
        <w:spacing w:line="460" w:lineRule="exact"/>
        <w:ind w:left="0"/>
        <w:jc w:val="both"/>
        <w:textAlignment w:val="auto"/>
        <w:rPr>
          <w:rFonts w:hint="default" w:asciiTheme="minorEastAsia" w:hAnsiTheme="minorEastAsia" w:cstheme="minorEastAsia"/>
          <w:b/>
          <w:bCs/>
          <w:color w:val="auto"/>
          <w:spacing w:val="0"/>
          <w:w w:val="100"/>
          <w:position w:val="0"/>
          <w:sz w:val="24"/>
          <w:szCs w:val="24"/>
          <w:highlight w:val="none"/>
          <w:lang w:val="en-US" w:eastAsia="zh-CN" w:bidi="zh-TW"/>
        </w:rPr>
      </w:pPr>
      <w:r>
        <w:rPr>
          <w:rFonts w:hint="eastAsia" w:asciiTheme="minorEastAsia" w:hAnsiTheme="minorEastAsia" w:cstheme="minorEastAsia"/>
          <w:b/>
          <w:bCs/>
          <w:color w:val="auto"/>
          <w:spacing w:val="0"/>
          <w:w w:val="100"/>
          <w:position w:val="0"/>
          <w:sz w:val="24"/>
          <w:szCs w:val="24"/>
          <w:highlight w:val="none"/>
          <w:lang w:val="en-US" w:eastAsia="zh-CN" w:bidi="zh-TW"/>
        </w:rPr>
        <w:t>一、技术参数：</w:t>
      </w:r>
    </w:p>
    <w:p>
      <w:pPr>
        <w:keepNext w:val="0"/>
        <w:keepLines w:val="0"/>
        <w:pageBreakBefore w:val="0"/>
        <w:widowControl w:val="0"/>
        <w:kinsoku/>
        <w:wordWrap/>
        <w:overflowPunct/>
        <w:topLinePunct w:val="0"/>
        <w:autoSpaceDE/>
        <w:autoSpaceDN/>
        <w:bidi w:val="0"/>
        <w:adjustRightInd/>
        <w:snapToGrid w:val="0"/>
        <w:spacing w:line="460" w:lineRule="exact"/>
        <w:ind w:lef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★1、入选国家中医药管理局“中医诊疗设备评估选型推荐品目（2011版第一批）”，提供国家中医局文件为准。</w:t>
      </w:r>
    </w:p>
    <w:p>
      <w:pPr>
        <w:keepNext w:val="0"/>
        <w:keepLines w:val="0"/>
        <w:pageBreakBefore w:val="0"/>
        <w:widowControl w:val="0"/>
        <w:kinsoku/>
        <w:wordWrap/>
        <w:overflowPunct/>
        <w:topLinePunct w:val="0"/>
        <w:autoSpaceDE/>
        <w:autoSpaceDN/>
        <w:bidi w:val="0"/>
        <w:adjustRightInd/>
        <w:snapToGrid w:val="0"/>
        <w:spacing w:line="460" w:lineRule="exact"/>
        <w:ind w:left="0"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2、适用范围：适用于慢性软组织损伤和颈肩腰腿痛的辅助治疗。</w:t>
      </w:r>
    </w:p>
    <w:p>
      <w:pPr>
        <w:keepNext w:val="0"/>
        <w:keepLines w:val="0"/>
        <w:pageBreakBefore w:val="0"/>
        <w:widowControl w:val="0"/>
        <w:kinsoku/>
        <w:wordWrap/>
        <w:overflowPunct/>
        <w:topLinePunct w:val="0"/>
        <w:autoSpaceDE/>
        <w:autoSpaceDN/>
        <w:bidi w:val="0"/>
        <w:adjustRightInd/>
        <w:snapToGrid w:val="0"/>
        <w:spacing w:line="460" w:lineRule="exact"/>
        <w:ind w:lef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3、主要构成：产品由一台主机和四个治疗导子组成</w:t>
      </w:r>
    </w:p>
    <w:p>
      <w:pPr>
        <w:keepNext w:val="0"/>
        <w:keepLines w:val="0"/>
        <w:pageBreakBefore w:val="0"/>
        <w:widowControl w:val="0"/>
        <w:kinsoku/>
        <w:wordWrap/>
        <w:overflowPunct/>
        <w:topLinePunct w:val="0"/>
        <w:autoSpaceDE/>
        <w:autoSpaceDN/>
        <w:bidi w:val="0"/>
        <w:adjustRightInd/>
        <w:snapToGrid w:val="0"/>
        <w:spacing w:line="460" w:lineRule="exact"/>
        <w:ind w:lef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★4、结构形式：不可分拆的柜机推车式</w:t>
      </w:r>
    </w:p>
    <w:p>
      <w:pPr>
        <w:keepNext w:val="0"/>
        <w:keepLines w:val="0"/>
        <w:pageBreakBefore w:val="0"/>
        <w:widowControl w:val="0"/>
        <w:kinsoku/>
        <w:wordWrap/>
        <w:overflowPunct/>
        <w:topLinePunct w:val="0"/>
        <w:autoSpaceDE/>
        <w:autoSpaceDN/>
        <w:bidi w:val="0"/>
        <w:adjustRightInd/>
        <w:snapToGrid w:val="0"/>
        <w:spacing w:line="460" w:lineRule="exact"/>
        <w:ind w:lef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5、显示方式：液晶屏幕显示界面</w:t>
      </w:r>
    </w:p>
    <w:p>
      <w:pPr>
        <w:keepNext w:val="0"/>
        <w:keepLines w:val="0"/>
        <w:pageBreakBefore w:val="0"/>
        <w:widowControl w:val="0"/>
        <w:kinsoku/>
        <w:wordWrap/>
        <w:overflowPunct/>
        <w:topLinePunct w:val="0"/>
        <w:autoSpaceDE/>
        <w:autoSpaceDN/>
        <w:bidi w:val="0"/>
        <w:adjustRightInd/>
        <w:snapToGrid w:val="0"/>
        <w:spacing w:line="460" w:lineRule="exact"/>
        <w:ind w:left="0" w:hanging="1800" w:hangingChars="7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★6、操作方式：一键飞梭的操作方式，所有功能的调节仅需通过对一个键施以旋转及按压动作即可全部完成，必</w:t>
      </w:r>
      <w:r>
        <w:rPr>
          <w:rFonts w:hint="eastAsia" w:asciiTheme="minorEastAsia" w:hAnsiTheme="minorEastAsia" w:eastAsiaTheme="minorEastAsia" w:cstheme="minorEastAsia"/>
          <w:color w:val="auto"/>
          <w:sz w:val="24"/>
          <w:szCs w:val="24"/>
          <w:highlight w:val="none"/>
          <w:lang w:val="en-US" w:eastAsia="zh-CN"/>
        </w:rPr>
        <w:t>须</w:t>
      </w:r>
      <w:r>
        <w:rPr>
          <w:rFonts w:hint="eastAsia" w:asciiTheme="minorEastAsia" w:hAnsiTheme="minorEastAsia" w:eastAsiaTheme="minorEastAsia" w:cstheme="minorEastAsia"/>
          <w:color w:val="auto"/>
          <w:sz w:val="24"/>
          <w:szCs w:val="24"/>
          <w:highlight w:val="none"/>
        </w:rPr>
        <w:t>提供专利证书佐证。</w:t>
      </w:r>
    </w:p>
    <w:p>
      <w:pPr>
        <w:keepNext w:val="0"/>
        <w:keepLines w:val="0"/>
        <w:pageBreakBefore w:val="0"/>
        <w:widowControl w:val="0"/>
        <w:kinsoku/>
        <w:wordWrap/>
        <w:overflowPunct/>
        <w:topLinePunct w:val="0"/>
        <w:autoSpaceDE/>
        <w:autoSpaceDN/>
        <w:bidi w:val="0"/>
        <w:adjustRightInd/>
        <w:snapToGrid w:val="0"/>
        <w:spacing w:line="460" w:lineRule="exact"/>
        <w:ind w:left="0"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7、输出路数：四路、可同时连接四个治疗导子</w:t>
      </w:r>
    </w:p>
    <w:p>
      <w:pPr>
        <w:keepNext w:val="0"/>
        <w:keepLines w:val="0"/>
        <w:pageBreakBefore w:val="0"/>
        <w:widowControl w:val="0"/>
        <w:kinsoku/>
        <w:wordWrap/>
        <w:overflowPunct/>
        <w:topLinePunct w:val="0"/>
        <w:autoSpaceDE/>
        <w:autoSpaceDN/>
        <w:bidi w:val="0"/>
        <w:adjustRightInd/>
        <w:snapToGrid w:val="0"/>
        <w:spacing w:line="460" w:lineRule="exact"/>
        <w:ind w:lef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★8、导子种类：可提供四种不同形状的导子</w:t>
      </w:r>
    </w:p>
    <w:p>
      <w:pPr>
        <w:keepNext w:val="0"/>
        <w:keepLines w:val="0"/>
        <w:pageBreakBefore w:val="0"/>
        <w:widowControl w:val="0"/>
        <w:kinsoku/>
        <w:wordWrap/>
        <w:overflowPunct/>
        <w:topLinePunct w:val="0"/>
        <w:autoSpaceDE/>
        <w:autoSpaceDN/>
        <w:bidi w:val="0"/>
        <w:adjustRightInd/>
        <w:snapToGrid w:val="0"/>
        <w:spacing w:line="460" w:lineRule="exact"/>
        <w:ind w:left="0" w:hanging="2280" w:hangingChars="9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9、功能输出方式：将磁疗、振动、热疗三种治疗方式相结合并由同一导子同时发出，实现三功同步治疗</w:t>
      </w:r>
    </w:p>
    <w:p>
      <w:pPr>
        <w:keepNext w:val="0"/>
        <w:keepLines w:val="0"/>
        <w:pageBreakBefore w:val="0"/>
        <w:widowControl w:val="0"/>
        <w:kinsoku/>
        <w:wordWrap/>
        <w:overflowPunct/>
        <w:topLinePunct w:val="0"/>
        <w:autoSpaceDE/>
        <w:autoSpaceDN/>
        <w:bidi w:val="0"/>
        <w:adjustRightInd/>
        <w:snapToGrid w:val="0"/>
        <w:spacing w:line="460" w:lineRule="exact"/>
        <w:ind w:lef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★10、功能调节方式：振动强度、治疗模式、热疗功能三项技术参数分别独立可调、互不关联</w:t>
      </w:r>
    </w:p>
    <w:p>
      <w:pPr>
        <w:keepNext w:val="0"/>
        <w:keepLines w:val="0"/>
        <w:pageBreakBefore w:val="0"/>
        <w:widowControl w:val="0"/>
        <w:kinsoku/>
        <w:wordWrap/>
        <w:overflowPunct/>
        <w:topLinePunct w:val="0"/>
        <w:autoSpaceDE/>
        <w:autoSpaceDN/>
        <w:bidi w:val="0"/>
        <w:adjustRightInd/>
        <w:snapToGrid w:val="0"/>
        <w:spacing w:line="460" w:lineRule="exact"/>
        <w:ind w:lef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11、磁场强度：≤38mT</w:t>
      </w:r>
    </w:p>
    <w:p>
      <w:pPr>
        <w:keepNext w:val="0"/>
        <w:keepLines w:val="0"/>
        <w:pageBreakBefore w:val="0"/>
        <w:widowControl w:val="0"/>
        <w:kinsoku/>
        <w:wordWrap/>
        <w:overflowPunct/>
        <w:topLinePunct w:val="0"/>
        <w:autoSpaceDE/>
        <w:autoSpaceDN/>
        <w:bidi w:val="0"/>
        <w:adjustRightInd/>
        <w:snapToGrid w:val="0"/>
        <w:spacing w:line="460" w:lineRule="exact"/>
        <w:ind w:left="0"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12、振动强度（频率）档位数：三档</w:t>
      </w:r>
    </w:p>
    <w:p>
      <w:pPr>
        <w:keepNext w:val="0"/>
        <w:keepLines w:val="0"/>
        <w:pageBreakBefore w:val="0"/>
        <w:widowControl w:val="0"/>
        <w:kinsoku/>
        <w:wordWrap/>
        <w:overflowPunct/>
        <w:topLinePunct w:val="0"/>
        <w:autoSpaceDE/>
        <w:autoSpaceDN/>
        <w:bidi w:val="0"/>
        <w:adjustRightInd/>
        <w:snapToGrid w:val="0"/>
        <w:spacing w:line="460" w:lineRule="exact"/>
        <w:ind w:left="0"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13、振动强度（频率）弱档：40Hz±1Hz</w:t>
      </w:r>
    </w:p>
    <w:p>
      <w:pPr>
        <w:keepNext w:val="0"/>
        <w:keepLines w:val="0"/>
        <w:pageBreakBefore w:val="0"/>
        <w:widowControl w:val="0"/>
        <w:kinsoku/>
        <w:wordWrap/>
        <w:overflowPunct/>
        <w:topLinePunct w:val="0"/>
        <w:autoSpaceDE/>
        <w:autoSpaceDN/>
        <w:bidi w:val="0"/>
        <w:adjustRightInd/>
        <w:snapToGrid w:val="0"/>
        <w:spacing w:line="460" w:lineRule="exact"/>
        <w:ind w:left="0"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14、振动强度（频率）中档：46Hz±1Hz</w:t>
      </w:r>
    </w:p>
    <w:p>
      <w:pPr>
        <w:keepNext w:val="0"/>
        <w:keepLines w:val="0"/>
        <w:pageBreakBefore w:val="0"/>
        <w:widowControl w:val="0"/>
        <w:kinsoku/>
        <w:wordWrap/>
        <w:overflowPunct/>
        <w:topLinePunct w:val="0"/>
        <w:autoSpaceDE/>
        <w:autoSpaceDN/>
        <w:bidi w:val="0"/>
        <w:adjustRightInd/>
        <w:snapToGrid w:val="0"/>
        <w:spacing w:line="460" w:lineRule="exact"/>
        <w:ind w:left="0"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15、振动强度（频率）强档：50Hz±1Hz</w:t>
      </w:r>
    </w:p>
    <w:p>
      <w:pPr>
        <w:keepNext w:val="0"/>
        <w:keepLines w:val="0"/>
        <w:pageBreakBefore w:val="0"/>
        <w:widowControl w:val="0"/>
        <w:kinsoku/>
        <w:wordWrap/>
        <w:overflowPunct/>
        <w:topLinePunct w:val="0"/>
        <w:autoSpaceDE/>
        <w:autoSpaceDN/>
        <w:bidi w:val="0"/>
        <w:adjustRightInd/>
        <w:snapToGrid w:val="0"/>
        <w:spacing w:line="460" w:lineRule="exact"/>
        <w:ind w:lef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16、治疗模式种数：四种</w:t>
      </w:r>
    </w:p>
    <w:p>
      <w:pPr>
        <w:keepNext w:val="0"/>
        <w:keepLines w:val="0"/>
        <w:pageBreakBefore w:val="0"/>
        <w:widowControl w:val="0"/>
        <w:kinsoku/>
        <w:wordWrap/>
        <w:overflowPunct/>
        <w:topLinePunct w:val="0"/>
        <w:autoSpaceDE/>
        <w:autoSpaceDN/>
        <w:bidi w:val="0"/>
        <w:adjustRightInd/>
        <w:snapToGrid w:val="0"/>
        <w:spacing w:line="460" w:lineRule="exact"/>
        <w:ind w:lef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17、治疗模式1：连续</w:t>
      </w:r>
    </w:p>
    <w:p>
      <w:pPr>
        <w:keepNext w:val="0"/>
        <w:keepLines w:val="0"/>
        <w:pageBreakBefore w:val="0"/>
        <w:widowControl w:val="0"/>
        <w:kinsoku/>
        <w:wordWrap/>
        <w:overflowPunct/>
        <w:topLinePunct w:val="0"/>
        <w:autoSpaceDE/>
        <w:autoSpaceDN/>
        <w:bidi w:val="0"/>
        <w:adjustRightInd/>
        <w:snapToGrid w:val="0"/>
        <w:spacing w:line="460" w:lineRule="exact"/>
        <w:ind w:lef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18、治疗模式2：工作周期2.5S±0.2S</w:t>
      </w:r>
    </w:p>
    <w:p>
      <w:pPr>
        <w:keepNext w:val="0"/>
        <w:keepLines w:val="0"/>
        <w:pageBreakBefore w:val="0"/>
        <w:widowControl w:val="0"/>
        <w:kinsoku/>
        <w:wordWrap/>
        <w:overflowPunct/>
        <w:topLinePunct w:val="0"/>
        <w:autoSpaceDE/>
        <w:autoSpaceDN/>
        <w:bidi w:val="0"/>
        <w:adjustRightInd/>
        <w:snapToGrid w:val="0"/>
        <w:spacing w:line="460" w:lineRule="exact"/>
        <w:ind w:lef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19、治疗模式3：工作周期3.0S±0.2S</w:t>
      </w:r>
    </w:p>
    <w:p>
      <w:pPr>
        <w:keepNext w:val="0"/>
        <w:keepLines w:val="0"/>
        <w:pageBreakBefore w:val="0"/>
        <w:widowControl w:val="0"/>
        <w:kinsoku/>
        <w:wordWrap/>
        <w:overflowPunct/>
        <w:topLinePunct w:val="0"/>
        <w:autoSpaceDE/>
        <w:autoSpaceDN/>
        <w:bidi w:val="0"/>
        <w:adjustRightInd/>
        <w:snapToGrid w:val="0"/>
        <w:spacing w:line="460" w:lineRule="exact"/>
        <w:ind w:lef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20、治疗模式4：工作周期4.0S±0.2S</w:t>
      </w:r>
    </w:p>
    <w:p>
      <w:pPr>
        <w:keepNext w:val="0"/>
        <w:keepLines w:val="0"/>
        <w:pageBreakBefore w:val="0"/>
        <w:widowControl w:val="0"/>
        <w:kinsoku/>
        <w:wordWrap/>
        <w:overflowPunct/>
        <w:topLinePunct w:val="0"/>
        <w:autoSpaceDE/>
        <w:autoSpaceDN/>
        <w:bidi w:val="0"/>
        <w:adjustRightInd/>
        <w:snapToGrid w:val="0"/>
        <w:spacing w:line="460" w:lineRule="exact"/>
        <w:ind w:left="0"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21、热疗功能档位：可选择关闭或开启</w:t>
      </w:r>
    </w:p>
    <w:p>
      <w:pPr>
        <w:keepNext w:val="0"/>
        <w:keepLines w:val="0"/>
        <w:pageBreakBefore w:val="0"/>
        <w:widowControl w:val="0"/>
        <w:kinsoku/>
        <w:wordWrap/>
        <w:overflowPunct/>
        <w:topLinePunct w:val="0"/>
        <w:autoSpaceDE/>
        <w:autoSpaceDN/>
        <w:bidi w:val="0"/>
        <w:adjustRightInd/>
        <w:snapToGrid w:val="0"/>
        <w:spacing w:line="460" w:lineRule="exact"/>
        <w:ind w:lef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★22、热疗功能温控范围：35℃～</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0℃连续可调，步距1℃、精度±5℃</w:t>
      </w:r>
    </w:p>
    <w:p>
      <w:pPr>
        <w:keepNext w:val="0"/>
        <w:keepLines w:val="0"/>
        <w:pageBreakBefore w:val="0"/>
        <w:widowControl w:val="0"/>
        <w:numPr>
          <w:ilvl w:val="0"/>
          <w:numId w:val="15"/>
        </w:numPr>
        <w:kinsoku/>
        <w:wordWrap/>
        <w:overflowPunct/>
        <w:topLinePunct w:val="0"/>
        <w:autoSpaceDE/>
        <w:autoSpaceDN/>
        <w:bidi w:val="0"/>
        <w:adjustRightInd/>
        <w:snapToGrid w:val="0"/>
        <w:spacing w:line="460" w:lineRule="exact"/>
        <w:ind w:left="0" w:lef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定时功能：1-99min连续可调，步距1min、误差±5％</w:t>
      </w:r>
    </w:p>
    <w:p>
      <w:pPr>
        <w:keepNext w:val="0"/>
        <w:keepLines w:val="0"/>
        <w:pageBreakBefore w:val="0"/>
        <w:widowControl w:val="0"/>
        <w:kinsoku/>
        <w:wordWrap/>
        <w:overflowPunct/>
        <w:topLinePunct w:val="0"/>
        <w:autoSpaceDE/>
        <w:autoSpaceDN/>
        <w:bidi w:val="0"/>
        <w:adjustRightInd/>
        <w:spacing w:line="460" w:lineRule="exact"/>
        <w:ind w:left="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二、</w:t>
      </w:r>
      <w:r>
        <w:rPr>
          <w:rFonts w:hint="eastAsia" w:ascii="Times New Roman" w:hAnsi="Times New Roman" w:eastAsia="宋体" w:cs="Times New Roman"/>
          <w:b/>
          <w:bCs/>
          <w:color w:val="auto"/>
          <w:sz w:val="24"/>
          <w:szCs w:val="24"/>
          <w:highlight w:val="none"/>
          <w:lang w:val="en-US" w:eastAsia="zh-CN"/>
        </w:rPr>
        <w:t>售后服务</w:t>
      </w:r>
      <w:r>
        <w:rPr>
          <w:rFonts w:hint="eastAsia" w:ascii="Times New Roman" w:hAnsi="Times New Roman" w:cs="Times New Roman"/>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pacing w:line="460" w:lineRule="exact"/>
        <w:ind w:left="0" w:firstLine="480" w:firstLineChars="200"/>
        <w:textAlignment w:val="auto"/>
        <w:rPr>
          <w:color w:val="auto"/>
          <w:sz w:val="24"/>
          <w:szCs w:val="24"/>
          <w:highlight w:val="none"/>
        </w:rPr>
      </w:pPr>
      <w:r>
        <w:rPr>
          <w:rFonts w:hint="eastAsia" w:ascii="Times New Roman" w:hAnsi="Times New Roman" w:eastAsia="宋体" w:cs="Times New Roman"/>
          <w:color w:val="auto"/>
          <w:sz w:val="24"/>
          <w:szCs w:val="24"/>
          <w:highlight w:val="none"/>
          <w:lang w:val="en-US" w:eastAsia="zh-CN"/>
        </w:rPr>
        <w:t>乙方应提供整机保修期</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年，保修期的期限应以甲乙双方的验收合格之日起计算，保修期内免费更换零配件及免工时费。</w:t>
      </w:r>
    </w:p>
    <w:p>
      <w:pPr>
        <w:pStyle w:val="22"/>
        <w:numPr>
          <w:ilvl w:val="0"/>
          <w:numId w:val="10"/>
        </w:numPr>
        <w:shd w:val="clear" w:color="auto"/>
        <w:spacing w:before="0" w:beforeAutospacing="0" w:after="0" w:afterAutospacing="0" w:line="360" w:lineRule="atLeast"/>
        <w:ind w:left="0" w:leftChars="0" w:firstLine="0" w:firstLineChars="0"/>
        <w:jc w:val="center"/>
        <w:outlineLvl w:val="2"/>
        <w:rPr>
          <w:rFonts w:hint="eastAsia" w:ascii="宋体" w:hAnsi="宋体" w:cs="宋体"/>
          <w:b/>
          <w:bCs/>
          <w:iCs/>
          <w:color w:val="auto"/>
          <w:sz w:val="28"/>
          <w:szCs w:val="28"/>
          <w:highlight w:val="none"/>
          <w:lang w:val="en-US" w:eastAsia="zh-CN"/>
        </w:rPr>
      </w:pPr>
      <w:bookmarkStart w:id="1263" w:name="_Toc26900"/>
      <w:r>
        <w:rPr>
          <w:rFonts w:hint="eastAsia" w:ascii="宋体" w:hAnsi="宋体" w:cs="宋体"/>
          <w:b/>
          <w:bCs/>
          <w:iCs/>
          <w:color w:val="auto"/>
          <w:sz w:val="28"/>
          <w:szCs w:val="28"/>
          <w:highlight w:val="none"/>
          <w:lang w:val="en-US" w:eastAsia="zh-CN"/>
        </w:rPr>
        <w:t>超短波治疗仪</w:t>
      </w:r>
      <w:bookmarkEnd w:id="1263"/>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0" w:leftChars="0"/>
        <w:jc w:val="both"/>
        <w:textAlignment w:val="auto"/>
        <w:rPr>
          <w:rFonts w:hint="default"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一、技术参数：</w:t>
      </w:r>
    </w:p>
    <w:p>
      <w:pPr>
        <w:keepNext w:val="0"/>
        <w:keepLines w:val="0"/>
        <w:pageBreakBefore w:val="0"/>
        <w:widowControl w:val="0"/>
        <w:kinsoku/>
        <w:wordWrap/>
        <w:overflowPunct/>
        <w:topLinePunct w:val="0"/>
        <w:autoSpaceDE/>
        <w:autoSpaceDN/>
        <w:bidi w:val="0"/>
        <w:adjustRightInd/>
        <w:spacing w:before="0" w:line="460" w:lineRule="exact"/>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使用电源：AC220V、50Hz。</w:t>
      </w:r>
    </w:p>
    <w:p>
      <w:pPr>
        <w:keepNext w:val="0"/>
        <w:keepLines w:val="0"/>
        <w:pageBreakBefore w:val="0"/>
        <w:widowControl w:val="0"/>
        <w:kinsoku/>
        <w:wordWrap/>
        <w:overflowPunct/>
        <w:topLinePunct w:val="0"/>
        <w:autoSpaceDE/>
        <w:autoSpaceDN/>
        <w:bidi w:val="0"/>
        <w:adjustRightInd/>
        <w:spacing w:before="0" w:line="460" w:lineRule="exact"/>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输入功率：＜1000VA。</w:t>
      </w:r>
    </w:p>
    <w:p>
      <w:pPr>
        <w:keepNext w:val="0"/>
        <w:keepLines w:val="0"/>
        <w:pageBreakBefore w:val="0"/>
        <w:widowControl w:val="0"/>
        <w:kinsoku/>
        <w:wordWrap/>
        <w:overflowPunct/>
        <w:topLinePunct w:val="0"/>
        <w:autoSpaceDE/>
        <w:autoSpaceDN/>
        <w:bidi w:val="0"/>
        <w:adjustRightInd/>
        <w:spacing w:before="0" w:line="460" w:lineRule="exact"/>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输出功率：最大200W。分为50W、100W、150W、200W共4档可选。</w:t>
      </w:r>
    </w:p>
    <w:p>
      <w:pPr>
        <w:keepNext w:val="0"/>
        <w:keepLines w:val="0"/>
        <w:pageBreakBefore w:val="0"/>
        <w:widowControl w:val="0"/>
        <w:kinsoku/>
        <w:wordWrap/>
        <w:overflowPunct/>
        <w:topLinePunct w:val="0"/>
        <w:autoSpaceDE/>
        <w:autoSpaceDN/>
        <w:bidi w:val="0"/>
        <w:adjustRightInd/>
        <w:spacing w:before="0" w:line="460" w:lineRule="exact"/>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工作频率：40.68MHz±1.5%。</w:t>
      </w:r>
    </w:p>
    <w:p>
      <w:pPr>
        <w:keepNext w:val="0"/>
        <w:keepLines w:val="0"/>
        <w:pageBreakBefore w:val="0"/>
        <w:widowControl w:val="0"/>
        <w:kinsoku/>
        <w:wordWrap/>
        <w:overflowPunct/>
        <w:topLinePunct w:val="0"/>
        <w:autoSpaceDE/>
        <w:autoSpaceDN/>
        <w:bidi w:val="0"/>
        <w:adjustRightInd/>
        <w:spacing w:before="0" w:line="460" w:lineRule="exact"/>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输出模式：连续波输出、断续波输出、脉冲波输出。</w:t>
      </w:r>
    </w:p>
    <w:p>
      <w:pPr>
        <w:keepNext w:val="0"/>
        <w:keepLines w:val="0"/>
        <w:pageBreakBefore w:val="0"/>
        <w:widowControl w:val="0"/>
        <w:kinsoku/>
        <w:wordWrap/>
        <w:overflowPunct/>
        <w:topLinePunct w:val="0"/>
        <w:autoSpaceDE/>
        <w:autoSpaceDN/>
        <w:bidi w:val="0"/>
        <w:adjustRightInd/>
        <w:spacing w:before="0" w:line="460" w:lineRule="exact"/>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断续输出：输出频率10～200Hz，步进10Hz，误差±10%。</w:t>
      </w:r>
    </w:p>
    <w:p>
      <w:pPr>
        <w:keepNext w:val="0"/>
        <w:keepLines w:val="0"/>
        <w:pageBreakBefore w:val="0"/>
        <w:widowControl w:val="0"/>
        <w:kinsoku/>
        <w:wordWrap/>
        <w:overflowPunct/>
        <w:topLinePunct w:val="0"/>
        <w:autoSpaceDE/>
        <w:autoSpaceDN/>
        <w:bidi w:val="0"/>
        <w:adjustRightInd/>
        <w:spacing w:before="0" w:line="460" w:lineRule="exact"/>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脉冲输出：脉冲宽度200～1000us，步进50us，误差±10%。</w:t>
      </w:r>
    </w:p>
    <w:p>
      <w:pPr>
        <w:keepNext w:val="0"/>
        <w:keepLines w:val="0"/>
        <w:pageBreakBefore w:val="0"/>
        <w:widowControl w:val="0"/>
        <w:kinsoku/>
        <w:wordWrap/>
        <w:overflowPunct/>
        <w:topLinePunct w:val="0"/>
        <w:autoSpaceDE/>
        <w:autoSpaceDN/>
        <w:bidi w:val="0"/>
        <w:adjustRightInd/>
        <w:spacing w:before="0" w:line="460" w:lineRule="exact"/>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治疗时间：0～99min，误差不大于1min。</w:t>
      </w:r>
    </w:p>
    <w:p>
      <w:pPr>
        <w:keepNext w:val="0"/>
        <w:keepLines w:val="0"/>
        <w:pageBreakBefore w:val="0"/>
        <w:widowControl w:val="0"/>
        <w:kinsoku/>
        <w:wordWrap/>
        <w:overflowPunct/>
        <w:topLinePunct w:val="0"/>
        <w:autoSpaceDE/>
        <w:autoSpaceDN/>
        <w:bidi w:val="0"/>
        <w:adjustRightInd/>
        <w:spacing w:before="0" w:line="460" w:lineRule="exact"/>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显示装置：7.0寸16位65536色真彩TFT液晶屏，显示治疗参数和设备状态。</w:t>
      </w:r>
    </w:p>
    <w:p>
      <w:pPr>
        <w:keepNext w:val="0"/>
        <w:keepLines w:val="0"/>
        <w:pageBreakBefore w:val="0"/>
        <w:widowControl w:val="0"/>
        <w:kinsoku/>
        <w:wordWrap/>
        <w:overflowPunct/>
        <w:topLinePunct w:val="0"/>
        <w:autoSpaceDE/>
        <w:autoSpaceDN/>
        <w:bidi w:val="0"/>
        <w:adjustRightInd/>
        <w:spacing w:before="0" w:line="460" w:lineRule="exact"/>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按钮控制：7.0寸电阻触摸屏。</w:t>
      </w:r>
    </w:p>
    <w:p>
      <w:pPr>
        <w:keepNext w:val="0"/>
        <w:keepLines w:val="0"/>
        <w:pageBreakBefore w:val="0"/>
        <w:widowControl w:val="0"/>
        <w:kinsoku/>
        <w:wordWrap/>
        <w:overflowPunct/>
        <w:topLinePunct w:val="0"/>
        <w:autoSpaceDE/>
        <w:autoSpaceDN/>
        <w:bidi w:val="0"/>
        <w:adjustRightInd/>
        <w:spacing w:before="0" w:line="460" w:lineRule="exact"/>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操作提示：按钮操作提示音、输出提示音。</w:t>
      </w:r>
    </w:p>
    <w:p>
      <w:pPr>
        <w:keepNext w:val="0"/>
        <w:keepLines w:val="0"/>
        <w:pageBreakBefore w:val="0"/>
        <w:widowControl w:val="0"/>
        <w:kinsoku/>
        <w:wordWrap/>
        <w:overflowPunct/>
        <w:topLinePunct w:val="0"/>
        <w:autoSpaceDE/>
        <w:autoSpaceDN/>
        <w:bidi w:val="0"/>
        <w:adjustRightInd/>
        <w:spacing w:before="0" w:line="460" w:lineRule="exact"/>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输出电极：大、中、小各一对，适合不同治疗部位使用。</w:t>
      </w:r>
    </w:p>
    <w:p>
      <w:pPr>
        <w:keepNext w:val="0"/>
        <w:keepLines w:val="0"/>
        <w:pageBreakBefore w:val="0"/>
        <w:widowControl w:val="0"/>
        <w:kinsoku/>
        <w:wordWrap/>
        <w:overflowPunct/>
        <w:topLinePunct w:val="0"/>
        <w:autoSpaceDE/>
        <w:autoSpaceDN/>
        <w:bidi w:val="0"/>
        <w:adjustRightInd/>
        <w:spacing w:before="0" w:line="460" w:lineRule="exact"/>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输出导线：特制铜质电缆，绝缘强、耐高温、损耗小，安装方便可靠。</w:t>
      </w:r>
    </w:p>
    <w:p>
      <w:pPr>
        <w:keepNext w:val="0"/>
        <w:keepLines w:val="0"/>
        <w:pageBreakBefore w:val="0"/>
        <w:widowControl w:val="0"/>
        <w:kinsoku/>
        <w:wordWrap/>
        <w:overflowPunct/>
        <w:topLinePunct w:val="0"/>
        <w:autoSpaceDE/>
        <w:autoSpaceDN/>
        <w:bidi w:val="0"/>
        <w:adjustRightInd/>
        <w:spacing w:before="0" w:line="460" w:lineRule="exact"/>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场强指示：配置场强指示附件，指示电极板输出功率分布和强弱。</w:t>
      </w:r>
    </w:p>
    <w:p>
      <w:pPr>
        <w:keepNext w:val="0"/>
        <w:keepLines w:val="0"/>
        <w:pageBreakBefore w:val="0"/>
        <w:widowControl w:val="0"/>
        <w:kinsoku/>
        <w:wordWrap/>
        <w:overflowPunct/>
        <w:topLinePunct w:val="0"/>
        <w:autoSpaceDE/>
        <w:autoSpaceDN/>
        <w:bidi w:val="0"/>
        <w:adjustRightInd/>
        <w:spacing w:before="0" w:line="460" w:lineRule="exact"/>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电流指示：最大量程为300mA，精度不低于2.5级。</w:t>
      </w:r>
    </w:p>
    <w:p>
      <w:pPr>
        <w:keepNext w:val="0"/>
        <w:keepLines w:val="0"/>
        <w:pageBreakBefore w:val="0"/>
        <w:widowControl w:val="0"/>
        <w:kinsoku/>
        <w:wordWrap/>
        <w:overflowPunct/>
        <w:topLinePunct w:val="0"/>
        <w:autoSpaceDE/>
        <w:autoSpaceDN/>
        <w:bidi w:val="0"/>
        <w:adjustRightInd/>
        <w:spacing w:before="0" w:line="460" w:lineRule="exact"/>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调谐方式：旋钮式输出回路谐振频率调谐。</w:t>
      </w:r>
    </w:p>
    <w:p>
      <w:pPr>
        <w:keepNext w:val="0"/>
        <w:keepLines w:val="0"/>
        <w:pageBreakBefore w:val="0"/>
        <w:widowControl w:val="0"/>
        <w:kinsoku/>
        <w:wordWrap/>
        <w:overflowPunct/>
        <w:topLinePunct w:val="0"/>
        <w:autoSpaceDE/>
        <w:autoSpaceDN/>
        <w:bidi w:val="0"/>
        <w:adjustRightInd/>
        <w:spacing w:before="0" w:line="460" w:lineRule="exact"/>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产品样式：落地推车式，移动方便。</w:t>
      </w:r>
    </w:p>
    <w:p>
      <w:pPr>
        <w:keepNext w:val="0"/>
        <w:keepLines w:val="0"/>
        <w:pageBreakBefore w:val="0"/>
        <w:widowControl w:val="0"/>
        <w:kinsoku/>
        <w:wordWrap/>
        <w:overflowPunct/>
        <w:topLinePunct w:val="0"/>
        <w:autoSpaceDE/>
        <w:autoSpaceDN/>
        <w:bidi w:val="0"/>
        <w:adjustRightInd/>
        <w:spacing w:before="0" w:line="460" w:lineRule="exact"/>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执行标准：GB 9706.1、GB/T 14710、YY 91086、YY 91087、YY 0505。</w:t>
      </w:r>
    </w:p>
    <w:p>
      <w:pPr>
        <w:keepNext w:val="0"/>
        <w:keepLines w:val="0"/>
        <w:pageBreakBefore w:val="0"/>
        <w:widowControl w:val="0"/>
        <w:kinsoku/>
        <w:wordWrap/>
        <w:overflowPunct/>
        <w:topLinePunct w:val="0"/>
        <w:autoSpaceDE/>
        <w:autoSpaceDN/>
        <w:bidi w:val="0"/>
        <w:adjustRightInd/>
        <w:spacing w:line="460" w:lineRule="exact"/>
        <w:ind w:left="0" w:leftChars="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二、</w:t>
      </w:r>
      <w:r>
        <w:rPr>
          <w:rFonts w:hint="eastAsia" w:ascii="Times New Roman" w:hAnsi="Times New Roman" w:eastAsia="宋体" w:cs="Times New Roman"/>
          <w:b/>
          <w:bCs/>
          <w:color w:val="auto"/>
          <w:sz w:val="24"/>
          <w:szCs w:val="24"/>
          <w:highlight w:val="none"/>
          <w:lang w:val="en-US" w:eastAsia="zh-CN"/>
        </w:rPr>
        <w:t>售后服务</w:t>
      </w:r>
      <w:r>
        <w:rPr>
          <w:rFonts w:hint="eastAsia" w:ascii="Times New Roman" w:hAnsi="Times New Roman" w:cs="Times New Roman"/>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pacing w:line="460" w:lineRule="exact"/>
        <w:ind w:left="0" w:leftChars="0" w:firstLine="480" w:firstLineChars="200"/>
        <w:textAlignment w:val="auto"/>
        <w:rPr>
          <w:color w:val="auto"/>
          <w:sz w:val="24"/>
          <w:szCs w:val="24"/>
          <w:highlight w:val="none"/>
        </w:rPr>
      </w:pPr>
      <w:r>
        <w:rPr>
          <w:rFonts w:hint="eastAsia" w:ascii="Times New Roman" w:hAnsi="Times New Roman" w:eastAsia="宋体" w:cs="Times New Roman"/>
          <w:color w:val="auto"/>
          <w:sz w:val="24"/>
          <w:szCs w:val="24"/>
          <w:highlight w:val="none"/>
          <w:lang w:val="en-US" w:eastAsia="zh-CN"/>
        </w:rPr>
        <w:t>乙方应提供整机保修期</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年，保修期的期限应以甲乙双方的验收合格之日起计算，保修期内免费更换零配件及免工时费。</w:t>
      </w:r>
    </w:p>
    <w:p>
      <w:pPr>
        <w:pStyle w:val="22"/>
        <w:numPr>
          <w:ilvl w:val="0"/>
          <w:numId w:val="10"/>
        </w:numPr>
        <w:shd w:val="clear" w:color="auto"/>
        <w:spacing w:before="0" w:beforeAutospacing="0" w:after="0" w:afterAutospacing="0" w:line="360" w:lineRule="atLeast"/>
        <w:ind w:left="0" w:leftChars="0" w:firstLine="0" w:firstLineChars="0"/>
        <w:jc w:val="center"/>
        <w:outlineLvl w:val="2"/>
        <w:rPr>
          <w:rFonts w:hint="eastAsia" w:ascii="宋体" w:hAnsi="宋体" w:cs="宋体"/>
          <w:b/>
          <w:bCs/>
          <w:iCs/>
          <w:color w:val="auto"/>
          <w:sz w:val="28"/>
          <w:szCs w:val="28"/>
          <w:highlight w:val="none"/>
          <w:lang w:val="en-US" w:eastAsia="zh-CN"/>
        </w:rPr>
      </w:pPr>
      <w:bookmarkStart w:id="1264" w:name="_Toc1910"/>
      <w:r>
        <w:rPr>
          <w:rFonts w:hint="eastAsia" w:ascii="宋体" w:hAnsi="宋体" w:cs="宋体"/>
          <w:b/>
          <w:bCs/>
          <w:iCs/>
          <w:color w:val="auto"/>
          <w:sz w:val="28"/>
          <w:szCs w:val="28"/>
          <w:highlight w:val="none"/>
          <w:lang w:val="en-US" w:eastAsia="zh-CN"/>
        </w:rPr>
        <w:t>深层肌肉振动仪</w:t>
      </w:r>
      <w:bookmarkEnd w:id="1264"/>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一、产品特点</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1、由振动仪产生的具有节奏性、高频率、有规律的机械按压，可以达到人工按摩无法企及的效果。</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2、可用于缓解全身肌肉或局部肌肉痉挛。</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3、可以促进血液循环和淋巴流动。</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4、可以松弛挛缩肌肉，刺激较弱以及萎缩肌肉，有效促进肌肉力量平衡，帮助患者恢复正确的姿势。</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5、有助于扭伤、拉伤等软组织损伤的恢复。</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6、可以促进肌肉恢复，强健肌肉和改善肌肉状态。</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7、对结缔组织起到正面地修复作用，有助于保持其弹性。</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二、性能参数</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1、振动频率固定为36.7Hz，精度：±20％。振动次数：2200次/分钟。</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2、振动头伸缩距离恒定，振动仪振动头伸缩距离为6.3mm，精度：±1mm。</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3、振动头分为5种可选，直径分别为15mm、20mm、25mm、30mm、35mm，精度：±1mm。</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4、手柄直径：手柄直径41mm，更适合亚洲人的手型，便于操作。</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5、重量：方便操作和携带，重量</w:t>
      </w:r>
      <w:r>
        <w:rPr>
          <w:rFonts w:hint="eastAsia" w:asciiTheme="minorEastAsia" w:hAnsiTheme="minorEastAsia" w:cstheme="minorEastAsia"/>
          <w:color w:val="auto"/>
          <w:kern w:val="0"/>
          <w:sz w:val="24"/>
          <w:szCs w:val="24"/>
          <w:highlight w:val="none"/>
          <w:lang w:val="en-US" w:eastAsia="zh-CN"/>
        </w:rPr>
        <w:t>约</w:t>
      </w:r>
      <w:r>
        <w:rPr>
          <w:rFonts w:hint="eastAsia" w:asciiTheme="minorEastAsia" w:hAnsiTheme="minorEastAsia" w:eastAsiaTheme="minorEastAsia" w:cstheme="minorEastAsia"/>
          <w:color w:val="auto"/>
          <w:kern w:val="0"/>
          <w:sz w:val="24"/>
          <w:szCs w:val="24"/>
          <w:highlight w:val="none"/>
        </w:rPr>
        <w:t>2.5kg。</w:t>
      </w:r>
      <w:r>
        <w:rPr>
          <w:rFonts w:hint="eastAsia" w:ascii="宋体" w:hAnsi="宋体" w:eastAsia="宋体" w:cs="宋体"/>
          <w:b w:val="0"/>
          <w:bCs/>
          <w:color w:val="auto"/>
          <w:sz w:val="24"/>
          <w:szCs w:val="24"/>
          <w:highlight w:val="none"/>
        </w:rPr>
        <w:t>（允许偏差±3%）</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6、外形小巧：长150mm×宽50mm×高245mm。</w:t>
      </w:r>
      <w:r>
        <w:rPr>
          <w:rFonts w:hint="eastAsia" w:ascii="宋体" w:hAnsi="宋体" w:eastAsia="宋体" w:cs="宋体"/>
          <w:b w:val="0"/>
          <w:bCs/>
          <w:color w:val="auto"/>
          <w:sz w:val="24"/>
          <w:szCs w:val="24"/>
          <w:highlight w:val="none"/>
        </w:rPr>
        <w:t>（允许偏差±3%）</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 7、具有自主知识产权的软件著作权（包括：计算机软件著作权登记证书、软件产品登记证书）。</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三、标准配置</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1、主机：1台</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0"/>
          <w:sz w:val="24"/>
          <w:szCs w:val="24"/>
          <w:highlight w:val="none"/>
        </w:rPr>
        <w:t>2、</w:t>
      </w:r>
      <w:r>
        <w:rPr>
          <w:rFonts w:hint="eastAsia" w:asciiTheme="minorEastAsia" w:hAnsiTheme="minorEastAsia" w:eastAsiaTheme="minorEastAsia" w:cstheme="minorEastAsia"/>
          <w:color w:val="auto"/>
          <w:sz w:val="24"/>
          <w:szCs w:val="24"/>
          <w:highlight w:val="none"/>
        </w:rPr>
        <w:t>振动头：3个（尺寸分别为：15mm、25mm、35mm）</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3、1.8米2芯电源线 2×0.75/1.5m：1根</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4、电源适配器15V4A：1个</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5、润滑剂（88.7ml）：1瓶</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6、毛巾：1条</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7、使用（技术）说明书：1本</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8、产品合格证：1张</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9、产品保修卡：1张</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pacing w:val="0"/>
          <w:w w:val="100"/>
          <w:position w:val="0"/>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rPr>
        <w:t>10、安装验收单：1份</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售后服务</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乙方应提供整机保修期2年，保修期的期限应以甲乙双方的验收合格之日起计算，保修期内免费更换零配件及免工时费。</w:t>
      </w:r>
    </w:p>
    <w:p>
      <w:pPr>
        <w:pStyle w:val="8"/>
        <w:rPr>
          <w:rFonts w:hint="eastAsia"/>
          <w:color w:val="auto"/>
          <w:highlight w:val="none"/>
          <w:lang w:val="en-US" w:eastAsia="zh-CN"/>
        </w:rPr>
      </w:pPr>
    </w:p>
    <w:p>
      <w:pPr>
        <w:pStyle w:val="22"/>
        <w:numPr>
          <w:ilvl w:val="0"/>
          <w:numId w:val="10"/>
        </w:numPr>
        <w:shd w:val="clear" w:color="auto"/>
        <w:spacing w:before="0" w:beforeAutospacing="0" w:after="0" w:afterAutospacing="0" w:line="360" w:lineRule="atLeast"/>
        <w:ind w:left="0" w:leftChars="0" w:firstLine="0" w:firstLineChars="0"/>
        <w:jc w:val="center"/>
        <w:outlineLvl w:val="2"/>
        <w:rPr>
          <w:rFonts w:hint="eastAsia" w:ascii="宋体" w:hAnsi="宋体" w:cs="宋体"/>
          <w:b/>
          <w:bCs/>
          <w:iCs/>
          <w:color w:val="auto"/>
          <w:sz w:val="28"/>
          <w:szCs w:val="28"/>
          <w:highlight w:val="none"/>
          <w:lang w:val="en-US" w:eastAsia="zh-CN"/>
        </w:rPr>
      </w:pPr>
      <w:bookmarkStart w:id="1265" w:name="_Toc24818"/>
      <w:r>
        <w:rPr>
          <w:rFonts w:hint="eastAsia" w:ascii="宋体" w:hAnsi="宋体" w:cs="宋体"/>
          <w:b/>
          <w:bCs/>
          <w:iCs/>
          <w:color w:val="auto"/>
          <w:sz w:val="28"/>
          <w:szCs w:val="28"/>
          <w:highlight w:val="none"/>
          <w:lang w:val="en-US" w:eastAsia="zh-CN"/>
        </w:rPr>
        <w:t>床头柜</w:t>
      </w:r>
      <w:bookmarkEnd w:id="1265"/>
    </w:p>
    <w:p>
      <w:pPr>
        <w:pStyle w:val="22"/>
        <w:keepNext w:val="0"/>
        <w:keepLines w:val="0"/>
        <w:pageBreakBefore w:val="0"/>
        <w:widowControl w:val="0"/>
        <w:numPr>
          <w:ilvl w:val="0"/>
          <w:numId w:val="0"/>
        </w:numPr>
        <w:shd w:val="clear" w:color="auto"/>
        <w:kinsoku/>
        <w:wordWrap/>
        <w:overflowPunct/>
        <w:topLinePunct w:val="0"/>
        <w:autoSpaceDE/>
        <w:autoSpaceDN/>
        <w:bidi w:val="0"/>
        <w:adjustRightInd/>
        <w:snapToGrid/>
        <w:spacing w:before="0" w:beforeAutospacing="0" w:after="0" w:afterAutospacing="0" w:line="460" w:lineRule="exact"/>
        <w:ind w:leftChars="0"/>
        <w:jc w:val="both"/>
        <w:textAlignment w:val="auto"/>
        <w:outlineLvl w:val="9"/>
        <w:rPr>
          <w:rFonts w:hint="default" w:ascii="宋体" w:hAnsi="宋体" w:cs="宋体"/>
          <w:b/>
          <w:bCs/>
          <w:iCs/>
          <w:color w:val="auto"/>
          <w:sz w:val="24"/>
          <w:szCs w:val="24"/>
          <w:highlight w:val="none"/>
          <w:lang w:val="en-US" w:eastAsia="zh-CN"/>
        </w:rPr>
      </w:pPr>
      <w:r>
        <w:rPr>
          <w:rFonts w:hint="eastAsia" w:ascii="宋体" w:hAnsi="宋体" w:cs="宋体"/>
          <w:b/>
          <w:bCs/>
          <w:iCs/>
          <w:color w:val="auto"/>
          <w:sz w:val="24"/>
          <w:szCs w:val="24"/>
          <w:highlight w:val="none"/>
          <w:lang w:val="en-US" w:eastAsia="zh-CN"/>
        </w:rPr>
        <w:t>一、技术参数：</w:t>
      </w:r>
    </w:p>
    <w:p>
      <w:pPr>
        <w:keepNext w:val="0"/>
        <w:keepLines w:val="0"/>
        <w:pageBreakBefore w:val="0"/>
        <w:widowControl w:val="0"/>
        <w:numPr>
          <w:ilvl w:val="0"/>
          <w:numId w:val="16"/>
        </w:numPr>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尺寸（长*宽*高）≥(mm)</w:t>
      </w:r>
      <w:r>
        <w:rPr>
          <w:rFonts w:hint="default" w:asciiTheme="minorEastAsia" w:hAnsiTheme="minorEastAsia" w:cstheme="minorEastAsia"/>
          <w:color w:val="auto"/>
          <w:sz w:val="24"/>
          <w:szCs w:val="24"/>
          <w:highlight w:val="none"/>
          <w:lang w:val="en-US" w:eastAsia="zh-CN"/>
        </w:rPr>
        <w:t>480*480*760</w:t>
      </w:r>
    </w:p>
    <w:p>
      <w:pPr>
        <w:keepNext w:val="0"/>
        <w:keepLines w:val="0"/>
        <w:pageBreakBefore w:val="0"/>
        <w:widowControl w:val="0"/>
        <w:numPr>
          <w:ilvl w:val="0"/>
          <w:numId w:val="16"/>
        </w:numPr>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耐腐蚀，耐老化，抗冲击，韧性高</w:t>
      </w:r>
    </w:p>
    <w:p>
      <w:pPr>
        <w:keepNext w:val="0"/>
        <w:keepLines w:val="0"/>
        <w:pageBreakBefore w:val="0"/>
        <w:widowControl w:val="0"/>
        <w:numPr>
          <w:ilvl w:val="0"/>
          <w:numId w:val="16"/>
        </w:numPr>
        <w:kinsoku/>
        <w:wordWrap/>
        <w:overflowPunct/>
        <w:topLinePunct w:val="0"/>
        <w:autoSpaceDE/>
        <w:autoSpaceDN/>
        <w:bidi w:val="0"/>
        <w:adjustRightInd/>
        <w:snapToGrid/>
        <w:spacing w:line="460" w:lineRule="exact"/>
        <w:ind w:left="0" w:leftChars="0" w:firstLine="0" w:firstLineChars="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整柜材料用原生ABS材质</w:t>
      </w:r>
    </w:p>
    <w:p>
      <w:pPr>
        <w:keepNext w:val="0"/>
        <w:keepLines w:val="0"/>
        <w:pageBreakBefore w:val="0"/>
        <w:widowControl w:val="0"/>
        <w:numPr>
          <w:ilvl w:val="0"/>
          <w:numId w:val="16"/>
        </w:numPr>
        <w:kinsoku/>
        <w:wordWrap/>
        <w:overflowPunct/>
        <w:topLinePunct w:val="0"/>
        <w:autoSpaceDE/>
        <w:autoSpaceDN/>
        <w:bidi w:val="0"/>
        <w:adjustRightInd/>
        <w:snapToGrid/>
        <w:spacing w:line="460" w:lineRule="exact"/>
        <w:ind w:left="0" w:leftChars="0" w:firstLine="0" w:firstLineChars="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柜板面承重≥60kg</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二、</w:t>
      </w:r>
      <w:r>
        <w:rPr>
          <w:rFonts w:hint="eastAsia" w:ascii="Times New Roman" w:hAnsi="Times New Roman" w:eastAsia="宋体" w:cs="Times New Roman"/>
          <w:b/>
          <w:bCs/>
          <w:color w:val="auto"/>
          <w:sz w:val="24"/>
          <w:szCs w:val="24"/>
          <w:highlight w:val="none"/>
          <w:lang w:val="en-US" w:eastAsia="zh-CN"/>
        </w:rPr>
        <w:t>售后服务</w:t>
      </w:r>
      <w:r>
        <w:rPr>
          <w:rFonts w:hint="eastAsia" w:ascii="Times New Roman" w:hAnsi="Times New Roman" w:cs="Times New Roman"/>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乙方应提供整机保修期</w:t>
      </w:r>
      <w:r>
        <w:rPr>
          <w:rFonts w:hint="eastAsia"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年，保修期的期限应以甲乙双方的验收合格之日起计算，保修期内免费更换零配件及免工时费。</w:t>
      </w:r>
    </w:p>
    <w:p>
      <w:pPr>
        <w:rPr>
          <w:color w:val="auto"/>
          <w:highlight w:val="none"/>
        </w:rPr>
      </w:pPr>
      <w:r>
        <w:rPr>
          <w:rFonts w:hint="eastAsia" w:eastAsiaTheme="minorEastAsia"/>
          <w:color w:val="auto"/>
          <w:sz w:val="24"/>
          <w:szCs w:val="24"/>
          <w:highlight w:val="none"/>
          <w:lang w:eastAsia="zh-CN"/>
        </w:rPr>
        <w:drawing>
          <wp:anchor distT="0" distB="0" distL="114300" distR="114300" simplePos="0" relativeHeight="251668480" behindDoc="0" locked="0" layoutInCell="1" allowOverlap="1">
            <wp:simplePos x="0" y="0"/>
            <wp:positionH relativeFrom="column">
              <wp:posOffset>796925</wp:posOffset>
            </wp:positionH>
            <wp:positionV relativeFrom="paragraph">
              <wp:posOffset>191135</wp:posOffset>
            </wp:positionV>
            <wp:extent cx="1975485" cy="2633345"/>
            <wp:effectExtent l="0" t="0" r="5715" b="3175"/>
            <wp:wrapSquare wrapText="bothSides"/>
            <wp:docPr id="4" name="图片 4" descr="04da0db14a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4da0db14a5b0"/>
                    <pic:cNvPicPr>
                      <a:picLocks noChangeAspect="1"/>
                    </pic:cNvPicPr>
                  </pic:nvPicPr>
                  <pic:blipFill>
                    <a:blip r:embed="rId14"/>
                    <a:srcRect l="30361" t="23410"/>
                    <a:stretch>
                      <a:fillRect/>
                    </a:stretch>
                  </pic:blipFill>
                  <pic:spPr>
                    <a:xfrm>
                      <a:off x="0" y="0"/>
                      <a:ext cx="1975485" cy="2633345"/>
                    </a:xfrm>
                    <a:prstGeom prst="rect">
                      <a:avLst/>
                    </a:prstGeom>
                  </pic:spPr>
                </pic:pic>
              </a:graphicData>
            </a:graphic>
          </wp:anchor>
        </w:drawing>
      </w:r>
    </w:p>
    <w:p>
      <w:pPr>
        <w:rPr>
          <w:rFonts w:hint="default" w:eastAsiaTheme="minorEastAsia"/>
          <w:color w:val="auto"/>
          <w:highlight w:val="none"/>
          <w:lang w:val="en-US" w:eastAsia="zh-CN"/>
        </w:rPr>
      </w:pPr>
      <w:r>
        <w:rPr>
          <w:rFonts w:hint="eastAsia" w:eastAsiaTheme="minorEastAsia"/>
          <w:b/>
          <w:bCs/>
          <w:color w:val="auto"/>
          <w:highlight w:val="none"/>
          <w:lang w:val="en-US" w:eastAsia="zh-CN"/>
        </w:rPr>
        <w:t>参考样图：</w:t>
      </w:r>
    </w:p>
    <w:p>
      <w:pPr>
        <w:rPr>
          <w:rFonts w:hint="eastAsia" w:eastAsiaTheme="minorEastAsia"/>
          <w:color w:val="auto"/>
          <w:highlight w:val="none"/>
          <w:lang w:eastAsia="zh-CN"/>
        </w:rPr>
      </w:pPr>
    </w:p>
    <w:p>
      <w:pPr>
        <w:pStyle w:val="22"/>
        <w:numPr>
          <w:ilvl w:val="0"/>
          <w:numId w:val="0"/>
        </w:numPr>
        <w:shd w:val="clear" w:color="auto"/>
        <w:spacing w:before="0" w:beforeAutospacing="0" w:after="0" w:afterAutospacing="0" w:line="360" w:lineRule="atLeast"/>
        <w:ind w:leftChars="0"/>
        <w:jc w:val="both"/>
        <w:outlineLvl w:val="9"/>
        <w:rPr>
          <w:rFonts w:hint="eastAsia" w:ascii="宋体" w:hAnsi="宋体" w:cs="宋体"/>
          <w:b/>
          <w:bCs/>
          <w:iCs/>
          <w:color w:val="auto"/>
          <w:sz w:val="28"/>
          <w:szCs w:val="28"/>
          <w:highlight w:val="none"/>
          <w:lang w:val="en-US" w:eastAsia="zh-CN"/>
        </w:rPr>
      </w:pPr>
    </w:p>
    <w:p>
      <w:pPr>
        <w:pStyle w:val="22"/>
        <w:numPr>
          <w:ilvl w:val="0"/>
          <w:numId w:val="0"/>
        </w:numPr>
        <w:shd w:val="clear" w:color="auto"/>
        <w:spacing w:before="0" w:beforeAutospacing="0" w:after="0" w:afterAutospacing="0" w:line="360" w:lineRule="atLeast"/>
        <w:jc w:val="center"/>
        <w:outlineLvl w:val="9"/>
        <w:rPr>
          <w:rFonts w:hint="eastAsia" w:ascii="宋体" w:hAnsi="宋体" w:cs="宋体"/>
          <w:b/>
          <w:bCs/>
          <w:iCs/>
          <w:color w:val="auto"/>
          <w:sz w:val="28"/>
          <w:szCs w:val="28"/>
          <w:highlight w:val="none"/>
          <w:lang w:val="en-US" w:eastAsia="zh-CN"/>
        </w:rPr>
      </w:pPr>
    </w:p>
    <w:p>
      <w:pPr>
        <w:pStyle w:val="22"/>
        <w:numPr>
          <w:ilvl w:val="0"/>
          <w:numId w:val="0"/>
        </w:numPr>
        <w:shd w:val="clear" w:color="auto"/>
        <w:spacing w:before="0" w:beforeAutospacing="0" w:after="0" w:afterAutospacing="0" w:line="360" w:lineRule="atLeast"/>
        <w:jc w:val="center"/>
        <w:outlineLvl w:val="9"/>
        <w:rPr>
          <w:rFonts w:hint="eastAsia" w:ascii="宋体" w:hAnsi="宋体" w:cs="宋体"/>
          <w:b/>
          <w:bCs/>
          <w:iCs/>
          <w:color w:val="auto"/>
          <w:sz w:val="28"/>
          <w:szCs w:val="28"/>
          <w:highlight w:val="none"/>
          <w:lang w:val="en-US" w:eastAsia="zh-CN"/>
        </w:rPr>
      </w:pPr>
    </w:p>
    <w:p>
      <w:pPr>
        <w:pStyle w:val="22"/>
        <w:numPr>
          <w:ilvl w:val="0"/>
          <w:numId w:val="0"/>
        </w:numPr>
        <w:shd w:val="clear" w:color="auto"/>
        <w:spacing w:before="0" w:beforeAutospacing="0" w:after="0" w:afterAutospacing="0" w:line="360" w:lineRule="atLeast"/>
        <w:jc w:val="center"/>
        <w:outlineLvl w:val="9"/>
        <w:rPr>
          <w:rFonts w:hint="eastAsia" w:ascii="宋体" w:hAnsi="宋体" w:cs="宋体"/>
          <w:b/>
          <w:bCs/>
          <w:iCs/>
          <w:color w:val="auto"/>
          <w:sz w:val="28"/>
          <w:szCs w:val="28"/>
          <w:highlight w:val="none"/>
          <w:lang w:val="en-US" w:eastAsia="zh-CN"/>
        </w:rPr>
      </w:pPr>
    </w:p>
    <w:p>
      <w:pPr>
        <w:pStyle w:val="22"/>
        <w:numPr>
          <w:ilvl w:val="0"/>
          <w:numId w:val="0"/>
        </w:numPr>
        <w:shd w:val="clear" w:color="auto"/>
        <w:spacing w:before="0" w:beforeAutospacing="0" w:after="0" w:afterAutospacing="0" w:line="360" w:lineRule="atLeast"/>
        <w:jc w:val="center"/>
        <w:outlineLvl w:val="9"/>
        <w:rPr>
          <w:rFonts w:hint="eastAsia" w:ascii="宋体" w:hAnsi="宋体" w:cs="宋体"/>
          <w:b/>
          <w:bCs/>
          <w:iCs/>
          <w:color w:val="auto"/>
          <w:sz w:val="28"/>
          <w:szCs w:val="28"/>
          <w:highlight w:val="none"/>
          <w:lang w:val="en-US" w:eastAsia="zh-CN"/>
        </w:rPr>
      </w:pPr>
    </w:p>
    <w:p>
      <w:pPr>
        <w:pStyle w:val="22"/>
        <w:numPr>
          <w:ilvl w:val="0"/>
          <w:numId w:val="0"/>
        </w:numPr>
        <w:shd w:val="clear" w:color="auto"/>
        <w:spacing w:before="0" w:beforeAutospacing="0" w:after="0" w:afterAutospacing="0" w:line="360" w:lineRule="atLeast"/>
        <w:jc w:val="center"/>
        <w:outlineLvl w:val="9"/>
        <w:rPr>
          <w:rFonts w:hint="eastAsia" w:ascii="宋体" w:hAnsi="宋体" w:cs="宋体"/>
          <w:b/>
          <w:bCs/>
          <w:iCs/>
          <w:color w:val="auto"/>
          <w:sz w:val="28"/>
          <w:szCs w:val="28"/>
          <w:highlight w:val="none"/>
          <w:lang w:val="en-US" w:eastAsia="zh-CN"/>
        </w:rPr>
      </w:pPr>
    </w:p>
    <w:p>
      <w:pPr>
        <w:pStyle w:val="22"/>
        <w:numPr>
          <w:ilvl w:val="0"/>
          <w:numId w:val="0"/>
        </w:numPr>
        <w:shd w:val="clear" w:color="auto"/>
        <w:spacing w:before="0" w:beforeAutospacing="0" w:after="0" w:afterAutospacing="0" w:line="360" w:lineRule="atLeast"/>
        <w:jc w:val="center"/>
        <w:outlineLvl w:val="9"/>
        <w:rPr>
          <w:rFonts w:hint="eastAsia" w:ascii="宋体" w:hAnsi="宋体" w:cs="宋体"/>
          <w:b/>
          <w:bCs/>
          <w:iCs/>
          <w:color w:val="auto"/>
          <w:sz w:val="28"/>
          <w:szCs w:val="28"/>
          <w:highlight w:val="none"/>
          <w:lang w:val="en-US" w:eastAsia="zh-CN"/>
        </w:rPr>
      </w:pPr>
    </w:p>
    <w:p>
      <w:pPr>
        <w:pStyle w:val="22"/>
        <w:numPr>
          <w:ilvl w:val="0"/>
          <w:numId w:val="10"/>
        </w:numPr>
        <w:shd w:val="clear" w:color="auto"/>
        <w:spacing w:before="0" w:beforeAutospacing="0" w:after="0" w:afterAutospacing="0" w:line="360" w:lineRule="atLeast"/>
        <w:ind w:left="0" w:leftChars="0" w:firstLine="0" w:firstLineChars="0"/>
        <w:jc w:val="center"/>
        <w:outlineLvl w:val="2"/>
        <w:rPr>
          <w:rFonts w:hint="eastAsia" w:ascii="宋体" w:hAnsi="宋体" w:cs="宋体"/>
          <w:b/>
          <w:bCs/>
          <w:iCs/>
          <w:color w:val="auto"/>
          <w:sz w:val="28"/>
          <w:szCs w:val="28"/>
          <w:highlight w:val="none"/>
          <w:lang w:val="en-US" w:eastAsia="zh-CN"/>
        </w:rPr>
      </w:pPr>
      <w:bookmarkStart w:id="1266" w:name="_Toc8006"/>
      <w:r>
        <w:rPr>
          <w:rFonts w:hint="eastAsia" w:ascii="宋体" w:hAnsi="宋体" w:cs="宋体"/>
          <w:b/>
          <w:bCs/>
          <w:iCs/>
          <w:color w:val="auto"/>
          <w:sz w:val="28"/>
          <w:szCs w:val="28"/>
          <w:highlight w:val="none"/>
          <w:lang w:val="en-US" w:eastAsia="zh-CN"/>
        </w:rPr>
        <w:t>治疗车</w:t>
      </w:r>
      <w:bookmarkEnd w:id="1266"/>
    </w:p>
    <w:p>
      <w:pPr>
        <w:keepNext w:val="0"/>
        <w:keepLines w:val="0"/>
        <w:pageBreakBefore w:val="0"/>
        <w:widowControl w:val="0"/>
        <w:numPr>
          <w:ilvl w:val="0"/>
          <w:numId w:val="17"/>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技术参数：</w:t>
      </w:r>
    </w:p>
    <w:p>
      <w:pPr>
        <w:keepNext w:val="0"/>
        <w:keepLines w:val="0"/>
        <w:pageBreakBefore w:val="0"/>
        <w:widowControl w:val="0"/>
        <w:numPr>
          <w:ilvl w:val="0"/>
          <w:numId w:val="18"/>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规格：850*480*970mm；</w:t>
      </w:r>
    </w:p>
    <w:p>
      <w:pPr>
        <w:keepNext w:val="0"/>
        <w:keepLines w:val="0"/>
        <w:pageBreakBefore w:val="0"/>
        <w:widowControl w:val="0"/>
        <w:numPr>
          <w:ilvl w:val="0"/>
          <w:numId w:val="18"/>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2.★柜体立柱采用高强度铝合金型材，侧板与背板采用厚度为4mm优质工业铝塑板，整体搭配合理，外形美观，推行轻便；</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 台面及台面底座采用ABS高级工程塑料一次性注塑成型，台面上方带不锈钢围栏，外表光洁、美观；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 抽屉主要由抽屉面板、抽屉框架、抽屉塑料药盘和活动分隔板组成，抽屉面板及框架采用钢制件制作，抽屉拉手为ABS拉手；</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 抽屉滑槽采用优质三节静音滑槽，有效伸缩距离为60cm,确保抽屉能够完全拉出，便于使用，后方带自锁功能，拉手采用弧形拉手；</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6.★抽屉分为三种规格，内置三种不同规格的活动式塑料筐，每只塑料筐承重≥60Kg,塑料筐规格为（长×宽×高）： 400×600×200mm（大号）； 400×600×100mm（中号）； 400×600×50mm（小号）。三种规格的抽屉可以根据科室的要求进行多种组合；</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抽屉内部配置标准ABS塑料活动式隔条，用户可以根据需要进行自由组合（ABS塑料活动式隔条既能实现平均分隔，也能实现异形分隔），并配置标准的标识牌，可对每一分隔进行标识，实现物品放置分类明确、标识明确。充分提升药品存放量，改善医院形象；</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 整车配置两层抽屉，一个中号抽屉和一个大号抽屉并带排锁控制，抽屉下方带无门贮物柜，方便放置药品或液体；推车配置ABS文件盒一个，锐器盒一个以及两个塑料翻盖式污物桶。推车右侧面带侧抽板，方便存放物品；</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 整车配置4只4寸橡胶静音脚轮，外罩包ABS防缠绕，坚固耐用，外表美观；其中2只脚轮配置刹车，可在任意状态下使用刹车功能。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二、</w:t>
      </w:r>
      <w:r>
        <w:rPr>
          <w:rFonts w:hint="eastAsia" w:ascii="Times New Roman" w:hAnsi="Times New Roman" w:eastAsia="宋体" w:cs="Times New Roman"/>
          <w:b/>
          <w:bCs/>
          <w:color w:val="auto"/>
          <w:sz w:val="24"/>
          <w:szCs w:val="24"/>
          <w:highlight w:val="none"/>
          <w:lang w:val="en-US" w:eastAsia="zh-CN"/>
        </w:rPr>
        <w:t>售后服务</w:t>
      </w:r>
      <w:r>
        <w:rPr>
          <w:rFonts w:hint="eastAsia" w:ascii="Times New Roman" w:hAnsi="Times New Roman" w:cs="Times New Roman"/>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乙方应提供整机保修期</w:t>
      </w:r>
      <w:r>
        <w:rPr>
          <w:rFonts w:hint="eastAsia"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年，保修期的期限应以甲乙双方的验收合格之日起计算，保修期内免费更换零配件及免工时费。</w:t>
      </w:r>
    </w:p>
    <w:p>
      <w:pPr>
        <w:rPr>
          <w:rFonts w:hint="eastAsia" w:asciiTheme="minorEastAsia" w:hAnsiTheme="minorEastAsia" w:eastAsiaTheme="minorEastAsia" w:cstheme="minorEastAsia"/>
          <w:color w:val="auto"/>
          <w:sz w:val="28"/>
          <w:szCs w:val="28"/>
          <w:highlight w:val="none"/>
          <w:lang w:val="en-US" w:eastAsia="zh-CN"/>
        </w:rPr>
      </w:pPr>
    </w:p>
    <w:p>
      <w:pPr>
        <w:pStyle w:val="22"/>
        <w:numPr>
          <w:ilvl w:val="0"/>
          <w:numId w:val="10"/>
        </w:numPr>
        <w:shd w:val="clear" w:color="auto"/>
        <w:spacing w:before="0" w:beforeAutospacing="0" w:after="0" w:afterAutospacing="0" w:line="360" w:lineRule="atLeast"/>
        <w:ind w:left="0" w:leftChars="0" w:firstLine="0" w:firstLineChars="0"/>
        <w:jc w:val="center"/>
        <w:outlineLvl w:val="2"/>
        <w:rPr>
          <w:rFonts w:hint="eastAsia" w:ascii="宋体" w:hAnsi="宋体" w:cs="宋体"/>
          <w:b/>
          <w:bCs/>
          <w:iCs/>
          <w:color w:val="auto"/>
          <w:sz w:val="28"/>
          <w:szCs w:val="28"/>
          <w:highlight w:val="none"/>
          <w:lang w:val="en-US" w:eastAsia="zh-CN"/>
        </w:rPr>
      </w:pPr>
      <w:bookmarkStart w:id="1267" w:name="_Toc2528"/>
      <w:r>
        <w:rPr>
          <w:rFonts w:hint="eastAsia" w:ascii="宋体" w:hAnsi="宋体" w:cs="宋体"/>
          <w:b/>
          <w:bCs/>
          <w:iCs/>
          <w:color w:val="auto"/>
          <w:sz w:val="28"/>
          <w:szCs w:val="28"/>
          <w:highlight w:val="none"/>
          <w:lang w:val="en-US" w:eastAsia="zh-CN"/>
        </w:rPr>
        <w:t>检查床</w:t>
      </w:r>
      <w:bookmarkEnd w:id="1267"/>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一、技术参数：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规格：长190cm、宽80cm、高65cm</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床头略高，上半身与下半身之间</w:t>
      </w:r>
      <w:r>
        <w:rPr>
          <w:rFonts w:hint="eastAsia" w:asciiTheme="minorEastAsia" w:hAnsiTheme="minorEastAsia" w:cstheme="minorEastAsia"/>
          <w:color w:val="auto"/>
          <w:sz w:val="24"/>
          <w:szCs w:val="24"/>
          <w:highlight w:val="none"/>
          <w:lang w:val="en-US" w:eastAsia="zh-CN"/>
        </w:rPr>
        <w:t>可调节</w:t>
      </w:r>
      <w:r>
        <w:rPr>
          <w:rFonts w:hint="eastAsia" w:asciiTheme="minorEastAsia" w:hAnsiTheme="minorEastAsia" w:eastAsiaTheme="minorEastAsia" w:cstheme="minorEastAsia"/>
          <w:color w:val="auto"/>
          <w:sz w:val="24"/>
          <w:szCs w:val="24"/>
          <w:highlight w:val="none"/>
          <w:lang w:val="en-US" w:eastAsia="zh-CN"/>
        </w:rPr>
        <w:t>成一定角度（约120度），海绵或乳胶床面，厚度适宜，柔软舒适。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二、售后服务：</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乙方应提供整机保修期1年，保修期的期限应以甲乙双方的验收合格之日起计算，保修期内免费更换零配件及免工时费。</w:t>
      </w:r>
    </w:p>
    <w:p>
      <w:pPr>
        <w:rPr>
          <w:rFonts w:hint="eastAsia" w:eastAsiaTheme="minorEastAsia"/>
          <w:color w:val="auto"/>
          <w:highlight w:val="none"/>
          <w:lang w:eastAsia="zh-CN"/>
        </w:rPr>
      </w:pPr>
    </w:p>
    <w:p>
      <w:pPr>
        <w:rPr>
          <w:rFonts w:hint="eastAsia" w:eastAsiaTheme="minorEastAsia"/>
          <w:color w:val="auto"/>
          <w:highlight w:val="none"/>
          <w:lang w:eastAsia="zh-CN"/>
        </w:rPr>
      </w:pPr>
    </w:p>
    <w:p>
      <w:pPr>
        <w:rPr>
          <w:rFonts w:hint="eastAsia" w:eastAsiaTheme="minorEastAsia"/>
          <w:color w:val="auto"/>
          <w:highlight w:val="none"/>
          <w:lang w:eastAsia="zh-CN"/>
        </w:rPr>
      </w:pPr>
      <w:r>
        <w:rPr>
          <w:rFonts w:hint="eastAsia" w:eastAsiaTheme="minorEastAsia"/>
          <w:b/>
          <w:bCs/>
          <w:color w:val="auto"/>
          <w:highlight w:val="none"/>
          <w:lang w:val="en-US" w:eastAsia="zh-CN"/>
        </w:rPr>
        <w:t>参考样图：</w:t>
      </w:r>
    </w:p>
    <w:p>
      <w:pPr>
        <w:rPr>
          <w:rFonts w:hint="eastAsia" w:eastAsiaTheme="minorEastAsia"/>
          <w:color w:val="auto"/>
          <w:highlight w:val="none"/>
          <w:lang w:eastAsia="zh-CN"/>
        </w:rPr>
      </w:pPr>
      <w:r>
        <w:rPr>
          <w:rFonts w:hint="eastAsia" w:eastAsiaTheme="minorEastAsia"/>
          <w:color w:val="auto"/>
          <w:highlight w:val="none"/>
          <w:lang w:eastAsia="zh-CN"/>
        </w:rPr>
        <w:drawing>
          <wp:anchor distT="0" distB="0" distL="114300" distR="114300" simplePos="0" relativeHeight="251669504" behindDoc="1" locked="0" layoutInCell="1" allowOverlap="1">
            <wp:simplePos x="0" y="0"/>
            <wp:positionH relativeFrom="column">
              <wp:posOffset>1208405</wp:posOffset>
            </wp:positionH>
            <wp:positionV relativeFrom="paragraph">
              <wp:posOffset>-514350</wp:posOffset>
            </wp:positionV>
            <wp:extent cx="2499995" cy="3861435"/>
            <wp:effectExtent l="0" t="0" r="9525" b="14605"/>
            <wp:wrapNone/>
            <wp:docPr id="9" name="图片 9" descr="85a35076b3f331d4ed67d1d900b77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5a35076b3f331d4ed67d1d900b77a5"/>
                    <pic:cNvPicPr>
                      <a:picLocks noChangeAspect="1"/>
                    </pic:cNvPicPr>
                  </pic:nvPicPr>
                  <pic:blipFill>
                    <a:blip r:embed="rId15"/>
                    <a:srcRect l="18845" t="21710" r="33687" b="23284"/>
                    <a:stretch>
                      <a:fillRect/>
                    </a:stretch>
                  </pic:blipFill>
                  <pic:spPr>
                    <a:xfrm rot="16200000">
                      <a:off x="0" y="0"/>
                      <a:ext cx="2499995" cy="3861435"/>
                    </a:xfrm>
                    <a:prstGeom prst="rect">
                      <a:avLst/>
                    </a:prstGeom>
                  </pic:spPr>
                </pic:pic>
              </a:graphicData>
            </a:graphic>
          </wp:anchor>
        </w:drawing>
      </w:r>
    </w:p>
    <w:p>
      <w:pPr>
        <w:rPr>
          <w:rFonts w:hint="eastAsia" w:eastAsiaTheme="minorEastAsia"/>
          <w:color w:val="auto"/>
          <w:highlight w:val="none"/>
          <w:lang w:eastAsia="zh-CN"/>
        </w:rPr>
      </w:pPr>
    </w:p>
    <w:p>
      <w:pPr>
        <w:rPr>
          <w:rFonts w:hint="eastAsia" w:eastAsiaTheme="minorEastAsia"/>
          <w:color w:val="auto"/>
          <w:highlight w:val="none"/>
          <w:lang w:eastAsia="zh-CN"/>
        </w:rPr>
      </w:pPr>
    </w:p>
    <w:p>
      <w:pPr>
        <w:rPr>
          <w:rFonts w:hint="eastAsia" w:eastAsiaTheme="minorEastAsia"/>
          <w:color w:val="auto"/>
          <w:highlight w:val="none"/>
          <w:lang w:eastAsia="zh-CN"/>
        </w:rPr>
      </w:pPr>
    </w:p>
    <w:p>
      <w:pPr>
        <w:pStyle w:val="22"/>
        <w:numPr>
          <w:ilvl w:val="0"/>
          <w:numId w:val="0"/>
        </w:numPr>
        <w:shd w:val="clear" w:color="auto"/>
        <w:spacing w:before="0" w:beforeAutospacing="0" w:after="0" w:afterAutospacing="0" w:line="360" w:lineRule="atLeast"/>
        <w:ind w:leftChars="0"/>
        <w:jc w:val="both"/>
        <w:outlineLvl w:val="9"/>
        <w:rPr>
          <w:rFonts w:hint="eastAsia" w:ascii="宋体" w:hAnsi="宋体" w:cs="宋体"/>
          <w:b/>
          <w:bCs/>
          <w:iCs/>
          <w:color w:val="auto"/>
          <w:sz w:val="28"/>
          <w:szCs w:val="28"/>
          <w:highlight w:val="none"/>
          <w:lang w:val="en-US" w:eastAsia="zh-CN"/>
        </w:rPr>
      </w:pPr>
    </w:p>
    <w:p>
      <w:pPr>
        <w:pStyle w:val="22"/>
        <w:numPr>
          <w:ilvl w:val="0"/>
          <w:numId w:val="0"/>
        </w:numPr>
        <w:shd w:val="clear" w:color="auto"/>
        <w:spacing w:before="0" w:beforeAutospacing="0" w:after="0" w:afterAutospacing="0" w:line="360" w:lineRule="atLeast"/>
        <w:jc w:val="center"/>
        <w:outlineLvl w:val="9"/>
        <w:rPr>
          <w:rFonts w:hint="eastAsia" w:ascii="宋体" w:hAnsi="宋体" w:cs="宋体"/>
          <w:b/>
          <w:bCs/>
          <w:iCs/>
          <w:color w:val="auto"/>
          <w:sz w:val="28"/>
          <w:szCs w:val="28"/>
          <w:highlight w:val="none"/>
          <w:lang w:val="en-US" w:eastAsia="zh-CN"/>
        </w:rPr>
      </w:pPr>
    </w:p>
    <w:p>
      <w:pPr>
        <w:pStyle w:val="22"/>
        <w:numPr>
          <w:ilvl w:val="0"/>
          <w:numId w:val="0"/>
        </w:numPr>
        <w:shd w:val="clear" w:color="auto"/>
        <w:spacing w:before="0" w:beforeAutospacing="0" w:after="0" w:afterAutospacing="0" w:line="360" w:lineRule="atLeast"/>
        <w:jc w:val="center"/>
        <w:outlineLvl w:val="9"/>
        <w:rPr>
          <w:rFonts w:hint="eastAsia" w:ascii="宋体" w:hAnsi="宋体" w:cs="宋体"/>
          <w:b/>
          <w:bCs/>
          <w:iCs/>
          <w:color w:val="auto"/>
          <w:sz w:val="28"/>
          <w:szCs w:val="28"/>
          <w:highlight w:val="none"/>
          <w:lang w:val="en-US" w:eastAsia="zh-CN"/>
        </w:rPr>
      </w:pPr>
    </w:p>
    <w:p>
      <w:pPr>
        <w:pStyle w:val="22"/>
        <w:numPr>
          <w:ilvl w:val="0"/>
          <w:numId w:val="0"/>
        </w:numPr>
        <w:shd w:val="clear" w:color="auto"/>
        <w:spacing w:before="0" w:beforeAutospacing="0" w:after="0" w:afterAutospacing="0" w:line="360" w:lineRule="atLeast"/>
        <w:jc w:val="center"/>
        <w:outlineLvl w:val="9"/>
        <w:rPr>
          <w:rFonts w:hint="eastAsia" w:ascii="宋体" w:hAnsi="宋体" w:cs="宋体"/>
          <w:b/>
          <w:bCs/>
          <w:iCs/>
          <w:color w:val="auto"/>
          <w:sz w:val="28"/>
          <w:szCs w:val="28"/>
          <w:highlight w:val="none"/>
          <w:lang w:val="en-US" w:eastAsia="zh-CN"/>
        </w:rPr>
      </w:pPr>
    </w:p>
    <w:p>
      <w:pPr>
        <w:pStyle w:val="22"/>
        <w:numPr>
          <w:ilvl w:val="0"/>
          <w:numId w:val="0"/>
        </w:numPr>
        <w:shd w:val="clear" w:color="auto"/>
        <w:spacing w:before="0" w:beforeAutospacing="0" w:after="0" w:afterAutospacing="0" w:line="360" w:lineRule="atLeast"/>
        <w:jc w:val="center"/>
        <w:outlineLvl w:val="9"/>
        <w:rPr>
          <w:rFonts w:hint="eastAsia" w:ascii="宋体" w:hAnsi="宋体" w:cs="宋体"/>
          <w:b/>
          <w:bCs/>
          <w:iCs/>
          <w:color w:val="auto"/>
          <w:sz w:val="28"/>
          <w:szCs w:val="28"/>
          <w:highlight w:val="none"/>
          <w:lang w:val="en-US" w:eastAsia="zh-CN"/>
        </w:rPr>
      </w:pPr>
    </w:p>
    <w:p>
      <w:pPr>
        <w:pStyle w:val="22"/>
        <w:numPr>
          <w:ilvl w:val="0"/>
          <w:numId w:val="10"/>
        </w:numPr>
        <w:shd w:val="clear" w:color="auto"/>
        <w:spacing w:before="0" w:beforeAutospacing="0" w:after="0" w:afterAutospacing="0" w:line="360" w:lineRule="atLeast"/>
        <w:ind w:left="0" w:leftChars="0" w:firstLine="0" w:firstLineChars="0"/>
        <w:jc w:val="center"/>
        <w:outlineLvl w:val="2"/>
        <w:rPr>
          <w:rFonts w:hint="eastAsia" w:ascii="宋体" w:hAnsi="宋体" w:cs="宋体"/>
          <w:b/>
          <w:bCs/>
          <w:iCs/>
          <w:color w:val="auto"/>
          <w:sz w:val="28"/>
          <w:szCs w:val="28"/>
          <w:highlight w:val="none"/>
          <w:lang w:val="en-US" w:eastAsia="zh-CN"/>
        </w:rPr>
      </w:pPr>
      <w:bookmarkStart w:id="1268" w:name="_Toc1921"/>
      <w:r>
        <w:rPr>
          <w:rFonts w:hint="eastAsia" w:ascii="宋体" w:hAnsi="宋体" w:cs="宋体"/>
          <w:b/>
          <w:bCs/>
          <w:iCs/>
          <w:color w:val="auto"/>
          <w:sz w:val="28"/>
          <w:szCs w:val="28"/>
          <w:highlight w:val="none"/>
          <w:lang w:val="en-US" w:eastAsia="zh-CN"/>
        </w:rPr>
        <w:t>气垫床（急诊重症医学科重症组）</w:t>
      </w:r>
      <w:bookmarkEnd w:id="1268"/>
    </w:p>
    <w:p>
      <w:pPr>
        <w:pStyle w:val="22"/>
        <w:keepNext w:val="0"/>
        <w:keepLines w:val="0"/>
        <w:pageBreakBefore w:val="0"/>
        <w:widowControl w:val="0"/>
        <w:numPr>
          <w:ilvl w:val="0"/>
          <w:numId w:val="0"/>
        </w:numPr>
        <w:shd w:val="clear" w:color="auto"/>
        <w:kinsoku/>
        <w:wordWrap/>
        <w:overflowPunct/>
        <w:topLinePunct w:val="0"/>
        <w:autoSpaceDE/>
        <w:autoSpaceDN/>
        <w:bidi w:val="0"/>
        <w:adjustRightInd/>
        <w:snapToGrid/>
        <w:spacing w:before="0" w:beforeAutospacing="0" w:after="0" w:afterAutospacing="0" w:line="460" w:lineRule="exact"/>
        <w:ind w:leftChars="0"/>
        <w:jc w:val="both"/>
        <w:textAlignment w:val="auto"/>
        <w:rPr>
          <w:rFonts w:hint="default" w:ascii="宋体" w:hAnsi="宋体" w:cs="宋体"/>
          <w:b/>
          <w:bCs/>
          <w:iCs/>
          <w:color w:val="auto"/>
          <w:sz w:val="24"/>
          <w:szCs w:val="24"/>
          <w:highlight w:val="none"/>
          <w:lang w:val="en-US" w:eastAsia="zh-CN"/>
        </w:rPr>
      </w:pPr>
      <w:r>
        <w:rPr>
          <w:rFonts w:hint="eastAsia" w:ascii="宋体" w:hAnsi="宋体" w:cs="宋体"/>
          <w:b/>
          <w:bCs/>
          <w:iCs/>
          <w:color w:val="auto"/>
          <w:sz w:val="24"/>
          <w:szCs w:val="24"/>
          <w:highlight w:val="none"/>
          <w:lang w:val="en-US" w:eastAsia="zh-CN"/>
        </w:rPr>
        <w:t>一、技术参数：</w:t>
      </w:r>
    </w:p>
    <w:p>
      <w:pPr>
        <w:keepNext w:val="0"/>
        <w:keepLines w:val="0"/>
        <w:pageBreakBefore w:val="0"/>
        <w:widowControl w:val="0"/>
        <w:numPr>
          <w:ilvl w:val="0"/>
          <w:numId w:val="14"/>
        </w:numPr>
        <w:kinsoku/>
        <w:wordWrap/>
        <w:overflowPunct/>
        <w:topLinePunct w:val="0"/>
        <w:autoSpaceDE/>
        <w:autoSpaceDN/>
        <w:bidi w:val="0"/>
        <w:adjustRightInd/>
        <w:snapToGrid/>
        <w:spacing w:line="460" w:lineRule="exact"/>
        <w:jc w:val="both"/>
        <w:textAlignment w:val="auto"/>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可调充气压力</w:t>
      </w:r>
    </w:p>
    <w:p>
      <w:pPr>
        <w:keepNext w:val="0"/>
        <w:keepLines w:val="0"/>
        <w:pageBreakBefore w:val="0"/>
        <w:widowControl w:val="0"/>
        <w:numPr>
          <w:ilvl w:val="0"/>
          <w:numId w:val="14"/>
        </w:numPr>
        <w:kinsoku/>
        <w:wordWrap/>
        <w:overflowPunct/>
        <w:topLinePunct w:val="0"/>
        <w:autoSpaceDE/>
        <w:autoSpaceDN/>
        <w:bidi w:val="0"/>
        <w:adjustRightInd/>
        <w:snapToGrid/>
        <w:spacing w:line="460" w:lineRule="exact"/>
        <w:jc w:val="both"/>
        <w:textAlignment w:val="auto"/>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充气尺寸：2000*900*100mm</w:t>
      </w:r>
    </w:p>
    <w:p>
      <w:pPr>
        <w:keepNext w:val="0"/>
        <w:keepLines w:val="0"/>
        <w:pageBreakBefore w:val="0"/>
        <w:widowControl w:val="0"/>
        <w:numPr>
          <w:ilvl w:val="0"/>
          <w:numId w:val="14"/>
        </w:numPr>
        <w:kinsoku/>
        <w:wordWrap/>
        <w:overflowPunct/>
        <w:topLinePunct w:val="0"/>
        <w:autoSpaceDE/>
        <w:autoSpaceDN/>
        <w:bidi w:val="0"/>
        <w:adjustRightInd/>
        <w:snapToGrid/>
        <w:spacing w:line="460" w:lineRule="exact"/>
        <w:jc w:val="both"/>
        <w:textAlignment w:val="auto"/>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载重≥130kg</w:t>
      </w:r>
    </w:p>
    <w:p>
      <w:pPr>
        <w:keepNext w:val="0"/>
        <w:keepLines w:val="0"/>
        <w:pageBreakBefore w:val="0"/>
        <w:widowControl w:val="0"/>
        <w:numPr>
          <w:ilvl w:val="0"/>
          <w:numId w:val="14"/>
        </w:numPr>
        <w:kinsoku/>
        <w:wordWrap/>
        <w:overflowPunct/>
        <w:topLinePunct w:val="0"/>
        <w:autoSpaceDE/>
        <w:autoSpaceDN/>
        <w:bidi w:val="0"/>
        <w:adjustRightInd/>
        <w:snapToGrid/>
        <w:spacing w:line="460" w:lineRule="exact"/>
        <w:jc w:val="both"/>
        <w:textAlignment w:val="auto"/>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外壳材料：阻燃级ABS</w:t>
      </w:r>
    </w:p>
    <w:p>
      <w:pPr>
        <w:keepNext w:val="0"/>
        <w:keepLines w:val="0"/>
        <w:pageBreakBefore w:val="0"/>
        <w:widowControl w:val="0"/>
        <w:numPr>
          <w:ilvl w:val="0"/>
          <w:numId w:val="14"/>
        </w:numPr>
        <w:kinsoku/>
        <w:wordWrap/>
        <w:overflowPunct/>
        <w:topLinePunct w:val="0"/>
        <w:autoSpaceDE/>
        <w:autoSpaceDN/>
        <w:bidi w:val="0"/>
        <w:adjustRightInd/>
        <w:snapToGrid/>
        <w:spacing w:line="460" w:lineRule="exact"/>
        <w:jc w:val="both"/>
        <w:textAlignment w:val="auto"/>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气条材料：尼龙PVC</w:t>
      </w:r>
    </w:p>
    <w:p>
      <w:pPr>
        <w:keepNext w:val="0"/>
        <w:keepLines w:val="0"/>
        <w:pageBreakBefore w:val="0"/>
        <w:widowControl w:val="0"/>
        <w:numPr>
          <w:ilvl w:val="0"/>
          <w:numId w:val="14"/>
        </w:numPr>
        <w:kinsoku/>
        <w:wordWrap/>
        <w:overflowPunct/>
        <w:topLinePunct w:val="0"/>
        <w:autoSpaceDE/>
        <w:autoSpaceDN/>
        <w:bidi w:val="0"/>
        <w:adjustRightInd/>
        <w:snapToGrid/>
        <w:spacing w:line="460" w:lineRule="exact"/>
        <w:jc w:val="both"/>
        <w:textAlignment w:val="auto"/>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流动模式：双管交替波动</w:t>
      </w:r>
    </w:p>
    <w:p>
      <w:pPr>
        <w:keepNext w:val="0"/>
        <w:keepLines w:val="0"/>
        <w:pageBreakBefore w:val="0"/>
        <w:widowControl w:val="0"/>
        <w:numPr>
          <w:ilvl w:val="0"/>
          <w:numId w:val="14"/>
        </w:numPr>
        <w:kinsoku/>
        <w:wordWrap/>
        <w:overflowPunct/>
        <w:topLinePunct w:val="0"/>
        <w:autoSpaceDE/>
        <w:autoSpaceDN/>
        <w:bidi w:val="0"/>
        <w:adjustRightInd/>
        <w:snapToGrid/>
        <w:spacing w:line="460" w:lineRule="exact"/>
        <w:jc w:val="both"/>
        <w:textAlignment w:val="auto"/>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床罩材料：尼龙PU床罩</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二、售后服务：</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乙方应提供整机保修期</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年，保修期的期限应以甲乙双方的验收合格之日起计算，保修期内免费更换零配件及免工时费。</w:t>
      </w:r>
    </w:p>
    <w:p>
      <w:pPr>
        <w:pStyle w:val="22"/>
        <w:numPr>
          <w:ilvl w:val="0"/>
          <w:numId w:val="0"/>
        </w:numPr>
        <w:shd w:val="clear" w:color="auto"/>
        <w:spacing w:before="0" w:beforeAutospacing="0" w:after="0" w:afterAutospacing="0" w:line="360" w:lineRule="atLeast"/>
        <w:ind w:leftChars="0"/>
        <w:jc w:val="both"/>
        <w:outlineLvl w:val="2"/>
        <w:rPr>
          <w:rFonts w:hint="eastAsia" w:ascii="宋体" w:hAnsi="宋体" w:cs="宋体"/>
          <w:b/>
          <w:bCs/>
          <w:iCs/>
          <w:color w:val="auto"/>
          <w:sz w:val="28"/>
          <w:szCs w:val="28"/>
          <w:highlight w:val="none"/>
          <w:lang w:val="en-US" w:eastAsia="zh-CN"/>
        </w:rPr>
      </w:pPr>
    </w:p>
    <w:p>
      <w:pPr>
        <w:pStyle w:val="22"/>
        <w:numPr>
          <w:ilvl w:val="0"/>
          <w:numId w:val="10"/>
        </w:numPr>
        <w:shd w:val="clear" w:color="auto"/>
        <w:spacing w:before="0" w:beforeAutospacing="0" w:after="0" w:afterAutospacing="0" w:line="360" w:lineRule="atLeast"/>
        <w:ind w:left="0" w:leftChars="0" w:firstLine="0" w:firstLineChars="0"/>
        <w:jc w:val="center"/>
        <w:outlineLvl w:val="2"/>
        <w:rPr>
          <w:rFonts w:hint="eastAsia" w:ascii="宋体" w:hAnsi="宋体" w:cs="宋体"/>
          <w:b/>
          <w:bCs/>
          <w:iCs/>
          <w:color w:val="auto"/>
          <w:sz w:val="28"/>
          <w:szCs w:val="28"/>
          <w:highlight w:val="none"/>
          <w:lang w:val="en-US" w:eastAsia="zh-CN"/>
        </w:rPr>
      </w:pPr>
      <w:bookmarkStart w:id="1269" w:name="_Toc3011"/>
      <w:r>
        <w:rPr>
          <w:rFonts w:hint="eastAsia" w:ascii="宋体" w:hAnsi="宋体" w:cs="宋体"/>
          <w:b/>
          <w:bCs/>
          <w:iCs/>
          <w:color w:val="auto"/>
          <w:sz w:val="28"/>
          <w:szCs w:val="28"/>
          <w:highlight w:val="none"/>
          <w:lang w:val="en-US" w:eastAsia="zh-CN"/>
        </w:rPr>
        <w:t>心电监护仪</w:t>
      </w:r>
      <w:bookmarkEnd w:id="1269"/>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一、</w:t>
      </w:r>
      <w:r>
        <w:rPr>
          <w:rFonts w:hint="eastAsia" w:ascii="宋体" w:hAnsi="宋体" w:cs="宋体"/>
          <w:b/>
          <w:color w:val="auto"/>
          <w:kern w:val="0"/>
          <w:sz w:val="24"/>
          <w:szCs w:val="24"/>
          <w:highlight w:val="none"/>
        </w:rPr>
        <w:t>整机要求：</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1.1、一体化便携监护仪，整机无风扇设计。</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s="宋体"/>
          <w:color w:val="auto"/>
          <w:kern w:val="0"/>
          <w:sz w:val="24"/>
          <w:szCs w:val="24"/>
          <w:highlight w:val="none"/>
        </w:rPr>
      </w:pPr>
      <w:r>
        <w:rPr>
          <w:rFonts w:hint="eastAsia" w:ascii="宋体" w:hAnsi="宋体"/>
          <w:color w:val="auto"/>
          <w:sz w:val="24"/>
          <w:szCs w:val="24"/>
          <w:highlight w:val="none"/>
        </w:rPr>
        <w:t>1.2、配置提手,方便移动。</w:t>
      </w:r>
      <w:r>
        <w:rPr>
          <w:rFonts w:hint="eastAsia" w:ascii="宋体" w:hAnsi="宋体" w:cs="宋体"/>
          <w:color w:val="auto"/>
          <w:kern w:val="0"/>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、屏幕采用最新电容屏非电阻屏。</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、显示屏可支持</w:t>
      </w:r>
      <w:r>
        <w:rPr>
          <w:rFonts w:ascii="宋体" w:hAnsi="宋体"/>
          <w:color w:val="auto"/>
          <w:sz w:val="24"/>
          <w:szCs w:val="24"/>
          <w:highlight w:val="none"/>
        </w:rPr>
        <w:t>亮度自动调节</w:t>
      </w:r>
      <w:r>
        <w:rPr>
          <w:rFonts w:hint="eastAsia" w:ascii="宋体" w:hAnsi="宋体"/>
          <w:color w:val="auto"/>
          <w:sz w:val="24"/>
          <w:szCs w:val="24"/>
          <w:highlight w:val="none"/>
        </w:rPr>
        <w:t>功能</w:t>
      </w:r>
      <w:r>
        <w:rPr>
          <w:rFonts w:ascii="宋体" w:hAnsi="宋体"/>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、屏幕倾斜10~15度设计，符合人机工程学，便于临床团队观察和操作。</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、可支持遥控器无线远程操作监护仪,提供证明材料。</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、内置锂电池，插槽式设计，无需螺丝刀工具支持快速拆卸和安装。</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s="Arial"/>
          <w:color w:val="auto"/>
          <w:sz w:val="24"/>
          <w:szCs w:val="24"/>
          <w:highlight w:val="none"/>
        </w:rPr>
        <w:t>1.</w:t>
      </w:r>
      <w:r>
        <w:rPr>
          <w:rFonts w:hint="eastAsia" w:ascii="宋体" w:hAnsi="宋体" w:cs="Arial"/>
          <w:color w:val="auto"/>
          <w:sz w:val="24"/>
          <w:szCs w:val="24"/>
          <w:highlight w:val="none"/>
          <w:lang w:val="en-US" w:eastAsia="zh-CN"/>
        </w:rPr>
        <w:t>8</w:t>
      </w:r>
      <w:r>
        <w:rPr>
          <w:rFonts w:hint="eastAsia" w:ascii="宋体" w:hAnsi="宋体" w:cs="Arial"/>
          <w:color w:val="auto"/>
          <w:sz w:val="24"/>
          <w:szCs w:val="24"/>
          <w:highlight w:val="none"/>
        </w:rPr>
        <w:t xml:space="preserve">、安全规格：ECG, TEMP, </w:t>
      </w:r>
      <w:r>
        <w:rPr>
          <w:rFonts w:hint="default" w:ascii="宋体" w:hAnsi="宋体" w:cs="Arial"/>
          <w:color w:val="auto"/>
          <w:sz w:val="24"/>
          <w:szCs w:val="24"/>
          <w:highlight w:val="none"/>
          <w:lang w:val="en-US"/>
        </w:rPr>
        <w:t>SpO2</w:t>
      </w:r>
      <w:r>
        <w:rPr>
          <w:rFonts w:hint="eastAsia" w:ascii="宋体" w:hAnsi="宋体" w:cs="Arial"/>
          <w:color w:val="auto"/>
          <w:sz w:val="24"/>
          <w:szCs w:val="24"/>
          <w:highlight w:val="none"/>
        </w:rPr>
        <w:t xml:space="preserve">, </w:t>
      </w:r>
      <w:r>
        <w:rPr>
          <w:rFonts w:hint="default" w:ascii="宋体" w:hAnsi="宋体" w:cs="Arial"/>
          <w:color w:val="auto"/>
          <w:sz w:val="24"/>
          <w:szCs w:val="24"/>
          <w:highlight w:val="none"/>
          <w:lang w:val="en-US"/>
        </w:rPr>
        <w:t>IBP</w:t>
      </w:r>
      <w:r>
        <w:rPr>
          <w:rFonts w:hint="eastAsia" w:ascii="宋体" w:hAnsi="宋体" w:cs="Arial"/>
          <w:color w:val="auto"/>
          <w:sz w:val="24"/>
          <w:szCs w:val="24"/>
          <w:highlight w:val="none"/>
        </w:rPr>
        <w:t xml:space="preserve"> , NIBP监测参数抗电击程度为防除颤</w:t>
      </w:r>
      <w:r>
        <w:rPr>
          <w:rFonts w:hint="eastAsia" w:ascii="宋体" w:hAnsi="宋体"/>
          <w:color w:val="auto"/>
          <w:sz w:val="24"/>
          <w:szCs w:val="24"/>
          <w:highlight w:val="none"/>
        </w:rPr>
        <w:t>CF型</w:t>
      </w:r>
      <w:r>
        <w:rPr>
          <w:rFonts w:ascii="宋体" w:hAnsi="宋体"/>
          <w:color w:val="auto"/>
          <w:sz w:val="24"/>
          <w:szCs w:val="24"/>
          <w:highlight w:val="none"/>
        </w:rPr>
        <w:drawing>
          <wp:inline distT="0" distB="0" distL="0" distR="0">
            <wp:extent cx="257175" cy="152400"/>
            <wp:effectExtent l="0" t="0" r="9525" b="0"/>
            <wp:docPr id="12" name="图片 1"/>
            <wp:cNvGraphicFramePr/>
            <a:graphic xmlns:a="http://schemas.openxmlformats.org/drawingml/2006/main">
              <a:graphicData uri="http://schemas.openxmlformats.org/drawingml/2006/picture">
                <pic:pic xmlns:pic="http://schemas.openxmlformats.org/drawingml/2006/picture">
                  <pic:nvPicPr>
                    <pic:cNvPr id="12" name="图片 1"/>
                    <pic:cNvPicPr/>
                  </pic:nvPicPr>
                  <pic:blipFill>
                    <a:blip r:embed="rId16" cstate="print"/>
                    <a:srcRect/>
                    <a:stretch>
                      <a:fillRect/>
                    </a:stretch>
                  </pic:blipFill>
                  <pic:spPr>
                    <a:xfrm>
                      <a:off x="0" y="0"/>
                      <a:ext cx="257175" cy="152400"/>
                    </a:xfrm>
                    <a:prstGeom prst="rect">
                      <a:avLst/>
                    </a:prstGeom>
                    <a:ln>
                      <a:noFill/>
                    </a:ln>
                  </pic:spPr>
                </pic:pic>
              </a:graphicData>
            </a:graphic>
          </wp:inline>
        </w:drawing>
      </w:r>
      <w:r>
        <w:rPr>
          <w:rFonts w:hint="eastAsia" w:ascii="宋体" w:hAnsi="宋体"/>
          <w:color w:val="auto"/>
          <w:sz w:val="24"/>
          <w:szCs w:val="24"/>
          <w:highlight w:val="none"/>
        </w:rPr>
        <w:t>, 提供机器接口防护等级丝印照片证明材料。</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、监护仪设计使用年限≥8年，提供机器标贴证明材料。</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1.1</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、监护仪清洁维护支持的清洁剂≥</w:t>
      </w:r>
      <w:r>
        <w:rPr>
          <w:rFonts w:ascii="宋体" w:hAnsi="宋体"/>
          <w:color w:val="auto"/>
          <w:sz w:val="24"/>
          <w:szCs w:val="24"/>
          <w:highlight w:val="none"/>
        </w:rPr>
        <w:t>40</w:t>
      </w:r>
      <w:r>
        <w:rPr>
          <w:rFonts w:hint="eastAsia" w:ascii="宋体" w:hAnsi="宋体"/>
          <w:color w:val="auto"/>
          <w:sz w:val="24"/>
          <w:szCs w:val="24"/>
          <w:highlight w:val="none"/>
        </w:rPr>
        <w:t>种，在厂家手册中清晰列举清洁剂的种类，提供厂家手册证明材料。</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、≥12英寸彩</w:t>
      </w:r>
      <w:r>
        <w:rPr>
          <w:rFonts w:ascii="宋体" w:hAnsi="宋体"/>
          <w:color w:val="auto"/>
          <w:sz w:val="24"/>
          <w:szCs w:val="24"/>
          <w:highlight w:val="none"/>
        </w:rPr>
        <w:t>色</w:t>
      </w:r>
      <w:r>
        <w:rPr>
          <w:rFonts w:hint="eastAsia" w:ascii="宋体" w:hAnsi="宋体"/>
          <w:color w:val="auto"/>
          <w:sz w:val="24"/>
          <w:szCs w:val="24"/>
          <w:highlight w:val="none"/>
        </w:rPr>
        <w:t>液晶触摸屏，分辨率高达</w:t>
      </w:r>
      <w:r>
        <w:rPr>
          <w:rFonts w:ascii="宋体" w:hAnsi="宋体"/>
          <w:color w:val="auto"/>
          <w:sz w:val="24"/>
          <w:szCs w:val="24"/>
          <w:highlight w:val="none"/>
        </w:rPr>
        <w:t>1280</w:t>
      </w:r>
      <w:r>
        <w:rPr>
          <w:rFonts w:hint="eastAsia" w:ascii="宋体" w:hAnsi="宋体"/>
          <w:color w:val="auto"/>
          <w:sz w:val="24"/>
          <w:szCs w:val="24"/>
          <w:highlight w:val="none"/>
        </w:rPr>
        <w:t>*</w:t>
      </w:r>
      <w:r>
        <w:rPr>
          <w:rFonts w:ascii="宋体" w:hAnsi="宋体"/>
          <w:color w:val="auto"/>
          <w:sz w:val="24"/>
          <w:szCs w:val="24"/>
          <w:highlight w:val="none"/>
        </w:rPr>
        <w:t>8</w:t>
      </w:r>
      <w:r>
        <w:rPr>
          <w:rFonts w:hint="eastAsia" w:ascii="宋体" w:hAnsi="宋体"/>
          <w:color w:val="auto"/>
          <w:sz w:val="24"/>
          <w:szCs w:val="24"/>
          <w:highlight w:val="none"/>
        </w:rPr>
        <w:t>00像素或更高，≥</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通</w:t>
      </w:r>
      <w:r>
        <w:rPr>
          <w:rFonts w:ascii="宋体" w:hAnsi="宋体"/>
          <w:color w:val="auto"/>
          <w:sz w:val="24"/>
          <w:szCs w:val="24"/>
          <w:highlight w:val="none"/>
        </w:rPr>
        <w:t>道</w:t>
      </w:r>
      <w:r>
        <w:rPr>
          <w:rFonts w:hint="eastAsia" w:ascii="宋体" w:hAnsi="宋体"/>
          <w:color w:val="auto"/>
          <w:sz w:val="24"/>
          <w:szCs w:val="24"/>
          <w:highlight w:val="none"/>
        </w:rPr>
        <w:t>波形</w:t>
      </w:r>
      <w:r>
        <w:rPr>
          <w:rFonts w:ascii="宋体" w:hAnsi="宋体"/>
          <w:color w:val="auto"/>
          <w:sz w:val="24"/>
          <w:szCs w:val="24"/>
          <w:highlight w:val="none"/>
        </w:rPr>
        <w:t>显示</w:t>
      </w:r>
      <w:r>
        <w:rPr>
          <w:rFonts w:hint="eastAsia" w:ascii="宋体" w:hAnsi="宋体"/>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二、</w:t>
      </w:r>
      <w:r>
        <w:rPr>
          <w:rFonts w:hint="eastAsia" w:ascii="宋体" w:hAnsi="宋体" w:cs="宋体"/>
          <w:b/>
          <w:bCs w:val="0"/>
          <w:color w:val="auto"/>
          <w:kern w:val="0"/>
          <w:sz w:val="24"/>
          <w:szCs w:val="24"/>
          <w:highlight w:val="none"/>
        </w:rPr>
        <w:t>监测参数：</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2.1、配置3/5导心电，呼吸，血氧饱和度，</w:t>
      </w:r>
      <w:r>
        <w:rPr>
          <w:rFonts w:hint="default" w:ascii="宋体" w:hAnsi="宋体"/>
          <w:color w:val="auto"/>
          <w:sz w:val="24"/>
          <w:szCs w:val="24"/>
          <w:highlight w:val="none"/>
          <w:lang w:val="en-US"/>
        </w:rPr>
        <w:t>无创血压，</w:t>
      </w:r>
      <w:r>
        <w:rPr>
          <w:rFonts w:hint="eastAsia" w:ascii="宋体" w:hAnsi="宋体"/>
          <w:color w:val="auto"/>
          <w:sz w:val="24"/>
          <w:szCs w:val="24"/>
          <w:highlight w:val="none"/>
        </w:rPr>
        <w:t>脉搏和双通道体温参数监测</w:t>
      </w:r>
      <w:r>
        <w:rPr>
          <w:rFonts w:hint="eastAsia" w:ascii="宋体" w:hAnsi="宋体"/>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★2.2、心电监护支持心率，ST段测量，心律失常分析，QT/QTc连续实时测量和对应报警功能，提供注册证证明材料。</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2.3、心电算法通过AHA/MIT-BIH数据库验证，提供证明材料。</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2.4、心电波形扫描速度支持</w:t>
      </w:r>
      <w:r>
        <w:rPr>
          <w:rFonts w:ascii="宋体" w:hAnsi="宋体"/>
          <w:color w:val="auto"/>
          <w:sz w:val="24"/>
          <w:szCs w:val="24"/>
          <w:highlight w:val="none"/>
        </w:rPr>
        <w:t>6.25mm/s</w:t>
      </w:r>
      <w:r>
        <w:rPr>
          <w:rFonts w:hint="eastAsia" w:ascii="宋体" w:hAnsi="宋体"/>
          <w:color w:val="auto"/>
          <w:sz w:val="24"/>
          <w:szCs w:val="24"/>
          <w:highlight w:val="none"/>
        </w:rPr>
        <w:t>、</w:t>
      </w:r>
      <w:r>
        <w:rPr>
          <w:rFonts w:ascii="宋体" w:hAnsi="宋体"/>
          <w:color w:val="auto"/>
          <w:sz w:val="24"/>
          <w:szCs w:val="24"/>
          <w:highlight w:val="none"/>
        </w:rPr>
        <w:t>12.5 mm/s</w:t>
      </w:r>
      <w:r>
        <w:rPr>
          <w:rFonts w:hint="eastAsia" w:ascii="宋体" w:hAnsi="宋体"/>
          <w:color w:val="auto"/>
          <w:sz w:val="24"/>
          <w:szCs w:val="24"/>
          <w:highlight w:val="none"/>
        </w:rPr>
        <w:t>、</w:t>
      </w:r>
      <w:r>
        <w:rPr>
          <w:rFonts w:ascii="宋体" w:hAnsi="宋体"/>
          <w:color w:val="auto"/>
          <w:sz w:val="24"/>
          <w:szCs w:val="24"/>
          <w:highlight w:val="none"/>
        </w:rPr>
        <w:t>25 mm/s</w:t>
      </w:r>
      <w:r>
        <w:rPr>
          <w:rFonts w:hint="eastAsia" w:ascii="宋体" w:hAnsi="宋体"/>
          <w:color w:val="auto"/>
          <w:sz w:val="24"/>
          <w:szCs w:val="24"/>
          <w:highlight w:val="none"/>
        </w:rPr>
        <w:t>和</w:t>
      </w:r>
      <w:r>
        <w:rPr>
          <w:rFonts w:ascii="宋体" w:hAnsi="宋体"/>
          <w:color w:val="auto"/>
          <w:sz w:val="24"/>
          <w:szCs w:val="24"/>
          <w:highlight w:val="none"/>
        </w:rPr>
        <w:t>50 mm/s</w:t>
      </w:r>
      <w:r>
        <w:rPr>
          <w:rFonts w:hint="eastAsia" w:ascii="宋体" w:hAnsi="宋体"/>
          <w:color w:val="auto"/>
          <w:sz w:val="24"/>
          <w:szCs w:val="24"/>
          <w:highlight w:val="none"/>
        </w:rPr>
        <w:t>，提供界面截图证明材料。</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2.5、提供窗口支持心脏下壁，侧壁和前壁对应多个ST片段的同屏实时显示，提供参考片段和实时片段的对比查看，提供界面截图证明材料。</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2.6、支持≥20种心律失常分析,包括房颤分析。</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、提供SpO2,PR和PI参数的实时监测，适用于成人，小儿和新生儿。</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、支持指套式血氧探头，IPX7防水等级，支持液体浸泡消毒和清洁。</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、配置无创血压测量，适用于</w:t>
      </w:r>
      <w:r>
        <w:rPr>
          <w:rFonts w:hint="default" w:ascii="宋体" w:hAnsi="宋体"/>
          <w:color w:val="auto"/>
          <w:sz w:val="24"/>
          <w:szCs w:val="24"/>
          <w:highlight w:val="none"/>
          <w:lang w:val="en-US"/>
        </w:rPr>
        <w:t>小儿</w:t>
      </w:r>
      <w:r>
        <w:rPr>
          <w:rFonts w:hint="eastAsia" w:ascii="宋体" w:hAnsi="宋体"/>
          <w:color w:val="auto"/>
          <w:sz w:val="24"/>
          <w:szCs w:val="24"/>
          <w:highlight w:val="none"/>
        </w:rPr>
        <w:t>，</w:t>
      </w:r>
      <w:r>
        <w:rPr>
          <w:rFonts w:hint="default" w:ascii="宋体" w:hAnsi="宋体"/>
          <w:color w:val="auto"/>
          <w:sz w:val="24"/>
          <w:szCs w:val="24"/>
          <w:highlight w:val="none"/>
          <w:lang w:val="en-US"/>
        </w:rPr>
        <w:t>成人</w:t>
      </w:r>
      <w:r>
        <w:rPr>
          <w:rFonts w:hint="eastAsia" w:ascii="宋体" w:hAnsi="宋体"/>
          <w:color w:val="auto"/>
          <w:sz w:val="24"/>
          <w:szCs w:val="24"/>
          <w:highlight w:val="none"/>
        </w:rPr>
        <w:t>和新生儿。</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2.10、具备模拟输出/除颤同步/护士呼叫/串口/VGA</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★2.1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、提供手动，自动，连续和序列4种测量模式，并提供24小</w:t>
      </w:r>
      <w:r>
        <w:rPr>
          <w:rFonts w:ascii="宋体" w:hAnsi="宋体"/>
          <w:color w:val="auto"/>
          <w:sz w:val="24"/>
          <w:szCs w:val="24"/>
          <w:highlight w:val="none"/>
        </w:rPr>
        <w:t>时血压统计结果，</w:t>
      </w:r>
      <w:r>
        <w:rPr>
          <w:rFonts w:hint="eastAsia" w:ascii="宋体" w:hAnsi="宋体"/>
          <w:color w:val="auto"/>
          <w:sz w:val="24"/>
          <w:szCs w:val="24"/>
          <w:highlight w:val="none"/>
        </w:rPr>
        <w:t>满足临床应用，并提供产品界面截图证明材料。</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2.1</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、无创血压成人测量范围：收缩压25~290mmHg，舒张压10~250mmHg，平均压15~260mmHg，提供检测报告证明材料。</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2.1</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、提供辅助静脉穿刺功能。</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2.1</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、提供双通道体温和温差参数的监测,</w:t>
      </w:r>
      <w:r>
        <w:rPr>
          <w:rFonts w:ascii="宋体" w:hAnsi="宋体"/>
          <w:color w:val="auto"/>
          <w:sz w:val="24"/>
          <w:szCs w:val="24"/>
          <w:highlight w:val="none"/>
        </w:rPr>
        <w:t xml:space="preserve"> 并可</w:t>
      </w:r>
      <w:r>
        <w:rPr>
          <w:rFonts w:hint="eastAsia" w:ascii="宋体" w:hAnsi="宋体"/>
          <w:color w:val="auto"/>
          <w:sz w:val="24"/>
          <w:szCs w:val="24"/>
          <w:highlight w:val="none"/>
        </w:rPr>
        <w:t>根据</w:t>
      </w:r>
      <w:r>
        <w:rPr>
          <w:rFonts w:ascii="宋体" w:hAnsi="宋体"/>
          <w:color w:val="auto"/>
          <w:sz w:val="24"/>
          <w:szCs w:val="24"/>
          <w:highlight w:val="none"/>
        </w:rPr>
        <w:t>需</w:t>
      </w:r>
      <w:r>
        <w:rPr>
          <w:rFonts w:hint="eastAsia" w:ascii="宋体" w:hAnsi="宋体"/>
          <w:color w:val="auto"/>
          <w:sz w:val="24"/>
          <w:szCs w:val="24"/>
          <w:highlight w:val="none"/>
        </w:rPr>
        <w:t>要</w:t>
      </w:r>
      <w:r>
        <w:rPr>
          <w:rFonts w:ascii="宋体" w:hAnsi="宋体"/>
          <w:color w:val="auto"/>
          <w:sz w:val="24"/>
          <w:szCs w:val="24"/>
          <w:highlight w:val="none"/>
        </w:rPr>
        <w:t>更改体温通道标名</w:t>
      </w:r>
      <w:r>
        <w:rPr>
          <w:rFonts w:hint="eastAsia" w:ascii="宋体" w:hAnsi="宋体"/>
          <w:color w:val="auto"/>
          <w:sz w:val="24"/>
          <w:szCs w:val="24"/>
          <w:highlight w:val="none"/>
        </w:rPr>
        <w:t>，</w:t>
      </w:r>
      <w:r>
        <w:rPr>
          <w:rFonts w:ascii="宋体" w:hAnsi="宋体"/>
          <w:color w:val="auto"/>
          <w:sz w:val="24"/>
          <w:szCs w:val="24"/>
          <w:highlight w:val="none"/>
        </w:rPr>
        <w:t>提供界面截图</w:t>
      </w:r>
      <w:r>
        <w:rPr>
          <w:rFonts w:hint="eastAsia" w:ascii="宋体" w:hAnsi="宋体"/>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2.15、具备模拟输出/除颤同步/护士呼叫/串口/VGA</w:t>
      </w:r>
    </w:p>
    <w:p>
      <w:pPr>
        <w:keepNext w:val="0"/>
        <w:keepLines w:val="0"/>
        <w:pageBreakBefore w:val="0"/>
        <w:widowControl w:val="0"/>
        <w:kinsoku/>
        <w:wordWrap/>
        <w:overflowPunct/>
        <w:topLinePunct w:val="0"/>
        <w:bidi w:val="0"/>
        <w:snapToGrid/>
        <w:spacing w:line="460" w:lineRule="exact"/>
        <w:ind w:left="0" w:leftChars="0" w:right="0" w:rightChars="0"/>
        <w:textAlignment w:val="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rPr>
        <w:t>系统功能：</w:t>
      </w:r>
    </w:p>
    <w:p>
      <w:pPr>
        <w:keepNext w:val="0"/>
        <w:keepLines w:val="0"/>
        <w:pageBreakBefore w:val="0"/>
        <w:widowControl w:val="0"/>
        <w:kinsoku/>
        <w:wordWrap/>
        <w:overflowPunct/>
        <w:topLinePunct w:val="0"/>
        <w:bidi w:val="0"/>
        <w:snapToGrid/>
        <w:spacing w:line="460" w:lineRule="exact"/>
        <w:ind w:left="0" w:leftChars="0" w:right="0" w:rightChars="0"/>
        <w:textAlignment w:val="auto"/>
        <w:rPr>
          <w:rFonts w:ascii="宋体" w:hAnsi="宋体"/>
          <w:color w:val="auto"/>
          <w:sz w:val="24"/>
          <w:szCs w:val="24"/>
          <w:highlight w:val="none"/>
        </w:rPr>
      </w:pPr>
      <w:r>
        <w:rPr>
          <w:rFonts w:hint="eastAsia" w:ascii="宋体" w:hAnsi="宋体"/>
          <w:color w:val="auto"/>
          <w:sz w:val="24"/>
          <w:szCs w:val="24"/>
          <w:highlight w:val="none"/>
        </w:rPr>
        <w:t>3.1、★支持所有监测参数报警限一键自动设置功能，满足医护团队快速管理患者报警需求，产品用户手册提供报警限自动设置规则。</w:t>
      </w:r>
    </w:p>
    <w:p>
      <w:pPr>
        <w:keepNext w:val="0"/>
        <w:keepLines w:val="0"/>
        <w:pageBreakBefore w:val="0"/>
        <w:widowControl w:val="0"/>
        <w:kinsoku/>
        <w:wordWrap/>
        <w:overflowPunct/>
        <w:topLinePunct w:val="0"/>
        <w:bidi w:val="0"/>
        <w:snapToGrid/>
        <w:spacing w:line="460" w:lineRule="exact"/>
        <w:ind w:right="0" w:rightChars="0"/>
        <w:textAlignment w:val="auto"/>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r>
        <w:rPr>
          <w:rFonts w:ascii="宋体" w:hAnsi="宋体"/>
          <w:color w:val="auto"/>
          <w:sz w:val="24"/>
          <w:szCs w:val="24"/>
          <w:highlight w:val="none"/>
        </w:rPr>
        <w:t>具有图形化</w:t>
      </w:r>
      <w:r>
        <w:rPr>
          <w:rFonts w:hint="eastAsia" w:ascii="宋体" w:hAnsi="宋体"/>
          <w:color w:val="auto"/>
          <w:sz w:val="24"/>
          <w:szCs w:val="24"/>
          <w:highlight w:val="none"/>
        </w:rPr>
        <w:t>技术</w:t>
      </w:r>
      <w:r>
        <w:rPr>
          <w:rFonts w:ascii="宋体" w:hAnsi="宋体"/>
          <w:color w:val="auto"/>
          <w:sz w:val="24"/>
          <w:szCs w:val="24"/>
          <w:highlight w:val="none"/>
        </w:rPr>
        <w:t>报警指示功能，</w:t>
      </w:r>
      <w:r>
        <w:rPr>
          <w:rFonts w:hint="eastAsia" w:ascii="宋体" w:hAnsi="宋体"/>
          <w:color w:val="auto"/>
          <w:sz w:val="24"/>
          <w:szCs w:val="24"/>
          <w:highlight w:val="none"/>
        </w:rPr>
        <w:t>帮助医</w:t>
      </w:r>
      <w:r>
        <w:rPr>
          <w:rFonts w:ascii="宋体" w:hAnsi="宋体"/>
          <w:color w:val="auto"/>
          <w:sz w:val="24"/>
          <w:szCs w:val="24"/>
          <w:highlight w:val="none"/>
        </w:rPr>
        <w:t>护团队快速识别</w:t>
      </w:r>
      <w:r>
        <w:rPr>
          <w:rFonts w:hint="eastAsia" w:ascii="宋体" w:hAnsi="宋体"/>
          <w:color w:val="auto"/>
          <w:sz w:val="24"/>
          <w:szCs w:val="24"/>
          <w:highlight w:val="none"/>
        </w:rPr>
        <w:t>报警来</w:t>
      </w:r>
      <w:r>
        <w:rPr>
          <w:rFonts w:ascii="宋体" w:hAnsi="宋体"/>
          <w:color w:val="auto"/>
          <w:sz w:val="24"/>
          <w:szCs w:val="24"/>
          <w:highlight w:val="none"/>
        </w:rPr>
        <w:t>源</w:t>
      </w:r>
      <w:r>
        <w:rPr>
          <w:rFonts w:hint="eastAsia" w:ascii="宋体" w:hAnsi="宋体"/>
          <w:color w:val="auto"/>
          <w:sz w:val="24"/>
          <w:szCs w:val="24"/>
          <w:highlight w:val="none"/>
        </w:rPr>
        <w:t>。</w:t>
      </w:r>
    </w:p>
    <w:p>
      <w:pPr>
        <w:keepNext w:val="0"/>
        <w:keepLines w:val="0"/>
        <w:pageBreakBefore w:val="0"/>
        <w:widowControl w:val="0"/>
        <w:kinsoku/>
        <w:wordWrap/>
        <w:overflowPunct/>
        <w:topLinePunct w:val="0"/>
        <w:bidi w:val="0"/>
        <w:snapToGrid/>
        <w:spacing w:line="460" w:lineRule="exact"/>
        <w:ind w:left="0" w:leftChars="0" w:right="0" w:rightChars="0"/>
        <w:textAlignment w:val="auto"/>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、支持≥120小时趋势图和趋势表回顾，支持选择不同趋势组回顾</w:t>
      </w:r>
    </w:p>
    <w:p>
      <w:pPr>
        <w:keepNext w:val="0"/>
        <w:keepLines w:val="0"/>
        <w:pageBreakBefore w:val="0"/>
        <w:widowControl w:val="0"/>
        <w:kinsoku/>
        <w:wordWrap/>
        <w:overflowPunct/>
        <w:topLinePunct w:val="0"/>
        <w:bidi w:val="0"/>
        <w:snapToGrid/>
        <w:spacing w:line="460" w:lineRule="exact"/>
        <w:ind w:left="0" w:leftChars="0" w:right="0" w:rightChars="0" w:firstLine="2"/>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w:t>
      </w:r>
      <w:r>
        <w:rPr>
          <w:rFonts w:ascii="宋体" w:hAnsi="宋体"/>
          <w:color w:val="auto"/>
          <w:sz w:val="24"/>
          <w:szCs w:val="24"/>
          <w:highlight w:val="none"/>
        </w:rPr>
        <w:t>1000条事件回顾。每条报警事件至少能够存储</w:t>
      </w:r>
      <w:r>
        <w:rPr>
          <w:rFonts w:hint="eastAsia" w:ascii="宋体" w:hAnsi="宋体"/>
          <w:color w:val="auto"/>
          <w:sz w:val="24"/>
          <w:szCs w:val="24"/>
          <w:highlight w:val="none"/>
        </w:rPr>
        <w:t>32秒三道相关波形，以及报警触发时所有测量参数值</w:t>
      </w:r>
      <w:r>
        <w:rPr>
          <w:rFonts w:hint="eastAsia" w:ascii="宋体" w:hAnsi="宋体"/>
          <w:color w:val="auto"/>
          <w:sz w:val="24"/>
          <w:szCs w:val="24"/>
          <w:highlight w:val="none"/>
          <w:lang w:eastAsia="zh-CN"/>
        </w:rPr>
        <w:t>。</w:t>
      </w:r>
    </w:p>
    <w:p>
      <w:pPr>
        <w:keepNext w:val="0"/>
        <w:keepLines w:val="0"/>
        <w:pageBreakBefore w:val="0"/>
        <w:widowControl w:val="0"/>
        <w:kinsoku/>
        <w:wordWrap/>
        <w:overflowPunct/>
        <w:topLinePunct w:val="0"/>
        <w:bidi w:val="0"/>
        <w:snapToGrid/>
        <w:spacing w:line="460" w:lineRule="exact"/>
        <w:ind w:right="0" w:rightChars="0"/>
        <w:textAlignment w:val="auto"/>
        <w:rPr>
          <w:rFonts w:hint="eastAsia" w:ascii="宋体" w:hAnsi="宋体" w:eastAsia="宋体"/>
          <w:color w:val="auto"/>
          <w:sz w:val="24"/>
          <w:szCs w:val="24"/>
          <w:highlight w:val="none"/>
          <w:lang w:eastAsia="zh-CN"/>
        </w:rPr>
      </w:pPr>
      <w:r>
        <w:rPr>
          <w:rFonts w:ascii="宋体" w:hAnsi="宋体"/>
          <w:color w:val="auto"/>
          <w:sz w:val="24"/>
          <w:szCs w:val="24"/>
          <w:highlight w:val="none"/>
        </w:rPr>
        <w:t>3.</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、≥1000组NIBP测</w:t>
      </w:r>
      <w:r>
        <w:rPr>
          <w:rFonts w:ascii="宋体" w:hAnsi="宋体"/>
          <w:color w:val="auto"/>
          <w:sz w:val="24"/>
          <w:szCs w:val="24"/>
          <w:highlight w:val="none"/>
        </w:rPr>
        <w:t>量结果</w:t>
      </w:r>
      <w:r>
        <w:rPr>
          <w:rFonts w:hint="eastAsia" w:ascii="宋体" w:hAnsi="宋体"/>
          <w:color w:val="auto"/>
          <w:sz w:val="24"/>
          <w:szCs w:val="24"/>
          <w:highlight w:val="none"/>
          <w:lang w:eastAsia="zh-CN"/>
        </w:rPr>
        <w:t>。</w:t>
      </w:r>
    </w:p>
    <w:p>
      <w:pPr>
        <w:keepNext w:val="0"/>
        <w:keepLines w:val="0"/>
        <w:pageBreakBefore w:val="0"/>
        <w:widowControl w:val="0"/>
        <w:kinsoku/>
        <w:wordWrap/>
        <w:overflowPunct/>
        <w:topLinePunct w:val="0"/>
        <w:bidi w:val="0"/>
        <w:snapToGrid/>
        <w:spacing w:line="460" w:lineRule="exact"/>
        <w:ind w:right="0" w:rightChars="0"/>
        <w:textAlignment w:val="auto"/>
        <w:rPr>
          <w:rFonts w:hint="eastAsia" w:ascii="宋体" w:hAnsi="宋体" w:eastAsia="宋体"/>
          <w:color w:val="auto"/>
          <w:sz w:val="24"/>
          <w:szCs w:val="24"/>
          <w:highlight w:val="none"/>
          <w:lang w:eastAsia="zh-CN"/>
        </w:rPr>
      </w:pPr>
      <w:r>
        <w:rPr>
          <w:rFonts w:ascii="宋体" w:hAnsi="宋体"/>
          <w:color w:val="auto"/>
          <w:sz w:val="24"/>
          <w:szCs w:val="24"/>
          <w:highlight w:val="none"/>
        </w:rPr>
        <w:t>3.</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、≥120小时（分辨率</w:t>
      </w:r>
      <w:r>
        <w:rPr>
          <w:rFonts w:ascii="宋体" w:hAnsi="宋体"/>
          <w:color w:val="auto"/>
          <w:sz w:val="24"/>
          <w:szCs w:val="24"/>
          <w:highlight w:val="none"/>
        </w:rPr>
        <w:t>1</w:t>
      </w:r>
      <w:r>
        <w:rPr>
          <w:rFonts w:hint="eastAsia" w:ascii="宋体" w:hAnsi="宋体"/>
          <w:color w:val="auto"/>
          <w:sz w:val="24"/>
          <w:szCs w:val="24"/>
          <w:highlight w:val="none"/>
        </w:rPr>
        <w:t>分钟）ST模板存储与回顾</w:t>
      </w:r>
      <w:r>
        <w:rPr>
          <w:rFonts w:hint="eastAsia" w:ascii="宋体" w:hAnsi="宋体"/>
          <w:color w:val="auto"/>
          <w:sz w:val="24"/>
          <w:szCs w:val="24"/>
          <w:highlight w:val="none"/>
          <w:lang w:eastAsia="zh-CN"/>
        </w:rPr>
        <w:t>。</w:t>
      </w:r>
    </w:p>
    <w:p>
      <w:pPr>
        <w:keepNext w:val="0"/>
        <w:keepLines w:val="0"/>
        <w:pageBreakBefore w:val="0"/>
        <w:widowControl w:val="0"/>
        <w:kinsoku/>
        <w:wordWrap/>
        <w:overflowPunct/>
        <w:topLinePunct w:val="0"/>
        <w:bidi w:val="0"/>
        <w:snapToGrid/>
        <w:spacing w:line="460" w:lineRule="exact"/>
        <w:ind w:right="0" w:rightChars="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、支持48小时全息波形的存储与回顾功能</w:t>
      </w:r>
      <w:r>
        <w:rPr>
          <w:rFonts w:hint="eastAsia" w:ascii="宋体" w:hAnsi="宋体"/>
          <w:color w:val="auto"/>
          <w:sz w:val="24"/>
          <w:szCs w:val="24"/>
          <w:highlight w:val="none"/>
          <w:lang w:eastAsia="zh-CN"/>
        </w:rPr>
        <w:t>。</w:t>
      </w:r>
    </w:p>
    <w:p>
      <w:pPr>
        <w:keepNext w:val="0"/>
        <w:keepLines w:val="0"/>
        <w:pageBreakBefore w:val="0"/>
        <w:widowControl w:val="0"/>
        <w:kinsoku/>
        <w:wordWrap/>
        <w:overflowPunct/>
        <w:topLinePunct w:val="0"/>
        <w:bidi w:val="0"/>
        <w:snapToGrid/>
        <w:spacing w:line="460" w:lineRule="exact"/>
        <w:ind w:left="0" w:leftChars="0" w:right="0" w:rightChars="0"/>
        <w:textAlignment w:val="auto"/>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、支持监护仪历史病人数据的存储和回顾，并支持通过USB接口将历史病人数据导出到U盘。</w:t>
      </w:r>
    </w:p>
    <w:p>
      <w:pPr>
        <w:keepNext w:val="0"/>
        <w:keepLines w:val="0"/>
        <w:pageBreakBefore w:val="0"/>
        <w:widowControl w:val="0"/>
        <w:kinsoku/>
        <w:wordWrap/>
        <w:overflowPunct/>
        <w:topLinePunct w:val="0"/>
        <w:bidi w:val="0"/>
        <w:snapToGrid/>
        <w:spacing w:line="460" w:lineRule="exact"/>
        <w:ind w:left="0" w:leftChars="0" w:right="0" w:rightChars="0"/>
        <w:textAlignment w:val="auto"/>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、支持RJ45接口进行有线网络通信，和除颤监护仪一起联网通信到中心监护系统。</w:t>
      </w:r>
    </w:p>
    <w:p>
      <w:pPr>
        <w:keepNext w:val="0"/>
        <w:keepLines w:val="0"/>
        <w:pageBreakBefore w:val="0"/>
        <w:widowControl w:val="0"/>
        <w:kinsoku/>
        <w:wordWrap/>
        <w:overflowPunct/>
        <w:topLinePunct w:val="0"/>
        <w:bidi w:val="0"/>
        <w:snapToGrid/>
        <w:spacing w:line="460" w:lineRule="exact"/>
        <w:ind w:left="0" w:leftChars="0" w:right="0" w:rightChars="0"/>
        <w:textAlignment w:val="auto"/>
        <w:rPr>
          <w:rFonts w:ascii="宋体" w:hAnsi="宋体"/>
          <w:color w:val="auto"/>
          <w:sz w:val="24"/>
          <w:szCs w:val="24"/>
          <w:highlight w:val="none"/>
        </w:rPr>
      </w:pPr>
      <w:r>
        <w:rPr>
          <w:rFonts w:hint="eastAsia" w:ascii="宋体" w:hAnsi="宋体"/>
          <w:color w:val="auto"/>
          <w:sz w:val="24"/>
          <w:szCs w:val="24"/>
          <w:highlight w:val="none"/>
        </w:rPr>
        <w:t>3.1</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、支持监护仪进入夜间模式，隐私模式，</w:t>
      </w:r>
      <w:r>
        <w:rPr>
          <w:rFonts w:hint="default" w:ascii="宋体" w:hAnsi="宋体"/>
          <w:color w:val="auto"/>
          <w:sz w:val="24"/>
          <w:szCs w:val="24"/>
          <w:highlight w:val="none"/>
          <w:lang w:val="en-US"/>
        </w:rPr>
        <w:t>待机</w:t>
      </w:r>
      <w:r>
        <w:rPr>
          <w:rFonts w:hint="eastAsia" w:ascii="宋体" w:hAnsi="宋体"/>
          <w:color w:val="auto"/>
          <w:sz w:val="24"/>
          <w:szCs w:val="24"/>
          <w:highlight w:val="none"/>
        </w:rPr>
        <w:t>模式和</w:t>
      </w:r>
      <w:r>
        <w:rPr>
          <w:rFonts w:hint="default" w:ascii="宋体" w:hAnsi="宋体"/>
          <w:color w:val="auto"/>
          <w:sz w:val="24"/>
          <w:szCs w:val="24"/>
          <w:highlight w:val="none"/>
          <w:lang w:val="en-US"/>
        </w:rPr>
        <w:t>演示</w:t>
      </w:r>
      <w:r>
        <w:rPr>
          <w:rFonts w:hint="eastAsia" w:ascii="宋体" w:hAnsi="宋体"/>
          <w:color w:val="auto"/>
          <w:sz w:val="24"/>
          <w:szCs w:val="24"/>
          <w:highlight w:val="none"/>
        </w:rPr>
        <w:t>模式，提供界面截图证明材料。</w:t>
      </w:r>
    </w:p>
    <w:p>
      <w:pPr>
        <w:keepNext w:val="0"/>
        <w:keepLines w:val="0"/>
        <w:pageBreakBefore w:val="0"/>
        <w:widowControl w:val="0"/>
        <w:kinsoku/>
        <w:wordWrap/>
        <w:overflowPunct/>
        <w:topLinePunct w:val="0"/>
        <w:bidi w:val="0"/>
        <w:snapToGrid/>
        <w:spacing w:line="460" w:lineRule="exact"/>
        <w:ind w:left="0" w:leftChars="0" w:right="0" w:rightChars="0"/>
        <w:textAlignment w:val="auto"/>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w:t>
      </w:r>
      <w:r>
        <w:rPr>
          <w:rFonts w:ascii="宋体" w:hAnsi="宋体"/>
          <w:color w:val="auto"/>
          <w:sz w:val="24"/>
          <w:szCs w:val="24"/>
          <w:highlight w:val="none"/>
        </w:rPr>
        <w:t>提供</w:t>
      </w:r>
      <w:r>
        <w:rPr>
          <w:rFonts w:hint="eastAsia" w:ascii="宋体" w:hAnsi="宋体"/>
          <w:color w:val="auto"/>
          <w:sz w:val="24"/>
          <w:szCs w:val="24"/>
          <w:highlight w:val="none"/>
        </w:rPr>
        <w:t>心肌缺血</w:t>
      </w:r>
      <w:r>
        <w:rPr>
          <w:rFonts w:ascii="宋体" w:hAnsi="宋体"/>
          <w:color w:val="auto"/>
          <w:sz w:val="24"/>
          <w:szCs w:val="24"/>
          <w:highlight w:val="none"/>
        </w:rPr>
        <w:t>评估</w:t>
      </w:r>
      <w:r>
        <w:rPr>
          <w:rFonts w:hint="eastAsia" w:ascii="宋体" w:hAnsi="宋体"/>
          <w:color w:val="auto"/>
          <w:sz w:val="24"/>
          <w:szCs w:val="24"/>
          <w:highlight w:val="none"/>
        </w:rPr>
        <w:t>工具</w:t>
      </w:r>
      <w:r>
        <w:rPr>
          <w:rFonts w:ascii="宋体" w:hAnsi="宋体"/>
          <w:color w:val="auto"/>
          <w:sz w:val="24"/>
          <w:szCs w:val="24"/>
          <w:highlight w:val="none"/>
        </w:rPr>
        <w:t>，可以快速查看ST值的变化</w:t>
      </w:r>
      <w:r>
        <w:rPr>
          <w:rFonts w:hint="eastAsia" w:ascii="宋体" w:hAnsi="宋体"/>
          <w:color w:val="auto"/>
          <w:sz w:val="24"/>
          <w:szCs w:val="24"/>
          <w:highlight w:val="none"/>
        </w:rPr>
        <w:t>，提供界</w:t>
      </w:r>
      <w:r>
        <w:rPr>
          <w:rFonts w:ascii="宋体" w:hAnsi="宋体"/>
          <w:color w:val="auto"/>
          <w:sz w:val="24"/>
          <w:szCs w:val="24"/>
          <w:highlight w:val="none"/>
        </w:rPr>
        <w:t>面</w:t>
      </w:r>
      <w:r>
        <w:rPr>
          <w:rFonts w:hint="eastAsia" w:ascii="宋体" w:hAnsi="宋体"/>
          <w:color w:val="auto"/>
          <w:sz w:val="24"/>
          <w:szCs w:val="24"/>
          <w:highlight w:val="none"/>
        </w:rPr>
        <w:t>截图证明材料。</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、提供计时器功能，界面区提供设置≥4个计时器，每个计时器支持独立设置和计时功能，计时方向包括正计时和倒计时两种选择，供界</w:t>
      </w:r>
      <w:r>
        <w:rPr>
          <w:rFonts w:ascii="宋体" w:hAnsi="宋体"/>
          <w:color w:val="auto"/>
          <w:sz w:val="24"/>
          <w:szCs w:val="24"/>
          <w:highlight w:val="none"/>
        </w:rPr>
        <w:t>面</w:t>
      </w:r>
      <w:r>
        <w:rPr>
          <w:rFonts w:hint="eastAsia" w:ascii="宋体" w:hAnsi="宋体"/>
          <w:color w:val="auto"/>
          <w:sz w:val="24"/>
          <w:szCs w:val="24"/>
          <w:highlight w:val="none"/>
        </w:rPr>
        <w:t>截图证明材料。</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3.1</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、支持格拉斯哥昏迷评分（</w:t>
      </w:r>
      <w:r>
        <w:rPr>
          <w:rFonts w:ascii="宋体" w:hAnsi="宋体"/>
          <w:color w:val="auto"/>
          <w:sz w:val="24"/>
          <w:szCs w:val="24"/>
          <w:highlight w:val="none"/>
        </w:rPr>
        <w:t>GCS</w:t>
      </w:r>
      <w:r>
        <w:rPr>
          <w:rFonts w:hint="eastAsia" w:ascii="宋体" w:hAnsi="宋体"/>
          <w:color w:val="auto"/>
          <w:sz w:val="24"/>
          <w:szCs w:val="24"/>
          <w:highlight w:val="none"/>
        </w:rPr>
        <w:t>）功能。</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ascii="宋体" w:hAnsi="宋体"/>
          <w:color w:val="auto"/>
          <w:sz w:val="24"/>
          <w:szCs w:val="24"/>
          <w:highlight w:val="none"/>
        </w:rPr>
      </w:pPr>
      <w:r>
        <w:rPr>
          <w:rFonts w:hint="eastAsia" w:ascii="宋体" w:hAnsi="宋体"/>
          <w:color w:val="auto"/>
          <w:sz w:val="24"/>
          <w:szCs w:val="24"/>
          <w:highlight w:val="none"/>
        </w:rPr>
        <w:t>★3.1</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、动态</w:t>
      </w:r>
      <w:r>
        <w:rPr>
          <w:rFonts w:ascii="宋体" w:hAnsi="宋体"/>
          <w:color w:val="auto"/>
          <w:sz w:val="24"/>
          <w:szCs w:val="24"/>
          <w:highlight w:val="none"/>
        </w:rPr>
        <w:t>趋势界面可支持统计</w:t>
      </w:r>
      <w:r>
        <w:rPr>
          <w:rFonts w:hint="eastAsia" w:ascii="宋体" w:hAnsi="宋体"/>
          <w:color w:val="auto"/>
          <w:sz w:val="24"/>
          <w:szCs w:val="24"/>
          <w:highlight w:val="none"/>
        </w:rPr>
        <w:t>1-24小</w:t>
      </w:r>
      <w:r>
        <w:rPr>
          <w:rFonts w:ascii="宋体" w:hAnsi="宋体"/>
          <w:color w:val="auto"/>
          <w:sz w:val="24"/>
          <w:szCs w:val="24"/>
          <w:highlight w:val="none"/>
        </w:rPr>
        <w:t>时</w:t>
      </w:r>
      <w:r>
        <w:rPr>
          <w:rFonts w:hint="eastAsia" w:ascii="宋体" w:hAnsi="宋体"/>
          <w:color w:val="auto"/>
          <w:sz w:val="24"/>
          <w:szCs w:val="24"/>
          <w:highlight w:val="none"/>
        </w:rPr>
        <w:t>心</w:t>
      </w:r>
      <w:r>
        <w:rPr>
          <w:rFonts w:ascii="宋体" w:hAnsi="宋体"/>
          <w:color w:val="auto"/>
          <w:sz w:val="24"/>
          <w:szCs w:val="24"/>
          <w:highlight w:val="none"/>
        </w:rPr>
        <w:t>律失常报警、参数超限报警信息，并对</w:t>
      </w:r>
      <w:r>
        <w:rPr>
          <w:rFonts w:hint="eastAsia" w:ascii="宋体" w:hAnsi="宋体"/>
          <w:color w:val="auto"/>
          <w:sz w:val="24"/>
          <w:szCs w:val="24"/>
          <w:highlight w:val="none"/>
        </w:rPr>
        <w:t>超</w:t>
      </w:r>
      <w:r>
        <w:rPr>
          <w:rFonts w:ascii="宋体" w:hAnsi="宋体"/>
          <w:color w:val="auto"/>
          <w:sz w:val="24"/>
          <w:szCs w:val="24"/>
          <w:highlight w:val="none"/>
        </w:rPr>
        <w:t>限报警区间的波形进行高亮显示，</w:t>
      </w:r>
      <w:r>
        <w:rPr>
          <w:rFonts w:hint="eastAsia" w:ascii="宋体" w:hAnsi="宋体"/>
          <w:color w:val="auto"/>
          <w:sz w:val="24"/>
          <w:szCs w:val="24"/>
          <w:highlight w:val="none"/>
        </w:rPr>
        <w:t>帮助</w:t>
      </w:r>
      <w:r>
        <w:rPr>
          <w:rFonts w:ascii="宋体" w:hAnsi="宋体"/>
          <w:color w:val="auto"/>
          <w:sz w:val="24"/>
          <w:szCs w:val="24"/>
          <w:highlight w:val="none"/>
        </w:rPr>
        <w:t>医护人员快速识别异常</w:t>
      </w:r>
      <w:r>
        <w:rPr>
          <w:rFonts w:hint="eastAsia" w:ascii="宋体" w:hAnsi="宋体"/>
          <w:color w:val="auto"/>
          <w:sz w:val="24"/>
          <w:szCs w:val="24"/>
          <w:highlight w:val="none"/>
        </w:rPr>
        <w:t>趋势</w:t>
      </w:r>
      <w:r>
        <w:rPr>
          <w:rFonts w:ascii="宋体" w:hAnsi="宋体"/>
          <w:color w:val="auto"/>
          <w:sz w:val="24"/>
          <w:szCs w:val="24"/>
          <w:highlight w:val="none"/>
        </w:rPr>
        <w:t>信息。</w:t>
      </w:r>
    </w:p>
    <w:p>
      <w:pPr>
        <w:keepNext w:val="0"/>
        <w:keepLines w:val="0"/>
        <w:pageBreakBefore w:val="0"/>
        <w:widowControl w:val="0"/>
        <w:kinsoku/>
        <w:wordWrap/>
        <w:overflowPunct/>
        <w:topLinePunct w:val="0"/>
        <w:bidi w:val="0"/>
        <w:snapToGrid/>
        <w:spacing w:line="460" w:lineRule="exact"/>
        <w:ind w:left="0" w:leftChars="0" w:right="0" w:rightChars="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四、</w:t>
      </w:r>
      <w:r>
        <w:rPr>
          <w:rFonts w:hint="eastAsia" w:ascii="Times New Roman" w:hAnsi="Times New Roman" w:eastAsia="宋体" w:cs="Times New Roman"/>
          <w:b/>
          <w:bCs/>
          <w:color w:val="auto"/>
          <w:sz w:val="24"/>
          <w:szCs w:val="24"/>
          <w:highlight w:val="none"/>
          <w:lang w:val="en-US" w:eastAsia="zh-CN"/>
        </w:rPr>
        <w:t>售后服务</w:t>
      </w:r>
      <w:r>
        <w:rPr>
          <w:rFonts w:hint="eastAsia" w:ascii="Times New Roman" w:hAnsi="Times New Roman" w:cs="Times New Roman"/>
          <w:b/>
          <w:bCs/>
          <w:color w:val="auto"/>
          <w:sz w:val="24"/>
          <w:szCs w:val="24"/>
          <w:highlight w:val="none"/>
          <w:lang w:val="en-US" w:eastAsia="zh-CN"/>
        </w:rPr>
        <w:t>：</w:t>
      </w:r>
    </w:p>
    <w:p>
      <w:pPr>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color w:val="auto"/>
          <w:sz w:val="28"/>
          <w:szCs w:val="28"/>
          <w:highlight w:val="none"/>
        </w:rPr>
      </w:pPr>
      <w:r>
        <w:rPr>
          <w:rFonts w:hint="eastAsia" w:ascii="Times New Roman" w:hAnsi="Times New Roman" w:eastAsia="宋体" w:cs="Times New Roman"/>
          <w:color w:val="auto"/>
          <w:sz w:val="24"/>
          <w:szCs w:val="24"/>
          <w:highlight w:val="none"/>
          <w:lang w:val="en-US" w:eastAsia="zh-CN"/>
        </w:rPr>
        <w:t>乙方应提供整机保修期</w:t>
      </w:r>
      <w:r>
        <w:rPr>
          <w:rFonts w:hint="eastAsia"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年，保修期的期限应以甲乙双方的验收合格之日起计算，保修期内免费更换零配件及免工时费。</w:t>
      </w:r>
    </w:p>
    <w:p>
      <w:pPr>
        <w:pStyle w:val="22"/>
        <w:numPr>
          <w:ilvl w:val="0"/>
          <w:numId w:val="0"/>
        </w:numPr>
        <w:shd w:val="clear" w:color="auto"/>
        <w:spacing w:before="0" w:beforeAutospacing="0" w:after="0" w:afterAutospacing="0" w:line="360" w:lineRule="atLeast"/>
        <w:ind w:leftChars="0"/>
        <w:jc w:val="both"/>
        <w:outlineLvl w:val="2"/>
        <w:rPr>
          <w:rFonts w:hint="eastAsia" w:ascii="宋体" w:hAnsi="宋体" w:cs="宋体"/>
          <w:b/>
          <w:bCs/>
          <w:iCs/>
          <w:color w:val="auto"/>
          <w:sz w:val="28"/>
          <w:szCs w:val="28"/>
          <w:highlight w:val="none"/>
          <w:lang w:val="en-US" w:eastAsia="zh-CN"/>
        </w:rPr>
      </w:pPr>
    </w:p>
    <w:p>
      <w:pPr>
        <w:pStyle w:val="22"/>
        <w:numPr>
          <w:ilvl w:val="0"/>
          <w:numId w:val="10"/>
        </w:numPr>
        <w:shd w:val="clear" w:color="auto"/>
        <w:spacing w:before="0" w:beforeAutospacing="0" w:after="0" w:afterAutospacing="0" w:line="360" w:lineRule="atLeast"/>
        <w:ind w:left="0" w:leftChars="0" w:firstLine="0" w:firstLineChars="0"/>
        <w:jc w:val="center"/>
        <w:outlineLvl w:val="2"/>
        <w:rPr>
          <w:rFonts w:hint="eastAsia" w:ascii="宋体" w:hAnsi="宋体" w:cs="宋体"/>
          <w:b/>
          <w:bCs/>
          <w:iCs/>
          <w:color w:val="auto"/>
          <w:sz w:val="28"/>
          <w:szCs w:val="28"/>
          <w:highlight w:val="none"/>
          <w:lang w:val="en-US" w:eastAsia="zh-CN"/>
        </w:rPr>
      </w:pPr>
      <w:bookmarkStart w:id="1270" w:name="_Toc10048"/>
      <w:r>
        <w:rPr>
          <w:rFonts w:hint="eastAsia" w:ascii="宋体" w:hAnsi="宋体" w:cs="宋体"/>
          <w:b/>
          <w:bCs/>
          <w:iCs/>
          <w:color w:val="auto"/>
          <w:sz w:val="28"/>
          <w:szCs w:val="28"/>
          <w:highlight w:val="none"/>
          <w:lang w:val="en-US" w:eastAsia="zh-CN"/>
        </w:rPr>
        <w:t>双通道注射泵</w:t>
      </w:r>
      <w:bookmarkEnd w:id="1270"/>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一、技术参数：</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双通道为主机一体化设计。每个通道具备独立电源开关，使用时更节能。</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注射精度≤±2% 或0.005mL/h取大者 </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速率范围：0.1-1500ml/h, 最小步进0.1ml/h </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预置输液总量范围：0.1-9999ml </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快进流速范围：0.1-1500ml/h，具有手动快进和自动可选</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KVO：0.1-5ml/h </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双通道注射时，电池工作时间≥3小时5ml/h，可升级至≥6小时5ml/h </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可自动统计四种累计量：24h累计量、最近累计量、自定义时间段累计量、定时间隔累计量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支持注射器规格：5ml、10ml、20ml、30ml、50/60ml；</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具备间断给药模式，通过设置流速、间断输液量、间隔时间和输液总量来控制输液</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具有联机功能，可自动启动第二通道注射，保证临床连续给药功能，维持血药浓度稳定。LCD显示屏，可同屏显示：输注模式、速度、当前注射状态、累计量、预置量、电池状态、报警压力阈值和在线压力等信息；</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无需额外工具或设备，可直接在注射泵上添加注射器品牌名称</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全中文软件操作界面</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在线滴定功能：安全不中断输液而更改速率；</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在线动态压力监测，可实时显示当前压力数值；</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锁屏功能：支持自动锁屏，自动锁屏时间可调</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压力报警阈值可调，最低85mmHg</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信息储存：可存储至少1000条的历史记录</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接口支持RS232数据传输、护士呼叫、DC输入功能</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防异物及进液等级IP34</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分低级、中级、高级三级报警。可实现声光，动画和文字同时报警提示，同时显示具体报警信息；</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可升级无线模块，实现无线联网监测；</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整机重量不超过4kg</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firstLine="405"/>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满足EN1789标准，适合在救护车使用，需提供第三方证明。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二、</w:t>
      </w:r>
      <w:r>
        <w:rPr>
          <w:rFonts w:hint="eastAsia" w:ascii="Times New Roman" w:hAnsi="Times New Roman" w:eastAsia="宋体" w:cs="Times New Roman"/>
          <w:b/>
          <w:bCs/>
          <w:color w:val="auto"/>
          <w:sz w:val="24"/>
          <w:szCs w:val="24"/>
          <w:highlight w:val="none"/>
          <w:lang w:val="en-US" w:eastAsia="zh-CN"/>
        </w:rPr>
        <w:t>售后服务</w:t>
      </w:r>
      <w:r>
        <w:rPr>
          <w:rFonts w:hint="eastAsia" w:ascii="Times New Roman" w:hAnsi="Times New Roman" w:cs="Times New Roman"/>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乙方应提供整机保修期</w:t>
      </w:r>
      <w:r>
        <w:rPr>
          <w:rFonts w:hint="eastAsia"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年，保修期的期限应以甲乙双方的验收合格之日起计算，保修期内免费更换零配件及免工时费。</w:t>
      </w:r>
    </w:p>
    <w:p>
      <w:pPr>
        <w:numPr>
          <w:ilvl w:val="0"/>
          <w:numId w:val="0"/>
        </w:numPr>
        <w:jc w:val="left"/>
        <w:rPr>
          <w:rFonts w:hint="eastAsia" w:asciiTheme="minorEastAsia" w:hAnsiTheme="minorEastAsia" w:eastAsiaTheme="minorEastAsia" w:cstheme="minorEastAsia"/>
          <w:color w:val="auto"/>
          <w:sz w:val="28"/>
          <w:szCs w:val="28"/>
          <w:highlight w:val="none"/>
        </w:rPr>
      </w:pPr>
    </w:p>
    <w:p>
      <w:pPr>
        <w:pStyle w:val="22"/>
        <w:numPr>
          <w:ilvl w:val="0"/>
          <w:numId w:val="10"/>
        </w:numPr>
        <w:shd w:val="clear" w:color="auto"/>
        <w:spacing w:before="0" w:beforeAutospacing="0" w:after="0" w:afterAutospacing="0" w:line="360" w:lineRule="atLeast"/>
        <w:ind w:left="0" w:leftChars="0" w:firstLine="0" w:firstLineChars="0"/>
        <w:jc w:val="center"/>
        <w:outlineLvl w:val="2"/>
        <w:rPr>
          <w:rFonts w:hint="eastAsia" w:ascii="宋体" w:hAnsi="宋体" w:cs="宋体"/>
          <w:b/>
          <w:bCs/>
          <w:iCs/>
          <w:color w:val="auto"/>
          <w:sz w:val="28"/>
          <w:szCs w:val="28"/>
          <w:highlight w:val="none"/>
          <w:lang w:val="en-US" w:eastAsia="zh-CN"/>
        </w:rPr>
      </w:pPr>
      <w:bookmarkStart w:id="1271" w:name="_Toc15597"/>
      <w:r>
        <w:rPr>
          <w:rFonts w:hint="eastAsia" w:ascii="宋体" w:hAnsi="宋体" w:cs="宋体"/>
          <w:b/>
          <w:bCs/>
          <w:iCs/>
          <w:color w:val="auto"/>
          <w:sz w:val="28"/>
          <w:szCs w:val="28"/>
          <w:highlight w:val="none"/>
          <w:lang w:val="en-US" w:eastAsia="zh-CN"/>
        </w:rPr>
        <w:t>输液泵</w:t>
      </w:r>
      <w:bookmarkEnd w:id="1271"/>
    </w:p>
    <w:p>
      <w:pPr>
        <w:pStyle w:val="22"/>
        <w:numPr>
          <w:ilvl w:val="0"/>
          <w:numId w:val="0"/>
        </w:numPr>
        <w:shd w:val="clear" w:color="auto"/>
        <w:spacing w:before="0" w:beforeAutospacing="0" w:after="0" w:afterAutospacing="0" w:line="360" w:lineRule="atLeast"/>
        <w:ind w:leftChars="0"/>
        <w:jc w:val="both"/>
        <w:outlineLvl w:val="9"/>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一、技术</w:t>
      </w:r>
      <w:r>
        <w:rPr>
          <w:rFonts w:hint="eastAsia" w:ascii="宋体" w:hAnsi="宋体" w:eastAsia="宋体" w:cs="宋体"/>
          <w:b/>
          <w:bCs/>
          <w:color w:val="auto"/>
          <w:sz w:val="24"/>
          <w:szCs w:val="24"/>
          <w:highlight w:val="none"/>
          <w:lang w:val="en-US" w:eastAsia="zh-CN"/>
        </w:rPr>
        <w:t>参数</w:t>
      </w:r>
    </w:p>
    <w:p>
      <w:pPr>
        <w:keepNext w:val="0"/>
        <w:keepLines w:val="0"/>
        <w:pageBreakBefore w:val="0"/>
        <w:widowControl w:val="0"/>
        <w:numPr>
          <w:ilvl w:val="0"/>
          <w:numId w:val="20"/>
        </w:numPr>
        <w:kinsoku/>
        <w:wordWrap/>
        <w:overflowPunct/>
        <w:topLinePunct w:val="0"/>
        <w:autoSpaceDE/>
        <w:autoSpaceDN/>
        <w:bidi w:val="0"/>
        <w:adjustRightInd/>
        <w:snapToGrid/>
        <w:spacing w:line="460" w:lineRule="exact"/>
        <w:ind w:left="0"/>
        <w:textAlignment w:val="auto"/>
        <w:rPr>
          <w:rFonts w:hint="eastAsia" w:ascii="宋体" w:hAnsi="宋体"/>
          <w:color w:val="auto"/>
          <w:sz w:val="24"/>
          <w:szCs w:val="24"/>
          <w:highlight w:val="none"/>
        </w:rPr>
      </w:pPr>
      <w:r>
        <w:rPr>
          <w:rFonts w:hint="eastAsia" w:ascii="宋体" w:hAnsi="宋体"/>
          <w:color w:val="auto"/>
          <w:sz w:val="24"/>
          <w:szCs w:val="24"/>
          <w:highlight w:val="none"/>
        </w:rPr>
        <w:t>预置输液总量范围：0.1-9999ml</w:t>
      </w:r>
    </w:p>
    <w:p>
      <w:pPr>
        <w:keepNext w:val="0"/>
        <w:keepLines w:val="0"/>
        <w:pageBreakBefore w:val="0"/>
        <w:widowControl w:val="0"/>
        <w:numPr>
          <w:ilvl w:val="0"/>
          <w:numId w:val="20"/>
        </w:numPr>
        <w:kinsoku/>
        <w:wordWrap/>
        <w:overflowPunct/>
        <w:topLinePunct w:val="0"/>
        <w:autoSpaceDE/>
        <w:autoSpaceDN/>
        <w:bidi w:val="0"/>
        <w:adjustRightInd/>
        <w:snapToGrid/>
        <w:spacing w:line="460" w:lineRule="exact"/>
        <w:ind w:left="0"/>
        <w:textAlignment w:val="auto"/>
        <w:rPr>
          <w:rFonts w:hint="eastAsia" w:ascii="宋体" w:hAnsi="宋体"/>
          <w:color w:val="auto"/>
          <w:sz w:val="24"/>
          <w:szCs w:val="24"/>
          <w:highlight w:val="none"/>
        </w:rPr>
      </w:pPr>
      <w:r>
        <w:rPr>
          <w:rFonts w:hint="eastAsia" w:ascii="宋体" w:hAnsi="宋体"/>
          <w:color w:val="auto"/>
          <w:sz w:val="24"/>
          <w:szCs w:val="24"/>
          <w:highlight w:val="none"/>
        </w:rPr>
        <w:t>屏幕不小于2.4英寸，同屏显示：速度、当前注射状态、累计量、电池状态、报警压力档位和在线压力等信息；</w:t>
      </w:r>
    </w:p>
    <w:p>
      <w:pPr>
        <w:keepNext w:val="0"/>
        <w:keepLines w:val="0"/>
        <w:pageBreakBefore w:val="0"/>
        <w:widowControl w:val="0"/>
        <w:numPr>
          <w:ilvl w:val="0"/>
          <w:numId w:val="20"/>
        </w:numPr>
        <w:kinsoku/>
        <w:wordWrap/>
        <w:overflowPunct/>
        <w:topLinePunct w:val="0"/>
        <w:autoSpaceDE/>
        <w:autoSpaceDN/>
        <w:bidi w:val="0"/>
        <w:adjustRightInd/>
        <w:snapToGrid/>
        <w:spacing w:line="460" w:lineRule="exact"/>
        <w:ind w:left="0"/>
        <w:textAlignment w:val="auto"/>
        <w:rPr>
          <w:rFonts w:hint="eastAsia" w:ascii="宋体" w:hAnsi="宋体"/>
          <w:color w:val="auto"/>
          <w:sz w:val="24"/>
          <w:szCs w:val="24"/>
          <w:highlight w:val="none"/>
        </w:rPr>
      </w:pPr>
      <w:r>
        <w:rPr>
          <w:rFonts w:hint="eastAsia" w:ascii="宋体" w:hAnsi="宋体"/>
          <w:color w:val="auto"/>
          <w:sz w:val="24"/>
          <w:szCs w:val="24"/>
          <w:highlight w:val="none"/>
        </w:rPr>
        <w:t>锁屏功能：支持自动锁屏，自动锁屏时间可调</w:t>
      </w:r>
      <w:r>
        <w:rPr>
          <w:rFonts w:hint="eastAsia" w:ascii="宋体" w:hAnsi="宋体"/>
          <w:color w:val="auto"/>
          <w:sz w:val="24"/>
          <w:szCs w:val="24"/>
          <w:highlight w:val="none"/>
          <w:lang w:eastAsia="zh-CN"/>
        </w:rPr>
        <w:t>；</w:t>
      </w:r>
    </w:p>
    <w:p>
      <w:pPr>
        <w:keepNext w:val="0"/>
        <w:keepLines w:val="0"/>
        <w:pageBreakBefore w:val="0"/>
        <w:widowControl w:val="0"/>
        <w:numPr>
          <w:ilvl w:val="0"/>
          <w:numId w:val="20"/>
        </w:numPr>
        <w:kinsoku/>
        <w:wordWrap/>
        <w:overflowPunct/>
        <w:topLinePunct w:val="0"/>
        <w:autoSpaceDE/>
        <w:autoSpaceDN/>
        <w:bidi w:val="0"/>
        <w:adjustRightInd/>
        <w:snapToGrid/>
        <w:spacing w:line="460" w:lineRule="exact"/>
        <w:ind w:left="0"/>
        <w:textAlignment w:val="auto"/>
        <w:rPr>
          <w:rFonts w:hint="eastAsia" w:ascii="宋体" w:hAnsi="宋体"/>
          <w:color w:val="auto"/>
          <w:sz w:val="24"/>
          <w:szCs w:val="24"/>
          <w:highlight w:val="none"/>
        </w:rPr>
      </w:pPr>
      <w:r>
        <w:rPr>
          <w:rFonts w:hint="eastAsia" w:ascii="宋体" w:hAnsi="宋体"/>
          <w:color w:val="auto"/>
          <w:sz w:val="24"/>
          <w:szCs w:val="24"/>
          <w:highlight w:val="none"/>
        </w:rPr>
        <w:t>在线滴定功能：输液过程中无需中断更改速率；</w:t>
      </w:r>
    </w:p>
    <w:p>
      <w:pPr>
        <w:keepNext w:val="0"/>
        <w:keepLines w:val="0"/>
        <w:pageBreakBefore w:val="0"/>
        <w:widowControl w:val="0"/>
        <w:numPr>
          <w:ilvl w:val="0"/>
          <w:numId w:val="20"/>
        </w:numPr>
        <w:kinsoku/>
        <w:wordWrap/>
        <w:overflowPunct/>
        <w:topLinePunct w:val="0"/>
        <w:autoSpaceDE/>
        <w:autoSpaceDN/>
        <w:bidi w:val="0"/>
        <w:adjustRightInd/>
        <w:snapToGrid/>
        <w:spacing w:line="460" w:lineRule="exact"/>
        <w:ind w:left="0"/>
        <w:textAlignment w:val="auto"/>
        <w:rPr>
          <w:rFonts w:hint="eastAsia" w:ascii="宋体" w:hAnsi="宋体"/>
          <w:color w:val="auto"/>
          <w:sz w:val="24"/>
          <w:szCs w:val="24"/>
          <w:highlight w:val="none"/>
        </w:rPr>
      </w:pPr>
      <w:r>
        <w:rPr>
          <w:rFonts w:hint="eastAsia" w:ascii="宋体" w:hAnsi="宋体"/>
          <w:color w:val="auto"/>
          <w:sz w:val="24"/>
          <w:szCs w:val="24"/>
          <w:highlight w:val="none"/>
        </w:rPr>
        <w:t>分低级、中级、高级三级报警。可实现声光报警提示，同时显示具体报警信息；</w:t>
      </w:r>
    </w:p>
    <w:p>
      <w:pPr>
        <w:keepNext w:val="0"/>
        <w:keepLines w:val="0"/>
        <w:pageBreakBefore w:val="0"/>
        <w:widowControl w:val="0"/>
        <w:numPr>
          <w:ilvl w:val="0"/>
          <w:numId w:val="20"/>
        </w:numPr>
        <w:kinsoku/>
        <w:wordWrap/>
        <w:overflowPunct/>
        <w:topLinePunct w:val="0"/>
        <w:autoSpaceDE/>
        <w:autoSpaceDN/>
        <w:bidi w:val="0"/>
        <w:adjustRightInd/>
        <w:snapToGrid/>
        <w:spacing w:line="460" w:lineRule="exact"/>
        <w:ind w:left="0"/>
        <w:textAlignment w:val="auto"/>
        <w:rPr>
          <w:rFonts w:hint="eastAsia" w:ascii="宋体" w:hAnsi="宋体"/>
          <w:color w:val="auto"/>
          <w:sz w:val="24"/>
          <w:szCs w:val="24"/>
          <w:highlight w:val="none"/>
        </w:rPr>
      </w:pPr>
      <w:r>
        <w:rPr>
          <w:rFonts w:hint="eastAsia" w:ascii="宋体" w:hAnsi="宋体"/>
          <w:color w:val="auto"/>
          <w:sz w:val="24"/>
          <w:szCs w:val="24"/>
          <w:highlight w:val="none"/>
        </w:rPr>
        <w:t>在线动态压力监测，可实时显示当前压力数值；</w:t>
      </w:r>
    </w:p>
    <w:p>
      <w:pPr>
        <w:keepNext w:val="0"/>
        <w:keepLines w:val="0"/>
        <w:pageBreakBefore w:val="0"/>
        <w:widowControl w:val="0"/>
        <w:numPr>
          <w:ilvl w:val="0"/>
          <w:numId w:val="20"/>
        </w:numPr>
        <w:kinsoku/>
        <w:wordWrap/>
        <w:overflowPunct/>
        <w:topLinePunct w:val="0"/>
        <w:autoSpaceDE/>
        <w:autoSpaceDN/>
        <w:bidi w:val="0"/>
        <w:adjustRightInd/>
        <w:snapToGrid/>
        <w:spacing w:line="460" w:lineRule="exact"/>
        <w:ind w:left="0"/>
        <w:textAlignment w:val="auto"/>
        <w:rPr>
          <w:rFonts w:hint="eastAsia" w:ascii="宋体" w:hAnsi="宋体"/>
          <w:color w:val="auto"/>
          <w:sz w:val="24"/>
          <w:szCs w:val="24"/>
          <w:highlight w:val="none"/>
        </w:rPr>
      </w:pPr>
      <w:r>
        <w:rPr>
          <w:rFonts w:hint="eastAsia" w:ascii="宋体" w:hAnsi="宋体"/>
          <w:color w:val="auto"/>
          <w:sz w:val="24"/>
          <w:szCs w:val="24"/>
          <w:highlight w:val="none"/>
        </w:rPr>
        <w:t>快进流速范围：0.1-1450ml/h</w:t>
      </w:r>
      <w:r>
        <w:rPr>
          <w:rFonts w:hint="eastAsia" w:ascii="宋体" w:hAnsi="宋体"/>
          <w:color w:val="auto"/>
          <w:sz w:val="24"/>
          <w:szCs w:val="24"/>
          <w:highlight w:val="none"/>
          <w:lang w:eastAsia="zh-CN"/>
        </w:rPr>
        <w:t>；</w:t>
      </w:r>
    </w:p>
    <w:p>
      <w:pPr>
        <w:keepNext w:val="0"/>
        <w:keepLines w:val="0"/>
        <w:pageBreakBefore w:val="0"/>
        <w:widowControl w:val="0"/>
        <w:numPr>
          <w:ilvl w:val="0"/>
          <w:numId w:val="20"/>
        </w:numPr>
        <w:kinsoku/>
        <w:wordWrap/>
        <w:overflowPunct/>
        <w:topLinePunct w:val="0"/>
        <w:autoSpaceDE/>
        <w:autoSpaceDN/>
        <w:bidi w:val="0"/>
        <w:adjustRightInd/>
        <w:snapToGrid/>
        <w:spacing w:line="460" w:lineRule="exact"/>
        <w:ind w:left="0"/>
        <w:textAlignment w:val="auto"/>
        <w:rPr>
          <w:rFonts w:hint="eastAsia" w:ascii="宋体" w:hAnsi="宋体"/>
          <w:color w:val="auto"/>
          <w:sz w:val="24"/>
          <w:szCs w:val="24"/>
          <w:highlight w:val="none"/>
        </w:rPr>
      </w:pPr>
      <w:r>
        <w:rPr>
          <w:rFonts w:hint="eastAsia" w:ascii="宋体" w:hAnsi="宋体"/>
          <w:color w:val="auto"/>
          <w:sz w:val="24"/>
          <w:szCs w:val="24"/>
          <w:highlight w:val="none"/>
        </w:rPr>
        <w:t>压力报警阈值可调，最低150mmHg</w:t>
      </w:r>
      <w:r>
        <w:rPr>
          <w:rFonts w:hint="eastAsia" w:ascii="宋体" w:hAnsi="宋体"/>
          <w:color w:val="auto"/>
          <w:sz w:val="24"/>
          <w:szCs w:val="24"/>
          <w:highlight w:val="none"/>
          <w:lang w:eastAsia="zh-CN"/>
        </w:rPr>
        <w:t>；</w:t>
      </w:r>
    </w:p>
    <w:p>
      <w:pPr>
        <w:keepNext w:val="0"/>
        <w:keepLines w:val="0"/>
        <w:pageBreakBefore w:val="0"/>
        <w:widowControl w:val="0"/>
        <w:numPr>
          <w:ilvl w:val="0"/>
          <w:numId w:val="20"/>
        </w:numPr>
        <w:kinsoku/>
        <w:wordWrap/>
        <w:overflowPunct/>
        <w:topLinePunct w:val="0"/>
        <w:autoSpaceDE/>
        <w:autoSpaceDN/>
        <w:bidi w:val="0"/>
        <w:adjustRightInd/>
        <w:snapToGrid/>
        <w:spacing w:line="460" w:lineRule="exact"/>
        <w:ind w:left="0"/>
        <w:textAlignment w:val="auto"/>
        <w:rPr>
          <w:rFonts w:hint="eastAsia" w:ascii="宋体" w:hAnsi="宋体"/>
          <w:color w:val="auto"/>
          <w:sz w:val="24"/>
          <w:szCs w:val="24"/>
          <w:highlight w:val="none"/>
        </w:rPr>
      </w:pPr>
      <w:r>
        <w:rPr>
          <w:rFonts w:hint="eastAsia" w:ascii="宋体" w:hAnsi="宋体"/>
          <w:color w:val="auto"/>
          <w:sz w:val="24"/>
          <w:szCs w:val="24"/>
          <w:highlight w:val="none"/>
        </w:rPr>
        <w:t>电池工作时间≥3小时25ml/h；可升级至≥7小时25ml/h</w:t>
      </w:r>
      <w:r>
        <w:rPr>
          <w:rFonts w:hint="eastAsia" w:ascii="宋体" w:hAnsi="宋体"/>
          <w:color w:val="auto"/>
          <w:sz w:val="24"/>
          <w:szCs w:val="24"/>
          <w:highlight w:val="none"/>
          <w:lang w:eastAsia="zh-CN"/>
        </w:rPr>
        <w:t>；</w:t>
      </w:r>
    </w:p>
    <w:p>
      <w:pPr>
        <w:keepNext w:val="0"/>
        <w:keepLines w:val="0"/>
        <w:pageBreakBefore w:val="0"/>
        <w:widowControl w:val="0"/>
        <w:numPr>
          <w:ilvl w:val="0"/>
          <w:numId w:val="20"/>
        </w:numPr>
        <w:kinsoku/>
        <w:wordWrap/>
        <w:overflowPunct/>
        <w:topLinePunct w:val="0"/>
        <w:autoSpaceDE/>
        <w:autoSpaceDN/>
        <w:bidi w:val="0"/>
        <w:adjustRightInd/>
        <w:snapToGrid/>
        <w:spacing w:line="460" w:lineRule="exact"/>
        <w:ind w:left="0"/>
        <w:textAlignment w:val="auto"/>
        <w:rPr>
          <w:rFonts w:hint="eastAsia" w:ascii="宋体" w:hAnsi="宋体"/>
          <w:color w:val="auto"/>
          <w:sz w:val="24"/>
          <w:szCs w:val="24"/>
          <w:highlight w:val="none"/>
        </w:rPr>
      </w:pPr>
      <w:r>
        <w:rPr>
          <w:rFonts w:hint="eastAsia" w:ascii="宋体" w:hAnsi="宋体"/>
          <w:color w:val="auto"/>
          <w:sz w:val="24"/>
          <w:szCs w:val="24"/>
          <w:highlight w:val="none"/>
        </w:rPr>
        <w:t>防进液等级IPX4</w:t>
      </w:r>
      <w:r>
        <w:rPr>
          <w:rFonts w:hint="eastAsia" w:ascii="宋体" w:hAnsi="宋体"/>
          <w:color w:val="auto"/>
          <w:sz w:val="24"/>
          <w:szCs w:val="24"/>
          <w:highlight w:val="none"/>
          <w:lang w:eastAsia="zh-CN"/>
        </w:rPr>
        <w:t>；</w:t>
      </w:r>
    </w:p>
    <w:p>
      <w:pPr>
        <w:keepNext w:val="0"/>
        <w:keepLines w:val="0"/>
        <w:pageBreakBefore w:val="0"/>
        <w:widowControl w:val="0"/>
        <w:numPr>
          <w:ilvl w:val="0"/>
          <w:numId w:val="20"/>
        </w:numPr>
        <w:kinsoku/>
        <w:wordWrap/>
        <w:overflowPunct/>
        <w:topLinePunct w:val="0"/>
        <w:autoSpaceDE/>
        <w:autoSpaceDN/>
        <w:bidi w:val="0"/>
        <w:adjustRightInd/>
        <w:snapToGrid/>
        <w:spacing w:line="460" w:lineRule="exact"/>
        <w:ind w:left="0"/>
        <w:textAlignment w:val="auto"/>
        <w:rPr>
          <w:rFonts w:hint="eastAsia" w:ascii="宋体" w:hAnsi="宋体"/>
          <w:color w:val="auto"/>
          <w:sz w:val="24"/>
          <w:szCs w:val="24"/>
          <w:highlight w:val="none"/>
        </w:rPr>
      </w:pPr>
      <w:r>
        <w:rPr>
          <w:rFonts w:hint="eastAsia" w:ascii="宋体" w:hAnsi="宋体"/>
          <w:color w:val="auto"/>
          <w:sz w:val="24"/>
          <w:szCs w:val="24"/>
          <w:highlight w:val="none"/>
        </w:rPr>
        <w:t>可升级无线模块，实现无线联网监测；</w:t>
      </w:r>
    </w:p>
    <w:p>
      <w:pPr>
        <w:keepNext w:val="0"/>
        <w:keepLines w:val="0"/>
        <w:pageBreakBefore w:val="0"/>
        <w:widowControl w:val="0"/>
        <w:numPr>
          <w:ilvl w:val="0"/>
          <w:numId w:val="20"/>
        </w:numPr>
        <w:kinsoku/>
        <w:wordWrap/>
        <w:overflowPunct/>
        <w:topLinePunct w:val="0"/>
        <w:autoSpaceDE/>
        <w:autoSpaceDN/>
        <w:bidi w:val="0"/>
        <w:adjustRightInd/>
        <w:snapToGrid/>
        <w:spacing w:line="460" w:lineRule="exact"/>
        <w:ind w:left="0"/>
        <w:textAlignment w:val="auto"/>
        <w:rPr>
          <w:rFonts w:hint="eastAsia" w:ascii="宋体" w:hAnsi="宋体"/>
          <w:color w:val="auto"/>
          <w:sz w:val="24"/>
          <w:szCs w:val="24"/>
          <w:highlight w:val="none"/>
        </w:rPr>
      </w:pPr>
      <w:r>
        <w:rPr>
          <w:rFonts w:hint="eastAsia" w:ascii="宋体" w:hAnsi="宋体"/>
          <w:color w:val="auto"/>
          <w:sz w:val="24"/>
          <w:szCs w:val="24"/>
          <w:highlight w:val="none"/>
        </w:rPr>
        <w:t>输液精度≤±5%</w:t>
      </w:r>
      <w:r>
        <w:rPr>
          <w:rFonts w:hint="eastAsia" w:ascii="宋体" w:hAnsi="宋体"/>
          <w:color w:val="auto"/>
          <w:sz w:val="24"/>
          <w:szCs w:val="24"/>
          <w:highlight w:val="none"/>
          <w:lang w:eastAsia="zh-CN"/>
        </w:rPr>
        <w:t>；</w:t>
      </w:r>
    </w:p>
    <w:p>
      <w:pPr>
        <w:keepNext w:val="0"/>
        <w:keepLines w:val="0"/>
        <w:pageBreakBefore w:val="0"/>
        <w:widowControl w:val="0"/>
        <w:numPr>
          <w:ilvl w:val="0"/>
          <w:numId w:val="20"/>
        </w:numPr>
        <w:kinsoku/>
        <w:wordWrap/>
        <w:overflowPunct/>
        <w:topLinePunct w:val="0"/>
        <w:autoSpaceDE/>
        <w:autoSpaceDN/>
        <w:bidi w:val="0"/>
        <w:adjustRightInd/>
        <w:snapToGrid/>
        <w:spacing w:line="460" w:lineRule="exact"/>
        <w:ind w:left="0"/>
        <w:textAlignment w:val="auto"/>
        <w:rPr>
          <w:rFonts w:hint="eastAsia" w:ascii="宋体" w:hAnsi="宋体"/>
          <w:color w:val="auto"/>
          <w:sz w:val="24"/>
          <w:szCs w:val="24"/>
          <w:highlight w:val="none"/>
        </w:rPr>
      </w:pPr>
      <w:r>
        <w:rPr>
          <w:rFonts w:hint="eastAsia" w:ascii="宋体" w:hAnsi="宋体"/>
          <w:color w:val="auto"/>
          <w:sz w:val="24"/>
          <w:szCs w:val="24"/>
          <w:highlight w:val="none"/>
        </w:rPr>
        <w:t>速率范围：0.1-1450ml/h, 最小步进0.1ml/h</w:t>
      </w:r>
      <w:r>
        <w:rPr>
          <w:rFonts w:hint="eastAsia" w:ascii="宋体" w:hAnsi="宋体"/>
          <w:color w:val="auto"/>
          <w:sz w:val="24"/>
          <w:szCs w:val="24"/>
          <w:highlight w:val="none"/>
          <w:lang w:eastAsia="zh-CN"/>
        </w:rPr>
        <w:t>；</w:t>
      </w:r>
    </w:p>
    <w:p>
      <w:pPr>
        <w:keepNext w:val="0"/>
        <w:keepLines w:val="0"/>
        <w:pageBreakBefore w:val="0"/>
        <w:widowControl w:val="0"/>
        <w:numPr>
          <w:ilvl w:val="0"/>
          <w:numId w:val="20"/>
        </w:numPr>
        <w:kinsoku/>
        <w:wordWrap/>
        <w:overflowPunct/>
        <w:topLinePunct w:val="0"/>
        <w:autoSpaceDE/>
        <w:autoSpaceDN/>
        <w:bidi w:val="0"/>
        <w:adjustRightInd/>
        <w:snapToGrid/>
        <w:spacing w:line="460" w:lineRule="exact"/>
        <w:ind w:left="0"/>
        <w:textAlignment w:val="auto"/>
        <w:rPr>
          <w:rFonts w:hint="eastAsia" w:ascii="宋体" w:hAnsi="宋体"/>
          <w:color w:val="auto"/>
          <w:sz w:val="24"/>
          <w:szCs w:val="24"/>
          <w:highlight w:val="none"/>
        </w:rPr>
      </w:pPr>
      <w:r>
        <w:rPr>
          <w:rFonts w:hint="eastAsia" w:ascii="宋体" w:hAnsi="宋体"/>
          <w:color w:val="auto"/>
          <w:sz w:val="24"/>
          <w:szCs w:val="24"/>
          <w:highlight w:val="none"/>
        </w:rPr>
        <w:t>泵片用防水膜保护，防止药液进入机器内部，便于清洁和消毒</w:t>
      </w:r>
      <w:r>
        <w:rPr>
          <w:rFonts w:hint="eastAsia" w:ascii="宋体" w:hAnsi="宋体"/>
          <w:color w:val="auto"/>
          <w:sz w:val="24"/>
          <w:szCs w:val="24"/>
          <w:highlight w:val="none"/>
          <w:lang w:eastAsia="zh-CN"/>
        </w:rPr>
        <w:t>；</w:t>
      </w:r>
    </w:p>
    <w:p>
      <w:pPr>
        <w:keepNext w:val="0"/>
        <w:keepLines w:val="0"/>
        <w:pageBreakBefore w:val="0"/>
        <w:widowControl w:val="0"/>
        <w:numPr>
          <w:ilvl w:val="0"/>
          <w:numId w:val="20"/>
        </w:numPr>
        <w:kinsoku/>
        <w:wordWrap/>
        <w:overflowPunct/>
        <w:topLinePunct w:val="0"/>
        <w:autoSpaceDE/>
        <w:autoSpaceDN/>
        <w:bidi w:val="0"/>
        <w:adjustRightInd/>
        <w:snapToGrid/>
        <w:spacing w:line="460" w:lineRule="exact"/>
        <w:ind w:left="0"/>
        <w:textAlignment w:val="auto"/>
        <w:rPr>
          <w:rFonts w:hint="eastAsia" w:ascii="宋体" w:hAnsi="宋体"/>
          <w:color w:val="auto"/>
          <w:sz w:val="24"/>
          <w:szCs w:val="24"/>
          <w:highlight w:val="none"/>
        </w:rPr>
      </w:pPr>
      <w:r>
        <w:rPr>
          <w:rFonts w:hint="eastAsia" w:ascii="宋体" w:hAnsi="宋体"/>
          <w:color w:val="auto"/>
          <w:sz w:val="24"/>
          <w:szCs w:val="24"/>
          <w:highlight w:val="none"/>
        </w:rPr>
        <w:t>接口支持RS232数据传输、护士呼叫</w:t>
      </w:r>
      <w:r>
        <w:rPr>
          <w:rFonts w:hint="eastAsia" w:ascii="宋体" w:hAnsi="宋体"/>
          <w:color w:val="auto"/>
          <w:sz w:val="24"/>
          <w:szCs w:val="24"/>
          <w:highlight w:val="none"/>
          <w:lang w:eastAsia="zh-CN"/>
        </w:rPr>
        <w:t>；</w:t>
      </w:r>
    </w:p>
    <w:p>
      <w:pPr>
        <w:keepNext w:val="0"/>
        <w:keepLines w:val="0"/>
        <w:pageBreakBefore w:val="0"/>
        <w:widowControl w:val="0"/>
        <w:numPr>
          <w:ilvl w:val="0"/>
          <w:numId w:val="20"/>
        </w:numPr>
        <w:kinsoku/>
        <w:wordWrap/>
        <w:overflowPunct/>
        <w:topLinePunct w:val="0"/>
        <w:autoSpaceDE/>
        <w:autoSpaceDN/>
        <w:bidi w:val="0"/>
        <w:adjustRightInd/>
        <w:snapToGrid/>
        <w:spacing w:line="460" w:lineRule="exact"/>
        <w:ind w:left="0"/>
        <w:textAlignment w:val="auto"/>
        <w:rPr>
          <w:rFonts w:hint="eastAsia" w:ascii="宋体" w:hAnsi="宋体"/>
          <w:color w:val="auto"/>
          <w:sz w:val="24"/>
          <w:szCs w:val="24"/>
          <w:highlight w:val="none"/>
        </w:rPr>
      </w:pPr>
      <w:r>
        <w:rPr>
          <w:rFonts w:hint="eastAsia" w:ascii="宋体" w:hAnsi="宋体"/>
          <w:color w:val="auto"/>
          <w:sz w:val="24"/>
          <w:szCs w:val="24"/>
          <w:highlight w:val="none"/>
        </w:rPr>
        <w:t>整机重量不超过2.5kg，主机自带提手，方便携带</w:t>
      </w:r>
      <w:r>
        <w:rPr>
          <w:rFonts w:hint="eastAsia" w:ascii="宋体" w:hAnsi="宋体"/>
          <w:color w:val="auto"/>
          <w:sz w:val="24"/>
          <w:szCs w:val="24"/>
          <w:highlight w:val="none"/>
          <w:lang w:eastAsia="zh-CN"/>
        </w:rPr>
        <w:t>；</w:t>
      </w:r>
    </w:p>
    <w:p>
      <w:pPr>
        <w:keepNext w:val="0"/>
        <w:keepLines w:val="0"/>
        <w:pageBreakBefore w:val="0"/>
        <w:widowControl w:val="0"/>
        <w:numPr>
          <w:ilvl w:val="0"/>
          <w:numId w:val="20"/>
        </w:numPr>
        <w:kinsoku/>
        <w:wordWrap/>
        <w:overflowPunct/>
        <w:topLinePunct w:val="0"/>
        <w:autoSpaceDE/>
        <w:autoSpaceDN/>
        <w:bidi w:val="0"/>
        <w:adjustRightInd/>
        <w:snapToGrid/>
        <w:spacing w:line="460" w:lineRule="exact"/>
        <w:ind w:left="0"/>
        <w:textAlignment w:val="auto"/>
        <w:rPr>
          <w:rFonts w:hint="eastAsia" w:ascii="宋体" w:hAnsi="宋体"/>
          <w:color w:val="auto"/>
          <w:sz w:val="24"/>
          <w:szCs w:val="24"/>
          <w:highlight w:val="none"/>
        </w:rPr>
      </w:pPr>
      <w:r>
        <w:rPr>
          <w:rFonts w:hint="eastAsia" w:ascii="宋体" w:hAnsi="宋体"/>
          <w:color w:val="auto"/>
          <w:sz w:val="24"/>
          <w:szCs w:val="24"/>
          <w:highlight w:val="none"/>
        </w:rPr>
        <w:t>满足EN1789标准，适合在救护车使用。</w:t>
      </w:r>
    </w:p>
    <w:p>
      <w:pPr>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二、配置要求：</w:t>
      </w:r>
    </w:p>
    <w:p>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输液</w:t>
      </w:r>
      <w:r>
        <w:rPr>
          <w:rFonts w:hint="eastAsia" w:eastAsia="宋体" w:cs="Times New Roman"/>
          <w:color w:val="auto"/>
          <w:sz w:val="24"/>
          <w:szCs w:val="24"/>
          <w:highlight w:val="none"/>
          <w:lang w:val="en-US" w:eastAsia="zh-CN"/>
        </w:rPr>
        <w:t>泵</w:t>
      </w:r>
      <w:r>
        <w:rPr>
          <w:rFonts w:hint="eastAsia" w:ascii="Times New Roman" w:hAnsi="Times New Roman" w:eastAsia="宋体" w:cs="Times New Roman"/>
          <w:color w:val="auto"/>
          <w:sz w:val="24"/>
          <w:szCs w:val="24"/>
          <w:highlight w:val="none"/>
          <w:lang w:val="en-US" w:eastAsia="zh-CN"/>
        </w:rPr>
        <w:t>架</w:t>
      </w:r>
      <w:r>
        <w:rPr>
          <w:rFonts w:hint="eastAsia" w:cs="Times New Roman"/>
          <w:color w:val="auto"/>
          <w:sz w:val="24"/>
          <w:szCs w:val="24"/>
          <w:highlight w:val="none"/>
          <w:lang w:val="en-US" w:eastAsia="zh-CN"/>
        </w:rPr>
        <w:t>（带轮子）   一个</w:t>
      </w:r>
    </w:p>
    <w:p>
      <w:pPr>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三、</w:t>
      </w:r>
      <w:r>
        <w:rPr>
          <w:rFonts w:hint="eastAsia" w:ascii="Times New Roman" w:hAnsi="Times New Roman" w:eastAsia="宋体" w:cs="Times New Roman"/>
          <w:b/>
          <w:bCs/>
          <w:color w:val="auto"/>
          <w:sz w:val="24"/>
          <w:szCs w:val="24"/>
          <w:highlight w:val="none"/>
          <w:lang w:val="en-US" w:eastAsia="zh-CN"/>
        </w:rPr>
        <w:t>售后服务</w:t>
      </w:r>
      <w:r>
        <w:rPr>
          <w:rFonts w:hint="eastAsia" w:ascii="Times New Roman" w:hAnsi="Times New Roman" w:cs="Times New Roman"/>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乙方应提供整机保修期</w:t>
      </w:r>
      <w:r>
        <w:rPr>
          <w:rFonts w:hint="eastAsia"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年，保修期的期限应以甲乙双方的验收合格之日起计算，保修期内免费更换零配件及免工时费。</w:t>
      </w:r>
    </w:p>
    <w:p>
      <w:pPr>
        <w:rPr>
          <w:rFonts w:hint="eastAsia" w:ascii="宋体" w:hAnsi="宋体" w:eastAsia="宋体" w:cs="宋体"/>
          <w:color w:val="auto"/>
          <w:sz w:val="28"/>
          <w:szCs w:val="28"/>
          <w:highlight w:val="none"/>
        </w:rPr>
      </w:pPr>
    </w:p>
    <w:p>
      <w:pPr>
        <w:rPr>
          <w:color w:val="auto"/>
          <w:highlight w:val="none"/>
        </w:rPr>
      </w:pPr>
    </w:p>
    <w:p>
      <w:pPr>
        <w:rPr>
          <w:color w:val="auto"/>
          <w:highlight w:val="none"/>
        </w:rPr>
      </w:pPr>
    </w:p>
    <w:p>
      <w:pPr>
        <w:outlineLvl w:val="1"/>
        <w:rPr>
          <w:rFonts w:hint="eastAsia" w:ascii="宋体" w:hAnsi="宋体" w:eastAsia="宋体" w:cs="宋体"/>
          <w:b/>
          <w:bCs/>
          <w:i w:val="0"/>
          <w:caps w:val="0"/>
          <w:color w:val="auto"/>
          <w:spacing w:val="0"/>
          <w:w w:val="100"/>
          <w:kern w:val="0"/>
          <w:sz w:val="28"/>
          <w:szCs w:val="28"/>
          <w:highlight w:val="none"/>
          <w:lang w:val="en-US" w:eastAsia="zh-CN" w:bidi="ar-SA"/>
        </w:rPr>
      </w:pPr>
      <w:bookmarkStart w:id="1272" w:name="_Toc24744"/>
      <w:bookmarkStart w:id="1273" w:name="_Toc31881"/>
      <w:r>
        <w:rPr>
          <w:rFonts w:hint="eastAsia" w:ascii="宋体" w:hAnsi="宋体" w:eastAsia="宋体" w:cs="宋体"/>
          <w:b/>
          <w:bCs/>
          <w:i w:val="0"/>
          <w:caps w:val="0"/>
          <w:color w:val="auto"/>
          <w:spacing w:val="0"/>
          <w:w w:val="100"/>
          <w:kern w:val="0"/>
          <w:sz w:val="28"/>
          <w:szCs w:val="28"/>
          <w:highlight w:val="none"/>
          <w:lang w:val="en-US" w:eastAsia="zh-CN" w:bidi="ar-SA"/>
        </w:rPr>
        <w:t>二、项目要求</w:t>
      </w:r>
      <w:bookmarkEnd w:id="1199"/>
      <w:bookmarkEnd w:id="1200"/>
      <w:bookmarkEnd w:id="1201"/>
      <w:bookmarkEnd w:id="1202"/>
      <w:bookmarkEnd w:id="1203"/>
      <w:bookmarkEnd w:id="1204"/>
      <w:bookmarkEnd w:id="1205"/>
      <w:bookmarkEnd w:id="1206"/>
      <w:bookmarkEnd w:id="1272"/>
      <w:bookmarkEnd w:id="1273"/>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（一）设备性能要求</w:t>
      </w:r>
    </w:p>
    <w:p>
      <w:pPr>
        <w:pStyle w:val="2"/>
        <w:keepNext w:val="0"/>
        <w:keepLines w:val="0"/>
        <w:pageBreakBefore w:val="0"/>
        <w:kinsoku/>
        <w:wordWrap/>
        <w:overflowPunct/>
        <w:topLinePunct w:val="0"/>
        <w:autoSpaceDE/>
        <w:autoSpaceDN/>
        <w:bidi w:val="0"/>
        <w:adjustRightInd/>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i w:val="0"/>
          <w:caps w:val="0"/>
          <w:color w:val="auto"/>
          <w:spacing w:val="0"/>
          <w:w w:val="100"/>
          <w:sz w:val="24"/>
          <w:szCs w:val="24"/>
          <w:highlight w:val="none"/>
          <w:lang w:val="en-US" w:eastAsia="zh-CN"/>
        </w:rPr>
        <w:t>1、</w:t>
      </w:r>
      <w:r>
        <w:rPr>
          <w:rFonts w:hint="eastAsia" w:ascii="宋体" w:hAnsi="宋体" w:eastAsia="宋体" w:cs="宋体"/>
          <w:color w:val="auto"/>
          <w:kern w:val="2"/>
          <w:sz w:val="24"/>
          <w:szCs w:val="24"/>
          <w:highlight w:val="none"/>
          <w:lang w:val="en-US" w:eastAsia="zh-CN" w:bidi="ar-SA"/>
        </w:rPr>
        <w:t>本项目技术参数均为公共参数，无指向性，</w:t>
      </w:r>
      <w:r>
        <w:rPr>
          <w:rFonts w:hint="eastAsia" w:ascii="宋体" w:hAnsi="宋体" w:cs="宋体"/>
          <w:color w:val="auto"/>
          <w:kern w:val="2"/>
          <w:sz w:val="24"/>
          <w:szCs w:val="24"/>
          <w:highlight w:val="none"/>
          <w:lang w:val="en-US" w:eastAsia="zh-CN" w:bidi="ar-SA"/>
        </w:rPr>
        <w:t>投标供应商认为该产品指向某一品牌、某一型号，那么该参数均为参考参数，可以根据技术要求及商务要求自行去选择产品品牌和型号</w:t>
      </w:r>
      <w:r>
        <w:rPr>
          <w:rFonts w:hint="eastAsia" w:ascii="宋体" w:hAnsi="宋体" w:eastAsia="宋体" w:cs="宋体"/>
          <w:color w:val="auto"/>
          <w:kern w:val="2"/>
          <w:sz w:val="24"/>
          <w:szCs w:val="24"/>
          <w:highlight w:val="none"/>
          <w:lang w:val="en-US" w:eastAsia="zh-CN" w:bidi="ar-SA"/>
        </w:rPr>
        <w:t>。</w:t>
      </w:r>
    </w:p>
    <w:p>
      <w:pPr>
        <w:pStyle w:val="2"/>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 w:val="0"/>
          <w:i w:val="0"/>
          <w:caps w:val="0"/>
          <w:color w:val="auto"/>
          <w:spacing w:val="0"/>
          <w:w w:val="100"/>
          <w:kern w:val="2"/>
          <w:sz w:val="24"/>
          <w:szCs w:val="24"/>
          <w:highlight w:val="none"/>
          <w:lang w:val="en-US" w:eastAsia="zh-CN" w:bidi="ar-SA"/>
        </w:rPr>
        <w:t>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对于技术规格中标注“★”号的技术参数为重要参数，投标供应商须在投标文件中按照招标文件技术规格的要求提供技术应答的证明材料，如技术规格中无特殊要求则应提交本条款规定的技术支持资料。对于投标供应商提供的投标文件技术应答未按本条款要求提供投标产品技术支持资料（或证明材料）的，或提供的投标产品技术支持资料（或证明材料），如出现负偏离的则以扣分处理。</w:t>
      </w:r>
    </w:p>
    <w:p>
      <w:pPr>
        <w:pStyle w:val="2"/>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eastAsia="宋体" w:cs="宋体"/>
          <w:b w:val="0"/>
          <w:i w:val="0"/>
          <w:caps w:val="0"/>
          <w:color w:val="auto"/>
          <w:spacing w:val="0"/>
          <w:w w:val="100"/>
          <w:sz w:val="24"/>
          <w:szCs w:val="24"/>
          <w:highlight w:val="none"/>
          <w:lang w:val="en-US" w:eastAsia="zh-CN"/>
        </w:rPr>
        <w:t>、技术参数中存在“正偏离”需设备真实技术支持资料（或证明材料）。未提供的不得作为正偏离。</w:t>
      </w:r>
    </w:p>
    <w:p>
      <w:pPr>
        <w:pStyle w:val="2"/>
        <w:keepNext w:val="0"/>
        <w:keepLines w:val="0"/>
        <w:pageBreakBefore w:val="0"/>
        <w:kinsoku/>
        <w:wordWrap/>
        <w:overflowPunct/>
        <w:topLinePunct w:val="0"/>
        <w:autoSpaceDE/>
        <w:autoSpaceDN/>
        <w:bidi w:val="0"/>
        <w:adjustRightInd/>
        <w:spacing w:line="440" w:lineRule="exact"/>
        <w:ind w:left="0" w:leftChars="0" w:firstLine="0" w:firstLineChars="0"/>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（二）项目的交货期和质保期</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240" w:firstLineChars="1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1、交货期：合同签订后</w:t>
      </w:r>
      <w:r>
        <w:rPr>
          <w:rFonts w:hint="eastAsia" w:ascii="宋体" w:hAnsi="宋体" w:cs="宋体"/>
          <w:b w:val="0"/>
          <w:i w:val="0"/>
          <w:caps w:val="0"/>
          <w:color w:val="auto"/>
          <w:spacing w:val="0"/>
          <w:w w:val="100"/>
          <w:sz w:val="24"/>
          <w:szCs w:val="24"/>
          <w:highlight w:val="none"/>
          <w:lang w:val="en-US" w:eastAsia="zh-CN"/>
        </w:rPr>
        <w:t>30</w:t>
      </w:r>
      <w:r>
        <w:rPr>
          <w:rFonts w:hint="eastAsia" w:ascii="宋体" w:hAnsi="宋体" w:eastAsia="宋体" w:cs="宋体"/>
          <w:b w:val="0"/>
          <w:i w:val="0"/>
          <w:caps w:val="0"/>
          <w:color w:val="auto"/>
          <w:spacing w:val="0"/>
          <w:w w:val="100"/>
          <w:sz w:val="24"/>
          <w:szCs w:val="24"/>
          <w:highlight w:val="none"/>
          <w:lang w:val="en-US" w:eastAsia="zh-CN"/>
        </w:rPr>
        <w:t>天。</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240" w:firstLineChars="1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2、质保期：根据各参数需求。</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240" w:firstLineChars="1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3、投标商在制作投标文件时，根据自己所投货物实际指标来撰写响应于招标文件要求的指标。</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（三）付款方式和交货地点</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240" w:firstLineChars="1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 xml:space="preserve">1、付款方式：验收合格后支付100%。 </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240" w:firstLineChars="1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2、供货地点：甲方指定地点。</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（四）售后服务</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0" w:firstLineChars="1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售后服务承诺：在质保期内，派遣维修或技术人员巡访设备使用单位，协助并指导运维人员进行日常维护保养工作，并与直接使用人交流设备使用相关事宜。供应商应对质保期内及其以后的服务做出承诺，并具有切实可行的措施,不能及时兑现服务承诺内容而影响使用方使用，供应商应怎样给予补偿。</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240" w:firstLineChars="1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2、维修响应 7x24 小时响应，在质保期内出现故障中标单位在接到故障报修电话后，24小时内必须赶到现场解决故障，如当日无法修复，安装备品备件供甲方使用。</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0" w:firstLineChars="100"/>
        <w:jc w:val="left"/>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、如有未尽事宜或收到服务需求不合要求情况，可双方协商决定，但决定权在购买方，购买方有权利退回所购买产品。</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（五）实施方案及培训方案</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0" w:firstLineChars="1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1、供应商应保证供货设备在项目实施过程中的</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0" w:firstLineChars="1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实施方案：</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0" w:firstLineChars="100"/>
        <w:jc w:val="left"/>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w:t>
      </w:r>
      <w:r>
        <w:rPr>
          <w:rFonts w:hint="default" w:ascii="宋体" w:hAnsi="宋体" w:eastAsia="宋体" w:cs="宋体"/>
          <w:b w:val="0"/>
          <w:i w:val="0"/>
          <w:caps w:val="0"/>
          <w:color w:val="auto"/>
          <w:spacing w:val="0"/>
          <w:w w:val="100"/>
          <w:sz w:val="24"/>
          <w:szCs w:val="24"/>
          <w:highlight w:val="none"/>
          <w:lang w:val="en-US" w:eastAsia="zh-CN"/>
        </w:rPr>
        <w:t>项目详细工作内容，说明项目的工作范围、具体内容和技术要求等，这一部分内容能量化的指标尽可能量化；</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0" w:firstLineChars="100"/>
        <w:jc w:val="left"/>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（2）</w:t>
      </w:r>
      <w:r>
        <w:rPr>
          <w:rFonts w:hint="default" w:ascii="宋体" w:hAnsi="宋体" w:eastAsia="宋体" w:cs="宋体"/>
          <w:b w:val="0"/>
          <w:i w:val="0"/>
          <w:caps w:val="0"/>
          <w:color w:val="auto"/>
          <w:spacing w:val="0"/>
          <w:w w:val="100"/>
          <w:sz w:val="24"/>
          <w:szCs w:val="24"/>
          <w:highlight w:val="none"/>
          <w:lang w:val="en-US" w:eastAsia="zh-CN"/>
        </w:rPr>
        <w:t>项目实施所采取的方法手段；</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0" w:firstLineChars="100"/>
        <w:jc w:val="left"/>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（3）</w:t>
      </w:r>
      <w:r>
        <w:rPr>
          <w:rFonts w:hint="default" w:ascii="宋体" w:hAnsi="宋体" w:eastAsia="宋体" w:cs="宋体"/>
          <w:b w:val="0"/>
          <w:i w:val="0"/>
          <w:caps w:val="0"/>
          <w:color w:val="auto"/>
          <w:spacing w:val="0"/>
          <w:w w:val="100"/>
          <w:sz w:val="24"/>
          <w:szCs w:val="24"/>
          <w:highlight w:val="none"/>
          <w:lang w:val="en-US" w:eastAsia="zh-CN"/>
        </w:rPr>
        <w:t>预期效果，说明项目完成时所达到的效果；说明承担单位、协作单位和各自分工的主要内容</w:t>
      </w:r>
      <w:r>
        <w:rPr>
          <w:rFonts w:hint="eastAsia" w:ascii="宋体" w:hAnsi="宋体" w:cs="宋体"/>
          <w:b w:val="0"/>
          <w:i w:val="0"/>
          <w:caps w:val="0"/>
          <w:color w:val="auto"/>
          <w:spacing w:val="0"/>
          <w:w w:val="100"/>
          <w:sz w:val="24"/>
          <w:szCs w:val="24"/>
          <w:highlight w:val="none"/>
          <w:lang w:val="en-US" w:eastAsia="zh-CN"/>
        </w:rPr>
        <w:t>。</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0" w:firstLineChars="1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设备质量</w:t>
      </w:r>
      <w:r>
        <w:rPr>
          <w:rFonts w:hint="eastAsia" w:ascii="宋体" w:hAnsi="宋体" w:cs="宋体"/>
          <w:b w:val="0"/>
          <w:i w:val="0"/>
          <w:caps w:val="0"/>
          <w:color w:val="auto"/>
          <w:spacing w:val="0"/>
          <w:w w:val="100"/>
          <w:sz w:val="24"/>
          <w:szCs w:val="24"/>
          <w:highlight w:val="none"/>
          <w:lang w:val="en-US" w:eastAsia="zh-CN"/>
        </w:rPr>
        <w:t>保障</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cs="宋体"/>
          <w:b w:val="0"/>
          <w:i w:val="0"/>
          <w:caps w:val="0"/>
          <w:color w:val="auto"/>
          <w:spacing w:val="0"/>
          <w:w w:val="100"/>
          <w:sz w:val="24"/>
          <w:szCs w:val="24"/>
          <w:highlight w:val="none"/>
          <w:lang w:val="en-US" w:eastAsia="zh-CN"/>
        </w:rPr>
        <w:t>（1）设备品牌型号选择；（2）设备出厂日期；（3）设备运输安全；（4）设备维护及保养等方案。</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0" w:firstLineChars="1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项目实施过程各个环节的时间安排</w:t>
      </w:r>
      <w:r>
        <w:rPr>
          <w:rFonts w:hint="eastAsia" w:ascii="宋体" w:hAnsi="宋体" w:cs="宋体"/>
          <w:b w:val="0"/>
          <w:i w:val="0"/>
          <w:caps w:val="0"/>
          <w:color w:val="auto"/>
          <w:spacing w:val="0"/>
          <w:w w:val="100"/>
          <w:sz w:val="24"/>
          <w:szCs w:val="24"/>
          <w:highlight w:val="none"/>
          <w:lang w:val="en-US" w:eastAsia="zh-CN"/>
        </w:rPr>
        <w:t>：</w:t>
      </w:r>
      <w:r>
        <w:rPr>
          <w:rFonts w:hint="default" w:ascii="宋体" w:hAnsi="宋体" w:eastAsia="宋体" w:cs="宋体"/>
          <w:b w:val="0"/>
          <w:i w:val="0"/>
          <w:caps w:val="0"/>
          <w:color w:val="auto"/>
          <w:spacing w:val="0"/>
          <w:w w:val="100"/>
          <w:sz w:val="24"/>
          <w:szCs w:val="24"/>
          <w:highlight w:val="none"/>
          <w:lang w:val="en-US" w:eastAsia="zh-CN"/>
        </w:rPr>
        <w:t>项目工作进度安排，详细说明各阶段工作安排的时间和项目工作内容完成的时间，尽力让项目实施的时间进度与方案所计划的时间吻合；</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0" w:firstLineChars="1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送货、安装、调试、检测</w:t>
      </w:r>
      <w:r>
        <w:rPr>
          <w:rFonts w:hint="eastAsia" w:ascii="宋体" w:hAnsi="宋体" w:cs="宋体"/>
          <w:b w:val="0"/>
          <w:i w:val="0"/>
          <w:caps w:val="0"/>
          <w:color w:val="auto"/>
          <w:spacing w:val="0"/>
          <w:w w:val="100"/>
          <w:sz w:val="24"/>
          <w:szCs w:val="24"/>
          <w:highlight w:val="none"/>
          <w:lang w:val="en-US" w:eastAsia="zh-CN"/>
        </w:rPr>
        <w:t>：供货的流程、安装调试、检测流程应在方案中写明。（注：可提供流程图。）</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0" w:firstLineChars="1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安全保障措施</w:t>
      </w:r>
      <w:r>
        <w:rPr>
          <w:rFonts w:hint="eastAsia" w:ascii="宋体" w:hAnsi="宋体" w:cs="宋体"/>
          <w:b w:val="0"/>
          <w:i w:val="0"/>
          <w:caps w:val="0"/>
          <w:color w:val="auto"/>
          <w:spacing w:val="0"/>
          <w:w w:val="100"/>
          <w:sz w:val="24"/>
          <w:szCs w:val="24"/>
          <w:highlight w:val="none"/>
          <w:lang w:val="en-US" w:eastAsia="zh-CN"/>
        </w:rPr>
        <w:t>：（1）方针、目标；（2）安全管理机构；（3）安全措施；（4）安全教育等。</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0" w:firstLineChars="1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突发事件处理措施</w:t>
      </w:r>
      <w:r>
        <w:rPr>
          <w:rFonts w:hint="eastAsia" w:ascii="宋体" w:hAnsi="宋体" w:cs="宋体"/>
          <w:b w:val="0"/>
          <w:i w:val="0"/>
          <w:caps w:val="0"/>
          <w:color w:val="auto"/>
          <w:spacing w:val="0"/>
          <w:w w:val="100"/>
          <w:sz w:val="24"/>
          <w:szCs w:val="24"/>
          <w:highlight w:val="none"/>
          <w:lang w:val="en-US" w:eastAsia="zh-CN"/>
        </w:rPr>
        <w:t>：为保障设备的运行正常，加强对突发事件、紧急事件的控制，须供应商制定本项目的突发事件处置预案，写明面对突发事件的应急处理方法，包含：人员伤亡事故、发生火灾、突然停电等。建立完善的预防机制，指定专人负责，对潜在危险可能出现的紧急情况，制定相应的处理办法。</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0" w:firstLineChars="1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本包属于医疗设备，供应商能够在设备运输中保障设备的功能不被破坏，在发货前保证对货物的质量、规格、性能、数量和重量等进行准确而全面的检验，并出具一份产品检验合格证书。在项目供货安装时进行核对，本次购买设备如若发生设备不能正常运行，供应商必须在突发应急时给予响应并在最快时间内处理。</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0" w:firstLineChars="1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2、培训方案</w:t>
      </w:r>
      <w:r>
        <w:rPr>
          <w:rFonts w:hint="eastAsia" w:ascii="宋体" w:hAnsi="宋体" w:cs="宋体"/>
          <w:b w:val="0"/>
          <w:i w:val="0"/>
          <w:caps w:val="0"/>
          <w:color w:val="auto"/>
          <w:spacing w:val="0"/>
          <w:w w:val="100"/>
          <w:sz w:val="24"/>
          <w:szCs w:val="24"/>
          <w:highlight w:val="none"/>
          <w:lang w:val="en-US" w:eastAsia="zh-CN"/>
        </w:rPr>
        <w:t>应包括</w:t>
      </w:r>
      <w:r>
        <w:rPr>
          <w:rFonts w:hint="eastAsia" w:ascii="宋体" w:hAnsi="宋体" w:eastAsia="宋体" w:cs="宋体"/>
          <w:b w:val="0"/>
          <w:i w:val="0"/>
          <w:caps w:val="0"/>
          <w:color w:val="auto"/>
          <w:spacing w:val="0"/>
          <w:w w:val="100"/>
          <w:sz w:val="24"/>
          <w:szCs w:val="24"/>
          <w:highlight w:val="none"/>
          <w:lang w:val="en-US" w:eastAsia="zh-CN"/>
        </w:rPr>
        <w:t>：①培训时间，②培训地点，③培训内容及方式，④培训教师及资质，培训是指涉及产品基本原理、安装、调试、操作使用和保养维修等有关内容的学习。在质保期内为采购人提供至少三人的培训服务，确保用户方至少两名操作人员可熟悉使用，供应商应保证在采购人指定供货地点对设备操作人员提供不少于 1 天的免费培训。供应商投标时应提供详细的培训方案。培训教员的差旅费、食宿费、培训教材等费用，应计入投标报价， 随时排除所有设备故障进行明确的计划阐述，并对所有设备保修期过后维保进行阐述。</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（六）验收</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0" w:firstLineChars="1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1、项目业主按标准、技术要求在现场验收，货物验收按照国家最新标准及招标文件中所提出的要求，如供方实际执行的标准高于国家标准和机械行业标准则按买方标准验收。</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0" w:firstLineChars="1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2、项目业主在货物抵达供货地点之日起3日内完成初步验收，这种验收只是数量上的和外观感觉上的，最终验收依据国家标准。</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0" w:firstLineChars="1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3、项目所有内容实施并完工后，双方共同派员参加验收，如承包方在接到项目业主通知之日起三日内无法派员抵达现场，则视为同意买方自行验收的结果。</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0" w:firstLineChars="1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4、上述检验和验收不能代替质保期内设备制造性能质量考核。</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（七）其他要求</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240" w:firstLineChars="1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1</w:t>
      </w:r>
      <w:r>
        <w:rPr>
          <w:rFonts w:hint="eastAsia" w:ascii="宋体" w:hAnsi="宋体" w:eastAsia="宋体" w:cs="宋体"/>
          <w:b w:val="0"/>
          <w:i w:val="0"/>
          <w:caps w:val="0"/>
          <w:color w:val="auto"/>
          <w:spacing w:val="0"/>
          <w:w w:val="100"/>
          <w:sz w:val="24"/>
          <w:szCs w:val="24"/>
          <w:highlight w:val="none"/>
          <w:lang w:val="en-US" w:eastAsia="zh-CN"/>
        </w:rPr>
        <w:t>、近三年内类似项目业绩证明材料中标通知书</w:t>
      </w:r>
      <w:r>
        <w:rPr>
          <w:rFonts w:hint="eastAsia" w:ascii="宋体" w:hAnsi="宋体" w:cs="宋体"/>
          <w:b w:val="0"/>
          <w:i w:val="0"/>
          <w:caps w:val="0"/>
          <w:color w:val="auto"/>
          <w:spacing w:val="0"/>
          <w:w w:val="100"/>
          <w:sz w:val="24"/>
          <w:szCs w:val="24"/>
          <w:highlight w:val="none"/>
          <w:lang w:val="en-US" w:eastAsia="zh-CN"/>
        </w:rPr>
        <w:t>及采购</w:t>
      </w:r>
      <w:r>
        <w:rPr>
          <w:rFonts w:hint="eastAsia" w:ascii="宋体" w:hAnsi="宋体" w:eastAsia="宋体" w:cs="宋体"/>
          <w:b w:val="0"/>
          <w:i w:val="0"/>
          <w:caps w:val="0"/>
          <w:color w:val="auto"/>
          <w:spacing w:val="0"/>
          <w:w w:val="100"/>
          <w:sz w:val="24"/>
          <w:szCs w:val="24"/>
          <w:highlight w:val="none"/>
          <w:lang w:val="en-US" w:eastAsia="zh-CN"/>
        </w:rPr>
        <w:t>合同复印件。</w:t>
      </w:r>
    </w:p>
    <w:p>
      <w:pPr>
        <w:pStyle w:val="21"/>
        <w:keepNext w:val="0"/>
        <w:keepLines w:val="0"/>
        <w:pageBreakBefore w:val="0"/>
        <w:widowControl w:val="0"/>
        <w:kinsoku/>
        <w:wordWrap/>
        <w:overflowPunct/>
        <w:topLinePunct w:val="0"/>
        <w:autoSpaceDE/>
        <w:autoSpaceDN/>
        <w:bidi w:val="0"/>
        <w:adjustRightInd/>
        <w:snapToGrid w:val="0"/>
        <w:spacing w:line="440" w:lineRule="exact"/>
        <w:ind w:firstLine="240" w:firstLineChars="1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、投标文件目录清晰、</w:t>
      </w:r>
      <w:r>
        <w:rPr>
          <w:rFonts w:hint="eastAsia" w:ascii="宋体" w:hAnsi="宋体" w:cs="宋体"/>
          <w:color w:val="auto"/>
          <w:sz w:val="24"/>
          <w:szCs w:val="24"/>
          <w:highlight w:val="none"/>
          <w:lang w:val="en-US" w:eastAsia="zh-CN"/>
        </w:rPr>
        <w:t>关联点</w:t>
      </w:r>
      <w:r>
        <w:rPr>
          <w:rFonts w:hint="eastAsia" w:ascii="宋体" w:hAnsi="宋体" w:eastAsia="宋体" w:cs="宋体"/>
          <w:color w:val="auto"/>
          <w:sz w:val="24"/>
          <w:szCs w:val="24"/>
          <w:highlight w:val="none"/>
          <w:lang w:val="en-US" w:eastAsia="zh-CN"/>
        </w:rPr>
        <w:t>对应准确，评审内容便于查找。</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240" w:firstLineChars="1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3、为保证项目的正常运行，最好在疆内有固定售后维修点，并提供联系人、联系电话及维修点详细地址。</w:t>
      </w:r>
    </w:p>
    <w:p>
      <w:pPr>
        <w:pStyle w:val="21"/>
        <w:keepNext w:val="0"/>
        <w:keepLines w:val="0"/>
        <w:pageBreakBefore w:val="0"/>
        <w:kinsoku/>
        <w:wordWrap/>
        <w:overflowPunct/>
        <w:topLinePunct w:val="0"/>
        <w:autoSpaceDE/>
        <w:autoSpaceDN/>
        <w:bidi w:val="0"/>
        <w:adjustRightInd/>
        <w:spacing w:line="440" w:lineRule="exact"/>
        <w:outlineLvl w:val="9"/>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注：本项目技术参数接受偏离，投标供应商提供的技术参数中出现正偏离，正偏离加分，负偏离扣分。</w:t>
      </w:r>
    </w:p>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color w:val="auto"/>
          <w:kern w:val="2"/>
          <w:sz w:val="28"/>
          <w:szCs w:val="28"/>
          <w:highlight w:val="none"/>
          <w:lang w:val="en-US" w:eastAsia="zh-CN" w:bidi="ar-SA"/>
        </w:rPr>
      </w:pPr>
      <w:bookmarkStart w:id="1274" w:name="_Toc11259"/>
      <w:bookmarkStart w:id="1275" w:name="_Toc31651"/>
      <w:r>
        <w:rPr>
          <w:rFonts w:hint="eastAsia" w:ascii="宋体" w:hAnsi="宋体" w:eastAsia="宋体" w:cs="宋体"/>
          <w:b/>
          <w:bCs/>
          <w:color w:val="auto"/>
          <w:kern w:val="2"/>
          <w:sz w:val="28"/>
          <w:szCs w:val="28"/>
          <w:highlight w:val="none"/>
          <w:lang w:val="en-US" w:eastAsia="zh-CN" w:bidi="ar-SA"/>
        </w:rPr>
        <w:br w:type="page"/>
      </w:r>
    </w:p>
    <w:p>
      <w:pPr>
        <w:jc w:val="center"/>
        <w:outlineLvl w:val="0"/>
        <w:rPr>
          <w:rFonts w:hint="eastAsia" w:ascii="宋体" w:hAnsi="宋体" w:eastAsia="宋体" w:cs="宋体"/>
          <w:color w:val="auto"/>
          <w:highlight w:val="none"/>
        </w:rPr>
      </w:pPr>
      <w:bookmarkStart w:id="1276" w:name="_Toc17036"/>
      <w:bookmarkStart w:id="1277" w:name="_Toc12200"/>
      <w:r>
        <w:rPr>
          <w:rStyle w:val="38"/>
          <w:rFonts w:hint="eastAsia" w:ascii="宋体" w:hAnsi="宋体" w:eastAsia="宋体" w:cs="宋体"/>
          <w:color w:val="auto"/>
          <w:highlight w:val="none"/>
        </w:rPr>
        <w:t>第6章  评标方法和标准</w:t>
      </w:r>
      <w:bookmarkEnd w:id="1221"/>
      <w:bookmarkEnd w:id="1222"/>
      <w:bookmarkEnd w:id="1223"/>
      <w:bookmarkEnd w:id="1224"/>
      <w:bookmarkEnd w:id="1225"/>
      <w:bookmarkEnd w:id="1226"/>
      <w:bookmarkEnd w:id="1227"/>
      <w:bookmarkEnd w:id="1274"/>
      <w:bookmarkEnd w:id="1275"/>
      <w:bookmarkEnd w:id="1276"/>
      <w:bookmarkEnd w:id="1277"/>
    </w:p>
    <w:p>
      <w:pPr>
        <w:pStyle w:val="12"/>
        <w:tabs>
          <w:tab w:val="clear" w:pos="567"/>
        </w:tabs>
        <w:spacing w:before="0" w:line="400" w:lineRule="exact"/>
        <w:ind w:firstLine="540" w:firstLineChars="225"/>
        <w:rPr>
          <w:rFonts w:hint="eastAsia" w:ascii="宋体" w:hAnsi="宋体" w:eastAsia="宋体" w:cs="宋体"/>
          <w:color w:val="auto"/>
          <w:highlight w:val="none"/>
        </w:rPr>
      </w:pPr>
      <w:r>
        <w:rPr>
          <w:rFonts w:hint="eastAsia" w:ascii="宋体" w:hAnsi="宋体" w:eastAsia="宋体" w:cs="宋体"/>
          <w:color w:val="auto"/>
          <w:highlight w:val="none"/>
        </w:rPr>
        <w:t>本项目将按照招标文件第一章供应商须知中“五 开标及评标”、“六 确定中标”及本章的规定评标。</w:t>
      </w:r>
    </w:p>
    <w:p>
      <w:pPr>
        <w:widowControl/>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1.投标无效的情形：</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（1）单位负责人为同一人或者存在直接控股、管理关系的不同供应商，其相关投标将被认定为投标无效。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（2）供应商报价超过招标文件规定的预算金额或者分项、分包最高限价的，其投标将被认定为投标无效。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应认真阅读招标文件所有的事项、格式、条款和技术规范等。如供应商没有按照招标文件要求提交全部资料，或者投标文件没有对投标文件在各方面都做出实质性响应，可能导致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）供应商应当对所投分包投标文件中“</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内容”所列的所有内容进行投标，如仅响应某一包中的部分内容，其该包投标将被认定为投标无效。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）供应商未按本须知第12.1和12.3条规定提交投标保证金的，其投标资格将被认定为无效。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）所有投标均以人民币报价。供应商的投标报价应遵守《中华人民共和国价格法》。同时，根据《中华人民共和国政府采购法》第二条的规定，为保证公平竞争，如有</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主体部分的赠与行为，其投标将被认定为投标无效。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）供应商所报的各分项投标单价在合同履行过程中是固定不变的，不得以任何理由予以变更。任何包含价格调整要求的投标，其投标将被认定为投标无效。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）投标应在供应商须知资料表中规定时间内保持有效。投标有效期不满足要求的投标，其投标将被认定为投标无效。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）采购人或采购代理机构将在开标前1个工作日至投标截止后1小时的期间内查询供应商的信用记录。供应商存在不良信用记录的，其投标将被认定为投标无效。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pPr>
        <w:keepNext w:val="0"/>
        <w:keepLines w:val="0"/>
        <w:pageBreakBefore w:val="0"/>
        <w:widowControl/>
        <w:kinsoku/>
        <w:wordWrap/>
        <w:overflowPunct/>
        <w:topLinePunct w:val="0"/>
        <w:autoSpaceDE/>
        <w:autoSpaceDN/>
        <w:bidi w:val="0"/>
        <w:adjustRightInd/>
        <w:spacing w:line="41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如发现下列情况之一的，其投标将被认定为投标无效：未按招标文件规定的形式和金额提交投标保证金的；未按照招标文件规定要求签署、盖章的；未满足招标文件中技术条款的实质性要求；与其他供应商串通投标，或者与</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pPr>
        <w:keepNext w:val="0"/>
        <w:keepLines w:val="0"/>
        <w:pageBreakBefore w:val="0"/>
        <w:widowControl/>
        <w:kinsoku/>
        <w:wordWrap/>
        <w:overflowPunct/>
        <w:topLinePunct w:val="0"/>
        <w:autoSpaceDE/>
        <w:autoSpaceDN/>
        <w:bidi w:val="0"/>
        <w:adjustRightInd/>
        <w:spacing w:line="436" w:lineRule="exact"/>
        <w:rPr>
          <w:rFonts w:hint="eastAsia"/>
          <w:color w:val="auto"/>
          <w:highlight w:val="none"/>
          <w:lang w:eastAsia="zh-CN"/>
        </w:rPr>
      </w:pPr>
      <w:r>
        <w:rPr>
          <w:rFonts w:hint="eastAsia" w:ascii="宋体" w:hAnsi="宋体" w:eastAsia="宋体" w:cs="宋体"/>
          <w:b/>
          <w:bCs/>
          <w:color w:val="auto"/>
          <w:sz w:val="24"/>
          <w:highlight w:val="none"/>
        </w:rPr>
        <w:t>2.根据《政府采购促进中小企业发展管理办法》（财库[2020]46号）、《财政部司法部关于政府采购支持监狱企业发展有关问题的通知》（财库〔2014〕68号）和《三部门联合发布关于促进残疾人就业政府采购政策的通知》（财库〔2017〕141号）的规定，</w:t>
      </w:r>
      <w:r>
        <w:rPr>
          <w:rFonts w:hint="eastAsia" w:ascii="宋体" w:hAnsi="宋体" w:cs="宋体"/>
          <w:b/>
          <w:bCs/>
          <w:color w:val="auto"/>
          <w:sz w:val="24"/>
          <w:highlight w:val="none"/>
          <w:lang w:eastAsia="zh-CN"/>
        </w:rPr>
        <w:t>其中小型、微型及小微企业</w:t>
      </w:r>
      <w:r>
        <w:rPr>
          <w:rFonts w:hint="eastAsia" w:ascii="宋体" w:hAnsi="宋体" w:eastAsia="宋体" w:cs="宋体"/>
          <w:b/>
          <w:bCs/>
          <w:color w:val="auto"/>
          <w:sz w:val="24"/>
          <w:highlight w:val="none"/>
        </w:rPr>
        <w:t>在投标文件中提交了《</w:t>
      </w:r>
      <w:r>
        <w:rPr>
          <w:rFonts w:hint="eastAsia" w:ascii="宋体" w:hAnsi="宋体" w:eastAsia="宋体" w:cs="宋体"/>
          <w:b/>
          <w:bCs/>
          <w:color w:val="auto"/>
          <w:sz w:val="24"/>
          <w:highlight w:val="none"/>
          <w:lang w:eastAsia="zh-CN"/>
        </w:rPr>
        <w:t>中小企业声明函</w:t>
      </w:r>
      <w:r>
        <w:rPr>
          <w:rFonts w:hint="eastAsia" w:ascii="宋体" w:hAnsi="宋体" w:eastAsia="宋体" w:cs="宋体"/>
          <w:b/>
          <w:bCs/>
          <w:color w:val="auto"/>
          <w:sz w:val="24"/>
          <w:highlight w:val="none"/>
        </w:rPr>
        <w:t>》、《残疾人福利性单位声明函》或省级以上监狱管理局、戒毒管理局（含新疆生产建设兵团）出具的属于监狱企业的证明文件的供应商，</w:t>
      </w:r>
      <w:r>
        <w:rPr>
          <w:rFonts w:hint="eastAsia" w:ascii="宋体" w:hAnsi="宋体" w:eastAsia="宋体" w:cs="宋体"/>
          <w:b/>
          <w:bCs/>
          <w:color w:val="auto"/>
          <w:sz w:val="24"/>
          <w:highlight w:val="none"/>
          <w:lang w:eastAsia="zh-CN"/>
        </w:rPr>
        <w:t>其报价扣除</w:t>
      </w:r>
      <w:r>
        <w:rPr>
          <w:rFonts w:hint="eastAsia" w:ascii="宋体" w:hAnsi="宋体" w:eastAsia="宋体" w:cs="宋体"/>
          <w:b/>
          <w:bCs/>
          <w:color w:val="auto"/>
          <w:sz w:val="24"/>
          <w:highlight w:val="none"/>
          <w:u w:val="single"/>
          <w:lang w:eastAsia="zh-CN"/>
        </w:rPr>
        <w:t xml:space="preserve">  10  %</w:t>
      </w:r>
      <w:r>
        <w:rPr>
          <w:rFonts w:hint="eastAsia" w:ascii="宋体" w:hAnsi="宋体" w:eastAsia="宋体" w:cs="宋体"/>
          <w:b/>
          <w:bCs/>
          <w:color w:val="auto"/>
          <w:sz w:val="24"/>
          <w:highlight w:val="none"/>
          <w:lang w:eastAsia="zh-CN"/>
        </w:rPr>
        <w:t>后参与评审。对于同时属于</w:t>
      </w:r>
      <w:r>
        <w:rPr>
          <w:rFonts w:hint="eastAsia" w:ascii="宋体" w:hAnsi="宋体" w:cs="宋体"/>
          <w:b/>
          <w:bCs/>
          <w:color w:val="auto"/>
          <w:sz w:val="24"/>
          <w:highlight w:val="none"/>
          <w:lang w:eastAsia="zh-CN"/>
        </w:rPr>
        <w:t>小型、微型及小微企业</w:t>
      </w:r>
      <w:r>
        <w:rPr>
          <w:rFonts w:hint="eastAsia" w:ascii="宋体" w:hAnsi="宋体" w:eastAsia="宋体" w:cs="宋体"/>
          <w:b/>
          <w:bCs/>
          <w:color w:val="auto"/>
          <w:sz w:val="24"/>
          <w:highlight w:val="none"/>
          <w:lang w:eastAsia="zh-CN"/>
        </w:rPr>
        <w:t>、监狱企业或残疾人福利性单位的，不重复进行报价扣除。</w:t>
      </w:r>
    </w:p>
    <w:p>
      <w:pPr>
        <w:keepNext w:val="0"/>
        <w:keepLines w:val="0"/>
        <w:pageBreakBefore w:val="0"/>
        <w:widowControl/>
        <w:kinsoku/>
        <w:wordWrap/>
        <w:overflowPunct/>
        <w:topLinePunct w:val="0"/>
        <w:autoSpaceDE/>
        <w:autoSpaceDN/>
        <w:bidi w:val="0"/>
        <w:adjustRightInd/>
        <w:spacing w:line="436" w:lineRule="exact"/>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3.联合协议中约定</w:t>
      </w:r>
      <w:r>
        <w:rPr>
          <w:rFonts w:hint="eastAsia" w:ascii="宋体" w:hAnsi="宋体" w:eastAsia="宋体" w:cs="宋体"/>
          <w:color w:val="auto"/>
          <w:sz w:val="24"/>
          <w:highlight w:val="none"/>
        </w:rPr>
        <w:t>，小型、微型企业和监狱企业的协议合同金额占到联合体协议合同总金额30%以上的，可给予联合体</w:t>
      </w:r>
      <w:r>
        <w:rPr>
          <w:rFonts w:hint="eastAsia" w:ascii="宋体" w:hAnsi="宋体" w:eastAsia="宋体" w:cs="宋体"/>
          <w:color w:val="auto"/>
          <w:sz w:val="24"/>
          <w:highlight w:val="none"/>
          <w:u w:val="single"/>
        </w:rPr>
        <w:t xml:space="preserve"> 2%-3%</w:t>
      </w:r>
      <w:r>
        <w:rPr>
          <w:rFonts w:hint="eastAsia" w:ascii="宋体" w:hAnsi="宋体" w:eastAsia="宋体" w:cs="宋体"/>
          <w:color w:val="auto"/>
          <w:sz w:val="24"/>
          <w:highlight w:val="none"/>
        </w:rPr>
        <w:t>的价格扣除。</w:t>
      </w:r>
      <w:r>
        <w:rPr>
          <w:rFonts w:hint="eastAsia" w:ascii="宋体" w:hAnsi="宋体" w:eastAsia="宋体" w:cs="宋体"/>
          <w:b/>
          <w:bCs/>
          <w:color w:val="auto"/>
          <w:sz w:val="24"/>
          <w:highlight w:val="none"/>
        </w:rPr>
        <w:t>（本项目不适用）</w:t>
      </w:r>
    </w:p>
    <w:p>
      <w:pPr>
        <w:keepNext w:val="0"/>
        <w:keepLines w:val="0"/>
        <w:pageBreakBefore w:val="0"/>
        <w:widowControl/>
        <w:kinsoku/>
        <w:wordWrap/>
        <w:overflowPunct/>
        <w:topLinePunct w:val="0"/>
        <w:autoSpaceDE/>
        <w:autoSpaceDN/>
        <w:bidi w:val="0"/>
        <w:adjustRightInd/>
        <w:spacing w:line="436"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联合体各方均为小型、微型企业和监狱企业的，联合体视同为小型、微型企业和监狱企业。</w:t>
      </w:r>
    </w:p>
    <w:p>
      <w:pPr>
        <w:pStyle w:val="12"/>
        <w:keepNext w:val="0"/>
        <w:keepLines w:val="0"/>
        <w:pageBreakBefore w:val="0"/>
        <w:tabs>
          <w:tab w:val="clear" w:pos="567"/>
        </w:tabs>
        <w:kinsoku/>
        <w:wordWrap/>
        <w:overflowPunct/>
        <w:topLinePunct w:val="0"/>
        <w:autoSpaceDE/>
        <w:autoSpaceDN/>
        <w:bidi w:val="0"/>
        <w:adjustRightInd/>
        <w:spacing w:before="0" w:line="436" w:lineRule="exact"/>
        <w:rPr>
          <w:rFonts w:hint="eastAsia" w:ascii="宋体" w:hAnsi="宋体" w:eastAsia="宋体" w:cs="宋体"/>
          <w:color w:val="auto"/>
          <w:highlight w:val="none"/>
        </w:rPr>
      </w:pPr>
      <w:r>
        <w:rPr>
          <w:rFonts w:hint="eastAsia" w:ascii="宋体" w:hAnsi="宋体" w:eastAsia="宋体" w:cs="宋体"/>
          <w:b/>
          <w:bCs/>
          <w:color w:val="auto"/>
          <w:highlight w:val="none"/>
        </w:rPr>
        <w:t>4.供应商</w:t>
      </w:r>
      <w:r>
        <w:rPr>
          <w:rFonts w:hint="eastAsia" w:ascii="宋体" w:hAnsi="宋体" w:eastAsia="宋体" w:cs="宋体"/>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宋体" w:hAnsi="宋体" w:eastAsia="宋体" w:cs="宋体"/>
          <w:color w:val="auto"/>
          <w:highlight w:val="none"/>
        </w:rPr>
        <w:t>。</w:t>
      </w:r>
    </w:p>
    <w:p>
      <w:pPr>
        <w:pStyle w:val="12"/>
        <w:keepNext w:val="0"/>
        <w:keepLines w:val="0"/>
        <w:pageBreakBefore w:val="0"/>
        <w:tabs>
          <w:tab w:val="clear" w:pos="567"/>
        </w:tabs>
        <w:kinsoku/>
        <w:wordWrap/>
        <w:overflowPunct/>
        <w:topLinePunct w:val="0"/>
        <w:autoSpaceDE/>
        <w:autoSpaceDN/>
        <w:bidi w:val="0"/>
        <w:adjustRightInd/>
        <w:spacing w:before="0" w:line="436" w:lineRule="exact"/>
        <w:rPr>
          <w:rFonts w:hint="eastAsia" w:ascii="宋体" w:hAnsi="宋体" w:eastAsia="宋体" w:cs="宋体"/>
          <w:color w:val="auto"/>
          <w:highlight w:val="none"/>
          <w:u w:val="single"/>
        </w:rPr>
      </w:pPr>
      <w:r>
        <w:rPr>
          <w:rFonts w:hint="eastAsia" w:ascii="宋体" w:hAnsi="宋体" w:eastAsia="宋体" w:cs="宋体"/>
          <w:b/>
          <w:bCs/>
          <w:color w:val="auto"/>
          <w:highlight w:val="none"/>
        </w:rPr>
        <w:t>5.对创新产</w:t>
      </w:r>
      <w:r>
        <w:rPr>
          <w:rFonts w:hint="eastAsia" w:ascii="宋体" w:hAnsi="宋体" w:eastAsia="宋体" w:cs="宋体"/>
          <w:color w:val="auto"/>
          <w:highlight w:val="none"/>
        </w:rPr>
        <w:t>品或创新性企业的优惠措施为：</w:t>
      </w:r>
      <w:r>
        <w:rPr>
          <w:rFonts w:hint="eastAsia" w:ascii="宋体" w:hAnsi="宋体" w:eastAsia="宋体" w:cs="宋体"/>
          <w:color w:val="auto"/>
          <w:highlight w:val="none"/>
          <w:u w:val="single"/>
        </w:rPr>
        <w:t xml:space="preserve">     /      </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36" w:lineRule="exact"/>
        <w:jc w:val="both"/>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6.开标：</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（1）供应商按照须知资料表中规定的开标时间和地点，在规定时间内上传投标文件。</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（2）在开标前，工作人员收取所有参会人员的手机，主持人宣读开标纪律。</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（3）开标时，由代理机构对供应商的投标文件进行解密，解密时间为30分钟。</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（4）由代理机构开启报价，所有投标供应商签字确认。</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color w:val="auto"/>
          <w:sz w:val="24"/>
          <w:highlight w:val="none"/>
        </w:rPr>
        <w:t>（5）采购人或采购代理机构登录政采云平台对投标供应商的资格证明材料进行审查。</w:t>
      </w:r>
    </w:p>
    <w:p>
      <w:pPr>
        <w:pStyle w:val="21"/>
        <w:keepNext w:val="0"/>
        <w:keepLines w:val="0"/>
        <w:pageBreakBefore w:val="0"/>
        <w:kinsoku/>
        <w:wordWrap/>
        <w:overflowPunct/>
        <w:topLinePunct w:val="0"/>
        <w:autoSpaceDE/>
        <w:autoSpaceDN/>
        <w:bidi w:val="0"/>
        <w:adjustRightInd/>
        <w:spacing w:line="436" w:lineRule="exact"/>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7.评标：</w:t>
      </w:r>
    </w:p>
    <w:p>
      <w:pPr>
        <w:pStyle w:val="21"/>
        <w:keepNext w:val="0"/>
        <w:keepLines w:val="0"/>
        <w:pageBreakBefore w:val="0"/>
        <w:numPr>
          <w:ilvl w:val="0"/>
          <w:numId w:val="0"/>
        </w:numPr>
        <w:kinsoku/>
        <w:wordWrap/>
        <w:overflowPunct/>
        <w:topLinePunct w:val="0"/>
        <w:autoSpaceDE/>
        <w:autoSpaceDN/>
        <w:bidi w:val="0"/>
        <w:adjustRightInd/>
        <w:spacing w:line="436" w:lineRule="exact"/>
        <w:ind w:leftChars="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（1）在政采云平台上随机抽取</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名专家，负责评标工作。</w:t>
      </w:r>
    </w:p>
    <w:p>
      <w:pPr>
        <w:pStyle w:val="21"/>
        <w:keepNext w:val="0"/>
        <w:keepLines w:val="0"/>
        <w:pageBreakBefore w:val="0"/>
        <w:numPr>
          <w:ilvl w:val="0"/>
          <w:numId w:val="0"/>
        </w:numPr>
        <w:kinsoku/>
        <w:wordWrap/>
        <w:overflowPunct/>
        <w:topLinePunct w:val="0"/>
        <w:autoSpaceDE/>
        <w:autoSpaceDN/>
        <w:bidi w:val="0"/>
        <w:adjustRightInd/>
        <w:spacing w:line="436"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（2）评标前，工作人员收取所有参会人员的手机，主持人宣读评标纪律。</w:t>
      </w:r>
    </w:p>
    <w:p>
      <w:pPr>
        <w:pStyle w:val="21"/>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对采购单位的纪律要求：</w:t>
      </w:r>
      <w:r>
        <w:rPr>
          <w:rFonts w:hint="eastAsia" w:ascii="宋体" w:hAnsi="宋体" w:eastAsia="宋体" w:cs="宋体"/>
          <w:color w:val="auto"/>
          <w:sz w:val="24"/>
          <w:highlight w:val="none"/>
          <w:lang w:eastAsia="zh-CN"/>
        </w:rPr>
        <w:t>采购单位不得泄露招投标活动中应当保密的情况和资料，不得与供应商串通损害国家利益、社会公共利益或者他人合法权益</w:t>
      </w:r>
    </w:p>
    <w:p>
      <w:pPr>
        <w:pStyle w:val="21"/>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对与开标大会活动有关的工作人员的纪律要求：与开标大会活动有关的工作人员不得收受他人的财物或者其他好处，不得向他人透露对中标候选人的推荐情况以及评标有关的其他情况。</w:t>
      </w:r>
    </w:p>
    <w:p>
      <w:pPr>
        <w:pStyle w:val="21"/>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对评标专家的评标纪律及注意事项：</w:t>
      </w:r>
    </w:p>
    <w:p>
      <w:pPr>
        <w:pStyle w:val="21"/>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①与本次评标工作无关的人员不得进入评标现场；</w:t>
      </w:r>
    </w:p>
    <w:p>
      <w:pPr>
        <w:pStyle w:val="21"/>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②在评标过程中评标委员会以外人员不得干预或影响正常评标工作，不得明示或暗示其倾向性、引导性言论；</w:t>
      </w:r>
    </w:p>
    <w:p>
      <w:pPr>
        <w:pStyle w:val="21"/>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③评标委员会成员要严格遵守政府采购法、政府采购法实施条例、政府采购货物和服务招标投标管理办法及评标专家管理办法，要求公正、公平的参与评标工作；</w:t>
      </w:r>
    </w:p>
    <w:p>
      <w:pPr>
        <w:pStyle w:val="21"/>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pPr>
        <w:pStyle w:val="21"/>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pPr>
        <w:pStyle w:val="21"/>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pPr>
        <w:pStyle w:val="21"/>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⑦评标专家与供应商有下列利害关系之一的人员，应当回避</w:t>
      </w:r>
      <w:r>
        <w:rPr>
          <w:rFonts w:hint="eastAsia" w:ascii="宋体" w:hAnsi="宋体" w:cs="宋体"/>
          <w:color w:val="auto"/>
          <w:sz w:val="24"/>
          <w:highlight w:val="none"/>
          <w:lang w:eastAsia="zh-CN"/>
        </w:rPr>
        <w:t>：</w:t>
      </w:r>
    </w:p>
    <w:p>
      <w:pPr>
        <w:pStyle w:val="21"/>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参加采购活动前3年内与供应商存在劳动关系；</w:t>
      </w:r>
    </w:p>
    <w:p>
      <w:pPr>
        <w:pStyle w:val="21"/>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参加采购活动前3年内担任供应商的董事、监事；</w:t>
      </w:r>
    </w:p>
    <w:p>
      <w:pPr>
        <w:pStyle w:val="21"/>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参加采购活动前3年内是供应商的控股股东或者实际控制人；</w:t>
      </w:r>
    </w:p>
    <w:p>
      <w:pPr>
        <w:pStyle w:val="21"/>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与供应商的法定代表人或者负责人有夫妻、直系血亲、三代以内旁系血亲或者近姻亲关系。</w:t>
      </w:r>
    </w:p>
    <w:p>
      <w:pPr>
        <w:pStyle w:val="21"/>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（3）评标委员会应当按照招标文件中规定的评标方法和标准，对所有通过资格审查要求的投标供应商的投标文件，进行符合性审查，以确定是否满足招标文件的实质性要求。</w:t>
      </w:r>
    </w:p>
    <w:p>
      <w:pPr>
        <w:pStyle w:val="21"/>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pPr>
        <w:pStyle w:val="21"/>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pPr>
        <w:pStyle w:val="21"/>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（6）评标委员会成员对需要共同认定的事项存在争议的，应当按照少数服从多数的原则作出结论。持不同意见的评标委员会成员应当在评标报告上签署不同意见及理由，否则视为同意评标报告。</w:t>
      </w:r>
    </w:p>
    <w:p>
      <w:pPr>
        <w:pStyle w:val="21"/>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注：现场所有参会人员均要对开标内容进行保密。</w:t>
      </w:r>
    </w:p>
    <w:p>
      <w:pPr>
        <w:pStyle w:val="21"/>
        <w:keepNext w:val="0"/>
        <w:keepLines w:val="0"/>
        <w:pageBreakBefore w:val="0"/>
        <w:shd w:val="clear" w:color="auto" w:fill="auto"/>
        <w:kinsoku/>
        <w:wordWrap/>
        <w:overflowPunct/>
        <w:topLinePunct w:val="0"/>
        <w:autoSpaceDE/>
        <w:autoSpaceDN/>
        <w:bidi w:val="0"/>
        <w:adjustRightInd/>
        <w:snapToGrid w:val="0"/>
        <w:spacing w:line="50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8.答疑</w:t>
      </w:r>
      <w:r>
        <w:rPr>
          <w:rFonts w:hint="eastAsia" w:ascii="宋体" w:hAnsi="宋体" w:cs="宋体"/>
          <w:b/>
          <w:bCs/>
          <w:color w:val="auto"/>
          <w:sz w:val="24"/>
          <w:highlight w:val="none"/>
          <w:lang w:val="en-US" w:eastAsia="zh-CN"/>
        </w:rPr>
        <w:t>澄清</w:t>
      </w:r>
      <w:r>
        <w:rPr>
          <w:rFonts w:hint="eastAsia" w:ascii="宋体" w:hAnsi="宋体" w:eastAsia="宋体" w:cs="宋体"/>
          <w:b/>
          <w:bCs/>
          <w:color w:val="auto"/>
          <w:sz w:val="24"/>
          <w:highlight w:val="none"/>
          <w:lang w:val="en-US" w:eastAsia="zh-CN"/>
        </w:rPr>
        <w:t>：</w:t>
      </w:r>
    </w:p>
    <w:p>
      <w:pPr>
        <w:pStyle w:val="21"/>
        <w:keepNext w:val="0"/>
        <w:keepLines w:val="0"/>
        <w:pageBreakBefore w:val="0"/>
        <w:numPr>
          <w:ilvl w:val="0"/>
          <w:numId w:val="0"/>
        </w:numPr>
        <w:kinsoku/>
        <w:wordWrap/>
        <w:overflowPunct/>
        <w:topLinePunct w:val="0"/>
        <w:autoSpaceDE/>
        <w:autoSpaceDN/>
        <w:bidi w:val="0"/>
        <w:adjustRightInd/>
        <w:spacing w:line="436"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（1）评标委员会对于投标文件中含义不明确、同类问题表述不一致或者有明显文字和计算错误的内容，要求投标人以书面形式现场作出必要的澄清、说明或者补正。</w:t>
      </w:r>
    </w:p>
    <w:p>
      <w:pPr>
        <w:pStyle w:val="21"/>
        <w:keepNext w:val="0"/>
        <w:keepLines w:val="0"/>
        <w:pageBreakBefore w:val="0"/>
        <w:numPr>
          <w:ilvl w:val="0"/>
          <w:numId w:val="0"/>
        </w:numPr>
        <w:kinsoku/>
        <w:wordWrap/>
        <w:overflowPunct/>
        <w:topLinePunct w:val="0"/>
        <w:autoSpaceDE/>
        <w:autoSpaceDN/>
        <w:bidi w:val="0"/>
        <w:adjustRightInd/>
        <w:spacing w:line="436"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（2）投标人的澄清、说明或者补正应当采用书面形式，并加盖公章，或者由法定代表人或其授权的代表签字。投标人的澄清、说明或者补正不得超出投标文件的范围或者改变投标文件的实质性内容。</w:t>
      </w:r>
    </w:p>
    <w:p>
      <w:pPr>
        <w:pStyle w:val="21"/>
        <w:keepNext w:val="0"/>
        <w:keepLines w:val="0"/>
        <w:pageBreakBefore w:val="0"/>
        <w:numPr>
          <w:ilvl w:val="0"/>
          <w:numId w:val="0"/>
        </w:numPr>
        <w:kinsoku/>
        <w:wordWrap/>
        <w:overflowPunct/>
        <w:topLinePunct w:val="0"/>
        <w:autoSpaceDE/>
        <w:autoSpaceDN/>
        <w:bidi w:val="0"/>
        <w:adjustRightInd/>
        <w:snapToGrid w:val="0"/>
        <w:spacing w:line="498" w:lineRule="exac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.定标：</w:t>
      </w:r>
    </w:p>
    <w:p>
      <w:pPr>
        <w:pStyle w:val="21"/>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（1）采购代理机构应当在评标结束后2个工作日内将评标报告送采购人。</w:t>
      </w:r>
    </w:p>
    <w:p>
      <w:pPr>
        <w:pStyle w:val="21"/>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（2）采购人应当自收到评标报告之日起</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个工作日内，在评标报告确定的中标候选人名单中按顺序确定中标人。中标候选人并列的，由采购人按照招标文件规定的方式确定中标人。</w:t>
      </w:r>
    </w:p>
    <w:p>
      <w:pPr>
        <w:pStyle w:val="21"/>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pPr>
        <w:pStyle w:val="21"/>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pStyle w:val="21"/>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98" w:lineRule="exact"/>
        <w:jc w:val="both"/>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1</w:t>
      </w:r>
      <w:r>
        <w:rPr>
          <w:rFonts w:hint="eastAsia" w:ascii="宋体" w:hAnsi="宋体" w:cs="宋体"/>
          <w:b/>
          <w:bCs/>
          <w:i w:val="0"/>
          <w:caps w:val="0"/>
          <w:color w:val="auto"/>
          <w:spacing w:val="0"/>
          <w:w w:val="100"/>
          <w:sz w:val="24"/>
          <w:highlight w:val="none"/>
          <w:lang w:val="en-US" w:eastAsia="zh-CN"/>
        </w:rPr>
        <w:t>0.</w:t>
      </w:r>
      <w:r>
        <w:rPr>
          <w:rFonts w:hint="eastAsia" w:ascii="宋体" w:hAnsi="宋体" w:eastAsia="宋体" w:cs="宋体"/>
          <w:b/>
          <w:bCs/>
          <w:i w:val="0"/>
          <w:caps w:val="0"/>
          <w:color w:val="auto"/>
          <w:spacing w:val="0"/>
          <w:w w:val="100"/>
          <w:sz w:val="24"/>
          <w:highlight w:val="none"/>
          <w:lang w:val="en-US" w:eastAsia="zh-CN"/>
        </w:rPr>
        <w:t>评标标准：</w:t>
      </w:r>
    </w:p>
    <w:p>
      <w:pPr>
        <w:pStyle w:val="21"/>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第一包至第二包：</w:t>
      </w:r>
    </w:p>
    <w:p>
      <w:pPr>
        <w:pStyle w:val="21"/>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（1）价格评分占30%，完全满足招标文件参数的投标报价中的最低价为评标基准价，按照下列公式计算每个供应商的投标价格得分。投标报价得分＝（基准价/投标报价）×价格权重×100。</w:t>
      </w:r>
    </w:p>
    <w:p>
      <w:pPr>
        <w:pStyle w:val="21"/>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（2）商务评分占6%，包含业绩</w:t>
      </w:r>
      <w:r>
        <w:rPr>
          <w:rFonts w:hint="eastAsia" w:ascii="宋体" w:hAnsi="宋体" w:cs="宋体"/>
          <w:color w:val="auto"/>
          <w:sz w:val="24"/>
          <w:highlight w:val="none"/>
          <w:lang w:val="en-US" w:eastAsia="zh-CN"/>
        </w:rPr>
        <w:t>、标书</w:t>
      </w:r>
      <w:r>
        <w:rPr>
          <w:rFonts w:hint="eastAsia" w:ascii="宋体" w:hAnsi="宋体" w:eastAsia="宋体" w:cs="宋体"/>
          <w:color w:val="auto"/>
          <w:sz w:val="24"/>
          <w:highlight w:val="none"/>
          <w:lang w:val="en-US" w:eastAsia="zh-CN"/>
        </w:rPr>
        <w:t>制作。</w:t>
      </w:r>
    </w:p>
    <w:p>
      <w:pPr>
        <w:pStyle w:val="21"/>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（3）技术评分占64%，包含配置及性能指标、检测报告、实施方案、培训方案、售后服务方案。</w:t>
      </w:r>
    </w:p>
    <w:p>
      <w:pPr>
        <w:pStyle w:val="21"/>
        <w:rPr>
          <w:rFonts w:hint="eastAsia" w:ascii="宋体" w:hAnsi="宋体" w:eastAsia="宋体" w:cs="宋体"/>
          <w:b/>
          <w:bCs/>
          <w:color w:val="auto"/>
          <w:highlight w:val="none"/>
          <w:u w:val="single"/>
        </w:rPr>
      </w:pPr>
    </w:p>
    <w:p>
      <w:pPr>
        <w:pStyle w:val="21"/>
        <w:rPr>
          <w:rFonts w:hint="eastAsia" w:ascii="宋体" w:hAnsi="宋体" w:eastAsia="宋体" w:cs="宋体"/>
          <w:b/>
          <w:bCs/>
          <w:color w:val="auto"/>
          <w:highlight w:val="none"/>
          <w:u w:val="single"/>
        </w:rPr>
      </w:pPr>
    </w:p>
    <w:p>
      <w:pPr>
        <w:pStyle w:val="21"/>
        <w:rPr>
          <w:rFonts w:hint="eastAsia" w:ascii="宋体" w:hAnsi="宋体" w:eastAsia="宋体" w:cs="宋体"/>
          <w:b/>
          <w:bCs/>
          <w:color w:val="auto"/>
          <w:highlight w:val="none"/>
          <w:u w:val="single"/>
        </w:rPr>
      </w:pPr>
    </w:p>
    <w:p>
      <w:pPr>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br w:type="page"/>
      </w:r>
    </w:p>
    <w:p>
      <w:pPr>
        <w:pStyle w:val="7"/>
        <w:jc w:val="center"/>
        <w:rPr>
          <w:rFonts w:hint="eastAsia" w:ascii="宋体" w:hAnsi="宋体" w:eastAsia="宋体" w:cs="宋体"/>
          <w:color w:val="auto"/>
          <w:highlight w:val="none"/>
        </w:rPr>
      </w:pPr>
      <w:bookmarkStart w:id="1278" w:name="_Toc5986"/>
      <w:bookmarkStart w:id="1279" w:name="_Toc19412"/>
      <w:bookmarkStart w:id="1280" w:name="_Toc9116"/>
      <w:bookmarkStart w:id="1281" w:name="_Toc5776"/>
      <w:bookmarkStart w:id="1282" w:name="_Toc9835"/>
      <w:bookmarkStart w:id="1283" w:name="_Toc7467"/>
      <w:bookmarkStart w:id="1284" w:name="_Toc5578"/>
      <w:bookmarkStart w:id="1285" w:name="_Toc1291"/>
      <w:bookmarkStart w:id="1286" w:name="_Toc4887"/>
      <w:bookmarkStart w:id="1287" w:name="_Toc23103"/>
      <w:bookmarkStart w:id="1288" w:name="_Toc21866"/>
      <w:bookmarkStart w:id="1289" w:name="_Toc29085"/>
      <w:bookmarkStart w:id="1290" w:name="_Toc5478"/>
      <w:bookmarkStart w:id="1291" w:name="_Toc25901"/>
      <w:bookmarkStart w:id="1292" w:name="_Toc21578"/>
      <w:bookmarkStart w:id="1293" w:name="_Toc10419"/>
      <w:bookmarkStart w:id="1294" w:name="_Toc28782"/>
      <w:bookmarkStart w:id="1295" w:name="_Toc6128"/>
      <w:bookmarkStart w:id="1296" w:name="_Toc6849"/>
      <w:r>
        <w:rPr>
          <w:rFonts w:hint="eastAsia" w:ascii="宋体" w:hAnsi="宋体" w:eastAsia="宋体" w:cs="宋体"/>
          <w:color w:val="auto"/>
          <w:highlight w:val="none"/>
        </w:rPr>
        <w:t>初步评审—资格性审查表</w:t>
      </w:r>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tbl>
      <w:tblPr>
        <w:tblStyle w:val="26"/>
        <w:tblpPr w:leftFromText="180" w:rightFromText="180" w:vertAnchor="text" w:horzAnchor="page" w:tblpXSpec="center" w:tblpY="234"/>
        <w:tblOverlap w:val="never"/>
        <w:tblW w:w="10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191"/>
        <w:gridCol w:w="900"/>
        <w:gridCol w:w="792"/>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65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19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评审内容</w:t>
            </w:r>
          </w:p>
        </w:tc>
        <w:tc>
          <w:tcPr>
            <w:tcW w:w="268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p>
        </w:tc>
        <w:tc>
          <w:tcPr>
            <w:tcW w:w="719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是否合格</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是否合格</w:t>
            </w: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w:t>
            </w:r>
          </w:p>
        </w:tc>
        <w:tc>
          <w:tcPr>
            <w:tcW w:w="71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2"/>
                <w:sz w:val="21"/>
                <w:szCs w:val="21"/>
                <w:highlight w:val="none"/>
              </w:rPr>
            </w:pPr>
            <w:r>
              <w:rPr>
                <w:rFonts w:hint="eastAsia" w:ascii="宋体" w:hAnsi="宋体" w:cs="宋体"/>
                <w:b w:val="0"/>
                <w:bCs w:val="0"/>
                <w:color w:val="auto"/>
                <w:spacing w:val="-2"/>
                <w:sz w:val="21"/>
                <w:szCs w:val="21"/>
                <w:highlight w:val="none"/>
                <w:lang w:val="en-US" w:eastAsia="zh-CN"/>
              </w:rPr>
              <w:t>具有有效的独立法人营业执照</w:t>
            </w:r>
            <w:r>
              <w:rPr>
                <w:rFonts w:hint="eastAsia" w:ascii="宋体" w:hAnsi="宋体" w:eastAsia="宋体" w:cs="宋体"/>
                <w:b w:val="0"/>
                <w:bCs w:val="0"/>
                <w:color w:val="auto"/>
                <w:spacing w:val="-2"/>
                <w:sz w:val="21"/>
                <w:szCs w:val="21"/>
                <w:highlight w:val="none"/>
                <w:lang w:val="en-US" w:eastAsia="zh-CN"/>
              </w:rPr>
              <w:t>；</w:t>
            </w:r>
          </w:p>
        </w:tc>
        <w:tc>
          <w:tcPr>
            <w:tcW w:w="9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99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p>
        </w:tc>
        <w:tc>
          <w:tcPr>
            <w:tcW w:w="71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法定代表人授权书、被授权人身份证；(法定代表人投标须提供身份证)</w:t>
            </w:r>
          </w:p>
        </w:tc>
        <w:tc>
          <w:tcPr>
            <w:tcW w:w="9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99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3</w:t>
            </w:r>
          </w:p>
        </w:tc>
        <w:tc>
          <w:tcPr>
            <w:tcW w:w="71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2"/>
                <w:sz w:val="21"/>
                <w:szCs w:val="21"/>
                <w:highlight w:val="none"/>
                <w:lang w:val="en-US" w:eastAsia="zh-CN"/>
              </w:rPr>
            </w:pPr>
            <w:r>
              <w:rPr>
                <w:rFonts w:hint="eastAsia" w:ascii="宋体" w:hAnsi="宋体" w:cs="宋体"/>
                <w:b w:val="0"/>
                <w:bCs w:val="0"/>
                <w:color w:val="auto"/>
                <w:spacing w:val="-2"/>
                <w:sz w:val="21"/>
                <w:szCs w:val="21"/>
                <w:highlight w:val="none"/>
                <w:lang w:val="en-US" w:eastAsia="zh-CN"/>
              </w:rPr>
              <w:t>第二包提供《医疗器械生产企业许可证》或《医疗器械经营企业许可证》（所投产品为二类医疗器械的需提供二类医疗器械备案凭证）</w:t>
            </w:r>
            <w:r>
              <w:rPr>
                <w:rFonts w:hint="eastAsia" w:ascii="宋体" w:hAnsi="宋体" w:eastAsia="宋体" w:cs="宋体"/>
                <w:b w:val="0"/>
                <w:bCs w:val="0"/>
                <w:color w:val="auto"/>
                <w:spacing w:val="-2"/>
                <w:sz w:val="21"/>
                <w:szCs w:val="21"/>
                <w:highlight w:val="none"/>
                <w:lang w:val="en-US" w:eastAsia="zh-CN"/>
              </w:rPr>
              <w:t>；</w:t>
            </w:r>
          </w:p>
        </w:tc>
        <w:tc>
          <w:tcPr>
            <w:tcW w:w="9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99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lang w:eastAsia="zh-CN"/>
              </w:rPr>
            </w:pPr>
            <w:r>
              <w:rPr>
                <w:rFonts w:hint="eastAsia" w:ascii="宋体" w:hAnsi="宋体" w:cs="宋体"/>
                <w:color w:val="auto"/>
                <w:spacing w:val="-2"/>
                <w:sz w:val="21"/>
                <w:szCs w:val="21"/>
                <w:highlight w:val="none"/>
                <w:lang w:val="en-US" w:eastAsia="zh-CN"/>
              </w:rPr>
              <w:t>4</w:t>
            </w:r>
          </w:p>
        </w:tc>
        <w:tc>
          <w:tcPr>
            <w:tcW w:w="7191" w:type="dxa"/>
            <w:vAlign w:val="center"/>
          </w:tcPr>
          <w:p>
            <w:pPr>
              <w:pageBreakBefore w:val="0"/>
              <w:widowControl w:val="0"/>
              <w:kinsoku/>
              <w:wordWrap/>
              <w:overflowPunct/>
              <w:topLinePunct w:val="0"/>
              <w:bidi w:val="0"/>
              <w:snapToGrid/>
              <w:spacing w:line="39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依法缴纳近6个月任意1个月的社会保险凭据；</w:t>
            </w:r>
          </w:p>
        </w:tc>
        <w:tc>
          <w:tcPr>
            <w:tcW w:w="9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99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6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lang w:eastAsia="zh-CN"/>
              </w:rPr>
            </w:pPr>
            <w:r>
              <w:rPr>
                <w:rFonts w:hint="eastAsia" w:ascii="宋体" w:hAnsi="宋体" w:cs="宋体"/>
                <w:color w:val="auto"/>
                <w:spacing w:val="-2"/>
                <w:sz w:val="21"/>
                <w:szCs w:val="21"/>
                <w:highlight w:val="none"/>
                <w:lang w:val="en-US" w:eastAsia="zh-CN"/>
              </w:rPr>
              <w:t>5</w:t>
            </w:r>
          </w:p>
        </w:tc>
        <w:tc>
          <w:tcPr>
            <w:tcW w:w="71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税务部门出具近6个月任意1个月的完税证明</w:t>
            </w:r>
            <w:r>
              <w:rPr>
                <w:rFonts w:hint="eastAsia" w:ascii="宋体" w:hAnsi="宋体" w:eastAsia="宋体" w:cs="宋体"/>
                <w:b w:val="0"/>
                <w:bCs w:val="0"/>
                <w:color w:val="auto"/>
                <w:sz w:val="21"/>
                <w:szCs w:val="21"/>
                <w:highlight w:val="none"/>
                <w:lang w:val="en-US" w:eastAsia="zh-CN"/>
              </w:rPr>
              <w:t>；</w:t>
            </w:r>
          </w:p>
        </w:tc>
        <w:tc>
          <w:tcPr>
            <w:tcW w:w="9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99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lang w:eastAsia="zh-CN"/>
              </w:rPr>
            </w:pPr>
            <w:r>
              <w:rPr>
                <w:rFonts w:hint="eastAsia" w:ascii="宋体" w:hAnsi="宋体" w:cs="宋体"/>
                <w:color w:val="auto"/>
                <w:spacing w:val="-2"/>
                <w:sz w:val="21"/>
                <w:szCs w:val="21"/>
                <w:highlight w:val="none"/>
                <w:lang w:val="en-US" w:eastAsia="zh-CN"/>
              </w:rPr>
              <w:t>6</w:t>
            </w:r>
          </w:p>
        </w:tc>
        <w:tc>
          <w:tcPr>
            <w:tcW w:w="71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近两年任意一年的财务审计报告；</w:t>
            </w:r>
          </w:p>
        </w:tc>
        <w:tc>
          <w:tcPr>
            <w:tcW w:w="9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99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lang w:eastAsia="zh-CN"/>
              </w:rPr>
            </w:pPr>
            <w:r>
              <w:rPr>
                <w:rFonts w:hint="eastAsia" w:ascii="宋体" w:hAnsi="宋体" w:cs="宋体"/>
                <w:color w:val="auto"/>
                <w:spacing w:val="-2"/>
                <w:sz w:val="21"/>
                <w:szCs w:val="21"/>
                <w:highlight w:val="none"/>
                <w:lang w:val="en-US" w:eastAsia="zh-CN"/>
              </w:rPr>
              <w:t>7</w:t>
            </w:r>
          </w:p>
        </w:tc>
        <w:tc>
          <w:tcPr>
            <w:tcW w:w="71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color w:val="auto"/>
                <w:sz w:val="21"/>
                <w:szCs w:val="21"/>
                <w:highlight w:val="none"/>
                <w:lang w:val="en-US" w:eastAsia="zh-CN"/>
              </w:rPr>
              <w:t>提供针对本次项目《反商业贿赂承诺书》；</w:t>
            </w:r>
          </w:p>
        </w:tc>
        <w:tc>
          <w:tcPr>
            <w:tcW w:w="9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99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lang w:eastAsia="zh-CN"/>
              </w:rPr>
            </w:pPr>
            <w:r>
              <w:rPr>
                <w:rFonts w:hint="eastAsia" w:ascii="宋体" w:hAnsi="宋体" w:cs="宋体"/>
                <w:color w:val="auto"/>
                <w:spacing w:val="-2"/>
                <w:sz w:val="21"/>
                <w:szCs w:val="21"/>
                <w:highlight w:val="none"/>
                <w:lang w:val="en-US" w:eastAsia="zh-CN"/>
              </w:rPr>
              <w:t>8</w:t>
            </w:r>
          </w:p>
        </w:tc>
        <w:tc>
          <w:tcPr>
            <w:tcW w:w="719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pacing w:val="-2"/>
                <w:sz w:val="21"/>
                <w:szCs w:val="21"/>
                <w:highlight w:val="none"/>
                <w:lang w:val="en-US"/>
              </w:rPr>
            </w:pPr>
            <w:r>
              <w:rPr>
                <w:rFonts w:hint="eastAsia" w:ascii="宋体" w:hAnsi="宋体" w:eastAsia="宋体" w:cs="宋体"/>
                <w:color w:val="auto"/>
                <w:sz w:val="21"/>
                <w:szCs w:val="21"/>
                <w:highlight w:val="none"/>
                <w:lang w:val="en-US" w:eastAsia="zh-CN"/>
              </w:rPr>
              <w:t>参与政府采购活动前3年内未被列入失信、重大税收违法案件、财政部门禁止参加政府采购活动的承诺书；</w:t>
            </w:r>
          </w:p>
        </w:tc>
        <w:tc>
          <w:tcPr>
            <w:tcW w:w="9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99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lang w:eastAsia="zh-CN"/>
              </w:rPr>
            </w:pPr>
            <w:r>
              <w:rPr>
                <w:rFonts w:hint="eastAsia" w:ascii="宋体" w:hAnsi="宋体" w:cs="宋体"/>
                <w:color w:val="auto"/>
                <w:spacing w:val="-2"/>
                <w:sz w:val="21"/>
                <w:szCs w:val="21"/>
                <w:highlight w:val="none"/>
                <w:lang w:val="en-US" w:eastAsia="zh-CN"/>
              </w:rPr>
              <w:t>9</w:t>
            </w:r>
          </w:p>
        </w:tc>
        <w:tc>
          <w:tcPr>
            <w:tcW w:w="71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tc>
        <w:tc>
          <w:tcPr>
            <w:tcW w:w="9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99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10</w:t>
            </w:r>
          </w:p>
        </w:tc>
        <w:tc>
          <w:tcPr>
            <w:tcW w:w="71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z w:val="21"/>
                <w:szCs w:val="21"/>
                <w:highlight w:val="none"/>
                <w:lang w:val="en-US" w:eastAsia="zh-CN"/>
              </w:rPr>
              <w:t>缴纳投标保证金有效凭证。</w:t>
            </w:r>
          </w:p>
        </w:tc>
        <w:tc>
          <w:tcPr>
            <w:tcW w:w="9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99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2"/>
                <w:sz w:val="21"/>
                <w:szCs w:val="21"/>
                <w:highlight w:val="none"/>
                <w:lang w:val="en-US" w:eastAsia="zh-CN"/>
              </w:rPr>
            </w:pPr>
          </w:p>
        </w:tc>
        <w:tc>
          <w:tcPr>
            <w:tcW w:w="71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结论</w:t>
            </w:r>
          </w:p>
        </w:tc>
        <w:tc>
          <w:tcPr>
            <w:tcW w:w="9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99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bl>
    <w:p>
      <w:pPr>
        <w:spacing w:line="360" w:lineRule="exact"/>
        <w:ind w:left="6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b/>
          <w:bCs/>
          <w:color w:val="auto"/>
          <w:szCs w:val="21"/>
          <w:highlight w:val="none"/>
        </w:rPr>
        <w:t>未通过资格审查的供应商不进入评标；通过资格审查的供应商少于不足三家的，不得评标。</w:t>
      </w:r>
    </w:p>
    <w:p>
      <w:pPr>
        <w:outlineLvl w:val="9"/>
        <w:rPr>
          <w:rFonts w:hint="eastAsia" w:ascii="宋体" w:hAnsi="宋体" w:eastAsia="宋体" w:cs="宋体"/>
          <w:b/>
          <w:bCs/>
          <w:color w:val="auto"/>
          <w:szCs w:val="21"/>
          <w:highlight w:val="none"/>
        </w:rPr>
      </w:pPr>
    </w:p>
    <w:p>
      <w:pPr>
        <w:rPr>
          <w:rFonts w:hint="eastAsia" w:ascii="宋体" w:hAnsi="宋体" w:eastAsia="宋体" w:cs="宋体"/>
          <w:color w:val="auto"/>
          <w:highlight w:val="none"/>
        </w:rPr>
      </w:pPr>
      <w:bookmarkStart w:id="1297" w:name="_Toc30395"/>
      <w:bookmarkStart w:id="1298" w:name="_Toc16022"/>
      <w:bookmarkStart w:id="1299" w:name="_Toc3062"/>
      <w:bookmarkStart w:id="1300" w:name="_Toc31983"/>
      <w:bookmarkStart w:id="1301" w:name="_Toc18094"/>
      <w:bookmarkStart w:id="1302" w:name="_Toc28858"/>
      <w:bookmarkStart w:id="1303" w:name="_Toc28666"/>
      <w:bookmarkStart w:id="1304" w:name="_Toc10492"/>
      <w:bookmarkStart w:id="1305" w:name="_Toc21850"/>
      <w:bookmarkStart w:id="1306" w:name="_Toc12108"/>
      <w:bookmarkStart w:id="1307" w:name="_Toc13854"/>
      <w:bookmarkStart w:id="1308" w:name="_Toc8255"/>
      <w:bookmarkStart w:id="1309" w:name="_Toc27246"/>
      <w:bookmarkStart w:id="1310" w:name="_Toc26642"/>
      <w:bookmarkStart w:id="1311" w:name="_Toc14007"/>
      <w:bookmarkStart w:id="1312" w:name="_Toc273"/>
      <w:bookmarkStart w:id="1313" w:name="_Toc14252"/>
      <w:bookmarkStart w:id="1314" w:name="_Toc3927"/>
      <w:r>
        <w:rPr>
          <w:rFonts w:hint="eastAsia" w:ascii="宋体" w:hAnsi="宋体" w:eastAsia="宋体" w:cs="宋体"/>
          <w:color w:val="auto"/>
          <w:highlight w:val="none"/>
        </w:rPr>
        <w:br w:type="page"/>
      </w:r>
    </w:p>
    <w:p>
      <w:pPr>
        <w:pStyle w:val="7"/>
        <w:rPr>
          <w:rFonts w:hint="eastAsia" w:ascii="宋体" w:hAnsi="宋体" w:eastAsia="宋体" w:cs="宋体"/>
          <w:color w:val="auto"/>
          <w:highlight w:val="none"/>
        </w:rPr>
      </w:pPr>
      <w:bookmarkStart w:id="1315" w:name="_Toc32023"/>
      <w:r>
        <w:rPr>
          <w:rFonts w:hint="eastAsia" w:ascii="宋体" w:hAnsi="宋体" w:eastAsia="宋体" w:cs="宋体"/>
          <w:color w:val="auto"/>
          <w:highlight w:val="none"/>
        </w:rPr>
        <w:t>初步评审—符合性审查表</w:t>
      </w:r>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tbl>
      <w:tblPr>
        <w:tblStyle w:val="26"/>
        <w:tblpPr w:leftFromText="180" w:rightFromText="180" w:vertAnchor="text" w:horzAnchor="page" w:tblpXSpec="center" w:tblpY="262"/>
        <w:tblOverlap w:val="never"/>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681"/>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1158" w:type="dxa"/>
            <w:vAlign w:val="center"/>
          </w:tcPr>
          <w:p>
            <w:pPr>
              <w:spacing w:line="400" w:lineRule="exact"/>
              <w:jc w:val="center"/>
              <w:rPr>
                <w:rFonts w:hint="eastAsia" w:ascii="宋体" w:hAnsi="宋体" w:eastAsia="宋体" w:cs="宋体"/>
                <w:color w:val="auto"/>
                <w:spacing w:val="-2"/>
                <w:sz w:val="21"/>
                <w:szCs w:val="21"/>
                <w:highlight w:val="none"/>
              </w:rPr>
            </w:pPr>
            <w:r>
              <w:rPr>
                <w:rFonts w:hint="eastAsia" w:ascii="宋体" w:hAnsi="宋体" w:eastAsia="宋体" w:cs="宋体"/>
                <w:b/>
                <w:color w:val="auto"/>
                <w:sz w:val="21"/>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6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c>
          <w:tcPr>
            <w:tcW w:w="1158" w:type="dxa"/>
            <w:vAlign w:val="center"/>
          </w:tcPr>
          <w:p>
            <w:pPr>
              <w:spacing w:line="400" w:lineRule="exact"/>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各供应商投标报价未高于预算金额；</w:t>
            </w:r>
          </w:p>
        </w:tc>
        <w:tc>
          <w:tcPr>
            <w:tcW w:w="1158" w:type="dxa"/>
            <w:vAlign w:val="center"/>
          </w:tcPr>
          <w:p>
            <w:pPr>
              <w:spacing w:line="400" w:lineRule="exact"/>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评标委员会认为供应商的报价无明显低于其他通过</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性审查供应商的报价的，供应商的报价不存在异常一致并成规律性的，其报价合理；</w:t>
            </w:r>
          </w:p>
        </w:tc>
        <w:tc>
          <w:tcPr>
            <w:tcW w:w="1158" w:type="dxa"/>
            <w:vAlign w:val="center"/>
          </w:tcPr>
          <w:p>
            <w:pPr>
              <w:spacing w:line="400" w:lineRule="exact"/>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按照招标文件的规定编制、标记及签章，法定代表人或其授权代表</w:t>
            </w:r>
            <w:r>
              <w:rPr>
                <w:rFonts w:hint="eastAsia" w:ascii="宋体" w:hAnsi="宋体" w:eastAsia="宋体" w:cs="宋体"/>
                <w:color w:val="auto"/>
                <w:sz w:val="21"/>
                <w:szCs w:val="21"/>
                <w:highlight w:val="none"/>
                <w:lang w:val="en-US" w:eastAsia="zh-CN"/>
              </w:rPr>
              <w:t>签</w:t>
            </w:r>
            <w:r>
              <w:rPr>
                <w:rFonts w:hint="eastAsia" w:ascii="宋体" w:hAnsi="宋体" w:eastAsia="宋体" w:cs="宋体"/>
                <w:color w:val="auto"/>
                <w:sz w:val="21"/>
                <w:szCs w:val="21"/>
                <w:highlight w:val="none"/>
              </w:rPr>
              <w:t>章；</w:t>
            </w:r>
          </w:p>
        </w:tc>
        <w:tc>
          <w:tcPr>
            <w:tcW w:w="1158" w:type="dxa"/>
            <w:vAlign w:val="center"/>
          </w:tcPr>
          <w:p>
            <w:pPr>
              <w:spacing w:line="40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所投产品的设备及数量满足招标文件要求；</w:t>
            </w:r>
          </w:p>
        </w:tc>
        <w:tc>
          <w:tcPr>
            <w:tcW w:w="1158" w:type="dxa"/>
            <w:vAlign w:val="center"/>
          </w:tcPr>
          <w:p>
            <w:pPr>
              <w:spacing w:line="400" w:lineRule="exact"/>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按招标文件规定的格式填写，内容全</w:t>
            </w:r>
            <w:r>
              <w:rPr>
                <w:rFonts w:hint="eastAsia" w:ascii="宋体" w:hAnsi="宋体" w:eastAsia="宋体" w:cs="宋体"/>
                <w:color w:val="auto"/>
                <w:sz w:val="21"/>
                <w:szCs w:val="21"/>
                <w:highlight w:val="none"/>
                <w:lang w:val="en-US" w:eastAsia="zh-CN"/>
              </w:rPr>
              <w:t>面</w:t>
            </w:r>
            <w:r>
              <w:rPr>
                <w:rFonts w:hint="eastAsia" w:ascii="宋体" w:hAnsi="宋体" w:eastAsia="宋体" w:cs="宋体"/>
                <w:color w:val="auto"/>
                <w:sz w:val="21"/>
                <w:szCs w:val="21"/>
                <w:highlight w:val="none"/>
              </w:rPr>
              <w:t>；</w:t>
            </w:r>
          </w:p>
        </w:tc>
        <w:tc>
          <w:tcPr>
            <w:tcW w:w="1158" w:type="dxa"/>
            <w:vAlign w:val="center"/>
          </w:tcPr>
          <w:p>
            <w:pPr>
              <w:spacing w:line="400" w:lineRule="exact"/>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没有采购人不能接受的附加条件的；</w:t>
            </w:r>
          </w:p>
        </w:tc>
        <w:tc>
          <w:tcPr>
            <w:tcW w:w="1158" w:type="dxa"/>
            <w:vAlign w:val="center"/>
          </w:tcPr>
          <w:p>
            <w:pPr>
              <w:spacing w:line="400" w:lineRule="exact"/>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不同供应商的投标文件</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没有错漏一致的情况；</w:t>
            </w:r>
          </w:p>
        </w:tc>
        <w:tc>
          <w:tcPr>
            <w:tcW w:w="11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符合招标文件中规定的要求；</w:t>
            </w:r>
          </w:p>
        </w:tc>
        <w:tc>
          <w:tcPr>
            <w:tcW w:w="11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供应商附有详细地址、联系人、电话标明的；</w:t>
            </w:r>
          </w:p>
        </w:tc>
        <w:tc>
          <w:tcPr>
            <w:tcW w:w="11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3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结论：通过评审打“√”，未通过评审打“×”</w:t>
            </w:r>
          </w:p>
        </w:tc>
        <w:tc>
          <w:tcPr>
            <w:tcW w:w="11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（1）上述各项中用“√”表示合格，“×”表示不合格；</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（2）上述各项中如有一项为“×”，则结论为“×”，表示该投标文件中存在重大偏差，不能通过初步评审；评委对某一分项评审认为不合格时，必须要写明原因。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（3）投标文件最终合格与否，以所有评委的评审意见中少数服从多数为原则定论。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未通过</w:t>
      </w:r>
      <w:r>
        <w:rPr>
          <w:rFonts w:hint="eastAsia" w:ascii="宋体" w:hAnsi="宋体" w:cs="宋体"/>
          <w:b/>
          <w:bCs/>
          <w:color w:val="auto"/>
          <w:sz w:val="21"/>
          <w:szCs w:val="21"/>
          <w:highlight w:val="none"/>
          <w:lang w:val="en-US" w:eastAsia="zh-CN"/>
        </w:rPr>
        <w:t>符合</w:t>
      </w:r>
      <w:r>
        <w:rPr>
          <w:rFonts w:hint="eastAsia" w:ascii="宋体" w:hAnsi="宋体" w:eastAsia="宋体" w:cs="宋体"/>
          <w:b/>
          <w:bCs/>
          <w:color w:val="auto"/>
          <w:sz w:val="21"/>
          <w:szCs w:val="21"/>
          <w:highlight w:val="none"/>
        </w:rPr>
        <w:t>审查的供应商不进入评标；通过</w:t>
      </w:r>
      <w:r>
        <w:rPr>
          <w:rFonts w:hint="eastAsia" w:ascii="宋体" w:hAnsi="宋体" w:cs="宋体"/>
          <w:b/>
          <w:bCs/>
          <w:color w:val="auto"/>
          <w:sz w:val="21"/>
          <w:szCs w:val="21"/>
          <w:highlight w:val="none"/>
          <w:lang w:val="en-US" w:eastAsia="zh-CN"/>
        </w:rPr>
        <w:t>符合</w:t>
      </w:r>
      <w:r>
        <w:rPr>
          <w:rFonts w:hint="eastAsia" w:ascii="宋体" w:hAnsi="宋体" w:eastAsia="宋体" w:cs="宋体"/>
          <w:b/>
          <w:bCs/>
          <w:color w:val="auto"/>
          <w:sz w:val="21"/>
          <w:szCs w:val="21"/>
          <w:highlight w:val="none"/>
        </w:rPr>
        <w:t>审查的供应商少于不足三家的，不得评标。</w:t>
      </w:r>
    </w:p>
    <w:p>
      <w:pPr>
        <w:pStyle w:val="5"/>
        <w:ind w:left="0" w:leftChars="0" w:firstLine="0" w:firstLineChars="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微软雅黑" w:hAnsi="微软雅黑" w:eastAsia="微软雅黑" w:cs="微软雅黑"/>
          <w:color w:val="auto"/>
          <w:highlight w:val="none"/>
        </w:rPr>
      </w:pPr>
      <w:r>
        <w:rPr>
          <w:rFonts w:hint="eastAsia" w:ascii="宋体" w:hAnsi="宋体" w:eastAsia="宋体" w:cs="宋体"/>
          <w:color w:val="auto"/>
          <w:highlight w:val="none"/>
        </w:rPr>
        <w:br w:type="page"/>
      </w:r>
    </w:p>
    <w:tbl>
      <w:tblPr>
        <w:tblStyle w:val="26"/>
        <w:tblW w:w="10233" w:type="dxa"/>
        <w:tblInd w:w="-430" w:type="dxa"/>
        <w:tblLayout w:type="fixed"/>
        <w:tblCellMar>
          <w:top w:w="0" w:type="dxa"/>
          <w:left w:w="108" w:type="dxa"/>
          <w:bottom w:w="0" w:type="dxa"/>
          <w:right w:w="108" w:type="dxa"/>
        </w:tblCellMar>
      </w:tblPr>
      <w:tblGrid>
        <w:gridCol w:w="3087"/>
        <w:gridCol w:w="5651"/>
        <w:gridCol w:w="545"/>
        <w:gridCol w:w="459"/>
        <w:gridCol w:w="491"/>
      </w:tblGrid>
      <w:tr>
        <w:tblPrEx>
          <w:tblCellMar>
            <w:top w:w="0" w:type="dxa"/>
            <w:left w:w="108" w:type="dxa"/>
            <w:bottom w:w="0" w:type="dxa"/>
            <w:right w:w="108" w:type="dxa"/>
          </w:tblCellMar>
        </w:tblPrEx>
        <w:trPr>
          <w:trHeight w:val="585" w:hRule="atLeast"/>
        </w:trPr>
        <w:tc>
          <w:tcPr>
            <w:tcW w:w="10233" w:type="dxa"/>
            <w:gridSpan w:val="5"/>
            <w:tcBorders>
              <w:top w:val="nil"/>
              <w:left w:val="nil"/>
              <w:bottom w:val="single" w:color="auto" w:sz="4" w:space="0"/>
              <w:right w:val="nil"/>
            </w:tcBorders>
            <w:vAlign w:val="center"/>
          </w:tcPr>
          <w:p>
            <w:pPr>
              <w:widowControl/>
              <w:spacing w:line="3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商务符合性审查表</w:t>
            </w:r>
          </w:p>
        </w:tc>
      </w:tr>
      <w:tr>
        <w:tblPrEx>
          <w:tblCellMar>
            <w:top w:w="0" w:type="dxa"/>
            <w:left w:w="108" w:type="dxa"/>
            <w:bottom w:w="0" w:type="dxa"/>
            <w:right w:w="108" w:type="dxa"/>
          </w:tblCellMar>
        </w:tblPrEx>
        <w:trPr>
          <w:trHeight w:val="754"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审查事项</w:t>
            </w:r>
          </w:p>
        </w:tc>
        <w:tc>
          <w:tcPr>
            <w:tcW w:w="149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供应商名称及审查情况</w:t>
            </w:r>
          </w:p>
        </w:tc>
      </w:tr>
      <w:tr>
        <w:tblPrEx>
          <w:tblCellMar>
            <w:top w:w="0" w:type="dxa"/>
            <w:left w:w="108" w:type="dxa"/>
            <w:bottom w:w="0" w:type="dxa"/>
            <w:right w:w="108" w:type="dxa"/>
          </w:tblCellMar>
        </w:tblPrEx>
        <w:trPr>
          <w:trHeight w:val="66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招标文件条款（供应商须知、供应商须知资料表条款号）</w:t>
            </w:r>
          </w:p>
        </w:tc>
        <w:tc>
          <w:tcPr>
            <w:tcW w:w="56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本项目要求</w:t>
            </w:r>
          </w:p>
        </w:tc>
        <w:tc>
          <w:tcPr>
            <w:tcW w:w="5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285"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中小企业投标要求（1.3.6）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i/>
                <w:iCs/>
                <w:color w:val="auto"/>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03"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联合体投标规（1.4）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i/>
                <w:iCs/>
                <w:color w:val="auto"/>
                <w:kern w:val="0"/>
                <w:szCs w:val="21"/>
                <w:highlight w:val="none"/>
                <w:u w:val="single"/>
              </w:rPr>
              <w:t>不接受</w:t>
            </w:r>
            <w:r>
              <w:rPr>
                <w:rFonts w:hint="eastAsia" w:ascii="宋体" w:hAnsi="宋体" w:eastAsia="宋体" w:cs="宋体"/>
                <w:color w:val="auto"/>
                <w:kern w:val="0"/>
                <w:szCs w:val="21"/>
                <w:highlight w:val="none"/>
              </w:rPr>
              <w:t>联合体投标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供应商的关联（1.5）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在同一标包内，单位负责人为非同一人或者不存在直接控股、管理关系的不同供应商。</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未发现影响采购人决策行为（1.5）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供应商在投标过程中未向采购人提供、给予任何有价值的物品，影响其正常决策行为。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121"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满足投标范围的完整性要求（8.1）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供应商对所投分包招标文件中所列的所有内容进行投标。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57"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未包含价格调整要求（11.4）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供应商所报的各分项投标报价在合同履行过程中是固定不变的，不得以任何理由予以变更。</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45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投标保证金（12.1）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符合招标文件要求</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投标有效期满足要求（13.1）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自提交投标文件截止之日起</w:t>
            </w:r>
            <w:r>
              <w:rPr>
                <w:rFonts w:hint="eastAsia" w:ascii="宋体" w:hAnsi="宋体" w:eastAsia="宋体" w:cs="宋体"/>
                <w:color w:val="auto"/>
                <w:szCs w:val="21"/>
                <w:highlight w:val="none"/>
                <w:u w:val="single"/>
              </w:rPr>
              <w:t xml:space="preserve"> 60 日</w:t>
            </w:r>
            <w:r>
              <w:rPr>
                <w:rFonts w:hint="eastAsia" w:ascii="宋体" w:hAnsi="宋体" w:eastAsia="宋体" w:cs="宋体"/>
                <w:color w:val="auto"/>
                <w:szCs w:val="21"/>
                <w:highlight w:val="none"/>
              </w:rPr>
              <w:t>历日</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投标文件的装订方式（14.3）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所有投标文件采用不可拆装的胶订方式装订</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投标文件的签署和盖章符合要求</w:t>
            </w:r>
          </w:p>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（14.2、14.4）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按照招标文件规定要求签署、盖章。</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接受价格的算术修正（20.3）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投标文件报价出现前后不一致的，应按照招标文件规定的顺序修正。修正后的报价经供应商确认后产生约束力。</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符合强制采购节能产品要求（20.6）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i/>
                <w:iCs/>
                <w:color w:val="auto"/>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未发现串通投标（22.2）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未与其他供应商串通投标，或者与招标人串通投标。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报价说明可以接受（22.2）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供应商的报价明显低于其他通过符合性检查供应商的报价，有可能影响履约的，供应商能按照规定证明其报价合理性。</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无采购人不能接受的附加条件（22.2）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投标文件未含有采购人不能接受的附加条件。</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152"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kern w:val="0"/>
                <w:sz w:val="22"/>
                <w:szCs w:val="22"/>
                <w:highlight w:val="none"/>
              </w:rPr>
              <w:t>结论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r>
    </w:tbl>
    <w:p>
      <w:pPr>
        <w:pStyle w:val="12"/>
        <w:tabs>
          <w:tab w:val="clear" w:pos="567"/>
        </w:tabs>
        <w:spacing w:before="0" w:line="360" w:lineRule="exact"/>
        <w:ind w:left="-181" w:leftChars="-86" w:firstLine="660" w:firstLineChars="275"/>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tbl>
      <w:tblPr>
        <w:tblStyle w:val="26"/>
        <w:tblW w:w="8700" w:type="dxa"/>
        <w:tblInd w:w="108" w:type="dxa"/>
        <w:tblLayout w:type="fixed"/>
        <w:tblCellMar>
          <w:top w:w="0" w:type="dxa"/>
          <w:left w:w="108" w:type="dxa"/>
          <w:bottom w:w="0" w:type="dxa"/>
          <w:right w:w="108" w:type="dxa"/>
        </w:tblCellMar>
      </w:tblPr>
      <w:tblGrid>
        <w:gridCol w:w="2820"/>
        <w:gridCol w:w="920"/>
        <w:gridCol w:w="1505"/>
        <w:gridCol w:w="1843"/>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pPr>
              <w:widowControl/>
              <w:spacing w:line="360" w:lineRule="exact"/>
              <w:jc w:val="center"/>
              <w:rPr>
                <w:rFonts w:hint="eastAsia" w:ascii="宋体" w:hAnsi="宋体" w:eastAsia="宋体" w:cs="宋体"/>
                <w:b/>
                <w:bCs/>
                <w:color w:val="auto"/>
                <w:kern w:val="0"/>
                <w:sz w:val="32"/>
                <w:szCs w:val="32"/>
                <w:highlight w:val="none"/>
              </w:rPr>
            </w:pPr>
          </w:p>
          <w:p>
            <w:pPr>
              <w:widowControl/>
              <w:spacing w:line="3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技术符合性审查表</w:t>
            </w:r>
          </w:p>
        </w:tc>
      </w:tr>
      <w:tr>
        <w:tblPrEx>
          <w:tblCellMar>
            <w:top w:w="0" w:type="dxa"/>
            <w:left w:w="108" w:type="dxa"/>
            <w:bottom w:w="0" w:type="dxa"/>
            <w:right w:w="108" w:type="dxa"/>
          </w:tblCellMar>
        </w:tblPrEx>
        <w:trPr>
          <w:trHeight w:val="390" w:hRule="atLeast"/>
        </w:trPr>
        <w:tc>
          <w:tcPr>
            <w:tcW w:w="3740"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审查事项</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供应商名称</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供应商名称</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供应商名称</w:t>
            </w:r>
          </w:p>
        </w:tc>
      </w:tr>
      <w:tr>
        <w:tblPrEx>
          <w:tblCellMar>
            <w:top w:w="0" w:type="dxa"/>
            <w:left w:w="108" w:type="dxa"/>
            <w:bottom w:w="0" w:type="dxa"/>
            <w:right w:w="108" w:type="dxa"/>
          </w:tblCellMar>
        </w:tblPrEx>
        <w:trPr>
          <w:trHeight w:val="570" w:hRule="atLeast"/>
        </w:trPr>
        <w:tc>
          <w:tcPr>
            <w:tcW w:w="37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招标文件要求</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条款号</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货物</w:t>
            </w:r>
            <w:r>
              <w:rPr>
                <w:rFonts w:hint="eastAsia" w:ascii="宋体" w:hAnsi="宋体" w:eastAsia="宋体" w:cs="宋体"/>
                <w:color w:val="auto"/>
                <w:kern w:val="0"/>
                <w:sz w:val="22"/>
                <w:szCs w:val="22"/>
                <w:highlight w:val="none"/>
              </w:rPr>
              <w:t>内容</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第5章</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nil"/>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nil"/>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nil"/>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nil"/>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nil"/>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7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结论</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465" w:hRule="atLeast"/>
        </w:trPr>
        <w:tc>
          <w:tcPr>
            <w:tcW w:w="2820" w:type="dxa"/>
            <w:tcBorders>
              <w:top w:val="nil"/>
              <w:left w:val="nil"/>
              <w:bottom w:val="nil"/>
              <w:right w:val="nil"/>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nil"/>
              <w:right w:val="nil"/>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nil"/>
              <w:right w:val="nil"/>
            </w:tcBorders>
            <w:vAlign w:val="center"/>
          </w:tcPr>
          <w:p>
            <w:pPr>
              <w:widowControl/>
              <w:spacing w:line="360" w:lineRule="exact"/>
              <w:jc w:val="center"/>
              <w:rPr>
                <w:rFonts w:hint="eastAsia" w:ascii="宋体" w:hAnsi="宋体" w:eastAsia="宋体" w:cs="宋体"/>
                <w:color w:val="auto"/>
                <w:kern w:val="0"/>
                <w:sz w:val="20"/>
                <w:szCs w:val="20"/>
                <w:highlight w:val="none"/>
              </w:rPr>
            </w:pPr>
          </w:p>
        </w:tc>
        <w:tc>
          <w:tcPr>
            <w:tcW w:w="1843" w:type="dxa"/>
            <w:tcBorders>
              <w:top w:val="nil"/>
              <w:left w:val="nil"/>
              <w:bottom w:val="nil"/>
              <w:right w:val="nil"/>
            </w:tcBorders>
            <w:vAlign w:val="center"/>
          </w:tcPr>
          <w:p>
            <w:pPr>
              <w:widowControl/>
              <w:spacing w:line="360" w:lineRule="exact"/>
              <w:jc w:val="left"/>
              <w:rPr>
                <w:rFonts w:hint="eastAsia" w:ascii="宋体" w:hAnsi="宋体" w:eastAsia="宋体" w:cs="宋体"/>
                <w:color w:val="auto"/>
                <w:kern w:val="0"/>
                <w:sz w:val="20"/>
                <w:szCs w:val="20"/>
                <w:highlight w:val="none"/>
              </w:rPr>
            </w:pPr>
          </w:p>
        </w:tc>
        <w:tc>
          <w:tcPr>
            <w:tcW w:w="1612" w:type="dxa"/>
            <w:tcBorders>
              <w:top w:val="nil"/>
              <w:left w:val="nil"/>
              <w:bottom w:val="nil"/>
              <w:right w:val="nil"/>
            </w:tcBorders>
            <w:vAlign w:val="center"/>
          </w:tcPr>
          <w:p>
            <w:pPr>
              <w:widowControl/>
              <w:spacing w:line="360" w:lineRule="exact"/>
              <w:jc w:val="left"/>
              <w:rPr>
                <w:rFonts w:hint="eastAsia" w:ascii="宋体" w:hAnsi="宋体" w:eastAsia="宋体" w:cs="宋体"/>
                <w:color w:val="auto"/>
                <w:kern w:val="0"/>
                <w:sz w:val="22"/>
                <w:szCs w:val="22"/>
                <w:highlight w:val="none"/>
              </w:rPr>
            </w:pPr>
          </w:p>
        </w:tc>
      </w:tr>
    </w:tbl>
    <w:p>
      <w:pPr>
        <w:rPr>
          <w:rFonts w:hint="eastAsia" w:ascii="微软雅黑" w:hAnsi="微软雅黑" w:eastAsia="微软雅黑" w:cs="微软雅黑"/>
          <w:color w:val="auto"/>
          <w:highlight w:val="none"/>
        </w:rPr>
        <w:sectPr>
          <w:headerReference r:id="rId7" w:type="default"/>
          <w:footerReference r:id="rId8" w:type="default"/>
          <w:pgSz w:w="11906" w:h="16838"/>
          <w:pgMar w:top="1418" w:right="946" w:bottom="567" w:left="1500" w:header="851" w:footer="992" w:gutter="0"/>
          <w:pgNumType w:fmt="decimal"/>
          <w:cols w:space="720" w:num="1"/>
          <w:docGrid w:type="lines" w:linePitch="312" w:charSpace="0"/>
        </w:sectPr>
      </w:pPr>
    </w:p>
    <w:p>
      <w:pPr>
        <w:pStyle w:val="21"/>
        <w:jc w:val="center"/>
        <w:outlineLvl w:val="1"/>
        <w:rPr>
          <w:rFonts w:hint="eastAsia" w:ascii="宋体" w:hAnsi="宋体" w:eastAsia="宋体" w:cs="宋体"/>
          <w:b/>
          <w:bCs/>
          <w:color w:val="auto"/>
          <w:sz w:val="24"/>
          <w:szCs w:val="24"/>
          <w:highlight w:val="none"/>
        </w:rPr>
      </w:pPr>
      <w:bookmarkStart w:id="1316" w:name="_Toc10081"/>
      <w:bookmarkStart w:id="1317" w:name="_Toc14289"/>
      <w:bookmarkStart w:id="1318" w:name="_Toc507399904"/>
      <w:bookmarkStart w:id="2102" w:name="_GoBack"/>
      <w:bookmarkEnd w:id="2102"/>
      <w:r>
        <w:rPr>
          <w:rFonts w:hint="eastAsia" w:ascii="宋体" w:hAnsi="宋体" w:eastAsia="宋体" w:cs="宋体"/>
          <w:b/>
          <w:bCs/>
          <w:color w:val="auto"/>
          <w:sz w:val="24"/>
          <w:szCs w:val="24"/>
          <w:highlight w:val="none"/>
          <w:lang w:val="en-US" w:eastAsia="zh-CN"/>
        </w:rPr>
        <w:t>第</w:t>
      </w:r>
      <w:r>
        <w:rPr>
          <w:rFonts w:hint="eastAsia" w:ascii="宋体" w:hAnsi="宋体" w:cs="宋体"/>
          <w:b/>
          <w:bCs/>
          <w:color w:val="auto"/>
          <w:sz w:val="24"/>
          <w:szCs w:val="24"/>
          <w:highlight w:val="none"/>
          <w:lang w:val="en-US" w:eastAsia="zh-CN"/>
        </w:rPr>
        <w:t>一包</w:t>
      </w:r>
      <w:r>
        <w:rPr>
          <w:rFonts w:hint="eastAsia" w:ascii="宋体" w:hAnsi="宋体" w:eastAsia="宋体" w:cs="宋体"/>
          <w:b/>
          <w:bCs/>
          <w:color w:val="auto"/>
          <w:sz w:val="24"/>
          <w:szCs w:val="24"/>
          <w:highlight w:val="none"/>
        </w:rPr>
        <w:t>综合评分表</w:t>
      </w:r>
      <w:bookmarkEnd w:id="1316"/>
      <w:bookmarkEnd w:id="1317"/>
    </w:p>
    <w:tbl>
      <w:tblPr>
        <w:tblStyle w:val="26"/>
        <w:tblpPr w:leftFromText="180" w:rightFromText="180" w:vertAnchor="text" w:horzAnchor="page" w:tblpX="1004" w:tblpY="317"/>
        <w:tblOverlap w:val="never"/>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6"/>
        <w:gridCol w:w="1233"/>
        <w:gridCol w:w="600"/>
        <w:gridCol w:w="6076"/>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50" w:hRule="atLeast"/>
        </w:trPr>
        <w:tc>
          <w:tcPr>
            <w:tcW w:w="846" w:type="dxa"/>
            <w:shd w:val="clear" w:color="auto" w:fill="auto"/>
            <w:vAlign w:val="center"/>
          </w:tcPr>
          <w:p>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1233" w:type="dxa"/>
            <w:shd w:val="clear" w:color="auto" w:fill="auto"/>
            <w:vAlign w:val="center"/>
          </w:tcPr>
          <w:p>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评分因素</w:t>
            </w:r>
          </w:p>
          <w:p>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及权重</w:t>
            </w:r>
          </w:p>
        </w:tc>
        <w:tc>
          <w:tcPr>
            <w:tcW w:w="600" w:type="dxa"/>
            <w:shd w:val="clear" w:color="auto" w:fill="auto"/>
            <w:vAlign w:val="center"/>
          </w:tcPr>
          <w:p>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分值</w:t>
            </w:r>
          </w:p>
        </w:tc>
        <w:tc>
          <w:tcPr>
            <w:tcW w:w="6076" w:type="dxa"/>
            <w:shd w:val="clear" w:color="auto" w:fill="auto"/>
            <w:vAlign w:val="center"/>
          </w:tcPr>
          <w:p>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评分标准</w:t>
            </w:r>
          </w:p>
          <w:p>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价   格：30分</w:t>
            </w:r>
            <w:r>
              <w:rPr>
                <w:rFonts w:hint="eastAsia" w:ascii="宋体" w:hAnsi="宋体" w:cs="宋体"/>
                <w:b/>
                <w:bCs/>
                <w:color w:val="auto"/>
                <w:kern w:val="0"/>
                <w:sz w:val="22"/>
                <w:szCs w:val="22"/>
                <w:highlight w:val="none"/>
                <w:lang w:val="en-US" w:eastAsia="zh-CN"/>
              </w:rPr>
              <w:t xml:space="preserve">   </w:t>
            </w:r>
            <w:r>
              <w:rPr>
                <w:rFonts w:hint="eastAsia" w:ascii="宋体" w:hAnsi="宋体" w:eastAsia="宋体" w:cs="宋体"/>
                <w:b/>
                <w:bCs/>
                <w:color w:val="auto"/>
                <w:kern w:val="0"/>
                <w:sz w:val="22"/>
                <w:szCs w:val="22"/>
                <w:highlight w:val="none"/>
              </w:rPr>
              <w:t>商   务：</w:t>
            </w:r>
            <w:r>
              <w:rPr>
                <w:rFonts w:hint="eastAsia" w:ascii="宋体" w:hAnsi="宋体" w:cs="宋体"/>
                <w:b/>
                <w:bCs/>
                <w:color w:val="auto"/>
                <w:kern w:val="0"/>
                <w:sz w:val="22"/>
                <w:szCs w:val="22"/>
                <w:highlight w:val="none"/>
                <w:lang w:val="en-US" w:eastAsia="zh-CN"/>
              </w:rPr>
              <w:t>6</w:t>
            </w:r>
            <w:r>
              <w:rPr>
                <w:rFonts w:hint="eastAsia" w:ascii="宋体" w:hAnsi="宋体" w:eastAsia="宋体" w:cs="宋体"/>
                <w:b/>
                <w:bCs/>
                <w:color w:val="auto"/>
                <w:kern w:val="0"/>
                <w:sz w:val="22"/>
                <w:szCs w:val="22"/>
                <w:highlight w:val="none"/>
              </w:rPr>
              <w:t>分</w:t>
            </w:r>
            <w:r>
              <w:rPr>
                <w:rFonts w:hint="eastAsia" w:ascii="宋体" w:hAnsi="宋体" w:cs="宋体"/>
                <w:b/>
                <w:bCs/>
                <w:color w:val="auto"/>
                <w:kern w:val="0"/>
                <w:sz w:val="22"/>
                <w:szCs w:val="22"/>
                <w:highlight w:val="none"/>
                <w:lang w:val="en-US" w:eastAsia="zh-CN"/>
              </w:rPr>
              <w:t xml:space="preserve">   </w:t>
            </w:r>
            <w:r>
              <w:rPr>
                <w:rFonts w:hint="eastAsia" w:ascii="宋体" w:hAnsi="宋体" w:eastAsia="宋体" w:cs="宋体"/>
                <w:b/>
                <w:bCs/>
                <w:color w:val="auto"/>
                <w:kern w:val="0"/>
                <w:sz w:val="22"/>
                <w:szCs w:val="22"/>
                <w:highlight w:val="none"/>
              </w:rPr>
              <w:t>技   术：</w:t>
            </w:r>
            <w:r>
              <w:rPr>
                <w:rFonts w:hint="eastAsia" w:ascii="宋体" w:hAnsi="宋体" w:cs="宋体"/>
                <w:b/>
                <w:bCs/>
                <w:color w:val="auto"/>
                <w:kern w:val="0"/>
                <w:sz w:val="22"/>
                <w:szCs w:val="22"/>
                <w:highlight w:val="none"/>
                <w:lang w:val="en-US" w:eastAsia="zh-CN"/>
              </w:rPr>
              <w:t>64</w:t>
            </w:r>
            <w:r>
              <w:rPr>
                <w:rFonts w:hint="eastAsia" w:ascii="宋体" w:hAnsi="宋体" w:eastAsia="宋体" w:cs="宋体"/>
                <w:b/>
                <w:bCs/>
                <w:color w:val="auto"/>
                <w:kern w:val="0"/>
                <w:sz w:val="22"/>
                <w:szCs w:val="22"/>
                <w:highlight w:val="none"/>
              </w:rPr>
              <w:t xml:space="preserve">分              </w:t>
            </w:r>
          </w:p>
        </w:tc>
        <w:tc>
          <w:tcPr>
            <w:tcW w:w="1343" w:type="dxa"/>
            <w:shd w:val="clear" w:color="auto" w:fill="auto"/>
            <w:vAlign w:val="center"/>
          </w:tcPr>
          <w:p>
            <w:pPr>
              <w:pStyle w:val="41"/>
              <w:spacing w:line="28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76" w:hRule="atLeast"/>
        </w:trPr>
        <w:tc>
          <w:tcPr>
            <w:tcW w:w="846" w:type="dxa"/>
            <w:shd w:val="clear" w:color="auto" w:fill="auto"/>
            <w:vAlign w:val="center"/>
          </w:tcPr>
          <w:p>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价格评分标准</w:t>
            </w:r>
          </w:p>
        </w:tc>
        <w:tc>
          <w:tcPr>
            <w:tcW w:w="1233"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投标报价</w:t>
            </w:r>
          </w:p>
        </w:tc>
        <w:tc>
          <w:tcPr>
            <w:tcW w:w="600"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30</w:t>
            </w:r>
          </w:p>
        </w:tc>
        <w:tc>
          <w:tcPr>
            <w:tcW w:w="6076" w:type="dxa"/>
            <w:shd w:val="clear" w:color="auto" w:fill="auto"/>
            <w:vAlign w:val="center"/>
          </w:tcPr>
          <w:p>
            <w:pPr>
              <w:widowControl/>
              <w:spacing w:line="28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完全满足招标文件参数的投标报价中的最低价为评标基准价，按照下列公式计算每个供应商的投标价格得分。投标报价得分＝（基准价/投标报价）×价格权重×100。</w:t>
            </w:r>
            <w:r>
              <w:rPr>
                <w:rFonts w:hint="eastAsia" w:ascii="宋体" w:hAnsi="宋体" w:eastAsia="宋体" w:cs="宋体"/>
                <w:b/>
                <w:bCs/>
                <w:iCs/>
                <w:color w:val="auto"/>
                <w:sz w:val="21"/>
                <w:szCs w:val="21"/>
                <w:highlight w:val="none"/>
                <w:lang w:eastAsia="zh-CN"/>
              </w:rPr>
              <w:t>（注：若为</w:t>
            </w:r>
            <w:r>
              <w:rPr>
                <w:rFonts w:hint="eastAsia" w:ascii="宋体" w:hAnsi="宋体" w:cs="宋体"/>
                <w:b/>
                <w:bCs/>
                <w:iCs/>
                <w:color w:val="auto"/>
                <w:sz w:val="21"/>
                <w:szCs w:val="21"/>
                <w:highlight w:val="none"/>
                <w:lang w:val="en-US" w:eastAsia="zh-CN"/>
              </w:rPr>
              <w:t>小微、微型企业</w:t>
            </w:r>
            <w:r>
              <w:rPr>
                <w:rFonts w:hint="eastAsia" w:ascii="宋体" w:hAnsi="宋体" w:eastAsia="宋体" w:cs="宋体"/>
                <w:b/>
                <w:bCs/>
                <w:iCs/>
                <w:color w:val="auto"/>
                <w:sz w:val="21"/>
                <w:szCs w:val="21"/>
                <w:highlight w:val="none"/>
                <w:lang w:eastAsia="zh-CN"/>
              </w:rPr>
              <w:t xml:space="preserve">，其投标报价扣除 </w:t>
            </w:r>
            <w:r>
              <w:rPr>
                <w:rFonts w:hint="eastAsia" w:ascii="宋体" w:hAnsi="宋体" w:eastAsia="宋体" w:cs="宋体"/>
                <w:b/>
                <w:bCs/>
                <w:iCs/>
                <w:color w:val="auto"/>
                <w:sz w:val="21"/>
                <w:szCs w:val="21"/>
                <w:highlight w:val="none"/>
                <w:lang w:val="en-US" w:eastAsia="zh-CN"/>
              </w:rPr>
              <w:t>10</w:t>
            </w:r>
            <w:r>
              <w:rPr>
                <w:rFonts w:hint="eastAsia" w:ascii="宋体" w:hAnsi="宋体" w:eastAsia="宋体" w:cs="宋体"/>
                <w:b/>
                <w:bCs/>
                <w:iCs/>
                <w:color w:val="auto"/>
                <w:sz w:val="21"/>
                <w:szCs w:val="21"/>
                <w:highlight w:val="none"/>
                <w:lang w:eastAsia="zh-CN"/>
              </w:rPr>
              <w:t xml:space="preserve"> %后参与评审，提供相关证明资料，否</w:t>
            </w:r>
            <w:r>
              <w:rPr>
                <w:rFonts w:hint="eastAsia" w:ascii="宋体" w:hAnsi="宋体" w:eastAsia="宋体" w:cs="宋体"/>
                <w:b/>
                <w:bCs/>
                <w:iCs/>
                <w:color w:val="auto"/>
                <w:sz w:val="21"/>
                <w:szCs w:val="21"/>
                <w:highlight w:val="none"/>
                <w:lang w:val="en-US" w:eastAsia="zh-CN"/>
              </w:rPr>
              <w:t>则</w:t>
            </w:r>
            <w:r>
              <w:rPr>
                <w:rFonts w:hint="eastAsia" w:ascii="宋体" w:hAnsi="宋体" w:eastAsia="宋体" w:cs="宋体"/>
                <w:b/>
                <w:bCs/>
                <w:iCs/>
                <w:color w:val="auto"/>
                <w:sz w:val="21"/>
                <w:szCs w:val="21"/>
                <w:highlight w:val="none"/>
                <w:lang w:eastAsia="zh-CN"/>
              </w:rPr>
              <w:t>无效。）</w:t>
            </w:r>
          </w:p>
        </w:tc>
        <w:tc>
          <w:tcPr>
            <w:tcW w:w="1343" w:type="dxa"/>
            <w:shd w:val="clear" w:color="auto" w:fill="auto"/>
            <w:vAlign w:val="center"/>
          </w:tcPr>
          <w:p>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06" w:hRule="atLeast"/>
        </w:trPr>
        <w:tc>
          <w:tcPr>
            <w:tcW w:w="846" w:type="dxa"/>
            <w:vMerge w:val="restart"/>
            <w:shd w:val="clear" w:color="auto" w:fill="auto"/>
            <w:vAlign w:val="center"/>
          </w:tcPr>
          <w:p>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商务评分标准</w:t>
            </w:r>
          </w:p>
        </w:tc>
        <w:tc>
          <w:tcPr>
            <w:tcW w:w="1233"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业绩</w:t>
            </w:r>
          </w:p>
        </w:tc>
        <w:tc>
          <w:tcPr>
            <w:tcW w:w="600"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4</w:t>
            </w:r>
          </w:p>
        </w:tc>
        <w:tc>
          <w:tcPr>
            <w:tcW w:w="6076" w:type="dxa"/>
            <w:shd w:val="clear" w:color="auto" w:fill="auto"/>
            <w:vAlign w:val="center"/>
          </w:tcPr>
          <w:p>
            <w:pPr>
              <w:widowControl/>
              <w:spacing w:line="280" w:lineRule="exact"/>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提供近三年内类似</w:t>
            </w:r>
            <w:r>
              <w:rPr>
                <w:rFonts w:hint="eastAsia" w:ascii="宋体" w:hAnsi="宋体" w:cs="宋体"/>
                <w:color w:val="auto"/>
                <w:kern w:val="0"/>
                <w:sz w:val="22"/>
                <w:szCs w:val="22"/>
                <w:highlight w:val="none"/>
                <w:lang w:val="en-US" w:eastAsia="zh-CN"/>
              </w:rPr>
              <w:t>项目</w:t>
            </w:r>
            <w:r>
              <w:rPr>
                <w:rFonts w:hint="eastAsia" w:ascii="宋体" w:hAnsi="宋体" w:cs="宋体"/>
                <w:color w:val="auto"/>
                <w:kern w:val="0"/>
                <w:sz w:val="22"/>
                <w:szCs w:val="22"/>
                <w:highlight w:val="none"/>
                <w:lang w:eastAsia="zh-CN"/>
              </w:rPr>
              <w:t>业绩证明材料（中标通知书</w:t>
            </w:r>
            <w:r>
              <w:rPr>
                <w:rFonts w:hint="eastAsia" w:ascii="宋体" w:hAnsi="宋体" w:cs="宋体"/>
                <w:color w:val="auto"/>
                <w:kern w:val="0"/>
                <w:sz w:val="22"/>
                <w:szCs w:val="22"/>
                <w:highlight w:val="none"/>
                <w:lang w:val="en-US" w:eastAsia="zh-CN"/>
              </w:rPr>
              <w:t>及采购</w:t>
            </w:r>
            <w:r>
              <w:rPr>
                <w:rFonts w:hint="eastAsia" w:ascii="宋体" w:hAnsi="宋体" w:cs="宋体"/>
                <w:color w:val="auto"/>
                <w:kern w:val="0"/>
                <w:sz w:val="22"/>
                <w:szCs w:val="22"/>
                <w:highlight w:val="none"/>
                <w:lang w:eastAsia="zh-CN"/>
              </w:rPr>
              <w:t>合同）复印件</w:t>
            </w:r>
            <w:r>
              <w:rPr>
                <w:rFonts w:hint="eastAsia" w:ascii="宋体" w:hAnsi="宋体" w:eastAsia="宋体" w:cs="宋体"/>
                <w:color w:val="auto"/>
                <w:kern w:val="0"/>
                <w:sz w:val="22"/>
                <w:szCs w:val="22"/>
                <w:highlight w:val="none"/>
              </w:rPr>
              <w:t>，每提供一个得</w:t>
            </w: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分，共</w:t>
            </w: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分。</w:t>
            </w:r>
          </w:p>
        </w:tc>
        <w:tc>
          <w:tcPr>
            <w:tcW w:w="1343" w:type="dxa"/>
            <w:vMerge w:val="restart"/>
            <w:shd w:val="clear" w:color="auto" w:fill="auto"/>
            <w:vAlign w:val="center"/>
          </w:tcPr>
          <w:p>
            <w:pPr>
              <w:spacing w:line="28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89" w:hRule="atLeast"/>
        </w:trPr>
        <w:tc>
          <w:tcPr>
            <w:tcW w:w="846" w:type="dxa"/>
            <w:vMerge w:val="continue"/>
            <w:shd w:val="clear" w:color="auto" w:fill="auto"/>
            <w:vAlign w:val="center"/>
          </w:tcPr>
          <w:p>
            <w:pPr>
              <w:widowControl/>
              <w:spacing w:line="280" w:lineRule="exact"/>
              <w:jc w:val="center"/>
              <w:rPr>
                <w:rFonts w:hint="eastAsia" w:ascii="宋体" w:hAnsi="宋体" w:eastAsia="宋体" w:cs="宋体"/>
                <w:b/>
                <w:bCs/>
                <w:color w:val="auto"/>
                <w:kern w:val="0"/>
                <w:sz w:val="22"/>
                <w:szCs w:val="22"/>
                <w:highlight w:val="none"/>
              </w:rPr>
            </w:pPr>
          </w:p>
        </w:tc>
        <w:tc>
          <w:tcPr>
            <w:tcW w:w="1233" w:type="dxa"/>
            <w:shd w:val="clear" w:color="auto" w:fill="auto"/>
            <w:vAlign w:val="center"/>
          </w:tcPr>
          <w:p>
            <w:pPr>
              <w:widowControl/>
              <w:spacing w:line="280" w:lineRule="exact"/>
              <w:jc w:val="left"/>
              <w:rPr>
                <w:rFonts w:hint="default"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bidi="ar-SA"/>
              </w:rPr>
              <w:t>标书制作</w:t>
            </w:r>
          </w:p>
        </w:tc>
        <w:tc>
          <w:tcPr>
            <w:tcW w:w="600" w:type="dxa"/>
            <w:shd w:val="clear" w:color="auto" w:fill="auto"/>
            <w:vAlign w:val="center"/>
          </w:tcPr>
          <w:p>
            <w:pPr>
              <w:widowControl/>
              <w:spacing w:line="280" w:lineRule="exact"/>
              <w:jc w:val="center"/>
              <w:rPr>
                <w:rFonts w:hint="default"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bidi="ar-SA"/>
              </w:rPr>
              <w:t>2</w:t>
            </w:r>
          </w:p>
        </w:tc>
        <w:tc>
          <w:tcPr>
            <w:tcW w:w="6076" w:type="dxa"/>
            <w:shd w:val="clear" w:color="auto" w:fill="auto"/>
            <w:vAlign w:val="center"/>
          </w:tcPr>
          <w:p>
            <w:pPr>
              <w:widowControl/>
              <w:spacing w:line="280" w:lineRule="exact"/>
              <w:jc w:val="left"/>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投标文件目录清晰、</w:t>
            </w:r>
            <w:r>
              <w:rPr>
                <w:rFonts w:hint="eastAsia" w:ascii="宋体" w:hAnsi="宋体" w:cs="宋体"/>
                <w:color w:val="auto"/>
                <w:kern w:val="2"/>
                <w:sz w:val="22"/>
                <w:szCs w:val="22"/>
                <w:highlight w:val="none"/>
                <w:lang w:val="en-US" w:eastAsia="zh-CN" w:bidi="ar-SA"/>
              </w:rPr>
              <w:t>关联点</w:t>
            </w:r>
            <w:r>
              <w:rPr>
                <w:rFonts w:hint="eastAsia" w:ascii="宋体" w:hAnsi="宋体" w:eastAsia="宋体" w:cs="宋体"/>
                <w:color w:val="auto"/>
                <w:kern w:val="2"/>
                <w:sz w:val="22"/>
                <w:szCs w:val="22"/>
                <w:highlight w:val="none"/>
                <w:lang w:val="en-US" w:eastAsia="zh-CN" w:bidi="ar-SA"/>
              </w:rPr>
              <w:t>对应准确，评审内容便于查找得2分，否则不得分。</w:t>
            </w:r>
          </w:p>
        </w:tc>
        <w:tc>
          <w:tcPr>
            <w:tcW w:w="1343" w:type="dxa"/>
            <w:vMerge w:val="continue"/>
            <w:shd w:val="clear" w:color="auto" w:fill="auto"/>
            <w:vAlign w:val="center"/>
          </w:tcPr>
          <w:p>
            <w:pPr>
              <w:spacing w:line="280" w:lineRule="exact"/>
              <w:rPr>
                <w:rFonts w:hint="eastAsia" w:ascii="宋体" w:hAnsi="宋体" w:eastAsia="宋体" w:cs="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56" w:hRule="atLeast"/>
        </w:trPr>
        <w:tc>
          <w:tcPr>
            <w:tcW w:w="846" w:type="dxa"/>
            <w:vMerge w:val="restart"/>
            <w:shd w:val="clear" w:color="auto" w:fill="auto"/>
            <w:vAlign w:val="center"/>
          </w:tcPr>
          <w:p>
            <w:pPr>
              <w:widowControl/>
              <w:spacing w:line="280" w:lineRule="exact"/>
              <w:jc w:val="center"/>
              <w:rPr>
                <w:rFonts w:hint="eastAsia" w:ascii="宋体" w:hAnsi="宋体" w:eastAsia="宋体" w:cs="宋体"/>
                <w:b/>
                <w:bCs/>
                <w:color w:val="auto"/>
                <w:kern w:val="0"/>
                <w:sz w:val="22"/>
                <w:szCs w:val="22"/>
                <w:highlight w:val="none"/>
              </w:rPr>
            </w:pPr>
          </w:p>
          <w:p>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技术评分标准</w:t>
            </w:r>
          </w:p>
        </w:tc>
        <w:tc>
          <w:tcPr>
            <w:tcW w:w="1233"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配置及性能指标</w:t>
            </w:r>
          </w:p>
        </w:tc>
        <w:tc>
          <w:tcPr>
            <w:tcW w:w="600" w:type="dxa"/>
            <w:shd w:val="clear" w:color="auto" w:fill="auto"/>
            <w:vAlign w:val="center"/>
          </w:tcPr>
          <w:p>
            <w:pPr>
              <w:widowControl/>
              <w:spacing w:line="280" w:lineRule="exact"/>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35</w:t>
            </w:r>
          </w:p>
        </w:tc>
        <w:tc>
          <w:tcPr>
            <w:tcW w:w="6076" w:type="dxa"/>
            <w:shd w:val="clear" w:color="auto" w:fill="auto"/>
            <w:vAlign w:val="center"/>
          </w:tcPr>
          <w:p>
            <w:pPr>
              <w:widowControl/>
              <w:spacing w:line="28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根据所投产品的配置与性能指标响应程度打分完全满足招标要求的得</w:t>
            </w:r>
            <w:r>
              <w:rPr>
                <w:rFonts w:hint="eastAsia" w:ascii="宋体" w:hAnsi="宋体" w:cs="宋体"/>
                <w:color w:val="auto"/>
                <w:kern w:val="0"/>
                <w:sz w:val="22"/>
                <w:szCs w:val="22"/>
                <w:highlight w:val="none"/>
                <w:lang w:val="en-US" w:eastAsia="zh-CN"/>
              </w:rPr>
              <w:t>30</w:t>
            </w:r>
            <w:r>
              <w:rPr>
                <w:rFonts w:hint="eastAsia" w:ascii="宋体" w:hAnsi="宋体" w:eastAsia="宋体" w:cs="宋体"/>
                <w:color w:val="auto"/>
                <w:kern w:val="0"/>
                <w:sz w:val="22"/>
                <w:szCs w:val="22"/>
                <w:highlight w:val="none"/>
              </w:rPr>
              <w:t>分；技术参数每有一项正偏离加</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分，最高加5分；</w:t>
            </w:r>
            <w:r>
              <w:rPr>
                <w:rFonts w:hint="eastAsia" w:ascii="宋体" w:hAnsi="宋体" w:cs="宋体"/>
                <w:color w:val="auto"/>
                <w:kern w:val="0"/>
                <w:sz w:val="22"/>
                <w:szCs w:val="22"/>
                <w:highlight w:val="none"/>
                <w:lang w:val="en-US" w:eastAsia="zh-CN"/>
              </w:rPr>
              <w:t>“★”参数</w:t>
            </w:r>
            <w:r>
              <w:rPr>
                <w:rFonts w:hint="eastAsia" w:ascii="宋体" w:hAnsi="宋体" w:eastAsia="宋体" w:cs="宋体"/>
                <w:color w:val="auto"/>
                <w:kern w:val="0"/>
                <w:sz w:val="22"/>
                <w:szCs w:val="22"/>
                <w:highlight w:val="none"/>
              </w:rPr>
              <w:t>每有一项负偏离扣</w:t>
            </w: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分</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一般参数每有一项负偏离扣</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分，直至扣完为止。</w:t>
            </w:r>
          </w:p>
        </w:tc>
        <w:tc>
          <w:tcPr>
            <w:tcW w:w="1343" w:type="dxa"/>
            <w:vMerge w:val="restart"/>
            <w:shd w:val="clear" w:color="auto" w:fill="auto"/>
            <w:vAlign w:val="center"/>
          </w:tcPr>
          <w:p>
            <w:pPr>
              <w:spacing w:line="28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3" w:hRule="atLeast"/>
        </w:trPr>
        <w:tc>
          <w:tcPr>
            <w:tcW w:w="846" w:type="dxa"/>
            <w:vMerge w:val="continue"/>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p>
        </w:tc>
        <w:tc>
          <w:tcPr>
            <w:tcW w:w="1233"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检测报告</w:t>
            </w:r>
          </w:p>
        </w:tc>
        <w:tc>
          <w:tcPr>
            <w:tcW w:w="600"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6</w:t>
            </w:r>
          </w:p>
        </w:tc>
        <w:tc>
          <w:tcPr>
            <w:tcW w:w="6076" w:type="dxa"/>
            <w:shd w:val="clear" w:color="auto" w:fill="auto"/>
            <w:vAlign w:val="center"/>
          </w:tcPr>
          <w:p>
            <w:pPr>
              <w:widowControl/>
              <w:spacing w:line="280" w:lineRule="exact"/>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每提供一个</w:t>
            </w:r>
            <w:r>
              <w:rPr>
                <w:rFonts w:hint="eastAsia" w:ascii="宋体" w:hAnsi="宋体" w:eastAsia="宋体" w:cs="宋体"/>
                <w:color w:val="auto"/>
                <w:kern w:val="0"/>
                <w:sz w:val="22"/>
                <w:szCs w:val="22"/>
                <w:highlight w:val="none"/>
                <w:lang w:val="en-US" w:eastAsia="zh-CN"/>
              </w:rPr>
              <w:t>由</w:t>
            </w:r>
            <w:r>
              <w:rPr>
                <w:rFonts w:hint="eastAsia" w:ascii="宋体" w:hAnsi="宋体" w:eastAsia="宋体" w:cs="宋体"/>
                <w:color w:val="auto"/>
                <w:kern w:val="0"/>
                <w:sz w:val="22"/>
                <w:szCs w:val="22"/>
                <w:highlight w:val="none"/>
              </w:rPr>
              <w:t>国家权威质量检测机构</w:t>
            </w:r>
            <w:r>
              <w:rPr>
                <w:rFonts w:hint="eastAsia" w:ascii="宋体" w:hAnsi="宋体" w:cs="宋体"/>
                <w:color w:val="auto"/>
                <w:kern w:val="0"/>
                <w:sz w:val="22"/>
                <w:szCs w:val="22"/>
                <w:highlight w:val="none"/>
                <w:lang w:val="en-US" w:eastAsia="zh-CN"/>
              </w:rPr>
              <w:t>或第三方机构</w:t>
            </w:r>
            <w:r>
              <w:rPr>
                <w:rFonts w:hint="eastAsia" w:ascii="宋体" w:hAnsi="宋体" w:eastAsia="宋体" w:cs="宋体"/>
                <w:color w:val="auto"/>
                <w:kern w:val="0"/>
                <w:sz w:val="22"/>
                <w:szCs w:val="22"/>
                <w:highlight w:val="none"/>
              </w:rPr>
              <w:t>出具的</w:t>
            </w:r>
            <w:r>
              <w:rPr>
                <w:rFonts w:hint="eastAsia" w:ascii="宋体" w:hAnsi="宋体" w:cs="宋体"/>
                <w:color w:val="auto"/>
                <w:kern w:val="0"/>
                <w:sz w:val="22"/>
                <w:szCs w:val="22"/>
                <w:highlight w:val="none"/>
                <w:lang w:val="en-US" w:eastAsia="zh-CN"/>
              </w:rPr>
              <w:t>完整的设备</w:t>
            </w:r>
            <w:r>
              <w:rPr>
                <w:rFonts w:hint="eastAsia" w:ascii="宋体" w:hAnsi="宋体" w:eastAsia="宋体" w:cs="宋体"/>
                <w:color w:val="auto"/>
                <w:kern w:val="0"/>
                <w:sz w:val="22"/>
                <w:szCs w:val="22"/>
                <w:highlight w:val="none"/>
              </w:rPr>
              <w:t>检测</w:t>
            </w:r>
            <w:r>
              <w:rPr>
                <w:rFonts w:hint="eastAsia" w:ascii="宋体" w:hAnsi="宋体" w:cs="宋体"/>
                <w:color w:val="auto"/>
                <w:kern w:val="0"/>
                <w:sz w:val="22"/>
                <w:szCs w:val="22"/>
                <w:highlight w:val="none"/>
                <w:lang w:val="en-US" w:eastAsia="zh-CN"/>
              </w:rPr>
              <w:t>检验</w:t>
            </w:r>
            <w:r>
              <w:rPr>
                <w:rFonts w:hint="eastAsia" w:ascii="宋体" w:hAnsi="宋体" w:eastAsia="宋体" w:cs="宋体"/>
                <w:color w:val="auto"/>
                <w:kern w:val="0"/>
                <w:sz w:val="22"/>
                <w:szCs w:val="22"/>
                <w:highlight w:val="none"/>
              </w:rPr>
              <w:t>报告</w:t>
            </w:r>
            <w:r>
              <w:rPr>
                <w:rFonts w:hint="eastAsia" w:ascii="宋体" w:hAnsi="宋体" w:cs="宋体"/>
                <w:color w:val="auto"/>
                <w:kern w:val="0"/>
                <w:sz w:val="22"/>
                <w:szCs w:val="22"/>
                <w:highlight w:val="none"/>
                <w:lang w:val="en-US" w:eastAsia="zh-CN"/>
              </w:rPr>
              <w:t>得2分，最高得6分，</w:t>
            </w:r>
            <w:r>
              <w:rPr>
                <w:rFonts w:hint="eastAsia" w:ascii="宋体" w:hAnsi="宋体" w:eastAsia="宋体" w:cs="宋体"/>
                <w:color w:val="auto"/>
                <w:kern w:val="0"/>
                <w:sz w:val="22"/>
                <w:szCs w:val="22"/>
                <w:highlight w:val="none"/>
              </w:rPr>
              <w:t>不提供不得分。</w:t>
            </w:r>
          </w:p>
        </w:tc>
        <w:tc>
          <w:tcPr>
            <w:tcW w:w="1343" w:type="dxa"/>
            <w:vMerge w:val="continue"/>
            <w:shd w:val="clear" w:color="auto" w:fill="auto"/>
            <w:vAlign w:val="center"/>
          </w:tcPr>
          <w:p>
            <w:pPr>
              <w:spacing w:line="28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37" w:hRule="atLeast"/>
        </w:trPr>
        <w:tc>
          <w:tcPr>
            <w:tcW w:w="846" w:type="dxa"/>
            <w:vMerge w:val="continue"/>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p>
        </w:tc>
        <w:tc>
          <w:tcPr>
            <w:tcW w:w="1233"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实施方案</w:t>
            </w:r>
          </w:p>
        </w:tc>
        <w:tc>
          <w:tcPr>
            <w:tcW w:w="600" w:type="dxa"/>
            <w:shd w:val="clear" w:color="auto" w:fill="auto"/>
            <w:vAlign w:val="center"/>
          </w:tcPr>
          <w:p>
            <w:pPr>
              <w:widowControl/>
              <w:spacing w:line="280" w:lineRule="exact"/>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10</w:t>
            </w:r>
          </w:p>
        </w:tc>
        <w:tc>
          <w:tcPr>
            <w:tcW w:w="6076" w:type="dxa"/>
            <w:shd w:val="clear" w:color="auto" w:fill="auto"/>
            <w:vAlign w:val="center"/>
          </w:tcPr>
          <w:p>
            <w:pPr>
              <w:widowControl/>
              <w:spacing w:line="280" w:lineRule="exact"/>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根据供应商提供的服务及设备质量保障措施，送货、安装、调试、检测、验收及安全保障措施，突发事件处理措施及项目实施过程各个环节的时间安排进行打分。完全符合项目实际情况的得10分，方案描述不详细但没有缺失内容且基本符合项目实际情况得7分，方案描述不详细但没有缺失内容且不太符合项目实际情况得4分，方案描述内容有缺失不符合项目实际情况或不提供得0分。</w:t>
            </w:r>
          </w:p>
        </w:tc>
        <w:tc>
          <w:tcPr>
            <w:tcW w:w="1343" w:type="dxa"/>
            <w:vMerge w:val="continue"/>
            <w:shd w:val="clear" w:color="auto" w:fill="auto"/>
            <w:vAlign w:val="center"/>
          </w:tcPr>
          <w:p>
            <w:pPr>
              <w:spacing w:line="28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96" w:hRule="atLeast"/>
        </w:trPr>
        <w:tc>
          <w:tcPr>
            <w:tcW w:w="846" w:type="dxa"/>
            <w:vMerge w:val="continue"/>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p>
        </w:tc>
        <w:tc>
          <w:tcPr>
            <w:tcW w:w="1233"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培训方案</w:t>
            </w:r>
          </w:p>
        </w:tc>
        <w:tc>
          <w:tcPr>
            <w:tcW w:w="600"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4</w:t>
            </w:r>
          </w:p>
        </w:tc>
        <w:tc>
          <w:tcPr>
            <w:tcW w:w="6076" w:type="dxa"/>
            <w:shd w:val="clear" w:color="auto" w:fill="auto"/>
            <w:vAlign w:val="center"/>
          </w:tcPr>
          <w:p>
            <w:pPr>
              <w:widowControl/>
              <w:spacing w:line="28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根据投标人培训方案：①培训时间，②培训地点，③培训内容及方式，④培训教师及资质进行评审。方案切实可行完全符合项目实际情况得4分，不够详细、完善、基本能满足项目需求得2分，缺项或不能满足项目需求或不提供不得分。</w:t>
            </w:r>
          </w:p>
        </w:tc>
        <w:tc>
          <w:tcPr>
            <w:tcW w:w="1343" w:type="dxa"/>
            <w:vMerge w:val="continue"/>
            <w:shd w:val="clear" w:color="auto" w:fill="auto"/>
            <w:vAlign w:val="center"/>
          </w:tcPr>
          <w:p>
            <w:pPr>
              <w:spacing w:line="28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trPr>
        <w:tc>
          <w:tcPr>
            <w:tcW w:w="846" w:type="dxa"/>
            <w:vMerge w:val="continue"/>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p>
        </w:tc>
        <w:tc>
          <w:tcPr>
            <w:tcW w:w="1233"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售后服务</w:t>
            </w:r>
            <w:r>
              <w:rPr>
                <w:rFonts w:hint="eastAsia" w:ascii="宋体" w:hAnsi="宋体" w:cs="宋体"/>
                <w:color w:val="auto"/>
                <w:kern w:val="0"/>
                <w:sz w:val="22"/>
                <w:szCs w:val="22"/>
                <w:highlight w:val="none"/>
                <w:lang w:val="en-US" w:eastAsia="zh-CN"/>
              </w:rPr>
              <w:t>方案</w:t>
            </w:r>
          </w:p>
        </w:tc>
        <w:tc>
          <w:tcPr>
            <w:tcW w:w="600"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9</w:t>
            </w:r>
          </w:p>
        </w:tc>
        <w:tc>
          <w:tcPr>
            <w:tcW w:w="6076" w:type="dxa"/>
            <w:shd w:val="clear" w:color="auto" w:fill="auto"/>
            <w:vAlign w:val="center"/>
          </w:tcPr>
          <w:p>
            <w:pPr>
              <w:widowControl/>
              <w:spacing w:line="280" w:lineRule="exact"/>
              <w:jc w:val="left"/>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根据供应商提供的质保期内的售后服务方案，含设备保养、一般故障排除、突发故障抢修、备品备件等情况说明进行打分：方案完全符合项目特点，各项内容具体详细且实际可行得7分，方案基本符合项目特点，各项内容不太具体详细较为可行得4分，服务方案不全面、不具体、可行性低得2分，无内容或极差不得分。</w:t>
            </w:r>
          </w:p>
          <w:p>
            <w:pPr>
              <w:widowControl/>
              <w:spacing w:line="280" w:lineRule="exact"/>
              <w:jc w:val="left"/>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在疆内有固定售后服务网点，提供真实的售后服务人员姓名、联系电话及服务网点详细地址及服务网点房屋使用证明得2分，否则不得分。</w:t>
            </w:r>
          </w:p>
        </w:tc>
        <w:tc>
          <w:tcPr>
            <w:tcW w:w="1343" w:type="dxa"/>
            <w:vMerge w:val="continue"/>
            <w:shd w:val="clear" w:color="auto" w:fill="auto"/>
            <w:vAlign w:val="center"/>
          </w:tcPr>
          <w:p>
            <w:pPr>
              <w:spacing w:line="280" w:lineRule="exact"/>
              <w:rPr>
                <w:rFonts w:hint="eastAsia" w:ascii="宋体" w:hAnsi="宋体" w:eastAsia="宋体" w:cs="宋体"/>
                <w:color w:val="auto"/>
                <w:sz w:val="22"/>
                <w:szCs w:val="22"/>
                <w:highlight w:val="none"/>
              </w:rPr>
            </w:pPr>
          </w:p>
        </w:tc>
      </w:tr>
    </w:tbl>
    <w:p>
      <w:pPr>
        <w:pStyle w:val="21"/>
        <w:rPr>
          <w:rFonts w:hint="eastAsia" w:ascii="宋体" w:hAnsi="宋体" w:eastAsia="宋体" w:cs="宋体"/>
          <w:b/>
          <w:bCs/>
          <w:color w:val="auto"/>
          <w:highlight w:val="none"/>
        </w:rPr>
      </w:pPr>
    </w:p>
    <w:p>
      <w:pPr>
        <w:pStyle w:val="12"/>
        <w:rPr>
          <w:rFonts w:hint="eastAsia" w:ascii="宋体" w:hAnsi="宋体" w:eastAsia="宋体" w:cs="宋体"/>
          <w:b/>
          <w:color w:val="auto"/>
          <w:sz w:val="44"/>
          <w:szCs w:val="44"/>
          <w:highlight w:val="none"/>
        </w:rPr>
      </w:pPr>
    </w:p>
    <w:p>
      <w:pPr>
        <w:pStyle w:val="13"/>
        <w:rPr>
          <w:rFonts w:hint="eastAsia"/>
          <w:color w:val="auto"/>
        </w:rPr>
      </w:pPr>
    </w:p>
    <w:p>
      <w:pPr>
        <w:rPr>
          <w:rFonts w:hint="eastAsia"/>
          <w:color w:val="auto"/>
          <w:highlight w:val="none"/>
        </w:rPr>
      </w:pPr>
    </w:p>
    <w:p>
      <w:pPr>
        <w:rPr>
          <w:rFonts w:hint="eastAsia"/>
          <w:color w:val="auto"/>
          <w:highlight w:val="none"/>
        </w:rPr>
      </w:pPr>
    </w:p>
    <w:p>
      <w:pPr>
        <w:pStyle w:val="21"/>
        <w:jc w:val="center"/>
        <w:outlineLvl w:val="1"/>
        <w:rPr>
          <w:rFonts w:hint="eastAsia" w:ascii="宋体" w:hAnsi="宋体" w:eastAsia="宋体" w:cs="宋体"/>
          <w:b/>
          <w:bCs/>
          <w:color w:val="auto"/>
          <w:sz w:val="24"/>
          <w:szCs w:val="24"/>
          <w:highlight w:val="none"/>
        </w:rPr>
      </w:pPr>
      <w:bookmarkStart w:id="1319" w:name="_Toc16401"/>
      <w:r>
        <w:rPr>
          <w:rFonts w:hint="eastAsia" w:ascii="宋体" w:hAnsi="宋体" w:cs="宋体"/>
          <w:b/>
          <w:bCs/>
          <w:color w:val="auto"/>
          <w:sz w:val="24"/>
          <w:szCs w:val="24"/>
          <w:highlight w:val="none"/>
          <w:lang w:val="en-US" w:eastAsia="zh-CN"/>
        </w:rPr>
        <w:t>第二包</w:t>
      </w:r>
      <w:r>
        <w:rPr>
          <w:rFonts w:hint="eastAsia" w:ascii="宋体" w:hAnsi="宋体" w:eastAsia="宋体" w:cs="宋体"/>
          <w:b/>
          <w:bCs/>
          <w:color w:val="auto"/>
          <w:sz w:val="24"/>
          <w:szCs w:val="24"/>
          <w:highlight w:val="none"/>
        </w:rPr>
        <w:t>综合评分表</w:t>
      </w:r>
      <w:bookmarkEnd w:id="1319"/>
    </w:p>
    <w:p>
      <w:pPr>
        <w:pStyle w:val="21"/>
        <w:rPr>
          <w:rFonts w:hint="eastAsia" w:ascii="宋体" w:hAnsi="宋体" w:eastAsia="宋体" w:cs="宋体"/>
          <w:b/>
          <w:bCs/>
          <w:color w:val="auto"/>
          <w:highlight w:val="none"/>
        </w:rPr>
      </w:pPr>
    </w:p>
    <w:tbl>
      <w:tblPr>
        <w:tblStyle w:val="26"/>
        <w:tblpPr w:leftFromText="180" w:rightFromText="180" w:vertAnchor="text" w:horzAnchor="page" w:tblpX="1004" w:tblpY="317"/>
        <w:tblOverlap w:val="never"/>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6"/>
        <w:gridCol w:w="1233"/>
        <w:gridCol w:w="600"/>
        <w:gridCol w:w="6076"/>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50" w:hRule="atLeast"/>
        </w:trPr>
        <w:tc>
          <w:tcPr>
            <w:tcW w:w="846" w:type="dxa"/>
            <w:shd w:val="clear" w:color="auto" w:fill="auto"/>
            <w:vAlign w:val="center"/>
          </w:tcPr>
          <w:p>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1233" w:type="dxa"/>
            <w:shd w:val="clear" w:color="auto" w:fill="auto"/>
            <w:vAlign w:val="center"/>
          </w:tcPr>
          <w:p>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评分因素</w:t>
            </w:r>
          </w:p>
          <w:p>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及权重</w:t>
            </w:r>
          </w:p>
        </w:tc>
        <w:tc>
          <w:tcPr>
            <w:tcW w:w="600" w:type="dxa"/>
            <w:shd w:val="clear" w:color="auto" w:fill="auto"/>
            <w:vAlign w:val="center"/>
          </w:tcPr>
          <w:p>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分值</w:t>
            </w:r>
          </w:p>
        </w:tc>
        <w:tc>
          <w:tcPr>
            <w:tcW w:w="6076" w:type="dxa"/>
            <w:shd w:val="clear" w:color="auto" w:fill="auto"/>
            <w:vAlign w:val="center"/>
          </w:tcPr>
          <w:p>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评分标准</w:t>
            </w:r>
          </w:p>
          <w:p>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价   格：30分</w:t>
            </w:r>
            <w:r>
              <w:rPr>
                <w:rFonts w:hint="eastAsia" w:ascii="宋体" w:hAnsi="宋体" w:cs="宋体"/>
                <w:b/>
                <w:bCs/>
                <w:color w:val="auto"/>
                <w:kern w:val="0"/>
                <w:sz w:val="22"/>
                <w:szCs w:val="22"/>
                <w:highlight w:val="none"/>
                <w:lang w:val="en-US" w:eastAsia="zh-CN"/>
              </w:rPr>
              <w:t xml:space="preserve">   </w:t>
            </w:r>
            <w:r>
              <w:rPr>
                <w:rFonts w:hint="eastAsia" w:ascii="宋体" w:hAnsi="宋体" w:eastAsia="宋体" w:cs="宋体"/>
                <w:b/>
                <w:bCs/>
                <w:color w:val="auto"/>
                <w:kern w:val="0"/>
                <w:sz w:val="22"/>
                <w:szCs w:val="22"/>
                <w:highlight w:val="none"/>
              </w:rPr>
              <w:t>商   务：</w:t>
            </w:r>
            <w:r>
              <w:rPr>
                <w:rFonts w:hint="eastAsia" w:ascii="宋体" w:hAnsi="宋体" w:cs="宋体"/>
                <w:b/>
                <w:bCs/>
                <w:color w:val="auto"/>
                <w:kern w:val="0"/>
                <w:sz w:val="22"/>
                <w:szCs w:val="22"/>
                <w:highlight w:val="none"/>
                <w:lang w:val="en-US" w:eastAsia="zh-CN"/>
              </w:rPr>
              <w:t>6</w:t>
            </w:r>
            <w:r>
              <w:rPr>
                <w:rFonts w:hint="eastAsia" w:ascii="宋体" w:hAnsi="宋体" w:eastAsia="宋体" w:cs="宋体"/>
                <w:b/>
                <w:bCs/>
                <w:color w:val="auto"/>
                <w:kern w:val="0"/>
                <w:sz w:val="22"/>
                <w:szCs w:val="22"/>
                <w:highlight w:val="none"/>
              </w:rPr>
              <w:t>分</w:t>
            </w:r>
            <w:r>
              <w:rPr>
                <w:rFonts w:hint="eastAsia" w:ascii="宋体" w:hAnsi="宋体" w:cs="宋体"/>
                <w:b/>
                <w:bCs/>
                <w:color w:val="auto"/>
                <w:kern w:val="0"/>
                <w:sz w:val="22"/>
                <w:szCs w:val="22"/>
                <w:highlight w:val="none"/>
                <w:lang w:val="en-US" w:eastAsia="zh-CN"/>
              </w:rPr>
              <w:t xml:space="preserve">   </w:t>
            </w:r>
            <w:r>
              <w:rPr>
                <w:rFonts w:hint="eastAsia" w:ascii="宋体" w:hAnsi="宋体" w:eastAsia="宋体" w:cs="宋体"/>
                <w:b/>
                <w:bCs/>
                <w:color w:val="auto"/>
                <w:kern w:val="0"/>
                <w:sz w:val="22"/>
                <w:szCs w:val="22"/>
                <w:highlight w:val="none"/>
              </w:rPr>
              <w:t>技   术：</w:t>
            </w:r>
            <w:r>
              <w:rPr>
                <w:rFonts w:hint="eastAsia" w:ascii="宋体" w:hAnsi="宋体" w:cs="宋体"/>
                <w:b/>
                <w:bCs/>
                <w:color w:val="auto"/>
                <w:kern w:val="0"/>
                <w:sz w:val="22"/>
                <w:szCs w:val="22"/>
                <w:highlight w:val="none"/>
                <w:lang w:val="en-US" w:eastAsia="zh-CN"/>
              </w:rPr>
              <w:t>64</w:t>
            </w:r>
            <w:r>
              <w:rPr>
                <w:rFonts w:hint="eastAsia" w:ascii="宋体" w:hAnsi="宋体" w:eastAsia="宋体" w:cs="宋体"/>
                <w:b/>
                <w:bCs/>
                <w:color w:val="auto"/>
                <w:kern w:val="0"/>
                <w:sz w:val="22"/>
                <w:szCs w:val="22"/>
                <w:highlight w:val="none"/>
              </w:rPr>
              <w:t xml:space="preserve">分              </w:t>
            </w:r>
          </w:p>
        </w:tc>
        <w:tc>
          <w:tcPr>
            <w:tcW w:w="1343" w:type="dxa"/>
            <w:shd w:val="clear" w:color="auto" w:fill="auto"/>
            <w:vAlign w:val="center"/>
          </w:tcPr>
          <w:p>
            <w:pPr>
              <w:pStyle w:val="41"/>
              <w:spacing w:line="28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76" w:hRule="atLeast"/>
        </w:trPr>
        <w:tc>
          <w:tcPr>
            <w:tcW w:w="846" w:type="dxa"/>
            <w:shd w:val="clear" w:color="auto" w:fill="auto"/>
            <w:vAlign w:val="center"/>
          </w:tcPr>
          <w:p>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价格评分标准</w:t>
            </w:r>
          </w:p>
        </w:tc>
        <w:tc>
          <w:tcPr>
            <w:tcW w:w="1233"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投标报价</w:t>
            </w:r>
          </w:p>
        </w:tc>
        <w:tc>
          <w:tcPr>
            <w:tcW w:w="600"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30</w:t>
            </w:r>
          </w:p>
        </w:tc>
        <w:tc>
          <w:tcPr>
            <w:tcW w:w="6076" w:type="dxa"/>
            <w:shd w:val="clear" w:color="auto" w:fill="auto"/>
            <w:vAlign w:val="center"/>
          </w:tcPr>
          <w:p>
            <w:pPr>
              <w:widowControl/>
              <w:spacing w:line="28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完全满足招标文件参数的投标报价中的最低价为评标基准价，按照下列公式计算每个供应商的投标价格得分。投标报价得分＝（基准价/投标报价）×价格权重×100。</w:t>
            </w:r>
            <w:r>
              <w:rPr>
                <w:rFonts w:hint="eastAsia" w:ascii="宋体" w:hAnsi="宋体" w:eastAsia="宋体" w:cs="宋体"/>
                <w:b/>
                <w:bCs/>
                <w:iCs/>
                <w:color w:val="auto"/>
                <w:sz w:val="21"/>
                <w:szCs w:val="21"/>
                <w:highlight w:val="none"/>
                <w:lang w:eastAsia="zh-CN"/>
              </w:rPr>
              <w:t>（注：若为</w:t>
            </w:r>
            <w:r>
              <w:rPr>
                <w:rFonts w:hint="eastAsia" w:ascii="宋体" w:hAnsi="宋体" w:cs="宋体"/>
                <w:b/>
                <w:bCs/>
                <w:iCs/>
                <w:color w:val="auto"/>
                <w:sz w:val="21"/>
                <w:szCs w:val="21"/>
                <w:highlight w:val="none"/>
                <w:lang w:val="en-US" w:eastAsia="zh-CN"/>
              </w:rPr>
              <w:t>小微、微型企业</w:t>
            </w:r>
            <w:r>
              <w:rPr>
                <w:rFonts w:hint="eastAsia" w:ascii="宋体" w:hAnsi="宋体" w:eastAsia="宋体" w:cs="宋体"/>
                <w:b/>
                <w:bCs/>
                <w:iCs/>
                <w:color w:val="auto"/>
                <w:sz w:val="21"/>
                <w:szCs w:val="21"/>
                <w:highlight w:val="none"/>
                <w:lang w:eastAsia="zh-CN"/>
              </w:rPr>
              <w:t xml:space="preserve">，其投标报价扣除 </w:t>
            </w:r>
            <w:r>
              <w:rPr>
                <w:rFonts w:hint="eastAsia" w:ascii="宋体" w:hAnsi="宋体" w:eastAsia="宋体" w:cs="宋体"/>
                <w:b/>
                <w:bCs/>
                <w:iCs/>
                <w:color w:val="auto"/>
                <w:sz w:val="21"/>
                <w:szCs w:val="21"/>
                <w:highlight w:val="none"/>
                <w:lang w:val="en-US" w:eastAsia="zh-CN"/>
              </w:rPr>
              <w:t>10</w:t>
            </w:r>
            <w:r>
              <w:rPr>
                <w:rFonts w:hint="eastAsia" w:ascii="宋体" w:hAnsi="宋体" w:eastAsia="宋体" w:cs="宋体"/>
                <w:b/>
                <w:bCs/>
                <w:iCs/>
                <w:color w:val="auto"/>
                <w:sz w:val="21"/>
                <w:szCs w:val="21"/>
                <w:highlight w:val="none"/>
                <w:lang w:eastAsia="zh-CN"/>
              </w:rPr>
              <w:t xml:space="preserve"> %后参与评审，提供相关证明资料，否</w:t>
            </w:r>
            <w:r>
              <w:rPr>
                <w:rFonts w:hint="eastAsia" w:ascii="宋体" w:hAnsi="宋体" w:eastAsia="宋体" w:cs="宋体"/>
                <w:b/>
                <w:bCs/>
                <w:iCs/>
                <w:color w:val="auto"/>
                <w:sz w:val="21"/>
                <w:szCs w:val="21"/>
                <w:highlight w:val="none"/>
                <w:lang w:val="en-US" w:eastAsia="zh-CN"/>
              </w:rPr>
              <w:t>则</w:t>
            </w:r>
            <w:r>
              <w:rPr>
                <w:rFonts w:hint="eastAsia" w:ascii="宋体" w:hAnsi="宋体" w:eastAsia="宋体" w:cs="宋体"/>
                <w:b/>
                <w:bCs/>
                <w:iCs/>
                <w:color w:val="auto"/>
                <w:sz w:val="21"/>
                <w:szCs w:val="21"/>
                <w:highlight w:val="none"/>
                <w:lang w:eastAsia="zh-CN"/>
              </w:rPr>
              <w:t>无效。）</w:t>
            </w:r>
          </w:p>
        </w:tc>
        <w:tc>
          <w:tcPr>
            <w:tcW w:w="1343" w:type="dxa"/>
            <w:shd w:val="clear" w:color="auto" w:fill="auto"/>
            <w:vAlign w:val="center"/>
          </w:tcPr>
          <w:p>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06" w:hRule="atLeast"/>
        </w:trPr>
        <w:tc>
          <w:tcPr>
            <w:tcW w:w="846" w:type="dxa"/>
            <w:vMerge w:val="restart"/>
            <w:shd w:val="clear" w:color="auto" w:fill="auto"/>
            <w:vAlign w:val="center"/>
          </w:tcPr>
          <w:p>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商务评分标准</w:t>
            </w:r>
          </w:p>
        </w:tc>
        <w:tc>
          <w:tcPr>
            <w:tcW w:w="1233"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业绩</w:t>
            </w:r>
          </w:p>
        </w:tc>
        <w:tc>
          <w:tcPr>
            <w:tcW w:w="600"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4</w:t>
            </w:r>
          </w:p>
        </w:tc>
        <w:tc>
          <w:tcPr>
            <w:tcW w:w="6076" w:type="dxa"/>
            <w:shd w:val="clear" w:color="auto" w:fill="auto"/>
            <w:vAlign w:val="center"/>
          </w:tcPr>
          <w:p>
            <w:pPr>
              <w:widowControl/>
              <w:spacing w:line="280" w:lineRule="exact"/>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提供近三年内类似</w:t>
            </w:r>
            <w:r>
              <w:rPr>
                <w:rFonts w:hint="eastAsia" w:ascii="宋体" w:hAnsi="宋体" w:cs="宋体"/>
                <w:color w:val="auto"/>
                <w:kern w:val="0"/>
                <w:sz w:val="22"/>
                <w:szCs w:val="22"/>
                <w:highlight w:val="none"/>
                <w:lang w:val="en-US" w:eastAsia="zh-CN"/>
              </w:rPr>
              <w:t>项目</w:t>
            </w:r>
            <w:r>
              <w:rPr>
                <w:rFonts w:hint="eastAsia" w:ascii="宋体" w:hAnsi="宋体" w:cs="宋体"/>
                <w:color w:val="auto"/>
                <w:kern w:val="0"/>
                <w:sz w:val="22"/>
                <w:szCs w:val="22"/>
                <w:highlight w:val="none"/>
                <w:lang w:eastAsia="zh-CN"/>
              </w:rPr>
              <w:t>业绩证明材料（中标通知书</w:t>
            </w:r>
            <w:r>
              <w:rPr>
                <w:rFonts w:hint="eastAsia" w:ascii="宋体" w:hAnsi="宋体" w:cs="宋体"/>
                <w:color w:val="auto"/>
                <w:kern w:val="0"/>
                <w:sz w:val="22"/>
                <w:szCs w:val="22"/>
                <w:highlight w:val="none"/>
                <w:lang w:val="en-US" w:eastAsia="zh-CN"/>
              </w:rPr>
              <w:t>及采购</w:t>
            </w:r>
            <w:r>
              <w:rPr>
                <w:rFonts w:hint="eastAsia" w:ascii="宋体" w:hAnsi="宋体" w:cs="宋体"/>
                <w:color w:val="auto"/>
                <w:kern w:val="0"/>
                <w:sz w:val="22"/>
                <w:szCs w:val="22"/>
                <w:highlight w:val="none"/>
                <w:lang w:eastAsia="zh-CN"/>
              </w:rPr>
              <w:t>合同）复印件</w:t>
            </w:r>
            <w:r>
              <w:rPr>
                <w:rFonts w:hint="eastAsia" w:ascii="宋体" w:hAnsi="宋体" w:eastAsia="宋体" w:cs="宋体"/>
                <w:color w:val="auto"/>
                <w:kern w:val="0"/>
                <w:sz w:val="22"/>
                <w:szCs w:val="22"/>
                <w:highlight w:val="none"/>
              </w:rPr>
              <w:t>，每提供一个得</w:t>
            </w: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分，共</w:t>
            </w: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分。</w:t>
            </w:r>
          </w:p>
        </w:tc>
        <w:tc>
          <w:tcPr>
            <w:tcW w:w="1343" w:type="dxa"/>
            <w:vMerge w:val="restart"/>
            <w:shd w:val="clear" w:color="auto" w:fill="auto"/>
            <w:vAlign w:val="center"/>
          </w:tcPr>
          <w:p>
            <w:pPr>
              <w:spacing w:line="28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89" w:hRule="atLeast"/>
        </w:trPr>
        <w:tc>
          <w:tcPr>
            <w:tcW w:w="846" w:type="dxa"/>
            <w:vMerge w:val="continue"/>
            <w:shd w:val="clear" w:color="auto" w:fill="auto"/>
            <w:vAlign w:val="center"/>
          </w:tcPr>
          <w:p>
            <w:pPr>
              <w:widowControl/>
              <w:spacing w:line="280" w:lineRule="exact"/>
              <w:jc w:val="center"/>
              <w:rPr>
                <w:rFonts w:hint="eastAsia" w:ascii="宋体" w:hAnsi="宋体" w:eastAsia="宋体" w:cs="宋体"/>
                <w:b/>
                <w:bCs/>
                <w:color w:val="auto"/>
                <w:kern w:val="0"/>
                <w:sz w:val="22"/>
                <w:szCs w:val="22"/>
                <w:highlight w:val="none"/>
              </w:rPr>
            </w:pPr>
          </w:p>
        </w:tc>
        <w:tc>
          <w:tcPr>
            <w:tcW w:w="1233" w:type="dxa"/>
            <w:shd w:val="clear" w:color="auto" w:fill="auto"/>
            <w:vAlign w:val="center"/>
          </w:tcPr>
          <w:p>
            <w:pPr>
              <w:widowControl/>
              <w:spacing w:line="280" w:lineRule="exact"/>
              <w:jc w:val="left"/>
              <w:rPr>
                <w:rFonts w:hint="default"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bidi="ar-SA"/>
              </w:rPr>
              <w:t>标书制作</w:t>
            </w:r>
          </w:p>
        </w:tc>
        <w:tc>
          <w:tcPr>
            <w:tcW w:w="600" w:type="dxa"/>
            <w:shd w:val="clear" w:color="auto" w:fill="auto"/>
            <w:vAlign w:val="center"/>
          </w:tcPr>
          <w:p>
            <w:pPr>
              <w:widowControl/>
              <w:spacing w:line="280" w:lineRule="exact"/>
              <w:jc w:val="center"/>
              <w:rPr>
                <w:rFonts w:hint="default"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bidi="ar-SA"/>
              </w:rPr>
              <w:t>2</w:t>
            </w:r>
          </w:p>
        </w:tc>
        <w:tc>
          <w:tcPr>
            <w:tcW w:w="6076" w:type="dxa"/>
            <w:shd w:val="clear" w:color="auto" w:fill="auto"/>
            <w:vAlign w:val="center"/>
          </w:tcPr>
          <w:p>
            <w:pPr>
              <w:widowControl/>
              <w:spacing w:line="280" w:lineRule="exact"/>
              <w:jc w:val="left"/>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投标文件目录清晰、</w:t>
            </w:r>
            <w:r>
              <w:rPr>
                <w:rFonts w:hint="eastAsia" w:ascii="宋体" w:hAnsi="宋体" w:cs="宋体"/>
                <w:color w:val="auto"/>
                <w:kern w:val="2"/>
                <w:sz w:val="22"/>
                <w:szCs w:val="22"/>
                <w:highlight w:val="none"/>
                <w:lang w:val="en-US" w:eastAsia="zh-CN" w:bidi="ar-SA"/>
              </w:rPr>
              <w:t>关联点</w:t>
            </w:r>
            <w:r>
              <w:rPr>
                <w:rFonts w:hint="eastAsia" w:ascii="宋体" w:hAnsi="宋体" w:eastAsia="宋体" w:cs="宋体"/>
                <w:color w:val="auto"/>
                <w:kern w:val="2"/>
                <w:sz w:val="22"/>
                <w:szCs w:val="22"/>
                <w:highlight w:val="none"/>
                <w:lang w:val="en-US" w:eastAsia="zh-CN" w:bidi="ar-SA"/>
              </w:rPr>
              <w:t>对应准确，评审内容便于查找得2分，否则不得分。</w:t>
            </w:r>
          </w:p>
        </w:tc>
        <w:tc>
          <w:tcPr>
            <w:tcW w:w="1343" w:type="dxa"/>
            <w:vMerge w:val="continue"/>
            <w:shd w:val="clear" w:color="auto" w:fill="auto"/>
            <w:vAlign w:val="center"/>
          </w:tcPr>
          <w:p>
            <w:pPr>
              <w:spacing w:line="280" w:lineRule="exact"/>
              <w:rPr>
                <w:rFonts w:hint="eastAsia" w:ascii="宋体" w:hAnsi="宋体" w:eastAsia="宋体" w:cs="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56" w:hRule="atLeast"/>
        </w:trPr>
        <w:tc>
          <w:tcPr>
            <w:tcW w:w="846" w:type="dxa"/>
            <w:vMerge w:val="restart"/>
            <w:shd w:val="clear" w:color="auto" w:fill="auto"/>
            <w:vAlign w:val="center"/>
          </w:tcPr>
          <w:p>
            <w:pPr>
              <w:widowControl/>
              <w:spacing w:line="280" w:lineRule="exact"/>
              <w:jc w:val="center"/>
              <w:rPr>
                <w:rFonts w:hint="eastAsia" w:ascii="宋体" w:hAnsi="宋体" w:eastAsia="宋体" w:cs="宋体"/>
                <w:b/>
                <w:bCs/>
                <w:color w:val="auto"/>
                <w:kern w:val="0"/>
                <w:sz w:val="22"/>
                <w:szCs w:val="22"/>
                <w:highlight w:val="none"/>
              </w:rPr>
            </w:pPr>
          </w:p>
          <w:p>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技术评分标准</w:t>
            </w:r>
          </w:p>
        </w:tc>
        <w:tc>
          <w:tcPr>
            <w:tcW w:w="1233"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配置及性能指标</w:t>
            </w:r>
          </w:p>
        </w:tc>
        <w:tc>
          <w:tcPr>
            <w:tcW w:w="600" w:type="dxa"/>
            <w:shd w:val="clear" w:color="auto" w:fill="auto"/>
            <w:vAlign w:val="center"/>
          </w:tcPr>
          <w:p>
            <w:pPr>
              <w:widowControl/>
              <w:spacing w:line="280" w:lineRule="exact"/>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35</w:t>
            </w:r>
          </w:p>
        </w:tc>
        <w:tc>
          <w:tcPr>
            <w:tcW w:w="6076" w:type="dxa"/>
            <w:shd w:val="clear" w:color="auto" w:fill="auto"/>
            <w:vAlign w:val="center"/>
          </w:tcPr>
          <w:p>
            <w:pPr>
              <w:widowControl/>
              <w:spacing w:line="28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根据所投产品的配置与性能指标响应程度打分完全满足招标要求的得</w:t>
            </w:r>
            <w:r>
              <w:rPr>
                <w:rFonts w:hint="eastAsia" w:ascii="宋体" w:hAnsi="宋体" w:cs="宋体"/>
                <w:color w:val="auto"/>
                <w:kern w:val="0"/>
                <w:sz w:val="22"/>
                <w:szCs w:val="22"/>
                <w:highlight w:val="none"/>
                <w:lang w:val="en-US" w:eastAsia="zh-CN"/>
              </w:rPr>
              <w:t>30</w:t>
            </w:r>
            <w:r>
              <w:rPr>
                <w:rFonts w:hint="eastAsia" w:ascii="宋体" w:hAnsi="宋体" w:eastAsia="宋体" w:cs="宋体"/>
                <w:color w:val="auto"/>
                <w:kern w:val="0"/>
                <w:sz w:val="22"/>
                <w:szCs w:val="22"/>
                <w:highlight w:val="none"/>
              </w:rPr>
              <w:t>分；技术参数每有一项正偏离加</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分，最高加5分；</w:t>
            </w:r>
            <w:r>
              <w:rPr>
                <w:rFonts w:hint="eastAsia" w:ascii="宋体" w:hAnsi="宋体" w:cs="宋体"/>
                <w:color w:val="auto"/>
                <w:kern w:val="0"/>
                <w:sz w:val="22"/>
                <w:szCs w:val="22"/>
                <w:highlight w:val="none"/>
                <w:lang w:val="en-US" w:eastAsia="zh-CN"/>
              </w:rPr>
              <w:t>“★”参数</w:t>
            </w:r>
            <w:r>
              <w:rPr>
                <w:rFonts w:hint="eastAsia" w:ascii="宋体" w:hAnsi="宋体" w:eastAsia="宋体" w:cs="宋体"/>
                <w:color w:val="auto"/>
                <w:kern w:val="0"/>
                <w:sz w:val="22"/>
                <w:szCs w:val="22"/>
                <w:highlight w:val="none"/>
              </w:rPr>
              <w:t>每有一项负偏离扣</w:t>
            </w: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分</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一般参数每有一项负偏离扣</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分，直至扣完为止。</w:t>
            </w:r>
          </w:p>
        </w:tc>
        <w:tc>
          <w:tcPr>
            <w:tcW w:w="1343" w:type="dxa"/>
            <w:vMerge w:val="restart"/>
            <w:shd w:val="clear" w:color="auto" w:fill="auto"/>
            <w:vAlign w:val="center"/>
          </w:tcPr>
          <w:p>
            <w:pPr>
              <w:spacing w:line="28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4" w:hRule="atLeast"/>
        </w:trPr>
        <w:tc>
          <w:tcPr>
            <w:tcW w:w="846" w:type="dxa"/>
            <w:vMerge w:val="continue"/>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p>
        </w:tc>
        <w:tc>
          <w:tcPr>
            <w:tcW w:w="1233"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检测报告</w:t>
            </w:r>
          </w:p>
        </w:tc>
        <w:tc>
          <w:tcPr>
            <w:tcW w:w="600"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6</w:t>
            </w:r>
          </w:p>
        </w:tc>
        <w:tc>
          <w:tcPr>
            <w:tcW w:w="6076" w:type="dxa"/>
            <w:shd w:val="clear" w:color="auto" w:fill="auto"/>
            <w:vAlign w:val="center"/>
          </w:tcPr>
          <w:p>
            <w:pPr>
              <w:widowControl/>
              <w:spacing w:line="280" w:lineRule="exact"/>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神经肌肉低频电刺激仪、超声理疗仪、磁振热治疗仪、超短波治疗仪、深层肌肉振动仪、心电监护仪。每提供一个</w:t>
            </w:r>
            <w:r>
              <w:rPr>
                <w:rFonts w:hint="eastAsia" w:ascii="宋体" w:hAnsi="宋体" w:eastAsia="宋体" w:cs="宋体"/>
                <w:color w:val="auto"/>
                <w:kern w:val="0"/>
                <w:sz w:val="22"/>
                <w:szCs w:val="22"/>
                <w:highlight w:val="none"/>
                <w:lang w:val="en-US" w:eastAsia="zh-CN"/>
              </w:rPr>
              <w:t>由</w:t>
            </w:r>
            <w:r>
              <w:rPr>
                <w:rFonts w:hint="eastAsia" w:ascii="宋体" w:hAnsi="宋体" w:eastAsia="宋体" w:cs="宋体"/>
                <w:color w:val="auto"/>
                <w:kern w:val="0"/>
                <w:sz w:val="22"/>
                <w:szCs w:val="22"/>
                <w:highlight w:val="none"/>
              </w:rPr>
              <w:t>国家权威质量检测机构</w:t>
            </w:r>
            <w:r>
              <w:rPr>
                <w:rFonts w:hint="eastAsia" w:ascii="宋体" w:hAnsi="宋体" w:cs="宋体"/>
                <w:color w:val="auto"/>
                <w:kern w:val="0"/>
                <w:sz w:val="22"/>
                <w:szCs w:val="22"/>
                <w:highlight w:val="none"/>
                <w:lang w:val="en-US" w:eastAsia="zh-CN"/>
              </w:rPr>
              <w:t>或第三方机构</w:t>
            </w:r>
            <w:r>
              <w:rPr>
                <w:rFonts w:hint="eastAsia" w:ascii="宋体" w:hAnsi="宋体" w:eastAsia="宋体" w:cs="宋体"/>
                <w:color w:val="auto"/>
                <w:kern w:val="0"/>
                <w:sz w:val="22"/>
                <w:szCs w:val="22"/>
                <w:highlight w:val="none"/>
              </w:rPr>
              <w:t>出具的</w:t>
            </w:r>
            <w:r>
              <w:rPr>
                <w:rFonts w:hint="eastAsia" w:ascii="宋体" w:hAnsi="宋体" w:cs="宋体"/>
                <w:color w:val="auto"/>
                <w:kern w:val="0"/>
                <w:sz w:val="22"/>
                <w:szCs w:val="22"/>
                <w:highlight w:val="none"/>
                <w:lang w:val="en-US" w:eastAsia="zh-CN"/>
              </w:rPr>
              <w:t>完整的设备</w:t>
            </w:r>
            <w:r>
              <w:rPr>
                <w:rFonts w:hint="eastAsia" w:ascii="宋体" w:hAnsi="宋体" w:eastAsia="宋体" w:cs="宋体"/>
                <w:color w:val="auto"/>
                <w:kern w:val="0"/>
                <w:sz w:val="22"/>
                <w:szCs w:val="22"/>
                <w:highlight w:val="none"/>
              </w:rPr>
              <w:t>检测</w:t>
            </w:r>
            <w:r>
              <w:rPr>
                <w:rFonts w:hint="eastAsia" w:ascii="宋体" w:hAnsi="宋体" w:cs="宋体"/>
                <w:color w:val="auto"/>
                <w:kern w:val="0"/>
                <w:sz w:val="22"/>
                <w:szCs w:val="22"/>
                <w:highlight w:val="none"/>
                <w:lang w:val="en-US" w:eastAsia="zh-CN"/>
              </w:rPr>
              <w:t>检验</w:t>
            </w:r>
            <w:r>
              <w:rPr>
                <w:rFonts w:hint="eastAsia" w:ascii="宋体" w:hAnsi="宋体" w:eastAsia="宋体" w:cs="宋体"/>
                <w:color w:val="auto"/>
                <w:kern w:val="0"/>
                <w:sz w:val="22"/>
                <w:szCs w:val="22"/>
                <w:highlight w:val="none"/>
              </w:rPr>
              <w:t>报告</w:t>
            </w:r>
            <w:r>
              <w:rPr>
                <w:rFonts w:hint="eastAsia" w:ascii="宋体" w:hAnsi="宋体" w:cs="宋体"/>
                <w:color w:val="auto"/>
                <w:kern w:val="0"/>
                <w:sz w:val="22"/>
                <w:szCs w:val="22"/>
                <w:highlight w:val="none"/>
                <w:lang w:val="en-US" w:eastAsia="zh-CN"/>
              </w:rPr>
              <w:t>得1分，最高得6分，</w:t>
            </w:r>
            <w:r>
              <w:rPr>
                <w:rFonts w:hint="eastAsia" w:ascii="宋体" w:hAnsi="宋体" w:eastAsia="宋体" w:cs="宋体"/>
                <w:color w:val="auto"/>
                <w:kern w:val="0"/>
                <w:sz w:val="22"/>
                <w:szCs w:val="22"/>
                <w:highlight w:val="none"/>
              </w:rPr>
              <w:t>不提供不得分。</w:t>
            </w:r>
          </w:p>
        </w:tc>
        <w:tc>
          <w:tcPr>
            <w:tcW w:w="1343" w:type="dxa"/>
            <w:vMerge w:val="continue"/>
            <w:shd w:val="clear" w:color="auto" w:fill="auto"/>
            <w:vAlign w:val="center"/>
          </w:tcPr>
          <w:p>
            <w:pPr>
              <w:spacing w:line="28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37" w:hRule="atLeast"/>
        </w:trPr>
        <w:tc>
          <w:tcPr>
            <w:tcW w:w="846" w:type="dxa"/>
            <w:vMerge w:val="continue"/>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p>
        </w:tc>
        <w:tc>
          <w:tcPr>
            <w:tcW w:w="1233"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实施方案</w:t>
            </w:r>
          </w:p>
        </w:tc>
        <w:tc>
          <w:tcPr>
            <w:tcW w:w="600" w:type="dxa"/>
            <w:shd w:val="clear" w:color="auto" w:fill="auto"/>
            <w:vAlign w:val="center"/>
          </w:tcPr>
          <w:p>
            <w:pPr>
              <w:widowControl/>
              <w:spacing w:line="280" w:lineRule="exact"/>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10</w:t>
            </w:r>
          </w:p>
        </w:tc>
        <w:tc>
          <w:tcPr>
            <w:tcW w:w="6076" w:type="dxa"/>
            <w:shd w:val="clear" w:color="auto" w:fill="auto"/>
            <w:vAlign w:val="center"/>
          </w:tcPr>
          <w:p>
            <w:pPr>
              <w:widowControl/>
              <w:spacing w:line="280" w:lineRule="exact"/>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根据供应商提供的服务及设备质量保障措施，送货、安装、调试、检测、验收及安全保障措施，突发事件处理措施及项目实施过程各个环节的时间安排进行打分。完全符合项目实际情况的得10分，方案描述不详细但没有缺失内容且基本符合项目实际情况得7分，方案描述不详细但没有缺失内容且不太符合项目实际情况得4分，方案描述内容有缺失不符合项目实际情况或不提供得0分。</w:t>
            </w:r>
          </w:p>
        </w:tc>
        <w:tc>
          <w:tcPr>
            <w:tcW w:w="1343" w:type="dxa"/>
            <w:vMerge w:val="continue"/>
            <w:shd w:val="clear" w:color="auto" w:fill="auto"/>
            <w:vAlign w:val="center"/>
          </w:tcPr>
          <w:p>
            <w:pPr>
              <w:spacing w:line="28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96" w:hRule="atLeast"/>
        </w:trPr>
        <w:tc>
          <w:tcPr>
            <w:tcW w:w="846" w:type="dxa"/>
            <w:vMerge w:val="continue"/>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p>
        </w:tc>
        <w:tc>
          <w:tcPr>
            <w:tcW w:w="1233"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培训方案</w:t>
            </w:r>
          </w:p>
        </w:tc>
        <w:tc>
          <w:tcPr>
            <w:tcW w:w="600"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4</w:t>
            </w:r>
          </w:p>
        </w:tc>
        <w:tc>
          <w:tcPr>
            <w:tcW w:w="6076" w:type="dxa"/>
            <w:shd w:val="clear" w:color="auto" w:fill="auto"/>
            <w:vAlign w:val="center"/>
          </w:tcPr>
          <w:p>
            <w:pPr>
              <w:widowControl/>
              <w:spacing w:line="280" w:lineRule="exact"/>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根据投标人培训</w:t>
            </w:r>
            <w:r>
              <w:rPr>
                <w:rFonts w:hint="eastAsia" w:ascii="宋体" w:hAnsi="宋体" w:cs="宋体"/>
                <w:color w:val="auto"/>
                <w:kern w:val="0"/>
                <w:sz w:val="22"/>
                <w:szCs w:val="22"/>
                <w:highlight w:val="none"/>
                <w:lang w:val="en-US" w:eastAsia="zh-CN"/>
              </w:rPr>
              <w:t>方案</w:t>
            </w:r>
            <w:r>
              <w:rPr>
                <w:rFonts w:hint="eastAsia" w:ascii="宋体" w:hAnsi="宋体" w:eastAsia="宋体" w:cs="宋体"/>
                <w:color w:val="auto"/>
                <w:kern w:val="0"/>
                <w:sz w:val="22"/>
                <w:szCs w:val="22"/>
                <w:highlight w:val="none"/>
              </w:rPr>
              <w:t>：①培训时间</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②培训地点</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③培训内容及方式</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④培训教师及资质</w:t>
            </w:r>
            <w:r>
              <w:rPr>
                <w:rFonts w:hint="eastAsia" w:ascii="宋体" w:hAnsi="宋体" w:cs="宋体"/>
                <w:color w:val="auto"/>
                <w:kern w:val="0"/>
                <w:sz w:val="22"/>
                <w:szCs w:val="22"/>
                <w:highlight w:val="none"/>
                <w:lang w:val="en-US" w:eastAsia="zh-CN"/>
              </w:rPr>
              <w:t>进行评审。</w:t>
            </w:r>
            <w:r>
              <w:rPr>
                <w:rFonts w:hint="eastAsia" w:ascii="宋体" w:hAnsi="宋体" w:eastAsia="宋体" w:cs="宋体"/>
                <w:color w:val="auto"/>
                <w:kern w:val="0"/>
                <w:sz w:val="22"/>
                <w:szCs w:val="22"/>
                <w:highlight w:val="none"/>
              </w:rPr>
              <w:t>方案切实可行</w:t>
            </w:r>
            <w:r>
              <w:rPr>
                <w:rFonts w:hint="eastAsia" w:ascii="宋体" w:hAnsi="宋体" w:eastAsia="宋体" w:cs="宋体"/>
                <w:color w:val="auto"/>
                <w:kern w:val="0"/>
                <w:sz w:val="22"/>
                <w:szCs w:val="22"/>
                <w:highlight w:val="none"/>
                <w:lang w:val="en-US" w:eastAsia="zh-CN"/>
              </w:rPr>
              <w:t>完全符合项目实际情况</w:t>
            </w:r>
            <w:r>
              <w:rPr>
                <w:rFonts w:hint="eastAsia" w:ascii="宋体" w:hAnsi="宋体" w:eastAsia="宋体" w:cs="宋体"/>
                <w:color w:val="auto"/>
                <w:kern w:val="0"/>
                <w:sz w:val="22"/>
                <w:szCs w:val="22"/>
                <w:highlight w:val="none"/>
              </w:rPr>
              <w:t>得</w:t>
            </w: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分，不</w:t>
            </w:r>
            <w:r>
              <w:rPr>
                <w:rFonts w:hint="eastAsia" w:ascii="宋体" w:hAnsi="宋体" w:cs="宋体"/>
                <w:color w:val="auto"/>
                <w:kern w:val="0"/>
                <w:sz w:val="22"/>
                <w:szCs w:val="22"/>
                <w:highlight w:val="none"/>
                <w:lang w:val="en-US" w:eastAsia="zh-CN"/>
              </w:rPr>
              <w:t>够</w:t>
            </w:r>
            <w:r>
              <w:rPr>
                <w:rFonts w:hint="eastAsia" w:ascii="宋体" w:hAnsi="宋体" w:eastAsia="宋体" w:cs="宋体"/>
                <w:color w:val="auto"/>
                <w:kern w:val="0"/>
                <w:sz w:val="22"/>
                <w:szCs w:val="22"/>
                <w:highlight w:val="none"/>
              </w:rPr>
              <w:t>详细、完善、</w:t>
            </w:r>
            <w:r>
              <w:rPr>
                <w:rFonts w:hint="eastAsia" w:ascii="宋体" w:hAnsi="宋体" w:cs="宋体"/>
                <w:color w:val="auto"/>
                <w:kern w:val="0"/>
                <w:sz w:val="22"/>
                <w:szCs w:val="22"/>
                <w:highlight w:val="none"/>
                <w:lang w:val="en-US" w:eastAsia="zh-CN"/>
              </w:rPr>
              <w:t>基本</w:t>
            </w:r>
            <w:r>
              <w:rPr>
                <w:rFonts w:hint="eastAsia" w:ascii="宋体" w:hAnsi="宋体" w:eastAsia="宋体" w:cs="宋体"/>
                <w:color w:val="auto"/>
                <w:kern w:val="0"/>
                <w:sz w:val="22"/>
                <w:szCs w:val="22"/>
                <w:highlight w:val="none"/>
              </w:rPr>
              <w:t>能满足</w:t>
            </w:r>
            <w:r>
              <w:rPr>
                <w:rFonts w:hint="eastAsia" w:ascii="宋体" w:hAnsi="宋体" w:cs="宋体"/>
                <w:color w:val="auto"/>
                <w:kern w:val="0"/>
                <w:sz w:val="22"/>
                <w:szCs w:val="22"/>
                <w:highlight w:val="none"/>
                <w:lang w:val="en-US" w:eastAsia="zh-CN"/>
              </w:rPr>
              <w:t>项目</w:t>
            </w:r>
            <w:r>
              <w:rPr>
                <w:rFonts w:hint="eastAsia" w:ascii="宋体" w:hAnsi="宋体" w:eastAsia="宋体" w:cs="宋体"/>
                <w:color w:val="auto"/>
                <w:kern w:val="0"/>
                <w:sz w:val="22"/>
                <w:szCs w:val="22"/>
                <w:highlight w:val="none"/>
              </w:rPr>
              <w:t>需求</w:t>
            </w:r>
            <w:r>
              <w:rPr>
                <w:rFonts w:hint="eastAsia" w:ascii="宋体" w:hAnsi="宋体" w:cs="宋体"/>
                <w:color w:val="auto"/>
                <w:kern w:val="0"/>
                <w:sz w:val="22"/>
                <w:szCs w:val="22"/>
                <w:highlight w:val="none"/>
                <w:lang w:val="en-US" w:eastAsia="zh-CN"/>
              </w:rPr>
              <w:t>得2</w:t>
            </w:r>
            <w:r>
              <w:rPr>
                <w:rFonts w:hint="eastAsia" w:ascii="宋体" w:hAnsi="宋体" w:eastAsia="宋体" w:cs="宋体"/>
                <w:color w:val="auto"/>
                <w:kern w:val="0"/>
                <w:sz w:val="22"/>
                <w:szCs w:val="22"/>
                <w:highlight w:val="none"/>
              </w:rPr>
              <w:t>分，缺项或不能满足</w:t>
            </w:r>
            <w:r>
              <w:rPr>
                <w:rFonts w:hint="eastAsia" w:ascii="宋体" w:hAnsi="宋体" w:eastAsia="宋体" w:cs="宋体"/>
                <w:color w:val="auto"/>
                <w:kern w:val="0"/>
                <w:sz w:val="22"/>
                <w:szCs w:val="22"/>
                <w:highlight w:val="none"/>
                <w:lang w:val="en-US" w:eastAsia="zh-CN"/>
              </w:rPr>
              <w:t>项目</w:t>
            </w:r>
            <w:r>
              <w:rPr>
                <w:rFonts w:hint="eastAsia" w:ascii="宋体" w:hAnsi="宋体" w:eastAsia="宋体" w:cs="宋体"/>
                <w:color w:val="auto"/>
                <w:kern w:val="0"/>
                <w:sz w:val="22"/>
                <w:szCs w:val="22"/>
                <w:highlight w:val="none"/>
              </w:rPr>
              <w:t>需求</w:t>
            </w:r>
            <w:r>
              <w:rPr>
                <w:rFonts w:hint="eastAsia" w:ascii="宋体" w:hAnsi="宋体" w:eastAsia="宋体" w:cs="宋体"/>
                <w:color w:val="auto"/>
                <w:kern w:val="0"/>
                <w:sz w:val="22"/>
                <w:szCs w:val="22"/>
                <w:highlight w:val="none"/>
                <w:lang w:val="en-US" w:eastAsia="zh-CN"/>
              </w:rPr>
              <w:t>或不提供</w:t>
            </w:r>
            <w:r>
              <w:rPr>
                <w:rFonts w:hint="eastAsia" w:ascii="宋体" w:hAnsi="宋体" w:cs="宋体"/>
                <w:color w:val="auto"/>
                <w:kern w:val="0"/>
                <w:sz w:val="22"/>
                <w:szCs w:val="22"/>
                <w:highlight w:val="none"/>
                <w:lang w:val="en-US" w:eastAsia="zh-CN"/>
              </w:rPr>
              <w:t>不得分</w:t>
            </w:r>
            <w:r>
              <w:rPr>
                <w:rFonts w:hint="eastAsia" w:ascii="宋体" w:hAnsi="宋体" w:cs="宋体"/>
                <w:color w:val="auto"/>
                <w:kern w:val="0"/>
                <w:sz w:val="22"/>
                <w:szCs w:val="22"/>
                <w:highlight w:val="none"/>
                <w:lang w:eastAsia="zh-CN"/>
              </w:rPr>
              <w:t>。</w:t>
            </w:r>
          </w:p>
        </w:tc>
        <w:tc>
          <w:tcPr>
            <w:tcW w:w="1343" w:type="dxa"/>
            <w:vMerge w:val="continue"/>
            <w:shd w:val="clear" w:color="auto" w:fill="auto"/>
            <w:vAlign w:val="center"/>
          </w:tcPr>
          <w:p>
            <w:pPr>
              <w:spacing w:line="28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82" w:hRule="atLeast"/>
        </w:trPr>
        <w:tc>
          <w:tcPr>
            <w:tcW w:w="846" w:type="dxa"/>
            <w:vMerge w:val="continue"/>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rPr>
            </w:pPr>
          </w:p>
        </w:tc>
        <w:tc>
          <w:tcPr>
            <w:tcW w:w="1233" w:type="dxa"/>
            <w:shd w:val="clear" w:color="auto" w:fill="auto"/>
            <w:vAlign w:val="center"/>
          </w:tcPr>
          <w:p>
            <w:pPr>
              <w:widowControl/>
              <w:spacing w:line="28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售后服务</w:t>
            </w:r>
            <w:r>
              <w:rPr>
                <w:rFonts w:hint="eastAsia" w:ascii="宋体" w:hAnsi="宋体" w:cs="宋体"/>
                <w:color w:val="auto"/>
                <w:kern w:val="0"/>
                <w:sz w:val="22"/>
                <w:szCs w:val="22"/>
                <w:highlight w:val="none"/>
                <w:lang w:val="en-US" w:eastAsia="zh-CN"/>
              </w:rPr>
              <w:t>方案</w:t>
            </w:r>
          </w:p>
        </w:tc>
        <w:tc>
          <w:tcPr>
            <w:tcW w:w="600" w:type="dxa"/>
            <w:shd w:val="clear" w:color="auto" w:fill="auto"/>
            <w:vAlign w:val="center"/>
          </w:tcPr>
          <w:p>
            <w:pPr>
              <w:widowControl/>
              <w:spacing w:line="280" w:lineRule="exact"/>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9</w:t>
            </w:r>
          </w:p>
        </w:tc>
        <w:tc>
          <w:tcPr>
            <w:tcW w:w="6076" w:type="dxa"/>
            <w:shd w:val="clear" w:color="auto" w:fill="auto"/>
            <w:vAlign w:val="center"/>
          </w:tcPr>
          <w:p>
            <w:pPr>
              <w:widowControl/>
              <w:spacing w:line="28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根据供应商提供的质保期内的售后服务方案，含设备保养、一般故障排除、突发故障抢修、备品备件等情况说明进行打分：方案完全符合项目特点，各项内容具体详细且实际可行得7分，方案基本符合项目特点，各项内容不太具体详细较为可行得4分，服务方案不全面、不具体、可行性低得2分，无内容或极差不得分。</w:t>
            </w:r>
          </w:p>
          <w:p>
            <w:pPr>
              <w:widowControl/>
              <w:spacing w:line="28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2、在疆内有固定售后服务网点，提供真实的售后服务人员姓名、联系电话及服务网点详细地址及服务网点房屋使用证明得2分，否则不得分。</w:t>
            </w:r>
          </w:p>
        </w:tc>
        <w:tc>
          <w:tcPr>
            <w:tcW w:w="1343" w:type="dxa"/>
            <w:vMerge w:val="continue"/>
            <w:shd w:val="clear" w:color="auto" w:fill="auto"/>
            <w:vAlign w:val="center"/>
          </w:tcPr>
          <w:p>
            <w:pPr>
              <w:spacing w:line="280" w:lineRule="exact"/>
              <w:rPr>
                <w:rFonts w:hint="eastAsia" w:ascii="宋体" w:hAnsi="宋体" w:eastAsia="宋体" w:cs="宋体"/>
                <w:color w:val="auto"/>
                <w:sz w:val="22"/>
                <w:szCs w:val="22"/>
                <w:highlight w:val="none"/>
              </w:rPr>
            </w:pPr>
          </w:p>
        </w:tc>
      </w:tr>
    </w:tbl>
    <w:p>
      <w:pPr>
        <w:outlineLvl w:val="9"/>
        <w:rPr>
          <w:rFonts w:hint="eastAsia" w:ascii="宋体" w:hAnsi="宋体" w:eastAsia="宋体" w:cs="宋体"/>
          <w:b/>
          <w:color w:val="auto"/>
          <w:sz w:val="44"/>
          <w:szCs w:val="44"/>
          <w:highlight w:val="none"/>
        </w:rPr>
      </w:pPr>
    </w:p>
    <w:p>
      <w:pPr>
        <w:pStyle w:val="5"/>
        <w:outlineLvl w:val="9"/>
        <w:rPr>
          <w:rFonts w:hint="eastAsia" w:ascii="宋体" w:hAnsi="宋体" w:eastAsia="宋体" w:cs="宋体"/>
          <w:b/>
          <w:color w:val="auto"/>
          <w:sz w:val="44"/>
          <w:szCs w:val="44"/>
          <w:highlight w:val="none"/>
        </w:rPr>
      </w:pPr>
    </w:p>
    <w:p>
      <w:pPr>
        <w:outlineLvl w:val="9"/>
        <w:rPr>
          <w:rFonts w:hint="eastAsia" w:ascii="宋体" w:hAnsi="宋体" w:eastAsia="宋体" w:cs="宋体"/>
          <w:b/>
          <w:color w:val="auto"/>
          <w:sz w:val="44"/>
          <w:szCs w:val="44"/>
          <w:highlight w:val="none"/>
        </w:rPr>
      </w:pPr>
    </w:p>
    <w:p>
      <w:pPr>
        <w:pStyle w:val="2"/>
        <w:rPr>
          <w:rFonts w:hint="eastAsia" w:ascii="宋体" w:hAnsi="宋体" w:eastAsia="宋体" w:cs="宋体"/>
          <w:b/>
          <w:color w:val="auto"/>
          <w:sz w:val="44"/>
          <w:szCs w:val="44"/>
          <w:highlight w:val="none"/>
        </w:rPr>
      </w:pPr>
    </w:p>
    <w:p>
      <w:pPr>
        <w:pStyle w:val="4"/>
        <w:rPr>
          <w:rFonts w:hint="eastAsia" w:ascii="宋体" w:hAnsi="宋体" w:eastAsia="宋体" w:cs="宋体"/>
          <w:b/>
          <w:color w:val="auto"/>
          <w:sz w:val="44"/>
          <w:szCs w:val="44"/>
          <w:highlight w:val="none"/>
        </w:rPr>
      </w:pPr>
    </w:p>
    <w:p>
      <w:pPr>
        <w:pStyle w:val="4"/>
        <w:rPr>
          <w:rFonts w:hint="eastAsia" w:ascii="宋体" w:hAnsi="宋体" w:eastAsia="宋体" w:cs="宋体"/>
          <w:b/>
          <w:color w:val="auto"/>
          <w:sz w:val="44"/>
          <w:szCs w:val="44"/>
          <w:highlight w:val="none"/>
        </w:rPr>
      </w:pPr>
    </w:p>
    <w:p>
      <w:pPr>
        <w:pStyle w:val="5"/>
        <w:rPr>
          <w:rFonts w:hint="eastAsia" w:ascii="宋体" w:hAnsi="宋体" w:eastAsia="宋体" w:cs="宋体"/>
          <w:b/>
          <w:color w:val="auto"/>
          <w:sz w:val="44"/>
          <w:szCs w:val="44"/>
          <w:highlight w:val="none"/>
        </w:rPr>
      </w:pPr>
    </w:p>
    <w:p>
      <w:pPr>
        <w:rPr>
          <w:rFonts w:hint="eastAsia"/>
          <w:color w:val="auto"/>
        </w:rPr>
      </w:pPr>
    </w:p>
    <w:p>
      <w:pPr>
        <w:keepNext w:val="0"/>
        <w:keepLines w:val="0"/>
        <w:pageBreakBefore w:val="0"/>
        <w:kinsoku/>
        <w:wordWrap/>
        <w:overflowPunct/>
        <w:topLinePunct w:val="0"/>
        <w:bidi w:val="0"/>
        <w:snapToGrid/>
        <w:textAlignment w:val="auto"/>
        <w:outlineLvl w:val="9"/>
        <w:rPr>
          <w:rFonts w:hint="eastAsia" w:ascii="宋体" w:hAnsi="宋体" w:eastAsia="宋体" w:cs="宋体"/>
          <w:color w:val="auto"/>
          <w:highlight w:val="none"/>
        </w:rPr>
      </w:pPr>
    </w:p>
    <w:p>
      <w:pPr>
        <w:spacing w:line="240" w:lineRule="atLeast"/>
        <w:jc w:val="center"/>
        <w:outlineLvl w:val="9"/>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240" w:lineRule="atLeast"/>
        <w:jc w:val="center"/>
        <w:outlineLvl w:val="9"/>
        <w:rPr>
          <w:rFonts w:hint="eastAsia" w:ascii="宋体" w:hAnsi="宋体" w:eastAsia="宋体" w:cs="宋体"/>
          <w:b/>
          <w:color w:val="auto"/>
          <w:sz w:val="40"/>
          <w:szCs w:val="40"/>
          <w:highlight w:val="none"/>
        </w:rPr>
      </w:pPr>
    </w:p>
    <w:p>
      <w:pPr>
        <w:pStyle w:val="2"/>
        <w:ind w:firstLine="2008" w:firstLineChars="500"/>
        <w:outlineLvl w:val="9"/>
        <w:rPr>
          <w:rFonts w:hint="eastAsia" w:ascii="宋体" w:hAnsi="宋体" w:eastAsia="宋体" w:cs="宋体"/>
          <w:b/>
          <w:color w:val="auto"/>
          <w:sz w:val="40"/>
          <w:szCs w:val="40"/>
          <w:highlight w:val="none"/>
          <w:lang w:val="en-US" w:eastAsia="zh-CN"/>
        </w:rPr>
      </w:pPr>
      <w:bookmarkStart w:id="1320" w:name="_Toc13284_WPSOffice_Level2"/>
      <w:r>
        <w:rPr>
          <w:rFonts w:hint="eastAsia" w:ascii="宋体" w:hAnsi="宋体" w:eastAsia="宋体" w:cs="宋体"/>
          <w:b/>
          <w:color w:val="auto"/>
          <w:sz w:val="40"/>
          <w:szCs w:val="40"/>
          <w:highlight w:val="none"/>
        </w:rPr>
        <w:t>项目编号：</w:t>
      </w:r>
      <w:bookmarkEnd w:id="1320"/>
      <w:r>
        <w:rPr>
          <w:rFonts w:hint="eastAsia" w:ascii="宋体" w:hAnsi="宋体" w:cs="宋体"/>
          <w:b/>
          <w:color w:val="auto"/>
          <w:sz w:val="40"/>
          <w:szCs w:val="40"/>
          <w:highlight w:val="none"/>
          <w:lang w:val="en-US" w:eastAsia="zh-CN"/>
        </w:rPr>
        <w:t>ZJ(GK)-22042</w:t>
      </w:r>
    </w:p>
    <w:p>
      <w:pPr>
        <w:pStyle w:val="2"/>
        <w:ind w:firstLine="480"/>
        <w:outlineLvl w:val="9"/>
        <w:rPr>
          <w:rFonts w:hint="eastAsia" w:ascii="宋体" w:hAnsi="宋体" w:eastAsia="宋体" w:cs="宋体"/>
          <w:color w:val="auto"/>
          <w:highlight w:val="none"/>
        </w:rPr>
      </w:pPr>
    </w:p>
    <w:p>
      <w:pPr>
        <w:spacing w:line="240" w:lineRule="atLeast"/>
        <w:jc w:val="center"/>
        <w:outlineLvl w:val="9"/>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第 三 册</w:t>
      </w:r>
    </w:p>
    <w:p>
      <w:pPr>
        <w:spacing w:line="240" w:lineRule="atLeast"/>
        <w:jc w:val="center"/>
        <w:outlineLvl w:val="9"/>
        <w:rPr>
          <w:rFonts w:hint="eastAsia" w:ascii="宋体" w:hAnsi="宋体" w:eastAsia="宋体" w:cs="宋体"/>
          <w:b/>
          <w:color w:val="auto"/>
          <w:sz w:val="32"/>
          <w:highlight w:val="none"/>
        </w:rPr>
      </w:pPr>
    </w:p>
    <w:p>
      <w:pPr>
        <w:spacing w:line="240" w:lineRule="atLeast"/>
        <w:ind w:left="1080" w:leftChars="257" w:hanging="540"/>
        <w:jc w:val="center"/>
        <w:outlineLvl w:val="9"/>
        <w:rPr>
          <w:rFonts w:hint="eastAsia" w:ascii="宋体" w:hAnsi="宋体" w:eastAsia="宋体" w:cs="宋体"/>
          <w:b/>
          <w:color w:val="auto"/>
          <w:sz w:val="52"/>
          <w:highlight w:val="none"/>
        </w:rPr>
      </w:pPr>
    </w:p>
    <w:p>
      <w:pPr>
        <w:outlineLvl w:val="9"/>
        <w:rPr>
          <w:rFonts w:hint="eastAsia" w:ascii="宋体" w:hAnsi="宋体" w:eastAsia="宋体" w:cs="宋体"/>
          <w:b/>
          <w:color w:val="auto"/>
          <w:sz w:val="52"/>
          <w:highlight w:val="none"/>
        </w:rPr>
      </w:pPr>
    </w:p>
    <w:p>
      <w:pPr>
        <w:pStyle w:val="4"/>
        <w:rPr>
          <w:rFonts w:hint="eastAsia" w:ascii="宋体" w:hAnsi="宋体" w:eastAsia="宋体" w:cs="宋体"/>
          <w:b/>
          <w:color w:val="auto"/>
          <w:sz w:val="52"/>
          <w:highlight w:val="none"/>
        </w:rPr>
      </w:pPr>
    </w:p>
    <w:p>
      <w:pPr>
        <w:pStyle w:val="5"/>
        <w:rPr>
          <w:rFonts w:hint="eastAsia"/>
          <w:color w:val="auto"/>
          <w:highlight w:val="none"/>
        </w:rPr>
      </w:pPr>
    </w:p>
    <w:p>
      <w:pPr>
        <w:pStyle w:val="5"/>
        <w:rPr>
          <w:rFonts w:hint="eastAsia" w:ascii="宋体" w:hAnsi="宋体" w:eastAsia="宋体" w:cs="宋体"/>
          <w:b/>
          <w:color w:val="auto"/>
          <w:sz w:val="52"/>
          <w:highlight w:val="none"/>
        </w:rPr>
      </w:pPr>
    </w:p>
    <w:p>
      <w:pPr>
        <w:rPr>
          <w:rFonts w:hint="eastAsia" w:ascii="宋体" w:hAnsi="宋体" w:eastAsia="宋体" w:cs="宋体"/>
          <w:b/>
          <w:color w:val="auto"/>
          <w:sz w:val="52"/>
          <w:highlight w:val="none"/>
        </w:rPr>
      </w:pPr>
      <w:r>
        <w:rPr>
          <w:rFonts w:hint="eastAsia" w:ascii="宋体" w:hAnsi="宋体" w:eastAsia="宋体" w:cs="宋体"/>
          <w:b/>
          <w:color w:val="auto"/>
          <w:sz w:val="52"/>
          <w:highlight w:val="none"/>
        </w:rPr>
        <w:br w:type="page"/>
      </w:r>
    </w:p>
    <w:bookmarkEnd w:id="1318"/>
    <w:p>
      <w:pPr>
        <w:pStyle w:val="6"/>
        <w:numPr>
          <w:ilvl w:val="0"/>
          <w:numId w:val="0"/>
        </w:numPr>
        <w:shd w:val="clear"/>
        <w:tabs>
          <w:tab w:val="left" w:pos="0"/>
        </w:tabs>
        <w:spacing w:before="0" w:after="0" w:line="240" w:lineRule="atLeast"/>
        <w:ind w:leftChars="0"/>
        <w:jc w:val="center"/>
        <w:outlineLvl w:val="0"/>
        <w:rPr>
          <w:rFonts w:hint="eastAsia" w:ascii="宋体" w:hAnsi="宋体" w:eastAsia="宋体" w:cs="宋体"/>
          <w:b/>
          <w:bCs/>
          <w:color w:val="auto"/>
          <w:highlight w:val="none"/>
        </w:rPr>
      </w:pPr>
      <w:bookmarkStart w:id="1321" w:name="_Toc21195"/>
      <w:bookmarkStart w:id="1322" w:name="_Toc24985"/>
      <w:bookmarkStart w:id="1323" w:name="_Toc19726"/>
      <w:bookmarkStart w:id="1324" w:name="_Toc30353"/>
      <w:r>
        <w:rPr>
          <w:rFonts w:hint="eastAsia" w:hAnsi="宋体" w:cs="宋体"/>
          <w:b/>
          <w:bCs/>
          <w:color w:val="auto"/>
          <w:highlight w:val="none"/>
          <w:lang w:val="en-US" w:eastAsia="zh-CN"/>
        </w:rPr>
        <w:t xml:space="preserve">第7章 </w:t>
      </w:r>
      <w:r>
        <w:rPr>
          <w:rFonts w:hint="eastAsia" w:ascii="宋体" w:hAnsi="宋体" w:eastAsia="宋体" w:cs="宋体"/>
          <w:b/>
          <w:bCs/>
          <w:color w:val="auto"/>
          <w:highlight w:val="none"/>
        </w:rPr>
        <w:t>政府采购合同</w:t>
      </w:r>
      <w:bookmarkEnd w:id="1321"/>
      <w:bookmarkEnd w:id="1322"/>
      <w:bookmarkEnd w:id="1323"/>
      <w:bookmarkEnd w:id="1324"/>
      <w:bookmarkStart w:id="1325" w:name="_Toc216513788"/>
      <w:bookmarkEnd w:id="1325"/>
      <w:bookmarkStart w:id="1326" w:name="_Toc487900382"/>
      <w:bookmarkEnd w:id="1326"/>
      <w:bookmarkStart w:id="1327" w:name="_Hlt487972895"/>
      <w:bookmarkEnd w:id="1327"/>
    </w:p>
    <w:p>
      <w:pPr>
        <w:numPr>
          <w:ilvl w:val="0"/>
          <w:numId w:val="0"/>
        </w:numPr>
        <w:ind w:leftChars="0"/>
        <w:rPr>
          <w:rFonts w:hint="eastAsia"/>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合同编号：   </w:t>
      </w:r>
      <w:r>
        <w:rPr>
          <w:rFonts w:hint="eastAsia" w:ascii="宋体" w:hAnsi="宋体" w:eastAsia="宋体" w:cs="宋体"/>
          <w:color w:val="auto"/>
          <w:highlight w:val="none"/>
        </w:rPr>
        <w:t xml:space="preserve">        </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500" w:lineRule="exact"/>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政府采购合同参考范本</w:t>
      </w:r>
    </w:p>
    <w:p>
      <w:pPr>
        <w:spacing w:line="5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（货物类）</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7"/>
        <w:spacing w:line="360" w:lineRule="exact"/>
        <w:ind w:firstLine="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第一部分 合同书</w:t>
      </w:r>
    </w:p>
    <w:p>
      <w:pPr>
        <w:rPr>
          <w:rFonts w:hint="eastAsia" w:ascii="宋体" w:hAnsi="宋体" w:eastAsia="宋体" w:cs="宋体"/>
          <w:color w:val="auto"/>
          <w:highlight w:val="none"/>
        </w:rPr>
      </w:pPr>
    </w:p>
    <w:p>
      <w:pPr>
        <w:spacing w:before="120" w:line="360" w:lineRule="exact"/>
        <w:ind w:left="9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pStyle w:val="58"/>
        <w:spacing w:before="120" w:line="360" w:lineRule="exact"/>
        <w:rPr>
          <w:rFonts w:hint="eastAsia" w:ascii="宋体" w:hAnsi="宋体" w:eastAsia="宋体" w:cs="宋体"/>
          <w:color w:val="auto"/>
          <w:highlight w:val="none"/>
        </w:rPr>
      </w:pPr>
    </w:p>
    <w:p>
      <w:pPr>
        <w:pStyle w:val="58"/>
        <w:spacing w:before="120" w:line="360" w:lineRule="exact"/>
        <w:rPr>
          <w:rFonts w:hint="eastAsia" w:ascii="宋体" w:hAnsi="宋体" w:eastAsia="宋体" w:cs="宋体"/>
          <w:color w:val="auto"/>
          <w:highlight w:val="none"/>
        </w:rPr>
      </w:pPr>
    </w:p>
    <w:p>
      <w:pPr>
        <w:spacing w:line="360" w:lineRule="exact"/>
        <w:rPr>
          <w:rFonts w:hint="eastAsia" w:ascii="宋体" w:hAnsi="宋体" w:eastAsia="宋体" w:cs="宋体"/>
          <w:color w:val="auto"/>
          <w:highlight w:val="none"/>
        </w:rPr>
      </w:pPr>
    </w:p>
    <w:p>
      <w:pPr>
        <w:spacing w:before="120" w:line="360" w:lineRule="exact"/>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p>
    <w:p>
      <w:pPr>
        <w:spacing w:before="120" w:line="360" w:lineRule="exact"/>
        <w:rPr>
          <w:rFonts w:hint="eastAsia" w:ascii="宋体" w:hAnsi="宋体" w:eastAsia="宋体" w:cs="宋体"/>
          <w:color w:val="auto"/>
          <w:sz w:val="24"/>
          <w:szCs w:val="24"/>
          <w:highlight w:val="none"/>
        </w:rPr>
      </w:pPr>
    </w:p>
    <w:p>
      <w:pPr>
        <w:spacing w:before="120" w:line="360" w:lineRule="exact"/>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pPr>
        <w:spacing w:before="120" w:line="360" w:lineRule="exact"/>
        <w:rPr>
          <w:rFonts w:hint="eastAsia" w:ascii="宋体" w:hAnsi="宋体" w:eastAsia="宋体" w:cs="宋体"/>
          <w:color w:val="auto"/>
          <w:sz w:val="24"/>
          <w:szCs w:val="24"/>
          <w:highlight w:val="none"/>
        </w:rPr>
      </w:pPr>
    </w:p>
    <w:p>
      <w:pPr>
        <w:spacing w:before="120" w:line="36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w:t>
      </w:r>
      <w:r>
        <w:rPr>
          <w:rFonts w:hint="eastAsia" w:ascii="宋体" w:hAnsi="宋体" w:eastAsia="宋体" w:cs="宋体"/>
          <w:color w:val="auto"/>
          <w:sz w:val="24"/>
          <w:szCs w:val="24"/>
          <w:highlight w:val="none"/>
          <w:u w:val="single"/>
        </w:rPr>
        <w:t xml:space="preserve">                                     </w:t>
      </w:r>
    </w:p>
    <w:p>
      <w:pPr>
        <w:spacing w:before="120" w:line="360" w:lineRule="exact"/>
        <w:rPr>
          <w:rFonts w:hint="eastAsia" w:ascii="宋体" w:hAnsi="宋体" w:eastAsia="宋体" w:cs="宋体"/>
          <w:color w:val="auto"/>
          <w:sz w:val="24"/>
          <w:szCs w:val="24"/>
          <w:highlight w:val="none"/>
        </w:rPr>
      </w:pPr>
    </w:p>
    <w:p>
      <w:pPr>
        <w:spacing w:before="120" w:line="36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utoSpaceDE w:val="0"/>
        <w:autoSpaceDN w:val="0"/>
        <w:adjustRightInd w:val="0"/>
        <w:spacing w:line="360" w:lineRule="exact"/>
        <w:ind w:firstLine="640"/>
        <w:jc w:val="center"/>
        <w:rPr>
          <w:rFonts w:hint="eastAsia" w:ascii="宋体" w:hAnsi="宋体" w:eastAsia="宋体" w:cs="宋体"/>
          <w:color w:val="auto"/>
          <w:sz w:val="24"/>
          <w:szCs w:val="24"/>
          <w:highlight w:val="none"/>
        </w:rPr>
        <w:sectPr>
          <w:footerReference r:id="rId9" w:type="default"/>
          <w:pgSz w:w="11907" w:h="16840"/>
          <w:pgMar w:top="1474" w:right="1814" w:bottom="1474" w:left="1814" w:header="851" w:footer="851" w:gutter="0"/>
          <w:cols w:space="720" w:num="1"/>
          <w:docGrid w:linePitch="462" w:charSpace="0"/>
        </w:sectPr>
      </w:pPr>
    </w:p>
    <w:p>
      <w:pPr>
        <w:spacing w:line="360" w:lineRule="exact"/>
        <w:ind w:firstLine="480" w:firstLineChars="200"/>
        <w:rPr>
          <w:rFonts w:hint="eastAsia" w:ascii="宋体" w:hAnsi="宋体" w:eastAsia="宋体" w:cs="宋体"/>
          <w:color w:val="auto"/>
          <w:sz w:val="24"/>
          <w:szCs w:val="24"/>
          <w:highlight w:val="none"/>
        </w:rPr>
      </w:pPr>
      <w:bookmarkStart w:id="1328" w:name="_Toc2659"/>
      <w:bookmarkStart w:id="1329" w:name="_Toc26721"/>
      <w:bookmarkStart w:id="1330" w:name="_Toc3029"/>
      <w:bookmarkStart w:id="1331" w:name="_Toc24059"/>
      <w:bookmarkStart w:id="1332" w:name="_Toc2232"/>
      <w:bookmarkStart w:id="1333" w:name="_Toc1846"/>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（采购人名称）   </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（政府采购方式）  </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（同前页项目名称）   </w:t>
      </w:r>
      <w:r>
        <w:rPr>
          <w:rFonts w:hint="eastAsia" w:ascii="宋体" w:hAnsi="宋体" w:eastAsia="宋体" w:cs="宋体"/>
          <w:color w:val="auto"/>
          <w:sz w:val="24"/>
          <w:szCs w:val="24"/>
          <w:highlight w:val="none"/>
        </w:rPr>
        <w:t>项目进行了采购。经</w:t>
      </w:r>
      <w:r>
        <w:rPr>
          <w:rFonts w:hint="eastAsia" w:ascii="宋体" w:hAnsi="宋体" w:eastAsia="宋体" w:cs="宋体"/>
          <w:color w:val="auto"/>
          <w:sz w:val="24"/>
          <w:szCs w:val="24"/>
          <w:highlight w:val="none"/>
          <w:u w:val="single"/>
        </w:rPr>
        <w:t xml:space="preserve">   （相关评定主体名称）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rPr>
        <w:t xml:space="preserve">   （中标供应商名称）</w:t>
      </w:r>
      <w:r>
        <w:rPr>
          <w:rFonts w:hint="eastAsia" w:ascii="宋体" w:hAnsi="宋体" w:eastAsia="宋体" w:cs="宋体"/>
          <w:color w:val="auto"/>
          <w:sz w:val="24"/>
          <w:szCs w:val="24"/>
          <w:highlight w:val="none"/>
        </w:rPr>
        <w:t>为该项目中标供应商。现于中标通知书发出之日起三十日内，按照采购文件确定的事项签订本合同。</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szCs w:val="24"/>
          <w:highlight w:val="none"/>
          <w:u w:val="single"/>
        </w:rPr>
        <w:t xml:space="preserve">   （采购人名称）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u w:val="single"/>
        </w:rPr>
        <w:t xml:space="preserve">   （中标供应商名称）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bookmarkEnd w:id="1328"/>
    <w:bookmarkEnd w:id="1329"/>
    <w:bookmarkEnd w:id="1330"/>
    <w:bookmarkEnd w:id="1331"/>
    <w:bookmarkEnd w:id="1332"/>
    <w:bookmarkEnd w:id="1333"/>
    <w:p>
      <w:pPr>
        <w:spacing w:line="360" w:lineRule="exact"/>
        <w:ind w:firstLine="482" w:firstLineChars="200"/>
        <w:outlineLvl w:val="0"/>
        <w:rPr>
          <w:rFonts w:hint="eastAsia" w:ascii="宋体" w:hAnsi="宋体" w:eastAsia="宋体" w:cs="宋体"/>
          <w:b/>
          <w:bCs/>
          <w:color w:val="auto"/>
          <w:sz w:val="24"/>
          <w:szCs w:val="24"/>
          <w:highlight w:val="none"/>
        </w:rPr>
      </w:pPr>
      <w:bookmarkStart w:id="1334" w:name="_Toc25352"/>
      <w:bookmarkStart w:id="1335" w:name="_Toc6038"/>
      <w:bookmarkStart w:id="1336" w:name="_Toc27428"/>
      <w:bookmarkStart w:id="1337" w:name="_Toc4498"/>
      <w:bookmarkStart w:id="1338" w:name="_Toc28090"/>
      <w:bookmarkStart w:id="1339" w:name="_Toc24186"/>
      <w:bookmarkStart w:id="1340" w:name="_Toc29751"/>
      <w:bookmarkStart w:id="1341" w:name="_Toc27963"/>
      <w:bookmarkStart w:id="1342" w:name="_Toc30575"/>
      <w:bookmarkStart w:id="1343" w:name="_Toc14766"/>
      <w:bookmarkStart w:id="1344" w:name="_Toc23555"/>
      <w:bookmarkStart w:id="1345" w:name="_Toc4751"/>
      <w:bookmarkStart w:id="1346" w:name="_Toc18247"/>
      <w:bookmarkStart w:id="1347" w:name="_Toc21386"/>
      <w:bookmarkStart w:id="1348" w:name="_Toc28876"/>
      <w:bookmarkStart w:id="1349" w:name="_Toc2048"/>
      <w:bookmarkStart w:id="1350" w:name="_Toc2016"/>
      <w:r>
        <w:rPr>
          <w:rFonts w:hint="eastAsia" w:ascii="宋体" w:hAnsi="宋体" w:eastAsia="宋体" w:cs="宋体"/>
          <w:b/>
          <w:bCs/>
          <w:color w:val="auto"/>
          <w:sz w:val="24"/>
          <w:szCs w:val="24"/>
          <w:highlight w:val="none"/>
        </w:rPr>
        <w:t>1.1 合同组成部分</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本合同及其补充合同、变更协议；</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中标通知书；</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投标文件（含澄清或者说明文件）；</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招标文件（含澄清或者修改文件）；</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其他相关采购文件。</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351" w:name="_Toc31638"/>
      <w:bookmarkStart w:id="1352" w:name="_Toc27318"/>
      <w:bookmarkStart w:id="1353" w:name="_Toc7977"/>
      <w:bookmarkStart w:id="1354" w:name="_Toc8631"/>
      <w:bookmarkStart w:id="1355" w:name="_Toc13138"/>
      <w:bookmarkStart w:id="1356" w:name="_Toc7824"/>
      <w:bookmarkStart w:id="1357" w:name="_Toc19432"/>
      <w:bookmarkStart w:id="1358" w:name="_Toc21690"/>
      <w:bookmarkStart w:id="1359" w:name="_Toc1446"/>
      <w:bookmarkStart w:id="1360" w:name="_Toc4735"/>
      <w:bookmarkStart w:id="1361" w:name="_Toc27126"/>
      <w:bookmarkStart w:id="1362" w:name="_Toc21295"/>
      <w:bookmarkStart w:id="1363" w:name="_Toc15678"/>
      <w:bookmarkStart w:id="1364" w:name="_Toc25402"/>
      <w:bookmarkStart w:id="1365" w:name="_Toc25735"/>
      <w:bookmarkStart w:id="1366" w:name="_Toc21217"/>
      <w:bookmarkStart w:id="1367" w:name="_Toc2490"/>
      <w:bookmarkStart w:id="1368" w:name="_Toc31632"/>
      <w:bookmarkStart w:id="1369" w:name="_Toc5906"/>
      <w:bookmarkStart w:id="1370" w:name="_Toc9006"/>
      <w:bookmarkStart w:id="1371" w:name="_Toc14235"/>
      <w:bookmarkStart w:id="1372" w:name="_Toc15345"/>
      <w:bookmarkStart w:id="1373" w:name="_Toc24300"/>
      <w:r>
        <w:rPr>
          <w:rFonts w:hint="eastAsia" w:ascii="宋体" w:hAnsi="宋体" w:eastAsia="宋体" w:cs="宋体"/>
          <w:b/>
          <w:bCs/>
          <w:color w:val="auto"/>
          <w:sz w:val="24"/>
          <w:szCs w:val="24"/>
          <w:highlight w:val="none"/>
        </w:rPr>
        <w:t>1.2 货物</w:t>
      </w:r>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spacing w:line="3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 货物名称：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 货物数量：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货物质量：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374" w:name="_Toc12266"/>
      <w:bookmarkStart w:id="1375" w:name="_Toc1267"/>
      <w:bookmarkStart w:id="1376" w:name="_Toc30755"/>
      <w:bookmarkStart w:id="1377" w:name="_Toc10942"/>
      <w:bookmarkStart w:id="1378" w:name="_Toc21040"/>
      <w:bookmarkStart w:id="1379" w:name="_Toc23292"/>
      <w:bookmarkStart w:id="1380" w:name="_Toc29540"/>
      <w:bookmarkStart w:id="1381" w:name="_Toc13898"/>
      <w:bookmarkStart w:id="1382" w:name="_Toc9364"/>
      <w:bookmarkStart w:id="1383" w:name="_Toc13753"/>
      <w:bookmarkStart w:id="1384" w:name="_Toc2897"/>
      <w:bookmarkStart w:id="1385" w:name="_Toc21551"/>
      <w:bookmarkStart w:id="1386" w:name="_Toc30667"/>
      <w:bookmarkStart w:id="1387" w:name="_Toc19682"/>
      <w:bookmarkStart w:id="1388" w:name="_Toc9271"/>
      <w:bookmarkStart w:id="1389" w:name="_Toc633"/>
      <w:bookmarkStart w:id="1390" w:name="_Toc25368"/>
      <w:bookmarkStart w:id="1391" w:name="_Toc11045"/>
      <w:bookmarkStart w:id="1392" w:name="_Toc1528"/>
      <w:bookmarkStart w:id="1393" w:name="_Toc27282"/>
      <w:bookmarkStart w:id="1394" w:name="_Toc2582"/>
      <w:bookmarkStart w:id="1395" w:name="_Toc21631"/>
      <w:bookmarkStart w:id="1396" w:name="_Toc25714"/>
      <w:bookmarkStart w:id="1397" w:name="_Toc8386"/>
      <w:r>
        <w:rPr>
          <w:rFonts w:hint="eastAsia" w:ascii="宋体" w:hAnsi="宋体" w:eastAsia="宋体" w:cs="宋体"/>
          <w:b/>
          <w:bCs/>
          <w:color w:val="auto"/>
          <w:sz w:val="24"/>
          <w:szCs w:val="24"/>
          <w:highlight w:val="none"/>
        </w:rPr>
        <w:t>1.3 价款</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pPr>
        <w:spacing w:line="3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26"/>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9"/>
              <w:spacing w:line="3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3738" w:type="dxa"/>
            <w:vAlign w:val="center"/>
          </w:tcPr>
          <w:p>
            <w:pPr>
              <w:pStyle w:val="59"/>
              <w:spacing w:line="3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分项名称</w:t>
            </w:r>
          </w:p>
        </w:tc>
        <w:tc>
          <w:tcPr>
            <w:tcW w:w="2803" w:type="dxa"/>
            <w:vAlign w:val="center"/>
          </w:tcPr>
          <w:p>
            <w:pPr>
              <w:pStyle w:val="59"/>
              <w:spacing w:line="3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9"/>
              <w:spacing w:line="360" w:lineRule="exact"/>
              <w:ind w:firstLine="200"/>
              <w:jc w:val="center"/>
              <w:rPr>
                <w:rFonts w:hint="eastAsia" w:ascii="宋体" w:hAnsi="宋体" w:eastAsia="宋体" w:cs="宋体"/>
                <w:color w:val="auto"/>
                <w:kern w:val="2"/>
                <w:sz w:val="24"/>
                <w:szCs w:val="24"/>
                <w:highlight w:val="none"/>
              </w:rPr>
            </w:pPr>
          </w:p>
        </w:tc>
        <w:tc>
          <w:tcPr>
            <w:tcW w:w="3738" w:type="dxa"/>
            <w:vAlign w:val="center"/>
          </w:tcPr>
          <w:p>
            <w:pPr>
              <w:pStyle w:val="59"/>
              <w:spacing w:line="360" w:lineRule="exact"/>
              <w:ind w:firstLine="200"/>
              <w:jc w:val="center"/>
              <w:rPr>
                <w:rFonts w:hint="eastAsia" w:ascii="宋体" w:hAnsi="宋体" w:eastAsia="宋体" w:cs="宋体"/>
                <w:color w:val="auto"/>
                <w:kern w:val="2"/>
                <w:sz w:val="24"/>
                <w:szCs w:val="24"/>
                <w:highlight w:val="none"/>
              </w:rPr>
            </w:pPr>
          </w:p>
        </w:tc>
        <w:tc>
          <w:tcPr>
            <w:tcW w:w="2803" w:type="dxa"/>
            <w:vAlign w:val="center"/>
          </w:tcPr>
          <w:p>
            <w:pPr>
              <w:pStyle w:val="59"/>
              <w:spacing w:line="3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9"/>
              <w:spacing w:line="360" w:lineRule="exact"/>
              <w:ind w:firstLine="200"/>
              <w:jc w:val="center"/>
              <w:rPr>
                <w:rFonts w:hint="eastAsia" w:ascii="宋体" w:hAnsi="宋体" w:eastAsia="宋体" w:cs="宋体"/>
                <w:color w:val="auto"/>
                <w:kern w:val="2"/>
                <w:sz w:val="24"/>
                <w:szCs w:val="24"/>
                <w:highlight w:val="none"/>
              </w:rPr>
            </w:pPr>
          </w:p>
        </w:tc>
        <w:tc>
          <w:tcPr>
            <w:tcW w:w="3738" w:type="dxa"/>
            <w:vAlign w:val="center"/>
          </w:tcPr>
          <w:p>
            <w:pPr>
              <w:pStyle w:val="59"/>
              <w:spacing w:line="360" w:lineRule="exact"/>
              <w:ind w:firstLine="200"/>
              <w:jc w:val="center"/>
              <w:rPr>
                <w:rFonts w:hint="eastAsia" w:ascii="宋体" w:hAnsi="宋体" w:eastAsia="宋体" w:cs="宋体"/>
                <w:color w:val="auto"/>
                <w:kern w:val="2"/>
                <w:sz w:val="24"/>
                <w:szCs w:val="24"/>
                <w:highlight w:val="none"/>
              </w:rPr>
            </w:pPr>
          </w:p>
        </w:tc>
        <w:tc>
          <w:tcPr>
            <w:tcW w:w="2803" w:type="dxa"/>
            <w:vAlign w:val="center"/>
          </w:tcPr>
          <w:p>
            <w:pPr>
              <w:pStyle w:val="59"/>
              <w:spacing w:line="3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59"/>
              <w:spacing w:line="3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总价</w:t>
            </w:r>
          </w:p>
        </w:tc>
        <w:tc>
          <w:tcPr>
            <w:tcW w:w="2803" w:type="dxa"/>
            <w:vAlign w:val="center"/>
          </w:tcPr>
          <w:p>
            <w:pPr>
              <w:pStyle w:val="59"/>
              <w:spacing w:line="360" w:lineRule="exact"/>
              <w:ind w:firstLine="200"/>
              <w:jc w:val="center"/>
              <w:rPr>
                <w:rFonts w:hint="eastAsia" w:ascii="宋体" w:hAnsi="宋体" w:eastAsia="宋体" w:cs="宋体"/>
                <w:color w:val="auto"/>
                <w:kern w:val="2"/>
                <w:sz w:val="24"/>
                <w:szCs w:val="24"/>
                <w:highlight w:val="none"/>
              </w:rPr>
            </w:pPr>
          </w:p>
        </w:tc>
      </w:tr>
    </w:tbl>
    <w:p>
      <w:pPr>
        <w:spacing w:line="360" w:lineRule="exact"/>
        <w:ind w:firstLine="482" w:firstLineChars="200"/>
        <w:outlineLvl w:val="0"/>
        <w:rPr>
          <w:rFonts w:hint="eastAsia" w:ascii="宋体" w:hAnsi="宋体" w:eastAsia="宋体" w:cs="宋体"/>
          <w:b/>
          <w:bCs/>
          <w:color w:val="auto"/>
          <w:sz w:val="24"/>
          <w:szCs w:val="24"/>
          <w:highlight w:val="none"/>
        </w:rPr>
      </w:pPr>
      <w:bookmarkStart w:id="1398" w:name="_Toc25620"/>
      <w:bookmarkStart w:id="1399" w:name="_Toc10086"/>
      <w:bookmarkStart w:id="1400" w:name="_Toc21104"/>
      <w:bookmarkStart w:id="1401" w:name="_Toc21349"/>
      <w:bookmarkStart w:id="1402" w:name="_Toc8933"/>
      <w:bookmarkStart w:id="1403" w:name="_Toc16746"/>
      <w:bookmarkStart w:id="1404" w:name="_Toc7458"/>
      <w:bookmarkStart w:id="1405" w:name="_Toc27817"/>
      <w:bookmarkStart w:id="1406" w:name="_Toc9054"/>
      <w:bookmarkStart w:id="1407" w:name="_Toc26470"/>
      <w:bookmarkStart w:id="1408" w:name="_Toc28773"/>
      <w:bookmarkStart w:id="1409" w:name="_Toc5736"/>
      <w:bookmarkStart w:id="1410" w:name="_Toc10340"/>
      <w:bookmarkStart w:id="1411" w:name="_Toc7801"/>
      <w:bookmarkStart w:id="1412" w:name="_Toc44"/>
      <w:bookmarkStart w:id="1413" w:name="_Toc1814"/>
      <w:bookmarkStart w:id="1414" w:name="_Toc30643"/>
      <w:bookmarkStart w:id="1415" w:name="_Toc27654"/>
      <w:bookmarkStart w:id="1416" w:name="_Toc26112"/>
      <w:bookmarkStart w:id="1417" w:name="_Toc22618"/>
      <w:bookmarkStart w:id="1418" w:name="_Toc4585"/>
      <w:bookmarkStart w:id="1419" w:name="_Toc24781"/>
      <w:r>
        <w:rPr>
          <w:rFonts w:hint="eastAsia" w:ascii="宋体" w:hAnsi="宋体" w:eastAsia="宋体" w:cs="宋体"/>
          <w:b/>
          <w:bCs/>
          <w:color w:val="auto"/>
          <w:sz w:val="24"/>
          <w:szCs w:val="24"/>
          <w:highlight w:val="none"/>
        </w:rPr>
        <w:t>1.4 付款方式和发票开具方式</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420" w:name="_Toc9478"/>
      <w:bookmarkStart w:id="1421" w:name="_Toc23862"/>
      <w:bookmarkStart w:id="1422" w:name="_Toc25427"/>
      <w:bookmarkStart w:id="1423" w:name="_Toc15859"/>
      <w:bookmarkStart w:id="1424" w:name="_Toc2750"/>
      <w:bookmarkStart w:id="1425" w:name="_Toc21451"/>
      <w:bookmarkStart w:id="1426" w:name="_Toc10276"/>
      <w:bookmarkStart w:id="1427" w:name="_Toc18769"/>
      <w:bookmarkStart w:id="1428" w:name="_Toc30447"/>
      <w:bookmarkStart w:id="1429" w:name="_Toc32071"/>
      <w:bookmarkStart w:id="1430" w:name="_Toc11682"/>
      <w:bookmarkStart w:id="1431" w:name="_Toc19304"/>
      <w:bookmarkStart w:id="1432" w:name="_Toc26187"/>
      <w:bookmarkStart w:id="1433" w:name="_Toc2846"/>
      <w:bookmarkStart w:id="1434" w:name="_Toc17448"/>
      <w:bookmarkStart w:id="1435" w:name="_Toc2852"/>
      <w:bookmarkStart w:id="1436" w:name="_Toc16823"/>
      <w:bookmarkStart w:id="1437" w:name="_Toc30563"/>
      <w:bookmarkStart w:id="1438" w:name="_Toc2083"/>
      <w:bookmarkStart w:id="1439" w:name="_Toc25278"/>
      <w:bookmarkStart w:id="1440" w:name="_Toc17179"/>
      <w:bookmarkStart w:id="1441" w:name="_Toc4501"/>
      <w:bookmarkStart w:id="1442" w:name="_Toc22861"/>
      <w:r>
        <w:rPr>
          <w:rFonts w:hint="eastAsia" w:ascii="宋体" w:hAnsi="宋体" w:eastAsia="宋体" w:cs="宋体"/>
          <w:b/>
          <w:bCs/>
          <w:color w:val="auto"/>
          <w:sz w:val="24"/>
          <w:szCs w:val="24"/>
          <w:highlight w:val="none"/>
        </w:rPr>
        <w:t>1.5 货物交付期限、地点和方式</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p>
    <w:p>
      <w:pPr>
        <w:spacing w:line="3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 交付期限：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交付地点：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交付方式：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443" w:name="_Toc21423"/>
      <w:bookmarkStart w:id="1444" w:name="_Toc32193"/>
      <w:bookmarkStart w:id="1445" w:name="_Toc11237"/>
      <w:bookmarkStart w:id="1446" w:name="_Toc32645"/>
      <w:bookmarkStart w:id="1447" w:name="_Toc52"/>
      <w:bookmarkStart w:id="1448" w:name="_Toc26850"/>
      <w:bookmarkStart w:id="1449" w:name="_Toc8754"/>
      <w:bookmarkStart w:id="1450" w:name="_Toc12753"/>
      <w:bookmarkStart w:id="1451" w:name="_Toc10320"/>
      <w:bookmarkStart w:id="1452" w:name="_Toc12629"/>
      <w:bookmarkStart w:id="1453" w:name="_Toc6841"/>
      <w:bookmarkStart w:id="1454" w:name="_Toc4190"/>
      <w:bookmarkStart w:id="1455" w:name="_Toc29769"/>
      <w:bookmarkStart w:id="1456" w:name="_Toc1835"/>
      <w:bookmarkStart w:id="1457" w:name="_Toc19554"/>
      <w:bookmarkStart w:id="1458" w:name="_Toc28455"/>
      <w:bookmarkStart w:id="1459" w:name="_Toc12988"/>
      <w:bookmarkStart w:id="1460" w:name="_Toc27250"/>
      <w:bookmarkStart w:id="1461" w:name="_Toc27247"/>
      <w:bookmarkStart w:id="1462" w:name="_Toc8569"/>
      <w:bookmarkStart w:id="1463" w:name="_Toc21406"/>
      <w:bookmarkStart w:id="1464" w:name="_Toc15865"/>
      <w:bookmarkStart w:id="1465" w:name="_Toc13569"/>
      <w:r>
        <w:rPr>
          <w:rFonts w:hint="eastAsia" w:ascii="宋体" w:hAnsi="宋体" w:eastAsia="宋体" w:cs="宋体"/>
          <w:b/>
          <w:bCs/>
          <w:color w:val="auto"/>
          <w:sz w:val="24"/>
          <w:szCs w:val="24"/>
          <w:highlight w:val="none"/>
        </w:rPr>
        <w:t>1.6 违约责任</w:t>
      </w:r>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%；迟延交付货物的违约金计算数额达到前述最高限额之日起，甲方有权在要求乙方支付违约金的同时，书面通知乙方解除本合同；</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466" w:name="_Toc22341"/>
      <w:bookmarkStart w:id="1467" w:name="_Toc13362"/>
      <w:bookmarkStart w:id="1468" w:name="_Toc25915"/>
      <w:bookmarkStart w:id="1469" w:name="_Toc29338"/>
      <w:bookmarkStart w:id="1470" w:name="_Toc7216"/>
      <w:bookmarkStart w:id="1471" w:name="_Toc23654"/>
      <w:bookmarkStart w:id="1472" w:name="_Toc32256"/>
      <w:bookmarkStart w:id="1473" w:name="_Toc27927"/>
      <w:bookmarkStart w:id="1474" w:name="_Toc24393"/>
      <w:bookmarkStart w:id="1475" w:name="_Toc3403"/>
      <w:bookmarkStart w:id="1476" w:name="_Toc6344"/>
      <w:bookmarkStart w:id="1477" w:name="_Toc19011"/>
      <w:bookmarkStart w:id="1478" w:name="_Toc5482"/>
      <w:bookmarkStart w:id="1479" w:name="_Toc8914"/>
      <w:bookmarkStart w:id="1480" w:name="_Toc16341"/>
      <w:bookmarkStart w:id="1481" w:name="_Toc31145"/>
      <w:bookmarkStart w:id="1482" w:name="_Toc9202"/>
      <w:bookmarkStart w:id="1483" w:name="_Toc20610"/>
      <w:bookmarkStart w:id="1484" w:name="_Toc15583"/>
      <w:bookmarkStart w:id="1485" w:name="_Toc28375"/>
      <w:bookmarkStart w:id="1486" w:name="_Toc3520"/>
      <w:bookmarkStart w:id="1487" w:name="_Toc27762"/>
      <w:bookmarkStart w:id="1488" w:name="_Toc16021"/>
      <w:r>
        <w:rPr>
          <w:rFonts w:hint="eastAsia" w:ascii="宋体" w:hAnsi="宋体" w:eastAsia="宋体" w:cs="宋体"/>
          <w:b/>
          <w:bCs/>
          <w:color w:val="auto"/>
          <w:sz w:val="24"/>
          <w:szCs w:val="24"/>
          <w:highlight w:val="none"/>
        </w:rPr>
        <w:t>1.7 合同争议的解决</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向</w:t>
      </w:r>
      <w:r>
        <w:rPr>
          <w:rFonts w:hint="eastAsia" w:ascii="宋体" w:hAnsi="宋体" w:eastAsia="宋体" w:cs="宋体"/>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szCs w:val="24"/>
          <w:highlight w:val="none"/>
        </w:rPr>
        <w:t>人民法院起诉。</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489" w:name="_Toc11173"/>
      <w:bookmarkStart w:id="1490" w:name="_Toc12946"/>
      <w:bookmarkStart w:id="1491" w:name="_Toc7245"/>
      <w:bookmarkStart w:id="1492" w:name="_Toc2894"/>
      <w:bookmarkStart w:id="1493" w:name="_Toc17113"/>
      <w:bookmarkStart w:id="1494" w:name="_Toc20305"/>
      <w:bookmarkStart w:id="1495" w:name="_Toc10255"/>
      <w:bookmarkStart w:id="1496" w:name="_Toc9329"/>
      <w:bookmarkStart w:id="1497" w:name="_Toc2901"/>
      <w:bookmarkStart w:id="1498" w:name="_Toc23648"/>
      <w:bookmarkStart w:id="1499" w:name="_Toc10043"/>
      <w:bookmarkStart w:id="1500" w:name="_Toc10429"/>
      <w:bookmarkStart w:id="1501" w:name="_Toc4516"/>
      <w:bookmarkStart w:id="1502" w:name="_Toc1647"/>
      <w:bookmarkStart w:id="1503" w:name="_Toc25090"/>
      <w:bookmarkStart w:id="1504" w:name="_Toc14796"/>
      <w:bookmarkStart w:id="1505" w:name="_Toc24203"/>
      <w:bookmarkStart w:id="1506" w:name="_Toc15322"/>
      <w:bookmarkStart w:id="1507" w:name="_Toc30260"/>
      <w:bookmarkStart w:id="1508" w:name="_Toc6411"/>
      <w:bookmarkStart w:id="1509" w:name="_Toc518"/>
      <w:bookmarkStart w:id="1510" w:name="_Toc20192"/>
      <w:bookmarkStart w:id="1511" w:name="_Toc16410"/>
      <w:r>
        <w:rPr>
          <w:rFonts w:hint="eastAsia" w:ascii="宋体" w:hAnsi="宋体" w:eastAsia="宋体" w:cs="宋体"/>
          <w:b/>
          <w:bCs/>
          <w:color w:val="auto"/>
          <w:sz w:val="24"/>
          <w:szCs w:val="24"/>
          <w:highlight w:val="none"/>
        </w:rPr>
        <w:t>1.8 合同生效</w:t>
      </w:r>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pPr>
        <w:spacing w:line="36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本合同自双方当事人盖章或者签字时生效。</w:t>
      </w:r>
    </w:p>
    <w:p>
      <w:pPr>
        <w:autoSpaceDE w:val="0"/>
        <w:autoSpaceDN w:val="0"/>
        <w:adjustRightInd w:val="0"/>
        <w:spacing w:line="360" w:lineRule="exact"/>
        <w:rPr>
          <w:rFonts w:hint="eastAsia" w:ascii="宋体" w:hAnsi="宋体" w:eastAsia="宋体" w:cs="宋体"/>
          <w:color w:val="auto"/>
          <w:sz w:val="24"/>
          <w:szCs w:val="24"/>
          <w:highlight w:val="none"/>
          <w:lang w:val="zh-CN"/>
        </w:rPr>
      </w:pP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甲方</w:t>
      </w: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lang w:val="zh-CN"/>
        </w:rPr>
        <w:t xml:space="preserve">      乙方</w:t>
      </w:r>
      <w:r>
        <w:rPr>
          <w:rFonts w:hint="eastAsia" w:ascii="宋体" w:hAnsi="宋体" w:eastAsia="宋体" w:cs="宋体"/>
          <w:color w:val="auto"/>
          <w:sz w:val="24"/>
          <w:szCs w:val="24"/>
          <w:highlight w:val="none"/>
          <w:lang w:val="zh-CN"/>
        </w:rPr>
        <w:t>：</w:t>
      </w: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                        统一社会信用代码或身份证号码：</w:t>
      </w:r>
    </w:p>
    <w:p>
      <w:pPr>
        <w:autoSpaceDE w:val="0"/>
        <w:autoSpaceDN w:val="0"/>
        <w:adjustRightInd w:val="0"/>
        <w:spacing w:line="360" w:lineRule="exact"/>
        <w:rPr>
          <w:rFonts w:hint="eastAsia" w:ascii="宋体" w:hAnsi="宋体" w:eastAsia="宋体" w:cs="宋体"/>
          <w:color w:val="auto"/>
          <w:sz w:val="24"/>
          <w:szCs w:val="24"/>
          <w:highlight w:val="none"/>
          <w:lang w:val="zh-CN"/>
        </w:rPr>
      </w:pP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住所：                                   住所：</w:t>
      </w: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                             法定代表人</w:t>
      </w: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授权代表（签字）：                        或授权代表（签字）: </w:t>
      </w: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                                 联系人：</w:t>
      </w: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约定送达地址：                           约定送达地址：</w:t>
      </w: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                               邮政编码：</w:t>
      </w: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电话:                                    电话: </w:t>
      </w: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传真:                                    传真:</w:t>
      </w:r>
    </w:p>
    <w:p>
      <w:pPr>
        <w:autoSpaceDE w:val="0"/>
        <w:autoSpaceDN w:val="0"/>
        <w:adjustRightIn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电子邮箱：                               电子邮箱：</w:t>
      </w:r>
    </w:p>
    <w:p>
      <w:pPr>
        <w:autoSpaceDE w:val="0"/>
        <w:autoSpaceDN w:val="0"/>
        <w:adjustRightIn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开户银行： </w:t>
      </w:r>
    </w:p>
    <w:p>
      <w:pPr>
        <w:autoSpaceDE w:val="0"/>
        <w:autoSpaceDN w:val="0"/>
        <w:adjustRightIn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开户名称：                               开户名称： </w:t>
      </w:r>
    </w:p>
    <w:p>
      <w:pPr>
        <w:autoSpaceDE w:val="0"/>
        <w:autoSpaceDN w:val="0"/>
        <w:adjustRightIn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开户账号：</w:t>
      </w:r>
    </w:p>
    <w:p>
      <w:pPr>
        <w:widowControl/>
        <w:spacing w:line="360" w:lineRule="exact"/>
        <w:jc w:val="left"/>
        <w:rPr>
          <w:rFonts w:hint="eastAsia" w:ascii="宋体" w:hAnsi="宋体" w:eastAsia="宋体" w:cs="宋体"/>
          <w:b/>
          <w:bCs/>
          <w:color w:val="auto"/>
          <w:sz w:val="24"/>
          <w:szCs w:val="24"/>
          <w:highlight w:val="none"/>
        </w:rPr>
      </w:pPr>
      <w:bookmarkStart w:id="1512" w:name="_Toc331685783"/>
    </w:p>
    <w:p>
      <w:pPr>
        <w:widowControl/>
        <w:spacing w:line="360" w:lineRule="exact"/>
        <w:jc w:val="left"/>
        <w:rPr>
          <w:rFonts w:hint="eastAsia" w:ascii="宋体" w:hAnsi="宋体" w:eastAsia="宋体" w:cs="宋体"/>
          <w:b/>
          <w:bCs/>
          <w:color w:val="auto"/>
          <w:sz w:val="24"/>
          <w:szCs w:val="24"/>
          <w:highlight w:val="none"/>
        </w:rPr>
      </w:pPr>
    </w:p>
    <w:p>
      <w:pPr>
        <w:pStyle w:val="57"/>
        <w:spacing w:line="360" w:lineRule="exact"/>
        <w:ind w:firstLine="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第二部分 合同一般条款</w:t>
      </w:r>
      <w:bookmarkEnd w:id="1512"/>
    </w:p>
    <w:p>
      <w:pPr>
        <w:spacing w:line="360" w:lineRule="exact"/>
        <w:ind w:firstLine="482" w:firstLineChars="200"/>
        <w:outlineLvl w:val="0"/>
        <w:rPr>
          <w:rFonts w:hint="eastAsia" w:ascii="宋体" w:hAnsi="宋体" w:eastAsia="宋体" w:cs="宋体"/>
          <w:b/>
          <w:bCs/>
          <w:color w:val="auto"/>
          <w:sz w:val="24"/>
          <w:szCs w:val="24"/>
          <w:highlight w:val="none"/>
        </w:rPr>
      </w:pPr>
      <w:bookmarkStart w:id="1513" w:name="_Ref467379094"/>
      <w:bookmarkStart w:id="1514" w:name="_Toc5579"/>
      <w:bookmarkStart w:id="1515" w:name="_Toc28763"/>
      <w:bookmarkStart w:id="1516" w:name="_Toc29659"/>
      <w:bookmarkStart w:id="1517" w:name="_Toc16384"/>
      <w:bookmarkStart w:id="1518" w:name="_Ref467378404"/>
      <w:bookmarkStart w:id="1519" w:name="_Ref467379205"/>
      <w:bookmarkStart w:id="1520" w:name="_Toc28547"/>
      <w:bookmarkStart w:id="1521" w:name="_Toc487900349"/>
      <w:bookmarkStart w:id="1522" w:name="_Toc2854"/>
      <w:bookmarkStart w:id="1523" w:name="_Toc259093669"/>
      <w:bookmarkStart w:id="1524" w:name="_Toc510"/>
      <w:bookmarkStart w:id="1525" w:name="_Toc16917"/>
      <w:bookmarkStart w:id="1526" w:name="_Ref467379195"/>
      <w:bookmarkStart w:id="1527" w:name="_Ref467378463"/>
      <w:bookmarkStart w:id="1528" w:name="_Toc32624"/>
      <w:bookmarkStart w:id="1529" w:name="_Toc3091"/>
      <w:bookmarkStart w:id="1530" w:name="_Toc28201"/>
      <w:bookmarkStart w:id="1531" w:name="_Toc2034"/>
      <w:bookmarkStart w:id="1532" w:name="_Toc26415"/>
      <w:bookmarkStart w:id="1533" w:name="_Ref467378499"/>
      <w:bookmarkStart w:id="1534" w:name="_Toc19614"/>
      <w:bookmarkStart w:id="1535" w:name="_Toc28865"/>
      <w:bookmarkStart w:id="1536" w:name="_Ref467379214"/>
      <w:bookmarkStart w:id="1537" w:name="_Toc15647"/>
      <w:bookmarkStart w:id="1538" w:name="_Ref467379101"/>
      <w:bookmarkStart w:id="1539" w:name="_Ref467379225"/>
      <w:bookmarkStart w:id="1540" w:name="_Toc25554"/>
      <w:bookmarkStart w:id="1541" w:name="_Toc14827"/>
      <w:bookmarkStart w:id="1542" w:name="_Toc17925"/>
      <w:bookmarkStart w:id="1543" w:name="_Toc17718"/>
      <w:bookmarkStart w:id="1544" w:name="_Toc26936"/>
      <w:bookmarkStart w:id="1545" w:name="_Ref467379109"/>
      <w:bookmarkStart w:id="1546" w:name="_Toc31417"/>
      <w:bookmarkStart w:id="1547" w:name="_Toc279701240"/>
      <w:bookmarkStart w:id="1548" w:name="_Toc26015"/>
      <w:bookmarkStart w:id="1549" w:name="_Toc20709"/>
      <w:r>
        <w:rPr>
          <w:rFonts w:hint="eastAsia" w:ascii="宋体" w:hAnsi="宋体" w:eastAsia="宋体" w:cs="宋体"/>
          <w:b/>
          <w:bCs/>
          <w:color w:val="auto"/>
          <w:sz w:val="24"/>
          <w:szCs w:val="24"/>
          <w:highlight w:val="none"/>
        </w:rPr>
        <w:t>2.1 定义</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“合同”系指采购人和中标供应商签订的载明双方当事人所达成的协议，并包括所有的附件、附录和构成合同的其他文件。</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“合同价”系指根据合同约定，中标供应商在完全履行合同义务后，采购人应支付给中标供应商的价格。</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“货物”系指中标供应商根据合同约定应向采购人交付的一切各种形态和种类的物品，包括原材料、燃料、设备、机械、仪表、备件、计算机软件、产品等，并包括工具、手册等其他相关资料。</w:t>
      </w:r>
    </w:p>
    <w:p>
      <w:pPr>
        <w:spacing w:line="360" w:lineRule="exact"/>
        <w:ind w:firstLine="480" w:firstLineChars="200"/>
        <w:rPr>
          <w:rFonts w:hint="eastAsia" w:ascii="宋体" w:hAnsi="宋体" w:eastAsia="宋体" w:cs="宋体"/>
          <w:color w:val="auto"/>
          <w:sz w:val="24"/>
          <w:szCs w:val="24"/>
          <w:highlight w:val="none"/>
        </w:rPr>
      </w:pPr>
      <w:bookmarkStart w:id="1550" w:name="_Ref467378840"/>
      <w:r>
        <w:rPr>
          <w:rFonts w:hint="eastAsia" w:ascii="宋体" w:hAnsi="宋体" w:eastAsia="宋体" w:cs="宋体"/>
          <w:color w:val="auto"/>
          <w:sz w:val="24"/>
          <w:szCs w:val="24"/>
          <w:highlight w:val="none"/>
        </w:rPr>
        <w:t>2.1.4 “甲方”系指与中标供应商签署合同的采购人</w:t>
      </w:r>
      <w:bookmarkEnd w:id="1550"/>
      <w:r>
        <w:rPr>
          <w:rFonts w:hint="eastAsia" w:ascii="宋体" w:hAnsi="宋体" w:eastAsia="宋体" w:cs="宋体"/>
          <w:color w:val="auto"/>
          <w:sz w:val="24"/>
          <w:szCs w:val="24"/>
          <w:highlight w:val="none"/>
        </w:rPr>
        <w:t>；采购人委托采购代理机构代表其与乙方签订合同的，采购人的授权委托书作为合同附件。</w:t>
      </w:r>
    </w:p>
    <w:p>
      <w:pPr>
        <w:spacing w:line="360" w:lineRule="exact"/>
        <w:ind w:firstLine="480" w:firstLineChars="200"/>
        <w:rPr>
          <w:rFonts w:hint="eastAsia" w:ascii="宋体" w:hAnsi="宋体" w:eastAsia="宋体" w:cs="宋体"/>
          <w:color w:val="auto"/>
          <w:sz w:val="24"/>
          <w:szCs w:val="24"/>
          <w:highlight w:val="none"/>
        </w:rPr>
      </w:pPr>
      <w:bookmarkStart w:id="1551" w:name="_Ref467379400"/>
      <w:r>
        <w:rPr>
          <w:rFonts w:hint="eastAsia" w:ascii="宋体" w:hAnsi="宋体" w:eastAsia="宋体" w:cs="宋体"/>
          <w:color w:val="auto"/>
          <w:sz w:val="24"/>
          <w:szCs w:val="24"/>
          <w:highlight w:val="none"/>
        </w:rPr>
        <w:t>2.1.5 “乙方”系指根据合同约定交付货物的中标供应商</w:t>
      </w:r>
      <w:bookmarkEnd w:id="1551"/>
      <w:r>
        <w:rPr>
          <w:rFonts w:hint="eastAsia" w:ascii="宋体" w:hAnsi="宋体" w:eastAsia="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exact"/>
        <w:ind w:firstLine="480" w:firstLineChars="200"/>
        <w:rPr>
          <w:rFonts w:hint="eastAsia" w:ascii="宋体" w:hAnsi="宋体" w:eastAsia="宋体" w:cs="宋体"/>
          <w:color w:val="auto"/>
          <w:sz w:val="24"/>
          <w:szCs w:val="24"/>
          <w:highlight w:val="none"/>
        </w:rPr>
      </w:pPr>
      <w:bookmarkStart w:id="1552" w:name="_Ref467379436"/>
      <w:r>
        <w:rPr>
          <w:rFonts w:hint="eastAsia" w:ascii="宋体" w:hAnsi="宋体" w:eastAsia="宋体" w:cs="宋体"/>
          <w:color w:val="auto"/>
          <w:sz w:val="24"/>
          <w:szCs w:val="24"/>
          <w:highlight w:val="none"/>
        </w:rPr>
        <w:t>2.1.6 “现场”系指合同约定货物将要运至或者安装的地点。</w:t>
      </w:r>
      <w:bookmarkEnd w:id="1552"/>
    </w:p>
    <w:p>
      <w:pPr>
        <w:spacing w:line="360" w:lineRule="exact"/>
        <w:ind w:firstLine="482" w:firstLineChars="200"/>
        <w:outlineLvl w:val="0"/>
        <w:rPr>
          <w:rFonts w:hint="eastAsia" w:ascii="宋体" w:hAnsi="宋体" w:eastAsia="宋体" w:cs="宋体"/>
          <w:b/>
          <w:bCs/>
          <w:color w:val="auto"/>
          <w:sz w:val="24"/>
          <w:szCs w:val="24"/>
          <w:highlight w:val="none"/>
        </w:rPr>
      </w:pPr>
      <w:bookmarkStart w:id="1553" w:name="_Toc11142"/>
      <w:bookmarkStart w:id="1554" w:name="_Toc32504"/>
      <w:bookmarkStart w:id="1555" w:name="_Toc3193"/>
      <w:bookmarkStart w:id="1556" w:name="_Toc27635"/>
      <w:bookmarkStart w:id="1557" w:name="_Toc1447"/>
      <w:bookmarkStart w:id="1558" w:name="_Toc7048"/>
      <w:bookmarkStart w:id="1559" w:name="_Toc13336"/>
      <w:bookmarkStart w:id="1560" w:name="_Toc279701241"/>
      <w:bookmarkStart w:id="1561" w:name="_Toc23689"/>
      <w:bookmarkStart w:id="1562" w:name="_Toc11635"/>
      <w:bookmarkStart w:id="1563" w:name="_Toc25266"/>
      <w:bookmarkStart w:id="1564" w:name="_Toc22104"/>
      <w:bookmarkStart w:id="1565" w:name="_Toc1221"/>
      <w:bookmarkStart w:id="1566" w:name="_Toc25269"/>
      <w:bookmarkStart w:id="1567" w:name="_Toc24523"/>
      <w:bookmarkStart w:id="1568" w:name="_Toc21889"/>
      <w:bookmarkStart w:id="1569" w:name="_Toc22122"/>
      <w:bookmarkStart w:id="1570" w:name="_Toc3949"/>
      <w:bookmarkStart w:id="1571" w:name="_Toc5592"/>
      <w:bookmarkStart w:id="1572" w:name="_Toc17151"/>
      <w:bookmarkStart w:id="1573" w:name="_Toc259093670"/>
      <w:bookmarkStart w:id="1574" w:name="_Toc7416"/>
      <w:bookmarkStart w:id="1575" w:name="_Toc1183"/>
      <w:bookmarkStart w:id="1576" w:name="_Toc20204"/>
      <w:bookmarkStart w:id="1577" w:name="_Toc487900350"/>
      <w:bookmarkStart w:id="1578" w:name="_Toc1352"/>
      <w:bookmarkStart w:id="1579" w:name="_Toc24792"/>
      <w:r>
        <w:rPr>
          <w:rFonts w:hint="eastAsia" w:ascii="宋体" w:hAnsi="宋体" w:eastAsia="宋体" w:cs="宋体"/>
          <w:b/>
          <w:bCs/>
          <w:color w:val="auto"/>
          <w:sz w:val="24"/>
          <w:szCs w:val="24"/>
          <w:highlight w:val="none"/>
        </w:rPr>
        <w:t>2.2 技术规范</w:t>
      </w:r>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580" w:name="_Toc31634"/>
      <w:bookmarkStart w:id="1581" w:name="_Toc18918"/>
      <w:bookmarkStart w:id="1582" w:name="_Toc15733"/>
      <w:bookmarkStart w:id="1583" w:name="_Toc7722"/>
      <w:bookmarkStart w:id="1584" w:name="_Toc4916"/>
      <w:bookmarkStart w:id="1585" w:name="_Toc28946"/>
      <w:bookmarkStart w:id="1586" w:name="_Toc9829"/>
      <w:bookmarkStart w:id="1587" w:name="_Toc20130"/>
      <w:bookmarkStart w:id="1588" w:name="_Toc30552"/>
      <w:bookmarkStart w:id="1589" w:name="_Toc4029"/>
      <w:bookmarkStart w:id="1590" w:name="_Toc975"/>
      <w:bookmarkStart w:id="1591" w:name="_Toc32048"/>
      <w:bookmarkStart w:id="1592" w:name="_Toc23791"/>
      <w:bookmarkStart w:id="1593" w:name="_Toc259093671"/>
      <w:bookmarkStart w:id="1594" w:name="_Toc6121"/>
      <w:bookmarkStart w:id="1595" w:name="_Toc24537"/>
      <w:bookmarkStart w:id="1596" w:name="_Toc30700"/>
      <w:bookmarkStart w:id="1597" w:name="_Toc3854"/>
      <w:bookmarkStart w:id="1598" w:name="_Toc28662"/>
      <w:bookmarkStart w:id="1599" w:name="_Toc10461"/>
      <w:bookmarkStart w:id="1600" w:name="_Toc487900351"/>
      <w:bookmarkStart w:id="1601" w:name="_Toc27853"/>
      <w:bookmarkStart w:id="1602" w:name="_Toc18514"/>
      <w:bookmarkStart w:id="1603" w:name="_Toc23649"/>
      <w:bookmarkStart w:id="1604" w:name="_Toc12811"/>
      <w:bookmarkStart w:id="1605" w:name="_Toc279701242"/>
      <w:bookmarkStart w:id="1606" w:name="_Toc14632"/>
      <w:r>
        <w:rPr>
          <w:rFonts w:hint="eastAsia" w:ascii="宋体" w:hAnsi="宋体" w:eastAsia="宋体" w:cs="宋体"/>
          <w:b/>
          <w:bCs/>
          <w:color w:val="auto"/>
          <w:sz w:val="24"/>
          <w:szCs w:val="24"/>
          <w:highlight w:val="none"/>
        </w:rPr>
        <w:t>2.3 知识产权</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2.3.2具有知识产权的计算机软件等货物的知识产权归属，详见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607" w:name="_Toc6781"/>
      <w:bookmarkStart w:id="1608" w:name="_Toc10970"/>
      <w:bookmarkStart w:id="1609" w:name="_Toc4194"/>
      <w:bookmarkStart w:id="1610" w:name="_Toc17080"/>
      <w:bookmarkStart w:id="1611" w:name="_Toc18554"/>
      <w:bookmarkStart w:id="1612" w:name="_Toc8795"/>
      <w:bookmarkStart w:id="1613" w:name="_Toc11932"/>
      <w:bookmarkStart w:id="1614" w:name="_Toc28714"/>
      <w:bookmarkStart w:id="1615" w:name="_Toc19638"/>
      <w:bookmarkStart w:id="1616" w:name="_Toc9470"/>
      <w:bookmarkStart w:id="1617" w:name="_Toc12219"/>
      <w:bookmarkStart w:id="1618" w:name="_Toc26731"/>
      <w:bookmarkStart w:id="1619" w:name="_Toc28170"/>
      <w:bookmarkStart w:id="1620" w:name="_Toc14956"/>
      <w:bookmarkStart w:id="1621" w:name="_Toc29149"/>
      <w:bookmarkStart w:id="1622" w:name="_Toc25767"/>
      <w:bookmarkStart w:id="1623" w:name="_Toc10546"/>
      <w:bookmarkStart w:id="1624" w:name="_Toc14473"/>
      <w:bookmarkStart w:id="1625" w:name="_Toc3486"/>
      <w:bookmarkStart w:id="1626" w:name="_Toc23105"/>
      <w:bookmarkStart w:id="1627" w:name="_Toc20620"/>
      <w:bookmarkStart w:id="1628" w:name="_Toc24384"/>
      <w:bookmarkStart w:id="1629" w:name="_Toc5395"/>
      <w:bookmarkStart w:id="1630" w:name="_Toc30287"/>
      <w:r>
        <w:rPr>
          <w:rFonts w:hint="eastAsia" w:ascii="宋体" w:hAnsi="宋体" w:eastAsia="宋体" w:cs="宋体"/>
          <w:b/>
          <w:bCs/>
          <w:color w:val="auto"/>
          <w:sz w:val="24"/>
          <w:szCs w:val="24"/>
          <w:highlight w:val="none"/>
        </w:rPr>
        <w:t>2.4 包装和装运</w:t>
      </w:r>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2.4.1除</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装运货物的要求和通知，详见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631" w:name="_Toc487900354"/>
      <w:bookmarkStart w:id="1632" w:name="_Ref467378591"/>
      <w:bookmarkStart w:id="1633" w:name="_Ref467379527"/>
      <w:bookmarkStart w:id="1634" w:name="_Ref467378541"/>
      <w:bookmarkStart w:id="1635" w:name="_Toc279701245"/>
      <w:bookmarkStart w:id="1636" w:name="_Toc259093674"/>
      <w:bookmarkStart w:id="1637" w:name="_Ref467379542"/>
      <w:bookmarkStart w:id="1638" w:name="_Ref467379536"/>
      <w:bookmarkStart w:id="1639" w:name="_Toc26182"/>
      <w:bookmarkStart w:id="1640" w:name="_Toc27466"/>
      <w:bookmarkStart w:id="1641" w:name="_Toc10209"/>
      <w:bookmarkStart w:id="1642" w:name="_Toc31338"/>
      <w:bookmarkStart w:id="1643" w:name="_Toc7299"/>
      <w:bookmarkStart w:id="1644" w:name="_Toc2815"/>
      <w:bookmarkStart w:id="1645" w:name="_Toc14100"/>
      <w:bookmarkStart w:id="1646" w:name="_Toc12428"/>
      <w:bookmarkStart w:id="1647" w:name="_Toc5927"/>
      <w:bookmarkStart w:id="1648" w:name="_Toc24935"/>
      <w:bookmarkStart w:id="1649" w:name="_Toc19074"/>
      <w:bookmarkStart w:id="1650" w:name="_Toc18307"/>
      <w:bookmarkStart w:id="1651" w:name="_Toc18515"/>
      <w:bookmarkStart w:id="1652" w:name="_Toc28937"/>
      <w:bookmarkStart w:id="1653" w:name="_Toc4831"/>
      <w:bookmarkStart w:id="1654" w:name="_Toc31437"/>
      <w:bookmarkStart w:id="1655" w:name="_Toc30272"/>
      <w:bookmarkStart w:id="1656" w:name="_Toc15512"/>
      <w:bookmarkStart w:id="1657" w:name="_Toc21410"/>
      <w:bookmarkStart w:id="1658" w:name="_Toc28324"/>
      <w:bookmarkStart w:id="1659" w:name="_Toc21198"/>
      <w:bookmarkStart w:id="1660" w:name="_Toc1106"/>
      <w:bookmarkStart w:id="1661" w:name="_Toc30516"/>
      <w:bookmarkStart w:id="1662" w:name="_Toc24299"/>
      <w:r>
        <w:rPr>
          <w:rFonts w:hint="eastAsia" w:ascii="宋体" w:hAnsi="宋体" w:eastAsia="宋体" w:cs="宋体"/>
          <w:b/>
          <w:bCs/>
          <w:color w:val="auto"/>
          <w:sz w:val="24"/>
          <w:szCs w:val="24"/>
          <w:highlight w:val="none"/>
        </w:rPr>
        <w:t>2.</w:t>
      </w:r>
      <w:bookmarkEnd w:id="1631"/>
      <w:bookmarkEnd w:id="1632"/>
      <w:bookmarkEnd w:id="1633"/>
      <w:bookmarkEnd w:id="1634"/>
      <w:bookmarkEnd w:id="1635"/>
      <w:bookmarkEnd w:id="1636"/>
      <w:bookmarkEnd w:id="1637"/>
      <w:bookmarkEnd w:id="1638"/>
      <w:r>
        <w:rPr>
          <w:rFonts w:hint="eastAsia" w:ascii="宋体" w:hAnsi="宋体" w:eastAsia="宋体" w:cs="宋体"/>
          <w:b/>
          <w:bCs/>
          <w:color w:val="auto"/>
          <w:sz w:val="24"/>
          <w:szCs w:val="24"/>
          <w:highlight w:val="none"/>
        </w:rPr>
        <w:t>5 履约检查和问题反馈</w:t>
      </w:r>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p>
    <w:p>
      <w:pPr>
        <w:spacing w:line="360" w:lineRule="exact"/>
        <w:ind w:firstLine="480" w:firstLineChars="200"/>
        <w:rPr>
          <w:rFonts w:hint="eastAsia" w:ascii="宋体" w:hAnsi="宋体" w:eastAsia="宋体" w:cs="宋体"/>
          <w:color w:val="auto"/>
          <w:sz w:val="24"/>
          <w:szCs w:val="24"/>
          <w:highlight w:val="none"/>
        </w:rPr>
      </w:pPr>
      <w:bookmarkStart w:id="1663" w:name="_Ref467379657"/>
      <w:r>
        <w:rPr>
          <w:rFonts w:hint="eastAsia" w:ascii="宋体" w:hAnsi="宋体" w:eastAsia="宋体" w:cs="宋体"/>
          <w:color w:val="auto"/>
          <w:sz w:val="24"/>
          <w:szCs w:val="24"/>
          <w:highlight w:val="none"/>
        </w:rPr>
        <w:t>2.5.1</w:t>
      </w:r>
      <w:bookmarkEnd w:id="1663"/>
      <w:bookmarkStart w:id="1664" w:name="_Toc186431854"/>
      <w:bookmarkStart w:id="1665" w:name="_Ref467379807"/>
      <w:bookmarkStart w:id="1666" w:name="_Toc487900357"/>
      <w:bookmarkStart w:id="1667" w:name="_Toc259093676"/>
      <w:bookmarkStart w:id="1668" w:name="_Ref467379793"/>
      <w:bookmarkStart w:id="1669" w:name="_Toc279701247"/>
      <w:r>
        <w:rPr>
          <w:rFonts w:hint="eastAsia" w:ascii="宋体" w:hAnsi="宋体" w:eastAsia="宋体" w:cs="宋体"/>
          <w:color w:val="auto"/>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 合同履行期间，甲方有权将履行过程中出现的问题反馈给乙方，双方当事人应以书面形式约定需要完善和改进的内容</w:t>
      </w:r>
      <w:bookmarkEnd w:id="1664"/>
      <w:bookmarkStart w:id="1670" w:name="_Toc186431855"/>
      <w:r>
        <w:rPr>
          <w:rFonts w:hint="eastAsia" w:ascii="宋体" w:hAnsi="宋体" w:eastAsia="宋体" w:cs="宋体"/>
          <w:color w:val="auto"/>
          <w:sz w:val="24"/>
          <w:szCs w:val="24"/>
          <w:highlight w:val="none"/>
        </w:rPr>
        <w:t>。</w:t>
      </w:r>
    </w:p>
    <w:bookmarkEnd w:id="1670"/>
    <w:p>
      <w:pPr>
        <w:spacing w:line="360" w:lineRule="exact"/>
        <w:ind w:firstLine="482" w:firstLineChars="200"/>
        <w:outlineLvl w:val="0"/>
        <w:rPr>
          <w:rFonts w:hint="eastAsia" w:ascii="宋体" w:hAnsi="宋体" w:eastAsia="宋体" w:cs="宋体"/>
          <w:b/>
          <w:bCs/>
          <w:color w:val="auto"/>
          <w:sz w:val="24"/>
          <w:szCs w:val="24"/>
          <w:highlight w:val="none"/>
        </w:rPr>
      </w:pPr>
      <w:bookmarkStart w:id="1671" w:name="_Toc31520"/>
      <w:bookmarkStart w:id="1672" w:name="_Toc11522"/>
      <w:bookmarkStart w:id="1673" w:name="_Toc26298"/>
      <w:bookmarkStart w:id="1674" w:name="_Toc19219"/>
      <w:bookmarkStart w:id="1675" w:name="_Toc5363"/>
      <w:bookmarkStart w:id="1676" w:name="_Toc17283"/>
      <w:bookmarkStart w:id="1677" w:name="_Toc7836"/>
      <w:bookmarkStart w:id="1678" w:name="_Toc9196"/>
      <w:bookmarkStart w:id="1679" w:name="_Toc9092"/>
      <w:bookmarkStart w:id="1680" w:name="_Toc582"/>
      <w:bookmarkStart w:id="1681" w:name="_Toc5304"/>
      <w:bookmarkStart w:id="1682" w:name="_Toc20493"/>
      <w:bookmarkStart w:id="1683" w:name="_Toc12377"/>
      <w:bookmarkStart w:id="1684" w:name="_Toc2067"/>
      <w:bookmarkStart w:id="1685" w:name="_Toc234"/>
      <w:bookmarkStart w:id="1686" w:name="_Toc24368"/>
      <w:bookmarkStart w:id="1687" w:name="_Toc10980"/>
      <w:bookmarkStart w:id="1688" w:name="_Toc26232"/>
      <w:bookmarkStart w:id="1689" w:name="_Toc12360"/>
      <w:bookmarkStart w:id="1690" w:name="_Toc28451"/>
      <w:bookmarkStart w:id="1691" w:name="_Toc26245"/>
      <w:bookmarkStart w:id="1692" w:name="_Toc23261"/>
      <w:r>
        <w:rPr>
          <w:rFonts w:hint="eastAsia" w:ascii="宋体" w:hAnsi="宋体" w:eastAsia="宋体" w:cs="宋体"/>
          <w:b/>
          <w:bCs/>
          <w:color w:val="auto"/>
          <w:sz w:val="24"/>
          <w:szCs w:val="24"/>
          <w:highlight w:val="none"/>
        </w:rPr>
        <w:t>2.6 结算方式和付款条件</w:t>
      </w:r>
      <w:bookmarkEnd w:id="1665"/>
      <w:bookmarkEnd w:id="1666"/>
      <w:bookmarkEnd w:id="1667"/>
      <w:bookmarkEnd w:id="1668"/>
      <w:bookmarkEnd w:id="1669"/>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693" w:name="_Toc487900358"/>
      <w:bookmarkStart w:id="1694" w:name="_Ref467379863"/>
      <w:bookmarkStart w:id="1695" w:name="_Ref467379852"/>
      <w:bookmarkStart w:id="1696" w:name="_Toc259093677"/>
      <w:bookmarkStart w:id="1697" w:name="_Ref467379923"/>
      <w:bookmarkStart w:id="1698" w:name="_Toc279701248"/>
      <w:bookmarkStart w:id="1699" w:name="_Toc618"/>
      <w:bookmarkStart w:id="1700" w:name="_Toc11615"/>
      <w:bookmarkStart w:id="1701" w:name="_Toc17051"/>
      <w:bookmarkStart w:id="1702" w:name="_Toc6635"/>
      <w:bookmarkStart w:id="1703" w:name="_Toc31971"/>
      <w:bookmarkStart w:id="1704" w:name="_Toc17607"/>
      <w:bookmarkStart w:id="1705" w:name="_Toc3225"/>
      <w:bookmarkStart w:id="1706" w:name="_Toc31305"/>
      <w:bookmarkStart w:id="1707" w:name="_Toc24083"/>
      <w:bookmarkStart w:id="1708" w:name="_Toc16110"/>
      <w:bookmarkStart w:id="1709" w:name="_Toc774"/>
      <w:bookmarkStart w:id="1710" w:name="_Toc17136"/>
      <w:bookmarkStart w:id="1711" w:name="_Toc28781"/>
      <w:bookmarkStart w:id="1712" w:name="_Toc10114"/>
      <w:bookmarkStart w:id="1713" w:name="_Toc29616"/>
      <w:bookmarkStart w:id="1714" w:name="_Toc1200"/>
      <w:bookmarkStart w:id="1715" w:name="_Toc9845"/>
      <w:bookmarkStart w:id="1716" w:name="_Toc14432"/>
      <w:bookmarkStart w:id="1717" w:name="_Toc24516"/>
      <w:bookmarkStart w:id="1718" w:name="_Toc14491"/>
      <w:bookmarkStart w:id="1719" w:name="_Toc20582"/>
      <w:bookmarkStart w:id="1720" w:name="_Toc29030"/>
      <w:bookmarkStart w:id="1721" w:name="_Toc13023"/>
      <w:bookmarkStart w:id="1722" w:name="_Toc11236"/>
      <w:r>
        <w:rPr>
          <w:rFonts w:hint="eastAsia" w:ascii="宋体" w:hAnsi="宋体" w:eastAsia="宋体" w:cs="宋体"/>
          <w:b/>
          <w:bCs/>
          <w:color w:val="auto"/>
          <w:sz w:val="24"/>
          <w:szCs w:val="24"/>
          <w:highlight w:val="none"/>
        </w:rPr>
        <w:t>2.7 技术资料</w:t>
      </w:r>
      <w:bookmarkEnd w:id="1693"/>
      <w:bookmarkEnd w:id="1694"/>
      <w:bookmarkEnd w:id="1695"/>
      <w:bookmarkEnd w:id="1696"/>
      <w:bookmarkEnd w:id="1697"/>
      <w:bookmarkEnd w:id="1698"/>
      <w:r>
        <w:rPr>
          <w:rFonts w:hint="eastAsia" w:ascii="宋体" w:hAnsi="宋体" w:eastAsia="宋体" w:cs="宋体"/>
          <w:b/>
          <w:bCs/>
          <w:color w:val="auto"/>
          <w:sz w:val="24"/>
          <w:szCs w:val="24"/>
          <w:highlight w:val="none"/>
        </w:rPr>
        <w:t>和保密义务</w:t>
      </w:r>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乙方有权依据合同约定和项目需要，向甲方了解有关情况，调阅有关资料等，甲方应予积极配合；</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乙方有义务妥善保管和保护由甲方提供的前款信息和资料等；</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723" w:name="_Toc24487"/>
      <w:bookmarkStart w:id="1724" w:name="_Toc30167"/>
      <w:bookmarkStart w:id="1725" w:name="_Toc18231"/>
      <w:bookmarkStart w:id="1726" w:name="_Toc7860"/>
      <w:bookmarkStart w:id="1727" w:name="_Toc30477"/>
      <w:bookmarkStart w:id="1728" w:name="_Toc21267"/>
      <w:bookmarkStart w:id="1729" w:name="_Toc11530"/>
      <w:bookmarkStart w:id="1730" w:name="_Toc26425"/>
      <w:bookmarkStart w:id="1731" w:name="_Toc8288"/>
      <w:bookmarkStart w:id="1732" w:name="_Toc30503"/>
      <w:bookmarkStart w:id="1733" w:name="_Toc27453"/>
      <w:bookmarkStart w:id="1734" w:name="_Toc18551"/>
      <w:bookmarkStart w:id="1735" w:name="_Toc3156"/>
      <w:bookmarkStart w:id="1736" w:name="_Toc4779"/>
      <w:bookmarkStart w:id="1737" w:name="_Toc11328"/>
      <w:bookmarkStart w:id="1738" w:name="_Toc122"/>
      <w:bookmarkStart w:id="1739" w:name="_Toc5200"/>
      <w:bookmarkStart w:id="1740" w:name="_Toc30124"/>
      <w:bookmarkStart w:id="1741" w:name="_Toc10326"/>
      <w:bookmarkStart w:id="1742" w:name="_Toc16190"/>
      <w:bookmarkStart w:id="1743" w:name="_Toc5536"/>
      <w:r>
        <w:rPr>
          <w:rFonts w:hint="eastAsia" w:ascii="宋体" w:hAnsi="宋体" w:eastAsia="宋体" w:cs="宋体"/>
          <w:b/>
          <w:bCs/>
          <w:color w:val="auto"/>
          <w:sz w:val="24"/>
          <w:szCs w:val="24"/>
          <w:highlight w:val="none"/>
        </w:rPr>
        <w:t>2.8 质量保证</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 乙方应建立和完善履行合同的内部质量保证体系，并提供相关内部规章制度给甲方，以便甲方进行监督检查；</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乙方应保证履行合同的人员数量和素质、软件和硬件设备的配置、场地、环境和设施等满足全面履行合同的要求，并应接受甲方的监督检查。</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744" w:name="_Toc14343"/>
      <w:bookmarkStart w:id="1745" w:name="_Toc17030"/>
      <w:bookmarkStart w:id="1746" w:name="_Toc25529"/>
      <w:bookmarkStart w:id="1747" w:name="_Toc28147"/>
      <w:bookmarkStart w:id="1748" w:name="_Toc17497"/>
      <w:bookmarkStart w:id="1749" w:name="_Toc23172"/>
      <w:bookmarkStart w:id="1750" w:name="_Toc26555"/>
      <w:bookmarkStart w:id="1751" w:name="_Toc12010"/>
      <w:bookmarkStart w:id="1752" w:name="_Toc13812"/>
      <w:bookmarkStart w:id="1753" w:name="_Toc27234"/>
      <w:bookmarkStart w:id="1754" w:name="_Toc14663"/>
      <w:bookmarkStart w:id="1755" w:name="_Toc27238"/>
      <w:bookmarkStart w:id="1756" w:name="_Toc10744"/>
      <w:bookmarkStart w:id="1757" w:name="_Toc17244"/>
      <w:bookmarkStart w:id="1758" w:name="_Toc12966"/>
      <w:bookmarkStart w:id="1759" w:name="_Toc31920"/>
      <w:bookmarkStart w:id="1760" w:name="_Toc22016"/>
      <w:bookmarkStart w:id="1761" w:name="_Toc801"/>
      <w:bookmarkStart w:id="1762" w:name="_Toc812"/>
      <w:bookmarkStart w:id="1763" w:name="_Toc6328"/>
      <w:bookmarkStart w:id="1764" w:name="_Toc3300"/>
      <w:bookmarkStart w:id="1765" w:name="_Toc14596"/>
      <w:bookmarkStart w:id="1766" w:name="_Toc279701252"/>
      <w:bookmarkStart w:id="1767" w:name="_Toc259093681"/>
      <w:bookmarkStart w:id="1768" w:name="_Toc487900362"/>
      <w:r>
        <w:rPr>
          <w:rFonts w:hint="eastAsia" w:ascii="宋体" w:hAnsi="宋体" w:eastAsia="宋体" w:cs="宋体"/>
          <w:b/>
          <w:bCs/>
          <w:color w:val="auto"/>
          <w:sz w:val="24"/>
          <w:szCs w:val="24"/>
          <w:highlight w:val="none"/>
        </w:rPr>
        <w:t>2.9 货物的风险负担</w:t>
      </w:r>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p>
    <w:p>
      <w:pPr>
        <w:spacing w:line="36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货物或者在途货物或者交付给第一承运人后的货物毁损、灭失的风险负担详见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769" w:name="_Toc2"/>
      <w:bookmarkStart w:id="1770" w:name="_Toc1299"/>
      <w:bookmarkStart w:id="1771" w:name="_Toc7986"/>
      <w:bookmarkStart w:id="1772" w:name="_Toc15972"/>
      <w:bookmarkStart w:id="1773" w:name="_Toc25663"/>
      <w:bookmarkStart w:id="1774" w:name="_Toc16001"/>
      <w:bookmarkStart w:id="1775" w:name="_Toc11963"/>
      <w:bookmarkStart w:id="1776" w:name="_Toc26201"/>
      <w:bookmarkStart w:id="1777" w:name="_Toc26567"/>
      <w:bookmarkStart w:id="1778" w:name="_Toc19684"/>
      <w:bookmarkStart w:id="1779" w:name="_Toc20938"/>
      <w:bookmarkStart w:id="1780" w:name="_Toc17349"/>
      <w:bookmarkStart w:id="1781" w:name="_Toc15465"/>
      <w:bookmarkStart w:id="1782" w:name="_Toc20457"/>
      <w:bookmarkStart w:id="1783" w:name="_Toc29837"/>
      <w:bookmarkStart w:id="1784" w:name="_Toc5196"/>
      <w:bookmarkStart w:id="1785" w:name="_Toc14055"/>
      <w:bookmarkStart w:id="1786" w:name="_Toc14698"/>
      <w:bookmarkStart w:id="1787" w:name="_Toc6602"/>
      <w:bookmarkStart w:id="1788" w:name="_Toc5422"/>
      <w:bookmarkStart w:id="1789" w:name="_Toc29192"/>
      <w:bookmarkStart w:id="1790" w:name="_Toc22674"/>
      <w:r>
        <w:rPr>
          <w:rFonts w:hint="eastAsia" w:ascii="宋体" w:hAnsi="宋体" w:eastAsia="宋体" w:cs="宋体"/>
          <w:b/>
          <w:bCs/>
          <w:color w:val="auto"/>
          <w:sz w:val="24"/>
          <w:szCs w:val="24"/>
          <w:highlight w:val="none"/>
        </w:rPr>
        <w:t>2.10 延迟交货</w:t>
      </w:r>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791" w:name="_Toc29075"/>
      <w:bookmarkStart w:id="1792" w:name="_Toc7444"/>
      <w:bookmarkStart w:id="1793" w:name="_Toc16528"/>
      <w:bookmarkStart w:id="1794" w:name="_Toc7502"/>
      <w:bookmarkStart w:id="1795" w:name="_Toc25717"/>
      <w:bookmarkStart w:id="1796" w:name="_Toc31403"/>
      <w:bookmarkStart w:id="1797" w:name="_Toc507"/>
      <w:bookmarkStart w:id="1798" w:name="_Toc3064"/>
      <w:bookmarkStart w:id="1799" w:name="_Toc27112"/>
      <w:bookmarkStart w:id="1800" w:name="_Toc15143"/>
      <w:bookmarkStart w:id="1801" w:name="_Toc29324"/>
      <w:bookmarkStart w:id="1802" w:name="_Toc14802"/>
      <w:bookmarkStart w:id="1803" w:name="_Toc8126"/>
      <w:bookmarkStart w:id="1804" w:name="_Toc8441"/>
      <w:bookmarkStart w:id="1805" w:name="_Toc18704"/>
      <w:bookmarkStart w:id="1806" w:name="_Toc16810"/>
      <w:bookmarkStart w:id="1807" w:name="_Toc14851"/>
      <w:bookmarkStart w:id="1808" w:name="_Toc23198"/>
      <w:bookmarkStart w:id="1809" w:name="_Toc17237"/>
      <w:bookmarkStart w:id="1810" w:name="_Toc10956"/>
      <w:bookmarkStart w:id="1811" w:name="_Toc12175"/>
      <w:bookmarkStart w:id="1812" w:name="_Toc4586"/>
      <w:bookmarkStart w:id="1813" w:name="_Toc487900364"/>
      <w:bookmarkStart w:id="1814" w:name="_Toc259093683"/>
      <w:bookmarkStart w:id="1815" w:name="_Ref467378121"/>
      <w:bookmarkStart w:id="1816" w:name="_Toc279701254"/>
      <w:r>
        <w:rPr>
          <w:rFonts w:hint="eastAsia" w:ascii="宋体" w:hAnsi="宋体" w:eastAsia="宋体" w:cs="宋体"/>
          <w:b/>
          <w:bCs/>
          <w:color w:val="auto"/>
          <w:sz w:val="24"/>
          <w:szCs w:val="24"/>
          <w:highlight w:val="none"/>
        </w:rPr>
        <w:t>2.11 合同变更</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1817" w:name="_Toc279701259"/>
      <w:bookmarkStart w:id="1818" w:name="_Toc259093688"/>
      <w:bookmarkStart w:id="1819" w:name="_Toc487900369"/>
    </w:p>
    <w:p>
      <w:pPr>
        <w:spacing w:line="360" w:lineRule="exact"/>
        <w:ind w:firstLine="482" w:firstLineChars="200"/>
        <w:outlineLvl w:val="0"/>
        <w:rPr>
          <w:rFonts w:hint="eastAsia" w:ascii="宋体" w:hAnsi="宋体" w:eastAsia="宋体" w:cs="宋体"/>
          <w:b/>
          <w:bCs/>
          <w:color w:val="auto"/>
          <w:sz w:val="24"/>
          <w:szCs w:val="24"/>
          <w:highlight w:val="none"/>
        </w:rPr>
      </w:pPr>
      <w:bookmarkStart w:id="1820" w:name="_Toc25508"/>
      <w:bookmarkStart w:id="1821" w:name="_Toc32581"/>
      <w:bookmarkStart w:id="1822" w:name="_Toc1625"/>
      <w:bookmarkStart w:id="1823" w:name="_Toc22955"/>
      <w:bookmarkStart w:id="1824" w:name="_Toc26224"/>
      <w:bookmarkStart w:id="1825" w:name="_Toc15237"/>
      <w:bookmarkStart w:id="1826" w:name="_Toc3928"/>
      <w:bookmarkStart w:id="1827" w:name="_Toc6077"/>
      <w:bookmarkStart w:id="1828" w:name="_Toc3825"/>
      <w:bookmarkStart w:id="1829" w:name="_Toc2157"/>
      <w:bookmarkStart w:id="1830" w:name="_Toc29955"/>
      <w:bookmarkStart w:id="1831" w:name="_Toc14895"/>
      <w:bookmarkStart w:id="1832" w:name="_Toc3931"/>
      <w:bookmarkStart w:id="1833" w:name="_Toc26864"/>
      <w:bookmarkStart w:id="1834" w:name="_Toc19380"/>
      <w:bookmarkStart w:id="1835" w:name="_Toc10537"/>
      <w:bookmarkStart w:id="1836" w:name="_Toc8679"/>
      <w:bookmarkStart w:id="1837" w:name="_Toc23079"/>
      <w:bookmarkStart w:id="1838" w:name="_Toc21753"/>
      <w:bookmarkStart w:id="1839" w:name="_Toc10366"/>
      <w:bookmarkStart w:id="1840" w:name="_Toc24511"/>
      <w:bookmarkStart w:id="1841" w:name="_Toc11626"/>
      <w:r>
        <w:rPr>
          <w:rFonts w:hint="eastAsia" w:ascii="宋体" w:hAnsi="宋体" w:eastAsia="宋体" w:cs="宋体"/>
          <w:b/>
          <w:bCs/>
          <w:color w:val="auto"/>
          <w:sz w:val="24"/>
          <w:szCs w:val="24"/>
          <w:highlight w:val="none"/>
        </w:rPr>
        <w:t>2.12 合同转让</w:t>
      </w:r>
      <w:bookmarkEnd w:id="1817"/>
      <w:bookmarkEnd w:id="1818"/>
      <w:bookmarkEnd w:id="1819"/>
      <w:r>
        <w:rPr>
          <w:rFonts w:hint="eastAsia" w:ascii="宋体" w:hAnsi="宋体" w:eastAsia="宋体" w:cs="宋体"/>
          <w:b/>
          <w:bCs/>
          <w:color w:val="auto"/>
          <w:sz w:val="24"/>
          <w:szCs w:val="24"/>
          <w:highlight w:val="none"/>
        </w:rPr>
        <w:t>和分包</w:t>
      </w:r>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842" w:name="_Toc12809"/>
      <w:bookmarkStart w:id="1843" w:name="_Toc32426"/>
      <w:bookmarkStart w:id="1844" w:name="_Toc12165"/>
      <w:bookmarkStart w:id="1845" w:name="_Toc3533"/>
      <w:bookmarkStart w:id="1846" w:name="_Toc16508"/>
      <w:bookmarkStart w:id="1847" w:name="_Toc13915"/>
      <w:bookmarkStart w:id="1848" w:name="_Toc32515"/>
      <w:bookmarkStart w:id="1849" w:name="_Toc16893"/>
      <w:bookmarkStart w:id="1850" w:name="_Toc13214"/>
      <w:bookmarkStart w:id="1851" w:name="_Toc14752"/>
      <w:bookmarkStart w:id="1852" w:name="_Toc29768"/>
      <w:bookmarkStart w:id="1853" w:name="_Toc5484"/>
      <w:bookmarkStart w:id="1854" w:name="_Toc11104"/>
      <w:bookmarkStart w:id="1855" w:name="_Toc24741"/>
      <w:bookmarkStart w:id="1856" w:name="_Toc13557"/>
      <w:bookmarkStart w:id="1857" w:name="_Toc8114"/>
      <w:bookmarkStart w:id="1858" w:name="_Toc4540"/>
      <w:bookmarkStart w:id="1859" w:name="_Toc15741"/>
      <w:bookmarkStart w:id="1860" w:name="_Toc19750"/>
      <w:bookmarkStart w:id="1861" w:name="_Toc17498"/>
      <w:bookmarkStart w:id="1862" w:name="_Toc14564"/>
      <w:bookmarkStart w:id="1863" w:name="_Toc14066"/>
      <w:bookmarkStart w:id="1864" w:name="_Toc2586"/>
      <w:r>
        <w:rPr>
          <w:rFonts w:hint="eastAsia" w:ascii="宋体" w:hAnsi="宋体" w:eastAsia="宋体" w:cs="宋体"/>
          <w:b/>
          <w:bCs/>
          <w:color w:val="auto"/>
          <w:sz w:val="24"/>
          <w:szCs w:val="24"/>
          <w:highlight w:val="none"/>
        </w:rPr>
        <w:t>2.13 不可抗力</w:t>
      </w:r>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2.13.1如果任何一方遭遇法律规定的不可抗力，致使合同履行受阻时，履行合同的期限应予延长，延长的期限应相当于不可抗力所影响的时间；</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2.13.2 因不可抗力致使不能实现合同目的的，当事人可以解除合同；</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 因不可抗力致使合同有变更必要的，双方当事人应在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约定时间内以书面形式变更合同；</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2.13.4受不可抗力影响的一方在不可抗力发生后，应在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约定时间内，将有关部门出具的证明文件送达对方当事人。</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865" w:name="_Toc32764"/>
      <w:bookmarkStart w:id="1866" w:name="_Toc26312"/>
      <w:bookmarkStart w:id="1867" w:name="_Toc19677"/>
      <w:bookmarkStart w:id="1868" w:name="_Toc10528"/>
      <w:bookmarkStart w:id="1869" w:name="_Toc1584"/>
      <w:bookmarkStart w:id="1870" w:name="_Toc26085"/>
      <w:bookmarkStart w:id="1871" w:name="_Toc11876"/>
      <w:bookmarkStart w:id="1872" w:name="_Toc13910"/>
      <w:bookmarkStart w:id="1873" w:name="_Toc689"/>
      <w:bookmarkStart w:id="1874" w:name="_Toc30676"/>
      <w:bookmarkStart w:id="1875" w:name="_Toc7145"/>
      <w:bookmarkStart w:id="1876" w:name="_Toc6047"/>
      <w:bookmarkStart w:id="1877" w:name="_Toc16229"/>
      <w:bookmarkStart w:id="1878" w:name="_Toc31597"/>
      <w:bookmarkStart w:id="1879" w:name="_Toc28117"/>
      <w:bookmarkStart w:id="1880" w:name="_Toc6288"/>
      <w:bookmarkStart w:id="1881" w:name="_Toc279701255"/>
      <w:bookmarkStart w:id="1882" w:name="_Toc11423"/>
      <w:bookmarkStart w:id="1883" w:name="_Toc8030"/>
      <w:bookmarkStart w:id="1884" w:name="_Toc259093684"/>
      <w:bookmarkStart w:id="1885" w:name="_Toc5884"/>
      <w:bookmarkStart w:id="1886" w:name="_Toc6676"/>
      <w:bookmarkStart w:id="1887" w:name="_Toc6969"/>
      <w:bookmarkStart w:id="1888" w:name="_Toc25124"/>
      <w:bookmarkStart w:id="1889" w:name="_Toc487900365"/>
      <w:bookmarkStart w:id="1890" w:name="_Toc4"/>
      <w:bookmarkStart w:id="1891" w:name="_Toc4006"/>
      <w:r>
        <w:rPr>
          <w:rFonts w:hint="eastAsia" w:ascii="宋体" w:hAnsi="宋体" w:eastAsia="宋体" w:cs="宋体"/>
          <w:b/>
          <w:bCs/>
          <w:color w:val="auto"/>
          <w:sz w:val="24"/>
          <w:szCs w:val="24"/>
          <w:highlight w:val="none"/>
        </w:rPr>
        <w:t>2.14 税费</w:t>
      </w:r>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892" w:name="_Toc29993"/>
      <w:bookmarkStart w:id="1893" w:name="_Toc986"/>
      <w:bookmarkStart w:id="1894" w:name="_Toc279701258"/>
      <w:bookmarkStart w:id="1895" w:name="_Toc22239"/>
      <w:bookmarkStart w:id="1896" w:name="_Toc13626"/>
      <w:bookmarkStart w:id="1897" w:name="_Toc15527"/>
      <w:bookmarkStart w:id="1898" w:name="_Toc8298"/>
      <w:bookmarkStart w:id="1899" w:name="_Toc12141"/>
      <w:bookmarkStart w:id="1900" w:name="_Toc20594"/>
      <w:bookmarkStart w:id="1901" w:name="_Toc14403"/>
      <w:bookmarkStart w:id="1902" w:name="_Toc25260"/>
      <w:bookmarkStart w:id="1903" w:name="_Toc21290"/>
      <w:bookmarkStart w:id="1904" w:name="_Toc17523"/>
      <w:bookmarkStart w:id="1905" w:name="_Toc4812"/>
      <w:bookmarkStart w:id="1906" w:name="_Toc487900368"/>
      <w:bookmarkStart w:id="1907" w:name="_Toc8934"/>
      <w:bookmarkStart w:id="1908" w:name="_Toc29869"/>
      <w:bookmarkStart w:id="1909" w:name="_Toc7117"/>
      <w:bookmarkStart w:id="1910" w:name="_Toc12565"/>
      <w:bookmarkStart w:id="1911" w:name="_Toc11308"/>
      <w:bookmarkStart w:id="1912" w:name="_Toc13221"/>
      <w:bookmarkStart w:id="1913" w:name="_Toc23266"/>
      <w:bookmarkStart w:id="1914" w:name="_Toc16959"/>
      <w:bookmarkStart w:id="1915" w:name="_Toc24862"/>
      <w:bookmarkStart w:id="1916" w:name="_Toc515"/>
      <w:bookmarkStart w:id="1917" w:name="_Toc259093687"/>
      <w:bookmarkStart w:id="1918" w:name="_Toc7102"/>
      <w:r>
        <w:rPr>
          <w:rFonts w:hint="eastAsia" w:ascii="宋体" w:hAnsi="宋体" w:eastAsia="宋体" w:cs="宋体"/>
          <w:b/>
          <w:bCs/>
          <w:color w:val="auto"/>
          <w:sz w:val="24"/>
          <w:szCs w:val="24"/>
          <w:highlight w:val="none"/>
        </w:rPr>
        <w:t>2.15 乙方破产</w:t>
      </w:r>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919" w:name="_Toc6134"/>
      <w:bookmarkStart w:id="1920" w:name="_Toc9079"/>
      <w:bookmarkStart w:id="1921" w:name="_Toc15445"/>
      <w:bookmarkStart w:id="1922" w:name="_Toc8889"/>
      <w:bookmarkStart w:id="1923" w:name="_Toc25273"/>
      <w:bookmarkStart w:id="1924" w:name="_Toc24867"/>
      <w:bookmarkStart w:id="1925" w:name="_Toc26255"/>
      <w:bookmarkStart w:id="1926" w:name="_Toc12606"/>
      <w:bookmarkStart w:id="1927" w:name="_Toc29764"/>
      <w:bookmarkStart w:id="1928" w:name="_Toc1942"/>
      <w:bookmarkStart w:id="1929" w:name="_Toc27106"/>
      <w:bookmarkStart w:id="1930" w:name="_Toc24976"/>
      <w:bookmarkStart w:id="1931" w:name="_Toc1303"/>
      <w:bookmarkStart w:id="1932" w:name="_Toc4013"/>
      <w:bookmarkStart w:id="1933" w:name="_Toc15387"/>
      <w:bookmarkStart w:id="1934" w:name="_Toc29333"/>
      <w:bookmarkStart w:id="1935" w:name="_Toc15605"/>
      <w:bookmarkStart w:id="1936" w:name="_Toc24066"/>
      <w:bookmarkStart w:id="1937" w:name="_Toc9318"/>
      <w:bookmarkStart w:id="1938" w:name="_Toc818"/>
      <w:bookmarkStart w:id="1939" w:name="_Toc32508"/>
      <w:bookmarkStart w:id="1940" w:name="_Toc4227"/>
      <w:bookmarkStart w:id="1941" w:name="_Toc31639"/>
      <w:bookmarkStart w:id="1942" w:name="_Toc23030"/>
      <w:r>
        <w:rPr>
          <w:rFonts w:hint="eastAsia" w:ascii="宋体" w:hAnsi="宋体" w:eastAsia="宋体" w:cs="宋体"/>
          <w:b/>
          <w:bCs/>
          <w:color w:val="auto"/>
          <w:sz w:val="24"/>
          <w:szCs w:val="24"/>
          <w:highlight w:val="none"/>
        </w:rPr>
        <w:t>2.16 合同中止、终止</w:t>
      </w:r>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2.16.1 双方当事人不得擅自中止或者终止合同；</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943" w:name="_Toc29777"/>
      <w:bookmarkStart w:id="1944" w:name="_Toc1125"/>
      <w:bookmarkStart w:id="1945" w:name="_Toc25358"/>
      <w:bookmarkStart w:id="1946" w:name="_Toc6596"/>
      <w:bookmarkStart w:id="1947" w:name="_Toc30133"/>
      <w:bookmarkStart w:id="1948" w:name="_Toc24731"/>
      <w:bookmarkStart w:id="1949" w:name="_Toc21636"/>
      <w:bookmarkStart w:id="1950" w:name="_Toc30958"/>
      <w:bookmarkStart w:id="1951" w:name="_Toc28047"/>
      <w:bookmarkStart w:id="1952" w:name="_Toc30476"/>
      <w:bookmarkStart w:id="1953" w:name="_Toc4111"/>
      <w:bookmarkStart w:id="1954" w:name="_Toc28303"/>
      <w:bookmarkStart w:id="1955" w:name="_Toc14563"/>
      <w:bookmarkStart w:id="1956" w:name="_Toc20145"/>
      <w:bookmarkStart w:id="1957" w:name="_Toc11658"/>
      <w:bookmarkStart w:id="1958" w:name="_Toc25710"/>
      <w:bookmarkStart w:id="1959" w:name="_Toc19755"/>
      <w:bookmarkStart w:id="1960" w:name="_Toc16501"/>
      <w:bookmarkStart w:id="1961" w:name="_Toc11977"/>
      <w:bookmarkStart w:id="1962" w:name="_Toc13848"/>
      <w:bookmarkStart w:id="1963" w:name="_Toc25230"/>
      <w:bookmarkStart w:id="1964" w:name="_Toc14890"/>
      <w:bookmarkStart w:id="1965" w:name="_Toc13150"/>
      <w:r>
        <w:rPr>
          <w:rFonts w:hint="eastAsia" w:ascii="宋体" w:hAnsi="宋体" w:eastAsia="宋体" w:cs="宋体"/>
          <w:b/>
          <w:bCs/>
          <w:color w:val="auto"/>
          <w:sz w:val="24"/>
          <w:szCs w:val="24"/>
          <w:highlight w:val="none"/>
        </w:rPr>
        <w:t>2.17 检验和验收</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p>
    <w:p>
      <w:pPr>
        <w:tabs>
          <w:tab w:val="left" w:pos="360"/>
          <w:tab w:val="left" w:pos="540"/>
          <w:tab w:val="left" w:pos="1080"/>
        </w:tabs>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约定时间内组织验收，并可依法邀请相关方参加，验收应出具验收书。</w:t>
      </w:r>
    </w:p>
    <w:p>
      <w:pPr>
        <w:tabs>
          <w:tab w:val="left" w:pos="360"/>
          <w:tab w:val="left" w:pos="540"/>
          <w:tab w:val="left" w:pos="1080"/>
        </w:tabs>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2.17.3 检验和验收标准、程序等具体内容以及前述验收书的效力详见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i/>
          <w:iCs/>
          <w:color w:val="auto"/>
          <w:sz w:val="24"/>
          <w:szCs w:val="24"/>
          <w:highlight w:val="none"/>
        </w:rPr>
        <w:t>。</w:t>
      </w:r>
    </w:p>
    <w:bookmarkEnd w:id="1813"/>
    <w:bookmarkEnd w:id="1814"/>
    <w:bookmarkEnd w:id="1815"/>
    <w:bookmarkEnd w:id="1816"/>
    <w:p>
      <w:pPr>
        <w:spacing w:line="360" w:lineRule="exact"/>
        <w:ind w:firstLine="482" w:firstLineChars="200"/>
        <w:outlineLvl w:val="0"/>
        <w:rPr>
          <w:rFonts w:hint="eastAsia" w:ascii="宋体" w:hAnsi="宋体" w:eastAsia="宋体" w:cs="宋体"/>
          <w:b/>
          <w:bCs/>
          <w:color w:val="auto"/>
          <w:sz w:val="24"/>
          <w:szCs w:val="24"/>
          <w:highlight w:val="none"/>
        </w:rPr>
      </w:pPr>
      <w:bookmarkStart w:id="1966" w:name="_Toc259093690"/>
      <w:bookmarkStart w:id="1967" w:name="_Toc279701261"/>
      <w:bookmarkStart w:id="1968" w:name="_Toc487900371"/>
      <w:bookmarkStart w:id="1969" w:name="_Toc10130"/>
      <w:bookmarkStart w:id="1970" w:name="_Toc12493"/>
      <w:bookmarkStart w:id="1971" w:name="_Toc13220"/>
      <w:bookmarkStart w:id="1972" w:name="_Toc7641"/>
      <w:bookmarkStart w:id="1973" w:name="_Toc15037"/>
      <w:bookmarkStart w:id="1974" w:name="_Toc27621"/>
      <w:bookmarkStart w:id="1975" w:name="_Toc26892"/>
      <w:bookmarkStart w:id="1976" w:name="_Toc8068"/>
      <w:bookmarkStart w:id="1977" w:name="_Toc31945"/>
      <w:bookmarkStart w:id="1978" w:name="_Toc26823"/>
      <w:bookmarkStart w:id="1979" w:name="_Toc14242"/>
      <w:bookmarkStart w:id="1980" w:name="_Toc14342"/>
      <w:bookmarkStart w:id="1981" w:name="_Toc11284"/>
      <w:bookmarkStart w:id="1982" w:name="_Toc12223"/>
      <w:bookmarkStart w:id="1983" w:name="_Toc25182"/>
      <w:bookmarkStart w:id="1984" w:name="_Toc19604"/>
      <w:bookmarkStart w:id="1985" w:name="_Toc9266"/>
      <w:bookmarkStart w:id="1986" w:name="_Toc17313"/>
      <w:bookmarkStart w:id="1987" w:name="_Toc7660"/>
      <w:bookmarkStart w:id="1988" w:name="_Toc4983"/>
      <w:bookmarkStart w:id="1989" w:name="_Toc8096"/>
      <w:bookmarkStart w:id="1990" w:name="_Toc725"/>
      <w:bookmarkStart w:id="1991" w:name="_Toc17270"/>
      <w:r>
        <w:rPr>
          <w:rFonts w:hint="eastAsia" w:ascii="宋体" w:hAnsi="宋体" w:eastAsia="宋体" w:cs="宋体"/>
          <w:b/>
          <w:bCs/>
          <w:color w:val="auto"/>
          <w:sz w:val="24"/>
          <w:szCs w:val="24"/>
          <w:highlight w:val="none"/>
        </w:rPr>
        <w:t>2.18 通知</w:t>
      </w:r>
      <w:bookmarkEnd w:id="1966"/>
      <w:bookmarkEnd w:id="1967"/>
      <w:bookmarkEnd w:id="1968"/>
      <w:r>
        <w:rPr>
          <w:rFonts w:hint="eastAsia" w:ascii="宋体" w:hAnsi="宋体" w:eastAsia="宋体" w:cs="宋体"/>
          <w:b/>
          <w:bCs/>
          <w:color w:val="auto"/>
          <w:sz w:val="24"/>
          <w:szCs w:val="24"/>
          <w:highlight w:val="none"/>
        </w:rPr>
        <w:t>和送达</w:t>
      </w:r>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p>
    <w:p>
      <w:pPr>
        <w:spacing w:line="360" w:lineRule="exact"/>
        <w:ind w:firstLine="480" w:firstLineChars="200"/>
        <w:rPr>
          <w:rFonts w:hint="eastAsia" w:ascii="宋体" w:hAnsi="宋体" w:eastAsia="宋体" w:cs="宋体"/>
          <w:color w:val="auto"/>
          <w:sz w:val="24"/>
          <w:szCs w:val="24"/>
          <w:highlight w:val="none"/>
        </w:rPr>
      </w:pPr>
      <w:bookmarkStart w:id="1992" w:name="_Toc3135"/>
      <w:bookmarkStart w:id="1993" w:name="_Toc6698"/>
      <w:bookmarkStart w:id="1994" w:name="_Toc259093691"/>
      <w:bookmarkStart w:id="1995" w:name="_Toc279701262"/>
      <w:bookmarkStart w:id="1996" w:name="_Toc487900372"/>
      <w:r>
        <w:rPr>
          <w:rFonts w:hint="eastAsia" w:ascii="宋体" w:hAnsi="宋体" w:eastAsia="宋体" w:cs="宋体"/>
          <w:color w:val="auto"/>
          <w:sz w:val="24"/>
          <w:szCs w:val="24"/>
          <w:highlight w:val="none"/>
        </w:rPr>
        <w:t>2.18.1 任何一方因履行合同而以合同第一部分尾部所列明的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bookmarkEnd w:id="1992"/>
      <w:bookmarkEnd w:id="1993"/>
    </w:p>
    <w:p>
      <w:pPr>
        <w:spacing w:line="360" w:lineRule="exact"/>
        <w:ind w:firstLine="480" w:firstLineChars="200"/>
        <w:rPr>
          <w:rFonts w:hint="eastAsia" w:ascii="宋体" w:hAnsi="宋体" w:eastAsia="宋体" w:cs="宋体"/>
          <w:color w:val="auto"/>
          <w:sz w:val="24"/>
          <w:szCs w:val="24"/>
          <w:highlight w:val="none"/>
        </w:rPr>
      </w:pPr>
      <w:bookmarkStart w:id="1997" w:name="_Toc23294"/>
      <w:bookmarkStart w:id="1998" w:name="_Toc23128"/>
      <w:r>
        <w:rPr>
          <w:rFonts w:hint="eastAsia" w:ascii="宋体" w:hAnsi="宋体" w:eastAsia="宋体" w:cs="宋体"/>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997"/>
      <w:bookmarkEnd w:id="1998"/>
    </w:p>
    <w:p>
      <w:pPr>
        <w:spacing w:line="360" w:lineRule="exact"/>
        <w:ind w:firstLine="482" w:firstLineChars="200"/>
        <w:outlineLvl w:val="0"/>
        <w:rPr>
          <w:rFonts w:hint="eastAsia" w:ascii="宋体" w:hAnsi="宋体" w:eastAsia="宋体" w:cs="宋体"/>
          <w:b/>
          <w:bCs/>
          <w:color w:val="auto"/>
          <w:sz w:val="24"/>
          <w:szCs w:val="24"/>
          <w:highlight w:val="none"/>
        </w:rPr>
      </w:pPr>
      <w:bookmarkStart w:id="1999" w:name="_Toc20309"/>
      <w:bookmarkStart w:id="2000" w:name="_Toc4241"/>
      <w:bookmarkStart w:id="2001" w:name="_Toc4355"/>
      <w:bookmarkStart w:id="2002" w:name="_Toc18540"/>
      <w:bookmarkStart w:id="2003" w:name="_Toc29312"/>
      <w:bookmarkStart w:id="2004" w:name="_Toc30599"/>
      <w:bookmarkStart w:id="2005" w:name="_Toc30497"/>
      <w:bookmarkStart w:id="2006" w:name="_Toc24540"/>
      <w:bookmarkStart w:id="2007" w:name="_Toc18621"/>
      <w:bookmarkStart w:id="2008" w:name="_Toc12721"/>
      <w:bookmarkStart w:id="2009" w:name="_Toc10932"/>
      <w:bookmarkStart w:id="2010" w:name="_Toc15273"/>
      <w:bookmarkStart w:id="2011" w:name="_Toc2201"/>
      <w:bookmarkStart w:id="2012" w:name="_Toc27038"/>
      <w:bookmarkStart w:id="2013" w:name="_Toc14810"/>
      <w:bookmarkStart w:id="2014" w:name="_Toc20914"/>
      <w:bookmarkStart w:id="2015" w:name="_Toc11892"/>
      <w:bookmarkStart w:id="2016" w:name="_Toc4747"/>
      <w:bookmarkStart w:id="2017" w:name="_Toc31861"/>
      <w:bookmarkStart w:id="2018" w:name="_Toc2623"/>
      <w:bookmarkStart w:id="2019" w:name="_Toc20837"/>
      <w:bookmarkStart w:id="2020" w:name="_Toc9371"/>
      <w:bookmarkStart w:id="2021" w:name="_Toc9434"/>
      <w:bookmarkStart w:id="2022" w:name="_Toc21923"/>
      <w:r>
        <w:rPr>
          <w:rFonts w:hint="eastAsia" w:ascii="宋体" w:hAnsi="宋体" w:eastAsia="宋体" w:cs="宋体"/>
          <w:b/>
          <w:bCs/>
          <w:color w:val="auto"/>
          <w:sz w:val="24"/>
          <w:szCs w:val="24"/>
          <w:highlight w:val="none"/>
        </w:rPr>
        <w:t>2.19 计量单位</w:t>
      </w:r>
      <w:bookmarkEnd w:id="1994"/>
      <w:bookmarkEnd w:id="1995"/>
      <w:bookmarkEnd w:id="1996"/>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除技术规范中另有规定外,合同的计量单位均使用国家法定计量单位。</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2023" w:name="_Toc15428"/>
      <w:bookmarkStart w:id="2024" w:name="_Toc27589"/>
      <w:bookmarkStart w:id="2025" w:name="_Toc5796"/>
      <w:bookmarkStart w:id="2026" w:name="_Toc18567"/>
      <w:bookmarkStart w:id="2027" w:name="_Toc17517"/>
      <w:bookmarkStart w:id="2028" w:name="_Toc9626"/>
      <w:bookmarkStart w:id="2029" w:name="_Toc3899"/>
      <w:bookmarkStart w:id="2030" w:name="_Toc15868"/>
      <w:bookmarkStart w:id="2031" w:name="_Toc9656"/>
      <w:bookmarkStart w:id="2032" w:name="_Toc13041"/>
      <w:bookmarkStart w:id="2033" w:name="_Toc259093692"/>
      <w:bookmarkStart w:id="2034" w:name="_Toc20624"/>
      <w:bookmarkStart w:id="2035" w:name="_Toc15261"/>
      <w:bookmarkStart w:id="2036" w:name="_Toc12773"/>
      <w:bookmarkStart w:id="2037" w:name="_Toc1728"/>
      <w:bookmarkStart w:id="2038" w:name="_Toc10830"/>
      <w:bookmarkStart w:id="2039" w:name="_Toc11130"/>
      <w:bookmarkStart w:id="2040" w:name="_Toc13131"/>
      <w:bookmarkStart w:id="2041" w:name="_Toc279701263"/>
      <w:bookmarkStart w:id="2042" w:name="_Toc487900373"/>
      <w:bookmarkStart w:id="2043" w:name="_Toc19154"/>
      <w:bookmarkStart w:id="2044" w:name="_Toc10330"/>
      <w:bookmarkStart w:id="2045" w:name="_Toc18634"/>
      <w:bookmarkStart w:id="2046" w:name="_Toc380"/>
      <w:bookmarkStart w:id="2047" w:name="_Toc32583"/>
      <w:bookmarkStart w:id="2048" w:name="_Toc16880"/>
      <w:bookmarkStart w:id="2049" w:name="_Toc28784"/>
      <w:r>
        <w:rPr>
          <w:rFonts w:hint="eastAsia" w:ascii="宋体" w:hAnsi="宋体" w:eastAsia="宋体" w:cs="宋体"/>
          <w:b/>
          <w:bCs/>
          <w:color w:val="auto"/>
          <w:sz w:val="24"/>
          <w:szCs w:val="24"/>
          <w:highlight w:val="none"/>
        </w:rPr>
        <w:t>2.20 合同使用的文字和适用的法律</w:t>
      </w:r>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2.20.1 合同使用汉语书就、变更和解释；</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2.20.2 合同适用中华人民共和国法律。</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2050" w:name="_Toc25551"/>
      <w:bookmarkStart w:id="2051" w:name="_Toc14308"/>
      <w:bookmarkStart w:id="2052" w:name="_Toc14964"/>
      <w:bookmarkStart w:id="2053" w:name="_Toc279701264"/>
      <w:bookmarkStart w:id="2054" w:name="_Toc26372"/>
      <w:bookmarkStart w:id="2055" w:name="_Toc18845"/>
      <w:bookmarkStart w:id="2056" w:name="_Toc1670"/>
      <w:bookmarkStart w:id="2057" w:name="_Toc29073"/>
      <w:bookmarkStart w:id="2058" w:name="_Toc3148"/>
      <w:bookmarkStart w:id="2059" w:name="_Toc31790"/>
      <w:bookmarkStart w:id="2060" w:name="_Toc32497"/>
      <w:bookmarkStart w:id="2061" w:name="_Toc3838"/>
      <w:bookmarkStart w:id="2062" w:name="_Toc12004"/>
      <w:bookmarkStart w:id="2063" w:name="_Toc5000"/>
      <w:bookmarkStart w:id="2064" w:name="_Toc30511"/>
      <w:bookmarkStart w:id="2065" w:name="_Toc259093693"/>
      <w:bookmarkStart w:id="2066" w:name="_Toc30703"/>
      <w:bookmarkStart w:id="2067" w:name="_Toc15434"/>
      <w:bookmarkStart w:id="2068" w:name="_Toc638"/>
      <w:bookmarkStart w:id="2069" w:name="_Toc24029"/>
      <w:bookmarkStart w:id="2070" w:name="_Toc5571"/>
      <w:bookmarkStart w:id="2071" w:name="_Toc18243"/>
      <w:bookmarkStart w:id="2072" w:name="_Toc30675"/>
      <w:bookmarkStart w:id="2073" w:name="_Toc11628"/>
      <w:bookmarkStart w:id="2074" w:name="_Toc16673"/>
      <w:bookmarkStart w:id="2075" w:name="_Toc8602"/>
      <w:bookmarkStart w:id="2076" w:name="_Toc487900374"/>
      <w:r>
        <w:rPr>
          <w:rFonts w:hint="eastAsia" w:ascii="宋体" w:hAnsi="宋体" w:eastAsia="宋体" w:cs="宋体"/>
          <w:b/>
          <w:bCs/>
          <w:color w:val="auto"/>
          <w:sz w:val="24"/>
          <w:szCs w:val="24"/>
          <w:highlight w:val="none"/>
        </w:rPr>
        <w:t>2.21 履约保证金</w:t>
      </w:r>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2.21.1 采购文件要求乙方提交履约保证金的，乙方应按</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约定的方式，以支票、汇票、本票或者金融机构、担保机构出具的保函等非现金形式，提交不超过合同价10%的履约保证金；</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2.21.2  履约保证金在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约定期间内或者货物质量保证期内不予退还或者应完全有效，前述约定期间届满或者货物质量保证期届满之日起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个工作日内，甲方应将履约保证金退还乙方；</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76"/>
    <w:p>
      <w:pPr>
        <w:spacing w:line="360" w:lineRule="exact"/>
        <w:ind w:firstLine="482" w:firstLineChars="200"/>
        <w:outlineLvl w:val="0"/>
        <w:rPr>
          <w:rFonts w:hint="eastAsia" w:ascii="宋体" w:hAnsi="宋体" w:eastAsia="宋体" w:cs="宋体"/>
          <w:b/>
          <w:bCs/>
          <w:color w:val="auto"/>
          <w:sz w:val="24"/>
          <w:szCs w:val="24"/>
          <w:highlight w:val="none"/>
        </w:rPr>
      </w:pPr>
      <w:bookmarkStart w:id="2077" w:name="_Toc30604"/>
      <w:bookmarkStart w:id="2078" w:name="_Toc19890"/>
      <w:bookmarkStart w:id="2079" w:name="_Toc22496"/>
      <w:bookmarkStart w:id="2080" w:name="_Toc2720"/>
      <w:bookmarkStart w:id="2081" w:name="_Toc8867"/>
      <w:bookmarkStart w:id="2082" w:name="_Toc8495"/>
      <w:bookmarkStart w:id="2083" w:name="_Toc12034"/>
      <w:bookmarkStart w:id="2084" w:name="_Toc24006"/>
      <w:bookmarkStart w:id="2085" w:name="_Toc18337"/>
      <w:bookmarkStart w:id="2086" w:name="_Toc17310"/>
      <w:bookmarkStart w:id="2087" w:name="_Toc25691"/>
      <w:bookmarkStart w:id="2088" w:name="_Toc22821"/>
      <w:bookmarkStart w:id="2089" w:name="_Toc16431"/>
      <w:bookmarkStart w:id="2090" w:name="_Toc11103"/>
      <w:bookmarkStart w:id="2091" w:name="_Toc10801"/>
      <w:bookmarkStart w:id="2092" w:name="_Toc27563"/>
      <w:bookmarkStart w:id="2093" w:name="_Toc14001"/>
      <w:bookmarkStart w:id="2094" w:name="_Toc30847"/>
      <w:bookmarkStart w:id="2095" w:name="_Toc16450"/>
      <w:bookmarkStart w:id="2096" w:name="_Toc32408"/>
      <w:bookmarkStart w:id="2097" w:name="_Toc6885"/>
      <w:bookmarkStart w:id="2098" w:name="_Toc2382"/>
      <w:bookmarkStart w:id="2099" w:name="_Toc20802"/>
      <w:bookmarkStart w:id="2100" w:name="_Toc30496"/>
      <w:r>
        <w:rPr>
          <w:rFonts w:hint="eastAsia" w:ascii="宋体" w:hAnsi="宋体" w:eastAsia="宋体" w:cs="宋体"/>
          <w:b/>
          <w:bCs/>
          <w:color w:val="auto"/>
          <w:sz w:val="24"/>
          <w:szCs w:val="24"/>
          <w:highlight w:val="none"/>
        </w:rPr>
        <w:t>2.22 合同份数</w:t>
      </w:r>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规定，每份均具有同等法律效力。</w:t>
      </w:r>
    </w:p>
    <w:p>
      <w:pPr>
        <w:pStyle w:val="57"/>
        <w:spacing w:line="360" w:lineRule="exact"/>
        <w:ind w:firstLine="0"/>
        <w:jc w:val="center"/>
        <w:rPr>
          <w:rFonts w:hint="eastAsia" w:ascii="宋体" w:hAnsi="宋体" w:eastAsia="宋体" w:cs="宋体"/>
          <w:b/>
          <w:bCs/>
          <w:color w:val="auto"/>
          <w:sz w:val="24"/>
          <w:szCs w:val="24"/>
          <w:highlight w:val="none"/>
        </w:rPr>
      </w:pPr>
      <w:bookmarkStart w:id="2101" w:name="_Toc331685784"/>
    </w:p>
    <w:p>
      <w:pPr>
        <w:pStyle w:val="57"/>
        <w:spacing w:line="360" w:lineRule="exact"/>
        <w:ind w:firstLine="0"/>
        <w:jc w:val="center"/>
        <w:rPr>
          <w:rFonts w:hint="eastAsia" w:ascii="宋体" w:hAnsi="宋体" w:eastAsia="宋体" w:cs="宋体"/>
          <w:b/>
          <w:bCs/>
          <w:color w:val="auto"/>
          <w:sz w:val="24"/>
          <w:szCs w:val="24"/>
          <w:highlight w:val="none"/>
        </w:rPr>
      </w:pPr>
    </w:p>
    <w:p>
      <w:pPr>
        <w:pStyle w:val="57"/>
        <w:spacing w:line="360" w:lineRule="exact"/>
        <w:ind w:firstLine="0"/>
        <w:jc w:val="center"/>
        <w:rPr>
          <w:rFonts w:hint="eastAsia" w:ascii="宋体" w:hAnsi="宋体" w:eastAsia="宋体" w:cs="宋体"/>
          <w:b/>
          <w:bCs/>
          <w:color w:val="auto"/>
          <w:sz w:val="24"/>
          <w:szCs w:val="24"/>
          <w:highlight w:val="none"/>
        </w:rPr>
      </w:pPr>
    </w:p>
    <w:p>
      <w:pPr>
        <w:pStyle w:val="57"/>
        <w:spacing w:line="360" w:lineRule="exact"/>
        <w:ind w:firstLine="0"/>
        <w:jc w:val="center"/>
        <w:rPr>
          <w:rFonts w:hint="eastAsia" w:ascii="宋体" w:hAnsi="宋体" w:eastAsia="宋体" w:cs="宋体"/>
          <w:b/>
          <w:bCs/>
          <w:color w:val="auto"/>
          <w:sz w:val="24"/>
          <w:szCs w:val="24"/>
          <w:highlight w:val="none"/>
        </w:rPr>
      </w:pPr>
    </w:p>
    <w:p>
      <w:pPr>
        <w:pStyle w:val="57"/>
        <w:spacing w:line="360" w:lineRule="exact"/>
        <w:ind w:firstLine="0"/>
        <w:jc w:val="center"/>
        <w:rPr>
          <w:rFonts w:hint="eastAsia" w:ascii="宋体" w:hAnsi="宋体" w:eastAsia="宋体" w:cs="宋体"/>
          <w:b/>
          <w:bCs/>
          <w:color w:val="auto"/>
          <w:sz w:val="24"/>
          <w:szCs w:val="24"/>
          <w:highlight w:val="none"/>
        </w:rPr>
      </w:pPr>
    </w:p>
    <w:p>
      <w:pPr>
        <w:pStyle w:val="57"/>
        <w:spacing w:line="360" w:lineRule="exact"/>
        <w:ind w:firstLine="0"/>
        <w:jc w:val="center"/>
        <w:rPr>
          <w:rFonts w:hint="eastAsia" w:ascii="宋体" w:hAnsi="宋体" w:eastAsia="宋体" w:cs="宋体"/>
          <w:b/>
          <w:bCs/>
          <w:color w:val="auto"/>
          <w:sz w:val="24"/>
          <w:szCs w:val="24"/>
          <w:highlight w:val="none"/>
        </w:rPr>
      </w:pPr>
    </w:p>
    <w:p>
      <w:pPr>
        <w:pStyle w:val="57"/>
        <w:spacing w:line="360" w:lineRule="exact"/>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第三部分  合同专用条款</w:t>
      </w:r>
      <w:bookmarkEnd w:id="2101"/>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8434"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7633" w:type="dxa"/>
            <w:vAlign w:val="center"/>
          </w:tcPr>
          <w:p>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360" w:lineRule="exact"/>
              <w:rPr>
                <w:rFonts w:hint="eastAsia" w:ascii="宋体" w:hAnsi="宋体" w:eastAsia="宋体" w:cs="宋体"/>
                <w:color w:val="auto"/>
                <w:sz w:val="24"/>
                <w:szCs w:val="24"/>
                <w:highlight w:val="none"/>
              </w:rPr>
            </w:pPr>
          </w:p>
        </w:tc>
        <w:tc>
          <w:tcPr>
            <w:tcW w:w="7633" w:type="dxa"/>
            <w:vAlign w:val="center"/>
          </w:tcPr>
          <w:p>
            <w:pPr>
              <w:spacing w:line="3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hint="eastAsia" w:ascii="宋体" w:hAnsi="宋体" w:eastAsia="宋体" w:cs="宋体"/>
                <w:color w:val="auto"/>
                <w:sz w:val="24"/>
                <w:szCs w:val="24"/>
                <w:highlight w:val="none"/>
              </w:rPr>
            </w:pPr>
          </w:p>
        </w:tc>
        <w:tc>
          <w:tcPr>
            <w:tcW w:w="7633" w:type="dxa"/>
            <w:vAlign w:val="center"/>
          </w:tcPr>
          <w:p>
            <w:pPr>
              <w:spacing w:line="3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hint="eastAsia" w:ascii="宋体" w:hAnsi="宋体" w:eastAsia="宋体" w:cs="宋体"/>
                <w:color w:val="auto"/>
                <w:sz w:val="24"/>
                <w:szCs w:val="24"/>
                <w:highlight w:val="none"/>
              </w:rPr>
            </w:pPr>
          </w:p>
        </w:tc>
        <w:tc>
          <w:tcPr>
            <w:tcW w:w="7633" w:type="dxa"/>
            <w:vAlign w:val="center"/>
          </w:tcPr>
          <w:p>
            <w:pPr>
              <w:spacing w:line="3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hint="eastAsia" w:ascii="宋体" w:hAnsi="宋体" w:eastAsia="宋体" w:cs="宋体"/>
                <w:color w:val="auto"/>
                <w:sz w:val="24"/>
                <w:szCs w:val="24"/>
                <w:highlight w:val="none"/>
              </w:rPr>
            </w:pPr>
          </w:p>
        </w:tc>
        <w:tc>
          <w:tcPr>
            <w:tcW w:w="7633" w:type="dxa"/>
            <w:vAlign w:val="center"/>
          </w:tcPr>
          <w:p>
            <w:pPr>
              <w:spacing w:line="3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hint="eastAsia" w:ascii="宋体" w:hAnsi="宋体" w:eastAsia="宋体" w:cs="宋体"/>
                <w:color w:val="auto"/>
                <w:sz w:val="24"/>
                <w:szCs w:val="24"/>
                <w:highlight w:val="none"/>
              </w:rPr>
            </w:pPr>
          </w:p>
        </w:tc>
        <w:tc>
          <w:tcPr>
            <w:tcW w:w="7633" w:type="dxa"/>
            <w:vAlign w:val="center"/>
          </w:tcPr>
          <w:p>
            <w:pPr>
              <w:spacing w:line="360" w:lineRule="exact"/>
              <w:rPr>
                <w:rFonts w:hint="eastAsia" w:ascii="宋体" w:hAnsi="宋体" w:eastAsia="宋体" w:cs="宋体"/>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hint="eastAsia" w:ascii="宋体" w:hAnsi="宋体" w:eastAsia="宋体" w:cs="宋体"/>
                <w:color w:val="auto"/>
                <w:sz w:val="24"/>
                <w:szCs w:val="24"/>
                <w:highlight w:val="none"/>
              </w:rPr>
            </w:pPr>
          </w:p>
        </w:tc>
        <w:tc>
          <w:tcPr>
            <w:tcW w:w="7633" w:type="dxa"/>
            <w:vAlign w:val="center"/>
          </w:tcPr>
          <w:p>
            <w:pPr>
              <w:spacing w:line="3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hint="eastAsia" w:ascii="宋体" w:hAnsi="宋体" w:eastAsia="宋体" w:cs="宋体"/>
                <w:color w:val="auto"/>
                <w:sz w:val="24"/>
                <w:szCs w:val="24"/>
                <w:highlight w:val="none"/>
              </w:rPr>
            </w:pPr>
          </w:p>
        </w:tc>
        <w:tc>
          <w:tcPr>
            <w:tcW w:w="7633" w:type="dxa"/>
            <w:vAlign w:val="center"/>
          </w:tcPr>
          <w:p>
            <w:pPr>
              <w:spacing w:line="360" w:lineRule="exact"/>
              <w:rPr>
                <w:rFonts w:hint="eastAsia" w:ascii="宋体" w:hAnsi="宋体" w:eastAsia="宋体" w:cs="宋体"/>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hint="eastAsia" w:ascii="宋体" w:hAnsi="宋体" w:eastAsia="宋体" w:cs="宋体"/>
                <w:color w:val="auto"/>
                <w:sz w:val="24"/>
                <w:szCs w:val="24"/>
                <w:highlight w:val="none"/>
              </w:rPr>
            </w:pPr>
          </w:p>
        </w:tc>
        <w:tc>
          <w:tcPr>
            <w:tcW w:w="7633" w:type="dxa"/>
            <w:vAlign w:val="center"/>
          </w:tcPr>
          <w:p>
            <w:pPr>
              <w:spacing w:line="3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hint="eastAsia" w:ascii="宋体" w:hAnsi="宋体" w:eastAsia="宋体" w:cs="宋体"/>
                <w:color w:val="auto"/>
                <w:sz w:val="24"/>
                <w:szCs w:val="24"/>
                <w:highlight w:val="none"/>
              </w:rPr>
            </w:pPr>
          </w:p>
        </w:tc>
        <w:tc>
          <w:tcPr>
            <w:tcW w:w="7633" w:type="dxa"/>
            <w:vAlign w:val="center"/>
          </w:tcPr>
          <w:p>
            <w:pPr>
              <w:spacing w:line="360" w:lineRule="exact"/>
              <w:rPr>
                <w:rFonts w:hint="eastAsia" w:ascii="宋体" w:hAnsi="宋体" w:eastAsia="宋体" w:cs="宋体"/>
                <w:color w:val="auto"/>
                <w:sz w:val="24"/>
                <w:szCs w:val="24"/>
                <w:highlight w:val="none"/>
              </w:rPr>
            </w:pPr>
          </w:p>
        </w:tc>
      </w:tr>
    </w:tbl>
    <w:p>
      <w:pPr>
        <w:pStyle w:val="4"/>
        <w:spacing w:line="36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highlight w:val="none"/>
        </w:rPr>
      </w:pPr>
    </w:p>
    <w:p>
      <w:pPr>
        <w:rPr>
          <w:rFonts w:hint="eastAsia" w:ascii="微软雅黑" w:hAnsi="微软雅黑" w:eastAsia="微软雅黑" w:cs="微软雅黑"/>
          <w:color w:val="auto"/>
          <w:sz w:val="24"/>
          <w:szCs w:val="24"/>
          <w:highlight w:val="none"/>
        </w:rPr>
      </w:pPr>
    </w:p>
    <w:p>
      <w:pPr>
        <w:rPr>
          <w:rFonts w:hint="eastAsia" w:ascii="宋体" w:hAnsi="宋体" w:eastAsia="宋体" w:cs="宋体"/>
          <w:color w:val="auto"/>
          <w:highlight w:val="none"/>
        </w:rPr>
      </w:pPr>
    </w:p>
    <w:sectPr>
      <w:headerReference r:id="rId10" w:type="default"/>
      <w:footerReference r:id="rId11"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center"/>
    </w:pPr>
    <w:r>
      <w:rPr>
        <w:color w:val="800000"/>
      </w:rPr>
      <w:t>Add</w:t>
    </w:r>
    <w:r>
      <w:rPr>
        <w:rFonts w:hint="eastAsia" w:cs="宋体"/>
        <w:color w:val="800000"/>
      </w:rPr>
      <w:t>：喀什经济开发区深圳城3号楼12层1204</w:t>
    </w:r>
    <w:r>
      <w:rPr>
        <w:color w:val="800000"/>
      </w:rPr>
      <w:t xml:space="preserve"> </w:t>
    </w:r>
    <w:r>
      <w:rPr>
        <w:rFonts w:hint="eastAsia"/>
        <w:color w:val="FF0000"/>
      </w:rPr>
      <w:t xml:space="preserve">   </w:t>
    </w:r>
    <w:r>
      <w:rPr>
        <w:rFonts w:hint="eastAsia"/>
        <w:color w:val="FF0000"/>
        <w:lang w:val="en-US" w:eastAsia="zh-CN"/>
      </w:rPr>
      <w:t xml:space="preserve">             </w:t>
    </w:r>
    <w:r>
      <w:rPr>
        <w:color w:val="800000"/>
      </w:rPr>
      <w:t xml:space="preserve"> Tel</w:t>
    </w:r>
    <w:r>
      <w:rPr>
        <w:rFonts w:hint="eastAsia" w:cs="宋体"/>
        <w:color w:val="800000"/>
      </w:rPr>
      <w:t>：15099650569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036"/>
        <w:tab w:val="center" w:pos="4355"/>
        <w:tab w:val="right" w:pos="8312"/>
        <w:tab w:val="right" w:pos="8950"/>
      </w:tabs>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036"/>
        <w:tab w:val="center" w:pos="4355"/>
        <w:tab w:val="right" w:pos="8312"/>
        <w:tab w:val="right" w:pos="8950"/>
      </w:tabs>
      <w:ind w:right="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61</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cs="Times New Roman"/>
      </w:rP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rPr>
                              <w:rFonts w:cs="Times New Roman"/>
                            </w:rPr>
                          </w:pPr>
                          <w:r>
                            <w:fldChar w:fldCharType="begin"/>
                          </w:r>
                          <w:r>
                            <w:instrText xml:space="preserve"> PAGE  \* MERGEFORMAT </w:instrText>
                          </w:r>
                          <w:r>
                            <w:fldChar w:fldCharType="separate"/>
                          </w:r>
                          <w:r>
                            <w:t>213</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laJ7S/AQAAjAMAAA4AAABkcnMvZTJvRG9jLnhtbK1TS4rbQBDdB3KH&#10;pvexZA8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pWie0vwEAAIwDAAAOAAAAAAAAAAEAIAAAAB8BAABkcnMvZTJvRG9jLnhtbFBLBQYA&#10;AAAABgAGAFkBAABQBQAAAAA=&#10;">
              <v:fill on="f" focussize="0,0"/>
              <v:stroke on="f"/>
              <v:imagedata o:title=""/>
              <o:lock v:ext="edit" aspectratio="f"/>
              <v:textbox inset="0mm,0mm,0mm,0mm" style="mso-fit-shape-to-text:t;">
                <w:txbxContent>
                  <w:p>
                    <w:pPr>
                      <w:pStyle w:val="18"/>
                      <w:rPr>
                        <w:rFonts w:cs="Times New Roman"/>
                      </w:rPr>
                    </w:pPr>
                    <w:r>
                      <w:fldChar w:fldCharType="begin"/>
                    </w:r>
                    <w:r>
                      <w:instrText xml:space="preserve"> PAGE  \* MERGEFORMAT </w:instrText>
                    </w:r>
                    <w:r>
                      <w:fldChar w:fldCharType="separate"/>
                    </w:r>
                    <w:r>
                      <w:t>213</w:t>
                    </w:r>
                    <w:r>
                      <w:fldChar w:fldCharType="end"/>
                    </w:r>
                  </w:p>
                </w:txbxContent>
              </v:textbox>
            </v:rect>
          </w:pict>
        </mc:Fallback>
      </mc:AlternateContent>
    </w:r>
  </w:p>
  <w:p>
    <w:pPr>
      <w:pStyle w:val="18"/>
      <w:ind w:right="360"/>
      <w:jc w:val="center"/>
      <w:rPr>
        <w:rFonts w:cs="Times New Roman"/>
      </w:rPr>
    </w:pPr>
    <w:r>
      <w:rPr>
        <w:color w:val="800000"/>
      </w:rPr>
      <w:t>Add</w:t>
    </w:r>
    <w:r>
      <w:rPr>
        <w:rFonts w:hint="eastAsia"/>
        <w:color w:val="800000"/>
      </w:rPr>
      <w:t>：喀什经济开发区深圳城3号楼12层1204</w:t>
    </w:r>
    <w:r>
      <w:rPr>
        <w:color w:val="800000"/>
      </w:rPr>
      <w:t xml:space="preserve">        Tel</w:t>
    </w:r>
    <w:r>
      <w:rPr>
        <w:rFonts w:hint="eastAsia"/>
        <w:color w:val="800000"/>
      </w:rPr>
      <w:t xml:space="preserve">：15099650569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80</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18"/>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double" w:color="auto" w:sz="8" w:space="0"/>
      </w:pBdr>
      <w:jc w:val="left"/>
    </w:pPr>
    <w:r>
      <w:drawing>
        <wp:inline distT="0" distB="0" distL="114300" distR="114300">
          <wp:extent cx="991235" cy="633095"/>
          <wp:effectExtent l="0" t="0" r="18415" b="1460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7" o:spid="_x0000_s2057" o:spt="136" type="#_x0000_t136" style="position:absolute;left:0pt;margin-left:67.2pt;margin-top:32.95pt;height:15.6pt;width:152.25pt;z-index:251661312;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double" w:color="auto" w:sz="8" w:space="0"/>
      </w:pBdr>
      <w:jc w:val="left"/>
    </w:pPr>
    <w:r>
      <w:drawing>
        <wp:inline distT="0" distB="0" distL="114300" distR="114300">
          <wp:extent cx="991235" cy="633095"/>
          <wp:effectExtent l="0" t="0" r="1841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0" o:spid="_x0000_s2050" o:spt="136" type="#_x0000_t136" style="position:absolute;left:0pt;margin-left:67.2pt;margin-top:32.2pt;height:15.6pt;width:152.25pt;z-index:251660288;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double" w:color="auto" w:sz="8" w:space="0"/>
      </w:pBdr>
      <w:jc w:val="left"/>
    </w:pPr>
    <w:r>
      <w:drawing>
        <wp:inline distT="0" distB="0" distL="114300" distR="114300">
          <wp:extent cx="991235" cy="633095"/>
          <wp:effectExtent l="0" t="0" r="18415" b="146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6" o:spid="_x0000_s2056" o:spt="136" type="#_x0000_t136" style="position:absolute;left:0pt;margin-left:67.2pt;margin-top:32.2pt;height:15.6pt;width:152.25pt;z-index:251662336;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double" w:color="auto" w:sz="8" w:space="0"/>
      </w:pBdr>
      <w:jc w:val="left"/>
    </w:pPr>
    <w:r>
      <w:drawing>
        <wp:inline distT="0" distB="0" distL="114300" distR="114300">
          <wp:extent cx="991235" cy="633095"/>
          <wp:effectExtent l="0" t="0" r="18415" b="1460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3" o:spid="_x0000_s2053" o:spt="136" type="#_x0000_t136" style="position:absolute;left:0pt;margin-left:66.35pt;margin-top:32.95pt;height:15.6pt;width:152.25pt;z-index:251661312;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p>
    <w:pPr>
      <w:pStyle w:val="19"/>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8F810"/>
    <w:multiLevelType w:val="singleLevel"/>
    <w:tmpl w:val="AD98F810"/>
    <w:lvl w:ilvl="0" w:tentative="0">
      <w:start w:val="1"/>
      <w:numFmt w:val="chineseCounting"/>
      <w:suff w:val="nothing"/>
      <w:lvlText w:val="%1、"/>
      <w:lvlJc w:val="left"/>
      <w:rPr>
        <w:rFonts w:hint="eastAsia"/>
      </w:rPr>
    </w:lvl>
  </w:abstractNum>
  <w:abstractNum w:abstractNumId="1">
    <w:nsid w:val="C06DF3AE"/>
    <w:multiLevelType w:val="singleLevel"/>
    <w:tmpl w:val="C06DF3AE"/>
    <w:lvl w:ilvl="0" w:tentative="0">
      <w:start w:val="1"/>
      <w:numFmt w:val="decimal"/>
      <w:lvlText w:val="%1."/>
      <w:lvlJc w:val="left"/>
      <w:pPr>
        <w:tabs>
          <w:tab w:val="left" w:pos="312"/>
        </w:tabs>
      </w:pPr>
    </w:lvl>
  </w:abstractNum>
  <w:abstractNum w:abstractNumId="2">
    <w:nsid w:val="C1258253"/>
    <w:multiLevelType w:val="singleLevel"/>
    <w:tmpl w:val="C1258253"/>
    <w:lvl w:ilvl="0" w:tentative="0">
      <w:start w:val="1"/>
      <w:numFmt w:val="decimal"/>
      <w:suff w:val="space"/>
      <w:lvlText w:val="%1."/>
      <w:lvlJc w:val="left"/>
    </w:lvl>
  </w:abstractNum>
  <w:abstractNum w:abstractNumId="3">
    <w:nsid w:val="E54B4528"/>
    <w:multiLevelType w:val="singleLevel"/>
    <w:tmpl w:val="E54B4528"/>
    <w:lvl w:ilvl="0" w:tentative="0">
      <w:start w:val="1"/>
      <w:numFmt w:val="decimal"/>
      <w:lvlText w:val="%1."/>
      <w:lvlJc w:val="left"/>
      <w:pPr>
        <w:tabs>
          <w:tab w:val="left" w:pos="312"/>
        </w:tabs>
      </w:pPr>
    </w:lvl>
  </w:abstractNum>
  <w:abstractNum w:abstractNumId="4">
    <w:nsid w:val="F403CB0C"/>
    <w:multiLevelType w:val="singleLevel"/>
    <w:tmpl w:val="F403CB0C"/>
    <w:lvl w:ilvl="0" w:tentative="0">
      <w:start w:val="1"/>
      <w:numFmt w:val="decimal"/>
      <w:lvlText w:val="(%1)"/>
      <w:lvlJc w:val="left"/>
      <w:pPr>
        <w:ind w:left="425" w:hanging="425"/>
      </w:pPr>
      <w:rPr>
        <w:rFonts w:hint="default"/>
      </w:rPr>
    </w:lvl>
  </w:abstractNum>
  <w:abstractNum w:abstractNumId="5">
    <w:nsid w:val="FC0EBCA3"/>
    <w:multiLevelType w:val="singleLevel"/>
    <w:tmpl w:val="FC0EBCA3"/>
    <w:lvl w:ilvl="0" w:tentative="0">
      <w:start w:val="1"/>
      <w:numFmt w:val="decimal"/>
      <w:suff w:val="nothing"/>
      <w:lvlText w:val="%1、"/>
      <w:lvlJc w:val="left"/>
    </w:lvl>
  </w:abstractNum>
  <w:abstractNum w:abstractNumId="6">
    <w:nsid w:val="00000000"/>
    <w:multiLevelType w:val="multilevel"/>
    <w:tmpl w:val="00000000"/>
    <w:lvl w:ilvl="0" w:tentative="0">
      <w:start w:val="5"/>
      <w:numFmt w:val="decimal"/>
      <w:suff w:val="space"/>
      <w:lvlText w:val="第%1章"/>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1"/>
    <w:multiLevelType w:val="singleLevel"/>
    <w:tmpl w:val="00000001"/>
    <w:lvl w:ilvl="0" w:tentative="0">
      <w:start w:val="1"/>
      <w:numFmt w:val="decimal"/>
      <w:suff w:val="space"/>
      <w:lvlText w:val="%1."/>
      <w:lvlJc w:val="left"/>
    </w:lvl>
  </w:abstractNum>
  <w:abstractNum w:abstractNumId="8">
    <w:nsid w:val="00000006"/>
    <w:multiLevelType w:val="multilevel"/>
    <w:tmpl w:val="00000006"/>
    <w:lvl w:ilvl="0" w:tentative="0">
      <w:start w:val="1"/>
      <w:numFmt w:val="upperLetter"/>
      <w:pStyle w:val="35"/>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9">
    <w:nsid w:val="00000008"/>
    <w:multiLevelType w:val="multilevel"/>
    <w:tmpl w:val="00000008"/>
    <w:lvl w:ilvl="0" w:tentative="0">
      <w:start w:val="1"/>
      <w:numFmt w:val="decimal"/>
      <w:lvlText w:val="%1"/>
      <w:lvlJc w:val="left"/>
      <w:pPr>
        <w:ind w:left="432" w:hanging="432"/>
      </w:pPr>
      <w:rPr>
        <w:rFonts w:hint="eastAsia"/>
      </w:rPr>
    </w:lvl>
    <w:lvl w:ilvl="1" w:tentative="0">
      <w:start w:val="1"/>
      <w:numFmt w:val="decimal"/>
      <w:pStyle w:val="76"/>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0">
    <w:nsid w:val="059455E6"/>
    <w:multiLevelType w:val="singleLevel"/>
    <w:tmpl w:val="059455E6"/>
    <w:lvl w:ilvl="0" w:tentative="0">
      <w:start w:val="1"/>
      <w:numFmt w:val="chineseCounting"/>
      <w:suff w:val="nothing"/>
      <w:lvlText w:val="%1、"/>
      <w:lvlJc w:val="left"/>
      <w:rPr>
        <w:rFonts w:hint="eastAsia"/>
      </w:rPr>
    </w:lvl>
  </w:abstractNum>
  <w:abstractNum w:abstractNumId="11">
    <w:nsid w:val="15570663"/>
    <w:multiLevelType w:val="singleLevel"/>
    <w:tmpl w:val="15570663"/>
    <w:lvl w:ilvl="0" w:tentative="0">
      <w:start w:val="3"/>
      <w:numFmt w:val="decimal"/>
      <w:suff w:val="space"/>
      <w:lvlText w:val="第%1章"/>
      <w:lvlJc w:val="left"/>
    </w:lvl>
  </w:abstractNum>
  <w:abstractNum w:abstractNumId="12">
    <w:nsid w:val="15C13DBC"/>
    <w:multiLevelType w:val="multilevel"/>
    <w:tmpl w:val="15C13DB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895A211"/>
    <w:multiLevelType w:val="singleLevel"/>
    <w:tmpl w:val="2895A211"/>
    <w:lvl w:ilvl="0" w:tentative="0">
      <w:start w:val="1"/>
      <w:numFmt w:val="chineseCounting"/>
      <w:suff w:val="nothing"/>
      <w:lvlText w:val="%1、"/>
      <w:lvlJc w:val="left"/>
      <w:rPr>
        <w:rFonts w:hint="eastAsia"/>
      </w:rPr>
    </w:lvl>
  </w:abstractNum>
  <w:abstractNum w:abstractNumId="14">
    <w:nsid w:val="292ECA73"/>
    <w:multiLevelType w:val="singleLevel"/>
    <w:tmpl w:val="292ECA73"/>
    <w:lvl w:ilvl="0" w:tentative="0">
      <w:start w:val="2"/>
      <w:numFmt w:val="decimal"/>
      <w:suff w:val="nothing"/>
      <w:lvlText w:val="%1、"/>
      <w:lvlJc w:val="left"/>
    </w:lvl>
  </w:abstractNum>
  <w:abstractNum w:abstractNumId="15">
    <w:nsid w:val="2A69595C"/>
    <w:multiLevelType w:val="singleLevel"/>
    <w:tmpl w:val="2A69595C"/>
    <w:lvl w:ilvl="0" w:tentative="0">
      <w:start w:val="1"/>
      <w:numFmt w:val="chineseCounting"/>
      <w:suff w:val="nothing"/>
      <w:lvlText w:val="%1、"/>
      <w:lvlJc w:val="left"/>
      <w:rPr>
        <w:rFonts w:hint="eastAsia"/>
      </w:rPr>
    </w:lvl>
  </w:abstractNum>
  <w:abstractNum w:abstractNumId="16">
    <w:nsid w:val="4169C581"/>
    <w:multiLevelType w:val="singleLevel"/>
    <w:tmpl w:val="4169C581"/>
    <w:lvl w:ilvl="0" w:tentative="0">
      <w:start w:val="1"/>
      <w:numFmt w:val="decimal"/>
      <w:lvlText w:val="%1."/>
      <w:lvlJc w:val="left"/>
      <w:pPr>
        <w:tabs>
          <w:tab w:val="left" w:pos="312"/>
        </w:tabs>
      </w:pPr>
    </w:lvl>
  </w:abstractNum>
  <w:abstractNum w:abstractNumId="17">
    <w:nsid w:val="5DC0D411"/>
    <w:multiLevelType w:val="singleLevel"/>
    <w:tmpl w:val="5DC0D411"/>
    <w:lvl w:ilvl="0" w:tentative="0">
      <w:start w:val="1"/>
      <w:numFmt w:val="decimal"/>
      <w:lvlText w:val="%1."/>
      <w:lvlJc w:val="left"/>
      <w:pPr>
        <w:tabs>
          <w:tab w:val="left" w:pos="312"/>
        </w:tabs>
      </w:pPr>
    </w:lvl>
  </w:abstractNum>
  <w:abstractNum w:abstractNumId="18">
    <w:nsid w:val="6E7CDB0F"/>
    <w:multiLevelType w:val="singleLevel"/>
    <w:tmpl w:val="6E7CDB0F"/>
    <w:lvl w:ilvl="0" w:tentative="0">
      <w:start w:val="23"/>
      <w:numFmt w:val="decimal"/>
      <w:suff w:val="nothing"/>
      <w:lvlText w:val="%1、"/>
      <w:lvlJc w:val="left"/>
      <w:pPr>
        <w:ind w:left="210" w:leftChars="0" w:firstLine="0" w:firstLineChars="0"/>
      </w:pPr>
    </w:lvl>
  </w:abstractNum>
  <w:abstractNum w:abstractNumId="19">
    <w:nsid w:val="7B4CEA31"/>
    <w:multiLevelType w:val="singleLevel"/>
    <w:tmpl w:val="7B4CEA31"/>
    <w:lvl w:ilvl="0" w:tentative="0">
      <w:start w:val="1"/>
      <w:numFmt w:val="bullet"/>
      <w:pStyle w:val="10"/>
      <w:lvlText w:val=""/>
      <w:lvlJc w:val="left"/>
      <w:pPr>
        <w:tabs>
          <w:tab w:val="left" w:pos="360"/>
        </w:tabs>
        <w:ind w:left="780" w:hanging="360"/>
      </w:pPr>
      <w:rPr>
        <w:rFonts w:hint="default" w:ascii="Wingdings" w:hAnsi="Wingdings"/>
      </w:rPr>
    </w:lvl>
  </w:abstractNum>
  <w:num w:numId="1">
    <w:abstractNumId w:val="19"/>
  </w:num>
  <w:num w:numId="2">
    <w:abstractNumId w:val="8"/>
  </w:num>
  <w:num w:numId="3">
    <w:abstractNumId w:val="9"/>
  </w:num>
  <w:num w:numId="4">
    <w:abstractNumId w:val="7"/>
  </w:num>
  <w:num w:numId="5">
    <w:abstractNumId w:val="4"/>
  </w:num>
  <w:num w:numId="6">
    <w:abstractNumId w:val="14"/>
  </w:num>
  <w:num w:numId="7">
    <w:abstractNumId w:val="11"/>
  </w:num>
  <w:num w:numId="8">
    <w:abstractNumId w:val="6"/>
  </w:num>
  <w:num w:numId="9">
    <w:abstractNumId w:val="10"/>
  </w:num>
  <w:num w:numId="10">
    <w:abstractNumId w:val="5"/>
  </w:num>
  <w:num w:numId="11">
    <w:abstractNumId w:val="15"/>
  </w:num>
  <w:num w:numId="12">
    <w:abstractNumId w:val="1"/>
  </w:num>
  <w:num w:numId="13">
    <w:abstractNumId w:val="0"/>
  </w:num>
  <w:num w:numId="14">
    <w:abstractNumId w:val="3"/>
  </w:num>
  <w:num w:numId="15">
    <w:abstractNumId w:val="18"/>
  </w:num>
  <w:num w:numId="16">
    <w:abstractNumId w:val="17"/>
  </w:num>
  <w:num w:numId="17">
    <w:abstractNumId w:val="13"/>
  </w:num>
  <w:num w:numId="18">
    <w:abstractNumId w:val="2"/>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NDRjMDE4MTZjZWNkYjFhNTdlYTUyOWYzOGE0NmIifQ=="/>
  </w:docVars>
  <w:rsids>
    <w:rsidRoot w:val="00000000"/>
    <w:rsid w:val="00863900"/>
    <w:rsid w:val="008B5614"/>
    <w:rsid w:val="008F55A2"/>
    <w:rsid w:val="00CA393D"/>
    <w:rsid w:val="00E9070B"/>
    <w:rsid w:val="00ED3BD8"/>
    <w:rsid w:val="01113BE8"/>
    <w:rsid w:val="01167E54"/>
    <w:rsid w:val="01232ED2"/>
    <w:rsid w:val="01543C57"/>
    <w:rsid w:val="018E5EAD"/>
    <w:rsid w:val="0193643F"/>
    <w:rsid w:val="028640C6"/>
    <w:rsid w:val="02C44E0D"/>
    <w:rsid w:val="02C933CD"/>
    <w:rsid w:val="02CE6AA2"/>
    <w:rsid w:val="02D12F80"/>
    <w:rsid w:val="02F600D8"/>
    <w:rsid w:val="039F5DBA"/>
    <w:rsid w:val="03A0674B"/>
    <w:rsid w:val="0418202A"/>
    <w:rsid w:val="045A5893"/>
    <w:rsid w:val="04BA4933"/>
    <w:rsid w:val="04E657FD"/>
    <w:rsid w:val="04E84DE3"/>
    <w:rsid w:val="052B035A"/>
    <w:rsid w:val="05852631"/>
    <w:rsid w:val="05EC0902"/>
    <w:rsid w:val="061340E1"/>
    <w:rsid w:val="0676641E"/>
    <w:rsid w:val="07794418"/>
    <w:rsid w:val="077961C6"/>
    <w:rsid w:val="079F3753"/>
    <w:rsid w:val="07B151E2"/>
    <w:rsid w:val="08E55999"/>
    <w:rsid w:val="097C0C70"/>
    <w:rsid w:val="09A23526"/>
    <w:rsid w:val="09BB0CBB"/>
    <w:rsid w:val="09C15C02"/>
    <w:rsid w:val="09F15254"/>
    <w:rsid w:val="0A1301F9"/>
    <w:rsid w:val="0A47752F"/>
    <w:rsid w:val="0A726EFC"/>
    <w:rsid w:val="0AE159B5"/>
    <w:rsid w:val="0AE164CD"/>
    <w:rsid w:val="0AF04068"/>
    <w:rsid w:val="0B0271D6"/>
    <w:rsid w:val="0B6B1458"/>
    <w:rsid w:val="0B877DA7"/>
    <w:rsid w:val="0BD50385"/>
    <w:rsid w:val="0BED7182"/>
    <w:rsid w:val="0BF452CC"/>
    <w:rsid w:val="0C291FD0"/>
    <w:rsid w:val="0C5773F2"/>
    <w:rsid w:val="0C88091B"/>
    <w:rsid w:val="0CBD4DA7"/>
    <w:rsid w:val="0D752E43"/>
    <w:rsid w:val="0D755C6E"/>
    <w:rsid w:val="0DE8390A"/>
    <w:rsid w:val="0DED20CB"/>
    <w:rsid w:val="0DF73E12"/>
    <w:rsid w:val="0DF908F1"/>
    <w:rsid w:val="0E055B81"/>
    <w:rsid w:val="0E4D6E48"/>
    <w:rsid w:val="0E545297"/>
    <w:rsid w:val="0E6354DA"/>
    <w:rsid w:val="0EEF72C3"/>
    <w:rsid w:val="0F0F2FF0"/>
    <w:rsid w:val="0F22091C"/>
    <w:rsid w:val="0F2F0A8D"/>
    <w:rsid w:val="0F8E28B0"/>
    <w:rsid w:val="0FB32592"/>
    <w:rsid w:val="10E717FE"/>
    <w:rsid w:val="110E4628"/>
    <w:rsid w:val="111807FE"/>
    <w:rsid w:val="11461E95"/>
    <w:rsid w:val="119245C3"/>
    <w:rsid w:val="11B36778"/>
    <w:rsid w:val="11D06144"/>
    <w:rsid w:val="11F70BAD"/>
    <w:rsid w:val="1216487A"/>
    <w:rsid w:val="12307DC9"/>
    <w:rsid w:val="125A0235"/>
    <w:rsid w:val="12E545B5"/>
    <w:rsid w:val="130B37CA"/>
    <w:rsid w:val="13135720"/>
    <w:rsid w:val="137E6F86"/>
    <w:rsid w:val="13986027"/>
    <w:rsid w:val="141A7729"/>
    <w:rsid w:val="14795A57"/>
    <w:rsid w:val="1527611E"/>
    <w:rsid w:val="15891CCA"/>
    <w:rsid w:val="159614F6"/>
    <w:rsid w:val="15EE4BD2"/>
    <w:rsid w:val="1619511E"/>
    <w:rsid w:val="1632244D"/>
    <w:rsid w:val="1695644C"/>
    <w:rsid w:val="16A03006"/>
    <w:rsid w:val="16A51AF0"/>
    <w:rsid w:val="16AE0F05"/>
    <w:rsid w:val="16FA6804"/>
    <w:rsid w:val="171D0913"/>
    <w:rsid w:val="17A81710"/>
    <w:rsid w:val="181510CD"/>
    <w:rsid w:val="181C5ABA"/>
    <w:rsid w:val="18274FE5"/>
    <w:rsid w:val="183D5900"/>
    <w:rsid w:val="186B3D0A"/>
    <w:rsid w:val="18723F5C"/>
    <w:rsid w:val="187F5FA7"/>
    <w:rsid w:val="18D56FD4"/>
    <w:rsid w:val="18EE61CC"/>
    <w:rsid w:val="19522771"/>
    <w:rsid w:val="1A19736B"/>
    <w:rsid w:val="1AF916A0"/>
    <w:rsid w:val="1B1B5E81"/>
    <w:rsid w:val="1B357BC4"/>
    <w:rsid w:val="1BF5307A"/>
    <w:rsid w:val="1C082EAF"/>
    <w:rsid w:val="1C403CF9"/>
    <w:rsid w:val="1C6D3862"/>
    <w:rsid w:val="1C9B764B"/>
    <w:rsid w:val="1CF12B0A"/>
    <w:rsid w:val="1D2948C8"/>
    <w:rsid w:val="1D9860A8"/>
    <w:rsid w:val="1DE2466D"/>
    <w:rsid w:val="1DE34693"/>
    <w:rsid w:val="1DFE521F"/>
    <w:rsid w:val="1E470974"/>
    <w:rsid w:val="1E7D391B"/>
    <w:rsid w:val="1EEF0FDD"/>
    <w:rsid w:val="1F15084D"/>
    <w:rsid w:val="1F947BE9"/>
    <w:rsid w:val="1FC1794F"/>
    <w:rsid w:val="1FCE183E"/>
    <w:rsid w:val="1FE17C4F"/>
    <w:rsid w:val="20271416"/>
    <w:rsid w:val="2081266D"/>
    <w:rsid w:val="20AC0F62"/>
    <w:rsid w:val="21115269"/>
    <w:rsid w:val="21951546"/>
    <w:rsid w:val="21C347B6"/>
    <w:rsid w:val="21F91F85"/>
    <w:rsid w:val="221757C0"/>
    <w:rsid w:val="2218724A"/>
    <w:rsid w:val="22631AF5"/>
    <w:rsid w:val="22A85385"/>
    <w:rsid w:val="22C11787"/>
    <w:rsid w:val="234D57FF"/>
    <w:rsid w:val="236B5108"/>
    <w:rsid w:val="23760FAF"/>
    <w:rsid w:val="23B43A1C"/>
    <w:rsid w:val="23BC14BC"/>
    <w:rsid w:val="23FC3FAF"/>
    <w:rsid w:val="24173D1E"/>
    <w:rsid w:val="24727DCD"/>
    <w:rsid w:val="24730D3D"/>
    <w:rsid w:val="24742FD5"/>
    <w:rsid w:val="24E81E7A"/>
    <w:rsid w:val="25050C41"/>
    <w:rsid w:val="25897AC4"/>
    <w:rsid w:val="258B3780"/>
    <w:rsid w:val="25AD597E"/>
    <w:rsid w:val="25BD716E"/>
    <w:rsid w:val="26013AFE"/>
    <w:rsid w:val="260F3796"/>
    <w:rsid w:val="26155733"/>
    <w:rsid w:val="262E7315"/>
    <w:rsid w:val="26435EC5"/>
    <w:rsid w:val="26492DAF"/>
    <w:rsid w:val="265C6F87"/>
    <w:rsid w:val="26FF44AC"/>
    <w:rsid w:val="27377876"/>
    <w:rsid w:val="273F5314"/>
    <w:rsid w:val="275814FC"/>
    <w:rsid w:val="278B0519"/>
    <w:rsid w:val="280150BB"/>
    <w:rsid w:val="28414686"/>
    <w:rsid w:val="29213387"/>
    <w:rsid w:val="292E4753"/>
    <w:rsid w:val="293F73DB"/>
    <w:rsid w:val="29565CAA"/>
    <w:rsid w:val="295D5ECC"/>
    <w:rsid w:val="29AE0690"/>
    <w:rsid w:val="29CC7F7F"/>
    <w:rsid w:val="2A19501B"/>
    <w:rsid w:val="2A4E308A"/>
    <w:rsid w:val="2A53693E"/>
    <w:rsid w:val="2AE8528D"/>
    <w:rsid w:val="2AEC3952"/>
    <w:rsid w:val="2B676177"/>
    <w:rsid w:val="2B9351F9"/>
    <w:rsid w:val="2C0E487F"/>
    <w:rsid w:val="2C267E1B"/>
    <w:rsid w:val="2C321B61"/>
    <w:rsid w:val="2C815237"/>
    <w:rsid w:val="2CA8472E"/>
    <w:rsid w:val="2CB42979"/>
    <w:rsid w:val="2CE87255"/>
    <w:rsid w:val="2D525D6B"/>
    <w:rsid w:val="2D875092"/>
    <w:rsid w:val="2DEB5BE1"/>
    <w:rsid w:val="2E6611AB"/>
    <w:rsid w:val="2EAF0EA5"/>
    <w:rsid w:val="2EB340E2"/>
    <w:rsid w:val="2F1A178D"/>
    <w:rsid w:val="2F5B5537"/>
    <w:rsid w:val="2F807842"/>
    <w:rsid w:val="303E36CC"/>
    <w:rsid w:val="30BF3ADC"/>
    <w:rsid w:val="30EF1AB0"/>
    <w:rsid w:val="313D032A"/>
    <w:rsid w:val="318D6246"/>
    <w:rsid w:val="31BE28A4"/>
    <w:rsid w:val="32153953"/>
    <w:rsid w:val="3229046F"/>
    <w:rsid w:val="32497951"/>
    <w:rsid w:val="32C65816"/>
    <w:rsid w:val="32CA760E"/>
    <w:rsid w:val="330F7799"/>
    <w:rsid w:val="3321758E"/>
    <w:rsid w:val="333A23FE"/>
    <w:rsid w:val="338E62A6"/>
    <w:rsid w:val="33A87367"/>
    <w:rsid w:val="33F0165A"/>
    <w:rsid w:val="3478050E"/>
    <w:rsid w:val="347C7A35"/>
    <w:rsid w:val="347D6AEA"/>
    <w:rsid w:val="34BE07C5"/>
    <w:rsid w:val="34F8431E"/>
    <w:rsid w:val="359F479A"/>
    <w:rsid w:val="35B84AA5"/>
    <w:rsid w:val="35FE5964"/>
    <w:rsid w:val="36085620"/>
    <w:rsid w:val="3696316C"/>
    <w:rsid w:val="36B50655"/>
    <w:rsid w:val="36C95B54"/>
    <w:rsid w:val="36FD79CA"/>
    <w:rsid w:val="374A67D1"/>
    <w:rsid w:val="376A384F"/>
    <w:rsid w:val="37931EDE"/>
    <w:rsid w:val="37B96EDA"/>
    <w:rsid w:val="37CF1C23"/>
    <w:rsid w:val="381C6576"/>
    <w:rsid w:val="38611277"/>
    <w:rsid w:val="38650A07"/>
    <w:rsid w:val="38765C86"/>
    <w:rsid w:val="38EB5D16"/>
    <w:rsid w:val="38F4107D"/>
    <w:rsid w:val="393A3157"/>
    <w:rsid w:val="393F251C"/>
    <w:rsid w:val="394C6598"/>
    <w:rsid w:val="395B08C6"/>
    <w:rsid w:val="39C958C2"/>
    <w:rsid w:val="39F72DF7"/>
    <w:rsid w:val="3A597169"/>
    <w:rsid w:val="3A5E4C24"/>
    <w:rsid w:val="3A663AD8"/>
    <w:rsid w:val="3A9074E5"/>
    <w:rsid w:val="3B16488B"/>
    <w:rsid w:val="3B47390A"/>
    <w:rsid w:val="3BA60209"/>
    <w:rsid w:val="3BB51310"/>
    <w:rsid w:val="3BC431AC"/>
    <w:rsid w:val="3C2B322B"/>
    <w:rsid w:val="3C662706"/>
    <w:rsid w:val="3C873BCD"/>
    <w:rsid w:val="3D960B78"/>
    <w:rsid w:val="3D963B59"/>
    <w:rsid w:val="3DE713D4"/>
    <w:rsid w:val="3DFC4E7F"/>
    <w:rsid w:val="3E57556B"/>
    <w:rsid w:val="3E7762B4"/>
    <w:rsid w:val="3F3D74FE"/>
    <w:rsid w:val="3F3E5024"/>
    <w:rsid w:val="3FBE071F"/>
    <w:rsid w:val="40460634"/>
    <w:rsid w:val="40754AB5"/>
    <w:rsid w:val="40AA2996"/>
    <w:rsid w:val="40EC2BD2"/>
    <w:rsid w:val="40ED6D01"/>
    <w:rsid w:val="40FA54E1"/>
    <w:rsid w:val="411A4896"/>
    <w:rsid w:val="415079EC"/>
    <w:rsid w:val="41901CF6"/>
    <w:rsid w:val="41A43B51"/>
    <w:rsid w:val="41AA074E"/>
    <w:rsid w:val="41BE18F4"/>
    <w:rsid w:val="41D762B3"/>
    <w:rsid w:val="41DD0B24"/>
    <w:rsid w:val="42637373"/>
    <w:rsid w:val="42876CE2"/>
    <w:rsid w:val="42B1476A"/>
    <w:rsid w:val="42FB692A"/>
    <w:rsid w:val="43486CC5"/>
    <w:rsid w:val="43931DE2"/>
    <w:rsid w:val="43D30AB1"/>
    <w:rsid w:val="441A605F"/>
    <w:rsid w:val="441B178E"/>
    <w:rsid w:val="443B360A"/>
    <w:rsid w:val="447B7500"/>
    <w:rsid w:val="44FF6C65"/>
    <w:rsid w:val="45437C05"/>
    <w:rsid w:val="457C0654"/>
    <w:rsid w:val="45CB4493"/>
    <w:rsid w:val="46F16DC0"/>
    <w:rsid w:val="46FC6DA9"/>
    <w:rsid w:val="472B6830"/>
    <w:rsid w:val="478A4058"/>
    <w:rsid w:val="47B36A7D"/>
    <w:rsid w:val="482A2377"/>
    <w:rsid w:val="49C10EDE"/>
    <w:rsid w:val="49E669E4"/>
    <w:rsid w:val="49E84B3E"/>
    <w:rsid w:val="4AB51909"/>
    <w:rsid w:val="4AE4089B"/>
    <w:rsid w:val="4B215F25"/>
    <w:rsid w:val="4B900241"/>
    <w:rsid w:val="4BD257FF"/>
    <w:rsid w:val="4C0B20AC"/>
    <w:rsid w:val="4C0E0A88"/>
    <w:rsid w:val="4C404246"/>
    <w:rsid w:val="4C447326"/>
    <w:rsid w:val="4CA8313E"/>
    <w:rsid w:val="4CD6614F"/>
    <w:rsid w:val="4D2E651B"/>
    <w:rsid w:val="4D6537ED"/>
    <w:rsid w:val="4D9C043D"/>
    <w:rsid w:val="4DC96400"/>
    <w:rsid w:val="4DD07217"/>
    <w:rsid w:val="4E730189"/>
    <w:rsid w:val="4E9A51BD"/>
    <w:rsid w:val="4EE20E99"/>
    <w:rsid w:val="4F2215D0"/>
    <w:rsid w:val="4F7B68B8"/>
    <w:rsid w:val="505952A8"/>
    <w:rsid w:val="50680152"/>
    <w:rsid w:val="508272CB"/>
    <w:rsid w:val="50C01D3C"/>
    <w:rsid w:val="50E24A7A"/>
    <w:rsid w:val="50EB690D"/>
    <w:rsid w:val="516721B8"/>
    <w:rsid w:val="521F2C23"/>
    <w:rsid w:val="522E2CD6"/>
    <w:rsid w:val="527E2D88"/>
    <w:rsid w:val="52A77B72"/>
    <w:rsid w:val="52AB64C9"/>
    <w:rsid w:val="52CC58BD"/>
    <w:rsid w:val="53266B82"/>
    <w:rsid w:val="533566E2"/>
    <w:rsid w:val="53571B06"/>
    <w:rsid w:val="5358203B"/>
    <w:rsid w:val="536410A5"/>
    <w:rsid w:val="53F04A79"/>
    <w:rsid w:val="541272AD"/>
    <w:rsid w:val="545E381E"/>
    <w:rsid w:val="54713A69"/>
    <w:rsid w:val="55AD7B58"/>
    <w:rsid w:val="55C2118D"/>
    <w:rsid w:val="55E91811"/>
    <w:rsid w:val="561D373C"/>
    <w:rsid w:val="56B263BD"/>
    <w:rsid w:val="56C64E1E"/>
    <w:rsid w:val="570801F7"/>
    <w:rsid w:val="572218EB"/>
    <w:rsid w:val="578C4726"/>
    <w:rsid w:val="57DB1969"/>
    <w:rsid w:val="57DC35D4"/>
    <w:rsid w:val="58414C98"/>
    <w:rsid w:val="589C4E3D"/>
    <w:rsid w:val="58BD72B9"/>
    <w:rsid w:val="58D83CE6"/>
    <w:rsid w:val="58D97E3F"/>
    <w:rsid w:val="590257DE"/>
    <w:rsid w:val="59271E78"/>
    <w:rsid w:val="598552E1"/>
    <w:rsid w:val="599E4BE5"/>
    <w:rsid w:val="59EE16C8"/>
    <w:rsid w:val="5A315128"/>
    <w:rsid w:val="5A407A4A"/>
    <w:rsid w:val="5AE9521C"/>
    <w:rsid w:val="5B0777BA"/>
    <w:rsid w:val="5B1D1B6B"/>
    <w:rsid w:val="5B24561F"/>
    <w:rsid w:val="5C7550A1"/>
    <w:rsid w:val="5C78796F"/>
    <w:rsid w:val="5C8E3664"/>
    <w:rsid w:val="5CCD43B0"/>
    <w:rsid w:val="5CDD7F3F"/>
    <w:rsid w:val="5CF96FBB"/>
    <w:rsid w:val="5CFA452A"/>
    <w:rsid w:val="5D113D62"/>
    <w:rsid w:val="5D2F3A4B"/>
    <w:rsid w:val="5D426A44"/>
    <w:rsid w:val="5DA276BA"/>
    <w:rsid w:val="5DC70396"/>
    <w:rsid w:val="5DFB6ACD"/>
    <w:rsid w:val="5DFF2FDE"/>
    <w:rsid w:val="5E6A0C09"/>
    <w:rsid w:val="5E744166"/>
    <w:rsid w:val="5EC24ED2"/>
    <w:rsid w:val="5F014280"/>
    <w:rsid w:val="5F2D46F6"/>
    <w:rsid w:val="5FF570A8"/>
    <w:rsid w:val="5FF817A8"/>
    <w:rsid w:val="600D7E7B"/>
    <w:rsid w:val="603742CF"/>
    <w:rsid w:val="60804663"/>
    <w:rsid w:val="60885312"/>
    <w:rsid w:val="60956CE9"/>
    <w:rsid w:val="60A55548"/>
    <w:rsid w:val="61502C69"/>
    <w:rsid w:val="616A36D6"/>
    <w:rsid w:val="617552F1"/>
    <w:rsid w:val="625B3673"/>
    <w:rsid w:val="62686452"/>
    <w:rsid w:val="627F5FE9"/>
    <w:rsid w:val="62CA25A7"/>
    <w:rsid w:val="62E36867"/>
    <w:rsid w:val="62F45876"/>
    <w:rsid w:val="637738FC"/>
    <w:rsid w:val="638C2C56"/>
    <w:rsid w:val="63D10E36"/>
    <w:rsid w:val="64017140"/>
    <w:rsid w:val="642603E4"/>
    <w:rsid w:val="643D1B94"/>
    <w:rsid w:val="644635C9"/>
    <w:rsid w:val="644C5E47"/>
    <w:rsid w:val="645F74B6"/>
    <w:rsid w:val="64983D79"/>
    <w:rsid w:val="64A132A0"/>
    <w:rsid w:val="64A82F5F"/>
    <w:rsid w:val="64E558BE"/>
    <w:rsid w:val="652561BA"/>
    <w:rsid w:val="656727BE"/>
    <w:rsid w:val="6576457F"/>
    <w:rsid w:val="65F26ABA"/>
    <w:rsid w:val="65FC19FA"/>
    <w:rsid w:val="664F0BD2"/>
    <w:rsid w:val="66652982"/>
    <w:rsid w:val="666845B1"/>
    <w:rsid w:val="667C62AE"/>
    <w:rsid w:val="67432B71"/>
    <w:rsid w:val="67680C60"/>
    <w:rsid w:val="676C00D0"/>
    <w:rsid w:val="684C37A9"/>
    <w:rsid w:val="6850066D"/>
    <w:rsid w:val="685402E5"/>
    <w:rsid w:val="6899717C"/>
    <w:rsid w:val="68D908A2"/>
    <w:rsid w:val="6922364E"/>
    <w:rsid w:val="69506441"/>
    <w:rsid w:val="695D06FD"/>
    <w:rsid w:val="69666E09"/>
    <w:rsid w:val="69710DCC"/>
    <w:rsid w:val="698A2A90"/>
    <w:rsid w:val="69961435"/>
    <w:rsid w:val="6A0539F3"/>
    <w:rsid w:val="6A1E63CC"/>
    <w:rsid w:val="6A392FC4"/>
    <w:rsid w:val="6A55424D"/>
    <w:rsid w:val="6B15282D"/>
    <w:rsid w:val="6B3233DF"/>
    <w:rsid w:val="6B5E5F82"/>
    <w:rsid w:val="6B60202F"/>
    <w:rsid w:val="6B8D6867"/>
    <w:rsid w:val="6B8E2D0B"/>
    <w:rsid w:val="6BD10E4A"/>
    <w:rsid w:val="6BED7089"/>
    <w:rsid w:val="6C0E79A8"/>
    <w:rsid w:val="6C6611A3"/>
    <w:rsid w:val="6CD40BF2"/>
    <w:rsid w:val="6CD96208"/>
    <w:rsid w:val="6D996B84"/>
    <w:rsid w:val="6E213562"/>
    <w:rsid w:val="6E4E22DE"/>
    <w:rsid w:val="6E713485"/>
    <w:rsid w:val="6E8201DA"/>
    <w:rsid w:val="6E8E6B7E"/>
    <w:rsid w:val="6ECE6065"/>
    <w:rsid w:val="6ED523D3"/>
    <w:rsid w:val="6F0D03EB"/>
    <w:rsid w:val="6F127BBD"/>
    <w:rsid w:val="70911369"/>
    <w:rsid w:val="70C8281B"/>
    <w:rsid w:val="70F02728"/>
    <w:rsid w:val="71063344"/>
    <w:rsid w:val="7141684A"/>
    <w:rsid w:val="71EB389C"/>
    <w:rsid w:val="72564663"/>
    <w:rsid w:val="72646E5D"/>
    <w:rsid w:val="732D40F3"/>
    <w:rsid w:val="73316EB0"/>
    <w:rsid w:val="73327F69"/>
    <w:rsid w:val="73364C80"/>
    <w:rsid w:val="7349146F"/>
    <w:rsid w:val="73551C00"/>
    <w:rsid w:val="73C8504F"/>
    <w:rsid w:val="744A1799"/>
    <w:rsid w:val="74EE6765"/>
    <w:rsid w:val="74F41238"/>
    <w:rsid w:val="753108CB"/>
    <w:rsid w:val="75BB2796"/>
    <w:rsid w:val="75C6448A"/>
    <w:rsid w:val="75F24464"/>
    <w:rsid w:val="76275D40"/>
    <w:rsid w:val="76404C02"/>
    <w:rsid w:val="765012CF"/>
    <w:rsid w:val="76984A3E"/>
    <w:rsid w:val="76B0360A"/>
    <w:rsid w:val="76BD0CC3"/>
    <w:rsid w:val="76DE2703"/>
    <w:rsid w:val="76F374AC"/>
    <w:rsid w:val="771A08AE"/>
    <w:rsid w:val="7721046C"/>
    <w:rsid w:val="77A711E5"/>
    <w:rsid w:val="77D85BF3"/>
    <w:rsid w:val="780726C8"/>
    <w:rsid w:val="782D0487"/>
    <w:rsid w:val="78A4256C"/>
    <w:rsid w:val="78A763A4"/>
    <w:rsid w:val="791E07A5"/>
    <w:rsid w:val="792220CA"/>
    <w:rsid w:val="79355A80"/>
    <w:rsid w:val="795E25FE"/>
    <w:rsid w:val="795F1D74"/>
    <w:rsid w:val="7A1B158E"/>
    <w:rsid w:val="7A29066E"/>
    <w:rsid w:val="7A444EEF"/>
    <w:rsid w:val="7A792DD8"/>
    <w:rsid w:val="7A9A6C9F"/>
    <w:rsid w:val="7AA046E8"/>
    <w:rsid w:val="7AD973D3"/>
    <w:rsid w:val="7AE83ABA"/>
    <w:rsid w:val="7AF8058E"/>
    <w:rsid w:val="7AFE32DE"/>
    <w:rsid w:val="7B607AF4"/>
    <w:rsid w:val="7B7D06A6"/>
    <w:rsid w:val="7B806C0B"/>
    <w:rsid w:val="7BC2255D"/>
    <w:rsid w:val="7BD96E72"/>
    <w:rsid w:val="7BEF5239"/>
    <w:rsid w:val="7BF119D6"/>
    <w:rsid w:val="7C0C5586"/>
    <w:rsid w:val="7CCE37B5"/>
    <w:rsid w:val="7CF36E72"/>
    <w:rsid w:val="7D926753"/>
    <w:rsid w:val="7D983576"/>
    <w:rsid w:val="7E0C49BA"/>
    <w:rsid w:val="7E1C2208"/>
    <w:rsid w:val="7E7A0ECD"/>
    <w:rsid w:val="7E8F7AC1"/>
    <w:rsid w:val="7EB22415"/>
    <w:rsid w:val="7EC0551F"/>
    <w:rsid w:val="7F271C31"/>
    <w:rsid w:val="7F560A08"/>
    <w:rsid w:val="7FAC6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0"/>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38"/>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7">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4"/>
    <w:qFormat/>
    <w:uiPriority w:val="0"/>
    <w:pPr>
      <w:spacing w:before="360" w:after="120"/>
      <w:jc w:val="left"/>
      <w:outlineLvl w:val="2"/>
    </w:pPr>
    <w:rPr>
      <w:rFonts w:ascii="宋体" w:hAnsi="Times New Roman" w:eastAsia="宋体"/>
      <w:sz w:val="24"/>
      <w:u w:val="single"/>
    </w:rPr>
  </w:style>
  <w:style w:type="paragraph" w:styleId="9">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spacing w:line="360" w:lineRule="auto"/>
      <w:ind w:firstLine="570"/>
    </w:pPr>
    <w:rPr>
      <w:rFonts w:ascii="Times New Roman" w:hAnsi="Times New Roman"/>
      <w:sz w:val="24"/>
    </w:rPr>
  </w:style>
  <w:style w:type="paragraph" w:styleId="4">
    <w:name w:val="Normal Indent"/>
    <w:basedOn w:val="1"/>
    <w:next w:val="5"/>
    <w:qFormat/>
    <w:uiPriority w:val="0"/>
    <w:pPr>
      <w:autoSpaceDE w:val="0"/>
      <w:autoSpaceDN w:val="0"/>
      <w:adjustRightInd w:val="0"/>
      <w:ind w:firstLine="420"/>
      <w:jc w:val="left"/>
    </w:pPr>
    <w:rPr>
      <w:rFonts w:ascii="宋体" w:hAnsi="Times New Roman"/>
      <w:kern w:val="0"/>
      <w:sz w:val="24"/>
      <w:szCs w:val="20"/>
    </w:rPr>
  </w:style>
  <w:style w:type="paragraph" w:styleId="5">
    <w:name w:val="toa heading"/>
    <w:basedOn w:val="1"/>
    <w:next w:val="1"/>
    <w:qFormat/>
    <w:uiPriority w:val="0"/>
    <w:pPr>
      <w:widowControl/>
      <w:spacing w:before="120"/>
      <w:ind w:firstLine="3584"/>
    </w:pPr>
  </w:style>
  <w:style w:type="paragraph" w:styleId="10">
    <w:name w:val="List Bullet"/>
    <w:basedOn w:val="1"/>
    <w:qFormat/>
    <w:uiPriority w:val="0"/>
    <w:pPr>
      <w:numPr>
        <w:ilvl w:val="0"/>
        <w:numId w:val="1"/>
      </w:numPr>
    </w:pPr>
  </w:style>
  <w:style w:type="paragraph" w:styleId="11">
    <w:name w:val="annotation text"/>
    <w:basedOn w:val="1"/>
    <w:link w:val="63"/>
    <w:qFormat/>
    <w:uiPriority w:val="0"/>
    <w:pPr>
      <w:jc w:val="left"/>
    </w:pPr>
  </w:style>
  <w:style w:type="paragraph" w:styleId="12">
    <w:name w:val="Body Text"/>
    <w:basedOn w:val="1"/>
    <w:next w:val="13"/>
    <w:qFormat/>
    <w:uiPriority w:val="0"/>
    <w:pPr>
      <w:tabs>
        <w:tab w:val="left" w:pos="567"/>
      </w:tabs>
      <w:spacing w:before="120" w:line="22" w:lineRule="atLeast"/>
    </w:pPr>
    <w:rPr>
      <w:rFonts w:ascii="宋体" w:hAnsi="宋体"/>
      <w:sz w:val="24"/>
    </w:rPr>
  </w:style>
  <w:style w:type="paragraph" w:styleId="13">
    <w:name w:val="toc 2"/>
    <w:basedOn w:val="1"/>
    <w:next w:val="1"/>
    <w:qFormat/>
    <w:uiPriority w:val="0"/>
    <w:pPr>
      <w:ind w:left="420" w:leftChars="200"/>
    </w:pPr>
    <w:rPr>
      <w:rFonts w:ascii="Times New Roman" w:hAnsi="Times New Roman"/>
    </w:r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szCs w:val="20"/>
    </w:rPr>
  </w:style>
  <w:style w:type="paragraph" w:styleId="16">
    <w:name w:val="Body Text Indent 2"/>
    <w:basedOn w:val="1"/>
    <w:qFormat/>
    <w:uiPriority w:val="0"/>
    <w:pPr>
      <w:spacing w:after="0" w:line="240" w:lineRule="auto"/>
      <w:ind w:firstLine="480"/>
    </w:pPr>
    <w:rPr>
      <w:rFonts w:ascii="宋体" w:hAnsi="宋体" w:eastAsia="宋体" w:cs="Times New Roman"/>
      <w:sz w:val="30"/>
    </w:rPr>
  </w:style>
  <w:style w:type="paragraph" w:styleId="17">
    <w:name w:val="Balloon Text"/>
    <w:basedOn w:val="1"/>
    <w:link w:val="62"/>
    <w:qFormat/>
    <w:uiPriority w:val="0"/>
    <w:rPr>
      <w:sz w:val="18"/>
      <w:szCs w:val="18"/>
    </w:rPr>
  </w:style>
  <w:style w:type="paragraph" w:styleId="18">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0">
    <w:name w:val="toc 1"/>
    <w:basedOn w:val="1"/>
    <w:next w:val="1"/>
    <w:qFormat/>
    <w:uiPriority w:val="0"/>
    <w:rPr>
      <w:rFonts w:ascii="Times New Roman" w:hAnsi="Times New Roman"/>
    </w:rPr>
  </w:style>
  <w:style w:type="paragraph" w:styleId="21">
    <w:name w:val="footnote text"/>
    <w:basedOn w:val="1"/>
    <w:qFormat/>
    <w:uiPriority w:val="0"/>
    <w:pPr>
      <w:snapToGrid w:val="0"/>
      <w:jc w:val="left"/>
    </w:pPr>
    <w:rPr>
      <w:rFonts w:ascii="Times New Roman" w:hAnsi="Times New Roman"/>
      <w:sz w:val="18"/>
    </w:rPr>
  </w:style>
  <w:style w:type="paragraph" w:styleId="22">
    <w:name w:val="Normal (Web)"/>
    <w:basedOn w:val="1"/>
    <w:qFormat/>
    <w:uiPriority w:val="0"/>
    <w:pPr>
      <w:spacing w:beforeAutospacing="1" w:afterAutospacing="1"/>
      <w:jc w:val="left"/>
    </w:pPr>
    <w:rPr>
      <w:kern w:val="0"/>
      <w:sz w:val="24"/>
    </w:rPr>
  </w:style>
  <w:style w:type="paragraph" w:styleId="23">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4">
    <w:name w:val="annotation subject"/>
    <w:basedOn w:val="11"/>
    <w:next w:val="11"/>
    <w:link w:val="64"/>
    <w:qFormat/>
    <w:uiPriority w:val="0"/>
    <w:rPr>
      <w:b/>
      <w:bCs/>
    </w:rPr>
  </w:style>
  <w:style w:type="paragraph" w:styleId="25">
    <w:name w:val="Body Text First Indent"/>
    <w:basedOn w:val="12"/>
    <w:qFormat/>
    <w:uiPriority w:val="0"/>
    <w:pPr>
      <w:spacing w:after="120" w:line="240" w:lineRule="auto"/>
      <w:ind w:firstLine="420" w:firstLineChars="100"/>
    </w:pPr>
    <w:rPr>
      <w:rFonts w:ascii="Calibri" w:hAnsi="Calibri"/>
      <w:sz w:val="18"/>
      <w:szCs w:val="18"/>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rPr>
      <w:rFonts w:ascii="Times New Roman" w:hAnsi="Times New Roman" w:eastAsia="宋体" w:cs="Times New Roman"/>
    </w:rPr>
  </w:style>
  <w:style w:type="character" w:styleId="31">
    <w:name w:val="Hyperlink"/>
    <w:basedOn w:val="28"/>
    <w:qFormat/>
    <w:uiPriority w:val="0"/>
    <w:rPr>
      <w:color w:val="0000FF"/>
      <w:u w:val="single"/>
    </w:rPr>
  </w:style>
  <w:style w:type="character" w:styleId="32">
    <w:name w:val="annotation reference"/>
    <w:basedOn w:val="28"/>
    <w:qFormat/>
    <w:uiPriority w:val="0"/>
    <w:rPr>
      <w:sz w:val="21"/>
      <w:szCs w:val="21"/>
    </w:rPr>
  </w:style>
  <w:style w:type="character" w:styleId="33">
    <w:name w:val="HTML Sample"/>
    <w:basedOn w:val="28"/>
    <w:qFormat/>
    <w:uiPriority w:val="0"/>
    <w:rPr>
      <w:rFonts w:ascii="Courier New" w:hAnsi="Courier New"/>
    </w:rPr>
  </w:style>
  <w:style w:type="paragraph" w:customStyle="1" w:styleId="34">
    <w:name w:val="List2"/>
    <w:basedOn w:val="1"/>
    <w:qFormat/>
    <w:uiPriority w:val="0"/>
    <w:pPr>
      <w:widowControl/>
      <w:ind w:left="100" w:leftChars="200" w:hanging="200" w:hangingChars="200"/>
      <w:contextualSpacing/>
      <w:textAlignment w:val="baseline"/>
    </w:pPr>
  </w:style>
  <w:style w:type="paragraph" w:customStyle="1" w:styleId="35">
    <w:name w:val="Heading3"/>
    <w:basedOn w:val="1"/>
    <w:next w:val="1"/>
    <w:qFormat/>
    <w:uiPriority w:val="0"/>
    <w:pPr>
      <w:keepNext/>
      <w:numPr>
        <w:ilvl w:val="0"/>
        <w:numId w:val="2"/>
      </w:numPr>
      <w:jc w:val="both"/>
      <w:textAlignment w:val="baseline"/>
    </w:pPr>
    <w:rPr>
      <w:rFonts w:cs="Times New Roman"/>
      <w:b/>
      <w:bCs/>
      <w:kern w:val="2"/>
      <w:sz w:val="28"/>
      <w:szCs w:val="24"/>
      <w:lang w:val="en-US" w:eastAsia="zh-CN" w:bidi="ar-SA"/>
    </w:rPr>
  </w:style>
  <w:style w:type="paragraph" w:customStyle="1" w:styleId="36">
    <w:name w:val="BodyText"/>
    <w:basedOn w:val="1"/>
    <w:qFormat/>
    <w:uiPriority w:val="0"/>
    <w:pPr>
      <w:spacing w:after="120"/>
    </w:pPr>
  </w:style>
  <w:style w:type="paragraph" w:customStyle="1" w:styleId="37">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38">
    <w:name w:val="标题 1 Char"/>
    <w:link w:val="6"/>
    <w:qFormat/>
    <w:uiPriority w:val="0"/>
    <w:rPr>
      <w:rFonts w:ascii="宋体"/>
      <w:b/>
      <w:kern w:val="44"/>
      <w:sz w:val="32"/>
      <w:szCs w:val="20"/>
    </w:rPr>
  </w:style>
  <w:style w:type="paragraph" w:customStyle="1" w:styleId="39">
    <w:name w:val="No Spacing_3b93350b-94da-44fa-8143-641484b951a0"/>
    <w:link w:val="56"/>
    <w:qFormat/>
    <w:uiPriority w:val="1"/>
    <w:pPr>
      <w:widowControl w:val="0"/>
      <w:jc w:val="both"/>
    </w:pPr>
    <w:rPr>
      <w:rFonts w:ascii="Calibri" w:hAnsi="Calibri" w:eastAsia="宋体" w:cs="Times New Roman"/>
      <w:kern w:val="2"/>
      <w:sz w:val="21"/>
      <w:szCs w:val="24"/>
      <w:lang w:val="en-US" w:eastAsia="zh-CN" w:bidi="ar-SA"/>
    </w:rPr>
  </w:style>
  <w:style w:type="character" w:customStyle="1" w:styleId="40">
    <w:name w:val="NormalCharacter"/>
    <w:link w:val="1"/>
    <w:qFormat/>
    <w:uiPriority w:val="0"/>
    <w:rPr>
      <w:rFonts w:ascii="Calibri" w:hAnsi="Calibri" w:eastAsia="宋体" w:cs="Times New Roman"/>
      <w:kern w:val="2"/>
      <w:sz w:val="21"/>
      <w:szCs w:val="24"/>
      <w:lang w:val="en-US" w:eastAsia="zh-CN" w:bidi="ar-SA"/>
    </w:rPr>
  </w:style>
  <w:style w:type="paragraph" w:customStyle="1" w:styleId="41">
    <w:name w:val="图例"/>
    <w:basedOn w:val="1"/>
    <w:qFormat/>
    <w:uiPriority w:val="0"/>
    <w:pPr>
      <w:spacing w:before="120" w:after="120" w:line="360" w:lineRule="auto"/>
      <w:jc w:val="center"/>
    </w:pPr>
    <w:rPr>
      <w:rFonts w:eastAsia="仿宋_GB2312"/>
      <w:b/>
      <w:sz w:val="24"/>
    </w:rPr>
  </w:style>
  <w:style w:type="paragraph" w:customStyle="1" w:styleId="42">
    <w:name w:val="列出段落1"/>
    <w:basedOn w:val="1"/>
    <w:qFormat/>
    <w:uiPriority w:val="0"/>
    <w:pPr>
      <w:ind w:firstLine="420" w:firstLineChars="200"/>
    </w:pPr>
  </w:style>
  <w:style w:type="paragraph" w:customStyle="1" w:styleId="43">
    <w:name w:val="List Paragraph_7aecd6e6-fc70-4df6-be05-ef790174fbad"/>
    <w:basedOn w:val="1"/>
    <w:qFormat/>
    <w:uiPriority w:val="34"/>
    <w:pPr>
      <w:ind w:firstLine="420" w:firstLineChars="200"/>
    </w:pPr>
  </w:style>
  <w:style w:type="paragraph" w:customStyle="1" w:styleId="44">
    <w:name w:val="正文-manu"/>
    <w:basedOn w:val="1"/>
    <w:qFormat/>
    <w:uiPriority w:val="0"/>
    <w:pPr>
      <w:spacing w:line="300" w:lineRule="auto"/>
    </w:pPr>
    <w:rPr>
      <w:b/>
      <w:snapToGrid w:val="0"/>
      <w:kern w:val="0"/>
      <w:sz w:val="24"/>
      <w:szCs w:val="20"/>
    </w:rPr>
  </w:style>
  <w:style w:type="character" w:customStyle="1" w:styleId="45">
    <w:name w:val="font01"/>
    <w:basedOn w:val="28"/>
    <w:qFormat/>
    <w:uiPriority w:val="0"/>
    <w:rPr>
      <w:rFonts w:hint="default" w:ascii="Arial" w:hAnsi="Arial" w:cs="Arial"/>
      <w:color w:val="000000"/>
      <w:sz w:val="22"/>
      <w:szCs w:val="22"/>
      <w:u w:val="none"/>
    </w:rPr>
  </w:style>
  <w:style w:type="character" w:customStyle="1" w:styleId="46">
    <w:name w:val="font41"/>
    <w:basedOn w:val="28"/>
    <w:qFormat/>
    <w:uiPriority w:val="0"/>
    <w:rPr>
      <w:rFonts w:hint="eastAsia" w:ascii="宋体" w:hAnsi="宋体" w:eastAsia="宋体" w:cs="宋体"/>
      <w:color w:val="000000"/>
      <w:sz w:val="22"/>
      <w:szCs w:val="22"/>
      <w:u w:val="none"/>
    </w:rPr>
  </w:style>
  <w:style w:type="character" w:customStyle="1" w:styleId="47">
    <w:name w:val="font51"/>
    <w:basedOn w:val="28"/>
    <w:qFormat/>
    <w:uiPriority w:val="0"/>
    <w:rPr>
      <w:rFonts w:hint="eastAsia" w:ascii="宋体" w:hAnsi="宋体" w:eastAsia="宋体" w:cs="宋体"/>
      <w:color w:val="000000"/>
      <w:sz w:val="22"/>
      <w:szCs w:val="22"/>
      <w:u w:val="none"/>
    </w:rPr>
  </w:style>
  <w:style w:type="character" w:customStyle="1" w:styleId="48">
    <w:name w:val="font31"/>
    <w:basedOn w:val="28"/>
    <w:qFormat/>
    <w:uiPriority w:val="0"/>
    <w:rPr>
      <w:rFonts w:hint="default" w:ascii="Arial" w:hAnsi="Arial" w:cs="Arial"/>
      <w:b/>
      <w:color w:val="000000"/>
      <w:sz w:val="22"/>
      <w:szCs w:val="22"/>
      <w:u w:val="none"/>
    </w:rPr>
  </w:style>
  <w:style w:type="character" w:customStyle="1" w:styleId="49">
    <w:name w:val="font91"/>
    <w:basedOn w:val="28"/>
    <w:qFormat/>
    <w:uiPriority w:val="0"/>
    <w:rPr>
      <w:rFonts w:hint="default" w:ascii="Arial" w:hAnsi="Arial" w:cs="Arial"/>
      <w:color w:val="000000"/>
      <w:sz w:val="22"/>
      <w:szCs w:val="22"/>
      <w:u w:val="none"/>
    </w:rPr>
  </w:style>
  <w:style w:type="character" w:customStyle="1" w:styleId="50">
    <w:name w:val="font81"/>
    <w:basedOn w:val="28"/>
    <w:qFormat/>
    <w:uiPriority w:val="0"/>
    <w:rPr>
      <w:rFonts w:hint="eastAsia" w:ascii="宋体" w:hAnsi="宋体" w:eastAsia="宋体" w:cs="宋体"/>
      <w:color w:val="000000"/>
      <w:sz w:val="22"/>
      <w:szCs w:val="22"/>
      <w:u w:val="none"/>
    </w:rPr>
  </w:style>
  <w:style w:type="character" w:customStyle="1" w:styleId="51">
    <w:name w:val="font21"/>
    <w:basedOn w:val="28"/>
    <w:qFormat/>
    <w:uiPriority w:val="0"/>
    <w:rPr>
      <w:rFonts w:ascii="微软雅黑" w:hAnsi="微软雅黑" w:eastAsia="微软雅黑" w:cs="微软雅黑"/>
      <w:b/>
      <w:color w:val="000000"/>
      <w:sz w:val="24"/>
      <w:szCs w:val="24"/>
      <w:u w:val="none"/>
    </w:rPr>
  </w:style>
  <w:style w:type="character" w:customStyle="1" w:styleId="52">
    <w:name w:val="font61"/>
    <w:basedOn w:val="28"/>
    <w:qFormat/>
    <w:uiPriority w:val="0"/>
    <w:rPr>
      <w:rFonts w:hint="default" w:ascii="Times New Roman" w:hAnsi="Times New Roman" w:cs="Times New Roman"/>
      <w:b/>
      <w:color w:val="000000"/>
      <w:sz w:val="24"/>
      <w:szCs w:val="24"/>
      <w:u w:val="none"/>
    </w:rPr>
  </w:style>
  <w:style w:type="character" w:customStyle="1" w:styleId="53">
    <w:name w:val="font71"/>
    <w:basedOn w:val="28"/>
    <w:qFormat/>
    <w:uiPriority w:val="0"/>
    <w:rPr>
      <w:rFonts w:hint="eastAsia" w:ascii="微软雅黑" w:hAnsi="微软雅黑" w:eastAsia="微软雅黑" w:cs="微软雅黑"/>
      <w:color w:val="000000"/>
      <w:sz w:val="24"/>
      <w:szCs w:val="24"/>
      <w:u w:val="none"/>
    </w:rPr>
  </w:style>
  <w:style w:type="character" w:customStyle="1" w:styleId="54">
    <w:name w:val="font101"/>
    <w:basedOn w:val="28"/>
    <w:qFormat/>
    <w:uiPriority w:val="0"/>
    <w:rPr>
      <w:rFonts w:hint="default" w:ascii="Times New Roman" w:hAnsi="Times New Roman" w:cs="Times New Roman"/>
      <w:color w:val="000000"/>
      <w:sz w:val="24"/>
      <w:szCs w:val="24"/>
      <w:u w:val="none"/>
    </w:rPr>
  </w:style>
  <w:style w:type="paragraph" w:customStyle="1" w:styleId="55">
    <w:name w:val="_Style 1"/>
    <w:basedOn w:val="1"/>
    <w:qFormat/>
    <w:uiPriority w:val="34"/>
    <w:pPr>
      <w:ind w:firstLine="420" w:firstLineChars="200"/>
    </w:pPr>
  </w:style>
  <w:style w:type="character" w:customStyle="1" w:styleId="56">
    <w:name w:val="无间隔 Char"/>
    <w:link w:val="39"/>
    <w:qFormat/>
    <w:uiPriority w:val="1"/>
    <w:rPr>
      <w:rFonts w:ascii="Calibri" w:hAnsi="Calibri" w:eastAsia="宋体" w:cs="Times New Roman"/>
      <w:kern w:val="2"/>
      <w:sz w:val="21"/>
      <w:szCs w:val="24"/>
      <w:lang w:val="en-US" w:eastAsia="zh-CN" w:bidi="ar-SA"/>
    </w:rPr>
  </w:style>
  <w:style w:type="paragraph" w:customStyle="1" w:styleId="57">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58">
    <w:name w:val="索引 11"/>
    <w:basedOn w:val="1"/>
    <w:next w:val="1"/>
    <w:qFormat/>
    <w:uiPriority w:val="0"/>
    <w:pPr>
      <w:spacing w:line="360" w:lineRule="auto"/>
    </w:pPr>
    <w:rPr>
      <w:rFonts w:ascii="仿宋_GB2312" w:eastAsia="仿宋_GB2312"/>
      <w:sz w:val="24"/>
      <w:szCs w:val="20"/>
    </w:rPr>
  </w:style>
  <w:style w:type="paragraph" w:customStyle="1" w:styleId="59">
    <w:name w:val="纯文本1"/>
    <w:basedOn w:val="1"/>
    <w:qFormat/>
    <w:uiPriority w:val="0"/>
    <w:rPr>
      <w:rFonts w:ascii="宋体" w:hAnsi="Courier New"/>
      <w:kern w:val="0"/>
      <w:sz w:val="20"/>
      <w:szCs w:val="20"/>
    </w:rPr>
  </w:style>
  <w:style w:type="paragraph" w:customStyle="1" w:styleId="60">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61">
    <w:name w:val="石墨文档正文"/>
    <w:qFormat/>
    <w:uiPriority w:val="0"/>
    <w:rPr>
      <w:rFonts w:ascii="微软雅黑" w:hAnsi="微软雅黑" w:eastAsia="微软雅黑" w:cs="微软雅黑"/>
      <w:sz w:val="24"/>
      <w:szCs w:val="24"/>
      <w:lang w:val="en-US" w:eastAsia="zh-CN" w:bidi="ar-SA"/>
    </w:rPr>
  </w:style>
  <w:style w:type="character" w:customStyle="1" w:styleId="62">
    <w:name w:val="批注框文本 Char"/>
    <w:basedOn w:val="28"/>
    <w:link w:val="17"/>
    <w:qFormat/>
    <w:uiPriority w:val="0"/>
    <w:rPr>
      <w:kern w:val="2"/>
      <w:sz w:val="18"/>
      <w:szCs w:val="18"/>
    </w:rPr>
  </w:style>
  <w:style w:type="character" w:customStyle="1" w:styleId="63">
    <w:name w:val="批注文字 Char"/>
    <w:basedOn w:val="28"/>
    <w:link w:val="11"/>
    <w:qFormat/>
    <w:uiPriority w:val="0"/>
    <w:rPr>
      <w:kern w:val="2"/>
      <w:sz w:val="21"/>
      <w:szCs w:val="24"/>
    </w:rPr>
  </w:style>
  <w:style w:type="character" w:customStyle="1" w:styleId="64">
    <w:name w:val="批注主题 Char"/>
    <w:basedOn w:val="63"/>
    <w:link w:val="24"/>
    <w:qFormat/>
    <w:uiPriority w:val="0"/>
    <w:rPr>
      <w:b/>
      <w:bCs/>
      <w:kern w:val="2"/>
      <w:sz w:val="21"/>
      <w:szCs w:val="24"/>
    </w:rPr>
  </w:style>
  <w:style w:type="paragraph" w:customStyle="1" w:styleId="65">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66">
    <w:name w:val="Table Normal1"/>
    <w:qFormat/>
    <w:uiPriority w:val="0"/>
    <w:rPr>
      <w:rFonts w:ascii="Times New Roman" w:hAnsi="Times New Roman" w:cs="Times New Roman"/>
    </w:rPr>
    <w:tblPr>
      <w:tblCellMar>
        <w:top w:w="0" w:type="dxa"/>
        <w:left w:w="0" w:type="dxa"/>
        <w:bottom w:w="0" w:type="dxa"/>
        <w:right w:w="0" w:type="dxa"/>
      </w:tblCellMar>
    </w:tblPr>
  </w:style>
  <w:style w:type="paragraph" w:customStyle="1" w:styleId="67">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68">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rPr>
  </w:style>
  <w:style w:type="character" w:customStyle="1" w:styleId="69">
    <w:name w:val="s1"/>
    <w:basedOn w:val="28"/>
    <w:qFormat/>
    <w:uiPriority w:val="0"/>
    <w:rPr>
      <w:rFonts w:ascii="pingfang sc" w:hAnsi="pingfang sc" w:eastAsia="pingfang sc" w:cs="pingfang sc"/>
      <w:sz w:val="40"/>
      <w:szCs w:val="40"/>
    </w:rPr>
  </w:style>
  <w:style w:type="character" w:customStyle="1" w:styleId="70">
    <w:name w:val="trans"/>
    <w:qFormat/>
    <w:uiPriority w:val="99"/>
  </w:style>
  <w:style w:type="paragraph" w:customStyle="1" w:styleId="71">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2">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73">
    <w:name w:val="PageNumber"/>
    <w:qFormat/>
    <w:uiPriority w:val="99"/>
    <w:rPr>
      <w:rFonts w:cs="Times New Roman"/>
    </w:rPr>
  </w:style>
  <w:style w:type="paragraph" w:customStyle="1" w:styleId="74">
    <w:name w:val="样式1"/>
    <w:basedOn w:val="7"/>
    <w:qFormat/>
    <w:uiPriority w:val="0"/>
    <w:pPr>
      <w:spacing w:before="100" w:beforeAutospacing="1" w:after="100" w:afterAutospacing="1"/>
      <w:ind w:right="100" w:rightChars="100"/>
    </w:pPr>
    <w:rPr>
      <w:sz w:val="21"/>
    </w:rPr>
  </w:style>
  <w:style w:type="paragraph" w:customStyle="1" w:styleId="75">
    <w:name w:val="UserStyle_15"/>
    <w:basedOn w:val="76"/>
    <w:qFormat/>
    <w:uiPriority w:val="0"/>
    <w:pPr>
      <w:keepNext/>
      <w:widowControl/>
      <w:numPr>
        <w:ilvl w:val="1"/>
        <w:numId w:val="3"/>
      </w:numPr>
      <w:spacing w:before="100" w:beforeAutospacing="1" w:after="100" w:afterAutospacing="1"/>
      <w:ind w:left="1710" w:right="100" w:rightChars="100"/>
      <w:textAlignment w:val="baseline"/>
    </w:pPr>
    <w:rPr>
      <w:rFonts w:ascii="Cambria" w:hAnsi="Cambria" w:cs="Times New Roman"/>
      <w:sz w:val="21"/>
      <w:szCs w:val="28"/>
      <w:lang w:bidi="ar-SA"/>
    </w:rPr>
  </w:style>
  <w:style w:type="paragraph" w:customStyle="1" w:styleId="76">
    <w:name w:val="Heading2"/>
    <w:basedOn w:val="1"/>
    <w:next w:val="1"/>
    <w:qFormat/>
    <w:uiPriority w:val="0"/>
    <w:pPr>
      <w:keepNext/>
      <w:widowControl/>
      <w:numPr>
        <w:ilvl w:val="1"/>
        <w:numId w:val="3"/>
      </w:numPr>
      <w:spacing w:before="240" w:after="60"/>
      <w:textAlignment w:val="baseline"/>
    </w:pPr>
    <w:rPr>
      <w:rFonts w:ascii="Cambria" w:hAnsi="Cambria" w:cs="Times New Roman"/>
      <w:b/>
      <w:bCs/>
      <w:i/>
      <w:iCs/>
      <w:sz w:val="28"/>
      <w:szCs w:val="28"/>
      <w:lang w:bidi="ar-SA"/>
    </w:rPr>
  </w:style>
  <w:style w:type="character" w:customStyle="1" w:styleId="77">
    <w:name w:val="UserStyle_2"/>
    <w:link w:val="78"/>
    <w:qFormat/>
    <w:uiPriority w:val="0"/>
    <w:rPr>
      <w:kern w:val="0"/>
      <w:sz w:val="20"/>
      <w:szCs w:val="24"/>
      <w:lang w:val="en-US" w:eastAsia="zh-CN" w:bidi="ar-SA"/>
    </w:rPr>
  </w:style>
  <w:style w:type="paragraph" w:customStyle="1" w:styleId="78">
    <w:name w:val="UserStyle_3"/>
    <w:basedOn w:val="1"/>
    <w:link w:val="77"/>
    <w:qFormat/>
    <w:uiPriority w:val="0"/>
    <w:pPr>
      <w:jc w:val="both"/>
      <w:textAlignment w:val="baseline"/>
    </w:pPr>
    <w:rPr>
      <w:kern w:val="0"/>
      <w:sz w:val="20"/>
      <w:szCs w:val="24"/>
      <w:lang w:val="en-US" w:eastAsia="zh-CN" w:bidi="ar-SA"/>
    </w:rPr>
  </w:style>
  <w:style w:type="paragraph" w:customStyle="1" w:styleId="79">
    <w:name w:val="List Paragraph1"/>
    <w:basedOn w:val="1"/>
    <w:qFormat/>
    <w:uiPriority w:val="0"/>
    <w:pPr>
      <w:ind w:firstLine="420" w:firstLineChars="200"/>
    </w:pPr>
  </w:style>
  <w:style w:type="paragraph" w:styleId="80">
    <w:name w:val="List Paragraph"/>
    <w:basedOn w:val="1"/>
    <w:qFormat/>
    <w:uiPriority w:val="34"/>
    <w:pPr>
      <w:ind w:firstLine="420" w:firstLineChars="200"/>
    </w:pPr>
  </w:style>
  <w:style w:type="paragraph" w:customStyle="1" w:styleId="81">
    <w:name w:val="正文首行缩进两字符"/>
    <w:basedOn w:val="1"/>
    <w:qFormat/>
    <w:uiPriority w:val="0"/>
    <w:pPr>
      <w:spacing w:line="360" w:lineRule="auto"/>
      <w:ind w:firstLine="200" w:firstLineChars="200"/>
    </w:pPr>
  </w:style>
  <w:style w:type="paragraph" w:customStyle="1" w:styleId="82">
    <w:name w:val="列表段落1"/>
    <w:basedOn w:val="1"/>
    <w:qFormat/>
    <w:uiPriority w:val="34"/>
    <w:pPr>
      <w:ind w:firstLine="420" w:firstLineChars="200"/>
    </w:pPr>
  </w:style>
  <w:style w:type="paragraph" w:customStyle="1" w:styleId="83">
    <w:name w:val="列表段落2"/>
    <w:basedOn w:val="1"/>
    <w:qFormat/>
    <w:uiPriority w:val="34"/>
    <w:pPr>
      <w:ind w:firstLine="420" w:firstLineChars="200"/>
    </w:pPr>
  </w:style>
  <w:style w:type="paragraph" w:customStyle="1" w:styleId="84">
    <w:name w:val="Body text|1"/>
    <w:basedOn w:val="1"/>
    <w:qFormat/>
    <w:uiPriority w:val="0"/>
    <w:pPr>
      <w:widowControl w:val="0"/>
      <w:shd w:val="clear" w:color="auto" w:fill="auto"/>
      <w:spacing w:after="10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7"/>
    <customShpInfo spid="_x0000_s2050"/>
    <customShpInfo spid="_x0000_s1026" textRotate="1"/>
    <customShpInfo spid="_x0000_s2056"/>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92</Pages>
  <Words>49381</Words>
  <Characters>54040</Characters>
  <Paragraphs>2159</Paragraphs>
  <TotalTime>3</TotalTime>
  <ScaleCrop>false</ScaleCrop>
  <LinksUpToDate>false</LinksUpToDate>
  <CharactersWithSpaces>58736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Persist</cp:lastModifiedBy>
  <cp:lastPrinted>2022-09-08T05:02:00Z</cp:lastPrinted>
  <dcterms:modified xsi:type="dcterms:W3CDTF">2022-11-18T09:53:02Z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30ECC67972C84261A8620F0CADDB426E</vt:lpwstr>
  </property>
</Properties>
</file>