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7"/>
        <w:shd w:val="clear" w:color="auto" w:fill="FFFFFF"/>
        <w:spacing w:line="360" w:lineRule="auto"/>
        <w:jc w:val="center"/>
        <w:rPr>
          <w:rFonts w:ascii="仿宋" w:hAnsi="仿宋" w:eastAsia="仿宋" w:cs="仿宋"/>
          <w:color w:val="auto"/>
          <w:kern w:val="2"/>
          <w:sz w:val="32"/>
          <w:szCs w:val="32"/>
          <w:highlight w:val="none"/>
        </w:rPr>
      </w:pPr>
    </w:p>
    <w:p>
      <w:pPr>
        <w:pStyle w:val="327"/>
        <w:shd w:val="clear" w:color="auto" w:fill="FFFFFF"/>
        <w:spacing w:line="360" w:lineRule="auto"/>
        <w:jc w:val="center"/>
        <w:rPr>
          <w:rFonts w:ascii="仿宋" w:hAnsi="仿宋" w:eastAsia="仿宋" w:cs="仿宋"/>
          <w:color w:val="auto"/>
          <w:kern w:val="2"/>
          <w:sz w:val="32"/>
          <w:szCs w:val="32"/>
          <w:highlight w:val="none"/>
        </w:rPr>
      </w:pPr>
    </w:p>
    <w:p>
      <w:pPr>
        <w:pStyle w:val="327"/>
        <w:shd w:val="clear" w:color="auto" w:fill="FFFFFF"/>
        <w:spacing w:line="360" w:lineRule="auto"/>
        <w:jc w:val="center"/>
        <w:rPr>
          <w:rFonts w:ascii="仿宋" w:hAnsi="仿宋" w:eastAsia="仿宋" w:cs="仿宋"/>
          <w:color w:val="auto"/>
          <w:kern w:val="2"/>
          <w:sz w:val="32"/>
          <w:szCs w:val="32"/>
          <w:highlight w:val="none"/>
        </w:rPr>
      </w:pPr>
    </w:p>
    <w:p>
      <w:pPr>
        <w:pStyle w:val="327"/>
        <w:shd w:val="clear" w:color="auto" w:fill="FFFFFF"/>
        <w:spacing w:line="360" w:lineRule="auto"/>
        <w:jc w:val="center"/>
        <w:rPr>
          <w:rFonts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招标文件</w:t>
      </w:r>
    </w:p>
    <w:p>
      <w:pPr>
        <w:pStyle w:val="327"/>
        <w:shd w:val="clear" w:color="auto" w:fill="FFFFFF"/>
        <w:spacing w:line="400" w:lineRule="exact"/>
        <w:jc w:val="center"/>
        <w:rPr>
          <w:rFonts w:hint="default" w:ascii="仿宋" w:hAnsi="仿宋" w:eastAsia="仿宋" w:cs="仿宋"/>
          <w:b/>
          <w:bCs/>
          <w:color w:val="auto"/>
          <w:kern w:val="2"/>
          <w:sz w:val="40"/>
          <w:szCs w:val="40"/>
          <w:highlight w:val="none"/>
          <w:lang w:val="en-US"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eastAsia="zh-CN"/>
        </w:rPr>
        <w:t>XJRBZB-CG01-2022043-02</w:t>
      </w:r>
      <w:r>
        <w:rPr>
          <w:rFonts w:hint="eastAsia" w:ascii="仿宋" w:hAnsi="仿宋" w:eastAsia="仿宋" w:cs="仿宋"/>
          <w:b/>
          <w:bCs/>
          <w:color w:val="auto"/>
          <w:sz w:val="32"/>
          <w:szCs w:val="32"/>
          <w:highlight w:val="none"/>
          <w:lang w:val="en-US" w:eastAsia="zh-CN"/>
        </w:rPr>
        <w:t>-02</w:t>
      </w:r>
    </w:p>
    <w:p>
      <w:pPr>
        <w:pStyle w:val="327"/>
        <w:shd w:val="clear" w:color="auto" w:fill="FFFFFF"/>
        <w:spacing w:line="400" w:lineRule="exact"/>
        <w:jc w:val="center"/>
        <w:rPr>
          <w:rFonts w:ascii="仿宋" w:hAnsi="仿宋" w:eastAsia="仿宋" w:cs="仿宋"/>
          <w:color w:val="auto"/>
          <w:kern w:val="2"/>
          <w:sz w:val="32"/>
          <w:szCs w:val="32"/>
          <w:highlight w:val="none"/>
        </w:rPr>
      </w:pPr>
    </w:p>
    <w:p>
      <w:pPr>
        <w:pStyle w:val="327"/>
        <w:shd w:val="clear" w:color="auto" w:fill="FFFFFF"/>
        <w:spacing w:line="400" w:lineRule="exact"/>
        <w:jc w:val="center"/>
        <w:rPr>
          <w:rFonts w:ascii="仿宋" w:hAnsi="仿宋" w:eastAsia="仿宋" w:cs="仿宋"/>
          <w:color w:val="auto"/>
          <w:kern w:val="2"/>
          <w:sz w:val="32"/>
          <w:szCs w:val="32"/>
          <w:highlight w:val="none"/>
        </w:rPr>
      </w:pPr>
    </w:p>
    <w:tbl>
      <w:tblPr>
        <w:tblStyle w:val="60"/>
        <w:tblW w:w="8802" w:type="dxa"/>
        <w:jc w:val="center"/>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CellMar>
          <w:top w:w="0" w:type="dxa"/>
          <w:left w:w="108" w:type="dxa"/>
          <w:bottom w:w="0" w:type="dxa"/>
          <w:right w:w="108" w:type="dxa"/>
        </w:tblCellMar>
      </w:tblPr>
      <w:tblGrid>
        <w:gridCol w:w="3168"/>
        <w:gridCol w:w="5634"/>
      </w:tblGrid>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36"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项</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zh-CN"/>
              </w:rPr>
              <w:t>目    名    称：</w:t>
            </w:r>
          </w:p>
        </w:tc>
        <w:tc>
          <w:tcPr>
            <w:tcW w:w="5634" w:type="dxa"/>
            <w:vAlign w:val="center"/>
          </w:tcPr>
          <w:p>
            <w:pPr>
              <w:spacing w:line="560" w:lineRule="exac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新疆维吾尔自治区计量测试研究院第二批测量设备采购项目（一）（二次）（二次）第三包</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71"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采</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zh-CN"/>
              </w:rPr>
              <w:t>购</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zh-CN"/>
              </w:rPr>
              <w:t>单</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zh-CN"/>
              </w:rPr>
              <w:t>位（盖章）：</w:t>
            </w:r>
          </w:p>
        </w:tc>
        <w:tc>
          <w:tcPr>
            <w:tcW w:w="5634" w:type="dxa"/>
            <w:vAlign w:val="center"/>
          </w:tcPr>
          <w:p>
            <w:pPr>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新疆维吾尔自治区计量测试研究院</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69"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联       系       人：</w:t>
            </w:r>
          </w:p>
        </w:tc>
        <w:tc>
          <w:tcPr>
            <w:tcW w:w="5634" w:type="dxa"/>
            <w:vAlign w:val="center"/>
          </w:tcPr>
          <w:p>
            <w:pPr>
              <w:spacing w:line="560" w:lineRule="exact"/>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张波</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61"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联</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zh-CN"/>
              </w:rPr>
              <w:t>系</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zh-CN"/>
              </w:rPr>
              <w:t>电    话：</w:t>
            </w:r>
          </w:p>
        </w:tc>
        <w:tc>
          <w:tcPr>
            <w:tcW w:w="5634" w:type="dxa"/>
            <w:vAlign w:val="center"/>
          </w:tcPr>
          <w:p>
            <w:pPr>
              <w:spacing w:line="560" w:lineRule="exact"/>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0991-3191512</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317"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lang w:val="zh-CN"/>
              </w:rPr>
            </w:pPr>
          </w:p>
        </w:tc>
        <w:tc>
          <w:tcPr>
            <w:tcW w:w="5634" w:type="dxa"/>
            <w:vAlign w:val="center"/>
          </w:tcPr>
          <w:p>
            <w:pPr>
              <w:autoSpaceDE w:val="0"/>
              <w:autoSpaceDN w:val="0"/>
              <w:adjustRightInd w:val="0"/>
              <w:spacing w:line="560" w:lineRule="exact"/>
              <w:rPr>
                <w:rFonts w:ascii="仿宋" w:hAnsi="仿宋" w:eastAsia="仿宋" w:cs="仿宋"/>
                <w:b/>
                <w:bCs/>
                <w:color w:val="auto"/>
                <w:sz w:val="28"/>
                <w:szCs w:val="28"/>
                <w:highlight w:val="none"/>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317"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lang w:val="zh-CN"/>
              </w:rPr>
            </w:pPr>
          </w:p>
        </w:tc>
        <w:tc>
          <w:tcPr>
            <w:tcW w:w="5634" w:type="dxa"/>
            <w:vAlign w:val="center"/>
          </w:tcPr>
          <w:p>
            <w:pPr>
              <w:autoSpaceDE w:val="0"/>
              <w:autoSpaceDN w:val="0"/>
              <w:adjustRightInd w:val="0"/>
              <w:spacing w:line="560" w:lineRule="exact"/>
              <w:rPr>
                <w:rFonts w:ascii="仿宋" w:hAnsi="仿宋" w:eastAsia="仿宋" w:cs="仿宋"/>
                <w:b/>
                <w:bCs/>
                <w:color w:val="auto"/>
                <w:sz w:val="28"/>
                <w:szCs w:val="28"/>
                <w:highlight w:val="none"/>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317"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lang w:val="zh-CN"/>
              </w:rPr>
            </w:pPr>
          </w:p>
        </w:tc>
        <w:tc>
          <w:tcPr>
            <w:tcW w:w="5634" w:type="dxa"/>
            <w:vAlign w:val="center"/>
          </w:tcPr>
          <w:p>
            <w:pPr>
              <w:autoSpaceDE w:val="0"/>
              <w:autoSpaceDN w:val="0"/>
              <w:adjustRightInd w:val="0"/>
              <w:spacing w:line="560" w:lineRule="exact"/>
              <w:rPr>
                <w:rFonts w:ascii="仿宋" w:hAnsi="仿宋" w:eastAsia="仿宋" w:cs="仿宋"/>
                <w:b/>
                <w:bCs/>
                <w:color w:val="auto"/>
                <w:sz w:val="28"/>
                <w:szCs w:val="28"/>
                <w:highlight w:val="none"/>
              </w:rPr>
            </w:pP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57"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招标代理机构 （盖章）：</w:t>
            </w:r>
          </w:p>
        </w:tc>
        <w:tc>
          <w:tcPr>
            <w:tcW w:w="5634" w:type="dxa"/>
            <w:vAlign w:val="center"/>
          </w:tcPr>
          <w:p>
            <w:pPr>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新疆润标工程勘察设计研究院有限公司</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54"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联       系       人：</w:t>
            </w:r>
          </w:p>
        </w:tc>
        <w:tc>
          <w:tcPr>
            <w:tcW w:w="5634" w:type="dxa"/>
            <w:vAlign w:val="center"/>
          </w:tcPr>
          <w:p>
            <w:pPr>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张刚</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74"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联</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zh-CN"/>
              </w:rPr>
              <w:t>系</w:t>
            </w:r>
            <w:r>
              <w:rPr>
                <w:rFonts w:hint="eastAsia" w:ascii="仿宋" w:hAnsi="仿宋" w:eastAsia="仿宋" w:cs="仿宋"/>
                <w:b/>
                <w:bCs/>
                <w:color w:val="auto"/>
                <w:sz w:val="28"/>
                <w:szCs w:val="28"/>
                <w:highlight w:val="none"/>
              </w:rPr>
              <w:t xml:space="preserve">    </w:t>
            </w:r>
            <w:r>
              <w:rPr>
                <w:rFonts w:hint="eastAsia" w:ascii="仿宋" w:hAnsi="仿宋" w:eastAsia="仿宋" w:cs="仿宋"/>
                <w:b/>
                <w:bCs/>
                <w:color w:val="auto"/>
                <w:sz w:val="28"/>
                <w:szCs w:val="28"/>
                <w:highlight w:val="none"/>
                <w:lang w:val="zh-CN"/>
              </w:rPr>
              <w:t>电    话：</w:t>
            </w:r>
          </w:p>
        </w:tc>
        <w:tc>
          <w:tcPr>
            <w:tcW w:w="5634" w:type="dxa"/>
            <w:vAlign w:val="center"/>
          </w:tcPr>
          <w:p>
            <w:pPr>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17767402939</w:t>
            </w:r>
          </w:p>
        </w:tc>
      </w:tr>
      <w:tr>
        <w:tblPrEx>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CellMar>
            <w:top w:w="0" w:type="dxa"/>
            <w:left w:w="108" w:type="dxa"/>
            <w:bottom w:w="0" w:type="dxa"/>
            <w:right w:w="108" w:type="dxa"/>
          </w:tblCellMar>
        </w:tblPrEx>
        <w:trPr>
          <w:trHeight w:val="473" w:hRule="atLeast"/>
          <w:jc w:val="center"/>
        </w:trPr>
        <w:tc>
          <w:tcPr>
            <w:tcW w:w="3168" w:type="dxa"/>
            <w:vAlign w:val="center"/>
          </w:tcPr>
          <w:p>
            <w:pPr>
              <w:autoSpaceDE w:val="0"/>
              <w:autoSpaceDN w:val="0"/>
              <w:adjustRightInd w:val="0"/>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详    细    地    址：</w:t>
            </w:r>
          </w:p>
        </w:tc>
        <w:tc>
          <w:tcPr>
            <w:tcW w:w="5634" w:type="dxa"/>
            <w:vAlign w:val="center"/>
          </w:tcPr>
          <w:p>
            <w:pPr>
              <w:spacing w:line="560" w:lineRule="exac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乌鲁木齐市新市区鲤鱼山北路199号集电港B座902室</w:t>
            </w:r>
          </w:p>
        </w:tc>
      </w:tr>
    </w:tbl>
    <w:p>
      <w:pPr>
        <w:pStyle w:val="327"/>
        <w:shd w:val="clear" w:color="auto" w:fill="FFFFFF"/>
        <w:spacing w:line="400" w:lineRule="exact"/>
        <w:jc w:val="center"/>
        <w:rPr>
          <w:rFonts w:ascii="仿宋" w:hAnsi="仿宋" w:eastAsia="仿宋" w:cs="仿宋"/>
          <w:color w:val="auto"/>
          <w:kern w:val="2"/>
          <w:sz w:val="32"/>
          <w:szCs w:val="32"/>
          <w:highlight w:val="none"/>
        </w:rPr>
      </w:pPr>
    </w:p>
    <w:p>
      <w:pPr>
        <w:pStyle w:val="327"/>
        <w:shd w:val="clear" w:color="auto" w:fill="FFFFFF"/>
        <w:spacing w:line="400" w:lineRule="exact"/>
        <w:jc w:val="center"/>
        <w:rPr>
          <w:rFonts w:ascii="仿宋" w:hAnsi="仿宋" w:eastAsia="仿宋" w:cs="仿宋"/>
          <w:color w:val="auto"/>
          <w:kern w:val="2"/>
          <w:sz w:val="32"/>
          <w:szCs w:val="32"/>
          <w:highlight w:val="none"/>
        </w:rPr>
      </w:pPr>
    </w:p>
    <w:p>
      <w:pPr>
        <w:shd w:val="clear" w:color="auto" w:fill="FFFFFF"/>
        <w:autoSpaceDE w:val="0"/>
        <w:autoSpaceDN w:val="0"/>
        <w:adjustRightInd w:val="0"/>
        <w:spacing w:line="400" w:lineRule="exact"/>
        <w:jc w:val="center"/>
        <w:rPr>
          <w:rFonts w:ascii="仿宋" w:hAnsi="仿宋" w:eastAsia="仿宋" w:cs="仿宋"/>
          <w:b/>
          <w:bCs/>
          <w:color w:val="auto"/>
          <w:kern w:val="0"/>
          <w:szCs w:val="21"/>
          <w:highlight w:val="none"/>
        </w:rPr>
        <w:sectPr>
          <w:footerReference r:id="rId4" w:type="default"/>
          <w:pgSz w:w="11907" w:h="16840"/>
          <w:pgMar w:top="1460" w:right="1680" w:bottom="1400" w:left="1680" w:header="0" w:footer="1212" w:gutter="0"/>
          <w:pgNumType w:start="61"/>
          <w:cols w:space="720" w:num="1"/>
        </w:sectPr>
      </w:pPr>
    </w:p>
    <w:p>
      <w:pPr>
        <w:pStyle w:val="47"/>
        <w:numPr>
          <w:ilvl w:val="0"/>
          <w:numId w:val="0"/>
        </w:numPr>
        <w:rPr>
          <w:color w:val="auto"/>
          <w:highlight w:val="none"/>
        </w:rPr>
      </w:pPr>
    </w:p>
    <w:p>
      <w:pPr>
        <w:shd w:val="clear" w:color="auto" w:fill="FFFFFF"/>
        <w:autoSpaceDE w:val="0"/>
        <w:autoSpaceDN w:val="0"/>
        <w:adjustRightInd w:val="0"/>
        <w:spacing w:line="360" w:lineRule="auto"/>
        <w:jc w:val="center"/>
        <w:rPr>
          <w:rFonts w:ascii="仿宋" w:hAnsi="仿宋" w:eastAsia="仿宋" w:cs="仿宋"/>
          <w:b/>
          <w:bCs/>
          <w:color w:val="auto"/>
          <w:kern w:val="0"/>
          <w:sz w:val="28"/>
          <w:szCs w:val="28"/>
          <w:highlight w:val="none"/>
        </w:rPr>
      </w:pPr>
      <w:r>
        <w:rPr>
          <w:rFonts w:hint="eastAsia" w:ascii="仿宋" w:hAnsi="仿宋" w:eastAsia="仿宋" w:cs="仿宋"/>
          <w:b/>
          <w:bCs/>
          <w:color w:val="auto"/>
          <w:sz w:val="40"/>
          <w:szCs w:val="40"/>
          <w:highlight w:val="none"/>
        </w:rPr>
        <w:t>目  录</w:t>
      </w:r>
    </w:p>
    <w:p>
      <w:pPr>
        <w:pStyle w:val="43"/>
        <w:tabs>
          <w:tab w:val="right" w:leader="dot" w:pos="8547"/>
          <w:tab w:val="clear" w:pos="420"/>
          <w:tab w:val="clear" w:pos="1050"/>
          <w:tab w:val="clear" w:pos="8302"/>
        </w:tabs>
        <w:rPr>
          <w:rFonts w:ascii="仿宋" w:hAnsi="仿宋" w:eastAsia="仿宋" w:cs="仿宋"/>
          <w:color w:val="auto"/>
          <w:highlight w:val="none"/>
        </w:rPr>
      </w:pPr>
    </w:p>
    <w:p>
      <w:pPr>
        <w:pStyle w:val="43"/>
        <w:tabs>
          <w:tab w:val="right" w:leader="dot" w:pos="8547"/>
          <w:tab w:val="clear" w:pos="420"/>
          <w:tab w:val="clear" w:pos="1050"/>
          <w:tab w:val="clear" w:pos="8302"/>
        </w:tabs>
        <w:spacing w:before="0" w:after="0" w:line="480" w:lineRule="auto"/>
        <w:ind w:firstLine="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color w:val="auto"/>
          <w:highlight w:val="none"/>
        </w:rPr>
        <w:fldChar w:fldCharType="begin"/>
      </w:r>
      <w:r>
        <w:rPr>
          <w:color w:val="auto"/>
          <w:highlight w:val="none"/>
        </w:rPr>
        <w:instrText xml:space="preserve"> HYPERLINK \l "_Toc4282" </w:instrText>
      </w:r>
      <w:r>
        <w:rPr>
          <w:color w:val="auto"/>
          <w:highlight w:val="none"/>
        </w:rPr>
        <w:fldChar w:fldCharType="separate"/>
      </w:r>
      <w:r>
        <w:rPr>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_Toc4282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43"/>
        <w:tabs>
          <w:tab w:val="right" w:leader="dot" w:pos="8547"/>
          <w:tab w:val="clear" w:pos="420"/>
          <w:tab w:val="clear" w:pos="1050"/>
          <w:tab w:val="clear" w:pos="8302"/>
        </w:tabs>
        <w:spacing w:before="0" w:after="0" w:line="480" w:lineRule="auto"/>
        <w:ind w:firstLine="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"_Toc5383" </w:instrText>
      </w:r>
      <w:r>
        <w:rPr>
          <w:color w:val="auto"/>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_Toc5383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43"/>
        <w:tabs>
          <w:tab w:val="right" w:leader="dot" w:pos="8547"/>
          <w:tab w:val="clear" w:pos="420"/>
          <w:tab w:val="clear" w:pos="1050"/>
          <w:tab w:val="clear" w:pos="8302"/>
        </w:tabs>
        <w:spacing w:before="0" w:after="0" w:line="480" w:lineRule="auto"/>
        <w:ind w:firstLine="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"_Toc8521" </w:instrText>
      </w:r>
      <w:r>
        <w:rPr>
          <w:color w:val="auto"/>
          <w:highlight w:val="none"/>
        </w:rPr>
        <w:fldChar w:fldCharType="separate"/>
      </w:r>
      <w:r>
        <w:rPr>
          <w:rFonts w:hint="eastAsia" w:ascii="仿宋" w:hAnsi="仿宋" w:eastAsia="仿宋" w:cs="仿宋"/>
          <w:color w:val="auto"/>
          <w:sz w:val="28"/>
          <w:szCs w:val="28"/>
          <w:highlight w:val="none"/>
        </w:rPr>
        <w:t>第三章 评标办法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_Toc8521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43"/>
        <w:tabs>
          <w:tab w:val="right" w:leader="dot" w:pos="8547"/>
          <w:tab w:val="clear" w:pos="420"/>
          <w:tab w:val="clear" w:pos="1050"/>
          <w:tab w:val="clear" w:pos="8302"/>
        </w:tabs>
        <w:spacing w:before="0" w:after="0" w:line="480" w:lineRule="auto"/>
        <w:ind w:firstLine="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"_Toc20898" </w:instrText>
      </w:r>
      <w:r>
        <w:rPr>
          <w:color w:val="auto"/>
          <w:highlight w:val="none"/>
        </w:rPr>
        <w:fldChar w:fldCharType="separate"/>
      </w:r>
      <w:r>
        <w:rPr>
          <w:rFonts w:hint="eastAsia" w:ascii="仿宋" w:hAnsi="仿宋" w:eastAsia="仿宋" w:cs="仿宋"/>
          <w:bCs w:val="0"/>
          <w:color w:val="auto"/>
          <w:sz w:val="28"/>
          <w:szCs w:val="28"/>
          <w:highlight w:val="none"/>
        </w:rPr>
        <w:t>第四章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_Toc20898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43"/>
        <w:tabs>
          <w:tab w:val="right" w:leader="dot" w:pos="8547"/>
          <w:tab w:val="clear" w:pos="420"/>
          <w:tab w:val="clear" w:pos="1050"/>
          <w:tab w:val="clear" w:pos="8302"/>
        </w:tabs>
        <w:spacing w:before="0" w:after="0" w:line="480" w:lineRule="auto"/>
        <w:ind w:firstLine="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"_Toc6343" </w:instrText>
      </w:r>
      <w:r>
        <w:rPr>
          <w:color w:val="auto"/>
          <w:highlight w:val="none"/>
        </w:rPr>
        <w:fldChar w:fldCharType="separate"/>
      </w:r>
      <w:r>
        <w:rPr>
          <w:rFonts w:hint="eastAsia" w:ascii="仿宋" w:hAnsi="仿宋" w:eastAsia="仿宋" w:cs="仿宋"/>
          <w:color w:val="auto"/>
          <w:sz w:val="28"/>
          <w:szCs w:val="28"/>
          <w:highlight w:val="none"/>
        </w:rPr>
        <w:t>第五章 合同格式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1</w:t>
      </w:r>
    </w:p>
    <w:p>
      <w:pPr>
        <w:pStyle w:val="43"/>
        <w:tabs>
          <w:tab w:val="right" w:leader="dot" w:pos="8547"/>
          <w:tab w:val="clear" w:pos="420"/>
          <w:tab w:val="clear" w:pos="1050"/>
          <w:tab w:val="clear" w:pos="8302"/>
        </w:tabs>
        <w:spacing w:before="0" w:after="0" w:line="480" w:lineRule="auto"/>
        <w:ind w:firstLine="0"/>
        <w:rPr>
          <w:rFonts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"_Toc26746" </w:instrText>
      </w:r>
      <w:r>
        <w:rPr>
          <w:color w:val="auto"/>
          <w:highlight w:val="none"/>
        </w:rPr>
        <w:fldChar w:fldCharType="separate"/>
      </w:r>
      <w:r>
        <w:rPr>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_Toc26746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39</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spacing w:line="480" w:lineRule="auto"/>
        <w:jc w:val="left"/>
        <w:rPr>
          <w:rFonts w:ascii="仿宋" w:hAnsi="仿宋" w:eastAsia="仿宋" w:cs="仿宋"/>
          <w:color w:val="auto"/>
          <w:highlight w:val="none"/>
        </w:rPr>
      </w:pPr>
      <w:r>
        <w:rPr>
          <w:rFonts w:hint="eastAsia" w:ascii="仿宋" w:hAnsi="仿宋" w:eastAsia="仿宋" w:cs="仿宋"/>
          <w:color w:val="auto"/>
          <w:sz w:val="28"/>
          <w:szCs w:val="28"/>
          <w:highlight w:val="none"/>
        </w:rPr>
        <w:fldChar w:fldCharType="end"/>
      </w:r>
    </w:p>
    <w:p>
      <w:pPr>
        <w:widowControl/>
        <w:shd w:val="clear" w:color="auto" w:fill="FFFFFF"/>
        <w:spacing w:line="400" w:lineRule="exact"/>
        <w:jc w:val="center"/>
        <w:rPr>
          <w:rFonts w:ascii="仿宋" w:hAnsi="仿宋" w:eastAsia="仿宋" w:cs="仿宋"/>
          <w:color w:val="auto"/>
          <w:kern w:val="0"/>
          <w:szCs w:val="21"/>
          <w:highlight w:val="none"/>
        </w:rPr>
      </w:pPr>
    </w:p>
    <w:p>
      <w:pPr>
        <w:pStyle w:val="47"/>
        <w:rPr>
          <w:color w:val="auto"/>
          <w:highlight w:val="none"/>
        </w:rPr>
        <w:sectPr>
          <w:footerReference r:id="rId5" w:type="default"/>
          <w:pgSz w:w="11907" w:h="16840"/>
          <w:pgMar w:top="1460" w:right="1680" w:bottom="1400" w:left="1680" w:header="0" w:footer="1212" w:gutter="0"/>
          <w:pgNumType w:start="1"/>
          <w:cols w:space="720" w:num="1"/>
        </w:sectPr>
      </w:pPr>
    </w:p>
    <w:p>
      <w:pPr>
        <w:pStyle w:val="47"/>
        <w:numPr>
          <w:ilvl w:val="0"/>
          <w:numId w:val="0"/>
        </w:numPr>
        <w:rPr>
          <w:color w:val="auto"/>
          <w:highlight w:val="none"/>
        </w:rPr>
      </w:pPr>
    </w:p>
    <w:p>
      <w:pPr>
        <w:pStyle w:val="3"/>
        <w:rPr>
          <w:color w:val="auto"/>
          <w:highlight w:val="none"/>
        </w:rPr>
      </w:pPr>
      <w:bookmarkStart w:id="0" w:name="_Toc25745"/>
      <w:bookmarkStart w:id="1" w:name="_Toc4282"/>
      <w:r>
        <w:rPr>
          <w:rFonts w:hint="eastAsia"/>
          <w:color w:val="auto"/>
          <w:highlight w:val="none"/>
        </w:rPr>
        <w:t xml:space="preserve">第一章 </w:t>
      </w:r>
      <w:bookmarkEnd w:id="0"/>
      <w:r>
        <w:rPr>
          <w:rFonts w:hint="eastAsia"/>
          <w:color w:val="auto"/>
          <w:highlight w:val="none"/>
        </w:rPr>
        <w:t>招标公告</w:t>
      </w:r>
      <w:bookmarkEnd w:id="1"/>
    </w:p>
    <w:p>
      <w:pPr>
        <w:widowControl/>
        <w:spacing w:line="360" w:lineRule="auto"/>
        <w:jc w:val="center"/>
        <w:rPr>
          <w:rFonts w:ascii="仿宋" w:hAnsi="仿宋" w:eastAsia="仿宋" w:cs="仿宋"/>
          <w:b/>
          <w:bCs/>
          <w:color w:val="auto"/>
          <w:kern w:val="0"/>
          <w:sz w:val="28"/>
          <w:szCs w:val="28"/>
          <w:highlight w:val="none"/>
        </w:rPr>
      </w:pPr>
      <w:r>
        <w:rPr>
          <w:rFonts w:hint="eastAsia" w:ascii="仿宋" w:hAnsi="仿宋" w:eastAsia="仿宋" w:cs="仿宋"/>
          <w:b/>
          <w:bCs/>
          <w:color w:val="auto"/>
          <w:sz w:val="28"/>
          <w:szCs w:val="28"/>
          <w:highlight w:val="none"/>
          <w:lang w:eastAsia="zh-CN"/>
        </w:rPr>
        <w:t>新疆维吾尔自治区计量测试研究院第二批测量设备采购项目（一）（二次）</w:t>
      </w:r>
      <w:r>
        <w:rPr>
          <w:rFonts w:hint="eastAsia" w:ascii="仿宋" w:hAnsi="仿宋" w:eastAsia="仿宋" w:cs="仿宋"/>
          <w:b/>
          <w:bCs/>
          <w:color w:val="auto"/>
          <w:kern w:val="0"/>
          <w:sz w:val="28"/>
          <w:szCs w:val="28"/>
          <w:highlight w:val="none"/>
        </w:rPr>
        <w:t>公开招标公告</w:t>
      </w:r>
    </w:p>
    <w:p>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项目概况</w:t>
      </w:r>
    </w:p>
    <w:p>
      <w:pPr>
        <w:widowControl/>
        <w:pBdr>
          <w:top w:val="single" w:color="auto" w:sz="4" w:space="0"/>
          <w:left w:val="single" w:color="auto" w:sz="4" w:space="0"/>
          <w:bottom w:val="single" w:color="auto" w:sz="4" w:space="0"/>
          <w:right w:val="single" w:color="auto" w:sz="4" w:space="0"/>
        </w:pBdr>
        <w:spacing w:line="420" w:lineRule="exact"/>
        <w:ind w:firstLine="482" w:firstLineChars="200"/>
        <w:jc w:val="left"/>
        <w:rPr>
          <w:rFonts w:ascii="仿宋" w:hAnsi="仿宋" w:eastAsia="仿宋" w:cs="仿宋"/>
          <w:color w:val="auto"/>
          <w:kern w:val="0"/>
          <w:sz w:val="24"/>
          <w:highlight w:val="none"/>
        </w:rPr>
      </w:pPr>
      <w:r>
        <w:rPr>
          <w:rFonts w:hint="eastAsia" w:ascii="仿宋" w:hAnsi="仿宋" w:eastAsia="仿宋" w:cs="仿宋"/>
          <w:b/>
          <w:bCs/>
          <w:color w:val="auto"/>
          <w:sz w:val="24"/>
          <w:highlight w:val="none"/>
          <w:lang w:eastAsia="zh-CN"/>
        </w:rPr>
        <w:t>新疆维吾尔自治区计量测试研究院第二批测量设备采购项目（一）（二次）</w:t>
      </w:r>
      <w:r>
        <w:rPr>
          <w:rFonts w:hint="eastAsia" w:ascii="仿宋" w:hAnsi="仿宋" w:eastAsia="仿宋" w:cs="仿宋"/>
          <w:color w:val="auto"/>
          <w:kern w:val="0"/>
          <w:sz w:val="24"/>
          <w:highlight w:val="none"/>
        </w:rPr>
        <w:t>的潜在供应商应在乌鲁木齐市新市区鲤鱼山北路199号集电港B座902室获取采购文件，并于2022年</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日1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rPr>
        <w:t>0（北京时间）前提交响应文件。</w:t>
      </w:r>
    </w:p>
    <w:p>
      <w:pPr>
        <w:widowControl/>
        <w:spacing w:line="400" w:lineRule="exact"/>
        <w:ind w:firstLine="482" w:firstLineChars="200"/>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一、项目基本情况</w:t>
      </w:r>
    </w:p>
    <w:p>
      <w:pPr>
        <w:widowControl/>
        <w:spacing w:line="400" w:lineRule="exact"/>
        <w:ind w:firstLine="480" w:firstLineChars="200"/>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项目编号：</w:t>
      </w:r>
      <w:r>
        <w:rPr>
          <w:rFonts w:hint="eastAsia" w:ascii="仿宋" w:hAnsi="仿宋" w:eastAsia="仿宋" w:cs="仿宋"/>
          <w:color w:val="auto"/>
          <w:kern w:val="0"/>
          <w:sz w:val="24"/>
          <w:highlight w:val="none"/>
          <w:lang w:eastAsia="zh-CN"/>
        </w:rPr>
        <w:t>XJRBZB-CG01-2022043-02</w:t>
      </w:r>
    </w:p>
    <w:p>
      <w:pPr>
        <w:widowControl/>
        <w:spacing w:line="400" w:lineRule="exact"/>
        <w:ind w:firstLine="480" w:firstLineChars="200"/>
        <w:jc w:val="left"/>
        <w:rPr>
          <w:rFonts w:hint="eastAsia" w:ascii="仿宋" w:hAnsi="仿宋" w:eastAsia="仿宋" w:cs="仿宋"/>
          <w:b/>
          <w:bCs/>
          <w:color w:val="auto"/>
          <w:sz w:val="24"/>
          <w:highlight w:val="none"/>
          <w:lang w:eastAsia="zh-CN"/>
        </w:rPr>
      </w:pPr>
      <w:r>
        <w:rPr>
          <w:rFonts w:hint="eastAsia" w:ascii="仿宋" w:hAnsi="仿宋" w:eastAsia="仿宋" w:cs="仿宋"/>
          <w:color w:val="auto"/>
          <w:kern w:val="0"/>
          <w:sz w:val="24"/>
          <w:highlight w:val="none"/>
        </w:rPr>
        <w:t>项目名称：</w:t>
      </w:r>
      <w:r>
        <w:rPr>
          <w:rFonts w:hint="eastAsia" w:ascii="仿宋" w:hAnsi="仿宋" w:eastAsia="仿宋" w:cs="仿宋"/>
          <w:b/>
          <w:bCs/>
          <w:color w:val="auto"/>
          <w:sz w:val="24"/>
          <w:highlight w:val="none"/>
          <w:lang w:eastAsia="zh-CN"/>
        </w:rPr>
        <w:t>新疆维吾尔自治区计量测试研究院第二批测量设备采购项目（一）（二次）</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采购方式：公开招标</w:t>
      </w:r>
    </w:p>
    <w:p>
      <w:pPr>
        <w:pStyle w:val="71"/>
        <w:ind w:firstLine="480"/>
        <w:rPr>
          <w:rFonts w:ascii="仿宋" w:hAnsi="仿宋" w:eastAsia="仿宋" w:cs="仿宋"/>
          <w:color w:val="auto"/>
          <w:kern w:val="0"/>
          <w:highlight w:val="none"/>
        </w:rPr>
      </w:pPr>
      <w:r>
        <w:rPr>
          <w:rFonts w:hint="eastAsia" w:ascii="仿宋" w:hAnsi="仿宋" w:eastAsia="仿宋" w:cs="仿宋"/>
          <w:color w:val="auto"/>
          <w:kern w:val="0"/>
          <w:highlight w:val="none"/>
        </w:rPr>
        <w:t>预算金额（元）：5165000</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最高限价（元）：2500000，1500000，1165000</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采购需求：</w:t>
      </w:r>
    </w:p>
    <w:p>
      <w:pPr>
        <w:widowControl/>
        <w:spacing w:line="400" w:lineRule="exact"/>
        <w:ind w:left="479" w:leftChars="228"/>
        <w:jc w:val="left"/>
        <w:rPr>
          <w:rFonts w:ascii="仿宋" w:hAnsi="仿宋" w:eastAsia="仿宋" w:cs="仿宋"/>
          <w:color w:val="auto"/>
          <w:kern w:val="0"/>
          <w:sz w:val="24"/>
          <w:highlight w:val="none"/>
        </w:rPr>
      </w:pPr>
    </w:p>
    <w:p>
      <w:pPr>
        <w:widowControl/>
        <w:spacing w:line="400" w:lineRule="exact"/>
        <w:ind w:left="479" w:leftChars="228"/>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标项一</w:t>
      </w:r>
    </w:p>
    <w:p>
      <w:pPr>
        <w:widowControl/>
        <w:spacing w:line="400" w:lineRule="exact"/>
        <w:ind w:left="479" w:leftChars="228"/>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数量：1</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预算金额（元）：2500000.00元</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单位：台</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简要规格描述：螺纹综合测量机一台（具体详见招标文件）</w:t>
      </w:r>
    </w:p>
    <w:p>
      <w:pPr>
        <w:widowControl/>
        <w:spacing w:line="400" w:lineRule="exact"/>
        <w:ind w:left="479" w:leftChars="228"/>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备注：</w:t>
      </w:r>
    </w:p>
    <w:p>
      <w:pPr>
        <w:widowControl/>
        <w:spacing w:line="400" w:lineRule="exact"/>
        <w:ind w:left="479" w:leftChars="228"/>
        <w:jc w:val="left"/>
        <w:rPr>
          <w:rFonts w:ascii="仿宋" w:hAnsi="仿宋" w:eastAsia="仿宋" w:cs="仿宋"/>
          <w:color w:val="auto"/>
          <w:kern w:val="0"/>
          <w:sz w:val="24"/>
          <w:highlight w:val="none"/>
        </w:rPr>
      </w:pPr>
    </w:p>
    <w:p>
      <w:pPr>
        <w:widowControl/>
        <w:spacing w:line="400" w:lineRule="exact"/>
        <w:ind w:left="479" w:leftChars="228"/>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标项二</w:t>
      </w:r>
    </w:p>
    <w:p>
      <w:pPr>
        <w:widowControl/>
        <w:spacing w:line="400" w:lineRule="exact"/>
        <w:ind w:left="479" w:leftChars="228"/>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数量：1</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预算金额（元）：1500000.00元</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单位：套</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简要规格描述：基桩动测仪检定装置一套（具体详见招标文件）</w:t>
      </w:r>
    </w:p>
    <w:p>
      <w:pPr>
        <w:widowControl/>
        <w:spacing w:line="400" w:lineRule="exact"/>
        <w:ind w:left="479" w:leftChars="228"/>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备注：</w:t>
      </w:r>
    </w:p>
    <w:p>
      <w:pPr>
        <w:widowControl/>
        <w:spacing w:line="400" w:lineRule="exact"/>
        <w:ind w:left="479" w:leftChars="228"/>
        <w:jc w:val="left"/>
        <w:rPr>
          <w:rFonts w:ascii="仿宋" w:hAnsi="仿宋" w:eastAsia="仿宋" w:cs="仿宋"/>
          <w:color w:val="auto"/>
          <w:kern w:val="0"/>
          <w:sz w:val="24"/>
          <w:highlight w:val="none"/>
        </w:rPr>
      </w:pPr>
    </w:p>
    <w:p>
      <w:pPr>
        <w:widowControl/>
        <w:spacing w:line="400" w:lineRule="exact"/>
        <w:ind w:left="479" w:leftChars="228"/>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标项三</w:t>
      </w:r>
    </w:p>
    <w:p>
      <w:pPr>
        <w:widowControl/>
        <w:spacing w:line="400" w:lineRule="exact"/>
        <w:ind w:left="479" w:leftChars="228"/>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数量：1</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预算金额（元）：1165000.00元</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单位：套、台</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简要规格描述：互感器现场检测设备1套、电流互感器（含配套设备）1套、血液透析机检测仪1台、智能化心脑电图机心电监护仪检定装置1台（具体详见招标文件）</w:t>
      </w:r>
    </w:p>
    <w:p>
      <w:pPr>
        <w:widowControl/>
        <w:spacing w:line="400" w:lineRule="exact"/>
        <w:ind w:left="479" w:leftChars="228"/>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备注：</w:t>
      </w:r>
    </w:p>
    <w:p>
      <w:pPr>
        <w:pStyle w:val="71"/>
        <w:ind w:firstLine="0" w:firstLineChars="0"/>
        <w:rPr>
          <w:rFonts w:ascii="仿宋" w:hAnsi="仿宋" w:eastAsia="仿宋" w:cs="仿宋"/>
          <w:color w:val="auto"/>
          <w:kern w:val="0"/>
          <w:highlight w:val="none"/>
        </w:rPr>
      </w:pP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合同履约期限：详见招标文件</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本项目（否）接受联合体投标。</w:t>
      </w:r>
    </w:p>
    <w:p>
      <w:pPr>
        <w:widowControl/>
        <w:spacing w:line="400" w:lineRule="exact"/>
        <w:ind w:firstLine="482" w:firstLineChars="200"/>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二、申请人的资格要求：</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1.满足《中华人民共和国政府采购法》第二十二条规定；</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2.落实政府采购政策需满足的资格要求：标项一：供应商为中小企业/小微企业；</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3.本项目的特定资格要求：</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标项一、二、三：近三年内，在经营活动中没有重大违法记录；供应商须提供在“信用中国”（www.creditchina.gov.cn/）上未被列入失信被执行人、税收违法黑名单以及中国政府采购网（www.ccgp.gov.cn/）政府采购严重违法失信行为（自本公告发出之时不在处罚期内的）的网页打印件（网页打印件须自招标公告发布之日起至投标截止时间从上述网站中打印，需提供上述网站截图并加盖投标人鲜章）；</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4.本项目不接受联合体投标。</w:t>
      </w:r>
    </w:p>
    <w:p>
      <w:pPr>
        <w:widowControl/>
        <w:spacing w:line="400" w:lineRule="exact"/>
        <w:ind w:firstLine="482" w:firstLineChars="200"/>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三、获取采购文件</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时间：2022年</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30</w:t>
      </w:r>
      <w:r>
        <w:rPr>
          <w:rFonts w:hint="eastAsia" w:ascii="仿宋" w:hAnsi="仿宋" w:eastAsia="仿宋" w:cs="仿宋"/>
          <w:color w:val="auto"/>
          <w:kern w:val="0"/>
          <w:sz w:val="24"/>
          <w:highlight w:val="none"/>
        </w:rPr>
        <w:t>日至2022年</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日，每天上午10:00至14:00，下午15:30至19:00（北京时间，法定节假日除外）</w:t>
      </w:r>
    </w:p>
    <w:p>
      <w:pPr>
        <w:widowControl/>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地点：政采云平台线上报名及获取采购文件（https://www.zcygov.cn/）</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方式：政采云平台线上报名及获取采购文件（https://www.zcygov.cn/），领取采购文件时需提交的资料：营业执照、法人授权委托书及被委托人身份证（法定代表人投标提供法定代表人身份证明及身份证）以上资料加盖公章的</w:t>
      </w:r>
      <w:r>
        <w:rPr>
          <w:rFonts w:hint="eastAsia" w:ascii="仿宋" w:hAnsi="仿宋" w:eastAsia="仿宋" w:cs="仿宋"/>
          <w:color w:val="auto"/>
          <w:kern w:val="0"/>
          <w:sz w:val="24"/>
          <w:highlight w:val="none"/>
          <w:lang w:val="en-US" w:eastAsia="zh-CN"/>
        </w:rPr>
        <w:t>扫描件</w:t>
      </w:r>
      <w:r>
        <w:rPr>
          <w:rFonts w:hint="eastAsia" w:ascii="仿宋" w:hAnsi="仿宋" w:eastAsia="仿宋" w:cs="仿宋"/>
          <w:color w:val="auto"/>
          <w:kern w:val="0"/>
          <w:sz w:val="24"/>
          <w:highlight w:val="none"/>
        </w:rPr>
        <w:t>一份</w:t>
      </w:r>
      <w:r>
        <w:rPr>
          <w:rFonts w:hint="eastAsia" w:ascii="仿宋" w:hAnsi="仿宋" w:eastAsia="仿宋" w:cs="仿宋"/>
          <w:color w:val="auto"/>
          <w:kern w:val="0"/>
          <w:sz w:val="24"/>
          <w:highlight w:val="none"/>
          <w:lang w:val="en-US" w:eastAsia="zh-CN"/>
        </w:rPr>
        <w:t>上传</w:t>
      </w:r>
      <w:r>
        <w:rPr>
          <w:rFonts w:hint="eastAsia" w:ascii="仿宋" w:hAnsi="仿宋" w:eastAsia="仿宋" w:cs="仿宋"/>
          <w:color w:val="auto"/>
          <w:kern w:val="0"/>
          <w:sz w:val="24"/>
          <w:highlight w:val="none"/>
        </w:rPr>
        <w:t>，资料不齐全，复印件不清楚，不予受理。</w:t>
      </w:r>
      <w:bookmarkStart w:id="24" w:name="_GoBack"/>
      <w:bookmarkEnd w:id="24"/>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售价（元）：300/包，售后不退。</w:t>
      </w:r>
    </w:p>
    <w:p>
      <w:pPr>
        <w:widowControl/>
        <w:spacing w:line="400" w:lineRule="exact"/>
        <w:ind w:firstLine="482" w:firstLineChars="200"/>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四、响应文件提交</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截止时间：2022年</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日1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rPr>
        <w:t>0（北京时间）</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地点：乌鲁木齐市新市区鲤鱼山北路199号集电港B座902室</w:t>
      </w:r>
    </w:p>
    <w:p>
      <w:pPr>
        <w:widowControl/>
        <w:spacing w:line="400" w:lineRule="exact"/>
        <w:ind w:firstLine="482" w:firstLineChars="200"/>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五、响应文件开启</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开启时间：2022年</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日1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rPr>
        <w:t>0（北京时间）</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地点：乌鲁木齐市新市区鲤鱼山北路199号集电港B座902室</w:t>
      </w:r>
    </w:p>
    <w:p>
      <w:pPr>
        <w:widowControl/>
        <w:spacing w:line="400" w:lineRule="exact"/>
        <w:ind w:firstLine="482" w:firstLineChars="200"/>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六、公告期限</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pPr>
        <w:widowControl/>
        <w:numPr>
          <w:ilvl w:val="0"/>
          <w:numId w:val="13"/>
        </w:numPr>
        <w:spacing w:line="400" w:lineRule="exact"/>
        <w:ind w:firstLine="482" w:firstLineChars="200"/>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其他补充事宜</w:t>
      </w:r>
    </w:p>
    <w:p>
      <w:pPr>
        <w:pStyle w:val="71"/>
        <w:ind w:firstLine="0" w:firstLineChars="0"/>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 xml:space="preserve">    无</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八、凡对本次招标提出询问，请按以下方式联系</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1.采购人信息</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名 称：新疆维吾尔自治区计量测试研究院</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 址：乌鲁木齐市河北东路188号</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联系方式：</w:t>
      </w:r>
      <w:r>
        <w:rPr>
          <w:rFonts w:hint="eastAsia" w:ascii="仿宋" w:hAnsi="仿宋" w:eastAsia="仿宋" w:cs="仿宋"/>
          <w:color w:val="auto"/>
          <w:kern w:val="0"/>
          <w:sz w:val="24"/>
          <w:highlight w:val="none"/>
          <w:lang w:val="en-US" w:eastAsia="zh-CN"/>
        </w:rPr>
        <w:t>0991-3191512</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2.采购代理机构信息</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名 称：新疆润标工程勘察设计研究院有限公司</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地 址：乌鲁木齐市新市区鲤鱼山北路199号集电港B座902室</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联系方式：17767402939</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3.项目联系方式</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项目联系人：张刚</w:t>
      </w:r>
    </w:p>
    <w:p>
      <w:pPr>
        <w:widowControl/>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 话：17767402939</w:t>
      </w:r>
    </w:p>
    <w:p>
      <w:pPr>
        <w:widowControl/>
        <w:spacing w:line="400" w:lineRule="exact"/>
        <w:ind w:left="479" w:leftChars="228"/>
        <w:jc w:val="lef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4.</w:t>
      </w:r>
      <w:r>
        <w:rPr>
          <w:rFonts w:ascii="仿宋" w:hAnsi="仿宋" w:eastAsia="仿宋" w:cs="仿宋"/>
          <w:color w:val="auto"/>
          <w:kern w:val="0"/>
          <w:sz w:val="24"/>
          <w:highlight w:val="none"/>
        </w:rPr>
        <w:t xml:space="preserve"> 监 督：驻新疆维吾尔自治区市场监督管理局纪检组</w:t>
      </w:r>
    </w:p>
    <w:p>
      <w:pPr>
        <w:widowControl/>
        <w:spacing w:line="400" w:lineRule="exact"/>
        <w:ind w:left="479" w:leftChars="228"/>
        <w:jc w:val="left"/>
        <w:rPr>
          <w:rFonts w:ascii="仿宋" w:hAnsi="仿宋" w:eastAsia="仿宋" w:cs="仿宋"/>
          <w:color w:val="auto"/>
          <w:kern w:val="0"/>
          <w:sz w:val="24"/>
          <w:highlight w:val="none"/>
        </w:rPr>
      </w:pPr>
      <w:r>
        <w:rPr>
          <w:rFonts w:ascii="仿宋" w:hAnsi="仿宋" w:eastAsia="仿宋" w:cs="仿宋"/>
          <w:color w:val="auto"/>
          <w:kern w:val="0"/>
          <w:sz w:val="24"/>
          <w:highlight w:val="none"/>
        </w:rPr>
        <w:t>监督电话：0991-2841556</w:t>
      </w:r>
    </w:p>
    <w:p>
      <w:pPr>
        <w:rPr>
          <w:rStyle w:val="216"/>
          <w:rFonts w:ascii="仿宋" w:hAnsi="仿宋" w:eastAsia="仿宋" w:cs="仿宋"/>
          <w:color w:val="auto"/>
          <w:szCs w:val="21"/>
          <w:highlight w:val="none"/>
        </w:rPr>
      </w:pPr>
      <w:r>
        <w:rPr>
          <w:color w:val="auto"/>
          <w:highlight w:val="none"/>
        </w:rPr>
        <w:br w:type="page"/>
      </w:r>
    </w:p>
    <w:p>
      <w:pPr>
        <w:pStyle w:val="3"/>
        <w:rPr>
          <w:color w:val="auto"/>
          <w:highlight w:val="none"/>
        </w:rPr>
      </w:pPr>
      <w:bookmarkStart w:id="2" w:name="_Toc5383"/>
      <w:r>
        <w:rPr>
          <w:rFonts w:hint="eastAsia"/>
          <w:color w:val="auto"/>
          <w:highlight w:val="none"/>
        </w:rPr>
        <w:fldChar w:fldCharType="begin"/>
      </w:r>
      <w:r>
        <w:rPr>
          <w:rFonts w:hint="eastAsia"/>
          <w:color w:val="auto"/>
          <w:highlight w:val="none"/>
        </w:rPr>
        <w:instrText xml:space="preserve"> HYPERLINK \l "_Toc14326" </w:instrText>
      </w:r>
      <w:r>
        <w:rPr>
          <w:rFonts w:hint="eastAsia"/>
          <w:color w:val="auto"/>
          <w:highlight w:val="none"/>
        </w:rPr>
        <w:fldChar w:fldCharType="separate"/>
      </w:r>
      <w:r>
        <w:rPr>
          <w:rFonts w:hint="eastAsia"/>
          <w:color w:val="auto"/>
          <w:highlight w:val="none"/>
        </w:rPr>
        <w:t>第二章 投标人须知</w:t>
      </w:r>
      <w:r>
        <w:rPr>
          <w:rFonts w:hint="eastAsia"/>
          <w:color w:val="auto"/>
          <w:highlight w:val="none"/>
        </w:rPr>
        <w:fldChar w:fldCharType="end"/>
      </w:r>
      <w:bookmarkEnd w:id="2"/>
    </w:p>
    <w:p>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一、须知前附表</w:t>
      </w:r>
    </w:p>
    <w:tbl>
      <w:tblPr>
        <w:tblStyle w:val="60"/>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1999"/>
        <w:gridCol w:w="7207"/>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999"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条款名称</w:t>
            </w:r>
          </w:p>
        </w:tc>
        <w:tc>
          <w:tcPr>
            <w:tcW w:w="7207"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6"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新疆维吾尔自治区计量测试研究院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采购代理机构</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招标代理机构：新疆润标工程勘察设计研究院有限公司</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联系人：张刚</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kern w:val="0"/>
                <w:sz w:val="24"/>
                <w:highlight w:val="none"/>
              </w:rPr>
              <w:t>17767402939</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地址：乌鲁木齐市新市区鲤鱼山北路集电港B座902室</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采购项目名称</w:t>
            </w:r>
          </w:p>
        </w:tc>
        <w:tc>
          <w:tcPr>
            <w:tcW w:w="7207" w:type="dxa"/>
            <w:vAlign w:val="center"/>
          </w:tcPr>
          <w:p>
            <w:pPr>
              <w:adjustRightInd w:val="0"/>
              <w:snapToGrid w:val="0"/>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新疆维吾尔自治区计量测试研究院第二批测量设备采购项目（一）（二次）（二次）第三包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采购项目编号</w:t>
            </w:r>
          </w:p>
        </w:tc>
        <w:tc>
          <w:tcPr>
            <w:tcW w:w="7207" w:type="dxa"/>
            <w:vAlign w:val="center"/>
          </w:tcPr>
          <w:p>
            <w:pPr>
              <w:adjustRightInd w:val="0"/>
              <w:snapToGrid w:val="0"/>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lang w:eastAsia="zh-CN"/>
              </w:rPr>
              <w:t>XJRBZB-CG01-2022043-02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资金来源</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财政资金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采购方式</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公开招标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13"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项目地点</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新疆维吾尔自治区计量测试研究院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31"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采购内容及预算</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三包：互感器现场检测设备1165000.00元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评审方法</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供货期及质保期</w:t>
            </w:r>
          </w:p>
        </w:tc>
        <w:tc>
          <w:tcPr>
            <w:tcW w:w="7207" w:type="dxa"/>
            <w:vAlign w:val="center"/>
          </w:tcPr>
          <w:p>
            <w:pPr>
              <w:adjustRightInd w:val="0"/>
              <w:snapToGrid w:val="0"/>
              <w:rPr>
                <w:color w:val="auto"/>
                <w:highlight w:val="none"/>
              </w:rPr>
            </w:pPr>
            <w:r>
              <w:rPr>
                <w:rFonts w:hint="eastAsia" w:ascii="仿宋" w:hAnsi="仿宋" w:eastAsia="仿宋" w:cs="仿宋"/>
                <w:color w:val="auto"/>
                <w:sz w:val="24"/>
                <w:highlight w:val="none"/>
              </w:rPr>
              <w:t>供货期：三包：互感器现场检测设备、电流互感器（含配套设备），120 日历日内；血液透析机检测仪、智能化心脑电图机心电监护仪检定装置，90 日历日内</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质保期：验收合格后2年。</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低于成本价不正当竞争预防措施：在评标过程中，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最终报价包含运输费、安装费、税费等交付业主使用前的一切费用。</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合同签订支付合同款的50%，到货验收合格后支付合同价款的</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0%，运行正常后支付尾款10%。（具体付款方式以双方签订的合同为准）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联合体投标</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投标人资格要求</w:t>
            </w:r>
          </w:p>
        </w:tc>
        <w:tc>
          <w:tcPr>
            <w:tcW w:w="7207" w:type="dxa"/>
            <w:vAlign w:val="center"/>
          </w:tcPr>
          <w:p>
            <w:pPr>
              <w:widowControl/>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pPr>
              <w:widowControl/>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2.落实政府采购政策需满足的资格要求：标项一：供应商为中小企业/小微企业；</w:t>
            </w:r>
          </w:p>
          <w:p>
            <w:pPr>
              <w:widowControl/>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pPr>
              <w:widowControl/>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标项一、二、三：近三年内，在经营活动中没有重大违法记录；供应商须提供在“信用中国”（www.creditchina.gov.cn/）上未被列入失信被执行人、税收违法黑名单以及中国政府采购网（www.ccgp.gov.cn/）政府采购严重违法失信行为（自本公告发出之时不在处罚期内的）的网页打印件（网页打印件须自招标公告发布之日起至投标截止时间从上述网站中打印，需提供上述网站截图并加盖投标人鲜章）；</w:t>
            </w:r>
          </w:p>
          <w:p>
            <w:pPr>
              <w:widowControl/>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4.本项目不接受联合体投标。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投标截止时间及开标时间</w:t>
            </w:r>
          </w:p>
        </w:tc>
        <w:tc>
          <w:tcPr>
            <w:tcW w:w="7207" w:type="dxa"/>
            <w:vAlign w:val="center"/>
          </w:tcPr>
          <w:p>
            <w:pPr>
              <w:widowControl/>
              <w:adjustRightInd w:val="0"/>
              <w:snapToGrid w:val="0"/>
              <w:rPr>
                <w:rFonts w:ascii="仿宋" w:hAnsi="仿宋" w:eastAsia="仿宋" w:cs="仿宋"/>
                <w:color w:val="auto"/>
                <w:sz w:val="24"/>
                <w:highlight w:val="none"/>
              </w:rPr>
            </w:pPr>
            <w:r>
              <w:rPr>
                <w:rFonts w:hint="eastAsia" w:ascii="仿宋" w:hAnsi="仿宋" w:eastAsia="仿宋" w:cs="仿宋"/>
                <w:color w:val="auto"/>
                <w:kern w:val="0"/>
                <w:sz w:val="24"/>
                <w:highlight w:val="none"/>
              </w:rPr>
              <w:t>2022年</w:t>
            </w:r>
            <w:r>
              <w:rPr>
                <w:rFonts w:hint="eastAsia" w:ascii="仿宋" w:hAnsi="仿宋" w:eastAsia="仿宋" w:cs="仿宋"/>
                <w:color w:val="auto"/>
                <w:kern w:val="0"/>
                <w:sz w:val="24"/>
                <w:highlight w:val="none"/>
                <w:lang w:val="en-US" w:eastAsia="zh-CN"/>
              </w:rPr>
              <w:t>11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日1</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rPr>
              <w:t>0</w:t>
            </w:r>
            <w:r>
              <w:rPr>
                <w:rFonts w:hint="eastAsia" w:ascii="仿宋" w:hAnsi="仿宋" w:eastAsia="仿宋" w:cs="仿宋"/>
                <w:color w:val="auto"/>
                <w:sz w:val="24"/>
                <w:highlight w:val="none"/>
              </w:rPr>
              <w:t>(北京时间)</w:t>
            </w:r>
          </w:p>
          <w:p>
            <w:pPr>
              <w:widowControl/>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投标人应按招标规定的响应截止时间前递交投标文件，迟交的文件将被拒绝接收。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递交投标文件地点及开标地点</w:t>
            </w:r>
          </w:p>
        </w:tc>
        <w:tc>
          <w:tcPr>
            <w:tcW w:w="7207" w:type="dxa"/>
            <w:vAlign w:val="center"/>
          </w:tcPr>
          <w:p>
            <w:pPr>
              <w:widowControl/>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乌鲁木齐市新市区鲤鱼山北路199号集电港B座902室</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自投标截止之日起90日历天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18</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履约担保</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履约保证金金额：合同金额的</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19</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7207" w:type="dxa"/>
            <w:vAlign w:val="center"/>
          </w:tcPr>
          <w:p>
            <w:pPr>
              <w:pStyle w:val="29"/>
              <w:numPr>
                <w:ilvl w:val="0"/>
                <w:numId w:val="14"/>
              </w:numPr>
              <w:ind w:firstLine="0" w:firstLineChars="0"/>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投标保证金金额：</w:t>
            </w:r>
          </w:p>
          <w:p>
            <w:pPr>
              <w:pStyle w:val="29"/>
              <w:ind w:firstLine="0" w:firstLineChars="0"/>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三包：23000元（贰万叁仟元整）</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2、投标保证金缴纳形式：转账或银行电汇等</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3、保证金截止时间：投标截止时间前</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（投标保证金未按规定时间缴纳或提交金额不足的，将被视为无效投标,其投标文件将被拒绝。投标人应充分考虑资金在途时间）</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4、保证金缴纳账户信息：</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公司名称：新疆润标工程勘察设计研究院有限公司乌鲁木齐分公司</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账    号：65050110601500000137</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开户银行：中国建设银行乌鲁木齐鲤鱼山北路支行</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开户行号：105881000253</w:t>
            </w:r>
          </w:p>
          <w:p>
            <w:pPr>
              <w:adjustRightInd w:val="0"/>
              <w:snapToGrid w:val="0"/>
              <w:rPr>
                <w:rFonts w:ascii="仿宋" w:hAnsi="仿宋" w:eastAsia="仿宋" w:cs="仿宋"/>
                <w:color w:val="auto"/>
                <w:sz w:val="24"/>
                <w:highlight w:val="none"/>
              </w:rPr>
            </w:pPr>
            <w:r>
              <w:rPr>
                <w:rFonts w:hint="eastAsia" w:ascii="仿宋" w:hAnsi="仿宋" w:eastAsia="仿宋" w:cs="仿宋"/>
                <w:b/>
                <w:bCs/>
                <w:color w:val="auto"/>
                <w:sz w:val="24"/>
                <w:highlight w:val="none"/>
              </w:rPr>
              <w:t>注：投标人递交投标保证金时，须注明“项目名称、项目包号”（如有字符限制可自行简写）</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20</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投标文件份数</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正本壹份，副本肆份，开标一览表一份（单独密封包装），电子版U盘一份（包含投标文件所有内容，单独密封包装）。</w:t>
            </w:r>
          </w:p>
          <w:p>
            <w:pPr>
              <w:adjustRightInd w:val="0"/>
              <w:snapToGrid w:val="0"/>
              <w:rPr>
                <w:color w:val="auto"/>
                <w:highlight w:val="none"/>
              </w:rPr>
            </w:pPr>
            <w:r>
              <w:rPr>
                <w:rFonts w:hint="eastAsia" w:ascii="仿宋" w:hAnsi="仿宋" w:eastAsia="仿宋" w:cs="仿宋"/>
                <w:color w:val="auto"/>
                <w:sz w:val="24"/>
                <w:highlight w:val="none"/>
              </w:rPr>
              <w:t>投标文件采用</w:t>
            </w:r>
            <w:r>
              <w:rPr>
                <w:rFonts w:hint="eastAsia" w:ascii="仿宋" w:hAnsi="仿宋" w:eastAsia="仿宋" w:cs="仿宋"/>
                <w:color w:val="auto"/>
                <w:sz w:val="24"/>
                <w:highlight w:val="none"/>
                <w:u w:val="single"/>
              </w:rPr>
              <w:t>死页胶装方式</w:t>
            </w:r>
            <w:r>
              <w:rPr>
                <w:rFonts w:hint="eastAsia" w:ascii="仿宋" w:hAnsi="仿宋" w:eastAsia="仿宋" w:cs="仿宋"/>
                <w:color w:val="auto"/>
                <w:sz w:val="24"/>
                <w:highlight w:val="none"/>
              </w:rPr>
              <w:t>装订,装订应牢固、不易拆散，不得采用活页装订。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68"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投标文件的密封</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1、正本、副本可以密封在同一文件袋中；电子文件U盘单独密封；</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开标一览表单独密封。</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2、投标文件密封袋上应标明：项目名称；项目编号；投标人名称、联系人、联系电话、单位地址；并注明“  年  月  日  时  分开标前不准启封”、“投标文件”、“开标一览表”、“电子版”等字样。</w:t>
            </w:r>
          </w:p>
          <w:p>
            <w:pPr>
              <w:adjustRightInd w:val="0"/>
              <w:snapToGrid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3、所有外层密封袋的封口处应粘贴牢固，并加贴封条，封口处加盖公章以及法定代表人印章。</w:t>
            </w:r>
          </w:p>
          <w:p>
            <w:pPr>
              <w:adjustRightInd w:val="0"/>
              <w:snapToGrid w:val="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注：未按上述要求密封的投标文件将被拒绝接收。</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956"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资格审查资料</w:t>
            </w:r>
          </w:p>
        </w:tc>
        <w:tc>
          <w:tcPr>
            <w:tcW w:w="7207" w:type="dxa"/>
            <w:vAlign w:val="center"/>
          </w:tcPr>
          <w:p>
            <w:pPr>
              <w:adjustRightInd w:val="0"/>
              <w:snapToGrid w:val="0"/>
              <w:rPr>
                <w:rFonts w:ascii="仿宋" w:hAnsi="仿宋" w:eastAsia="仿宋" w:cs="仿宋"/>
                <w:b/>
                <w:bCs/>
                <w:color w:val="auto"/>
                <w:sz w:val="24"/>
                <w:highlight w:val="none"/>
              </w:rPr>
            </w:pPr>
            <w:r>
              <w:rPr>
                <w:rFonts w:hint="eastAsia" w:ascii="仿宋" w:hAnsi="仿宋" w:eastAsia="仿宋" w:cs="仿宋"/>
                <w:color w:val="auto"/>
                <w:sz w:val="24"/>
                <w:highlight w:val="none"/>
              </w:rPr>
              <w:t>开标现场授权委托人随身携带以下证件以备现场查验：</w:t>
            </w:r>
            <w:r>
              <w:rPr>
                <w:rFonts w:hint="eastAsia" w:ascii="仿宋" w:hAnsi="仿宋" w:eastAsia="仿宋" w:cs="仿宋"/>
                <w:b/>
                <w:bCs/>
                <w:color w:val="auto"/>
                <w:sz w:val="24"/>
                <w:highlight w:val="none"/>
              </w:rPr>
              <w:t>营业执照；法人授权委托书及被委托人身份证（法定代表人投标提供法定代表人身份证明及身份证）；投标保证金缴纳凭证。</w:t>
            </w:r>
          </w:p>
          <w:p>
            <w:pPr>
              <w:adjustRightInd w:val="0"/>
              <w:snapToGrid w:val="0"/>
              <w:rPr>
                <w:rFonts w:ascii="仿宋" w:hAnsi="仿宋" w:eastAsia="仿宋" w:cs="仿宋"/>
                <w:color w:val="auto"/>
                <w:sz w:val="24"/>
                <w:highlight w:val="none"/>
              </w:rPr>
            </w:pPr>
            <w:r>
              <w:rPr>
                <w:rFonts w:hint="eastAsia" w:ascii="仿宋" w:hAnsi="仿宋" w:eastAsia="仿宋" w:cs="仿宋"/>
                <w:b/>
                <w:bCs/>
                <w:color w:val="auto"/>
                <w:sz w:val="24"/>
                <w:highlight w:val="none"/>
              </w:rPr>
              <w:t>以上资料原件或加盖公章的复印件，如有缺项、未按要求提供的情况，视为投标商不响应本次招标，资格审查将不予通过。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23</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政府采购政策支持</w:t>
            </w:r>
          </w:p>
        </w:tc>
        <w:tc>
          <w:tcPr>
            <w:tcW w:w="7207" w:type="dxa"/>
            <w:vAlign w:val="center"/>
          </w:tcPr>
          <w:p>
            <w:pPr>
              <w:numPr>
                <w:ilvl w:val="0"/>
                <w:numId w:val="15"/>
              </w:numPr>
              <w:adjustRightInd w:val="0"/>
              <w:snapToGrid w:val="0"/>
              <w:rPr>
                <w:rFonts w:ascii="仿宋" w:hAnsi="仿宋" w:eastAsia="仿宋" w:cs="仿宋"/>
                <w:b/>
                <w:bCs/>
                <w:color w:val="auto"/>
                <w:sz w:val="24"/>
                <w:highlight w:val="none"/>
              </w:rPr>
            </w:pPr>
            <w:r>
              <w:rPr>
                <w:rFonts w:hint="eastAsia" w:ascii="仿宋" w:hAnsi="仿宋" w:eastAsia="仿宋" w:cs="仿宋"/>
                <w:b/>
                <w:bCs/>
                <w:color w:val="auto"/>
                <w:sz w:val="24"/>
                <w:highlight w:val="none"/>
              </w:rPr>
              <w:t>1包为专门面向中小企业（含中型、小型、微型企业）采购项目，根据《关于落实好政府采购支持中小企业发展的通知》新财购【2022】22号文的相关规定，评标时将不再执行价格评审优惠的扶持政策，监狱企业、残疾人福利性单位视同为小微企业。</w:t>
            </w:r>
          </w:p>
          <w:p>
            <w:pPr>
              <w:pStyle w:val="71"/>
              <w:numPr>
                <w:ilvl w:val="0"/>
                <w:numId w:val="15"/>
              </w:numPr>
              <w:spacing w:line="240" w:lineRule="auto"/>
              <w:ind w:firstLine="0" w:firstLineChars="0"/>
              <w:rPr>
                <w:rFonts w:ascii="仿宋" w:hAnsi="仿宋" w:eastAsia="仿宋" w:cs="仿宋"/>
                <w:b/>
                <w:bCs/>
                <w:color w:val="auto"/>
                <w:szCs w:val="24"/>
                <w:highlight w:val="none"/>
              </w:rPr>
            </w:pPr>
            <w:r>
              <w:rPr>
                <w:rFonts w:hint="eastAsia" w:ascii="仿宋" w:hAnsi="仿宋" w:eastAsia="仿宋" w:cs="仿宋"/>
                <w:b/>
                <w:bCs/>
                <w:color w:val="auto"/>
                <w:szCs w:val="24"/>
                <w:highlight w:val="none"/>
              </w:rPr>
              <w:t>2包、3包</w:t>
            </w:r>
            <w:r>
              <w:rPr>
                <w:rFonts w:hint="eastAsia" w:ascii="仿宋" w:hAnsi="仿宋" w:eastAsia="仿宋" w:cs="仿宋"/>
                <w:b/>
                <w:bCs/>
                <w:color w:val="auto"/>
                <w:highlight w:val="none"/>
              </w:rPr>
              <w:t>根据《</w:t>
            </w:r>
            <w:r>
              <w:rPr>
                <w:rFonts w:hint="eastAsia" w:ascii="仿宋" w:hAnsi="仿宋" w:eastAsia="仿宋" w:cs="仿宋"/>
                <w:b/>
                <w:bCs/>
                <w:color w:val="auto"/>
                <w:szCs w:val="24"/>
                <w:highlight w:val="none"/>
              </w:rPr>
              <w:t>关于落实好政府采购支持中小企业发展的通知》新财购【2022】22号文的相关规定，对小微企业报价给予10%的扣除；大中型企业与小微企业组成联合体或大中型企业向小微企业分包的，评审给予4%的价格扣除，用扣除后的价格参与评审。</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2、落实其他政府采购政策条款：详见中华人民共和国财政部、中华人民共和国工业和信息化部《政府采购促进中小企业发展管理办法》（财库﹝2020﹞46号）文件、《关于落实好政府采购支持中小企业发展的通知》新财购【2022】22号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24</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代理服务费</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本项目代理服务费由中标人支付，收费标准参照国家发展计划委员会文件（计价格[2002]1980号文）。</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25</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特别说明</w:t>
            </w:r>
          </w:p>
        </w:tc>
        <w:tc>
          <w:tcPr>
            <w:tcW w:w="7207"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特别说明：</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1.为保证本项目质量，良好的售后服务，最低报价不作为中标的唯一依据。</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2.采购人若发现中标候选供应商在投标过程中提供虚假证明文件，故意隐瞒公司不良信誉和财务状况，以及其他可能对合同圆满履行造成风险的因素等，则按规定取消其成交资格，监管部门依法进行处理。</w:t>
            </w:r>
          </w:p>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招标文件中如出现前后不一致情况，均以前附表内容为准。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26</w:t>
            </w:r>
          </w:p>
        </w:tc>
        <w:tc>
          <w:tcPr>
            <w:tcW w:w="1999" w:type="dxa"/>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其他说明</w:t>
            </w:r>
          </w:p>
        </w:tc>
        <w:tc>
          <w:tcPr>
            <w:tcW w:w="7207" w:type="dxa"/>
            <w:vAlign w:val="center"/>
          </w:tcPr>
          <w:p>
            <w:pPr>
              <w:pStyle w:val="32"/>
              <w:jc w:val="left"/>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备注：1、投标文件应按招标文件要求逐页编制页码，且目录项须标注每一项的起始页码。</w:t>
            </w:r>
          </w:p>
          <w:p>
            <w:pPr>
              <w:pStyle w:val="32"/>
              <w:jc w:val="left"/>
              <w:rPr>
                <w:rFonts w:ascii="仿宋" w:hAnsi="仿宋" w:eastAsia="仿宋" w:cs="仿宋"/>
                <w:b/>
                <w:bCs/>
                <w:color w:val="auto"/>
                <w:kern w:val="2"/>
                <w:sz w:val="24"/>
                <w:szCs w:val="24"/>
                <w:highlight w:val="none"/>
              </w:rPr>
            </w:pPr>
            <w:r>
              <w:rPr>
                <w:rFonts w:hint="eastAsia" w:ascii="仿宋" w:hAnsi="仿宋" w:cs="仿宋"/>
                <w:b/>
                <w:bCs/>
                <w:color w:val="auto"/>
                <w:kern w:val="2"/>
                <w:sz w:val="24"/>
                <w:szCs w:val="24"/>
                <w:highlight w:val="none"/>
              </w:rPr>
              <w:t>2、</w:t>
            </w:r>
            <w:r>
              <w:rPr>
                <w:rFonts w:hint="eastAsia" w:ascii="仿宋" w:hAnsi="仿宋" w:eastAsia="仿宋" w:cs="仿宋"/>
                <w:b/>
                <w:bCs/>
                <w:color w:val="auto"/>
                <w:kern w:val="2"/>
                <w:sz w:val="24"/>
                <w:szCs w:val="24"/>
                <w:highlight w:val="none"/>
              </w:rPr>
              <w:t>投标文件应逐页加盖公章或者授权代理人逐页签字。</w:t>
            </w:r>
          </w:p>
          <w:p>
            <w:pPr>
              <w:pStyle w:val="32"/>
              <w:jc w:val="left"/>
              <w:rPr>
                <w:rFonts w:ascii="仿宋" w:hAnsi="仿宋" w:eastAsia="仿宋" w:cs="仿宋"/>
                <w:b/>
                <w:bCs/>
                <w:color w:val="auto"/>
                <w:kern w:val="2"/>
                <w:sz w:val="24"/>
                <w:szCs w:val="24"/>
                <w:highlight w:val="none"/>
              </w:rPr>
            </w:pPr>
            <w:r>
              <w:rPr>
                <w:rFonts w:hint="eastAsia" w:ascii="仿宋" w:hAnsi="仿宋" w:cs="仿宋"/>
                <w:b/>
                <w:bCs/>
                <w:color w:val="auto"/>
                <w:kern w:val="2"/>
                <w:sz w:val="24"/>
                <w:szCs w:val="24"/>
                <w:highlight w:val="none"/>
              </w:rPr>
              <w:t>3、</w:t>
            </w:r>
            <w:r>
              <w:rPr>
                <w:rFonts w:hint="eastAsia" w:ascii="仿宋" w:hAnsi="仿宋" w:eastAsia="仿宋" w:cs="仿宋"/>
                <w:b/>
                <w:bCs/>
                <w:color w:val="auto"/>
                <w:kern w:val="2"/>
                <w:sz w:val="24"/>
                <w:szCs w:val="24"/>
                <w:highlight w:val="none"/>
              </w:rPr>
              <w:t>投标人需满足《中华人民共和国政府采购法》第二十二条规定提供相应的证明材料。</w:t>
            </w:r>
          </w:p>
          <w:p>
            <w:pPr>
              <w:pStyle w:val="32"/>
              <w:jc w:val="left"/>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（一）具有独立承担民事责任的能力；（提供营业执照）</w:t>
            </w:r>
          </w:p>
          <w:p>
            <w:pPr>
              <w:pStyle w:val="32"/>
              <w:jc w:val="left"/>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（二）具有良好的商业信誉和健全的财务会计制度；（提供2021年度经第三方审计的财务报告或2021年度的财务报表或银行出具的资信证明）</w:t>
            </w:r>
          </w:p>
          <w:p>
            <w:pPr>
              <w:pStyle w:val="32"/>
              <w:jc w:val="left"/>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（三）具有履行合同所必需的设备和专业技术能力；（提供具有履行合同所相应的证明材料或者承诺函）</w:t>
            </w:r>
          </w:p>
          <w:p>
            <w:pPr>
              <w:pStyle w:val="32"/>
              <w:jc w:val="left"/>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（四）有依法缴纳税收和社会保障资金的良好记录；（提供近半年的依法缴纳税收的证明材料和近三个月的社保缴纳的证明材料（包含企业和项目团队人员））</w:t>
            </w:r>
          </w:p>
          <w:p>
            <w:pPr>
              <w:pStyle w:val="32"/>
              <w:jc w:val="left"/>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五）参加政府采购活动前三年内，在经营活动中没有重大违法记录；（提供在“信用中国”（www.creditchina.gov.cn/）上未被列入失信被执行人、税收违法黑名单以及中国政府采购网（www.ccgp.gov.cn/）政府采购严重违法失信行为（自本公告发出之时不在处罚期内的）的网页打印件（网页打印件须自采购文件发布之日起至投标截止时间从上述网站中打印，需提供上述网站截图并加盖投标人鲜章））</w:t>
            </w:r>
          </w:p>
          <w:p>
            <w:pPr>
              <w:pStyle w:val="32"/>
              <w:jc w:val="left"/>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（六）法律、行政法规规定的其他条件。</w:t>
            </w:r>
          </w:p>
          <w:p>
            <w:pPr>
              <w:adjustRightInd w:val="0"/>
              <w:snapToGrid w:val="0"/>
              <w:rPr>
                <w:rFonts w:ascii="仿宋" w:hAnsi="仿宋" w:eastAsia="仿宋" w:cs="仿宋"/>
                <w:color w:val="auto"/>
                <w:sz w:val="24"/>
                <w:highlight w:val="none"/>
              </w:rPr>
            </w:pPr>
            <w:r>
              <w:rPr>
                <w:rFonts w:hint="eastAsia" w:ascii="仿宋" w:hAnsi="仿宋" w:eastAsia="仿宋" w:cs="仿宋"/>
                <w:b/>
                <w:bCs/>
                <w:color w:val="auto"/>
                <w:sz w:val="24"/>
                <w:highlight w:val="none"/>
              </w:rPr>
              <w:t>4、招标文件中所有加粗、废标、无效投标的字眼投标人均须认真阅读，否则其一切后果自行承担。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1999" w:type="dxa"/>
            <w:vAlign w:val="center"/>
          </w:tcPr>
          <w:p>
            <w:pPr>
              <w:adjustRightInd w:val="0"/>
              <w:snapToGrid w:val="0"/>
              <w:rPr>
                <w:rFonts w:ascii="仿宋" w:hAnsi="仿宋" w:eastAsia="仿宋" w:cs="仿宋"/>
                <w:color w:val="auto"/>
                <w:sz w:val="24"/>
                <w:highlight w:val="none"/>
              </w:rPr>
            </w:pPr>
            <w:r>
              <w:rPr>
                <w:rFonts w:ascii="仿宋" w:hAnsi="仿宋" w:eastAsia="仿宋" w:cs="仿宋"/>
                <w:color w:val="auto"/>
                <w:sz w:val="24"/>
                <w:highlight w:val="none"/>
              </w:rPr>
              <w:t>采购文件中明确的所属行业</w:t>
            </w:r>
          </w:p>
        </w:tc>
        <w:tc>
          <w:tcPr>
            <w:tcW w:w="7207" w:type="dxa"/>
            <w:vAlign w:val="center"/>
          </w:tcPr>
          <w:p>
            <w:pPr>
              <w:adjustRightInd w:val="0"/>
              <w:snapToGrid w:val="0"/>
              <w:rPr>
                <w:rFonts w:ascii="仿宋" w:hAnsi="仿宋" w:eastAsia="仿宋" w:cs="仿宋"/>
                <w:b/>
                <w:bCs/>
                <w:color w:val="auto"/>
                <w:sz w:val="24"/>
                <w:highlight w:val="none"/>
              </w:rPr>
            </w:pPr>
            <w:r>
              <w:rPr>
                <w:rFonts w:hint="eastAsia" w:ascii="仿宋" w:hAnsi="仿宋" w:eastAsia="仿宋" w:cs="仿宋"/>
                <w:b/>
                <w:bCs/>
                <w:color w:val="auto"/>
                <w:sz w:val="24"/>
                <w:highlight w:val="none"/>
              </w:rPr>
              <w:t>根据关于落实好政府采购支持中小企业发展的通知新财购【2022】22号文及《国民经济行业分类》的相关规定，本项目所属行业为</w:t>
            </w:r>
            <w:r>
              <w:rPr>
                <w:rFonts w:hint="eastAsia" w:ascii="仿宋" w:hAnsi="仿宋" w:eastAsia="仿宋" w:cs="仿宋"/>
                <w:b/>
                <w:bCs/>
                <w:color w:val="auto"/>
                <w:sz w:val="24"/>
                <w:highlight w:val="none"/>
                <w:u w:val="single"/>
              </w:rPr>
              <w:t>工业</w:t>
            </w:r>
            <w:r>
              <w:rPr>
                <w:rFonts w:hint="eastAsia" w:ascii="仿宋" w:hAnsi="仿宋" w:eastAsia="仿宋" w:cs="仿宋"/>
                <w:b/>
                <w:bCs/>
                <w:color w:val="auto"/>
                <w:sz w:val="24"/>
                <w:highlight w:val="none"/>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注意事项</w:t>
            </w:r>
          </w:p>
        </w:tc>
        <w:tc>
          <w:tcPr>
            <w:tcW w:w="9206" w:type="dxa"/>
            <w:gridSpan w:val="2"/>
            <w:vAlign w:val="center"/>
          </w:tcPr>
          <w:p>
            <w:pPr>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95" w:hRule="atLeast"/>
          <w:jc w:val="center"/>
        </w:trPr>
        <w:tc>
          <w:tcPr>
            <w:tcW w:w="824" w:type="dxa"/>
            <w:vAlign w:val="center"/>
          </w:tcPr>
          <w:p>
            <w:pPr>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9206" w:type="dxa"/>
            <w:gridSpan w:val="2"/>
            <w:vAlign w:val="center"/>
          </w:tcPr>
          <w:p>
            <w:pPr>
              <w:adjustRightInd w:val="0"/>
              <w:snapToGrid w:val="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开标现场需要缴纳场地服务费</w:t>
            </w:r>
          </w:p>
        </w:tc>
      </w:tr>
    </w:tbl>
    <w:p>
      <w:pPr>
        <w:shd w:val="clear" w:color="auto" w:fill="FFFFFF"/>
        <w:autoSpaceDE w:val="0"/>
        <w:autoSpaceDN w:val="0"/>
        <w:adjustRightInd w:val="0"/>
        <w:spacing w:line="400" w:lineRule="exact"/>
        <w:rPr>
          <w:rFonts w:ascii="仿宋" w:hAnsi="仿宋" w:eastAsia="仿宋" w:cs="仿宋"/>
          <w:b/>
          <w:bCs/>
          <w:color w:val="auto"/>
          <w:kern w:val="0"/>
          <w:sz w:val="24"/>
          <w:highlight w:val="none"/>
        </w:rPr>
      </w:pPr>
      <w:r>
        <w:rPr>
          <w:rFonts w:hint="eastAsia" w:ascii="仿宋" w:hAnsi="仿宋" w:eastAsia="仿宋" w:cs="仿宋"/>
          <w:b/>
          <w:bCs/>
          <w:color w:val="auto"/>
          <w:kern w:val="0"/>
          <w:szCs w:val="21"/>
          <w:highlight w:val="none"/>
        </w:rPr>
        <w:br w:type="page"/>
      </w:r>
      <w:r>
        <w:rPr>
          <w:rFonts w:hint="eastAsia" w:ascii="仿宋" w:hAnsi="仿宋" w:eastAsia="仿宋" w:cs="仿宋"/>
          <w:b/>
          <w:bCs/>
          <w:color w:val="auto"/>
          <w:kern w:val="0"/>
          <w:sz w:val="24"/>
          <w:highlight w:val="none"/>
        </w:rPr>
        <w:t>二、投标须知</w:t>
      </w:r>
    </w:p>
    <w:p>
      <w:pPr>
        <w:shd w:val="clear" w:color="auto" w:fill="FFFFFF"/>
        <w:spacing w:line="400" w:lineRule="exact"/>
        <w:ind w:firstLine="455" w:firstLineChars="189"/>
        <w:rPr>
          <w:rFonts w:ascii="仿宋" w:hAnsi="仿宋" w:eastAsia="仿宋" w:cs="仿宋"/>
          <w:b/>
          <w:color w:val="auto"/>
          <w:sz w:val="24"/>
          <w:highlight w:val="none"/>
        </w:rPr>
      </w:pPr>
      <w:r>
        <w:rPr>
          <w:rFonts w:hint="eastAsia" w:ascii="仿宋" w:hAnsi="仿宋" w:eastAsia="仿宋" w:cs="仿宋"/>
          <w:b/>
          <w:color w:val="auto"/>
          <w:sz w:val="24"/>
          <w:highlight w:val="none"/>
        </w:rPr>
        <w:t>（一）总则</w:t>
      </w:r>
    </w:p>
    <w:p>
      <w:pPr>
        <w:shd w:val="clear" w:color="auto" w:fill="FFFFFF"/>
        <w:spacing w:line="400" w:lineRule="exact"/>
        <w:ind w:firstLine="487" w:firstLineChars="202"/>
        <w:rPr>
          <w:rFonts w:ascii="仿宋" w:hAnsi="仿宋" w:eastAsia="仿宋" w:cs="仿宋"/>
          <w:b/>
          <w:color w:val="auto"/>
          <w:sz w:val="24"/>
          <w:highlight w:val="none"/>
        </w:rPr>
      </w:pPr>
      <w:r>
        <w:rPr>
          <w:rFonts w:hint="eastAsia" w:ascii="仿宋" w:hAnsi="仿宋" w:eastAsia="仿宋" w:cs="仿宋"/>
          <w:b/>
          <w:color w:val="auto"/>
          <w:sz w:val="24"/>
          <w:highlight w:val="none"/>
        </w:rPr>
        <w:t>1. 项目说明</w:t>
      </w:r>
    </w:p>
    <w:p>
      <w:pPr>
        <w:shd w:val="clear" w:color="auto" w:fill="FFFFFF"/>
        <w:spacing w:line="400" w:lineRule="exact"/>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1.1 本项目的说明详见投标须知前附表（以下简称“前附表”）所述。</w:t>
      </w:r>
    </w:p>
    <w:p>
      <w:pPr>
        <w:shd w:val="clear" w:color="auto" w:fill="FFFFFF"/>
        <w:spacing w:line="400" w:lineRule="exact"/>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1.2本采购项目已经批准，采购人为</w:t>
      </w:r>
      <w:r>
        <w:rPr>
          <w:rFonts w:hint="eastAsia" w:ascii="仿宋" w:hAnsi="仿宋" w:eastAsia="仿宋" w:cs="仿宋"/>
          <w:color w:val="auto"/>
          <w:sz w:val="24"/>
          <w:highlight w:val="none"/>
          <w:u w:val="single"/>
        </w:rPr>
        <w:t>新疆维吾尔自治区计量测试研究院</w:t>
      </w:r>
      <w:r>
        <w:rPr>
          <w:rFonts w:hint="eastAsia" w:ascii="仿宋" w:hAnsi="仿宋" w:eastAsia="仿宋" w:cs="仿宋"/>
          <w:color w:val="auto"/>
          <w:sz w:val="24"/>
          <w:highlight w:val="none"/>
        </w:rPr>
        <w:t>，该项目已具备采购条件，现对该项目进行</w:t>
      </w:r>
      <w:r>
        <w:rPr>
          <w:rFonts w:hint="eastAsia" w:ascii="仿宋" w:hAnsi="仿宋" w:eastAsia="仿宋" w:cs="仿宋"/>
          <w:color w:val="auto"/>
          <w:sz w:val="24"/>
          <w:highlight w:val="none"/>
          <w:u w:val="single"/>
        </w:rPr>
        <w:t>公开招标</w:t>
      </w:r>
      <w:r>
        <w:rPr>
          <w:rFonts w:hint="eastAsia" w:ascii="仿宋" w:hAnsi="仿宋" w:eastAsia="仿宋" w:cs="仿宋"/>
          <w:color w:val="auto"/>
          <w:sz w:val="24"/>
          <w:highlight w:val="none"/>
        </w:rPr>
        <w:t>。</w:t>
      </w:r>
    </w:p>
    <w:p>
      <w:pPr>
        <w:shd w:val="clear" w:color="auto" w:fill="FFFFFF"/>
        <w:spacing w:line="400" w:lineRule="exact"/>
        <w:ind w:firstLine="484" w:firstLineChars="202"/>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1.3</w:t>
      </w:r>
      <w:r>
        <w:rPr>
          <w:rFonts w:hint="eastAsia" w:ascii="仿宋" w:hAnsi="仿宋" w:eastAsia="仿宋" w:cs="仿宋"/>
          <w:color w:val="auto"/>
          <w:sz w:val="24"/>
          <w:highlight w:val="none"/>
        </w:rPr>
        <w:t>本采购项目投标人的资格审查采取</w:t>
      </w:r>
      <w:r>
        <w:rPr>
          <w:rFonts w:hint="eastAsia" w:ascii="仿宋" w:hAnsi="仿宋" w:eastAsia="仿宋" w:cs="仿宋"/>
          <w:color w:val="auto"/>
          <w:sz w:val="24"/>
          <w:highlight w:val="none"/>
          <w:u w:val="single"/>
        </w:rPr>
        <w:t>资格后审</w:t>
      </w:r>
      <w:r>
        <w:rPr>
          <w:rFonts w:hint="eastAsia" w:ascii="仿宋" w:hAnsi="仿宋" w:eastAsia="仿宋" w:cs="仿宋"/>
          <w:color w:val="auto"/>
          <w:sz w:val="24"/>
          <w:highlight w:val="none"/>
        </w:rPr>
        <w:t>方式。本次招标</w:t>
      </w:r>
      <w:r>
        <w:rPr>
          <w:rFonts w:hint="eastAsia" w:ascii="仿宋" w:hAnsi="仿宋" w:eastAsia="仿宋" w:cs="仿宋"/>
          <w:color w:val="auto"/>
          <w:sz w:val="24"/>
          <w:highlight w:val="none"/>
          <w:u w:val="single"/>
        </w:rPr>
        <w:t>不接受</w:t>
      </w:r>
      <w:r>
        <w:rPr>
          <w:rFonts w:hint="eastAsia" w:ascii="仿宋" w:hAnsi="仿宋" w:eastAsia="仿宋" w:cs="仿宋"/>
          <w:color w:val="auto"/>
          <w:sz w:val="24"/>
          <w:highlight w:val="none"/>
        </w:rPr>
        <w:t>联合体投标。投标人必须符合投标人须知前附表说明，通过资格后审的投标人为合格的投标人。合格的投标人必须符合招标文件中对投标人的规定，且具备独立完成所投项目或所投标段的</w:t>
      </w:r>
      <w:r>
        <w:rPr>
          <w:rFonts w:hint="eastAsia" w:ascii="仿宋" w:hAnsi="仿宋" w:eastAsia="仿宋" w:cs="仿宋"/>
          <w:color w:val="auto"/>
          <w:kern w:val="10"/>
          <w:sz w:val="24"/>
          <w:highlight w:val="none"/>
        </w:rPr>
        <w:t>能</w:t>
      </w:r>
      <w:r>
        <w:rPr>
          <w:rFonts w:hint="eastAsia" w:ascii="仿宋" w:hAnsi="仿宋" w:eastAsia="仿宋" w:cs="仿宋"/>
          <w:color w:val="auto"/>
          <w:sz w:val="24"/>
          <w:highlight w:val="none"/>
        </w:rPr>
        <w:t>力，中标后不允许转包、违法分包。</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 资格后审包括下列的内容</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1.4.1 投标人具有独立法人资格并满足“前附表”规定的资格要求 ；</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1.4.2招标文件有要求投标人法定代表人或其授权代表签字或盖章和加盖投标人公章要求的，投标人须按招标文件要求签署和盖章；</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1.4.3供货期、投标有效期符合招标文件要求；</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1.4.4地点符合招标文件规定；</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1.4.5投标内容、数量、质量、服务等满足招标文件要求；</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1.4.6投标文件中所提条件均须符合采购人的要求；</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1.4.7符合招标文件中规定的其他实质性要求；</w:t>
      </w:r>
    </w:p>
    <w:p>
      <w:pPr>
        <w:shd w:val="clear" w:color="auto" w:fill="FFFFFF"/>
        <w:spacing w:line="400" w:lineRule="exact"/>
        <w:ind w:firstLine="484" w:firstLineChars="202"/>
        <w:rPr>
          <w:rFonts w:ascii="仿宋" w:hAnsi="仿宋" w:eastAsia="仿宋" w:cs="仿宋"/>
          <w:color w:val="auto"/>
          <w:sz w:val="24"/>
          <w:highlight w:val="none"/>
        </w:rPr>
      </w:pPr>
      <w:r>
        <w:rPr>
          <w:rFonts w:hint="eastAsia" w:ascii="仿宋" w:hAnsi="仿宋" w:eastAsia="仿宋" w:cs="仿宋"/>
          <w:color w:val="auto"/>
          <w:kern w:val="0"/>
          <w:sz w:val="24"/>
          <w:highlight w:val="none"/>
        </w:rPr>
        <w:t>1.4.8无法律、法规和规章禁止的其他情况。</w:t>
      </w:r>
    </w:p>
    <w:p>
      <w:pPr>
        <w:shd w:val="clear" w:color="auto" w:fill="FFFFFF"/>
        <w:spacing w:line="400" w:lineRule="exact"/>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2. 采购内容</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2.1本采购项目采购内容</w:t>
      </w:r>
      <w:r>
        <w:rPr>
          <w:rFonts w:hint="eastAsia" w:ascii="仿宋" w:hAnsi="仿宋" w:eastAsia="仿宋" w:cs="仿宋"/>
          <w:color w:val="auto"/>
          <w:kern w:val="0"/>
          <w:sz w:val="24"/>
          <w:highlight w:val="none"/>
        </w:rPr>
        <w:t>已通过“前附表”所述，</w:t>
      </w:r>
      <w:r>
        <w:rPr>
          <w:rFonts w:hint="eastAsia" w:ascii="仿宋" w:hAnsi="仿宋" w:eastAsia="仿宋" w:cs="仿宋"/>
          <w:color w:val="auto"/>
          <w:sz w:val="24"/>
          <w:highlight w:val="none"/>
        </w:rPr>
        <w:t>指本项目招标文件中范围内所要求的所有工作内容。</w:t>
      </w:r>
    </w:p>
    <w:p>
      <w:pPr>
        <w:shd w:val="clear" w:color="auto" w:fill="FFFFFF"/>
        <w:spacing w:line="400" w:lineRule="exact"/>
        <w:ind w:firstLine="487" w:firstLineChars="202"/>
        <w:rPr>
          <w:rFonts w:ascii="仿宋" w:hAnsi="仿宋" w:eastAsia="仿宋" w:cs="仿宋"/>
          <w:b/>
          <w:color w:val="auto"/>
          <w:sz w:val="24"/>
          <w:highlight w:val="none"/>
        </w:rPr>
      </w:pPr>
      <w:r>
        <w:rPr>
          <w:rFonts w:hint="eastAsia" w:ascii="仿宋" w:hAnsi="仿宋" w:eastAsia="仿宋" w:cs="仿宋"/>
          <w:b/>
          <w:color w:val="auto"/>
          <w:sz w:val="24"/>
          <w:highlight w:val="none"/>
        </w:rPr>
        <w:t>3. 适用法律及约束力</w:t>
      </w:r>
    </w:p>
    <w:p>
      <w:pPr>
        <w:shd w:val="clear" w:color="auto" w:fill="FFFFFF"/>
        <w:spacing w:line="400" w:lineRule="exact"/>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color w:val="auto"/>
          <w:sz w:val="24"/>
          <w:highlight w:val="none"/>
        </w:rPr>
        <w:t>投标人一旦购买了招标文件并参加本项目，即被认为接受了招标文件中的所有条件和规定。</w:t>
      </w:r>
    </w:p>
    <w:p>
      <w:pPr>
        <w:shd w:val="clear" w:color="auto" w:fill="FFFFFF"/>
        <w:spacing w:line="400" w:lineRule="exact"/>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3.2投标人应保证，在中华人民共和国境内使用投标成果、服务或其任何一部分时，不会产生因第三方提出侵犯其专利权或其它知识产权而引起的法律和经济纠纷。</w:t>
      </w:r>
    </w:p>
    <w:p>
      <w:pPr>
        <w:shd w:val="clear" w:color="auto" w:fill="FFFFFF"/>
        <w:spacing w:line="400" w:lineRule="exact"/>
        <w:ind w:firstLine="487" w:firstLineChars="202"/>
        <w:rPr>
          <w:rFonts w:ascii="仿宋" w:hAnsi="仿宋" w:eastAsia="仿宋" w:cs="仿宋"/>
          <w:b/>
          <w:color w:val="auto"/>
          <w:sz w:val="24"/>
          <w:highlight w:val="none"/>
        </w:rPr>
      </w:pPr>
      <w:r>
        <w:rPr>
          <w:rFonts w:hint="eastAsia" w:ascii="仿宋" w:hAnsi="仿宋" w:eastAsia="仿宋" w:cs="仿宋"/>
          <w:b/>
          <w:color w:val="auto"/>
          <w:sz w:val="24"/>
          <w:highlight w:val="none"/>
        </w:rPr>
        <w:t>4. 采购项目要求</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4.1质量标准已通过“前附表”所述。</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sz w:val="24"/>
          <w:highlight w:val="none"/>
        </w:rPr>
        <w:t>4.2 供应方与采购人签订合同后，按照招标文件及合同相关的要求编制现场服务计划。</w:t>
      </w:r>
    </w:p>
    <w:p>
      <w:pPr>
        <w:shd w:val="clear" w:color="auto" w:fill="FFFFFF"/>
        <w:spacing w:line="400" w:lineRule="exact"/>
        <w:ind w:firstLine="487" w:firstLineChars="202"/>
        <w:rPr>
          <w:rFonts w:ascii="仿宋" w:hAnsi="仿宋" w:eastAsia="仿宋" w:cs="仿宋"/>
          <w:b/>
          <w:color w:val="auto"/>
          <w:sz w:val="24"/>
          <w:highlight w:val="none"/>
        </w:rPr>
      </w:pPr>
      <w:r>
        <w:rPr>
          <w:rFonts w:hint="eastAsia" w:ascii="仿宋" w:hAnsi="仿宋" w:eastAsia="仿宋" w:cs="仿宋"/>
          <w:b/>
          <w:color w:val="auto"/>
          <w:sz w:val="24"/>
          <w:highlight w:val="none"/>
        </w:rPr>
        <w:t>5. 交货期及项目地点</w:t>
      </w:r>
    </w:p>
    <w:p>
      <w:pPr>
        <w:shd w:val="clear" w:color="auto" w:fill="FFFFFF"/>
        <w:spacing w:line="400" w:lineRule="exact"/>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rPr>
        <w:t>5.1 交货期已</w:t>
      </w:r>
      <w:r>
        <w:rPr>
          <w:rFonts w:hint="eastAsia" w:ascii="仿宋" w:hAnsi="仿宋" w:eastAsia="仿宋" w:cs="仿宋"/>
          <w:color w:val="auto"/>
          <w:kern w:val="0"/>
          <w:sz w:val="24"/>
          <w:highlight w:val="none"/>
        </w:rPr>
        <w:t>通过“前附表”所述，</w:t>
      </w:r>
      <w:r>
        <w:rPr>
          <w:rFonts w:hint="eastAsia" w:ascii="仿宋" w:hAnsi="仿宋" w:eastAsia="仿宋" w:cs="仿宋"/>
          <w:color w:val="auto"/>
          <w:sz w:val="24"/>
          <w:highlight w:val="none"/>
        </w:rPr>
        <w:t>是指完成本项目采购范围工作、达到项目验收条件。</w:t>
      </w:r>
    </w:p>
    <w:p>
      <w:pPr>
        <w:shd w:val="clear" w:color="auto" w:fill="FFFFFF"/>
        <w:spacing w:line="400" w:lineRule="exact"/>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6. 资金来源</w:t>
      </w:r>
    </w:p>
    <w:p>
      <w:pPr>
        <w:shd w:val="clear" w:color="auto" w:fill="FFFFFF"/>
        <w:spacing w:line="400" w:lineRule="exact"/>
        <w:ind w:firstLine="480" w:firstLineChars="200"/>
        <w:rPr>
          <w:rFonts w:ascii="仿宋" w:hAnsi="仿宋" w:eastAsia="仿宋" w:cs="仿宋"/>
          <w:b/>
          <w:bCs/>
          <w:color w:val="auto"/>
          <w:kern w:val="0"/>
          <w:sz w:val="24"/>
          <w:highlight w:val="none"/>
        </w:rPr>
      </w:pPr>
      <w:r>
        <w:rPr>
          <w:rFonts w:hint="eastAsia" w:ascii="仿宋" w:hAnsi="仿宋" w:eastAsia="仿宋" w:cs="仿宋"/>
          <w:bCs/>
          <w:color w:val="auto"/>
          <w:kern w:val="0"/>
          <w:sz w:val="24"/>
          <w:highlight w:val="none"/>
        </w:rPr>
        <w:t>6.1</w:t>
      </w:r>
      <w:r>
        <w:rPr>
          <w:rFonts w:hint="eastAsia" w:ascii="仿宋" w:hAnsi="仿宋" w:eastAsia="仿宋" w:cs="仿宋"/>
          <w:color w:val="auto"/>
          <w:kern w:val="0"/>
          <w:sz w:val="24"/>
          <w:highlight w:val="none"/>
        </w:rPr>
        <w:t>采购单位的资金通过“前附表”所述的方式获得，并将部分资金用于本项目合同下的合格支付。</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7. 投标人资格要求</w:t>
      </w:r>
    </w:p>
    <w:p>
      <w:pPr>
        <w:shd w:val="clear" w:color="auto" w:fill="FFFFFF"/>
        <w:spacing w:line="400" w:lineRule="exact"/>
        <w:ind w:firstLine="480" w:firstLineChars="20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本项目的投标人资格要求详见投标须知前附表</w:t>
      </w:r>
    </w:p>
    <w:p>
      <w:pPr>
        <w:shd w:val="clear" w:color="auto" w:fill="FFFFFF"/>
        <w:spacing w:line="40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 xml:space="preserve">8. </w:t>
      </w:r>
      <w:r>
        <w:rPr>
          <w:rFonts w:hint="eastAsia" w:ascii="仿宋" w:hAnsi="仿宋" w:eastAsia="仿宋" w:cs="仿宋"/>
          <w:b/>
          <w:bCs/>
          <w:color w:val="auto"/>
          <w:kern w:val="0"/>
          <w:sz w:val="24"/>
          <w:highlight w:val="none"/>
        </w:rPr>
        <w:t>投标费用</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投标人应承担其编制投标文件与递交投标文件所涉及的一切费用，不论投标结果如何，采购人或采购代理机构均无义务和责任承担这些费用。</w:t>
      </w:r>
    </w:p>
    <w:p>
      <w:pPr>
        <w:shd w:val="clear" w:color="auto" w:fill="FFFFFF"/>
        <w:spacing w:line="400" w:lineRule="exact"/>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9. 授权委托</w:t>
      </w:r>
    </w:p>
    <w:p>
      <w:pPr>
        <w:shd w:val="clear" w:color="auto" w:fill="FFFFFF"/>
        <w:spacing w:line="400" w:lineRule="exact"/>
        <w:ind w:firstLine="480" w:firstLineChars="20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9.1 投标人开标会代表为法定代表人的，须持有法定代表人身份证明书和法定代表人身份证（原件）；投标人开标会代表不是投标人的法定代表人的，须持有授权委托书和授权代表人的身份证（原件）。</w:t>
      </w:r>
    </w:p>
    <w:p>
      <w:pPr>
        <w:shd w:val="clear" w:color="auto" w:fill="FFFFFF"/>
        <w:spacing w:line="400" w:lineRule="exact"/>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10. 联合体投标</w:t>
      </w:r>
    </w:p>
    <w:p>
      <w:pPr>
        <w:shd w:val="clear" w:color="auto" w:fill="FFFFFF"/>
        <w:spacing w:line="400" w:lineRule="exact"/>
        <w:ind w:firstLine="480" w:firstLineChars="200"/>
        <w:rPr>
          <w:rFonts w:ascii="仿宋" w:hAnsi="仿宋" w:eastAsia="仿宋" w:cs="仿宋"/>
          <w:b/>
          <w:bCs/>
          <w:color w:val="auto"/>
          <w:kern w:val="0"/>
          <w:sz w:val="24"/>
          <w:highlight w:val="none"/>
        </w:rPr>
      </w:pPr>
      <w:r>
        <w:rPr>
          <w:rFonts w:hint="eastAsia" w:ascii="仿宋" w:hAnsi="仿宋" w:eastAsia="仿宋" w:cs="仿宋"/>
          <w:bCs/>
          <w:color w:val="auto"/>
          <w:kern w:val="0"/>
          <w:sz w:val="24"/>
          <w:highlight w:val="none"/>
        </w:rPr>
        <w:t>10.1投标须知前附表中接受联合体投标的，投标人可以联合体形式投标；否则联合体投标视为无效投标。招标项目</w:t>
      </w:r>
      <w:r>
        <w:rPr>
          <w:rFonts w:hint="eastAsia" w:ascii="仿宋" w:hAnsi="仿宋" w:eastAsia="仿宋" w:cs="仿宋"/>
          <w:b/>
          <w:bCs/>
          <w:color w:val="auto"/>
          <w:kern w:val="0"/>
          <w:sz w:val="24"/>
          <w:highlight w:val="none"/>
        </w:rPr>
        <w:t>接受联合体投标的，除应符合本章第7.1</w:t>
      </w:r>
      <w:r>
        <w:rPr>
          <w:rFonts w:hint="eastAsia" w:ascii="仿宋" w:hAnsi="仿宋" w:eastAsia="仿宋" w:cs="仿宋"/>
          <w:b/>
          <w:bCs/>
          <w:color w:val="auto"/>
          <w:kern w:val="0"/>
          <w:sz w:val="24"/>
          <w:highlight w:val="none"/>
          <w:lang w:val="zh-CN"/>
        </w:rPr>
        <w:t>款</w:t>
      </w:r>
      <w:r>
        <w:rPr>
          <w:rFonts w:hint="eastAsia" w:ascii="仿宋" w:hAnsi="仿宋" w:eastAsia="仿宋" w:cs="仿宋"/>
          <w:b/>
          <w:bCs/>
          <w:color w:val="auto"/>
          <w:kern w:val="0"/>
          <w:sz w:val="24"/>
          <w:highlight w:val="none"/>
        </w:rPr>
        <w:t xml:space="preserve">规定外，还应遵守以下规定： </w:t>
      </w:r>
    </w:p>
    <w:p>
      <w:pPr>
        <w:shd w:val="clear" w:color="auto" w:fill="FFFFFF"/>
        <w:spacing w:line="400" w:lineRule="exact"/>
        <w:ind w:firstLine="480" w:firstLineChars="20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（l）联合体各方应按招标文件提供的格式签订</w:t>
      </w:r>
      <w:r>
        <w:rPr>
          <w:rFonts w:hint="eastAsia" w:ascii="仿宋" w:hAnsi="仿宋" w:eastAsia="仿宋" w:cs="仿宋"/>
          <w:bCs/>
          <w:color w:val="auto"/>
          <w:kern w:val="0"/>
          <w:sz w:val="24"/>
          <w:highlight w:val="none"/>
          <w:u w:val="single"/>
        </w:rPr>
        <w:t>联合协议</w:t>
      </w:r>
      <w:r>
        <w:rPr>
          <w:rFonts w:hint="eastAsia" w:ascii="仿宋" w:hAnsi="仿宋" w:eastAsia="仿宋" w:cs="仿宋"/>
          <w:bCs/>
          <w:color w:val="auto"/>
          <w:kern w:val="0"/>
          <w:sz w:val="24"/>
          <w:highlight w:val="none"/>
        </w:rPr>
        <w:t>，明确联合体牵头人和各方的权利义务、合同工作量比例；</w:t>
      </w:r>
    </w:p>
    <w:p>
      <w:pPr>
        <w:shd w:val="clear" w:color="auto" w:fill="FFFFFF"/>
        <w:spacing w:line="400" w:lineRule="exact"/>
        <w:ind w:firstLine="480" w:firstLineChars="200"/>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（2）联合体各方签订联合体协议书后，不得再单独参加或者与其他投标人组成新的联合体参加同一项目的采购活动。</w:t>
      </w:r>
    </w:p>
    <w:p>
      <w:pPr>
        <w:shd w:val="clear" w:color="auto" w:fill="FFFFFF"/>
        <w:spacing w:line="400" w:lineRule="exact"/>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（二）招标文件</w:t>
      </w:r>
    </w:p>
    <w:p>
      <w:pPr>
        <w:shd w:val="clear" w:color="auto" w:fill="FFFFFF"/>
        <w:spacing w:line="400" w:lineRule="exact"/>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11. 招标文件的组成</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11.1 招标文件包括下列内容</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第一章 招标公告</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第二章 投标人须知</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第三章 评标办法</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第四章 采购需求</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第五章 合同格式</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第六章 投标文件格式</w:t>
      </w:r>
    </w:p>
    <w:p>
      <w:pPr>
        <w:shd w:val="clear" w:color="auto" w:fill="FFFFFF"/>
        <w:autoSpaceDE w:val="0"/>
        <w:autoSpaceDN w:val="0"/>
        <w:adjustRightInd w:val="0"/>
        <w:spacing w:line="400" w:lineRule="exact"/>
        <w:ind w:firstLine="480" w:firstLineChars="2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11.2 招标的最小单位是标段。招标文件未分标段的，投标人须对全部招标内容投标，不得部分投标；招标文件分标段的，投标人应当以标段为单位编制并分别提交投标文件。</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sz w:val="24"/>
          <w:highlight w:val="none"/>
          <w:lang w:val="zh-CN"/>
        </w:rPr>
        <w:t>11.3 招标文件如果要求投标人提交备选投标方案的，投标人可以提交备选方案；否则，备选方案将被拒绝。</w:t>
      </w:r>
    </w:p>
    <w:p>
      <w:pPr>
        <w:shd w:val="clear" w:color="auto" w:fill="FFFFFF"/>
        <w:spacing w:line="400" w:lineRule="exact"/>
        <w:ind w:firstLine="484" w:firstLineChars="202"/>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11.4 招标文件由本文件及由采购人按招标文件有关规定发出的招标文件补充构成。</w:t>
      </w:r>
    </w:p>
    <w:p>
      <w:pPr>
        <w:shd w:val="clear" w:color="auto" w:fill="FFFFFF"/>
        <w:spacing w:line="400" w:lineRule="exact"/>
        <w:ind w:firstLine="484" w:firstLineChars="202"/>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11.5 招标文件的澄清、修改、招标答疑会纪要等书面材料在本采购项目中均称招标文件补充。</w:t>
      </w:r>
    </w:p>
    <w:p>
      <w:pPr>
        <w:shd w:val="clear" w:color="auto" w:fill="FFFFFF"/>
        <w:spacing w:line="400" w:lineRule="exact"/>
        <w:ind w:firstLine="484" w:firstLineChars="202"/>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11.6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pPr>
        <w:shd w:val="clear" w:color="auto" w:fill="FFFFFF"/>
        <w:spacing w:line="400" w:lineRule="exact"/>
        <w:ind w:firstLine="484" w:firstLineChars="202"/>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11.7 投标人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投标人承担。</w:t>
      </w:r>
    </w:p>
    <w:p>
      <w:pPr>
        <w:shd w:val="clear" w:color="auto" w:fill="FFFFFF"/>
        <w:spacing w:line="400" w:lineRule="exact"/>
        <w:ind w:firstLine="487" w:firstLineChars="202"/>
        <w:rPr>
          <w:rFonts w:ascii="仿宋" w:hAnsi="仿宋" w:eastAsia="仿宋" w:cs="仿宋"/>
          <w:b/>
          <w:color w:val="auto"/>
          <w:sz w:val="24"/>
          <w:highlight w:val="none"/>
          <w:lang w:val="zh-CN"/>
        </w:rPr>
      </w:pPr>
      <w:r>
        <w:rPr>
          <w:rFonts w:hint="eastAsia" w:ascii="仿宋" w:hAnsi="仿宋" w:eastAsia="仿宋" w:cs="仿宋"/>
          <w:b/>
          <w:color w:val="auto"/>
          <w:sz w:val="24"/>
          <w:highlight w:val="none"/>
          <w:lang w:val="zh-CN"/>
        </w:rPr>
        <w:t>12. 招标文件的获取</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12.1招标文件的提供期限自开始发出之日起不得少于五个工作日。具体提供期限见《招标公告》。</w:t>
      </w:r>
    </w:p>
    <w:p>
      <w:pPr>
        <w:shd w:val="clear" w:color="auto" w:fill="FFFFFF"/>
        <w:spacing w:line="400" w:lineRule="exact"/>
        <w:ind w:firstLine="484" w:firstLineChars="202"/>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12.2凡符合资格要求并有意参加竞标的投标人，按招标公告获取招标文件要求提交的材料后，在代理机构处获取。</w:t>
      </w:r>
    </w:p>
    <w:p>
      <w:pPr>
        <w:shd w:val="clear" w:color="auto" w:fill="FFFFFF"/>
        <w:spacing w:line="400" w:lineRule="exact"/>
        <w:ind w:firstLine="487" w:firstLineChars="202"/>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13. 招标文件的澄清或修改</w:t>
      </w:r>
    </w:p>
    <w:p>
      <w:pPr>
        <w:shd w:val="clear" w:color="auto" w:fill="FFFFFF"/>
        <w:spacing w:line="400" w:lineRule="exact"/>
        <w:ind w:firstLine="484" w:firstLineChars="202"/>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13.1投标人若对招标文件有任何疑问，应于投标截至时间</w:t>
      </w:r>
      <w:r>
        <w:rPr>
          <w:rFonts w:hint="eastAsia" w:ascii="仿宋" w:hAnsi="仿宋" w:eastAsia="仿宋" w:cs="仿宋"/>
          <w:bCs/>
          <w:color w:val="auto"/>
          <w:kern w:val="0"/>
          <w:sz w:val="24"/>
          <w:highlight w:val="none"/>
          <w:u w:val="single"/>
        </w:rPr>
        <w:t xml:space="preserve"> 10 </w:t>
      </w:r>
      <w:r>
        <w:rPr>
          <w:rFonts w:hint="eastAsia" w:ascii="仿宋" w:hAnsi="仿宋" w:eastAsia="仿宋" w:cs="仿宋"/>
          <w:bCs/>
          <w:color w:val="auto"/>
          <w:kern w:val="0"/>
          <w:sz w:val="24"/>
          <w:highlight w:val="none"/>
        </w:rPr>
        <w:t>日前以书面形式向采购人提出澄清要求。澄清要求须以书面形式并加盖投标人公章送至采购代理机构。</w:t>
      </w:r>
    </w:p>
    <w:p>
      <w:pPr>
        <w:shd w:val="clear" w:color="auto" w:fill="FFFFFF"/>
        <w:spacing w:line="400" w:lineRule="exact"/>
        <w:ind w:firstLine="484" w:firstLineChars="202"/>
        <w:rPr>
          <w:rFonts w:ascii="仿宋" w:hAnsi="仿宋" w:eastAsia="仿宋" w:cs="仿宋"/>
          <w:color w:val="auto"/>
          <w:sz w:val="24"/>
          <w:highlight w:val="none"/>
        </w:rPr>
      </w:pPr>
      <w:r>
        <w:rPr>
          <w:rFonts w:hint="eastAsia" w:ascii="仿宋" w:hAnsi="仿宋" w:eastAsia="仿宋" w:cs="仿宋"/>
          <w:color w:val="auto"/>
          <w:sz w:val="24"/>
          <w:highlight w:val="none"/>
          <w:lang w:val="zh-CN"/>
        </w:rPr>
        <w:t>13.2采购人对已发出的招标文件进行必要澄清或者修改的，</w:t>
      </w:r>
      <w:r>
        <w:rPr>
          <w:rFonts w:hint="eastAsia" w:ascii="仿宋" w:hAnsi="仿宋" w:eastAsia="仿宋" w:cs="仿宋"/>
          <w:bCs/>
          <w:color w:val="auto"/>
          <w:kern w:val="0"/>
          <w:sz w:val="24"/>
          <w:highlight w:val="none"/>
        </w:rPr>
        <w:t>在投标截止时间</w:t>
      </w:r>
      <w:r>
        <w:rPr>
          <w:rFonts w:hint="eastAsia" w:ascii="仿宋" w:hAnsi="仿宋" w:eastAsia="仿宋" w:cs="仿宋"/>
          <w:bCs/>
          <w:color w:val="auto"/>
          <w:kern w:val="0"/>
          <w:sz w:val="24"/>
          <w:highlight w:val="none"/>
          <w:u w:val="single"/>
        </w:rPr>
        <w:t xml:space="preserve"> 15 </w:t>
      </w:r>
      <w:r>
        <w:rPr>
          <w:rFonts w:hint="eastAsia" w:ascii="仿宋" w:hAnsi="仿宋" w:eastAsia="仿宋" w:cs="仿宋"/>
          <w:bCs/>
          <w:color w:val="auto"/>
          <w:kern w:val="0"/>
          <w:sz w:val="24"/>
          <w:highlight w:val="none"/>
        </w:rPr>
        <w:t>日前，采购人可</w:t>
      </w:r>
      <w:r>
        <w:rPr>
          <w:rFonts w:hint="eastAsia" w:ascii="仿宋" w:hAnsi="仿宋" w:eastAsia="仿宋" w:cs="仿宋"/>
          <w:color w:val="auto"/>
          <w:sz w:val="24"/>
          <w:highlight w:val="none"/>
          <w:lang w:val="zh-CN"/>
        </w:rPr>
        <w:t>在原采购公告媒体发布更正公告（本项目更正信息将通过采购补充文件发送投标人获取招标文件时预留的邮箱），采购人</w:t>
      </w:r>
      <w:r>
        <w:rPr>
          <w:rFonts w:hint="eastAsia" w:ascii="仿宋" w:hAnsi="仿宋" w:eastAsia="仿宋" w:cs="仿宋"/>
          <w:bCs/>
          <w:color w:val="auto"/>
          <w:kern w:val="0"/>
          <w:sz w:val="24"/>
          <w:highlight w:val="none"/>
        </w:rPr>
        <w:t>对招标文件进行必要的修改或者澄清，</w:t>
      </w:r>
      <w:r>
        <w:rPr>
          <w:rFonts w:hint="eastAsia" w:ascii="仿宋" w:hAnsi="仿宋" w:eastAsia="仿宋" w:cs="仿宋"/>
          <w:color w:val="auto"/>
          <w:sz w:val="24"/>
          <w:highlight w:val="none"/>
          <w:lang w:val="zh-CN"/>
        </w:rPr>
        <w:t>该澄清或者修改的内容为招标文件的组成部分，</w:t>
      </w:r>
      <w:r>
        <w:rPr>
          <w:rFonts w:hint="eastAsia" w:ascii="仿宋" w:hAnsi="仿宋" w:eastAsia="仿宋" w:cs="仿宋"/>
          <w:bCs/>
          <w:color w:val="auto"/>
          <w:kern w:val="0"/>
          <w:sz w:val="24"/>
          <w:highlight w:val="none"/>
        </w:rPr>
        <w:t>具有约束作用。不足15日的，应当顺延投标截止时间。为使投标人在编制投标文件时有充分的时间对招标文件的修改或者澄清等内容进行研究，采购人可酌情延长提交招标文件。</w:t>
      </w:r>
    </w:p>
    <w:p>
      <w:pPr>
        <w:shd w:val="clear" w:color="auto" w:fill="FFFFFF"/>
        <w:spacing w:line="400" w:lineRule="exact"/>
        <w:ind w:firstLine="484" w:firstLineChars="202"/>
        <w:rPr>
          <w:rFonts w:ascii="仿宋" w:hAnsi="仿宋" w:eastAsia="仿宋" w:cs="仿宋"/>
          <w:bCs/>
          <w:color w:val="auto"/>
          <w:kern w:val="0"/>
          <w:sz w:val="24"/>
          <w:highlight w:val="none"/>
        </w:rPr>
      </w:pPr>
      <w:r>
        <w:rPr>
          <w:rFonts w:hint="eastAsia" w:ascii="仿宋" w:hAnsi="仿宋" w:eastAsia="仿宋" w:cs="仿宋"/>
          <w:color w:val="auto"/>
          <w:sz w:val="24"/>
          <w:highlight w:val="none"/>
        </w:rPr>
        <w:t>13.3</w:t>
      </w:r>
      <w:r>
        <w:rPr>
          <w:rFonts w:hint="eastAsia" w:ascii="仿宋" w:hAnsi="仿宋" w:eastAsia="仿宋" w:cs="仿宋"/>
          <w:color w:val="auto"/>
          <w:sz w:val="24"/>
          <w:highlight w:val="none"/>
          <w:lang w:val="zh-CN"/>
        </w:rPr>
        <w:t>采购人在招标文件要求提交投标文件截止时间</w:t>
      </w:r>
      <w:r>
        <w:rPr>
          <w:rFonts w:hint="eastAsia" w:ascii="仿宋" w:hAnsi="仿宋" w:eastAsia="仿宋" w:cs="仿宋"/>
          <w:bCs/>
          <w:iCs/>
          <w:color w:val="auto"/>
          <w:sz w:val="24"/>
          <w:highlight w:val="none"/>
          <w:u w:val="single"/>
          <w:lang w:val="zh-CN"/>
        </w:rPr>
        <w:t>3日</w:t>
      </w:r>
      <w:r>
        <w:rPr>
          <w:rFonts w:hint="eastAsia" w:ascii="仿宋" w:hAnsi="仿宋" w:eastAsia="仿宋" w:cs="仿宋"/>
          <w:color w:val="auto"/>
          <w:sz w:val="24"/>
          <w:highlight w:val="none"/>
          <w:lang w:val="zh-CN"/>
        </w:rPr>
        <w:t>前，有权决定延长投标截止时间和开标时间，并</w:t>
      </w:r>
      <w:r>
        <w:rPr>
          <w:rFonts w:hint="eastAsia" w:ascii="仿宋" w:hAnsi="仿宋" w:eastAsia="仿宋" w:cs="仿宋"/>
          <w:color w:val="auto"/>
          <w:sz w:val="24"/>
          <w:highlight w:val="none"/>
        </w:rPr>
        <w:t>在原招标信息发布媒体上发布变更公告</w:t>
      </w:r>
      <w:r>
        <w:rPr>
          <w:rFonts w:hint="eastAsia" w:ascii="仿宋" w:hAnsi="仿宋" w:eastAsia="仿宋" w:cs="仿宋"/>
          <w:color w:val="auto"/>
          <w:sz w:val="24"/>
          <w:highlight w:val="none"/>
          <w:lang w:val="zh-CN"/>
        </w:rPr>
        <w:t>（本项目变更信息将通过采购补充文件发送投标人获取招标文件时预留的邮箱）</w:t>
      </w:r>
      <w:r>
        <w:rPr>
          <w:rFonts w:hint="eastAsia" w:ascii="仿宋" w:hAnsi="仿宋" w:eastAsia="仿宋" w:cs="仿宋"/>
          <w:color w:val="auto"/>
          <w:sz w:val="24"/>
          <w:highlight w:val="none"/>
        </w:rPr>
        <w:t>。</w:t>
      </w:r>
    </w:p>
    <w:p>
      <w:pPr>
        <w:shd w:val="clear" w:color="auto" w:fill="FFFFFF"/>
        <w:spacing w:line="400" w:lineRule="exact"/>
        <w:ind w:firstLine="484" w:firstLineChars="202"/>
        <w:rPr>
          <w:rFonts w:ascii="仿宋" w:hAnsi="仿宋" w:eastAsia="仿宋" w:cs="仿宋"/>
          <w:bCs/>
          <w:color w:val="auto"/>
          <w:sz w:val="24"/>
          <w:highlight w:val="none"/>
          <w:u w:val="single"/>
        </w:rPr>
      </w:pPr>
      <w:r>
        <w:rPr>
          <w:rFonts w:hint="eastAsia" w:ascii="仿宋" w:hAnsi="仿宋" w:eastAsia="仿宋" w:cs="仿宋"/>
          <w:bCs/>
          <w:color w:val="auto"/>
          <w:kern w:val="0"/>
          <w:sz w:val="24"/>
          <w:highlight w:val="none"/>
        </w:rPr>
        <w:t>13.4投标文件递交截止时间前，投标人须关注本项目采购公告发布网站上本项目的最新</w:t>
      </w:r>
      <w:r>
        <w:rPr>
          <w:rFonts w:hint="eastAsia" w:ascii="仿宋" w:hAnsi="仿宋" w:eastAsia="仿宋" w:cs="仿宋"/>
          <w:color w:val="auto"/>
          <w:sz w:val="24"/>
          <w:highlight w:val="none"/>
        </w:rPr>
        <w:t>的变更公告、更正公告、澄清公告等相关信息（</w:t>
      </w:r>
      <w:r>
        <w:rPr>
          <w:rFonts w:hint="eastAsia" w:ascii="仿宋" w:hAnsi="仿宋" w:eastAsia="仿宋" w:cs="仿宋"/>
          <w:color w:val="auto"/>
          <w:sz w:val="24"/>
          <w:highlight w:val="none"/>
          <w:lang w:val="zh-CN"/>
        </w:rPr>
        <w:t>本项目变更、更正、澄清等信息将通过采购补充文件发送投标人获取招标文件时预留的邮箱</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投标人对索取书面修改或者澄清文件或者查阅电子修改或者澄清文件的行为自行承担责任；在投标截止时间后递交的投标文件视为无效投标文件。</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14. 投标报价</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14.1 本采购项目使用的货币为</w:t>
      </w:r>
      <w:r>
        <w:rPr>
          <w:rFonts w:hint="eastAsia" w:ascii="仿宋" w:hAnsi="仿宋" w:eastAsia="仿宋" w:cs="仿宋"/>
          <w:color w:val="auto"/>
          <w:kern w:val="0"/>
          <w:sz w:val="24"/>
          <w:highlight w:val="none"/>
          <w:u w:val="single"/>
        </w:rPr>
        <w:t xml:space="preserve"> 人民币 </w:t>
      </w:r>
      <w:r>
        <w:rPr>
          <w:rFonts w:hint="eastAsia" w:ascii="仿宋" w:hAnsi="仿宋" w:eastAsia="仿宋" w:cs="仿宋"/>
          <w:color w:val="auto"/>
          <w:kern w:val="0"/>
          <w:sz w:val="24"/>
          <w:highlight w:val="none"/>
        </w:rPr>
        <w:t>，亦以</w:t>
      </w:r>
      <w:r>
        <w:rPr>
          <w:rFonts w:hint="eastAsia" w:ascii="仿宋" w:hAnsi="仿宋" w:eastAsia="仿宋" w:cs="仿宋"/>
          <w:color w:val="auto"/>
          <w:kern w:val="0"/>
          <w:sz w:val="24"/>
          <w:highlight w:val="none"/>
          <w:u w:val="single"/>
        </w:rPr>
        <w:t xml:space="preserve"> 人民币 </w:t>
      </w:r>
      <w:r>
        <w:rPr>
          <w:rFonts w:hint="eastAsia" w:ascii="仿宋" w:hAnsi="仿宋" w:eastAsia="仿宋" w:cs="仿宋"/>
          <w:color w:val="auto"/>
          <w:kern w:val="0"/>
          <w:sz w:val="24"/>
          <w:highlight w:val="none"/>
        </w:rPr>
        <w:t>支付。</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14.2 投标报价为本招标文件所确定的采购范围内的全部工作内容的价格体现。任何有选择的报价将不予接受（除非采购人另有约定），否则，在评标时将其视为无效投标。</w:t>
      </w:r>
    </w:p>
    <w:p>
      <w:pPr>
        <w:shd w:val="clear" w:color="auto" w:fill="FFFFFF"/>
        <w:adjustRightInd w:val="0"/>
        <w:snapToGrid w:val="0"/>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14.3 投标价格应包括：</w:t>
      </w:r>
    </w:p>
    <w:p>
      <w:pPr>
        <w:shd w:val="clear" w:color="auto" w:fill="FFFFFF"/>
        <w:adjustRightInd w:val="0"/>
        <w:snapToGrid w:val="0"/>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14.3.1投标报价包括投标人响应采购需求，完成本项目所包括的全部含税价格的体现。价格部分是对投标产品及服务全部含税价格构成的说明，招标文件如没有特别说明的话，对每一项建设、货物及服务仅接受一个价格。</w:t>
      </w:r>
    </w:p>
    <w:p>
      <w:pPr>
        <w:shd w:val="clear" w:color="auto" w:fill="FFFFFF"/>
        <w:adjustRightInd w:val="0"/>
        <w:snapToGrid w:val="0"/>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14.3.2本项目投标报价为含税价格，投标人投标报价时应综合考虑为完成建设工程达到合格标准，按照规范要求，实际中所采用的工艺所需的所有费用包括风险因素构成全部费用，按技术规范要求完成一个规定计量单位的工程量所需的其他一切费用，并包括未描述但过程中又必须发生的工程内容所需的费用。</w:t>
      </w:r>
    </w:p>
    <w:p>
      <w:pPr>
        <w:shd w:val="clear" w:color="auto" w:fill="FFFFFF"/>
        <w:adjustRightInd w:val="0"/>
        <w:snapToGrid w:val="0"/>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14.3.3投标人的任何错漏、优惠、竞争性报价不得作为减轻责任、减少服务、增加收费、降低质量的理由。投标人必须自行考虑本项目在期间的一切可能产生的费用。在合同执行过程中，采购人将不再另行支付与本项目相关的任何费用（非本项目特殊要求的内容除外）。</w:t>
      </w:r>
    </w:p>
    <w:p>
      <w:pPr>
        <w:shd w:val="clear" w:color="auto" w:fill="FFFFFF"/>
        <w:adjustRightInd w:val="0"/>
        <w:snapToGrid w:val="0"/>
        <w:spacing w:line="400" w:lineRule="exact"/>
        <w:ind w:firstLine="480" w:firstLineChars="200"/>
        <w:rPr>
          <w:rFonts w:ascii="仿宋" w:hAnsi="仿宋" w:eastAsia="仿宋" w:cs="仿宋"/>
          <w:b/>
          <w:color w:val="auto"/>
          <w:kern w:val="0"/>
          <w:sz w:val="24"/>
          <w:highlight w:val="none"/>
          <w:u w:val="single"/>
        </w:rPr>
      </w:pPr>
      <w:r>
        <w:rPr>
          <w:rFonts w:hint="eastAsia" w:ascii="仿宋" w:hAnsi="仿宋" w:eastAsia="仿宋" w:cs="仿宋"/>
          <w:color w:val="auto"/>
          <w:kern w:val="0"/>
          <w:sz w:val="24"/>
          <w:highlight w:val="none"/>
        </w:rPr>
        <w:t>14.3.4投标人应在《开标一览表》、《</w:t>
      </w:r>
      <w:r>
        <w:rPr>
          <w:rFonts w:hint="eastAsia" w:ascii="仿宋" w:hAnsi="仿宋" w:eastAsia="仿宋" w:cs="仿宋"/>
          <w:bCs/>
          <w:color w:val="auto"/>
          <w:kern w:val="0"/>
          <w:sz w:val="24"/>
          <w:highlight w:val="none"/>
        </w:rPr>
        <w:t>投标报价一览表</w:t>
      </w:r>
      <w:r>
        <w:rPr>
          <w:rFonts w:hint="eastAsia" w:ascii="仿宋" w:hAnsi="仿宋" w:eastAsia="仿宋" w:cs="仿宋"/>
          <w:color w:val="auto"/>
          <w:kern w:val="0"/>
          <w:sz w:val="24"/>
          <w:highlight w:val="none"/>
        </w:rPr>
        <w:t>》等标明投标人报价；《清单报价》提供明细报价。</w:t>
      </w:r>
    </w:p>
    <w:p>
      <w:pPr>
        <w:shd w:val="clear" w:color="auto" w:fill="FFFFFF"/>
        <w:adjustRightInd w:val="0"/>
        <w:snapToGrid w:val="0"/>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14.4投标文件报价出现前后不一致的，除招标文件另有规定外，按照下列规定修正：</w:t>
      </w:r>
    </w:p>
    <w:p>
      <w:pPr>
        <w:shd w:val="clear" w:color="auto" w:fill="FFFFFF"/>
        <w:adjustRightInd w:val="0"/>
        <w:snapToGrid w:val="0"/>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（一）投标文件中开标一览表（报价表）内容与投标文件中相应内容不一致的，以开标一览表（报价表）为准；</w:t>
      </w:r>
    </w:p>
    <w:p>
      <w:pPr>
        <w:shd w:val="clear" w:color="auto" w:fill="FFFFFF"/>
        <w:adjustRightInd w:val="0"/>
        <w:snapToGrid w:val="0"/>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（二）大写金额和小写金额不一致的，以大写金额为准；</w:t>
      </w:r>
    </w:p>
    <w:p>
      <w:pPr>
        <w:shd w:val="clear" w:color="auto" w:fill="FFFFFF"/>
        <w:adjustRightInd w:val="0"/>
        <w:snapToGrid w:val="0"/>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（三）单价金额小数点或者百分比有明显错位的，以开标一览表的总价为准，并修改单价；</w:t>
      </w:r>
    </w:p>
    <w:p>
      <w:pPr>
        <w:shd w:val="clear" w:color="auto" w:fill="FFFFFF"/>
        <w:adjustRightInd w:val="0"/>
        <w:snapToGrid w:val="0"/>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（四）总价金额与按单价汇总金额不一致的，以单价金额计算结果为准。</w:t>
      </w:r>
    </w:p>
    <w:p>
      <w:pPr>
        <w:shd w:val="clear" w:color="auto" w:fill="FFFFFF"/>
        <w:adjustRightInd w:val="0"/>
        <w:snapToGrid w:val="0"/>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同时出现两种以上不一致的，按照前款规定的顺序修正。</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15.投标保证金</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15.1投标保证金是为了保护采购人和招标机构免遭因投标人的违规、违约行为而引起的风险，采购人/代理机构在受到损害时可根据本须知的有关规定没收投标人的投标保证金。中标人如未能按招标文件要求与采购人签署项目合同或未按招标文件要求提交履约保证金的，视为投标人违约，则采购人有权提取中标人投标保证金。</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15.2 投标人应提交投标保证金，并作为其投标的一部分。招标文件前附表规定交纳</w:t>
      </w:r>
      <w:r>
        <w:rPr>
          <w:rFonts w:hint="eastAsia" w:ascii="仿宋" w:hAnsi="仿宋" w:eastAsia="仿宋" w:cs="仿宋"/>
          <w:bCs/>
          <w:color w:val="auto"/>
          <w:kern w:val="0"/>
          <w:sz w:val="24"/>
          <w:highlight w:val="none"/>
        </w:rPr>
        <w:t>投标保证金的</w:t>
      </w:r>
      <w:r>
        <w:rPr>
          <w:rFonts w:hint="eastAsia" w:ascii="仿宋" w:hAnsi="仿宋" w:eastAsia="仿宋" w:cs="仿宋"/>
          <w:color w:val="auto"/>
          <w:kern w:val="0"/>
          <w:sz w:val="24"/>
          <w:highlight w:val="none"/>
        </w:rPr>
        <w:t>，</w:t>
      </w:r>
      <w:r>
        <w:rPr>
          <w:rFonts w:hint="eastAsia" w:ascii="仿宋" w:hAnsi="仿宋" w:eastAsia="仿宋" w:cs="仿宋"/>
          <w:bCs/>
          <w:color w:val="auto"/>
          <w:kern w:val="0"/>
          <w:sz w:val="24"/>
          <w:highlight w:val="none"/>
        </w:rPr>
        <w:t>投标人应按招标文件前附表</w:t>
      </w:r>
      <w:r>
        <w:rPr>
          <w:rFonts w:hint="eastAsia" w:ascii="仿宋" w:hAnsi="仿宋" w:eastAsia="仿宋" w:cs="仿宋"/>
          <w:color w:val="auto"/>
          <w:kern w:val="0"/>
          <w:sz w:val="24"/>
          <w:highlight w:val="none"/>
        </w:rPr>
        <w:t>规定的要求</w:t>
      </w:r>
      <w:r>
        <w:rPr>
          <w:rFonts w:hint="eastAsia" w:ascii="仿宋" w:hAnsi="仿宋" w:eastAsia="仿宋" w:cs="仿宋"/>
          <w:bCs/>
          <w:color w:val="auto"/>
          <w:kern w:val="0"/>
          <w:sz w:val="24"/>
          <w:highlight w:val="none"/>
        </w:rPr>
        <w:t>提交保证金</w:t>
      </w:r>
      <w:r>
        <w:rPr>
          <w:rFonts w:hint="eastAsia" w:ascii="仿宋" w:hAnsi="仿宋" w:eastAsia="仿宋" w:cs="仿宋"/>
          <w:color w:val="auto"/>
          <w:kern w:val="0"/>
          <w:sz w:val="24"/>
          <w:highlight w:val="none"/>
        </w:rPr>
        <w:t>，</w:t>
      </w:r>
      <w:r>
        <w:rPr>
          <w:rFonts w:hint="eastAsia" w:ascii="仿宋" w:hAnsi="仿宋" w:eastAsia="仿宋" w:cs="仿宋"/>
          <w:bCs/>
          <w:color w:val="auto"/>
          <w:kern w:val="0"/>
          <w:sz w:val="24"/>
          <w:highlight w:val="none"/>
        </w:rPr>
        <w:t>投标保证金有效期应与</w:t>
      </w:r>
      <w:r>
        <w:rPr>
          <w:rFonts w:hint="eastAsia" w:ascii="仿宋" w:hAnsi="仿宋" w:eastAsia="仿宋" w:cs="仿宋"/>
          <w:color w:val="auto"/>
          <w:kern w:val="0"/>
          <w:sz w:val="24"/>
          <w:highlight w:val="none"/>
        </w:rPr>
        <w:t>招标文件规定</w:t>
      </w:r>
      <w:r>
        <w:rPr>
          <w:rFonts w:hint="eastAsia" w:ascii="仿宋" w:hAnsi="仿宋" w:eastAsia="仿宋" w:cs="仿宋"/>
          <w:bCs/>
          <w:color w:val="auto"/>
          <w:kern w:val="0"/>
          <w:sz w:val="24"/>
          <w:highlight w:val="none"/>
        </w:rPr>
        <w:t>的投标有效期一致。投标人</w:t>
      </w:r>
      <w:r>
        <w:rPr>
          <w:rFonts w:hint="eastAsia" w:ascii="仿宋" w:hAnsi="仿宋" w:eastAsia="仿宋" w:cs="仿宋"/>
          <w:color w:val="auto"/>
          <w:kern w:val="0"/>
          <w:sz w:val="24"/>
          <w:highlight w:val="none"/>
        </w:rPr>
        <w:t>未按照招标文件要求提交投标保证金的，投标无效。</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15.3 投标保证金应当以支票、汇票、本票或者金融机构、担保机构出具的保函等非现金形式提交。凡未按招标文件要求提交投标保证金的，将视为非实质性响应性投标而被拒绝。</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15.4招标文件接受联合体投标的，可以由联合体中的一方或者共同提交投标保证金。以一方名义提交投标保证金的，对联合体各方均具有约束力。</w:t>
      </w:r>
    </w:p>
    <w:p>
      <w:pPr>
        <w:shd w:val="clear" w:color="auto" w:fill="FFFFFF"/>
        <w:spacing w:line="400" w:lineRule="exact"/>
        <w:ind w:firstLine="484" w:firstLineChars="202"/>
        <w:rPr>
          <w:rFonts w:ascii="仿宋" w:hAnsi="仿宋" w:eastAsia="仿宋" w:cs="仿宋"/>
          <w:b/>
          <w:color w:val="auto"/>
          <w:kern w:val="0"/>
          <w:sz w:val="24"/>
          <w:highlight w:val="none"/>
        </w:rPr>
      </w:pPr>
      <w:r>
        <w:rPr>
          <w:rFonts w:hint="eastAsia" w:ascii="仿宋" w:hAnsi="仿宋" w:eastAsia="仿宋" w:cs="仿宋"/>
          <w:color w:val="auto"/>
          <w:kern w:val="0"/>
          <w:sz w:val="24"/>
          <w:highlight w:val="none"/>
        </w:rPr>
        <w:t>15.5 未中标人的投标保证金，将在中标通知书发出5个工作日内退还（因违反规定被没收的投标保证金不予退回）。</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15.6 中标人的投标保证金，自采购合同签订之日起5个工作日内退还。</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15.7 </w:t>
      </w:r>
      <w:r>
        <w:rPr>
          <w:rFonts w:hint="eastAsia" w:ascii="仿宋" w:hAnsi="仿宋" w:eastAsia="仿宋" w:cs="仿宋"/>
          <w:b/>
          <w:color w:val="auto"/>
          <w:kern w:val="0"/>
          <w:sz w:val="24"/>
          <w:highlight w:val="none"/>
        </w:rPr>
        <w:t>下列任何情况发生时，投标保证金将被没收：</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 投标人在规定的投标有效期内撤回其投标；</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（2）投标提供虚假材料谋取中标的；</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（3）确定中标供应商后，中标人无正当理由放弃中标资格的；</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（4）中标后，无正当理由不签订合同或转让、违法分包项目以及拒绝履行合同义务的；</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（5）未按招标文件要求提交履约保证金的；</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（6）招标文件规定的其他情形。</w:t>
      </w:r>
    </w:p>
    <w:p>
      <w:pPr>
        <w:shd w:val="clear" w:color="auto" w:fill="FFFFFF"/>
        <w:autoSpaceDE w:val="0"/>
        <w:autoSpaceDN w:val="0"/>
        <w:adjustRightInd w:val="0"/>
        <w:spacing w:line="400" w:lineRule="exact"/>
        <w:ind w:firstLine="480" w:firstLineChars="200"/>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15.8 </w:t>
      </w:r>
      <w:r>
        <w:rPr>
          <w:rFonts w:hint="eastAsia" w:ascii="仿宋" w:hAnsi="仿宋" w:eastAsia="仿宋" w:cs="仿宋"/>
          <w:b/>
          <w:color w:val="auto"/>
          <w:kern w:val="0"/>
          <w:sz w:val="24"/>
          <w:highlight w:val="none"/>
        </w:rPr>
        <w:t>投标人办理投标保证金退款申请手续须提供以下资料：</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15.8.1 公司开户许可证或汇款账户信息复印件并加盖公章；</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15.8.2 保证金收据（请注明：今收到新疆润标工程勘察设计研究院有限公司乌鲁木齐分公司退还</w:t>
      </w:r>
      <w:r>
        <w:rPr>
          <w:rFonts w:hint="eastAsia" w:ascii="仿宋" w:hAnsi="仿宋" w:eastAsia="仿宋" w:cs="仿宋"/>
          <w:color w:val="auto"/>
          <w:kern w:val="0"/>
          <w:sz w:val="24"/>
          <w:highlight w:val="none"/>
          <w:u w:val="single"/>
        </w:rPr>
        <w:t xml:space="preserve">  ×××项目  </w:t>
      </w:r>
      <w:r>
        <w:rPr>
          <w:rFonts w:hint="eastAsia" w:ascii="仿宋" w:hAnsi="仿宋" w:eastAsia="仿宋" w:cs="仿宋"/>
          <w:color w:val="auto"/>
          <w:kern w:val="0"/>
          <w:sz w:val="24"/>
          <w:highlight w:val="none"/>
        </w:rPr>
        <w:t>投标保证金</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元），收据需加盖财务专用章；</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采购代理机构在收齐相关资料后，无息退还保证金。</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资料提交或邮寄地址：新疆乌鲁木齐市新市区鲤鱼山北路199号集电港B座902室，收件人：张刚，电话：17767402939。</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16. 招标答疑会和集中踏勘</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16.1本项目不组织招标答疑会。</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16.2 采购人不组织投标人进行集中踏勘。投标人可自行在投标截止前对项目现场和周围环境进行勘察，以获取须投标人自己负责的有关编制投标文件和签署合同所需的所有资料。踏勘现场所发生的费用及风险由投标人自己承担。</w:t>
      </w:r>
    </w:p>
    <w:p>
      <w:pPr>
        <w:shd w:val="clear" w:color="auto" w:fill="FFFFFF"/>
        <w:spacing w:line="400" w:lineRule="exact"/>
        <w:ind w:firstLine="482" w:firstLineChars="200"/>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17. 投标有效期</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17.1 投标有效期见本须知前附表所规定的期限，在此期限内，凡符合本招标文件要求的投标文件均保持有效。投标有效期不足的，在评标时将其视为无效投标。</w:t>
      </w:r>
    </w:p>
    <w:p>
      <w:pPr>
        <w:shd w:val="clear" w:color="auto" w:fill="FFFFFF"/>
        <w:spacing w:line="400" w:lineRule="exact"/>
        <w:ind w:firstLine="484" w:firstLineChars="202"/>
        <w:rPr>
          <w:rFonts w:ascii="仿宋" w:hAnsi="仿宋" w:eastAsia="仿宋" w:cs="仿宋"/>
          <w:bCs/>
          <w:color w:val="auto"/>
          <w:kern w:val="0"/>
          <w:sz w:val="24"/>
          <w:highlight w:val="none"/>
        </w:rPr>
      </w:pPr>
      <w:r>
        <w:rPr>
          <w:rFonts w:hint="eastAsia" w:ascii="仿宋" w:hAnsi="仿宋" w:eastAsia="仿宋" w:cs="仿宋"/>
          <w:color w:val="auto"/>
          <w:kern w:val="0"/>
          <w:sz w:val="24"/>
          <w:highlight w:val="none"/>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pPr>
        <w:shd w:val="clear" w:color="auto" w:fill="FFFFFF"/>
        <w:spacing w:line="400" w:lineRule="exact"/>
        <w:ind w:firstLine="487" w:firstLineChars="202"/>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（三） 投标文件的编制</w:t>
      </w:r>
    </w:p>
    <w:p>
      <w:pPr>
        <w:shd w:val="clear" w:color="auto" w:fill="FFFFFF"/>
        <w:spacing w:line="400" w:lineRule="exact"/>
        <w:ind w:firstLine="487" w:firstLineChars="202"/>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18. 投标文件编制要求</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18.1投标人提交的投标文件及投标人与采购代理机构就有关投标的所有来往函电均使用中文。</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19. 投标文件编制的依据</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19.1 采购人提供的有关资料；</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19.2 本招标文件及招标文件的修改或者澄清；</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19.3 政府采购相关的法律、法规和规定。</w:t>
      </w:r>
    </w:p>
    <w:p>
      <w:pPr>
        <w:shd w:val="clear" w:color="auto" w:fill="FFFFFF"/>
        <w:spacing w:line="400" w:lineRule="exact"/>
        <w:ind w:firstLine="487" w:firstLineChars="202"/>
        <w:outlineLvl w:val="0"/>
        <w:rPr>
          <w:rFonts w:ascii="仿宋" w:hAnsi="仿宋" w:eastAsia="仿宋" w:cs="仿宋"/>
          <w:b/>
          <w:color w:val="auto"/>
          <w:kern w:val="0"/>
          <w:sz w:val="24"/>
          <w:highlight w:val="none"/>
        </w:rPr>
      </w:pPr>
      <w:bookmarkStart w:id="3" w:name="_Toc4995"/>
      <w:r>
        <w:rPr>
          <w:rFonts w:hint="eastAsia" w:ascii="仿宋" w:hAnsi="仿宋" w:eastAsia="仿宋" w:cs="仿宋"/>
          <w:b/>
          <w:color w:val="auto"/>
          <w:kern w:val="0"/>
          <w:sz w:val="24"/>
          <w:highlight w:val="none"/>
        </w:rPr>
        <w:t>20. 投标文件的组成</w:t>
      </w:r>
      <w:bookmarkEnd w:id="3"/>
    </w:p>
    <w:p>
      <w:pPr>
        <w:shd w:val="clear" w:color="auto" w:fill="FFFFFF"/>
        <w:spacing w:line="400" w:lineRule="exact"/>
        <w:ind w:firstLine="487" w:firstLineChars="202"/>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20.1投标文件的组成：</w:t>
      </w:r>
      <w:r>
        <w:rPr>
          <w:rFonts w:hint="eastAsia" w:ascii="仿宋" w:hAnsi="仿宋" w:eastAsia="仿宋" w:cs="仿宋"/>
          <w:bCs/>
          <w:color w:val="auto"/>
          <w:kern w:val="0"/>
          <w:sz w:val="24"/>
          <w:highlight w:val="none"/>
        </w:rPr>
        <w:t>商务部分、技术部分、报价部分</w:t>
      </w:r>
      <w:r>
        <w:rPr>
          <w:rFonts w:hint="eastAsia" w:ascii="仿宋" w:hAnsi="仿宋" w:eastAsia="仿宋" w:cs="仿宋"/>
          <w:b/>
          <w:bCs/>
          <w:color w:val="auto"/>
          <w:kern w:val="0"/>
          <w:sz w:val="24"/>
          <w:highlight w:val="none"/>
        </w:rPr>
        <w:t>。</w:t>
      </w:r>
    </w:p>
    <w:p>
      <w:pPr>
        <w:shd w:val="clear" w:color="auto" w:fill="FFFFFF"/>
        <w:spacing w:line="400" w:lineRule="exact"/>
        <w:ind w:firstLine="484" w:firstLineChars="202"/>
        <w:rPr>
          <w:rFonts w:ascii="仿宋" w:hAnsi="仿宋" w:eastAsia="仿宋" w:cs="仿宋"/>
          <w:b/>
          <w:bCs/>
          <w:color w:val="auto"/>
          <w:kern w:val="0"/>
          <w:sz w:val="24"/>
          <w:highlight w:val="none"/>
        </w:rPr>
      </w:pPr>
      <w:r>
        <w:rPr>
          <w:rFonts w:hint="eastAsia" w:ascii="仿宋" w:hAnsi="仿宋" w:eastAsia="仿宋" w:cs="仿宋"/>
          <w:color w:val="auto"/>
          <w:kern w:val="0"/>
          <w:sz w:val="24"/>
          <w:highlight w:val="none"/>
        </w:rPr>
        <w:t>投标人应当根据招标文件要求编制响应文件，并根据自己的商务能力、技术水平对招标文件提出的要求和条件逐条标明是否响应。</w:t>
      </w:r>
    </w:p>
    <w:p>
      <w:pPr>
        <w:shd w:val="clear" w:color="auto" w:fill="FFFFFF"/>
        <w:spacing w:line="400" w:lineRule="exact"/>
        <w:ind w:firstLine="482" w:firstLineChars="200"/>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20.2 投标文件主要包括</w:t>
      </w:r>
      <w:r>
        <w:rPr>
          <w:rFonts w:hint="eastAsia" w:ascii="仿宋" w:hAnsi="仿宋" w:eastAsia="仿宋" w:cs="仿宋"/>
          <w:b/>
          <w:color w:val="auto"/>
          <w:sz w:val="24"/>
          <w:highlight w:val="none"/>
        </w:rPr>
        <w:t>但不限于以下内容：</w:t>
      </w:r>
    </w:p>
    <w:p>
      <w:pPr>
        <w:shd w:val="clear" w:color="auto" w:fill="FFFFFF"/>
        <w:spacing w:line="400" w:lineRule="exact"/>
        <w:ind w:firstLine="484" w:firstLineChars="202"/>
        <w:rPr>
          <w:rFonts w:ascii="仿宋" w:hAnsi="仿宋" w:eastAsia="仿宋" w:cs="仿宋"/>
          <w:color w:val="auto"/>
          <w:kern w:val="0"/>
          <w:sz w:val="24"/>
          <w:highlight w:val="none"/>
        </w:rPr>
      </w:pPr>
      <w:bookmarkStart w:id="4" w:name="_Hlk519798401"/>
      <w:r>
        <w:rPr>
          <w:rFonts w:hint="eastAsia" w:ascii="仿宋" w:hAnsi="仿宋" w:eastAsia="仿宋" w:cs="仿宋"/>
          <w:color w:val="auto"/>
          <w:kern w:val="0"/>
          <w:sz w:val="24"/>
          <w:highlight w:val="none"/>
        </w:rPr>
        <w:t>（1）投标函；</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（2）法定代表人身份证明书；</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（3）法定代表人授权委托书；</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（4）投标报价一览表；</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（5）明细报价表；</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（6）投标人的资格证明材料；</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（7）投标保证金缴纳凭证；</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（8）项目人员配备情况表；</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（9）投标人近三年相关项目业绩表（2019年1月至今）；</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（10）商务、技术条款偏离表；</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（11）有关投标产品的证明、检测报告或产品鉴定证书</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（12）技术方案；</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（13）投标人认为需要提交的其他商务技术资料</w:t>
      </w:r>
    </w:p>
    <w:bookmarkEnd w:id="4"/>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21. 投标文件的编制及格式</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sz w:val="24"/>
          <w:highlight w:val="none"/>
        </w:rPr>
        <w:t>21.1 投标文件包括本招标文件第20条规定的内容，投标人提供的投标文件须使用招标文件所提供投标文件格式（表格可按照同样格式扩展），并保证所提供的资料的真实性。未提供格式的，投标人可自行编制。</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21.2 招标文件要求提供的所有证书、合同、获奖表彰文件等招标要求的证明资料，均使用复印件，特别说明为原件的除外。</w:t>
      </w:r>
      <w:r>
        <w:rPr>
          <w:rFonts w:hint="eastAsia" w:ascii="仿宋" w:hAnsi="仿宋" w:eastAsia="仿宋" w:cs="仿宋"/>
          <w:color w:val="auto"/>
          <w:sz w:val="24"/>
          <w:highlight w:val="none"/>
        </w:rPr>
        <w:t>本招标文件规定的投标文件编制中所需提交的证明材料复印件须加盖投标人公章,</w:t>
      </w:r>
      <w:r>
        <w:rPr>
          <w:rFonts w:hint="eastAsia" w:ascii="仿宋" w:hAnsi="仿宋" w:eastAsia="仿宋" w:cs="仿宋"/>
          <w:color w:val="auto"/>
          <w:kern w:val="0"/>
          <w:sz w:val="24"/>
          <w:highlight w:val="none"/>
        </w:rPr>
        <w:t>否则视为非实质响应招标文件</w:t>
      </w:r>
      <w:r>
        <w:rPr>
          <w:rFonts w:hint="eastAsia" w:ascii="仿宋" w:hAnsi="仿宋" w:eastAsia="仿宋" w:cs="仿宋"/>
          <w:color w:val="auto"/>
          <w:sz w:val="24"/>
          <w:highlight w:val="none"/>
        </w:rPr>
        <w:t>。</w:t>
      </w:r>
    </w:p>
    <w:p>
      <w:pPr>
        <w:shd w:val="clear" w:color="auto" w:fill="FFFFFF"/>
        <w:spacing w:line="400" w:lineRule="exact"/>
        <w:ind w:firstLine="484" w:firstLineChars="202"/>
        <w:outlineLvl w:val="0"/>
        <w:rPr>
          <w:rFonts w:ascii="仿宋" w:hAnsi="仿宋" w:eastAsia="仿宋" w:cs="仿宋"/>
          <w:color w:val="auto"/>
          <w:kern w:val="0"/>
          <w:sz w:val="24"/>
          <w:highlight w:val="none"/>
        </w:rPr>
      </w:pPr>
      <w:bookmarkStart w:id="5" w:name="_Toc31575"/>
      <w:r>
        <w:rPr>
          <w:rFonts w:hint="eastAsia" w:ascii="仿宋" w:hAnsi="仿宋" w:eastAsia="仿宋" w:cs="仿宋"/>
          <w:color w:val="auto"/>
          <w:kern w:val="0"/>
          <w:sz w:val="24"/>
          <w:highlight w:val="none"/>
        </w:rPr>
        <w:t>21.3 投标文件的正本和副本均需打印或用不褪色、不变质的墨水书写，并按招标文件规定签字和盖章。投标文件副本可采用正本的复印件。用于开标唱标单独提交的“开标一览表”应为原件。</w:t>
      </w:r>
    </w:p>
    <w:p>
      <w:pPr>
        <w:shd w:val="clear" w:color="auto" w:fill="FFFFFF"/>
        <w:spacing w:line="400" w:lineRule="exact"/>
        <w:ind w:firstLine="484" w:firstLineChars="202"/>
        <w:outlineLvl w:val="0"/>
        <w:rPr>
          <w:rFonts w:ascii="仿宋" w:hAnsi="仿宋" w:eastAsia="仿宋" w:cs="仿宋"/>
          <w:color w:val="auto"/>
          <w:sz w:val="24"/>
          <w:highlight w:val="none"/>
        </w:rPr>
      </w:pPr>
      <w:r>
        <w:rPr>
          <w:rFonts w:hint="eastAsia" w:ascii="仿宋" w:hAnsi="仿宋" w:eastAsia="仿宋" w:cs="仿宋"/>
          <w:color w:val="auto"/>
          <w:kern w:val="0"/>
          <w:sz w:val="24"/>
          <w:highlight w:val="none"/>
        </w:rPr>
        <w:t>21.4 投标文件严禁涂改或行间插字和增删。除非这些修改是根据采购人的指示进行的，或者是投标人造成的必须修改的错误，</w:t>
      </w:r>
      <w:r>
        <w:rPr>
          <w:rFonts w:hint="eastAsia" w:ascii="仿宋" w:hAnsi="仿宋" w:eastAsia="仿宋" w:cs="仿宋"/>
          <w:color w:val="auto"/>
          <w:sz w:val="24"/>
          <w:highlight w:val="none"/>
        </w:rPr>
        <w:t>必要的修改处必须有投标人法人代表或其授权代表人签字。</w:t>
      </w:r>
      <w:bookmarkEnd w:id="5"/>
    </w:p>
    <w:p>
      <w:pPr>
        <w:shd w:val="clear" w:color="auto" w:fill="FFFFFF"/>
        <w:spacing w:line="400" w:lineRule="exact"/>
        <w:ind w:firstLine="484" w:firstLineChars="202"/>
        <w:outlineLvl w:val="0"/>
        <w:rPr>
          <w:rFonts w:ascii="仿宋" w:hAnsi="仿宋" w:eastAsia="仿宋" w:cs="仿宋"/>
          <w:color w:val="auto"/>
          <w:sz w:val="24"/>
          <w:highlight w:val="none"/>
        </w:rPr>
      </w:pPr>
      <w:bookmarkStart w:id="6" w:name="_Toc18866"/>
      <w:r>
        <w:rPr>
          <w:rFonts w:hint="eastAsia" w:ascii="仿宋" w:hAnsi="仿宋" w:eastAsia="仿宋" w:cs="仿宋"/>
          <w:color w:val="auto"/>
          <w:sz w:val="24"/>
          <w:highlight w:val="none"/>
        </w:rPr>
        <w:t>21.5除特别说明外，全套响应文件的书面部分均须使用A4规格纸张无线胶装方式装订，不得采用活页夹等可随时拆换的方式装订。</w:t>
      </w:r>
      <w:bookmarkEnd w:id="6"/>
    </w:p>
    <w:p>
      <w:pPr>
        <w:shd w:val="clear" w:color="auto" w:fill="FFFFFF"/>
        <w:spacing w:line="400" w:lineRule="exact"/>
        <w:ind w:firstLine="484" w:firstLineChars="202"/>
        <w:outlineLvl w:val="0"/>
        <w:rPr>
          <w:rFonts w:ascii="仿宋" w:hAnsi="仿宋" w:eastAsia="仿宋" w:cs="仿宋"/>
          <w:color w:val="auto"/>
          <w:sz w:val="24"/>
          <w:highlight w:val="none"/>
        </w:rPr>
      </w:pPr>
      <w:bookmarkStart w:id="7" w:name="_Toc32267"/>
      <w:r>
        <w:rPr>
          <w:rFonts w:hint="eastAsia" w:ascii="仿宋" w:hAnsi="仿宋" w:eastAsia="仿宋" w:cs="仿宋"/>
          <w:color w:val="auto"/>
          <w:sz w:val="24"/>
          <w:highlight w:val="none"/>
        </w:rPr>
        <w:t>21.6 招标文件中分标段的，</w:t>
      </w:r>
      <w:r>
        <w:rPr>
          <w:rFonts w:hint="eastAsia" w:ascii="仿宋" w:hAnsi="仿宋" w:eastAsia="仿宋" w:cs="仿宋"/>
          <w:bCs/>
          <w:color w:val="auto"/>
          <w:sz w:val="24"/>
          <w:highlight w:val="none"/>
          <w:lang w:val="zh-CN"/>
        </w:rPr>
        <w:t>投标人</w:t>
      </w:r>
      <w:r>
        <w:rPr>
          <w:rFonts w:hint="eastAsia" w:ascii="仿宋" w:hAnsi="仿宋" w:eastAsia="仿宋" w:cs="仿宋"/>
          <w:bCs/>
          <w:color w:val="auto"/>
          <w:sz w:val="24"/>
          <w:highlight w:val="none"/>
        </w:rPr>
        <w:t>须按照招标文件的要求，</w:t>
      </w:r>
      <w:r>
        <w:rPr>
          <w:rFonts w:hint="eastAsia" w:ascii="仿宋" w:hAnsi="仿宋" w:eastAsia="仿宋" w:cs="仿宋"/>
          <w:bCs/>
          <w:color w:val="auto"/>
          <w:sz w:val="24"/>
          <w:highlight w:val="none"/>
          <w:lang w:val="zh-CN"/>
        </w:rPr>
        <w:t>针对本单位所投标段分别编制投标文件并单独提交。</w:t>
      </w:r>
      <w:r>
        <w:rPr>
          <w:rFonts w:hint="eastAsia" w:ascii="仿宋" w:hAnsi="仿宋" w:eastAsia="仿宋" w:cs="仿宋"/>
          <w:bCs/>
          <w:color w:val="auto"/>
          <w:sz w:val="24"/>
          <w:highlight w:val="none"/>
        </w:rPr>
        <w:t>投标文件应当对招标文件提出的要求和条件作出实质性响应，否则视为无效投标。</w:t>
      </w:r>
      <w:bookmarkEnd w:id="7"/>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22. 投标文件的份数和签署</w:t>
      </w:r>
    </w:p>
    <w:p>
      <w:pPr>
        <w:shd w:val="clear" w:color="auto" w:fill="FFFFFF"/>
        <w:spacing w:line="400" w:lineRule="exact"/>
        <w:ind w:firstLine="480" w:firstLineChars="200"/>
        <w:rPr>
          <w:rFonts w:ascii="仿宋" w:hAnsi="仿宋" w:eastAsia="仿宋" w:cs="仿宋"/>
          <w:b/>
          <w:color w:val="auto"/>
          <w:kern w:val="0"/>
          <w:sz w:val="24"/>
          <w:highlight w:val="none"/>
          <w:u w:val="single"/>
        </w:rPr>
      </w:pPr>
      <w:r>
        <w:rPr>
          <w:rFonts w:hint="eastAsia" w:ascii="仿宋" w:hAnsi="仿宋" w:eastAsia="仿宋" w:cs="仿宋"/>
          <w:color w:val="auto"/>
          <w:kern w:val="0"/>
          <w:sz w:val="24"/>
          <w:highlight w:val="none"/>
        </w:rPr>
        <w:t>22.1 投标人应当按照本须知前附表规定的份数提交投标文件。否则视为非实质响应招标文件的投标。</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22.2 投标文件均须印刷体打印。</w:t>
      </w:r>
    </w:p>
    <w:p>
      <w:pPr>
        <w:shd w:val="clear" w:color="auto" w:fill="FFFFFF"/>
        <w:spacing w:line="400" w:lineRule="exact"/>
        <w:ind w:firstLine="484" w:firstLineChars="202"/>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22.3 投标文件格式、内容、签署和盖章、标识、封装等均应符合招标文件要求，投标文件未按照上述规定编制，初步评审将不予已通过。</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kern w:val="0"/>
          <w:sz w:val="24"/>
          <w:highlight w:val="none"/>
        </w:rPr>
        <w:t>22</w:t>
      </w:r>
      <w:r>
        <w:rPr>
          <w:rFonts w:hint="eastAsia" w:ascii="仿宋" w:hAnsi="仿宋" w:eastAsia="仿宋" w:cs="仿宋"/>
          <w:color w:val="auto"/>
          <w:sz w:val="24"/>
          <w:highlight w:val="none"/>
        </w:rPr>
        <w:t xml:space="preserve">.4 </w:t>
      </w:r>
      <w:r>
        <w:rPr>
          <w:rFonts w:hint="eastAsia" w:ascii="仿宋" w:hAnsi="仿宋" w:eastAsia="仿宋" w:cs="仿宋"/>
          <w:b/>
          <w:color w:val="auto"/>
          <w:sz w:val="24"/>
          <w:highlight w:val="none"/>
        </w:rPr>
        <w:t>发生下列情况之一者，应在资格性、符合性检查时按照无效投标处理：</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（1）应缴未缴投标保证金或金额不足、投标保证金缴纳形式不符合招标文件要求的；</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（2）未按照招标文件中投标文件有关“规定格式、内容、密封、签署、盖章、标识、提交”等要求的；</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（3）联合体未提交联合协议</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或未提交联合体各方资格证明文件（本项目不接受联合体投标）</w:t>
      </w:r>
      <w:r>
        <w:rPr>
          <w:rFonts w:hint="eastAsia" w:ascii="仿宋" w:hAnsi="仿宋" w:eastAsia="仿宋" w:cs="仿宋"/>
          <w:bCs/>
          <w:color w:val="auto"/>
          <w:sz w:val="24"/>
          <w:highlight w:val="none"/>
        </w:rPr>
        <w:t>；</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（4）参加政府采购活动前三年内，在经营活动中有重大违法记录的； </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（5）不具备招标文件规定的资质和资格要求及特定条件的；</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（6）不满足“投标须知”</w:t>
      </w:r>
      <w:r>
        <w:rPr>
          <w:rFonts w:hint="eastAsia" w:ascii="仿宋" w:hAnsi="仿宋" w:eastAsia="仿宋" w:cs="仿宋"/>
          <w:bCs/>
          <w:color w:val="auto"/>
          <w:sz w:val="24"/>
          <w:highlight w:val="none"/>
        </w:rPr>
        <w:t>规定的</w:t>
      </w:r>
      <w:r>
        <w:rPr>
          <w:rFonts w:hint="eastAsia" w:ascii="仿宋" w:hAnsi="仿宋" w:eastAsia="仿宋" w:cs="仿宋"/>
          <w:color w:val="auto"/>
          <w:sz w:val="24"/>
          <w:highlight w:val="none"/>
        </w:rPr>
        <w:t>实质性要求的；</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（7）投标报价超过采购项目预算或最高限价且采购人不能支付的；</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（8）同一投标人提交两个以上不同的投标文件或者投标报价的（招标文件要求允许提交备选方案的除外）；</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（9）投标文件载明的投标范围小于招标文件规定的采购范围的(缺漏招标文件所要求的内容)；</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（10）投标有效期不足的；</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（11）投标文件含有采购人不能接受的附加条件的；</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sz w:val="24"/>
          <w:highlight w:val="none"/>
        </w:rPr>
        <w:t>（12）不符合法律、法规和招标文件规定的其他无效情形。</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（四） 投标文件的递交</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23. 投标文件的封装与标记</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23.1投标人应当按照本须知前附表规定的封装及标记要求封装标记投标文件；</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bCs/>
          <w:color w:val="auto"/>
          <w:sz w:val="24"/>
          <w:highlight w:val="none"/>
        </w:rPr>
        <w:t>23.2</w:t>
      </w:r>
      <w:r>
        <w:rPr>
          <w:rFonts w:hint="eastAsia" w:ascii="仿宋" w:hAnsi="仿宋" w:eastAsia="仿宋" w:cs="仿宋"/>
          <w:b/>
          <w:bCs/>
          <w:color w:val="auto"/>
          <w:sz w:val="24"/>
          <w:highlight w:val="none"/>
        </w:rPr>
        <w:t>投标人须将投标文件的商务部分、技术部分、报价部分合并装订、标识、密封后提交（如内容多可分册装订，标明投标文件第x包第xx分册）。</w:t>
      </w:r>
    </w:p>
    <w:p>
      <w:pPr>
        <w:shd w:val="clear" w:color="auto" w:fill="FFFFFF"/>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23.3为方便评委查看，投标人投标文件须编制目录、连续页码，且正文页码须与目录页码对应统一，否则按无效投标处理。</w:t>
      </w:r>
    </w:p>
    <w:p>
      <w:pPr>
        <w:shd w:val="clear" w:color="auto" w:fill="FFFFFF"/>
        <w:spacing w:line="400" w:lineRule="exact"/>
        <w:ind w:firstLine="484" w:firstLineChars="202"/>
        <w:rPr>
          <w:rFonts w:ascii="仿宋" w:hAnsi="仿宋" w:eastAsia="仿宋" w:cs="仿宋"/>
          <w:color w:val="auto"/>
          <w:sz w:val="24"/>
          <w:highlight w:val="none"/>
          <w:u w:val="single"/>
        </w:rPr>
      </w:pPr>
      <w:r>
        <w:rPr>
          <w:rFonts w:hint="eastAsia" w:ascii="仿宋" w:hAnsi="仿宋" w:eastAsia="仿宋" w:cs="仿宋"/>
          <w:color w:val="auto"/>
          <w:kern w:val="0"/>
          <w:sz w:val="24"/>
          <w:highlight w:val="none"/>
        </w:rPr>
        <w:t>23.4未按照招标文件关于投标文件编制</w:t>
      </w:r>
      <w:r>
        <w:rPr>
          <w:rFonts w:hint="eastAsia" w:ascii="仿宋" w:hAnsi="仿宋" w:eastAsia="仿宋" w:cs="仿宋"/>
          <w:color w:val="auto"/>
          <w:sz w:val="24"/>
          <w:highlight w:val="none"/>
        </w:rPr>
        <w:t>规定格式、内容和密封、签署、盖章、标识及提交要求</w:t>
      </w:r>
      <w:r>
        <w:rPr>
          <w:rFonts w:hint="eastAsia" w:ascii="仿宋" w:hAnsi="仿宋" w:eastAsia="仿宋" w:cs="仿宋"/>
          <w:color w:val="auto"/>
          <w:kern w:val="0"/>
          <w:sz w:val="24"/>
          <w:highlight w:val="none"/>
        </w:rPr>
        <w:t>的投标文件将被拒绝，并将投标文件副本退还给投标人。</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24. 投标文件的提交</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投标人应当按照本投标须知前附表所规定的地点，于投标截止时间前提交投标文件。</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25. 投标文件提交的截止时间</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25.1 投标文件提交的截止时间详见本投标须知前附表规定。</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25.2 采购人可按本招标文件第13条规定以修改补充通知的方式，酌情延长提交投标书的截止时间。在上述情况下，采购人与投标人在原投标截止时间前的全部权力和义务，将适用于延长后新的投标截止时间。</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25.3 至投标文件递交截止时间，采购人收到的投标文件少于3个的，采购人将依法重新组织招标。评标过程中有效投标人少于3个的，参照执行。</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26. 迟交的投标文件</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投标人在本投标须知前附表规定的投标截止时间以后送达的投标文件将被拒绝并退回投标人。</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27. 投标文件的补充、修改与撤回</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27.1 投标人可以在投标须知前附表规定的投标截止时间之前，可以以书面形式补充、修改或撤回已提交的投标文件。</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27.2 投标人对投标文件的补充、修改或撤回，应按本招标文件第23条的规定编制、密封、标识和提交，并在封套上清楚标明“补充”、“修改”或“撤回”字样。</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27.3 在投标截止时间之后，投标人不得补充、修改投标文件。</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（五） 开标</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28. 开标</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28.1 招标会将于投标须知前附表规定的时间和地点召开，邀请投标人参加。评标委员会成员不得参加开标活动。投标人须委派开标代表参加开标。与会的投标人代表应在投标文件递交登记表上签字确认其投标文件已递交。</w:t>
      </w:r>
      <w:r>
        <w:rPr>
          <w:rFonts w:hint="eastAsia" w:ascii="仿宋" w:hAnsi="仿宋" w:eastAsia="仿宋" w:cs="仿宋"/>
          <w:b/>
          <w:color w:val="auto"/>
          <w:kern w:val="0"/>
          <w:sz w:val="24"/>
          <w:highlight w:val="none"/>
        </w:rPr>
        <w:t>在开标前不得开启投标文件。</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28.2 开标程序</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28.2.1投标人不足3家的，不得开标。</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28.2.2 开标由采购人或采购代理机构主持；</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28.2.3 宣读开标纪律，介绍采购人和监督人；</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28.2.4 监督人随机抽取的投标人代表检查并宣布各投标人提交投标文件的“送达时间、封装、标识、签字、盖章、密封”等情况；</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28.2.5 招标人对投标人进行资格查验；合格投标人不足3家的，不得评标；</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28.2.6 经审查确认无误后，由采购人或采购代理机构工作人员按任意顺序当众拆启投标文件的《开标一览表》，宣读开标一览表中投标人的名称及供货期、质保期、投标总报价等招标文件规定的需要宣布的其他内容；如唱标人宣读的内容与投标文件不一致时，投标人代表应当当场提出。</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28.2.7 按本招标文件第25条已提交了可接受的撤回通知的投标文件及无效投标文件将不予开封。</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28.2.8 投标人代表对开标过程和开标记录有疑义，以及认为采购人、采购代理机构相关工作人员有需要回避的情形的，应当场提出询问或者回避申请。投标人未参加开标的，视同认可开标结果。</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28.3 公开招标数额标准以上的采购项目，投标截止后投标人不足3家或者通过资格审查或符合性审查的投标人不足3家的，除采购任务取消情形外，可按照以下方式处理：</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（一）招标文件存在不合理条款或者招标程序不符合规定的，采购人、采购代理机构改正后依法重新招标；</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（二）招标文件没有不合理条款、招标程序符合规定，需要采用其他采购方式采购的，采购人应当依法报财政部门批准。</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28.4 采购人或采购代理机构应对开标过程进行记录，由参加开标的各投标人代表和相关工作人员签字确认后随招标文件一并存档。</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29. 资格查验</w:t>
      </w:r>
    </w:p>
    <w:p>
      <w:pPr>
        <w:autoSpaceDE w:val="0"/>
        <w:autoSpaceDN w:val="0"/>
        <w:adjustRightInd w:val="0"/>
        <w:spacing w:line="400" w:lineRule="exact"/>
        <w:ind w:firstLine="480" w:firstLineChars="200"/>
        <w:jc w:val="left"/>
        <w:rPr>
          <w:rFonts w:ascii="仿宋" w:hAnsi="仿宋" w:eastAsia="仿宋" w:cs="仿宋"/>
          <w:color w:val="auto"/>
          <w:sz w:val="24"/>
          <w:highlight w:val="none"/>
          <w:lang w:val="zh-CN"/>
        </w:rPr>
      </w:pPr>
      <w:r>
        <w:rPr>
          <w:rFonts w:hint="eastAsia" w:ascii="仿宋" w:hAnsi="仿宋" w:eastAsia="仿宋" w:cs="仿宋"/>
          <w:color w:val="auto"/>
          <w:kern w:val="0"/>
          <w:sz w:val="24"/>
          <w:highlight w:val="none"/>
        </w:rPr>
        <w:t xml:space="preserve">29.1 </w:t>
      </w:r>
      <w:r>
        <w:rPr>
          <w:rFonts w:hint="eastAsia" w:ascii="仿宋" w:hAnsi="仿宋" w:eastAsia="仿宋" w:cs="仿宋"/>
          <w:b/>
          <w:bCs/>
          <w:color w:val="auto"/>
          <w:kern w:val="0"/>
          <w:sz w:val="24"/>
          <w:highlight w:val="none"/>
        </w:rPr>
        <w:t>开标前，请各投标人委派开标代表随身携带身份证，并按须知前附表要求提供资格审查资料。</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29.2 </w:t>
      </w:r>
      <w:r>
        <w:rPr>
          <w:rFonts w:hint="eastAsia" w:ascii="仿宋" w:hAnsi="仿宋" w:eastAsia="仿宋" w:cs="仿宋"/>
          <w:b/>
          <w:bCs/>
          <w:color w:val="auto"/>
          <w:kern w:val="0"/>
          <w:sz w:val="24"/>
          <w:highlight w:val="none"/>
        </w:rPr>
        <w:t>开标现场提供资格查验资料齐全、满足招标文件封装、标识、签字和盖章要求的投标人为合格有效投标人。</w:t>
      </w:r>
    </w:p>
    <w:p>
      <w:pPr>
        <w:pStyle w:val="109"/>
        <w:spacing w:line="400" w:lineRule="exact"/>
        <w:ind w:firstLine="468" w:firstLineChars="200"/>
        <w:rPr>
          <w:rFonts w:ascii="仿宋" w:hAnsi="仿宋" w:eastAsia="仿宋" w:cs="仿宋"/>
          <w:color w:val="auto"/>
          <w:highlight w:val="none"/>
          <w:lang w:val="en-US" w:eastAsia="zh-CN"/>
        </w:rPr>
      </w:pPr>
      <w:r>
        <w:rPr>
          <w:rFonts w:hint="eastAsia" w:ascii="仿宋" w:hAnsi="仿宋" w:eastAsia="仿宋" w:cs="仿宋"/>
          <w:color w:val="auto"/>
          <w:szCs w:val="24"/>
          <w:highlight w:val="none"/>
          <w:lang w:val="en-US" w:eastAsia="zh-CN"/>
        </w:rPr>
        <w:t xml:space="preserve">29.3 </w:t>
      </w:r>
      <w:r>
        <w:rPr>
          <w:rFonts w:hint="eastAsia" w:ascii="仿宋" w:hAnsi="仿宋" w:eastAsia="仿宋" w:cs="仿宋"/>
          <w:b/>
          <w:bCs/>
          <w:color w:val="auto"/>
          <w:szCs w:val="24"/>
          <w:highlight w:val="none"/>
          <w:lang w:val="en-US" w:eastAsia="zh-CN"/>
        </w:rPr>
        <w:t>开标现场资格审查资料不齐全、不满足招标文件要求的投标人，资格审查不通过，属于无效投标。</w:t>
      </w:r>
    </w:p>
    <w:p>
      <w:pPr>
        <w:shd w:val="clear" w:color="auto" w:fill="FFFFFF"/>
        <w:spacing w:line="400" w:lineRule="exact"/>
        <w:ind w:firstLine="487" w:firstLineChars="202"/>
        <w:outlineLvl w:val="0"/>
        <w:rPr>
          <w:rFonts w:ascii="仿宋" w:hAnsi="仿宋" w:eastAsia="仿宋" w:cs="仿宋"/>
          <w:b/>
          <w:color w:val="auto"/>
          <w:kern w:val="0"/>
          <w:sz w:val="24"/>
          <w:highlight w:val="none"/>
        </w:rPr>
      </w:pPr>
      <w:bookmarkStart w:id="8" w:name="_Toc12275"/>
      <w:r>
        <w:rPr>
          <w:rFonts w:hint="eastAsia" w:ascii="仿宋" w:hAnsi="仿宋" w:eastAsia="仿宋" w:cs="仿宋"/>
          <w:b/>
          <w:color w:val="auto"/>
          <w:kern w:val="0"/>
          <w:sz w:val="24"/>
          <w:highlight w:val="none"/>
        </w:rPr>
        <w:t>（六） 评标</w:t>
      </w:r>
      <w:bookmarkEnd w:id="8"/>
    </w:p>
    <w:p>
      <w:pPr>
        <w:shd w:val="clear" w:color="auto" w:fill="FFFFFF"/>
        <w:spacing w:line="400" w:lineRule="exact"/>
        <w:ind w:firstLine="487" w:firstLineChars="202"/>
        <w:outlineLvl w:val="0"/>
        <w:rPr>
          <w:rFonts w:ascii="仿宋" w:hAnsi="仿宋" w:eastAsia="仿宋" w:cs="仿宋"/>
          <w:b/>
          <w:color w:val="auto"/>
          <w:kern w:val="0"/>
          <w:sz w:val="24"/>
          <w:highlight w:val="none"/>
        </w:rPr>
      </w:pPr>
      <w:bookmarkStart w:id="9" w:name="_Toc26065"/>
      <w:r>
        <w:rPr>
          <w:rFonts w:hint="eastAsia" w:ascii="仿宋" w:hAnsi="仿宋" w:eastAsia="仿宋" w:cs="仿宋"/>
          <w:b/>
          <w:color w:val="auto"/>
          <w:kern w:val="0"/>
          <w:sz w:val="24"/>
          <w:highlight w:val="none"/>
        </w:rPr>
        <w:t>30. 评标委员会与评标</w:t>
      </w:r>
      <w:bookmarkEnd w:id="9"/>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30.1 评标工作由采购人依法组建的评标委员会负责。评标委员会的名单在评标结果公告前应当保密。</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30.2 本项目评标委员会由5人或5人以上单数组成；</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30.3 开标结束后，开始评标，评标采用保密方式进行。</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30.4 评标委员会主任由评标委员会成员推举产生，并与评标委员会其他成员有同等的权利和义务。采购人代表不得担任评标委员会主任。</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30.5 评标委员会成员应当客观、公正地履行职责，遵守职业道德，对所提出的评审意见承担个人责任。</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30.6 评标委员会根据招标文件确定的评比标准和方法，对投标文件进行系统地评审和比较。招标文件中没有规定的标准和方法不得作为评标的依据。</w:t>
      </w:r>
    </w:p>
    <w:p>
      <w:pPr>
        <w:shd w:val="clear" w:color="auto" w:fill="FFFFFF"/>
        <w:spacing w:line="400" w:lineRule="exact"/>
        <w:ind w:firstLine="484" w:firstLineChars="202"/>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30.7 在评标过程中，评标委员会发现投标人以他人的名义投标、串通投标、以行贿手段谋取中标或者以其他弄虚作假方式投标的，该投标人的投标应作无效标处理。</w:t>
      </w:r>
    </w:p>
    <w:p>
      <w:pPr>
        <w:shd w:val="clear" w:color="auto" w:fill="FFFFFF"/>
        <w:spacing w:line="400" w:lineRule="exact"/>
        <w:ind w:firstLine="487" w:firstLineChars="202"/>
        <w:outlineLvl w:val="0"/>
        <w:rPr>
          <w:rFonts w:ascii="仿宋" w:hAnsi="仿宋" w:eastAsia="仿宋" w:cs="仿宋"/>
          <w:b/>
          <w:color w:val="auto"/>
          <w:kern w:val="0"/>
          <w:sz w:val="24"/>
          <w:highlight w:val="none"/>
        </w:rPr>
      </w:pPr>
      <w:bookmarkStart w:id="10" w:name="_Toc30759"/>
      <w:r>
        <w:rPr>
          <w:rFonts w:hint="eastAsia" w:ascii="仿宋" w:hAnsi="仿宋" w:eastAsia="仿宋" w:cs="仿宋"/>
          <w:b/>
          <w:color w:val="auto"/>
          <w:kern w:val="0"/>
          <w:sz w:val="24"/>
          <w:highlight w:val="none"/>
        </w:rPr>
        <w:t>31. 投标文件的澄清</w:t>
      </w:r>
      <w:bookmarkEnd w:id="10"/>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31.1 为有助于对投标文件进行审查、评估和比较，投标人对评审中评标委员会书面提出的投标文件中含义不明确、同类问题表述不一致或者有明显文字和计算错误的内容，投标人以采用书面形式的澄清、说明或者补正，并加盖公章，或者由法定代表人或其授权的代表签字。投标人的澄清、说明或者补正不得超出投标文件的范围或者改变投标文件的实质性内容。</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31.2 投标人未按照要求对投标文件进行澄清、说明或者补正的，评标委员会可以否决其投标。</w:t>
      </w:r>
    </w:p>
    <w:p>
      <w:pPr>
        <w:shd w:val="clear" w:color="auto" w:fill="FFFFFF"/>
        <w:spacing w:line="400" w:lineRule="exact"/>
        <w:ind w:firstLine="472" w:firstLineChars="196"/>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32. 投标文件的评审、比较</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32.1 投标文件符合性审查</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32.1.1评标委员会应当对符合资格的投标人的投标文件进行符合性审查，以确定其是否满足招标文件的实质性要求。通过资格审查的投标人的投标文件进入详细评审。</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32.2 投标文件的详细评审</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32.2.1</w:t>
      </w:r>
      <w:r>
        <w:rPr>
          <w:rFonts w:hint="eastAsia" w:ascii="仿宋" w:hAnsi="仿宋" w:eastAsia="仿宋" w:cs="仿宋"/>
          <w:bCs/>
          <w:color w:val="auto"/>
          <w:kern w:val="0"/>
          <w:sz w:val="24"/>
          <w:highlight w:val="none"/>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32.2.2 评审中，评标委员会可对投标文件中含义不明确、同类问题表述不一致或者有明显文字和计算错误的内容，评标委员会应当以书面形式要求投标人作出必要的澄清、说明或者补正。</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32.2.3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32.2.4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32.2.6评标结果汇总完成后，除下列情形外，任何人不得修改评标结果：</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（一）分值汇总计算错误的；</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（二）分项评分超出评分标准范围的；</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（三）评标委员会成员对客观评审因素评分不一致的；</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（四）经评标委员会认定评分畸高、畸低的。</w:t>
      </w:r>
    </w:p>
    <w:p>
      <w:pPr>
        <w:shd w:val="clear" w:color="auto" w:fill="FFFFFF"/>
        <w:spacing w:line="40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FFFFFF"/>
        <w:spacing w:line="400" w:lineRule="exact"/>
        <w:ind w:firstLine="480" w:firstLineChars="200"/>
        <w:rPr>
          <w:rFonts w:ascii="仿宋" w:hAnsi="仿宋" w:eastAsia="仿宋" w:cs="仿宋"/>
          <w:bCs/>
          <w:color w:val="auto"/>
          <w:kern w:val="0"/>
          <w:sz w:val="24"/>
          <w:highlight w:val="none"/>
        </w:rPr>
      </w:pPr>
      <w:r>
        <w:rPr>
          <w:rFonts w:hint="eastAsia" w:ascii="仿宋" w:hAnsi="仿宋" w:eastAsia="仿宋" w:cs="仿宋"/>
          <w:color w:val="auto"/>
          <w:kern w:val="0"/>
          <w:sz w:val="24"/>
          <w:highlight w:val="none"/>
        </w:rPr>
        <w:t>32.2.7 评标委员会依据投标须知前附表规定的评标方法，对投标人的投标文件进行评审和比较，</w:t>
      </w:r>
      <w:r>
        <w:rPr>
          <w:rFonts w:hint="eastAsia" w:ascii="仿宋" w:hAnsi="仿宋" w:eastAsia="仿宋" w:cs="仿宋"/>
          <w:bCs/>
          <w:color w:val="auto"/>
          <w:kern w:val="0"/>
          <w:sz w:val="24"/>
          <w:highlight w:val="none"/>
        </w:rPr>
        <w:t>投标人最终得分等于商务部分、技术部分、报价部分得分之和。评标委员会确定投标人最终得分向采购人提出书面报告，并推荐合格的中标候选人。评标委员会根据评审结果，按评审后得分由高到低的顺序排列中标候选人名次。投标文件满足招标文件全部实质性要求，且按照评审因素的量化指标评审得分最高的投标人为排名第一的中标候选人，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p>
    <w:p>
      <w:pPr>
        <w:shd w:val="clear" w:color="auto" w:fill="FFFFFF"/>
        <w:spacing w:line="400" w:lineRule="exact"/>
        <w:ind w:firstLine="480" w:firstLineChars="200"/>
        <w:rPr>
          <w:rFonts w:ascii="仿宋" w:hAnsi="仿宋" w:eastAsia="仿宋" w:cs="仿宋"/>
          <w:bCs/>
          <w:color w:val="auto"/>
          <w:kern w:val="0"/>
          <w:sz w:val="24"/>
          <w:highlight w:val="none"/>
        </w:rPr>
      </w:pPr>
      <w:bookmarkStart w:id="11" w:name="_Toc520393969"/>
      <w:r>
        <w:rPr>
          <w:rFonts w:hint="eastAsia" w:ascii="仿宋" w:hAnsi="仿宋" w:eastAsia="仿宋" w:cs="仿宋"/>
          <w:bCs/>
          <w:color w:val="auto"/>
          <w:kern w:val="0"/>
          <w:sz w:val="24"/>
          <w:highlight w:val="none"/>
        </w:rPr>
        <w:t>32.2.8 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11"/>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33. 评标的办法和标准</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33.1 本采购项目评标方法为投标须知前附表规定的方法；评标委员会以评分方式对投标文件提出的商务部分、技术部分等，能否最大限度满足招标文件中规定的各项要求和评价标准进行评估。</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33.2 审查</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33.2.1符合性审查</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33.2.2 详细评审</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（1）投标报价评审</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（2）投标文件的详细评审</w:t>
      </w:r>
    </w:p>
    <w:p>
      <w:pPr>
        <w:shd w:val="clear" w:color="auto" w:fill="FFFFFF"/>
        <w:spacing w:line="400" w:lineRule="exact"/>
        <w:ind w:firstLine="484" w:firstLineChars="202"/>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33.3 评标的具体评审办法和标准</w:t>
      </w:r>
    </w:p>
    <w:p>
      <w:pPr>
        <w:pStyle w:val="28"/>
        <w:spacing w:after="0"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详见第三章评标办法。</w:t>
      </w:r>
    </w:p>
    <w:p>
      <w:pPr>
        <w:shd w:val="clear" w:color="auto" w:fill="FFFFFF"/>
        <w:spacing w:line="400" w:lineRule="exact"/>
        <w:ind w:firstLine="487" w:firstLineChars="202"/>
        <w:rPr>
          <w:rFonts w:ascii="仿宋" w:hAnsi="仿宋" w:eastAsia="仿宋" w:cs="仿宋"/>
          <w:b/>
          <w:color w:val="auto"/>
          <w:kern w:val="0"/>
          <w:sz w:val="24"/>
          <w:highlight w:val="none"/>
        </w:rPr>
      </w:pPr>
      <w:r>
        <w:rPr>
          <w:rFonts w:hint="eastAsia" w:ascii="仿宋" w:hAnsi="仿宋" w:eastAsia="仿宋" w:cs="仿宋"/>
          <w:b/>
          <w:color w:val="auto"/>
          <w:kern w:val="0"/>
          <w:sz w:val="24"/>
          <w:highlight w:val="none"/>
        </w:rPr>
        <w:t>34、质疑、投诉</w:t>
      </w:r>
    </w:p>
    <w:p>
      <w:pPr>
        <w:pStyle w:val="3"/>
        <w:ind w:firstLine="480" w:firstLineChars="200"/>
        <w:jc w:val="both"/>
        <w:rPr>
          <w:rFonts w:cs="仿宋"/>
          <w:b w:val="0"/>
          <w:color w:val="auto"/>
          <w:kern w:val="0"/>
          <w:sz w:val="24"/>
          <w:szCs w:val="24"/>
          <w:highlight w:val="none"/>
        </w:rPr>
      </w:pPr>
      <w:r>
        <w:rPr>
          <w:rFonts w:hint="eastAsia" w:cs="仿宋"/>
          <w:b w:val="0"/>
          <w:color w:val="auto"/>
          <w:kern w:val="0"/>
          <w:sz w:val="24"/>
          <w:szCs w:val="24"/>
          <w:highlight w:val="none"/>
        </w:rPr>
        <w:t>依据《政府采购质疑和投诉办法》第94号令执行</w:t>
      </w:r>
    </w:p>
    <w:p>
      <w:pPr>
        <w:pStyle w:val="3"/>
        <w:rPr>
          <w:rStyle w:val="72"/>
          <w:b/>
          <w:color w:val="auto"/>
          <w:highlight w:val="none"/>
        </w:rPr>
      </w:pPr>
      <w:r>
        <w:rPr>
          <w:rFonts w:hint="eastAsia" w:cs="仿宋"/>
          <w:b w:val="0"/>
          <w:bCs/>
          <w:color w:val="auto"/>
          <w:szCs w:val="32"/>
          <w:highlight w:val="none"/>
        </w:rPr>
        <w:br w:type="page"/>
      </w:r>
      <w:bookmarkStart w:id="12" w:name="_Toc8521"/>
      <w:r>
        <w:rPr>
          <w:rStyle w:val="72"/>
          <w:rFonts w:hint="eastAsia"/>
          <w:b/>
          <w:color w:val="auto"/>
          <w:highlight w:val="none"/>
        </w:rPr>
        <w:fldChar w:fldCharType="begin"/>
      </w:r>
      <w:r>
        <w:rPr>
          <w:rStyle w:val="72"/>
          <w:rFonts w:hint="eastAsia"/>
          <w:b/>
          <w:color w:val="auto"/>
          <w:highlight w:val="none"/>
        </w:rPr>
        <w:instrText xml:space="preserve"> HYPERLINK \l "_Toc4069" </w:instrText>
      </w:r>
      <w:r>
        <w:rPr>
          <w:rStyle w:val="72"/>
          <w:rFonts w:hint="eastAsia"/>
          <w:b/>
          <w:color w:val="auto"/>
          <w:highlight w:val="none"/>
        </w:rPr>
        <w:fldChar w:fldCharType="separate"/>
      </w:r>
      <w:r>
        <w:rPr>
          <w:rStyle w:val="72"/>
          <w:rFonts w:hint="eastAsia"/>
          <w:b/>
          <w:color w:val="auto"/>
          <w:highlight w:val="none"/>
        </w:rPr>
        <w:t>第三章 评标办法</w:t>
      </w:r>
      <w:r>
        <w:rPr>
          <w:rStyle w:val="72"/>
          <w:rFonts w:hint="eastAsia"/>
          <w:b/>
          <w:color w:val="auto"/>
          <w:highlight w:val="none"/>
        </w:rPr>
        <w:fldChar w:fldCharType="end"/>
      </w:r>
      <w:bookmarkEnd w:id="12"/>
    </w:p>
    <w:p>
      <w:pPr>
        <w:pStyle w:val="109"/>
        <w:numPr>
          <w:ilvl w:val="0"/>
          <w:numId w:val="16"/>
        </w:numPr>
        <w:jc w:val="center"/>
        <w:rPr>
          <w:rFonts w:ascii="仿宋" w:hAnsi="仿宋" w:eastAsia="仿宋" w:cs="仿宋"/>
          <w:b/>
          <w:bCs/>
          <w:color w:val="auto"/>
          <w:szCs w:val="24"/>
          <w:highlight w:val="none"/>
          <w:lang w:val="en-US" w:eastAsia="zh-CN"/>
        </w:rPr>
      </w:pPr>
      <w:r>
        <w:rPr>
          <w:rFonts w:hint="eastAsia" w:ascii="仿宋" w:hAnsi="仿宋" w:eastAsia="仿宋" w:cs="仿宋"/>
          <w:b/>
          <w:bCs/>
          <w:color w:val="auto"/>
          <w:szCs w:val="24"/>
          <w:highlight w:val="none"/>
          <w:lang w:val="en-US" w:eastAsia="zh-CN"/>
        </w:rPr>
        <w:t>资格审查</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98"/>
        <w:gridCol w:w="3861"/>
        <w:gridCol w:w="996"/>
        <w:gridCol w:w="996"/>
        <w:gridCol w:w="996"/>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17" w:type="dxa"/>
            <w:tcBorders>
              <w:bottom w:val="single" w:color="auto" w:sz="4" w:space="0"/>
            </w:tcBorders>
            <w:vAlign w:val="center"/>
          </w:tcPr>
          <w:p>
            <w:pPr>
              <w:shd w:val="clear" w:color="auto" w:fill="FFFFFF"/>
              <w:spacing w:line="44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项目</w:t>
            </w:r>
          </w:p>
        </w:tc>
        <w:tc>
          <w:tcPr>
            <w:tcW w:w="4359" w:type="dxa"/>
            <w:gridSpan w:val="2"/>
            <w:tcBorders>
              <w:bottom w:val="single" w:color="auto" w:sz="4" w:space="0"/>
            </w:tcBorders>
            <w:vAlign w:val="center"/>
          </w:tcPr>
          <w:p>
            <w:pPr>
              <w:shd w:val="clear" w:color="auto" w:fill="FFFFFF"/>
              <w:spacing w:line="44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  审  内  容</w:t>
            </w:r>
          </w:p>
        </w:tc>
        <w:tc>
          <w:tcPr>
            <w:tcW w:w="996" w:type="dxa"/>
            <w:tcBorders>
              <w:bottom w:val="single" w:color="auto" w:sz="4" w:space="0"/>
            </w:tcBorders>
            <w:vAlign w:val="center"/>
          </w:tcPr>
          <w:p>
            <w:pPr>
              <w:shd w:val="clear" w:color="auto" w:fill="FFFFFF"/>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投标人1</w:t>
            </w:r>
          </w:p>
        </w:tc>
        <w:tc>
          <w:tcPr>
            <w:tcW w:w="996" w:type="dxa"/>
            <w:tcBorders>
              <w:bottom w:val="single" w:color="auto" w:sz="4" w:space="0"/>
            </w:tcBorders>
            <w:vAlign w:val="center"/>
          </w:tcPr>
          <w:p>
            <w:pPr>
              <w:shd w:val="clear" w:color="auto" w:fill="FFFFFF"/>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投标人2</w:t>
            </w:r>
          </w:p>
        </w:tc>
        <w:tc>
          <w:tcPr>
            <w:tcW w:w="996" w:type="dxa"/>
            <w:tcBorders>
              <w:bottom w:val="single" w:color="auto" w:sz="4" w:space="0"/>
            </w:tcBorders>
            <w:vAlign w:val="center"/>
          </w:tcPr>
          <w:p>
            <w:pPr>
              <w:shd w:val="clear" w:color="auto" w:fill="FFFFFF"/>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投标人3</w:t>
            </w:r>
          </w:p>
        </w:tc>
        <w:tc>
          <w:tcPr>
            <w:tcW w:w="872" w:type="dxa"/>
            <w:tcBorders>
              <w:bottom w:val="single" w:color="auto" w:sz="4" w:space="0"/>
            </w:tcBorders>
            <w:vAlign w:val="center"/>
          </w:tcPr>
          <w:p>
            <w:pPr>
              <w:shd w:val="clear" w:color="auto" w:fill="FFFFFF"/>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717" w:type="dxa"/>
            <w:vMerge w:val="restart"/>
            <w:vAlign w:val="center"/>
          </w:tcPr>
          <w:p>
            <w:pPr>
              <w:shd w:val="clear" w:color="auto" w:fill="FFFFFF"/>
              <w:spacing w:line="440" w:lineRule="exact"/>
              <w:jc w:val="center"/>
              <w:rPr>
                <w:rFonts w:ascii="仿宋" w:hAnsi="仿宋" w:eastAsia="仿宋" w:cs="仿宋"/>
                <w:color w:val="auto"/>
                <w:sz w:val="24"/>
                <w:highlight w:val="none"/>
              </w:rPr>
            </w:pPr>
            <w:r>
              <w:rPr>
                <w:rFonts w:hint="eastAsia" w:ascii="仿宋" w:hAnsi="仿宋" w:eastAsia="仿宋" w:cs="仿宋"/>
                <w:b/>
                <w:color w:val="auto"/>
                <w:sz w:val="24"/>
                <w:highlight w:val="none"/>
              </w:rPr>
              <w:t>资格审查</w:t>
            </w:r>
          </w:p>
        </w:tc>
        <w:tc>
          <w:tcPr>
            <w:tcW w:w="498" w:type="dxa"/>
            <w:vAlign w:val="center"/>
          </w:tcPr>
          <w:p>
            <w:pPr>
              <w:shd w:val="clear" w:color="auto" w:fill="FFFFFF"/>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3861" w:type="dxa"/>
            <w:vAlign w:val="center"/>
          </w:tcPr>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b/>
                <w:bCs/>
                <w:color w:val="auto"/>
                <w:sz w:val="24"/>
                <w:highlight w:val="none"/>
              </w:rPr>
              <w:t>营业执照</w:t>
            </w:r>
          </w:p>
        </w:tc>
        <w:tc>
          <w:tcPr>
            <w:tcW w:w="996" w:type="dxa"/>
            <w:vAlign w:val="center"/>
          </w:tcPr>
          <w:p>
            <w:pPr>
              <w:shd w:val="clear" w:color="auto" w:fill="FFFFFF"/>
              <w:spacing w:line="440" w:lineRule="exact"/>
              <w:rPr>
                <w:rFonts w:ascii="仿宋" w:hAnsi="仿宋" w:eastAsia="仿宋" w:cs="仿宋"/>
                <w:color w:val="auto"/>
                <w:sz w:val="24"/>
                <w:highlight w:val="none"/>
              </w:rPr>
            </w:pPr>
          </w:p>
        </w:tc>
        <w:tc>
          <w:tcPr>
            <w:tcW w:w="996" w:type="dxa"/>
            <w:vAlign w:val="center"/>
          </w:tcPr>
          <w:p>
            <w:pPr>
              <w:shd w:val="clear" w:color="auto" w:fill="FFFFFF"/>
              <w:spacing w:line="440" w:lineRule="exact"/>
              <w:rPr>
                <w:rFonts w:ascii="仿宋" w:hAnsi="仿宋" w:eastAsia="仿宋" w:cs="仿宋"/>
                <w:color w:val="auto"/>
                <w:sz w:val="24"/>
                <w:highlight w:val="none"/>
              </w:rPr>
            </w:pPr>
          </w:p>
        </w:tc>
        <w:tc>
          <w:tcPr>
            <w:tcW w:w="996" w:type="dxa"/>
            <w:vAlign w:val="center"/>
          </w:tcPr>
          <w:p>
            <w:pPr>
              <w:shd w:val="clear" w:color="auto" w:fill="FFFFFF"/>
              <w:spacing w:line="440" w:lineRule="exact"/>
              <w:rPr>
                <w:rFonts w:ascii="仿宋" w:hAnsi="仿宋" w:eastAsia="仿宋" w:cs="仿宋"/>
                <w:color w:val="auto"/>
                <w:sz w:val="24"/>
                <w:highlight w:val="none"/>
              </w:rPr>
            </w:pPr>
          </w:p>
        </w:tc>
        <w:tc>
          <w:tcPr>
            <w:tcW w:w="872" w:type="dxa"/>
            <w:vAlign w:val="center"/>
          </w:tcPr>
          <w:p>
            <w:pPr>
              <w:shd w:val="clear" w:color="auto" w:fill="FFFFFF"/>
              <w:spacing w:line="44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trPr>
        <w:tc>
          <w:tcPr>
            <w:tcW w:w="717" w:type="dxa"/>
            <w:vMerge w:val="continue"/>
            <w:vAlign w:val="center"/>
          </w:tcPr>
          <w:p>
            <w:pPr>
              <w:shd w:val="clear" w:color="auto" w:fill="FFFFFF"/>
              <w:spacing w:line="440" w:lineRule="exact"/>
              <w:jc w:val="center"/>
              <w:rPr>
                <w:rFonts w:ascii="仿宋" w:hAnsi="仿宋" w:eastAsia="仿宋" w:cs="仿宋"/>
                <w:color w:val="auto"/>
                <w:sz w:val="24"/>
                <w:highlight w:val="none"/>
              </w:rPr>
            </w:pPr>
          </w:p>
        </w:tc>
        <w:tc>
          <w:tcPr>
            <w:tcW w:w="498" w:type="dxa"/>
            <w:vAlign w:val="center"/>
          </w:tcPr>
          <w:p>
            <w:pPr>
              <w:shd w:val="clear" w:color="auto" w:fill="FFFFFF"/>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3861" w:type="dxa"/>
            <w:vAlign w:val="center"/>
          </w:tcPr>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b/>
                <w:bCs/>
                <w:color w:val="auto"/>
                <w:sz w:val="24"/>
                <w:highlight w:val="none"/>
              </w:rPr>
              <w:t>法定代表人身份证明书及法定代表人身份证或授权委托书及授权人身份证</w:t>
            </w:r>
          </w:p>
        </w:tc>
        <w:tc>
          <w:tcPr>
            <w:tcW w:w="996" w:type="dxa"/>
            <w:vAlign w:val="center"/>
          </w:tcPr>
          <w:p>
            <w:pPr>
              <w:shd w:val="clear" w:color="auto" w:fill="FFFFFF"/>
              <w:spacing w:line="440" w:lineRule="exact"/>
              <w:rPr>
                <w:rFonts w:ascii="仿宋" w:hAnsi="仿宋" w:eastAsia="仿宋" w:cs="仿宋"/>
                <w:color w:val="auto"/>
                <w:sz w:val="24"/>
                <w:highlight w:val="none"/>
              </w:rPr>
            </w:pPr>
          </w:p>
        </w:tc>
        <w:tc>
          <w:tcPr>
            <w:tcW w:w="996" w:type="dxa"/>
            <w:vAlign w:val="center"/>
          </w:tcPr>
          <w:p>
            <w:pPr>
              <w:shd w:val="clear" w:color="auto" w:fill="FFFFFF"/>
              <w:spacing w:line="440" w:lineRule="exact"/>
              <w:rPr>
                <w:rFonts w:ascii="仿宋" w:hAnsi="仿宋" w:eastAsia="仿宋" w:cs="仿宋"/>
                <w:color w:val="auto"/>
                <w:sz w:val="24"/>
                <w:highlight w:val="none"/>
              </w:rPr>
            </w:pPr>
          </w:p>
        </w:tc>
        <w:tc>
          <w:tcPr>
            <w:tcW w:w="996" w:type="dxa"/>
            <w:vAlign w:val="center"/>
          </w:tcPr>
          <w:p>
            <w:pPr>
              <w:shd w:val="clear" w:color="auto" w:fill="FFFFFF"/>
              <w:spacing w:line="440" w:lineRule="exact"/>
              <w:rPr>
                <w:rFonts w:ascii="仿宋" w:hAnsi="仿宋" w:eastAsia="仿宋" w:cs="仿宋"/>
                <w:color w:val="auto"/>
                <w:sz w:val="24"/>
                <w:highlight w:val="none"/>
              </w:rPr>
            </w:pPr>
          </w:p>
        </w:tc>
        <w:tc>
          <w:tcPr>
            <w:tcW w:w="872" w:type="dxa"/>
            <w:vAlign w:val="center"/>
          </w:tcPr>
          <w:p>
            <w:pPr>
              <w:shd w:val="clear" w:color="auto" w:fill="FFFFFF"/>
              <w:spacing w:line="44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717" w:type="dxa"/>
            <w:vMerge w:val="continue"/>
            <w:vAlign w:val="center"/>
          </w:tcPr>
          <w:p>
            <w:pPr>
              <w:shd w:val="clear" w:color="auto" w:fill="FFFFFF"/>
              <w:spacing w:line="440" w:lineRule="exact"/>
              <w:jc w:val="center"/>
              <w:rPr>
                <w:rFonts w:ascii="仿宋" w:hAnsi="仿宋" w:eastAsia="仿宋" w:cs="仿宋"/>
                <w:color w:val="auto"/>
                <w:sz w:val="24"/>
                <w:highlight w:val="none"/>
              </w:rPr>
            </w:pPr>
          </w:p>
        </w:tc>
        <w:tc>
          <w:tcPr>
            <w:tcW w:w="498" w:type="dxa"/>
            <w:vAlign w:val="center"/>
          </w:tcPr>
          <w:p>
            <w:pPr>
              <w:shd w:val="clear" w:color="auto" w:fill="FFFFFF"/>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3861" w:type="dxa"/>
            <w:vAlign w:val="center"/>
          </w:tcPr>
          <w:p>
            <w:pPr>
              <w:shd w:val="clear" w:color="auto" w:fill="FFFFFF"/>
              <w:spacing w:line="44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投标保证金缴纳凭证</w:t>
            </w:r>
          </w:p>
        </w:tc>
        <w:tc>
          <w:tcPr>
            <w:tcW w:w="996" w:type="dxa"/>
            <w:vAlign w:val="center"/>
          </w:tcPr>
          <w:p>
            <w:pPr>
              <w:shd w:val="clear" w:color="auto" w:fill="FFFFFF"/>
              <w:spacing w:line="440" w:lineRule="exact"/>
              <w:rPr>
                <w:rFonts w:ascii="仿宋" w:hAnsi="仿宋" w:eastAsia="仿宋" w:cs="仿宋"/>
                <w:color w:val="auto"/>
                <w:sz w:val="24"/>
                <w:highlight w:val="none"/>
              </w:rPr>
            </w:pPr>
          </w:p>
        </w:tc>
        <w:tc>
          <w:tcPr>
            <w:tcW w:w="996" w:type="dxa"/>
            <w:vAlign w:val="center"/>
          </w:tcPr>
          <w:p>
            <w:pPr>
              <w:shd w:val="clear" w:color="auto" w:fill="FFFFFF"/>
              <w:spacing w:line="440" w:lineRule="exact"/>
              <w:rPr>
                <w:rFonts w:ascii="仿宋" w:hAnsi="仿宋" w:eastAsia="仿宋" w:cs="仿宋"/>
                <w:color w:val="auto"/>
                <w:sz w:val="24"/>
                <w:highlight w:val="none"/>
              </w:rPr>
            </w:pPr>
          </w:p>
        </w:tc>
        <w:tc>
          <w:tcPr>
            <w:tcW w:w="996" w:type="dxa"/>
            <w:vAlign w:val="center"/>
          </w:tcPr>
          <w:p>
            <w:pPr>
              <w:shd w:val="clear" w:color="auto" w:fill="FFFFFF"/>
              <w:spacing w:line="440" w:lineRule="exact"/>
              <w:rPr>
                <w:rFonts w:ascii="仿宋" w:hAnsi="仿宋" w:eastAsia="仿宋" w:cs="仿宋"/>
                <w:color w:val="auto"/>
                <w:sz w:val="24"/>
                <w:highlight w:val="none"/>
              </w:rPr>
            </w:pPr>
          </w:p>
        </w:tc>
        <w:tc>
          <w:tcPr>
            <w:tcW w:w="872" w:type="dxa"/>
            <w:vAlign w:val="center"/>
          </w:tcPr>
          <w:p>
            <w:pPr>
              <w:shd w:val="clear" w:color="auto" w:fill="FFFFFF"/>
              <w:spacing w:line="44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8936" w:type="dxa"/>
            <w:gridSpan w:val="7"/>
            <w:vAlign w:val="center"/>
          </w:tcPr>
          <w:p>
            <w:pPr>
              <w:shd w:val="clear" w:color="auto" w:fill="FFFFFF"/>
              <w:spacing w:line="440" w:lineRule="exact"/>
              <w:rPr>
                <w:rFonts w:ascii="仿宋" w:hAnsi="仿宋" w:eastAsia="仿宋" w:cs="仿宋"/>
                <w:b/>
                <w:color w:val="auto"/>
                <w:sz w:val="24"/>
                <w:highlight w:val="none"/>
              </w:rPr>
            </w:pPr>
            <w:r>
              <w:rPr>
                <w:rFonts w:hint="eastAsia" w:ascii="仿宋" w:hAnsi="仿宋" w:eastAsia="仿宋" w:cs="仿宋"/>
                <w:color w:val="auto"/>
                <w:sz w:val="24"/>
                <w:highlight w:val="none"/>
              </w:rPr>
              <w:t>结论：是否通过资格审查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8936" w:type="dxa"/>
            <w:gridSpan w:val="7"/>
            <w:vAlign w:val="center"/>
          </w:tcPr>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b/>
                <w:color w:val="auto"/>
                <w:sz w:val="24"/>
                <w:highlight w:val="none"/>
              </w:rPr>
              <w:t>评审委员会签字：</w:t>
            </w:r>
          </w:p>
        </w:tc>
      </w:tr>
    </w:tbl>
    <w:p>
      <w:pPr>
        <w:pStyle w:val="109"/>
        <w:rPr>
          <w:rFonts w:ascii="仿宋" w:hAnsi="仿宋" w:eastAsia="仿宋" w:cs="仿宋"/>
          <w:b/>
          <w:bCs/>
          <w:color w:val="auto"/>
          <w:szCs w:val="24"/>
          <w:highlight w:val="none"/>
          <w:lang w:val="en-US" w:eastAsia="zh-CN"/>
        </w:rPr>
      </w:pPr>
    </w:p>
    <w:p>
      <w:pPr>
        <w:pStyle w:val="109"/>
        <w:rPr>
          <w:rFonts w:ascii="仿宋" w:hAnsi="仿宋" w:eastAsia="仿宋" w:cs="仿宋"/>
          <w:b/>
          <w:bCs/>
          <w:color w:val="auto"/>
          <w:szCs w:val="24"/>
          <w:highlight w:val="none"/>
          <w:lang w:val="en-US" w:eastAsia="zh-CN"/>
        </w:rPr>
      </w:pPr>
    </w:p>
    <w:p>
      <w:pPr>
        <w:shd w:val="clear" w:color="auto" w:fill="FFFFFF"/>
        <w:tabs>
          <w:tab w:val="left" w:pos="3045"/>
        </w:tabs>
        <w:autoSpaceDE w:val="0"/>
        <w:autoSpaceDN w:val="0"/>
        <w:adjustRightInd w:val="0"/>
        <w:snapToGrid w:val="0"/>
        <w:spacing w:line="44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二、符合性审查</w:t>
      </w:r>
    </w:p>
    <w:p>
      <w:pPr>
        <w:spacing w:line="52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符合性</w:t>
      </w:r>
      <w:r>
        <w:rPr>
          <w:rFonts w:hint="eastAsia" w:ascii="仿宋" w:hAnsi="仿宋" w:eastAsia="仿宋" w:cs="仿宋"/>
          <w:b/>
          <w:bCs/>
          <w:color w:val="auto"/>
          <w:sz w:val="24"/>
          <w:highlight w:val="none"/>
        </w:rPr>
        <w:t>审查表</w:t>
      </w:r>
    </w:p>
    <w:p>
      <w:pPr>
        <w:shd w:val="clear" w:color="auto" w:fill="FFFFFF"/>
        <w:tabs>
          <w:tab w:val="left" w:pos="3045"/>
        </w:tabs>
        <w:autoSpaceDE w:val="0"/>
        <w:autoSpaceDN w:val="0"/>
        <w:adjustRightInd w:val="0"/>
        <w:snapToGrid w:val="0"/>
        <w:spacing w:line="440" w:lineRule="exact"/>
        <w:jc w:val="center"/>
        <w:rPr>
          <w:rFonts w:ascii="仿宋" w:hAnsi="仿宋" w:eastAsia="仿宋" w:cs="仿宋"/>
          <w:b/>
          <w:color w:val="auto"/>
          <w:sz w:val="24"/>
          <w:highlight w:val="none"/>
        </w:rPr>
      </w:pP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98"/>
        <w:gridCol w:w="4829"/>
        <w:gridCol w:w="737"/>
        <w:gridCol w:w="723"/>
        <w:gridCol w:w="711"/>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4" w:hRule="atLeast"/>
        </w:trPr>
        <w:tc>
          <w:tcPr>
            <w:tcW w:w="717" w:type="dxa"/>
            <w:tcBorders>
              <w:bottom w:val="single" w:color="auto" w:sz="4" w:space="0"/>
            </w:tcBorders>
            <w:vAlign w:val="center"/>
          </w:tcPr>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项目</w:t>
            </w:r>
          </w:p>
        </w:tc>
        <w:tc>
          <w:tcPr>
            <w:tcW w:w="5327" w:type="dxa"/>
            <w:gridSpan w:val="2"/>
            <w:tcBorders>
              <w:bottom w:val="single" w:color="auto" w:sz="4" w:space="0"/>
            </w:tcBorders>
            <w:vAlign w:val="center"/>
          </w:tcPr>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  审  内  容</w:t>
            </w:r>
          </w:p>
        </w:tc>
        <w:tc>
          <w:tcPr>
            <w:tcW w:w="737" w:type="dxa"/>
            <w:tcBorders>
              <w:bottom w:val="single" w:color="auto" w:sz="4" w:space="0"/>
            </w:tcBorders>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投标人1</w:t>
            </w:r>
          </w:p>
        </w:tc>
        <w:tc>
          <w:tcPr>
            <w:tcW w:w="723" w:type="dxa"/>
            <w:tcBorders>
              <w:bottom w:val="single" w:color="auto" w:sz="4" w:space="0"/>
            </w:tcBorders>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投标人2</w:t>
            </w:r>
          </w:p>
        </w:tc>
        <w:tc>
          <w:tcPr>
            <w:tcW w:w="711" w:type="dxa"/>
            <w:tcBorders>
              <w:bottom w:val="single" w:color="auto" w:sz="4" w:space="0"/>
            </w:tcBorders>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投标人3</w:t>
            </w:r>
          </w:p>
        </w:tc>
        <w:tc>
          <w:tcPr>
            <w:tcW w:w="721" w:type="dxa"/>
            <w:tcBorders>
              <w:bottom w:val="single" w:color="auto" w:sz="4" w:space="0"/>
            </w:tcBorders>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17" w:type="dxa"/>
            <w:vMerge w:val="restart"/>
            <w:vAlign w:val="center"/>
          </w:tcPr>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初</w:t>
            </w:r>
          </w:p>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步</w:t>
            </w:r>
          </w:p>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w:t>
            </w:r>
          </w:p>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审</w:t>
            </w:r>
          </w:p>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w:t>
            </w:r>
          </w:p>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符</w:t>
            </w:r>
          </w:p>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合</w:t>
            </w:r>
          </w:p>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性</w:t>
            </w:r>
          </w:p>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审</w:t>
            </w:r>
          </w:p>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查</w:t>
            </w:r>
          </w:p>
          <w:p>
            <w:pPr>
              <w:shd w:val="clear" w:color="auto" w:fill="FFFFFF"/>
              <w:adjustRightInd w:val="0"/>
              <w:snapToGrid w:val="0"/>
              <w:jc w:val="center"/>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表</w:t>
            </w:r>
          </w:p>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b/>
                <w:color w:val="auto"/>
                <w:sz w:val="22"/>
                <w:szCs w:val="22"/>
                <w:highlight w:val="none"/>
              </w:rPr>
              <w:t>︺</w:t>
            </w: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提交的投标文件“格式、内容、标识、签字和盖章”是否符合采购文件要求；</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投标报价是否高于本项目的最高限价</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3</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投标人是否对同一招标项目做出两个以上报价且未明确效力的；</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4</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投标文件的供货期是否超过采购文件规定期限；</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5</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投标保证金的缴纳主体是否与投标人一致、提供投标担保或者所提供的投标担保不符合采购文件要求；</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6</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bCs/>
                <w:color w:val="auto"/>
                <w:sz w:val="22"/>
                <w:szCs w:val="22"/>
                <w:highlight w:val="none"/>
              </w:rPr>
              <w:t>企业资格是否符合</w:t>
            </w:r>
            <w:r>
              <w:rPr>
                <w:rFonts w:hint="eastAsia" w:ascii="仿宋" w:hAnsi="仿宋" w:eastAsia="仿宋" w:cs="仿宋"/>
                <w:color w:val="auto"/>
                <w:sz w:val="22"/>
                <w:szCs w:val="22"/>
                <w:highlight w:val="none"/>
              </w:rPr>
              <w:t>采购文件</w:t>
            </w:r>
            <w:r>
              <w:rPr>
                <w:rFonts w:hint="eastAsia" w:ascii="仿宋" w:hAnsi="仿宋" w:eastAsia="仿宋" w:cs="仿宋"/>
                <w:bCs/>
                <w:color w:val="auto"/>
                <w:sz w:val="22"/>
                <w:szCs w:val="22"/>
                <w:highlight w:val="none"/>
              </w:rPr>
              <w:t>要求、并按</w:t>
            </w:r>
            <w:r>
              <w:rPr>
                <w:rFonts w:hint="eastAsia" w:ascii="仿宋" w:hAnsi="仿宋" w:eastAsia="仿宋" w:cs="仿宋"/>
                <w:color w:val="auto"/>
                <w:sz w:val="22"/>
                <w:szCs w:val="22"/>
                <w:highlight w:val="none"/>
              </w:rPr>
              <w:t>采购文件</w:t>
            </w:r>
            <w:r>
              <w:rPr>
                <w:rFonts w:hint="eastAsia" w:ascii="仿宋" w:hAnsi="仿宋" w:eastAsia="仿宋" w:cs="仿宋"/>
                <w:bCs/>
                <w:color w:val="auto"/>
                <w:sz w:val="22"/>
                <w:szCs w:val="22"/>
                <w:highlight w:val="none"/>
              </w:rPr>
              <w:t>要求提供相关资料；拟派主要人员是否符合</w:t>
            </w:r>
            <w:r>
              <w:rPr>
                <w:rFonts w:hint="eastAsia" w:ascii="仿宋" w:hAnsi="仿宋" w:eastAsia="仿宋" w:cs="仿宋"/>
                <w:color w:val="auto"/>
                <w:sz w:val="22"/>
                <w:szCs w:val="22"/>
                <w:highlight w:val="none"/>
              </w:rPr>
              <w:t>采购文件</w:t>
            </w:r>
            <w:r>
              <w:rPr>
                <w:rFonts w:hint="eastAsia" w:ascii="仿宋" w:hAnsi="仿宋" w:eastAsia="仿宋" w:cs="仿宋"/>
                <w:bCs/>
                <w:color w:val="auto"/>
                <w:sz w:val="22"/>
                <w:szCs w:val="22"/>
                <w:highlight w:val="none"/>
              </w:rPr>
              <w:t>要求并按</w:t>
            </w:r>
            <w:r>
              <w:rPr>
                <w:rFonts w:hint="eastAsia" w:ascii="仿宋" w:hAnsi="仿宋" w:eastAsia="仿宋" w:cs="仿宋"/>
                <w:color w:val="auto"/>
                <w:sz w:val="22"/>
                <w:szCs w:val="22"/>
                <w:highlight w:val="none"/>
              </w:rPr>
              <w:t>采购文件</w:t>
            </w:r>
            <w:r>
              <w:rPr>
                <w:rFonts w:hint="eastAsia" w:ascii="仿宋" w:hAnsi="仿宋" w:eastAsia="仿宋" w:cs="仿宋"/>
                <w:bCs/>
                <w:color w:val="auto"/>
                <w:sz w:val="22"/>
                <w:szCs w:val="22"/>
                <w:highlight w:val="none"/>
              </w:rPr>
              <w:t>要求提供相关资料；</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7</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投标文件封面右上角是否注明“正本”或“副本”字样；</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8</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投标有效期是否满足采购文件要求； </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9</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法定代表人身份证明书及法定代表人授权委托书是否按采购文件规定格式、内容完整提供并按采购文件要求签字和盖章的。</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10</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企业信誉是否满足采购文件的要求</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12</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投标文件是否附有招标人不能接受的条件</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color w:val="auto"/>
                <w:highlight w:val="none"/>
              </w:rPr>
            </w:pPr>
            <w:r>
              <w:rPr>
                <w:rFonts w:hint="eastAsia"/>
                <w:color w:val="auto"/>
                <w:highlight w:val="none"/>
              </w:rPr>
              <w:t>13</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是否满足采购文件实质性要求的其他情形</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717" w:type="dxa"/>
            <w:vMerge w:val="continue"/>
            <w:vAlign w:val="center"/>
          </w:tcPr>
          <w:p>
            <w:pPr>
              <w:shd w:val="clear" w:color="auto" w:fill="FFFFFF"/>
              <w:adjustRightInd w:val="0"/>
              <w:snapToGrid w:val="0"/>
              <w:jc w:val="center"/>
              <w:rPr>
                <w:rFonts w:ascii="仿宋" w:hAnsi="仿宋" w:eastAsia="仿宋" w:cs="仿宋"/>
                <w:color w:val="auto"/>
                <w:sz w:val="22"/>
                <w:szCs w:val="22"/>
                <w:highlight w:val="none"/>
              </w:rPr>
            </w:pPr>
          </w:p>
        </w:tc>
        <w:tc>
          <w:tcPr>
            <w:tcW w:w="498" w:type="dxa"/>
            <w:vAlign w:val="center"/>
          </w:tcPr>
          <w:p>
            <w:pPr>
              <w:shd w:val="clear" w:color="auto" w:fill="FFFFFF"/>
              <w:adjustRightInd w:val="0"/>
              <w:snapToGrid w:val="0"/>
              <w:jc w:val="center"/>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14</w:t>
            </w:r>
          </w:p>
        </w:tc>
        <w:tc>
          <w:tcPr>
            <w:tcW w:w="4829" w:type="dxa"/>
            <w:vAlign w:val="center"/>
          </w:tcPr>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是否符合法律、法规有关投标人要求</w:t>
            </w:r>
          </w:p>
        </w:tc>
        <w:tc>
          <w:tcPr>
            <w:tcW w:w="737"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3"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11" w:type="dxa"/>
            <w:vAlign w:val="center"/>
          </w:tcPr>
          <w:p>
            <w:pPr>
              <w:shd w:val="clear" w:color="auto" w:fill="FFFFFF"/>
              <w:adjustRightInd w:val="0"/>
              <w:snapToGrid w:val="0"/>
              <w:rPr>
                <w:rFonts w:ascii="仿宋" w:hAnsi="仿宋" w:eastAsia="仿宋" w:cs="仿宋"/>
                <w:color w:val="auto"/>
                <w:sz w:val="22"/>
                <w:szCs w:val="22"/>
                <w:highlight w:val="none"/>
              </w:rPr>
            </w:pPr>
          </w:p>
        </w:tc>
        <w:tc>
          <w:tcPr>
            <w:tcW w:w="721" w:type="dxa"/>
            <w:vAlign w:val="center"/>
          </w:tcPr>
          <w:p>
            <w:pPr>
              <w:shd w:val="clear" w:color="auto" w:fill="FFFFFF"/>
              <w:adjustRightInd w:val="0"/>
              <w:snapToGrid w:val="0"/>
              <w:rPr>
                <w:rFonts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8936" w:type="dxa"/>
            <w:gridSpan w:val="7"/>
            <w:vAlign w:val="center"/>
          </w:tcPr>
          <w:p>
            <w:pPr>
              <w:shd w:val="clear" w:color="auto" w:fill="FFFFFF"/>
              <w:adjustRightInd w:val="0"/>
              <w:snapToGrid w:val="0"/>
              <w:rPr>
                <w:rFonts w:ascii="仿宋" w:hAnsi="仿宋" w:eastAsia="仿宋" w:cs="仿宋"/>
                <w:b/>
                <w:color w:val="auto"/>
                <w:sz w:val="22"/>
                <w:szCs w:val="22"/>
                <w:highlight w:val="none"/>
              </w:rPr>
            </w:pPr>
            <w:r>
              <w:rPr>
                <w:rFonts w:hint="eastAsia" w:ascii="仿宋" w:hAnsi="仿宋" w:eastAsia="仿宋" w:cs="仿宋"/>
                <w:color w:val="auto"/>
                <w:sz w:val="22"/>
                <w:szCs w:val="22"/>
                <w:highlight w:val="none"/>
              </w:rPr>
              <w:t>结论：是否通过初步评审</w:t>
            </w:r>
            <w:r>
              <w:rPr>
                <w:rFonts w:hint="eastAsia" w:ascii="仿宋" w:hAnsi="仿宋" w:eastAsia="仿宋" w:cs="仿宋"/>
                <w:b/>
                <w:color w:val="auto"/>
                <w:sz w:val="22"/>
                <w:szCs w:val="22"/>
                <w:highlight w:val="none"/>
              </w:rPr>
              <w:t>（</w:t>
            </w:r>
            <w:r>
              <w:rPr>
                <w:rFonts w:hint="eastAsia" w:ascii="仿宋" w:hAnsi="仿宋" w:eastAsia="仿宋" w:cs="仿宋"/>
                <w:color w:val="auto"/>
                <w:sz w:val="22"/>
                <w:szCs w:val="22"/>
                <w:highlight w:val="none"/>
              </w:rPr>
              <w:t>初步评审合格后方可进入详细评审阶段</w:t>
            </w:r>
            <w:r>
              <w:rPr>
                <w:rFonts w:hint="eastAsia" w:ascii="仿宋" w:hAnsi="仿宋" w:eastAsia="仿宋" w:cs="仿宋"/>
                <w:b/>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8936" w:type="dxa"/>
            <w:gridSpan w:val="7"/>
            <w:vAlign w:val="center"/>
          </w:tcPr>
          <w:p>
            <w:pPr>
              <w:shd w:val="clear" w:color="auto" w:fill="FFFFFF"/>
              <w:adjustRightInd w:val="0"/>
              <w:snapToGrid w:val="0"/>
              <w:rPr>
                <w:rFonts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评标委员会成员签名：</w:t>
            </w:r>
          </w:p>
          <w:p>
            <w:pPr>
              <w:shd w:val="clear" w:color="auto" w:fill="FFFFFF"/>
              <w:adjustRightInd w:val="0"/>
              <w:snapToGrid w:val="0"/>
              <w:rPr>
                <w:rFonts w:ascii="仿宋" w:hAnsi="仿宋" w:eastAsia="仿宋" w:cs="仿宋"/>
                <w:color w:val="auto"/>
                <w:sz w:val="22"/>
                <w:szCs w:val="22"/>
                <w:highlight w:val="none"/>
              </w:rPr>
            </w:pPr>
            <w:r>
              <w:rPr>
                <w:rFonts w:hint="eastAsia" w:ascii="仿宋" w:hAnsi="仿宋" w:eastAsia="仿宋" w:cs="仿宋"/>
                <w:b/>
                <w:color w:val="auto"/>
                <w:sz w:val="22"/>
                <w:szCs w:val="22"/>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8936" w:type="dxa"/>
            <w:gridSpan w:val="7"/>
            <w:vAlign w:val="center"/>
          </w:tcPr>
          <w:p>
            <w:pPr>
              <w:shd w:val="clear" w:color="auto" w:fill="FFFFFF"/>
              <w:adjustRightInd w:val="0"/>
              <w:snapToGrid w:val="0"/>
              <w:rPr>
                <w:rFonts w:ascii="仿宋" w:hAnsi="仿宋" w:eastAsia="仿宋" w:cs="仿宋"/>
                <w:b/>
                <w:color w:val="auto"/>
                <w:sz w:val="22"/>
                <w:szCs w:val="22"/>
                <w:highlight w:val="none"/>
              </w:rPr>
            </w:pPr>
            <w:r>
              <w:rPr>
                <w:rFonts w:hint="eastAsia" w:ascii="仿宋" w:hAnsi="仿宋" w:eastAsia="仿宋" w:cs="仿宋"/>
                <w:color w:val="auto"/>
                <w:sz w:val="22"/>
                <w:szCs w:val="22"/>
                <w:highlight w:val="none"/>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hd w:val="clear" w:color="auto" w:fill="FFFFFF"/>
        <w:tabs>
          <w:tab w:val="left" w:pos="3045"/>
        </w:tabs>
        <w:autoSpaceDE w:val="0"/>
        <w:autoSpaceDN w:val="0"/>
        <w:adjustRightInd w:val="0"/>
        <w:snapToGrid w:val="0"/>
        <w:spacing w:line="440" w:lineRule="exact"/>
        <w:jc w:val="center"/>
        <w:rPr>
          <w:rFonts w:ascii="仿宋" w:hAnsi="仿宋" w:eastAsia="仿宋" w:cs="仿宋"/>
          <w:b/>
          <w:color w:val="auto"/>
          <w:sz w:val="24"/>
          <w:highlight w:val="none"/>
        </w:rPr>
      </w:pPr>
    </w:p>
    <w:p>
      <w:pPr>
        <w:shd w:val="clear" w:color="auto" w:fill="FFFFFF"/>
        <w:spacing w:line="400" w:lineRule="exact"/>
        <w:ind w:firstLine="482" w:firstLineChars="20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评分标准</w:t>
      </w:r>
    </w:p>
    <w:tbl>
      <w:tblPr>
        <w:tblStyle w:val="60"/>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849"/>
        <w:gridCol w:w="6185"/>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4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评审项目</w:t>
            </w:r>
          </w:p>
        </w:tc>
        <w:tc>
          <w:tcPr>
            <w:tcW w:w="6185"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评审标准</w:t>
            </w:r>
          </w:p>
        </w:tc>
        <w:tc>
          <w:tcPr>
            <w:tcW w:w="731"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84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185"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1、综合评分法中的价格分统一采用低价优先法计算，即满足招标文件要求且投标价格最低的投标报价为基准价，其价格分为满分。</w:t>
            </w:r>
          </w:p>
          <w:p>
            <w:pPr>
              <w:shd w:val="clear" w:color="auto" w:fill="FFFFFF"/>
              <w:adjustRightInd w:val="0"/>
              <w:snapToGrid w:val="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2、其他投标单位的投标报价得分计算公式如下：</w:t>
            </w:r>
          </w:p>
          <w:p>
            <w:pPr>
              <w:shd w:val="clear" w:color="auto" w:fill="FFFFFF"/>
              <w:adjustRightInd w:val="0"/>
              <w:snapToGrid w:val="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投标报价得分=（评标基准价／投标报价）×</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0；小数点后保留二位，四舍五入。</w:t>
            </w:r>
          </w:p>
          <w:p>
            <w:pPr>
              <w:shd w:val="clear" w:color="auto" w:fill="FFFFFF"/>
              <w:adjustRightInd w:val="0"/>
              <w:snapToGrid w:val="0"/>
              <w:rPr>
                <w:color w:val="auto"/>
                <w:sz w:val="24"/>
                <w:highlight w:val="none"/>
              </w:rPr>
            </w:pPr>
            <w:r>
              <w:rPr>
                <w:rFonts w:hint="eastAsia" w:ascii="仿宋" w:hAnsi="仿宋" w:eastAsia="仿宋" w:cs="仿宋"/>
                <w:color w:val="auto"/>
                <w:sz w:val="24"/>
                <w:highlight w:val="none"/>
              </w:rPr>
              <w:t>注：投标报价超过采购预算价的按无效投标处理</w:t>
            </w:r>
          </w:p>
        </w:tc>
        <w:tc>
          <w:tcPr>
            <w:tcW w:w="731"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84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业绩</w:t>
            </w:r>
          </w:p>
        </w:tc>
        <w:tc>
          <w:tcPr>
            <w:tcW w:w="6185"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投标人近</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rPr>
              <w:t>2019年1月至今</w:t>
            </w:r>
            <w:r>
              <w:rPr>
                <w:rFonts w:hint="eastAsia" w:ascii="仿宋" w:hAnsi="仿宋" w:eastAsia="仿宋" w:cs="仿宋"/>
                <w:color w:val="auto"/>
                <w:sz w:val="24"/>
                <w:highlight w:val="none"/>
                <w:lang w:val="zh-CN"/>
              </w:rPr>
              <w:t>）承担过类似项目业绩，每提供一项有效业绩计</w:t>
            </w:r>
            <w:r>
              <w:rPr>
                <w:rFonts w:hint="eastAsia" w:ascii="仿宋" w:hAnsi="仿宋" w:eastAsia="仿宋" w:cs="仿宋"/>
                <w:color w:val="auto"/>
                <w:sz w:val="24"/>
                <w:highlight w:val="none"/>
              </w:rPr>
              <w:t>2分</w:t>
            </w:r>
            <w:r>
              <w:rPr>
                <w:rFonts w:hint="eastAsia" w:ascii="仿宋" w:hAnsi="仿宋" w:eastAsia="仿宋" w:cs="仿宋"/>
                <w:color w:val="auto"/>
                <w:sz w:val="24"/>
                <w:highlight w:val="none"/>
                <w:lang w:val="zh-CN"/>
              </w:rPr>
              <w:t>，最多计</w:t>
            </w:r>
            <w:r>
              <w:rPr>
                <w:rFonts w:hint="eastAsia" w:ascii="仿宋" w:hAnsi="仿宋" w:eastAsia="仿宋" w:cs="仿宋"/>
                <w:color w:val="auto"/>
                <w:sz w:val="24"/>
                <w:highlight w:val="none"/>
              </w:rPr>
              <w:t>6</w:t>
            </w:r>
            <w:r>
              <w:rPr>
                <w:rFonts w:hint="eastAsia" w:ascii="仿宋" w:hAnsi="仿宋" w:eastAsia="仿宋" w:cs="仿宋"/>
                <w:color w:val="auto"/>
                <w:sz w:val="24"/>
                <w:highlight w:val="none"/>
                <w:lang w:val="zh-CN"/>
              </w:rPr>
              <w:t>分。</w:t>
            </w:r>
          </w:p>
          <w:p>
            <w:pPr>
              <w:shd w:val="clear" w:color="auto" w:fill="FFFFFF"/>
              <w:adjustRightInd w:val="0"/>
              <w:snapToGrid w:val="0"/>
              <w:rPr>
                <w:rFonts w:ascii="仿宋" w:hAnsi="仿宋" w:eastAsia="仿宋" w:cs="仿宋"/>
                <w:color w:val="auto"/>
                <w:sz w:val="24"/>
                <w:highlight w:val="none"/>
                <w:lang w:val="zh-CN"/>
              </w:rPr>
            </w:pPr>
            <w:r>
              <w:rPr>
                <w:rFonts w:hint="eastAsia" w:ascii="仿宋" w:hAnsi="仿宋" w:eastAsia="仿宋" w:cs="仿宋"/>
                <w:b/>
                <w:bCs/>
                <w:color w:val="auto"/>
                <w:sz w:val="24"/>
                <w:highlight w:val="none"/>
                <w:lang w:val="zh-CN"/>
              </w:rPr>
              <w:t>注：有效业绩的证明材料需提供完整合同</w:t>
            </w:r>
            <w:r>
              <w:rPr>
                <w:rFonts w:hint="eastAsia" w:ascii="仿宋" w:hAnsi="仿宋" w:eastAsia="仿宋" w:cs="仿宋"/>
                <w:b/>
                <w:bCs/>
                <w:color w:val="auto"/>
                <w:sz w:val="24"/>
                <w:highlight w:val="none"/>
              </w:rPr>
              <w:t>或中标通知书</w:t>
            </w:r>
            <w:r>
              <w:rPr>
                <w:rFonts w:hint="eastAsia" w:ascii="仿宋" w:hAnsi="仿宋" w:eastAsia="仿宋" w:cs="仿宋"/>
                <w:b/>
                <w:bCs/>
                <w:color w:val="auto"/>
                <w:sz w:val="24"/>
                <w:highlight w:val="none"/>
                <w:lang w:val="zh-CN"/>
              </w:rPr>
              <w:t>，未提供业绩证明材料或是经评标委员会认定为无效业绩的，本项不得分。</w:t>
            </w:r>
          </w:p>
        </w:tc>
        <w:tc>
          <w:tcPr>
            <w:tcW w:w="731"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849" w:type="dxa"/>
            <w:tcBorders>
              <w:top w:val="single" w:color="auto" w:sz="4" w:space="0"/>
              <w:left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企业信誉</w:t>
            </w:r>
          </w:p>
        </w:tc>
        <w:tc>
          <w:tcPr>
            <w:tcW w:w="6185" w:type="dxa"/>
            <w:tcBorders>
              <w:top w:val="single" w:color="auto" w:sz="4" w:space="0"/>
              <w:left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企业信誉度较高，售后反馈意见良好，提供不少于3份且反馈意见良好的证明材料，少于3份不得分，提供3份得</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分，每多提供一份加1分，本项最多计4分。（一个项目仅限提供一份反馈材料并加盖公章）</w:t>
            </w:r>
          </w:p>
        </w:tc>
        <w:tc>
          <w:tcPr>
            <w:tcW w:w="731" w:type="dxa"/>
            <w:tcBorders>
              <w:top w:val="single" w:color="auto" w:sz="4" w:space="0"/>
              <w:left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849" w:type="dxa"/>
            <w:tcBorders>
              <w:top w:val="single" w:color="auto" w:sz="4" w:space="0"/>
              <w:left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生产供应能力</w:t>
            </w:r>
          </w:p>
        </w:tc>
        <w:tc>
          <w:tcPr>
            <w:tcW w:w="6185" w:type="dxa"/>
            <w:tcBorders>
              <w:top w:val="single" w:color="auto" w:sz="4" w:space="0"/>
              <w:left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根据投标人提供的生产厂家供应能力证明，包括但不限于：①生产厂家的生产场地、②生产加工设备、③检测设备。</w:t>
            </w:r>
          </w:p>
          <w:p>
            <w:pPr>
              <w:shd w:val="clear" w:color="auto" w:fill="FFFFFF"/>
              <w:adjustRightInd w:val="0"/>
              <w:snapToGrid w:val="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针对以上3项内容进行评审，逐项打分，每项1分，共3分：每项评审标准：①生产供应能力证明材料内容全面详细、具体、合理、针对性强、有利于项目履约得</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分；②生产供应能力证明材料内容不够全面、不够详细、不够具体、不够合理，针对性有所欠缺得</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分；③无法达到采购要求或未提供相应证明材料每项得0分。</w:t>
            </w:r>
          </w:p>
          <w:p>
            <w:pPr>
              <w:shd w:val="clear" w:color="auto" w:fill="FFFFFF"/>
              <w:adjustRightInd w:val="0"/>
              <w:snapToGrid w:val="0"/>
              <w:rPr>
                <w:rFonts w:ascii="仿宋" w:hAnsi="仿宋" w:eastAsia="仿宋" w:cs="仿宋"/>
                <w:color w:val="auto"/>
                <w:sz w:val="24"/>
                <w:highlight w:val="none"/>
                <w:lang w:val="zh-CN"/>
              </w:rPr>
            </w:pPr>
            <w:r>
              <w:rPr>
                <w:rFonts w:hint="eastAsia" w:ascii="仿宋" w:hAnsi="仿宋" w:eastAsia="仿宋" w:cs="仿宋"/>
                <w:b/>
                <w:bCs/>
                <w:color w:val="auto"/>
                <w:sz w:val="24"/>
                <w:highlight w:val="none"/>
                <w:lang w:val="zh-CN"/>
              </w:rPr>
              <w:t>注：须提供生产场地产权证明或租赁合同证明、厂房及设备照片等相关证明文件复印件，并加盖投标人公章。</w:t>
            </w:r>
          </w:p>
        </w:tc>
        <w:tc>
          <w:tcPr>
            <w:tcW w:w="731" w:type="dxa"/>
            <w:tcBorders>
              <w:top w:val="single" w:color="auto" w:sz="4" w:space="0"/>
              <w:left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84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产品性能</w:t>
            </w:r>
          </w:p>
        </w:tc>
        <w:tc>
          <w:tcPr>
            <w:tcW w:w="6185"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投标方在应标过程中应充分考虑用户需求，在产品选型过程中，提供的投标产品应是功能、质量、产品配置、性能优良，并满足用户对产品功能、质量、使用、操作等方面的需求，且满足招标文件技术参数和技术规格要求的产品，评审委员会根据投标人所投产品的技术参数、配置、质量和性能等进行综合评审，全部技术指标完全满足参数要求，正规厂家生产，标识齐全规范，无实质性负偏离，得26分，每有一项不满足扣2分，扣完为止。</w:t>
            </w:r>
          </w:p>
          <w:p>
            <w:pPr>
              <w:shd w:val="clear" w:color="auto" w:fill="FFFFFF"/>
              <w:adjustRightInd w:val="0"/>
              <w:snapToGrid w:val="0"/>
              <w:rPr>
                <w:rFonts w:ascii="仿宋" w:hAnsi="仿宋" w:eastAsia="仿宋" w:cs="仿宋"/>
                <w:b/>
                <w:bCs/>
                <w:color w:val="auto"/>
                <w:sz w:val="24"/>
                <w:highlight w:val="none"/>
              </w:rPr>
            </w:pPr>
            <w:r>
              <w:rPr>
                <w:rFonts w:hint="eastAsia" w:ascii="仿宋" w:hAnsi="仿宋" w:eastAsia="仿宋" w:cs="仿宋"/>
                <w:b/>
                <w:bCs/>
                <w:color w:val="auto"/>
                <w:sz w:val="24"/>
                <w:highlight w:val="none"/>
              </w:rPr>
              <w:t>注：提供相关佐证材料（包括但不限于国家认证认可的第三方检测机构出具的检测报告、技术白皮书、官网截图、厂家公开发布的印刷资料、产品彩页、产品说明书等），若响应文件中技术支持资料参数与技术规格偏离表应答不符或无支持资料应答，而投标方又未在响应文件中作出说明和解释的，视为不响应该条技术参数要求；技术要求内容需在商务、技术响应与偏离表中依次逐一如实填写。</w:t>
            </w:r>
          </w:p>
        </w:tc>
        <w:tc>
          <w:tcPr>
            <w:tcW w:w="731"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26分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84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供货服务方案</w:t>
            </w:r>
          </w:p>
        </w:tc>
        <w:tc>
          <w:tcPr>
            <w:tcW w:w="6185"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根据投标人提供的供货服务方案内容，包括供货方案，安全管理制度，质量控制方案，配送服务计划和措施（包括运输和仓储），自然灾害、交通意外等情况下的应急预案等，进行综合评审：</w:t>
            </w:r>
          </w:p>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①服务方案</w:t>
            </w:r>
            <w:r>
              <w:rPr>
                <w:rFonts w:hint="eastAsia" w:ascii="仿宋" w:hAnsi="仿宋" w:eastAsia="仿宋" w:cs="仿宋"/>
                <w:color w:val="auto"/>
                <w:kern w:val="0"/>
                <w:sz w:val="24"/>
                <w:highlight w:val="none"/>
              </w:rPr>
              <w:t>内容完整、描述清晰，</w:t>
            </w:r>
            <w:r>
              <w:rPr>
                <w:rFonts w:hint="eastAsia" w:ascii="仿宋" w:hAnsi="仿宋" w:eastAsia="仿宋" w:cs="仿宋"/>
                <w:color w:val="auto"/>
                <w:sz w:val="24"/>
                <w:highlight w:val="none"/>
              </w:rPr>
              <w:t>科学合理，技术具有一定先进性及可靠性，可操作性强，完全符合项目需求，得10分；</w:t>
            </w:r>
          </w:p>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②服务方案</w:t>
            </w:r>
            <w:r>
              <w:rPr>
                <w:rFonts w:hint="eastAsia" w:ascii="仿宋" w:hAnsi="仿宋" w:eastAsia="仿宋" w:cs="仿宋"/>
                <w:color w:val="auto"/>
                <w:kern w:val="0"/>
                <w:sz w:val="24"/>
                <w:highlight w:val="none"/>
              </w:rPr>
              <w:t>内容较完整、描述较清晰，</w:t>
            </w:r>
            <w:r>
              <w:rPr>
                <w:rFonts w:hint="eastAsia" w:ascii="仿宋" w:hAnsi="仿宋" w:eastAsia="仿宋" w:cs="仿宋"/>
                <w:color w:val="auto"/>
                <w:sz w:val="24"/>
                <w:highlight w:val="none"/>
              </w:rPr>
              <w:t>技术具有一定先进性及可靠性，可操作性较强，基本符合项目需求，得7分；</w:t>
            </w:r>
          </w:p>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③服务方案</w:t>
            </w:r>
            <w:r>
              <w:rPr>
                <w:rFonts w:hint="eastAsia" w:ascii="仿宋" w:hAnsi="仿宋" w:eastAsia="仿宋" w:cs="仿宋"/>
                <w:color w:val="auto"/>
                <w:kern w:val="0"/>
                <w:sz w:val="24"/>
                <w:highlight w:val="none"/>
              </w:rPr>
              <w:t>内容基本完整、描述基本清晰，</w:t>
            </w:r>
            <w:r>
              <w:rPr>
                <w:rFonts w:hint="eastAsia" w:ascii="仿宋" w:hAnsi="仿宋" w:eastAsia="仿宋" w:cs="仿宋"/>
                <w:color w:val="auto"/>
                <w:sz w:val="24"/>
                <w:highlight w:val="none"/>
              </w:rPr>
              <w:t>具有可操作性，</w:t>
            </w:r>
            <w:r>
              <w:rPr>
                <w:rFonts w:hint="eastAsia" w:ascii="仿宋" w:hAnsi="仿宋" w:eastAsia="仿宋"/>
                <w:color w:val="auto"/>
                <w:sz w:val="24"/>
                <w:highlight w:val="none"/>
              </w:rPr>
              <w:t>虽存在部分内容表述不清但无实质性影响，</w:t>
            </w:r>
            <w:r>
              <w:rPr>
                <w:rFonts w:hint="eastAsia" w:ascii="仿宋" w:hAnsi="仿宋" w:eastAsia="仿宋" w:cs="仿宋"/>
                <w:color w:val="auto"/>
                <w:sz w:val="24"/>
                <w:highlight w:val="none"/>
              </w:rPr>
              <w:t>得4分；</w:t>
            </w:r>
          </w:p>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olor w:val="auto"/>
                <w:sz w:val="24"/>
                <w:highlight w:val="none"/>
              </w:rPr>
              <w:t>④提供了服务方案，但方案简单，存在缺漏项，得1分；</w:t>
            </w:r>
          </w:p>
          <w:p>
            <w:pPr>
              <w:shd w:val="clear" w:color="auto" w:fill="FFFFFF"/>
              <w:adjustRightInd w:val="0"/>
              <w:snapToGrid w:val="0"/>
              <w:rPr>
                <w:color w:val="auto"/>
                <w:highlight w:val="none"/>
              </w:rPr>
            </w:pPr>
            <w:r>
              <w:rPr>
                <w:rFonts w:hint="eastAsia" w:ascii="仿宋" w:hAnsi="仿宋" w:eastAsia="仿宋"/>
                <w:color w:val="auto"/>
                <w:sz w:val="24"/>
                <w:highlight w:val="none"/>
              </w:rPr>
              <w:t>⑤方案不完整，不具备实施性或未提供的不得分。</w:t>
            </w:r>
          </w:p>
        </w:tc>
        <w:tc>
          <w:tcPr>
            <w:tcW w:w="731"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84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管理水平、技术力量、人员配置</w:t>
            </w:r>
          </w:p>
        </w:tc>
        <w:tc>
          <w:tcPr>
            <w:tcW w:w="6185"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根据投标人提供的针对本项目的管理、服务、技术人员及其它人员情况进行综合评审：</w:t>
            </w:r>
          </w:p>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①针对本项目的人员投入合理，人员岗位分工及职责划分明确，人员管理制度完善，得6分；</w:t>
            </w:r>
          </w:p>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②针对本项目的人员投入较合理，人员岗位分工及职责划分较明确，人员管理制度较完善，得4分；</w:t>
            </w:r>
          </w:p>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③针对本项目的人员投入及人员管理制度一般，得1分；</w:t>
            </w:r>
          </w:p>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olor w:val="auto"/>
                <w:sz w:val="24"/>
                <w:highlight w:val="none"/>
              </w:rPr>
              <w:t>④</w:t>
            </w:r>
            <w:r>
              <w:rPr>
                <w:rFonts w:hint="eastAsia" w:ascii="仿宋" w:hAnsi="仿宋" w:eastAsia="仿宋" w:cs="仿宋"/>
                <w:color w:val="auto"/>
                <w:sz w:val="24"/>
                <w:highlight w:val="none"/>
              </w:rPr>
              <w:t>未提供的不得分。</w:t>
            </w:r>
          </w:p>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注：需提供人员相关证明资料。</w:t>
            </w:r>
          </w:p>
        </w:tc>
        <w:tc>
          <w:tcPr>
            <w:tcW w:w="731"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84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售后服务</w:t>
            </w:r>
          </w:p>
        </w:tc>
        <w:tc>
          <w:tcPr>
            <w:tcW w:w="61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olor w:val="auto"/>
                <w:sz w:val="24"/>
                <w:highlight w:val="none"/>
              </w:rPr>
            </w:pPr>
            <w:r>
              <w:rPr>
                <w:rFonts w:hint="eastAsia" w:ascii="仿宋" w:hAnsi="仿宋" w:eastAsia="仿宋"/>
                <w:color w:val="auto"/>
                <w:sz w:val="24"/>
                <w:highlight w:val="none"/>
              </w:rPr>
              <w:t>根据各投标人提供的售后服务承诺和售后服务方案情况（包括货物出现质量问题时可免费退换；不能及时兑现服务承诺内容而影响买方使用时，卖方应给予的补偿；保修、售后人员配置情况；服务响应时间、到场时间、修复时间、应急处理等售后计划措施等），对其售后服务的专业性、可行性、快捷性、完整性等，由评委根据方案描述综合评审。</w:t>
            </w:r>
          </w:p>
          <w:p>
            <w:pPr>
              <w:spacing w:line="280" w:lineRule="exact"/>
              <w:rPr>
                <w:rFonts w:ascii="仿宋" w:hAnsi="仿宋" w:eastAsia="仿宋"/>
                <w:color w:val="auto"/>
                <w:sz w:val="24"/>
                <w:highlight w:val="none"/>
              </w:rPr>
            </w:pPr>
            <w:r>
              <w:rPr>
                <w:rFonts w:hint="eastAsia" w:ascii="仿宋" w:hAnsi="仿宋" w:eastAsia="仿宋" w:cs="仿宋"/>
                <w:color w:val="auto"/>
                <w:sz w:val="24"/>
                <w:highlight w:val="none"/>
              </w:rPr>
              <w:t>①</w:t>
            </w:r>
            <w:r>
              <w:rPr>
                <w:rFonts w:hint="eastAsia" w:ascii="仿宋" w:hAnsi="仿宋" w:eastAsia="仿宋"/>
                <w:color w:val="auto"/>
                <w:sz w:val="24"/>
                <w:highlight w:val="none"/>
              </w:rPr>
              <w:t>售后服务方案内容详实，描述清晰，具体合理，针对性强，可操作性强，人员配备齐全合理，得10分；</w:t>
            </w:r>
          </w:p>
          <w:p>
            <w:pPr>
              <w:spacing w:line="280" w:lineRule="exact"/>
              <w:rPr>
                <w:rFonts w:ascii="仿宋" w:hAnsi="仿宋" w:eastAsia="仿宋"/>
                <w:color w:val="auto"/>
                <w:sz w:val="24"/>
                <w:highlight w:val="none"/>
              </w:rPr>
            </w:pPr>
            <w:r>
              <w:rPr>
                <w:rFonts w:hint="eastAsia" w:ascii="仿宋" w:hAnsi="仿宋" w:eastAsia="仿宋" w:cs="仿宋"/>
                <w:color w:val="auto"/>
                <w:sz w:val="24"/>
                <w:highlight w:val="none"/>
              </w:rPr>
              <w:t>②</w:t>
            </w:r>
            <w:r>
              <w:rPr>
                <w:rFonts w:hint="eastAsia" w:ascii="仿宋" w:hAnsi="仿宋" w:eastAsia="仿宋"/>
                <w:color w:val="auto"/>
                <w:sz w:val="24"/>
                <w:highlight w:val="none"/>
              </w:rPr>
              <w:t>售后服务方案内容较详细，描述较清晰，针对性、可操作性较强，人员配备较合理，得6分；</w:t>
            </w:r>
          </w:p>
          <w:p>
            <w:pPr>
              <w:spacing w:line="280" w:lineRule="exact"/>
              <w:rPr>
                <w:rFonts w:ascii="仿宋" w:hAnsi="仿宋" w:eastAsia="仿宋"/>
                <w:color w:val="auto"/>
                <w:sz w:val="24"/>
                <w:highlight w:val="none"/>
              </w:rPr>
            </w:pPr>
            <w:r>
              <w:rPr>
                <w:rFonts w:hint="eastAsia" w:ascii="仿宋" w:hAnsi="仿宋" w:eastAsia="仿宋" w:cs="仿宋"/>
                <w:color w:val="auto"/>
                <w:sz w:val="24"/>
                <w:highlight w:val="none"/>
              </w:rPr>
              <w:t>③</w:t>
            </w:r>
            <w:r>
              <w:rPr>
                <w:rFonts w:hint="eastAsia" w:ascii="仿宋" w:hAnsi="仿宋" w:eastAsia="仿宋"/>
                <w:color w:val="auto"/>
                <w:sz w:val="24"/>
                <w:highlight w:val="none"/>
              </w:rPr>
              <w:t>售后服务方案内容一般，描述基本清晰，虽存在部分内容表述不清但无实质性影响，得2分；</w:t>
            </w:r>
          </w:p>
          <w:p>
            <w:pPr>
              <w:spacing w:line="280" w:lineRule="exact"/>
              <w:rPr>
                <w:color w:val="auto"/>
                <w:highlight w:val="none"/>
              </w:rPr>
            </w:pPr>
            <w:r>
              <w:rPr>
                <w:rFonts w:hint="eastAsia" w:ascii="仿宋" w:hAnsi="仿宋" w:eastAsia="仿宋"/>
                <w:color w:val="auto"/>
                <w:sz w:val="24"/>
                <w:highlight w:val="none"/>
              </w:rPr>
              <w:t>④方案不完整，不具备实施性或未提供的不得分。</w:t>
            </w:r>
          </w:p>
        </w:tc>
        <w:tc>
          <w:tcPr>
            <w:tcW w:w="731"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84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标函质量</w:t>
            </w:r>
          </w:p>
        </w:tc>
        <w:tc>
          <w:tcPr>
            <w:tcW w:w="618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olor w:val="auto"/>
                <w:sz w:val="24"/>
                <w:highlight w:val="none"/>
              </w:rPr>
            </w:pPr>
            <w:r>
              <w:rPr>
                <w:rFonts w:hint="eastAsia" w:ascii="仿宋" w:hAnsi="仿宋" w:eastAsia="仿宋" w:cs="仿宋"/>
                <w:color w:val="auto"/>
                <w:sz w:val="22"/>
                <w:szCs w:val="22"/>
                <w:highlight w:val="none"/>
              </w:rPr>
              <w:t>编制内容完整、齐全、叙述严谨、响应文件无涂改、错页、漏页现象，每有一处扣0.5分。</w:t>
            </w:r>
          </w:p>
        </w:tc>
        <w:tc>
          <w:tcPr>
            <w:tcW w:w="731"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rPr>
                <w:rFonts w:ascii="仿宋" w:hAnsi="仿宋" w:eastAsia="仿宋" w:cs="仿宋"/>
                <w:color w:val="auto"/>
                <w:sz w:val="24"/>
                <w:highlight w:val="none"/>
              </w:rPr>
            </w:pPr>
            <w:r>
              <w:rPr>
                <w:rFonts w:hint="eastAsia" w:ascii="仿宋" w:hAnsi="仿宋" w:eastAsia="仿宋" w:cs="仿宋"/>
                <w:color w:val="auto"/>
                <w:sz w:val="24"/>
                <w:highlight w:val="none"/>
              </w:rPr>
              <w:t>2</w:t>
            </w:r>
          </w:p>
        </w:tc>
      </w:tr>
    </w:tbl>
    <w:p>
      <w:pPr>
        <w:pStyle w:val="47"/>
        <w:numPr>
          <w:ilvl w:val="0"/>
          <w:numId w:val="0"/>
        </w:numPr>
        <w:rPr>
          <w:color w:val="auto"/>
          <w:highlight w:val="none"/>
        </w:rPr>
      </w:pPr>
    </w:p>
    <w:p>
      <w:pPr>
        <w:pStyle w:val="47"/>
        <w:numPr>
          <w:ilvl w:val="0"/>
          <w:numId w:val="0"/>
        </w:numPr>
        <w:rPr>
          <w:color w:val="auto"/>
          <w:highlight w:val="none"/>
        </w:rPr>
      </w:pPr>
    </w:p>
    <w:p>
      <w:pPr>
        <w:spacing w:line="440" w:lineRule="exact"/>
        <w:rPr>
          <w:rFonts w:ascii="仿宋" w:hAnsi="仿宋" w:eastAsia="仿宋" w:cs="仿宋"/>
          <w:color w:val="auto"/>
          <w:sz w:val="24"/>
          <w:highlight w:val="none"/>
        </w:rPr>
        <w:sectPr>
          <w:footerReference r:id="rId6" w:type="default"/>
          <w:pgSz w:w="11906" w:h="16838"/>
          <w:pgMar w:top="680" w:right="1276" w:bottom="1712" w:left="1417" w:header="703" w:footer="850" w:gutter="0"/>
          <w:cols w:space="720" w:num="1"/>
          <w:docGrid w:type="lines" w:linePitch="314" w:charSpace="0"/>
        </w:sectPr>
      </w:pPr>
    </w:p>
    <w:p>
      <w:pPr>
        <w:pStyle w:val="3"/>
        <w:numPr>
          <w:ilvl w:val="0"/>
          <w:numId w:val="17"/>
        </w:numPr>
        <w:rPr>
          <w:rFonts w:cs="仿宋"/>
          <w:color w:val="auto"/>
          <w:szCs w:val="32"/>
          <w:highlight w:val="none"/>
        </w:rPr>
      </w:pPr>
      <w:bookmarkStart w:id="13" w:name="_Toc20898"/>
      <w:r>
        <w:rPr>
          <w:rFonts w:hint="eastAsia" w:cs="仿宋"/>
          <w:color w:val="auto"/>
          <w:szCs w:val="32"/>
          <w:highlight w:val="none"/>
        </w:rPr>
        <w:t>采购需求</w:t>
      </w:r>
      <w:bookmarkEnd w:id="13"/>
    </w:p>
    <w:p>
      <w:pPr>
        <w:jc w:val="center"/>
        <w:rPr>
          <w:rFonts w:ascii="仿宋" w:hAnsi="仿宋" w:eastAsia="仿宋" w:cs="仿宋"/>
          <w:color w:val="auto"/>
          <w:sz w:val="36"/>
          <w:szCs w:val="36"/>
          <w:highlight w:val="none"/>
        </w:rPr>
      </w:pPr>
      <w:bookmarkStart w:id="14" w:name="_Toc6343"/>
      <w:r>
        <w:rPr>
          <w:rFonts w:hint="eastAsia" w:ascii="仿宋" w:hAnsi="仿宋" w:eastAsia="仿宋" w:cs="仿宋"/>
          <w:color w:val="auto"/>
          <w:sz w:val="36"/>
          <w:szCs w:val="36"/>
          <w:highlight w:val="none"/>
        </w:rPr>
        <w:t>第三包</w:t>
      </w:r>
    </w:p>
    <w:p>
      <w:pPr>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一、</w:t>
      </w:r>
      <w:r>
        <w:rPr>
          <w:rFonts w:hint="eastAsia" w:ascii="仿宋" w:hAnsi="仿宋" w:eastAsia="仿宋" w:cs="仿宋"/>
          <w:b/>
          <w:color w:val="auto"/>
          <w:sz w:val="28"/>
          <w:szCs w:val="28"/>
          <w:highlight w:val="none"/>
        </w:rPr>
        <w:t>测量设备名称：互感器现场检测设备  1套</w:t>
      </w:r>
    </w:p>
    <w:p>
      <w:pPr>
        <w:rPr>
          <w:rFonts w:ascii="仿宋" w:hAnsi="仿宋" w:eastAsia="仿宋" w:cs="仿宋"/>
          <w:b/>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b/>
          <w:color w:val="auto"/>
          <w:sz w:val="24"/>
          <w:highlight w:val="none"/>
        </w:rPr>
        <w:t>技术参数</w:t>
      </w:r>
    </w:p>
    <w:p>
      <w:pPr>
        <w:ind w:firstLine="480"/>
        <w:rPr>
          <w:rFonts w:ascii="仿宋" w:hAnsi="仿宋" w:eastAsia="仿宋" w:cs="仿宋"/>
          <w:color w:val="auto"/>
          <w:sz w:val="24"/>
          <w:highlight w:val="none"/>
        </w:rPr>
      </w:pPr>
      <w:r>
        <w:rPr>
          <w:rFonts w:hint="eastAsia" w:ascii="仿宋" w:hAnsi="仿宋" w:eastAsia="仿宋" w:cs="仿宋"/>
          <w:color w:val="auto"/>
          <w:sz w:val="24"/>
          <w:highlight w:val="none"/>
        </w:rPr>
        <w:t>采购的互感器现场检测设备包括两部分：（1）一套现场检测电流、电压互感器的综合测试设备（以下统称</w:t>
      </w:r>
      <w:r>
        <w:rPr>
          <w:rFonts w:hint="eastAsia" w:ascii="仿宋" w:hAnsi="仿宋" w:eastAsia="仿宋" w:cs="仿宋"/>
          <w:b/>
          <w:color w:val="auto"/>
          <w:sz w:val="24"/>
          <w:highlight w:val="none"/>
        </w:rPr>
        <w:t>“互感器综合测试设备”</w:t>
      </w:r>
      <w:r>
        <w:rPr>
          <w:rFonts w:hint="eastAsia" w:ascii="仿宋" w:hAnsi="仿宋" w:eastAsia="仿宋" w:cs="仿宋"/>
          <w:color w:val="auto"/>
          <w:sz w:val="24"/>
          <w:highlight w:val="none"/>
        </w:rPr>
        <w:t>）；（2）一套GIS电压互感器现场检测专用测试设备（以下统称</w:t>
      </w:r>
      <w:r>
        <w:rPr>
          <w:rFonts w:hint="eastAsia" w:ascii="仿宋" w:hAnsi="仿宋" w:eastAsia="仿宋" w:cs="仿宋"/>
          <w:b/>
          <w:color w:val="auto"/>
          <w:sz w:val="24"/>
          <w:highlight w:val="none"/>
        </w:rPr>
        <w:t>“GIS电压互感器专用测试设备”</w:t>
      </w:r>
      <w:r>
        <w:rPr>
          <w:rFonts w:hint="eastAsia" w:ascii="仿宋" w:hAnsi="仿宋" w:eastAsia="仿宋" w:cs="仿宋"/>
          <w:color w:val="auto"/>
          <w:sz w:val="24"/>
          <w:highlight w:val="none"/>
        </w:rPr>
        <w:t>）。两套设备的具体参数要求分别见下表1、表2：</w:t>
      </w:r>
    </w:p>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表1  互感器综合测试设备-技术要求</w:t>
      </w:r>
    </w:p>
    <w:tbl>
      <w:tblPr>
        <w:tblStyle w:val="60"/>
        <w:tblW w:w="837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0"/>
        <w:gridCol w:w="2250"/>
        <w:gridCol w:w="850"/>
        <w:gridCol w:w="44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shd w:val="clear" w:color="000000" w:fill="FFFFFF"/>
            <w:vAlign w:val="center"/>
          </w:tcPr>
          <w:p>
            <w:pPr>
              <w:adjustRightInd w:val="0"/>
              <w:snapToGrid w:val="0"/>
              <w:ind w:right="42" w:right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250" w:type="dxa"/>
            <w:shd w:val="clear" w:color="000000" w:fill="FFFFFF"/>
            <w:vAlign w:val="center"/>
          </w:tcPr>
          <w:p>
            <w:pPr>
              <w:adjustRightInd w:val="0"/>
              <w:snapToGrid w:val="0"/>
              <w:ind w:right="42" w:right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参数名称</w:t>
            </w:r>
          </w:p>
        </w:tc>
        <w:tc>
          <w:tcPr>
            <w:tcW w:w="850" w:type="dxa"/>
            <w:shd w:val="clear" w:color="000000" w:fill="FFFFFF"/>
            <w:vAlign w:val="center"/>
          </w:tcPr>
          <w:p>
            <w:pPr>
              <w:adjustRightInd w:val="0"/>
              <w:snapToGrid w:val="0"/>
              <w:ind w:right="42" w:right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4428" w:type="dxa"/>
            <w:shd w:val="clear" w:color="000000" w:fill="FFFFFF"/>
            <w:vAlign w:val="center"/>
          </w:tcPr>
          <w:p>
            <w:pPr>
              <w:adjustRightInd w:val="0"/>
              <w:snapToGrid w:val="0"/>
              <w:ind w:right="42" w:rightChars="20"/>
              <w:jc w:val="center"/>
              <w:rPr>
                <w:rFonts w:ascii="仿宋" w:hAnsi="仿宋" w:eastAsia="仿宋" w:cs="仿宋"/>
                <w:color w:val="auto"/>
                <w:sz w:val="24"/>
                <w:highlight w:val="none"/>
              </w:rPr>
            </w:pPr>
            <w:r>
              <w:rPr>
                <w:rFonts w:hint="eastAsia" w:ascii="仿宋" w:hAnsi="仿宋" w:eastAsia="仿宋" w:cs="仿宋"/>
                <w:color w:val="auto"/>
                <w:sz w:val="24"/>
                <w:highlight w:val="none"/>
              </w:rPr>
              <w:t>具体技术要求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测量电压互感器范围</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V</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一次电压等级：1kV～220kV   二次电压：100V、100V/</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eq \r( ,3) </w:instrTex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、110V、110V/</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eq \r( ,3) </w:instrText>
            </w:r>
            <w:r>
              <w:rPr>
                <w:rFonts w:hint="eastAsia" w:ascii="仿宋" w:hAnsi="仿宋" w:eastAsia="仿宋" w:cs="仿宋"/>
                <w:color w:val="auto"/>
                <w:sz w:val="24"/>
                <w:highlight w:val="none"/>
              </w:rPr>
              <w:fldChar w:fldCharType="end"/>
            </w:r>
          </w:p>
          <w:p>
            <w:pPr>
              <w:snapToGrid w:val="0"/>
              <w:jc w:val="center"/>
              <w:rPr>
                <w:rFonts w:ascii="仿宋" w:hAnsi="仿宋" w:eastAsia="仿宋" w:cs="仿宋"/>
                <w:color w:val="auto"/>
                <w:sz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测量电压互感器精度</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精度： 0.05%（不低于）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电压点负荷要求</w:t>
            </w:r>
          </w:p>
        </w:tc>
        <w:tc>
          <w:tcPr>
            <w:tcW w:w="850" w:type="dxa"/>
            <w:vAlign w:val="center"/>
          </w:tcPr>
          <w:p>
            <w:pPr>
              <w:snapToGrid w:val="0"/>
              <w:jc w:val="center"/>
              <w:rPr>
                <w:rFonts w:ascii="仿宋" w:hAnsi="仿宋" w:eastAsia="仿宋" w:cs="仿宋"/>
                <w:color w:val="auto"/>
                <w:sz w:val="24"/>
                <w:highlight w:val="none"/>
              </w:rPr>
            </w:pP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至少2个负荷，包括满载及轻载。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2250" w:type="dxa"/>
            <w:vAlign w:val="center"/>
          </w:tcPr>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测量电流互感器范围</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A</w:t>
            </w:r>
          </w:p>
        </w:tc>
        <w:tc>
          <w:tcPr>
            <w:tcW w:w="4428" w:type="dxa"/>
            <w:vAlign w:val="center"/>
          </w:tcPr>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0.5A/1A(2.5A/5A) ～20000A/1A(100000A/5A)</w:t>
            </w:r>
          </w:p>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注：单匝方式；如以等安匝法，则以上范围要求必须乘以匝数。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测量电流互感器精度</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精度： 0.05%（不低于）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测试电流点要求</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能测量1%～200%In范围内任意电流点的误差。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电流点负荷要求</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至少2个负荷，包括满载及轻载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2250" w:type="dxa"/>
            <w:vAlign w:val="center"/>
          </w:tcPr>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电流及电压互感器误差数据测量重复性</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相同条件下，装置对同一试品进行不少于6次的重复测量时，其测量结果的标准偏差值应为：不大于1/10装置误差限。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1.6kHz导纳精度：</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2%+（100us-50ms) （不低于）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线圈绕组电阻准确度</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mΩ</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2%+5mΩ（不低于）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外部负荷测量准确度</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mΩ</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2%+5mΩ（不低于）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励磁曲线拐点电压</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IEC60044-6/IEC60044-1/IEEC57.13。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显示屏要求</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至少6.0英寸LCD彩色显示屏，必须满足各种光线条件，在强光下能够显示清楚。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测试信号要求</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输出电流：3A RMS（有效值）、15A 峰值。</w:t>
            </w:r>
          </w:p>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输出电压：150V ac RMS（有效值）、测保护CT:120V ac RMS。</w:t>
            </w:r>
          </w:p>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输出功率：280W（稳定）、 2.7kW（GIS测试时峰值）。</w:t>
            </w:r>
          </w:p>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基本功耗:小于30VA</w:t>
            </w:r>
          </w:p>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（不小于以上范围）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数据传输接口</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具备蓝牙无线传输和USB传输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数据存储</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非易失存储器，存储时间不低于120个月，至少存储1000组以上的测试数据。（另：配置现场用数据存储配套平板电脑）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数据分析软件系统</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配套数据库软件，对数据进行全自动综合分析，能够按需方模板要求出具电流及电压报告。</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设备重量</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kg</w:t>
            </w:r>
          </w:p>
        </w:tc>
        <w:tc>
          <w:tcPr>
            <w:tcW w:w="4428"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不大于10kg</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19</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工作电源</w:t>
            </w:r>
          </w:p>
        </w:tc>
        <w:tc>
          <w:tcPr>
            <w:tcW w:w="8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V</w:t>
            </w:r>
          </w:p>
        </w:tc>
        <w:tc>
          <w:tcPr>
            <w:tcW w:w="4428" w:type="dxa"/>
            <w:vAlign w:val="center"/>
          </w:tcPr>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可依据现场的实际工频电源（50Hz/60Hz，190~250V），可自动选择50Hz或60Hz信号进行匹配测试。</w:t>
            </w:r>
          </w:p>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支持便携式12V电源供电和汽车电池供电方便现场使用，连续工作时间不低于12小时。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50"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20</w:t>
            </w:r>
          </w:p>
        </w:tc>
        <w:tc>
          <w:tcPr>
            <w:tcW w:w="225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rPr>
              <w:t>数据分析平台及软件</w:t>
            </w:r>
          </w:p>
        </w:tc>
        <w:tc>
          <w:tcPr>
            <w:tcW w:w="850" w:type="dxa"/>
            <w:vAlign w:val="center"/>
          </w:tcPr>
          <w:p>
            <w:pPr>
              <w:snapToGrid w:val="0"/>
              <w:jc w:val="center"/>
              <w:rPr>
                <w:rFonts w:ascii="仿宋" w:hAnsi="仿宋" w:eastAsia="仿宋" w:cs="仿宋"/>
                <w:color w:val="auto"/>
                <w:sz w:val="24"/>
                <w:highlight w:val="none"/>
              </w:rPr>
            </w:pPr>
          </w:p>
        </w:tc>
        <w:tc>
          <w:tcPr>
            <w:tcW w:w="4428" w:type="dxa"/>
            <w:vAlign w:val="center"/>
          </w:tcPr>
          <w:p>
            <w:pPr>
              <w:snapToGrid w:val="0"/>
              <w:rPr>
                <w:rFonts w:ascii="仿宋" w:hAnsi="仿宋" w:eastAsia="仿宋" w:cs="仿宋"/>
                <w:color w:val="auto"/>
                <w:sz w:val="24"/>
                <w:highlight w:val="none"/>
              </w:rPr>
            </w:pPr>
            <w:r>
              <w:rPr>
                <w:rFonts w:hint="eastAsia" w:ascii="仿宋" w:hAnsi="仿宋" w:eastAsia="仿宋" w:cs="仿宋"/>
                <w:color w:val="auto"/>
                <w:sz w:val="24"/>
                <w:highlight w:val="none"/>
              </w:rPr>
              <w:t>具备成熟的数据分析平台，以及在该平台上兼容现有电能计量装置远程校验系统，直接实现对于远程监测互感器运行状态分析和评估。（要求所有开发和调试费用由供货方承担。）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8378" w:type="dxa"/>
            <w:gridSpan w:val="4"/>
            <w:vAlign w:val="center"/>
          </w:tcPr>
          <w:p>
            <w:pPr>
              <w:snapToGrid w:val="0"/>
              <w:rPr>
                <w:rFonts w:ascii="仿宋" w:hAnsi="仿宋" w:eastAsia="仿宋" w:cs="仿宋"/>
                <w:b/>
                <w:color w:val="auto"/>
                <w:sz w:val="24"/>
                <w:highlight w:val="none"/>
              </w:rPr>
            </w:pPr>
            <w:r>
              <w:rPr>
                <w:rFonts w:hint="eastAsia" w:ascii="仿宋" w:hAnsi="仿宋" w:eastAsia="仿宋" w:cs="仿宋"/>
                <w:b/>
                <w:color w:val="auto"/>
                <w:sz w:val="24"/>
                <w:highlight w:val="none"/>
              </w:rPr>
              <w:t>其它技术要求：</w:t>
            </w:r>
          </w:p>
          <w:p>
            <w:pPr>
              <w:rPr>
                <w:rFonts w:ascii="仿宋" w:hAnsi="仿宋" w:eastAsia="仿宋" w:cs="仿宋"/>
                <w:color w:val="auto"/>
                <w:sz w:val="24"/>
                <w:highlight w:val="none"/>
              </w:rPr>
            </w:pPr>
            <w:r>
              <w:rPr>
                <w:rFonts w:hint="eastAsia" w:ascii="仿宋" w:hAnsi="仿宋" w:eastAsia="仿宋" w:cs="仿宋"/>
                <w:color w:val="auto"/>
                <w:sz w:val="24"/>
                <w:highlight w:val="none"/>
              </w:rPr>
              <w:t>1、单台设备能完成包括电磁式电流互感器、电磁式电压互感器的误差测试，能按照JJG313、JJG314、JJG1021规程要求对PT和CT进行比差和角差误差测试；且精度不低于0.05%，稳定性不低于0.005%。</w:t>
            </w:r>
          </w:p>
          <w:p>
            <w:pPr>
              <w:rPr>
                <w:rFonts w:ascii="仿宋" w:hAnsi="仿宋" w:eastAsia="仿宋" w:cs="仿宋"/>
                <w:color w:val="auto"/>
                <w:sz w:val="24"/>
                <w:highlight w:val="none"/>
              </w:rPr>
            </w:pPr>
            <w:r>
              <w:rPr>
                <w:rFonts w:hint="eastAsia" w:ascii="仿宋" w:hAnsi="仿宋" w:eastAsia="仿宋" w:cs="仿宋"/>
                <w:color w:val="auto"/>
                <w:sz w:val="24"/>
                <w:highlight w:val="none"/>
              </w:rPr>
              <w:t>2、具有测量组合计量箱，GIS式、变压器套管式、发电机出口等类型电压、电流互感器（含特殊电压变比、电流变比）误差的功能。</w:t>
            </w:r>
          </w:p>
          <w:p>
            <w:pPr>
              <w:rPr>
                <w:rFonts w:ascii="仿宋" w:hAnsi="仿宋" w:eastAsia="仿宋" w:cs="仿宋"/>
                <w:color w:val="auto"/>
                <w:sz w:val="24"/>
                <w:highlight w:val="none"/>
              </w:rPr>
            </w:pPr>
            <w:r>
              <w:rPr>
                <w:rFonts w:hint="eastAsia" w:ascii="仿宋" w:hAnsi="仿宋" w:eastAsia="仿宋" w:cs="仿宋"/>
                <w:color w:val="auto"/>
                <w:sz w:val="24"/>
                <w:highlight w:val="none"/>
              </w:rPr>
              <w:t>3、具备测量CT励磁曲线功能，且能够依据IEC60044-1，IEC60044-6 (TPS， TPX， TPY， TPZ) 和IEEEC57.13等标准进行试验。</w:t>
            </w:r>
          </w:p>
          <w:p>
            <w:pPr>
              <w:rPr>
                <w:rFonts w:ascii="仿宋" w:hAnsi="仿宋" w:eastAsia="仿宋" w:cs="仿宋"/>
                <w:color w:val="auto"/>
                <w:sz w:val="24"/>
                <w:highlight w:val="none"/>
              </w:rPr>
            </w:pPr>
            <w:r>
              <w:rPr>
                <w:rFonts w:hint="eastAsia" w:ascii="仿宋" w:hAnsi="仿宋" w:eastAsia="仿宋" w:cs="仿宋"/>
                <w:color w:val="auto"/>
                <w:sz w:val="24"/>
                <w:highlight w:val="none"/>
              </w:rPr>
              <w:t>4、具备测试保护CT在额定电流、过载系数电流下的误差；具备测试保护CT并完整提供以下参数：准确限值系数ALF、二次时间常数Ts、剩磁系数Kr、暂态面积系数等参数。</w:t>
            </w:r>
          </w:p>
          <w:p>
            <w:pPr>
              <w:rPr>
                <w:rFonts w:ascii="仿宋" w:hAnsi="仿宋" w:eastAsia="仿宋" w:cs="仿宋"/>
                <w:color w:val="auto"/>
                <w:sz w:val="24"/>
                <w:highlight w:val="none"/>
              </w:rPr>
            </w:pPr>
            <w:r>
              <w:rPr>
                <w:rFonts w:hint="eastAsia" w:ascii="仿宋" w:hAnsi="仿宋" w:eastAsia="仿宋" w:cs="仿宋"/>
                <w:color w:val="auto"/>
                <w:sz w:val="24"/>
                <w:highlight w:val="none"/>
              </w:rPr>
              <w:t>5、须为一体式设计，仅一台设备即可完成计量用CT、保护用CT、计量用PT及互感器二次回路等相关运行参数的测量（极性、变比、伏安特性曲线、二次实际负荷以及规程要求的各负荷情况不同电流点、不同电压点下的比差和角差数据），无需外置其他外置标准器、升流升压及负荷箱等装置。</w:t>
            </w:r>
          </w:p>
          <w:p>
            <w:pPr>
              <w:rPr>
                <w:rFonts w:ascii="仿宋" w:hAnsi="仿宋" w:eastAsia="仿宋" w:cs="仿宋"/>
                <w:color w:val="auto"/>
                <w:sz w:val="24"/>
                <w:highlight w:val="none"/>
              </w:rPr>
            </w:pPr>
            <w:r>
              <w:rPr>
                <w:rFonts w:hint="eastAsia" w:ascii="仿宋" w:hAnsi="仿宋" w:eastAsia="仿宋" w:cs="仿宋"/>
                <w:color w:val="auto"/>
                <w:sz w:val="24"/>
                <w:highlight w:val="none"/>
              </w:rPr>
              <w:t>6、具备“非等安匝”测试方式，避免现场如电厂等出口大变比CT无法测试。</w:t>
            </w:r>
          </w:p>
          <w:p>
            <w:pPr>
              <w:rPr>
                <w:rFonts w:ascii="仿宋" w:hAnsi="仿宋" w:eastAsia="仿宋" w:cs="仿宋"/>
                <w:color w:val="auto"/>
                <w:sz w:val="24"/>
                <w:highlight w:val="none"/>
              </w:rPr>
            </w:pPr>
            <w:r>
              <w:rPr>
                <w:rFonts w:hint="eastAsia" w:ascii="仿宋" w:hAnsi="仿宋" w:eastAsia="仿宋" w:cs="仿宋"/>
                <w:color w:val="auto"/>
                <w:sz w:val="24"/>
                <w:highlight w:val="none"/>
              </w:rPr>
              <w:t>7、要求可单独设置GIS电压互感器测试模式，适应GIS式电压互感器的现场检测。</w:t>
            </w:r>
          </w:p>
          <w:p>
            <w:pPr>
              <w:rPr>
                <w:rFonts w:ascii="仿宋" w:hAnsi="仿宋" w:eastAsia="仿宋" w:cs="仿宋"/>
                <w:color w:val="auto"/>
                <w:sz w:val="24"/>
                <w:highlight w:val="none"/>
              </w:rPr>
            </w:pPr>
            <w:r>
              <w:rPr>
                <w:rFonts w:hint="eastAsia" w:ascii="仿宋" w:hAnsi="仿宋" w:eastAsia="仿宋" w:cs="仿宋"/>
                <w:color w:val="auto"/>
                <w:sz w:val="24"/>
                <w:highlight w:val="none"/>
              </w:rPr>
              <w:t>8、在进行PT误差测试时，具备只一次测试过程即可完成0.2级和0.5级绕组的角差及比差误差测试和数据显示功能。</w:t>
            </w:r>
          </w:p>
          <w:p>
            <w:pPr>
              <w:rPr>
                <w:rFonts w:ascii="仿宋" w:hAnsi="仿宋" w:eastAsia="仿宋" w:cs="仿宋"/>
                <w:color w:val="auto"/>
                <w:sz w:val="24"/>
                <w:highlight w:val="none"/>
              </w:rPr>
            </w:pPr>
            <w:r>
              <w:rPr>
                <w:rFonts w:hint="eastAsia" w:ascii="仿宋" w:hAnsi="仿宋" w:eastAsia="仿宋" w:cs="仿宋"/>
                <w:color w:val="auto"/>
                <w:sz w:val="24"/>
                <w:highlight w:val="none"/>
              </w:rPr>
              <w:t>9、具备大功率输出能力，能允许通过二次反升压将110kV/√3及以上等级GIS式PT一次升至其额定电压，以更准确地测试出其80%、100%、(115%)120%电压点下的比差和角差数据。</w:t>
            </w:r>
          </w:p>
          <w:p>
            <w:pPr>
              <w:rPr>
                <w:rFonts w:ascii="仿宋" w:hAnsi="仿宋" w:eastAsia="仿宋" w:cs="仿宋"/>
                <w:color w:val="auto"/>
                <w:sz w:val="24"/>
                <w:highlight w:val="none"/>
              </w:rPr>
            </w:pPr>
            <w:r>
              <w:rPr>
                <w:rFonts w:hint="eastAsia" w:ascii="仿宋" w:hAnsi="仿宋" w:eastAsia="仿宋" w:cs="仿宋"/>
                <w:color w:val="auto"/>
                <w:sz w:val="24"/>
                <w:highlight w:val="none"/>
              </w:rPr>
              <w:t>10、具备测量互感器二次回路实际负荷功能。</w:t>
            </w:r>
          </w:p>
          <w:p>
            <w:pPr>
              <w:rPr>
                <w:rFonts w:ascii="仿宋" w:hAnsi="仿宋" w:eastAsia="仿宋" w:cs="仿宋"/>
                <w:color w:val="auto"/>
                <w:sz w:val="24"/>
                <w:highlight w:val="none"/>
              </w:rPr>
            </w:pPr>
            <w:r>
              <w:rPr>
                <w:rFonts w:hint="eastAsia" w:ascii="仿宋" w:hAnsi="仿宋" w:eastAsia="仿宋" w:cs="仿宋"/>
                <w:color w:val="auto"/>
                <w:sz w:val="24"/>
                <w:highlight w:val="none"/>
              </w:rPr>
              <w:t>11、须自动检测接线，接线错误报警提示，并有短路和过载保护。</w:t>
            </w:r>
          </w:p>
          <w:p>
            <w:pPr>
              <w:snapToGrid w:val="0"/>
              <w:rPr>
                <w:rFonts w:ascii="仿宋" w:hAnsi="仿宋" w:eastAsia="仿宋" w:cs="仿宋"/>
                <w:b/>
                <w:color w:val="auto"/>
                <w:sz w:val="24"/>
                <w:highlight w:val="none"/>
              </w:rPr>
            </w:pPr>
            <w:r>
              <w:rPr>
                <w:rFonts w:hint="eastAsia" w:ascii="仿宋" w:hAnsi="仿宋" w:eastAsia="仿宋" w:cs="仿宋"/>
                <w:color w:val="auto"/>
                <w:sz w:val="24"/>
                <w:highlight w:val="none"/>
              </w:rPr>
              <w:t>12、机箱具有防水、防尘、防震、防压、阻燃、绝缘性能良好等特点，保障现场测试时操作人员安全和设备安全。</w:t>
            </w:r>
          </w:p>
        </w:tc>
      </w:tr>
    </w:tbl>
    <w:p>
      <w:pPr>
        <w:jc w:val="center"/>
        <w:rPr>
          <w:rFonts w:ascii="仿宋" w:hAnsi="仿宋" w:eastAsia="仿宋" w:cs="仿宋"/>
          <w:b/>
          <w:color w:val="auto"/>
          <w:sz w:val="24"/>
          <w:highlight w:val="none"/>
        </w:rPr>
      </w:pPr>
    </w:p>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表2  GIS电压互感器专用测试设备-技术要求</w:t>
      </w:r>
    </w:p>
    <w:tbl>
      <w:tblPr>
        <w:tblStyle w:val="60"/>
        <w:tblW w:w="83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16"/>
        <w:gridCol w:w="2286"/>
        <w:gridCol w:w="860"/>
        <w:gridCol w:w="451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16" w:type="dxa"/>
            <w:shd w:val="clear" w:color="000000" w:fill="FFFFFF"/>
            <w:vAlign w:val="center"/>
          </w:tcPr>
          <w:p>
            <w:pPr>
              <w:adjustRightInd w:val="0"/>
              <w:snapToGrid w:val="0"/>
              <w:ind w:right="42" w:rightChars="2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286" w:type="dxa"/>
            <w:shd w:val="clear" w:color="000000" w:fill="FFFFFF"/>
            <w:vAlign w:val="center"/>
          </w:tcPr>
          <w:p>
            <w:pPr>
              <w:adjustRightInd w:val="0"/>
              <w:snapToGrid w:val="0"/>
              <w:ind w:right="42" w:rightChars="2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参数名称</w:t>
            </w:r>
          </w:p>
        </w:tc>
        <w:tc>
          <w:tcPr>
            <w:tcW w:w="860" w:type="dxa"/>
            <w:shd w:val="clear" w:color="000000" w:fill="FFFFFF"/>
            <w:vAlign w:val="center"/>
          </w:tcPr>
          <w:p>
            <w:pPr>
              <w:adjustRightInd w:val="0"/>
              <w:snapToGrid w:val="0"/>
              <w:ind w:right="42" w:rightChars="2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4510" w:type="dxa"/>
            <w:shd w:val="clear" w:color="000000" w:fill="FFFFFF"/>
            <w:vAlign w:val="center"/>
          </w:tcPr>
          <w:p>
            <w:pPr>
              <w:adjustRightInd w:val="0"/>
              <w:snapToGrid w:val="0"/>
              <w:ind w:right="42" w:rightChars="2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具体技术要求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16"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286"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变比测试范围</w:t>
            </w:r>
          </w:p>
        </w:tc>
        <w:tc>
          <w:tcPr>
            <w:tcW w:w="86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510" w:type="dxa"/>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rPr>
              <w:t>10kV/100V、20kV/100V、35kV/100V、10√3kV/100/√3V、20/√3kV/100/√3V、35/√3kV/100/√3V、66/√3kV/100/√3V、110/√3kV/100/√3V、220/√3kV/100/√3V、330/√3kV/100/√3V、500/√3kV/100/√3V（覆盖所列变比）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16"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286"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测量电压互感器精度</w:t>
            </w:r>
          </w:p>
        </w:tc>
        <w:tc>
          <w:tcPr>
            <w:tcW w:w="86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51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精度： 0.05%（不低于）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16"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286"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二次负载范围</w:t>
            </w:r>
          </w:p>
        </w:tc>
        <w:tc>
          <w:tcPr>
            <w:tcW w:w="86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VA</w:t>
            </w:r>
          </w:p>
        </w:tc>
        <w:tc>
          <w:tcPr>
            <w:tcW w:w="451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0VA~500VA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16"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2286"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功率因数</w:t>
            </w:r>
          </w:p>
        </w:tc>
        <w:tc>
          <w:tcPr>
            <w:tcW w:w="86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51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0.0~1.0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16"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2286"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重量</w:t>
            </w:r>
          </w:p>
        </w:tc>
        <w:tc>
          <w:tcPr>
            <w:tcW w:w="86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千克</w:t>
            </w:r>
          </w:p>
        </w:tc>
        <w:tc>
          <w:tcPr>
            <w:tcW w:w="451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12（不超过）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716" w:type="dxa"/>
            <w:vAlign w:val="center"/>
          </w:tcPr>
          <w:p>
            <w:pPr>
              <w:snapToGrid w:val="0"/>
              <w:ind w:left="210"/>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2286"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GIS电压互感器</w:t>
            </w:r>
          </w:p>
        </w:tc>
        <w:tc>
          <w:tcPr>
            <w:tcW w:w="86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510" w:type="dxa"/>
            <w:vAlign w:val="center"/>
          </w:tcPr>
          <w:p>
            <w:pPr>
              <w:snapToGrid w:val="0"/>
              <w:jc w:val="center"/>
              <w:rPr>
                <w:rFonts w:ascii="仿宋" w:hAnsi="仿宋" w:eastAsia="仿宋" w:cs="仿宋"/>
                <w:color w:val="auto"/>
                <w:sz w:val="24"/>
                <w:highlight w:val="none"/>
              </w:rPr>
            </w:pPr>
            <w:r>
              <w:rPr>
                <w:rFonts w:hint="eastAsia" w:ascii="仿宋" w:hAnsi="仿宋" w:eastAsia="仿宋" w:cs="仿宋"/>
                <w:color w:val="auto"/>
                <w:sz w:val="24"/>
                <w:highlight w:val="none"/>
              </w:rPr>
              <w:t>须适应GIS电压互感器现场检测</w:t>
            </w:r>
          </w:p>
        </w:tc>
      </w:tr>
    </w:tbl>
    <w:p>
      <w:pPr>
        <w:widowControl/>
        <w:rPr>
          <w:rFonts w:ascii="仿宋" w:hAnsi="仿宋" w:eastAsia="仿宋" w:cs="仿宋"/>
          <w:color w:val="auto"/>
          <w:sz w:val="24"/>
          <w:highlight w:val="none"/>
        </w:rPr>
      </w:pPr>
    </w:p>
    <w:p>
      <w:pPr>
        <w:widowControl/>
        <w:rPr>
          <w:rFonts w:ascii="仿宋" w:hAnsi="仿宋" w:eastAsia="仿宋" w:cs="仿宋"/>
          <w:b/>
          <w:color w:val="auto"/>
          <w:sz w:val="24"/>
          <w:highlight w:val="none"/>
        </w:rPr>
      </w:pPr>
      <w:r>
        <w:rPr>
          <w:rFonts w:hint="eastAsia" w:ascii="仿宋" w:hAnsi="仿宋" w:eastAsia="仿宋" w:cs="仿宋"/>
          <w:b/>
          <w:color w:val="auto"/>
          <w:sz w:val="24"/>
          <w:highlight w:val="none"/>
        </w:rPr>
        <w:t>（二）通用技术要求</w:t>
      </w:r>
    </w:p>
    <w:p>
      <w:pPr>
        <w:rPr>
          <w:rFonts w:ascii="仿宋" w:hAnsi="仿宋" w:eastAsia="仿宋" w:cs="仿宋"/>
          <w:color w:val="auto"/>
          <w:sz w:val="24"/>
          <w:highlight w:val="none"/>
        </w:rPr>
      </w:pPr>
      <w:r>
        <w:rPr>
          <w:rFonts w:hint="eastAsia" w:ascii="仿宋" w:hAnsi="仿宋" w:eastAsia="仿宋" w:cs="仿宋"/>
          <w:color w:val="auto"/>
          <w:sz w:val="24"/>
          <w:highlight w:val="none"/>
        </w:rPr>
        <w:t>1、除本技术规范特殊规定外，投标方所提供的设备均按规定的标准和规程的最新版本进行设计、制造、试验和安装。如果这些标准内容有矛盾时，应按技术要求最高的条款执行或按双方商定的标准执行。如果投标方选用本技术规范规定以外的标准时，则需提交这种替换标准供审查和分析。仅在投标方已证明替换标准相当或优于技术规范规定的标准，并从招标方处获得书面的认可才能使用。提交供审查的标准应为中文版本。</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下列文件对于本技术规范书的应用是必不可少。凡是注日期的引用文件，仅注日期的版本适用于本技术规范书。凡是不注日期的引用文件，其最新版本（包括所有的修改单）适用于本技术规范书：</w:t>
      </w:r>
    </w:p>
    <w:p>
      <w:pPr>
        <w:rPr>
          <w:rFonts w:ascii="仿宋" w:hAnsi="仿宋" w:eastAsia="仿宋" w:cs="仿宋"/>
          <w:color w:val="auto"/>
          <w:sz w:val="24"/>
          <w:highlight w:val="none"/>
        </w:rPr>
      </w:pPr>
      <w:r>
        <w:rPr>
          <w:rFonts w:hint="eastAsia" w:ascii="仿宋" w:hAnsi="仿宋" w:eastAsia="仿宋" w:cs="仿宋"/>
          <w:color w:val="auto"/>
          <w:sz w:val="24"/>
          <w:highlight w:val="none"/>
        </w:rPr>
        <w:t>GB/T 191 包装储运图示标志</w:t>
      </w:r>
    </w:p>
    <w:p>
      <w:pPr>
        <w:rPr>
          <w:rFonts w:ascii="仿宋" w:hAnsi="仿宋" w:eastAsia="仿宋" w:cs="仿宋"/>
          <w:color w:val="auto"/>
          <w:sz w:val="24"/>
          <w:highlight w:val="none"/>
        </w:rPr>
      </w:pPr>
      <w:r>
        <w:rPr>
          <w:rFonts w:hint="eastAsia" w:ascii="仿宋" w:hAnsi="仿宋" w:eastAsia="仿宋" w:cs="仿宋"/>
          <w:color w:val="auto"/>
          <w:sz w:val="24"/>
          <w:highlight w:val="none"/>
        </w:rPr>
        <w:t>GB/T 2423.8电工电子产品环境试验 第2部分：试验方法 试验Ed:自由跌落</w:t>
      </w:r>
    </w:p>
    <w:p>
      <w:pPr>
        <w:rPr>
          <w:rFonts w:ascii="仿宋" w:hAnsi="仿宋" w:eastAsia="仿宋" w:cs="仿宋"/>
          <w:color w:val="auto"/>
          <w:sz w:val="24"/>
          <w:highlight w:val="none"/>
        </w:rPr>
      </w:pPr>
      <w:r>
        <w:rPr>
          <w:rFonts w:hint="eastAsia" w:ascii="仿宋" w:hAnsi="仿宋" w:eastAsia="仿宋" w:cs="仿宋"/>
          <w:color w:val="auto"/>
          <w:sz w:val="24"/>
          <w:highlight w:val="none"/>
        </w:rPr>
        <w:t>GB 4793.1 测量、控制和实验室用电气设备的安全要求  第1部分：通用要求</w:t>
      </w:r>
    </w:p>
    <w:p>
      <w:pPr>
        <w:rPr>
          <w:rFonts w:ascii="仿宋" w:hAnsi="仿宋" w:eastAsia="仿宋" w:cs="仿宋"/>
          <w:color w:val="auto"/>
          <w:sz w:val="24"/>
          <w:highlight w:val="none"/>
        </w:rPr>
      </w:pPr>
      <w:r>
        <w:rPr>
          <w:rFonts w:hint="eastAsia" w:ascii="仿宋" w:hAnsi="仿宋" w:eastAsia="仿宋" w:cs="仿宋"/>
          <w:color w:val="auto"/>
          <w:sz w:val="24"/>
          <w:highlight w:val="none"/>
        </w:rPr>
        <w:t>GB 4793.5 测量、控制和实验室用电气设备的安全要求 第5部分：电工测量和试验用手持探头组件的安全要求</w:t>
      </w:r>
    </w:p>
    <w:p>
      <w:pPr>
        <w:rPr>
          <w:rFonts w:ascii="仿宋" w:hAnsi="仿宋" w:eastAsia="仿宋" w:cs="仿宋"/>
          <w:color w:val="auto"/>
          <w:sz w:val="24"/>
          <w:highlight w:val="none"/>
        </w:rPr>
      </w:pPr>
      <w:r>
        <w:rPr>
          <w:rFonts w:hint="eastAsia" w:ascii="仿宋" w:hAnsi="仿宋" w:eastAsia="仿宋" w:cs="仿宋"/>
          <w:color w:val="auto"/>
          <w:sz w:val="24"/>
          <w:highlight w:val="none"/>
        </w:rPr>
        <w:t>GB 6587.1电子测量仪器  环境试验总纲</w:t>
      </w:r>
    </w:p>
    <w:p>
      <w:pPr>
        <w:rPr>
          <w:rFonts w:ascii="仿宋" w:hAnsi="仿宋" w:eastAsia="仿宋" w:cs="仿宋"/>
          <w:color w:val="auto"/>
          <w:sz w:val="24"/>
          <w:highlight w:val="none"/>
        </w:rPr>
      </w:pPr>
      <w:r>
        <w:rPr>
          <w:rFonts w:hint="eastAsia" w:ascii="仿宋" w:hAnsi="仿宋" w:eastAsia="仿宋" w:cs="仿宋"/>
          <w:color w:val="auto"/>
          <w:sz w:val="24"/>
          <w:highlight w:val="none"/>
        </w:rPr>
        <w:t>GB 6587.3电子测量仪器  湿度试验</w:t>
      </w:r>
    </w:p>
    <w:p>
      <w:pPr>
        <w:rPr>
          <w:rFonts w:ascii="仿宋" w:hAnsi="仿宋" w:eastAsia="仿宋" w:cs="仿宋"/>
          <w:color w:val="auto"/>
          <w:sz w:val="24"/>
          <w:highlight w:val="none"/>
        </w:rPr>
      </w:pPr>
      <w:r>
        <w:rPr>
          <w:rFonts w:hint="eastAsia" w:ascii="仿宋" w:hAnsi="仿宋" w:eastAsia="仿宋" w:cs="仿宋"/>
          <w:color w:val="auto"/>
          <w:sz w:val="24"/>
          <w:highlight w:val="none"/>
        </w:rPr>
        <w:t>GB 6587.5电子测量仪器  冲击试验</w:t>
      </w:r>
    </w:p>
    <w:p>
      <w:pPr>
        <w:rPr>
          <w:rFonts w:ascii="仿宋" w:hAnsi="仿宋" w:eastAsia="仿宋" w:cs="仿宋"/>
          <w:color w:val="auto"/>
          <w:sz w:val="24"/>
          <w:highlight w:val="none"/>
        </w:rPr>
      </w:pPr>
      <w:r>
        <w:rPr>
          <w:rFonts w:hint="eastAsia" w:ascii="仿宋" w:hAnsi="仿宋" w:eastAsia="仿宋" w:cs="仿宋"/>
          <w:color w:val="auto"/>
          <w:sz w:val="24"/>
          <w:highlight w:val="none"/>
        </w:rPr>
        <w:t>GB 6587.6电子测量仪器  运输试验</w:t>
      </w:r>
    </w:p>
    <w:p>
      <w:pPr>
        <w:rPr>
          <w:rFonts w:ascii="仿宋" w:hAnsi="仿宋" w:eastAsia="仿宋" w:cs="仿宋"/>
          <w:color w:val="auto"/>
          <w:sz w:val="24"/>
          <w:highlight w:val="none"/>
        </w:rPr>
      </w:pPr>
      <w:r>
        <w:rPr>
          <w:rFonts w:hint="eastAsia" w:ascii="仿宋" w:hAnsi="仿宋" w:eastAsia="仿宋" w:cs="仿宋"/>
          <w:color w:val="auto"/>
          <w:sz w:val="24"/>
          <w:highlight w:val="none"/>
        </w:rPr>
        <w:t>GB 6587.8电子测量仪器  电源频率与电压试验</w:t>
      </w:r>
    </w:p>
    <w:p>
      <w:pPr>
        <w:rPr>
          <w:rFonts w:ascii="仿宋" w:hAnsi="仿宋" w:eastAsia="仿宋" w:cs="仿宋"/>
          <w:color w:val="auto"/>
          <w:sz w:val="24"/>
          <w:highlight w:val="none"/>
        </w:rPr>
      </w:pPr>
      <w:r>
        <w:rPr>
          <w:rFonts w:hint="eastAsia" w:ascii="仿宋" w:hAnsi="仿宋" w:eastAsia="仿宋" w:cs="仿宋"/>
          <w:color w:val="auto"/>
          <w:sz w:val="24"/>
          <w:highlight w:val="none"/>
        </w:rPr>
        <w:t>GB/T 6592电工和电子测量设备性能表示</w:t>
      </w:r>
    </w:p>
    <w:p>
      <w:pPr>
        <w:rPr>
          <w:rFonts w:ascii="仿宋" w:hAnsi="仿宋" w:eastAsia="仿宋" w:cs="仿宋"/>
          <w:color w:val="auto"/>
          <w:sz w:val="24"/>
          <w:highlight w:val="none"/>
        </w:rPr>
      </w:pPr>
      <w:r>
        <w:rPr>
          <w:rFonts w:hint="eastAsia" w:ascii="仿宋" w:hAnsi="仿宋" w:eastAsia="仿宋" w:cs="仿宋"/>
          <w:color w:val="auto"/>
          <w:sz w:val="24"/>
          <w:highlight w:val="none"/>
        </w:rPr>
        <w:t>GB/T 6593电子测量仪器质量检验规则</w:t>
      </w:r>
    </w:p>
    <w:p>
      <w:pPr>
        <w:rPr>
          <w:rFonts w:ascii="仿宋" w:hAnsi="仿宋" w:eastAsia="仿宋" w:cs="仿宋"/>
          <w:color w:val="auto"/>
          <w:sz w:val="24"/>
          <w:highlight w:val="none"/>
        </w:rPr>
      </w:pPr>
      <w:r>
        <w:rPr>
          <w:rFonts w:hint="eastAsia" w:ascii="仿宋" w:hAnsi="仿宋" w:eastAsia="仿宋" w:cs="仿宋"/>
          <w:color w:val="auto"/>
          <w:sz w:val="24"/>
          <w:highlight w:val="none"/>
        </w:rPr>
        <w:t>JJG313 测量用电流互感器检定规程</w:t>
      </w:r>
    </w:p>
    <w:p>
      <w:pPr>
        <w:rPr>
          <w:rFonts w:ascii="仿宋" w:hAnsi="仿宋" w:eastAsia="仿宋" w:cs="仿宋"/>
          <w:color w:val="auto"/>
          <w:sz w:val="24"/>
          <w:highlight w:val="none"/>
        </w:rPr>
      </w:pPr>
      <w:r>
        <w:rPr>
          <w:rFonts w:hint="eastAsia" w:ascii="仿宋" w:hAnsi="仿宋" w:eastAsia="仿宋" w:cs="仿宋"/>
          <w:color w:val="auto"/>
          <w:sz w:val="24"/>
          <w:highlight w:val="none"/>
        </w:rPr>
        <w:t>JJG314 测量用电压互感器检定规程</w:t>
      </w:r>
    </w:p>
    <w:p>
      <w:pPr>
        <w:rPr>
          <w:rFonts w:ascii="仿宋" w:hAnsi="仿宋" w:eastAsia="仿宋" w:cs="仿宋"/>
          <w:color w:val="auto"/>
          <w:sz w:val="24"/>
          <w:highlight w:val="none"/>
        </w:rPr>
      </w:pPr>
      <w:r>
        <w:rPr>
          <w:rFonts w:hint="eastAsia" w:ascii="仿宋" w:hAnsi="仿宋" w:eastAsia="仿宋" w:cs="仿宋"/>
          <w:color w:val="auto"/>
          <w:sz w:val="24"/>
          <w:highlight w:val="none"/>
        </w:rPr>
        <w:t>JJG169互感器校验仪检定规程</w:t>
      </w:r>
    </w:p>
    <w:p>
      <w:pPr>
        <w:rPr>
          <w:rFonts w:ascii="仿宋" w:hAnsi="仿宋" w:eastAsia="仿宋" w:cs="仿宋"/>
          <w:color w:val="auto"/>
          <w:sz w:val="24"/>
          <w:highlight w:val="none"/>
        </w:rPr>
      </w:pPr>
      <w:r>
        <w:rPr>
          <w:rFonts w:hint="eastAsia" w:ascii="仿宋" w:hAnsi="仿宋" w:eastAsia="仿宋" w:cs="仿宋"/>
          <w:color w:val="auto"/>
          <w:sz w:val="24"/>
          <w:highlight w:val="none"/>
        </w:rPr>
        <w:t>DL/T668 测量用互感器检验装置</w:t>
      </w:r>
    </w:p>
    <w:p>
      <w:pPr>
        <w:rPr>
          <w:rFonts w:ascii="仿宋" w:hAnsi="仿宋" w:eastAsia="仿宋" w:cs="仿宋"/>
          <w:color w:val="auto"/>
          <w:sz w:val="24"/>
          <w:highlight w:val="none"/>
        </w:rPr>
      </w:pPr>
      <w:r>
        <w:rPr>
          <w:rFonts w:hint="eastAsia" w:ascii="仿宋" w:hAnsi="仿宋" w:eastAsia="仿宋" w:cs="仿宋"/>
          <w:color w:val="auto"/>
          <w:sz w:val="24"/>
          <w:highlight w:val="none"/>
        </w:rPr>
        <w:t>JJG1021 电力互感器检定规程</w:t>
      </w:r>
    </w:p>
    <w:p>
      <w:pPr>
        <w:rPr>
          <w:rFonts w:ascii="仿宋" w:hAnsi="仿宋" w:eastAsia="仿宋" w:cs="仿宋"/>
          <w:b/>
          <w:color w:val="auto"/>
          <w:sz w:val="24"/>
          <w:highlight w:val="none"/>
        </w:rPr>
      </w:pPr>
      <w:r>
        <w:rPr>
          <w:rFonts w:hint="eastAsia" w:ascii="仿宋" w:hAnsi="仿宋" w:eastAsia="仿宋" w:cs="仿宋"/>
          <w:color w:val="auto"/>
          <w:sz w:val="24"/>
          <w:highlight w:val="none"/>
        </w:rPr>
        <w:t>2、测量设备所使用的软件，甲方享受免费升级，如发现软件开发商在软件中设置影响软件使用的限制，乙方承担一切责任和损失。同时甲方有权追究法律责任。</w:t>
      </w:r>
    </w:p>
    <w:p>
      <w:pPr>
        <w:rPr>
          <w:rFonts w:ascii="仿宋" w:hAnsi="仿宋" w:eastAsia="仿宋" w:cs="仿宋"/>
          <w:color w:val="auto"/>
          <w:sz w:val="24"/>
          <w:highlight w:val="none"/>
        </w:rPr>
      </w:pPr>
      <w:r>
        <w:rPr>
          <w:rFonts w:hint="eastAsia" w:ascii="仿宋" w:hAnsi="仿宋" w:eastAsia="仿宋" w:cs="仿宋"/>
          <w:color w:val="auto"/>
          <w:sz w:val="24"/>
          <w:highlight w:val="none"/>
        </w:rPr>
        <w:t>3、软件需能保证检测数据的安全，可以按照甲方要求导出数据，软件具有检测数据自动备份和手动备份的功能。</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4、测量设备应有具备相应资质的国家级技术机构检定（校准）合格后出具检定（校准）证书，费用由供方承担。</w:t>
      </w:r>
    </w:p>
    <w:p>
      <w:pPr>
        <w:rPr>
          <w:rFonts w:ascii="仿宋" w:hAnsi="仿宋" w:eastAsia="仿宋" w:cs="仿宋"/>
          <w:b/>
          <w:color w:val="auto"/>
          <w:sz w:val="24"/>
          <w:highlight w:val="none"/>
        </w:rPr>
      </w:pPr>
      <w:r>
        <w:rPr>
          <w:rFonts w:hint="eastAsia" w:ascii="仿宋" w:hAnsi="仿宋" w:eastAsia="仿宋" w:cs="仿宋"/>
          <w:b/>
          <w:color w:val="auto"/>
          <w:sz w:val="24"/>
          <w:highlight w:val="none"/>
        </w:rPr>
        <w:t>（三）使用条件</w:t>
      </w:r>
    </w:p>
    <w:p>
      <w:pPr>
        <w:rPr>
          <w:rFonts w:ascii="仿宋" w:hAnsi="仿宋" w:eastAsia="仿宋" w:cs="仿宋"/>
          <w:color w:val="auto"/>
          <w:sz w:val="24"/>
          <w:highlight w:val="none"/>
        </w:rPr>
      </w:pPr>
      <w:r>
        <w:rPr>
          <w:rFonts w:hint="eastAsia" w:ascii="仿宋" w:hAnsi="仿宋" w:eastAsia="仿宋" w:cs="仿宋"/>
          <w:color w:val="auto"/>
          <w:sz w:val="24"/>
          <w:highlight w:val="none"/>
        </w:rPr>
        <w:t>1、工作环境温度：-25℃～+50℃</w:t>
      </w:r>
    </w:p>
    <w:p>
      <w:pPr>
        <w:rPr>
          <w:rFonts w:ascii="仿宋" w:hAnsi="仿宋" w:eastAsia="仿宋" w:cs="仿宋"/>
          <w:color w:val="auto"/>
          <w:sz w:val="24"/>
          <w:highlight w:val="none"/>
        </w:rPr>
      </w:pPr>
      <w:r>
        <w:rPr>
          <w:rFonts w:hint="eastAsia" w:ascii="仿宋" w:hAnsi="仿宋" w:eastAsia="仿宋" w:cs="仿宋"/>
          <w:color w:val="auto"/>
          <w:sz w:val="24"/>
          <w:highlight w:val="none"/>
        </w:rPr>
        <w:t>2、工作环境相对湿度：≤95%</w:t>
      </w:r>
    </w:p>
    <w:p>
      <w:pPr>
        <w:rPr>
          <w:rFonts w:ascii="仿宋" w:hAnsi="仿宋" w:eastAsia="仿宋" w:cs="仿宋"/>
          <w:color w:val="auto"/>
          <w:sz w:val="24"/>
          <w:highlight w:val="none"/>
        </w:rPr>
      </w:pPr>
      <w:r>
        <w:rPr>
          <w:rFonts w:hint="eastAsia" w:ascii="仿宋" w:hAnsi="仿宋" w:eastAsia="仿宋" w:cs="仿宋"/>
          <w:color w:val="auto"/>
          <w:sz w:val="24"/>
          <w:highlight w:val="none"/>
        </w:rPr>
        <w:t>3、存放环境温度：-40℃～+70℃</w:t>
      </w:r>
    </w:p>
    <w:p>
      <w:pPr>
        <w:rPr>
          <w:rFonts w:ascii="仿宋" w:hAnsi="仿宋" w:eastAsia="仿宋" w:cs="仿宋"/>
          <w:color w:val="auto"/>
          <w:sz w:val="24"/>
          <w:highlight w:val="none"/>
        </w:rPr>
      </w:pPr>
      <w:r>
        <w:rPr>
          <w:rFonts w:hint="eastAsia" w:ascii="仿宋" w:hAnsi="仿宋" w:eastAsia="仿宋" w:cs="仿宋"/>
          <w:color w:val="auto"/>
          <w:sz w:val="24"/>
          <w:highlight w:val="none"/>
        </w:rPr>
        <w:t>4、海拔高度：≤3000m</w:t>
      </w:r>
    </w:p>
    <w:p>
      <w:pPr>
        <w:rPr>
          <w:rFonts w:ascii="仿宋" w:hAnsi="仿宋" w:eastAsia="仿宋" w:cs="仿宋"/>
          <w:color w:val="auto"/>
          <w:sz w:val="24"/>
          <w:highlight w:val="none"/>
        </w:rPr>
      </w:pPr>
      <w:r>
        <w:rPr>
          <w:rFonts w:hint="eastAsia" w:ascii="仿宋" w:hAnsi="仿宋" w:eastAsia="仿宋" w:cs="仿宋"/>
          <w:color w:val="auto"/>
          <w:sz w:val="24"/>
          <w:highlight w:val="none"/>
        </w:rPr>
        <w:t>5、抗震性能：符合IEC 60068</w:t>
      </w:r>
    </w:p>
    <w:p>
      <w:pPr>
        <w:rPr>
          <w:rFonts w:ascii="仿宋" w:hAnsi="仿宋" w:eastAsia="仿宋" w:cs="仿宋"/>
          <w:color w:val="auto"/>
          <w:sz w:val="24"/>
          <w:highlight w:val="none"/>
        </w:rPr>
      </w:pPr>
      <w:r>
        <w:rPr>
          <w:rFonts w:hint="eastAsia" w:ascii="仿宋" w:hAnsi="仿宋" w:eastAsia="仿宋" w:cs="仿宋"/>
          <w:color w:val="auto"/>
          <w:sz w:val="24"/>
          <w:highlight w:val="none"/>
        </w:rPr>
        <w:t>6、电源：电压 190V～250V频率 50Hz</w:t>
      </w:r>
    </w:p>
    <w:p>
      <w:pPr>
        <w:widowControl/>
        <w:rPr>
          <w:rFonts w:ascii="仿宋" w:hAnsi="仿宋" w:eastAsia="仿宋" w:cs="仿宋"/>
          <w:b/>
          <w:color w:val="auto"/>
          <w:sz w:val="24"/>
          <w:highlight w:val="none"/>
        </w:rPr>
      </w:pPr>
      <w:r>
        <w:rPr>
          <w:rFonts w:hint="eastAsia" w:ascii="仿宋" w:hAnsi="仿宋" w:eastAsia="仿宋" w:cs="仿宋"/>
          <w:b/>
          <w:color w:val="auto"/>
          <w:sz w:val="24"/>
          <w:highlight w:val="none"/>
        </w:rPr>
        <w:t>（四）、配套设备及附件</w:t>
      </w:r>
    </w:p>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表3  互感器综合测试设备-配套设备及附件</w:t>
      </w:r>
    </w:p>
    <w:tbl>
      <w:tblPr>
        <w:tblStyle w:val="60"/>
        <w:tblW w:w="7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438"/>
        <w:gridCol w:w="3556"/>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3556" w:type="dxa"/>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rPr>
              <w:t xml:space="preserve">           配置要求</w:t>
            </w:r>
          </w:p>
        </w:tc>
        <w:tc>
          <w:tcPr>
            <w:tcW w:w="86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电磁式PT&amp;CT分析仪</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整体精度不低于0.05级</w:t>
            </w:r>
          </w:p>
        </w:tc>
        <w:tc>
          <w:tcPr>
            <w:tcW w:w="86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主机</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重量不大于10kg</w:t>
            </w:r>
          </w:p>
        </w:tc>
        <w:tc>
          <w:tcPr>
            <w:tcW w:w="86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电压测试线</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同轴电缆、航空插头，15米</w:t>
            </w:r>
          </w:p>
        </w:tc>
        <w:tc>
          <w:tcPr>
            <w:tcW w:w="86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2套（1用1备）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PT安全隔离盒</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Jun-b型</w:t>
            </w:r>
          </w:p>
        </w:tc>
        <w:tc>
          <w:tcPr>
            <w:tcW w:w="86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电流测试线</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同轴电缆、航空插头，15米</w:t>
            </w:r>
          </w:p>
        </w:tc>
        <w:tc>
          <w:tcPr>
            <w:tcW w:w="86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2套（1用1备）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控制线</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同轴电缆、航空插头，10米</w:t>
            </w:r>
          </w:p>
        </w:tc>
        <w:tc>
          <w:tcPr>
            <w:tcW w:w="86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2套（1用1备）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地线</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黄绿色标、15米</w:t>
            </w:r>
          </w:p>
        </w:tc>
        <w:tc>
          <w:tcPr>
            <w:tcW w:w="86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接插头</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大、中、小三类鳄鱼夹</w:t>
            </w:r>
          </w:p>
        </w:tc>
        <w:tc>
          <w:tcPr>
            <w:tcW w:w="860" w:type="dxa"/>
            <w:vAlign w:val="center"/>
          </w:tcPr>
          <w:p>
            <w:pPr>
              <w:rPr>
                <w:rFonts w:ascii="仿宋" w:hAnsi="仿宋" w:eastAsia="仿宋" w:cs="仿宋"/>
                <w:color w:val="auto"/>
                <w:sz w:val="24"/>
                <w:highlight w:val="none"/>
              </w:rPr>
            </w:pPr>
            <w:r>
              <w:rPr>
                <w:rFonts w:hint="eastAsia" w:ascii="仿宋" w:hAnsi="仿宋" w:eastAsia="仿宋" w:cs="仿宋"/>
                <w:color w:val="auto"/>
                <w:sz w:val="24"/>
                <w:highlight w:val="none"/>
              </w:rPr>
              <w:t>20个</w:t>
            </w:r>
          </w:p>
          <w:p>
            <w:pPr>
              <w:rPr>
                <w:rFonts w:ascii="仿宋" w:hAnsi="仿宋" w:eastAsia="仿宋" w:cs="仿宋"/>
                <w:color w:val="auto"/>
                <w:sz w:val="24"/>
                <w:highlight w:val="none"/>
              </w:rPr>
            </w:pPr>
            <w:r>
              <w:rPr>
                <w:rFonts w:hint="eastAsia" w:ascii="仿宋" w:hAnsi="仿宋" w:eastAsia="仿宋" w:cs="仿宋"/>
                <w:color w:val="auto"/>
                <w:sz w:val="24"/>
                <w:highlight w:val="none"/>
              </w:rPr>
              <w:t>(10用10备)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移动电源</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锂电池，1000W，低于9公斤，可支持PT和CT连续工作不低于12小时。</w:t>
            </w:r>
          </w:p>
        </w:tc>
        <w:tc>
          <w:tcPr>
            <w:tcW w:w="86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81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出厂资料</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操作手册、检定证书、管理软件（存储于U盘，加密）</w:t>
            </w:r>
          </w:p>
        </w:tc>
        <w:tc>
          <w:tcPr>
            <w:tcW w:w="86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816" w:type="dxa"/>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运输箱</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防震、防尘、抗压，使用寿命不低于10年</w:t>
            </w:r>
          </w:p>
        </w:tc>
        <w:tc>
          <w:tcPr>
            <w:tcW w:w="860" w:type="dxa"/>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816" w:type="dxa"/>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数据分析平台</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品牌主流工作站，配套数据库及软件</w:t>
            </w:r>
          </w:p>
        </w:tc>
        <w:tc>
          <w:tcPr>
            <w:tcW w:w="860" w:type="dxa"/>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816" w:type="dxa"/>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243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平板电脑</w:t>
            </w:r>
          </w:p>
        </w:tc>
        <w:tc>
          <w:tcPr>
            <w:tcW w:w="355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可与主机蓝牙连接，现场存储数据</w:t>
            </w:r>
          </w:p>
        </w:tc>
        <w:tc>
          <w:tcPr>
            <w:tcW w:w="860" w:type="dxa"/>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1台</w:t>
            </w:r>
          </w:p>
        </w:tc>
      </w:tr>
    </w:tbl>
    <w:p>
      <w:pPr>
        <w:jc w:val="center"/>
        <w:rPr>
          <w:rFonts w:ascii="仿宋" w:hAnsi="仿宋" w:eastAsia="仿宋" w:cs="仿宋"/>
          <w:b/>
          <w:color w:val="auto"/>
          <w:sz w:val="24"/>
          <w:highlight w:val="none"/>
        </w:rPr>
      </w:pPr>
    </w:p>
    <w:p>
      <w:pPr>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表4  GIS电压互感器专用测试设备-配套设备及附件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5002"/>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4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002"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名称及型号</w:t>
            </w:r>
          </w:p>
        </w:tc>
        <w:tc>
          <w:tcPr>
            <w:tcW w:w="135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002"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组合电器电压互感器测试仪</w:t>
            </w:r>
          </w:p>
        </w:tc>
        <w:tc>
          <w:tcPr>
            <w:tcW w:w="135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14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5002"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测试线</w:t>
            </w:r>
          </w:p>
        </w:tc>
        <w:tc>
          <w:tcPr>
            <w:tcW w:w="135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2套（1用1备）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4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5002"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平板电脑（可与主机连接，现场存储数据）</w:t>
            </w:r>
          </w:p>
        </w:tc>
        <w:tc>
          <w:tcPr>
            <w:tcW w:w="1358"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1台</w:t>
            </w:r>
          </w:p>
        </w:tc>
      </w:tr>
    </w:tbl>
    <w:p>
      <w:pPr>
        <w:widowControl/>
        <w:rPr>
          <w:rFonts w:ascii="仿宋" w:hAnsi="仿宋" w:eastAsia="仿宋" w:cs="仿宋"/>
          <w:b/>
          <w:color w:val="auto"/>
          <w:sz w:val="24"/>
          <w:highlight w:val="none"/>
        </w:rPr>
      </w:pPr>
      <w:r>
        <w:rPr>
          <w:rFonts w:hint="eastAsia" w:ascii="仿宋" w:hAnsi="仿宋" w:eastAsia="仿宋" w:cs="仿宋"/>
          <w:b/>
          <w:color w:val="auto"/>
          <w:sz w:val="24"/>
          <w:highlight w:val="none"/>
        </w:rPr>
        <w:t>（五）、技术资料</w:t>
      </w:r>
    </w:p>
    <w:p>
      <w:pPr>
        <w:rPr>
          <w:rFonts w:ascii="仿宋" w:hAnsi="仿宋" w:eastAsia="仿宋" w:cs="仿宋"/>
          <w:color w:val="auto"/>
          <w:sz w:val="24"/>
          <w:highlight w:val="none"/>
        </w:rPr>
      </w:pPr>
      <w:r>
        <w:rPr>
          <w:rFonts w:hint="eastAsia" w:ascii="仿宋" w:hAnsi="仿宋" w:eastAsia="仿宋" w:cs="仿宋"/>
          <w:color w:val="auto"/>
          <w:sz w:val="24"/>
          <w:highlight w:val="none"/>
        </w:rPr>
        <w:t>1、中文操作手册一套；</w:t>
      </w:r>
    </w:p>
    <w:p>
      <w:pPr>
        <w:rPr>
          <w:rFonts w:ascii="仿宋" w:hAnsi="仿宋" w:eastAsia="仿宋" w:cs="仿宋"/>
          <w:color w:val="auto"/>
          <w:sz w:val="24"/>
          <w:highlight w:val="none"/>
        </w:rPr>
      </w:pPr>
      <w:r>
        <w:rPr>
          <w:rFonts w:hint="eastAsia" w:ascii="仿宋" w:hAnsi="仿宋" w:eastAsia="仿宋" w:cs="仿宋"/>
          <w:color w:val="auto"/>
          <w:sz w:val="24"/>
          <w:highlight w:val="none"/>
        </w:rPr>
        <w:t>2、维修手册一份</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3、装箱单一份。</w:t>
      </w:r>
    </w:p>
    <w:p>
      <w:pPr>
        <w:widowControl/>
        <w:rPr>
          <w:rFonts w:ascii="仿宋" w:hAnsi="仿宋" w:eastAsia="仿宋" w:cs="仿宋"/>
          <w:b/>
          <w:color w:val="auto"/>
          <w:sz w:val="24"/>
          <w:highlight w:val="none"/>
        </w:rPr>
      </w:pPr>
      <w:r>
        <w:rPr>
          <w:rFonts w:hint="eastAsia" w:ascii="仿宋" w:hAnsi="仿宋" w:eastAsia="仿宋" w:cs="仿宋"/>
          <w:b/>
          <w:color w:val="auto"/>
          <w:sz w:val="24"/>
          <w:highlight w:val="none"/>
        </w:rPr>
        <w:t>（六）、质量保证及售后服务</w:t>
      </w:r>
    </w:p>
    <w:p>
      <w:pPr>
        <w:rPr>
          <w:rFonts w:ascii="仿宋" w:hAnsi="仿宋" w:eastAsia="仿宋" w:cs="仿宋"/>
          <w:color w:val="auto"/>
          <w:sz w:val="24"/>
          <w:highlight w:val="none"/>
        </w:rPr>
      </w:pPr>
      <w:r>
        <w:rPr>
          <w:rFonts w:hint="eastAsia" w:ascii="仿宋" w:hAnsi="仿宋" w:eastAsia="仿宋" w:cs="仿宋"/>
          <w:color w:val="auto"/>
          <w:sz w:val="24"/>
          <w:highlight w:val="none"/>
        </w:rPr>
        <w:t>1、乙方应该按合同规定的设备性能、质量标准向甲方提供未经使用的全新设备。</w:t>
      </w:r>
    </w:p>
    <w:p>
      <w:pPr>
        <w:rPr>
          <w:rFonts w:ascii="仿宋" w:hAnsi="仿宋" w:eastAsia="仿宋" w:cs="仿宋"/>
          <w:color w:val="auto"/>
          <w:sz w:val="24"/>
          <w:highlight w:val="none"/>
        </w:rPr>
      </w:pPr>
      <w:r>
        <w:rPr>
          <w:rFonts w:hint="eastAsia" w:ascii="仿宋" w:hAnsi="仿宋" w:eastAsia="仿宋" w:cs="仿宋"/>
          <w:color w:val="auto"/>
          <w:sz w:val="24"/>
          <w:highlight w:val="none"/>
        </w:rPr>
        <w:t>2、乙方提供设备的质量保证期为验收合格之后</w:t>
      </w:r>
      <w:r>
        <w:rPr>
          <w:rFonts w:hint="eastAsia" w:ascii="仿宋" w:hAnsi="仿宋" w:eastAsia="仿宋" w:cs="仿宋"/>
          <w:color w:val="auto"/>
          <w:sz w:val="24"/>
          <w:highlight w:val="none"/>
          <w:u w:val="single"/>
        </w:rPr>
        <w:t xml:space="preserve"> </w:t>
      </w:r>
      <w:r>
        <w:rPr>
          <w:rFonts w:hint="eastAsia" w:ascii="仿宋" w:hAnsi="仿宋" w:eastAsia="仿宋" w:cs="仿宋"/>
          <w:b/>
          <w:color w:val="auto"/>
          <w:sz w:val="24"/>
          <w:highlight w:val="none"/>
          <w:u w:val="single"/>
        </w:rPr>
        <w:t>2年</w:t>
      </w:r>
      <w:r>
        <w:rPr>
          <w:rFonts w:hint="eastAsia" w:ascii="仿宋" w:hAnsi="仿宋" w:eastAsia="仿宋" w:cs="仿宋"/>
          <w:color w:val="auto"/>
          <w:sz w:val="24"/>
          <w:highlight w:val="none"/>
        </w:rPr>
        <w:t>。在保证期内因设备本身的质量问题发生故障，乙方应负责免费修理和更换零部件。对达不到计量性能要求的，经双方协商，可按以下办法处理：</w:t>
      </w:r>
    </w:p>
    <w:p>
      <w:pPr>
        <w:rPr>
          <w:rFonts w:ascii="仿宋" w:hAnsi="仿宋" w:eastAsia="仿宋" w:cs="仿宋"/>
          <w:color w:val="auto"/>
          <w:sz w:val="24"/>
          <w:highlight w:val="none"/>
        </w:rPr>
      </w:pPr>
      <w:r>
        <w:rPr>
          <w:rFonts w:hint="eastAsia" w:ascii="仿宋" w:hAnsi="仿宋" w:eastAsia="仿宋" w:cs="仿宋"/>
          <w:color w:val="auto"/>
          <w:sz w:val="24"/>
          <w:highlight w:val="none"/>
        </w:rPr>
        <w:t>（1）退货处理：乙方应退回甲方支付的设备款，同时承担该设备的直接费用（运输、保险、检定等）。</w:t>
      </w:r>
    </w:p>
    <w:p>
      <w:pPr>
        <w:rPr>
          <w:rFonts w:ascii="仿宋" w:hAnsi="仿宋" w:eastAsia="仿宋" w:cs="仿宋"/>
          <w:color w:val="auto"/>
          <w:sz w:val="24"/>
          <w:highlight w:val="none"/>
        </w:rPr>
      </w:pPr>
      <w:r>
        <w:rPr>
          <w:rFonts w:hint="eastAsia" w:ascii="仿宋" w:hAnsi="仿宋" w:eastAsia="仿宋" w:cs="仿宋"/>
          <w:color w:val="auto"/>
          <w:sz w:val="24"/>
          <w:highlight w:val="none"/>
        </w:rPr>
        <w:t>（2）更换设备：乙方承担所发生的相关费用。</w:t>
      </w:r>
    </w:p>
    <w:p>
      <w:pPr>
        <w:rPr>
          <w:rFonts w:ascii="仿宋" w:hAnsi="仿宋" w:eastAsia="仿宋" w:cs="仿宋"/>
          <w:color w:val="auto"/>
          <w:sz w:val="24"/>
          <w:highlight w:val="none"/>
        </w:rPr>
      </w:pPr>
      <w:r>
        <w:rPr>
          <w:rFonts w:hint="eastAsia" w:ascii="仿宋" w:hAnsi="仿宋" w:eastAsia="仿宋" w:cs="仿宋"/>
          <w:color w:val="auto"/>
          <w:sz w:val="24"/>
          <w:highlight w:val="none"/>
        </w:rPr>
        <w:t>3、乙方在交货前应该将合同号、设备名称、数量、件数、运输方式等通知甲方。</w:t>
      </w:r>
    </w:p>
    <w:p>
      <w:pPr>
        <w:rPr>
          <w:rFonts w:ascii="仿宋" w:hAnsi="仿宋" w:eastAsia="仿宋" w:cs="仿宋"/>
          <w:color w:val="auto"/>
          <w:sz w:val="24"/>
          <w:highlight w:val="none"/>
        </w:rPr>
      </w:pPr>
      <w:r>
        <w:rPr>
          <w:rFonts w:hint="eastAsia" w:ascii="仿宋" w:hAnsi="仿宋" w:eastAsia="仿宋" w:cs="仿宋"/>
          <w:color w:val="auto"/>
          <w:sz w:val="24"/>
          <w:highlight w:val="none"/>
        </w:rPr>
        <w:t>4、设备在运输中造成的锈蚀、破损、丢失等均有乙方承担责任。</w:t>
      </w:r>
    </w:p>
    <w:p>
      <w:pPr>
        <w:rPr>
          <w:rFonts w:ascii="仿宋" w:hAnsi="仿宋" w:eastAsia="仿宋" w:cs="仿宋"/>
          <w:b/>
          <w:color w:val="auto"/>
          <w:sz w:val="24"/>
          <w:highlight w:val="none"/>
        </w:rPr>
      </w:pPr>
      <w:r>
        <w:rPr>
          <w:rFonts w:hint="eastAsia" w:ascii="仿宋" w:hAnsi="仿宋" w:eastAsia="仿宋" w:cs="仿宋"/>
          <w:color w:val="auto"/>
          <w:sz w:val="24"/>
          <w:highlight w:val="none"/>
        </w:rPr>
        <w:t>5、在设备调试阶段，根据甲方要求，乙方应及时派出技术人员现场安装调试设备，并对甲方人员免费进行培训。</w:t>
      </w:r>
    </w:p>
    <w:p>
      <w:pPr>
        <w:rPr>
          <w:rFonts w:ascii="仿宋" w:hAnsi="仿宋" w:eastAsia="仿宋" w:cs="仿宋"/>
          <w:color w:val="auto"/>
          <w:sz w:val="24"/>
          <w:highlight w:val="none"/>
        </w:rPr>
      </w:pPr>
      <w:r>
        <w:rPr>
          <w:rFonts w:hint="eastAsia" w:ascii="仿宋" w:hAnsi="仿宋" w:eastAsia="仿宋" w:cs="仿宋"/>
          <w:color w:val="auto"/>
          <w:sz w:val="24"/>
          <w:highlight w:val="none"/>
        </w:rPr>
        <w:t>6、在保证期内，如设备出现质量问题，乙方在接到甲方通知后应在</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b/>
          <w:color w:val="auto"/>
          <w:sz w:val="24"/>
          <w:highlight w:val="none"/>
          <w:u w:val="single"/>
        </w:rPr>
        <w:t xml:space="preserve"> 48</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小时内达到甲方现场。</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7、质保期：验收合格后2年。</w:t>
      </w:r>
    </w:p>
    <w:p>
      <w:pPr>
        <w:widowControl/>
        <w:rPr>
          <w:rFonts w:ascii="仿宋" w:hAnsi="仿宋" w:eastAsia="仿宋" w:cs="仿宋"/>
          <w:color w:val="auto"/>
          <w:sz w:val="24"/>
          <w:highlight w:val="none"/>
        </w:rPr>
      </w:pPr>
      <w:r>
        <w:rPr>
          <w:rFonts w:hint="eastAsia" w:ascii="仿宋" w:hAnsi="仿宋" w:eastAsia="仿宋" w:cs="仿宋"/>
          <w:b/>
          <w:color w:val="auto"/>
          <w:sz w:val="24"/>
          <w:highlight w:val="none"/>
        </w:rPr>
        <w:t>（七）、验收</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1、供方负责在需方现场进行仪器的安装、调试和验收等工作，需方只负责提供相应的人力支持和搬运工具。</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2、对于缺漏的仪器附件等内容，供方必须免费提供。</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3、仪器现场安装、调试后，甲方依照技术要求按程序对设备进行验收。</w:t>
      </w:r>
    </w:p>
    <w:p>
      <w:pPr>
        <w:rPr>
          <w:rFonts w:ascii="仿宋" w:hAnsi="仿宋" w:eastAsia="仿宋" w:cs="仿宋"/>
          <w:b/>
          <w:color w:val="auto"/>
          <w:sz w:val="24"/>
          <w:highlight w:val="none"/>
        </w:rPr>
      </w:pPr>
      <w:r>
        <w:rPr>
          <w:rFonts w:hint="eastAsia" w:ascii="仿宋" w:hAnsi="仿宋" w:eastAsia="仿宋" w:cs="仿宋"/>
          <w:b/>
          <w:color w:val="auto"/>
          <w:sz w:val="24"/>
          <w:highlight w:val="none"/>
        </w:rPr>
        <w:t>（八）、交货时间</w:t>
      </w:r>
    </w:p>
    <w:p>
      <w:pPr>
        <w:rPr>
          <w:rFonts w:ascii="仿宋" w:hAnsi="仿宋" w:eastAsia="仿宋" w:cs="仿宋"/>
          <w:color w:val="auto"/>
          <w:sz w:val="24"/>
          <w:highlight w:val="none"/>
        </w:rPr>
      </w:pPr>
      <w:r>
        <w:rPr>
          <w:rFonts w:hint="eastAsia" w:ascii="仿宋" w:hAnsi="仿宋" w:eastAsia="仿宋" w:cs="仿宋"/>
          <w:color w:val="auto"/>
          <w:sz w:val="24"/>
          <w:highlight w:val="none"/>
        </w:rPr>
        <w:t>1、交货时间：</w:t>
      </w:r>
      <w:r>
        <w:rPr>
          <w:rFonts w:hint="eastAsia" w:ascii="仿宋" w:hAnsi="仿宋" w:eastAsia="仿宋" w:cs="仿宋"/>
          <w:b/>
          <w:color w:val="auto"/>
          <w:sz w:val="24"/>
          <w:highlight w:val="none"/>
          <w:u w:val="single"/>
        </w:rPr>
        <w:t xml:space="preserve">120 </w:t>
      </w:r>
      <w:r>
        <w:rPr>
          <w:rFonts w:hint="eastAsia" w:ascii="仿宋" w:hAnsi="仿宋" w:eastAsia="仿宋" w:cs="仿宋"/>
          <w:color w:val="auto"/>
          <w:sz w:val="24"/>
          <w:highlight w:val="none"/>
        </w:rPr>
        <w:t>日历日内</w:t>
      </w:r>
    </w:p>
    <w:p>
      <w:pPr>
        <w:rPr>
          <w:rFonts w:ascii="仿宋" w:hAnsi="仿宋" w:eastAsia="仿宋" w:cs="仿宋"/>
          <w:color w:val="auto"/>
          <w:sz w:val="24"/>
          <w:highlight w:val="none"/>
        </w:rPr>
      </w:pPr>
    </w:p>
    <w:p>
      <w:pPr>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b/>
          <w:color w:val="auto"/>
          <w:sz w:val="28"/>
          <w:szCs w:val="28"/>
          <w:highlight w:val="none"/>
        </w:rPr>
        <w:t>测量设备名称：电流互感器（含配套设备）  1套</w:t>
      </w:r>
    </w:p>
    <w:p>
      <w:pPr>
        <w:rPr>
          <w:rFonts w:ascii="仿宋" w:hAnsi="仿宋" w:eastAsia="仿宋" w:cs="仿宋"/>
          <w:b/>
          <w:color w:val="auto"/>
          <w:sz w:val="24"/>
          <w:highlight w:val="none"/>
        </w:rPr>
      </w:pPr>
      <w:r>
        <w:rPr>
          <w:rFonts w:hint="eastAsia" w:ascii="仿宋" w:hAnsi="仿宋" w:eastAsia="仿宋" w:cs="仿宋"/>
          <w:b/>
          <w:color w:val="auto"/>
          <w:sz w:val="24"/>
          <w:highlight w:val="none"/>
        </w:rPr>
        <w:t>（一）、技术参数</w:t>
      </w:r>
    </w:p>
    <w:tbl>
      <w:tblPr>
        <w:tblStyle w:val="61"/>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120"/>
        <w:gridCol w:w="3473"/>
        <w:gridCol w:w="3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826" w:type="dxa"/>
            <w:gridSpan w:val="2"/>
            <w:vAlign w:val="center"/>
          </w:tcPr>
          <w:p>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参数</w:t>
            </w:r>
          </w:p>
        </w:tc>
        <w:tc>
          <w:tcPr>
            <w:tcW w:w="3473" w:type="dxa"/>
            <w:vAlign w:val="center"/>
          </w:tcPr>
          <w:p>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具体要求</w:t>
            </w:r>
          </w:p>
        </w:tc>
        <w:tc>
          <w:tcPr>
            <w:tcW w:w="3519" w:type="dxa"/>
            <w:vAlign w:val="center"/>
          </w:tcPr>
          <w:p>
            <w:pP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706"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电流互感器</w:t>
            </w:r>
          </w:p>
        </w:tc>
        <w:tc>
          <w:tcPr>
            <w:tcW w:w="11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测量范围</w:t>
            </w:r>
          </w:p>
        </w:tc>
        <w:tc>
          <w:tcPr>
            <w:tcW w:w="3473"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（0.1~5000）A/5A</w:t>
            </w: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（0.1~5000）A/1A</w:t>
            </w:r>
          </w:p>
        </w:tc>
        <w:tc>
          <w:tcPr>
            <w:tcW w:w="3519" w:type="dxa"/>
            <w:vAlign w:val="center"/>
          </w:tcPr>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1、单台互感器难以满足全部测量范围的情况下，可“分段设计”。如：一台（0.1~150）A  0.001S级互感器和一台（5~5000）A  0.001S级互感器 配合使用，以完全覆盖（0.1~5000）A的测量范围，下同。</w:t>
            </w:r>
          </w:p>
          <w:p>
            <w:pPr>
              <w:rPr>
                <w:rFonts w:ascii="仿宋" w:hAnsi="仿宋" w:eastAsia="仿宋" w:cs="仿宋"/>
                <w:color w:val="auto"/>
                <w:sz w:val="24"/>
                <w:highlight w:val="none"/>
              </w:rPr>
            </w:pPr>
            <w:r>
              <w:rPr>
                <w:rFonts w:hint="eastAsia" w:ascii="仿宋" w:hAnsi="仿宋" w:eastAsia="仿宋" w:cs="仿宋"/>
                <w:color w:val="auto"/>
                <w:sz w:val="24"/>
                <w:highlight w:val="none"/>
              </w:rPr>
              <w:t>2、“分段设计”推荐采用“（0.1~200/150/120）A+(5~5000)A”类型的组合，其它类型组合需征得甲方同意方可。其中(5~5000)A互感器须覆盖此范围的所有标准变比。</w:t>
            </w:r>
          </w:p>
          <w:p>
            <w:pPr>
              <w:rPr>
                <w:rFonts w:ascii="仿宋" w:hAnsi="仿宋" w:eastAsia="仿宋" w:cs="仿宋"/>
                <w:color w:val="auto"/>
                <w:sz w:val="24"/>
                <w:highlight w:val="none"/>
              </w:rPr>
            </w:pPr>
            <w:r>
              <w:rPr>
                <w:rFonts w:hint="eastAsia" w:ascii="仿宋" w:hAnsi="仿宋" w:eastAsia="仿宋" w:cs="仿宋"/>
                <w:color w:val="auto"/>
                <w:sz w:val="24"/>
                <w:highlight w:val="none"/>
              </w:rPr>
              <w:t>3、二次电流5A、1A的档位须集成在一台互感器上。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706" w:type="dxa"/>
            <w:vMerge w:val="continue"/>
            <w:vAlign w:val="center"/>
          </w:tcPr>
          <w:p>
            <w:pPr>
              <w:jc w:val="center"/>
              <w:rPr>
                <w:rFonts w:ascii="仿宋" w:hAnsi="仿宋" w:eastAsia="仿宋" w:cs="仿宋"/>
                <w:color w:val="auto"/>
                <w:sz w:val="24"/>
                <w:highlight w:val="none"/>
              </w:rPr>
            </w:pPr>
          </w:p>
        </w:tc>
        <w:tc>
          <w:tcPr>
            <w:tcW w:w="11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准确度等级</w:t>
            </w:r>
          </w:p>
        </w:tc>
        <w:tc>
          <w:tcPr>
            <w:tcW w:w="3473"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0.001S级</w:t>
            </w:r>
          </w:p>
        </w:tc>
        <w:tc>
          <w:tcPr>
            <w:tcW w:w="3519"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1、含测量范围的所有变比。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706" w:type="dxa"/>
            <w:vMerge w:val="continue"/>
            <w:vAlign w:val="center"/>
          </w:tcPr>
          <w:p>
            <w:pPr>
              <w:jc w:val="center"/>
              <w:rPr>
                <w:rFonts w:ascii="仿宋" w:hAnsi="仿宋" w:eastAsia="仿宋" w:cs="仿宋"/>
                <w:color w:val="auto"/>
                <w:sz w:val="24"/>
                <w:highlight w:val="none"/>
              </w:rPr>
            </w:pPr>
          </w:p>
        </w:tc>
        <w:tc>
          <w:tcPr>
            <w:tcW w:w="11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一次电流（A）</w:t>
            </w:r>
          </w:p>
        </w:tc>
        <w:tc>
          <w:tcPr>
            <w:tcW w:w="3473" w:type="dxa"/>
            <w:vAlign w:val="center"/>
          </w:tcPr>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0.1、0.15、0.2、0.25、0.3、0.4、0.5、0.6、0.75、0.8、1、1.2、1.25、1.5、2、3、4、5、6、7.5、8、10、12、12.5、15、20、25、30、40、50、60、75、80、100、120、125、150、160、200、250、300、315、400、500、600、630、750、800、900、1000、1200、1250、1500、1600、1800、2000、2400、2500、3000、3150、4000、5000</w:t>
            </w:r>
          </w:p>
        </w:tc>
        <w:tc>
          <w:tcPr>
            <w:tcW w:w="3519" w:type="dxa"/>
            <w:vAlign w:val="center"/>
          </w:tcPr>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1、所列的变比为必配变比；</w:t>
            </w:r>
          </w:p>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2、未列出的标准变比，厂家有补充义务，也为必配变比；</w:t>
            </w:r>
          </w:p>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3、其它变比，厂家可自行选配。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06" w:type="dxa"/>
            <w:vMerge w:val="continue"/>
            <w:vAlign w:val="center"/>
          </w:tcPr>
          <w:p>
            <w:pPr>
              <w:jc w:val="center"/>
              <w:rPr>
                <w:rFonts w:ascii="仿宋" w:hAnsi="仿宋" w:eastAsia="仿宋" w:cs="仿宋"/>
                <w:color w:val="auto"/>
                <w:sz w:val="24"/>
                <w:highlight w:val="none"/>
              </w:rPr>
            </w:pPr>
          </w:p>
        </w:tc>
        <w:tc>
          <w:tcPr>
            <w:tcW w:w="11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二次电流（A）</w:t>
            </w:r>
          </w:p>
        </w:tc>
        <w:tc>
          <w:tcPr>
            <w:tcW w:w="3473"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5、1</w:t>
            </w:r>
          </w:p>
        </w:tc>
        <w:tc>
          <w:tcPr>
            <w:tcW w:w="3519"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06"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配套设备</w:t>
            </w:r>
          </w:p>
        </w:tc>
        <w:tc>
          <w:tcPr>
            <w:tcW w:w="11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升流器配置</w:t>
            </w:r>
          </w:p>
        </w:tc>
        <w:tc>
          <w:tcPr>
            <w:tcW w:w="3473"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（0~5000）A</w:t>
            </w:r>
          </w:p>
        </w:tc>
        <w:tc>
          <w:tcPr>
            <w:tcW w:w="3519" w:type="dxa"/>
            <w:vAlign w:val="center"/>
          </w:tcPr>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1、若电流互感器采用“分段设计”方式，升流器也应采用“分段设计”，分别配置满足不同测量范围要求的升流器，如：互感器为（0.1~150）A  0.001S级、（5~5000）A  0.001S级的2台互感器，升流器则应配置（0~150）A、（0~5000）A的2台升流器。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06" w:type="dxa"/>
            <w:vMerge w:val="continue"/>
            <w:vAlign w:val="center"/>
          </w:tcPr>
          <w:p>
            <w:pPr>
              <w:jc w:val="center"/>
              <w:rPr>
                <w:rFonts w:ascii="仿宋" w:hAnsi="仿宋" w:eastAsia="仿宋" w:cs="仿宋"/>
                <w:color w:val="auto"/>
                <w:sz w:val="24"/>
                <w:highlight w:val="none"/>
              </w:rPr>
            </w:pPr>
          </w:p>
        </w:tc>
        <w:tc>
          <w:tcPr>
            <w:tcW w:w="11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互感器校验仪</w:t>
            </w:r>
          </w:p>
        </w:tc>
        <w:tc>
          <w:tcPr>
            <w:tcW w:w="3473"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1级</w:t>
            </w:r>
          </w:p>
        </w:tc>
        <w:tc>
          <w:tcPr>
            <w:tcW w:w="3519"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06" w:type="dxa"/>
            <w:vMerge w:val="continue"/>
            <w:vAlign w:val="center"/>
          </w:tcPr>
          <w:p>
            <w:pPr>
              <w:jc w:val="center"/>
              <w:rPr>
                <w:rFonts w:ascii="仿宋" w:hAnsi="仿宋" w:eastAsia="仿宋" w:cs="仿宋"/>
                <w:color w:val="auto"/>
                <w:sz w:val="24"/>
                <w:highlight w:val="none"/>
              </w:rPr>
            </w:pPr>
          </w:p>
        </w:tc>
        <w:tc>
          <w:tcPr>
            <w:tcW w:w="11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测试导线</w:t>
            </w:r>
          </w:p>
        </w:tc>
        <w:tc>
          <w:tcPr>
            <w:tcW w:w="3473"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（0~5000）A</w:t>
            </w:r>
          </w:p>
        </w:tc>
        <w:tc>
          <w:tcPr>
            <w:tcW w:w="3519" w:type="dxa"/>
            <w:vAlign w:val="center"/>
          </w:tcPr>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1、厂家根据测试需要，配齐各种规格的电流导线，含一次线和二次线。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06" w:type="dxa"/>
            <w:vMerge w:val="continue"/>
            <w:vAlign w:val="center"/>
          </w:tcPr>
          <w:p>
            <w:pPr>
              <w:jc w:val="center"/>
              <w:rPr>
                <w:rFonts w:ascii="仿宋" w:hAnsi="仿宋" w:eastAsia="仿宋" w:cs="仿宋"/>
                <w:color w:val="auto"/>
                <w:sz w:val="24"/>
                <w:highlight w:val="none"/>
              </w:rPr>
            </w:pPr>
          </w:p>
        </w:tc>
        <w:tc>
          <w:tcPr>
            <w:tcW w:w="1120"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专用转运箱</w:t>
            </w:r>
          </w:p>
        </w:tc>
        <w:tc>
          <w:tcPr>
            <w:tcW w:w="3473"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给电流互感器配置专用专用箱</w:t>
            </w:r>
          </w:p>
          <w:p>
            <w:pPr>
              <w:jc w:val="center"/>
              <w:rPr>
                <w:rFonts w:ascii="仿宋" w:hAnsi="仿宋" w:eastAsia="仿宋" w:cs="仿宋"/>
                <w:color w:val="auto"/>
                <w:sz w:val="24"/>
                <w:highlight w:val="none"/>
              </w:rPr>
            </w:pPr>
          </w:p>
        </w:tc>
        <w:tc>
          <w:tcPr>
            <w:tcW w:w="3519" w:type="dxa"/>
            <w:vAlign w:val="center"/>
          </w:tcPr>
          <w:p>
            <w:pPr>
              <w:numPr>
                <w:ilvl w:val="0"/>
                <w:numId w:val="18"/>
              </w:numPr>
              <w:jc w:val="left"/>
              <w:rPr>
                <w:rFonts w:ascii="仿宋" w:hAnsi="仿宋" w:eastAsia="仿宋" w:cs="仿宋"/>
                <w:color w:val="auto"/>
                <w:sz w:val="24"/>
                <w:highlight w:val="none"/>
              </w:rPr>
            </w:pPr>
            <w:r>
              <w:rPr>
                <w:rFonts w:hint="eastAsia" w:ascii="仿宋" w:hAnsi="仿宋" w:eastAsia="仿宋" w:cs="仿宋"/>
                <w:color w:val="auto"/>
                <w:sz w:val="24"/>
                <w:highlight w:val="none"/>
              </w:rPr>
              <w:t>一台互感器一个专用转运箱。</w:t>
            </w:r>
          </w:p>
          <w:p>
            <w:pPr>
              <w:numPr>
                <w:ilvl w:val="0"/>
                <w:numId w:val="18"/>
              </w:numPr>
              <w:jc w:val="left"/>
              <w:rPr>
                <w:rFonts w:ascii="仿宋" w:hAnsi="仿宋" w:eastAsia="仿宋" w:cs="仿宋"/>
                <w:color w:val="auto"/>
                <w:sz w:val="24"/>
                <w:highlight w:val="none"/>
              </w:rPr>
            </w:pPr>
            <w:r>
              <w:rPr>
                <w:rFonts w:hint="eastAsia" w:ascii="仿宋" w:hAnsi="仿宋" w:eastAsia="仿宋" w:cs="仿宋"/>
                <w:color w:val="auto"/>
                <w:sz w:val="24"/>
                <w:highlight w:val="none"/>
              </w:rPr>
              <w:t>主要用于电流互感器北京、武汉、成都等地设备送检用。</w:t>
            </w:r>
          </w:p>
          <w:p>
            <w:pPr>
              <w:numPr>
                <w:ilvl w:val="0"/>
                <w:numId w:val="18"/>
              </w:numPr>
              <w:jc w:val="left"/>
              <w:rPr>
                <w:rFonts w:ascii="仿宋" w:hAnsi="仿宋" w:eastAsia="仿宋" w:cs="仿宋"/>
                <w:color w:val="auto"/>
                <w:sz w:val="24"/>
                <w:highlight w:val="none"/>
              </w:rPr>
            </w:pPr>
            <w:r>
              <w:rPr>
                <w:rFonts w:hint="eastAsia" w:ascii="仿宋" w:hAnsi="仿宋" w:eastAsia="仿宋" w:cs="仿宋"/>
                <w:color w:val="auto"/>
                <w:sz w:val="24"/>
                <w:highlight w:val="none"/>
              </w:rPr>
              <w:t>箱子基本要求：减震、抗摔，结实；确保高精度电流互感器运输途中抗摔、性能稳定、不人为损坏。</w:t>
            </w:r>
          </w:p>
          <w:p>
            <w:pPr>
              <w:numPr>
                <w:ilvl w:val="0"/>
                <w:numId w:val="18"/>
              </w:numPr>
              <w:jc w:val="left"/>
              <w:rPr>
                <w:rFonts w:ascii="仿宋" w:hAnsi="仿宋" w:eastAsia="仿宋" w:cs="仿宋"/>
                <w:color w:val="auto"/>
                <w:sz w:val="24"/>
                <w:highlight w:val="none"/>
              </w:rPr>
            </w:pPr>
            <w:r>
              <w:rPr>
                <w:rFonts w:hint="eastAsia" w:ascii="仿宋" w:hAnsi="仿宋" w:eastAsia="仿宋" w:cs="仿宋"/>
                <w:color w:val="auto"/>
                <w:sz w:val="24"/>
                <w:highlight w:val="none"/>
              </w:rPr>
              <w:t>需专业设计，底座要能承受互感器的重量。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818" w:type="dxa"/>
            <w:gridSpan w:val="4"/>
            <w:vAlign w:val="center"/>
          </w:tcPr>
          <w:p>
            <w:pPr>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备注：</w:t>
            </w:r>
          </w:p>
          <w:p>
            <w:pPr>
              <w:numPr>
                <w:ilvl w:val="0"/>
                <w:numId w:val="19"/>
              </w:numPr>
              <w:jc w:val="left"/>
              <w:rPr>
                <w:rFonts w:ascii="仿宋" w:hAnsi="仿宋" w:eastAsia="仿宋" w:cs="仿宋"/>
                <w:color w:val="auto"/>
                <w:sz w:val="24"/>
                <w:highlight w:val="none"/>
              </w:rPr>
            </w:pPr>
            <w:r>
              <w:rPr>
                <w:rFonts w:hint="eastAsia" w:ascii="仿宋" w:hAnsi="仿宋" w:eastAsia="仿宋" w:cs="仿宋"/>
                <w:color w:val="auto"/>
                <w:sz w:val="24"/>
                <w:highlight w:val="none"/>
              </w:rPr>
              <w:t>该电流互感器为实验室用高等级、高精密仪器设备，不接受贴牌、套牌设备，甲方发现有此情况，按乙方违约处理。</w:t>
            </w:r>
          </w:p>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互感器性能应符合以下要求：以其中1台电流互感器作为核查标准（不低于0.01级），每2个月做一次核查试验，连续做4次，在配套设备、环境条件、人员均相同的情况下，乙方所供互感器相邻两次试验的误差变化不大于其误差限值的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818" w:type="dxa"/>
            <w:gridSpan w:val="4"/>
            <w:vAlign w:val="center"/>
          </w:tcPr>
          <w:p>
            <w:pPr>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电流互感器及配套设备的清单：</w:t>
            </w:r>
          </w:p>
          <w:p>
            <w:pPr>
              <w:numPr>
                <w:ilvl w:val="0"/>
                <w:numId w:val="20"/>
              </w:numPr>
              <w:jc w:val="left"/>
              <w:rPr>
                <w:rFonts w:ascii="仿宋" w:hAnsi="仿宋" w:eastAsia="仿宋" w:cs="仿宋"/>
                <w:color w:val="auto"/>
                <w:sz w:val="24"/>
                <w:highlight w:val="none"/>
              </w:rPr>
            </w:pPr>
            <w:r>
              <w:rPr>
                <w:rFonts w:hint="eastAsia" w:ascii="仿宋" w:hAnsi="仿宋" w:eastAsia="仿宋" w:cs="仿宋"/>
                <w:color w:val="auto"/>
                <w:sz w:val="24"/>
                <w:highlight w:val="none"/>
              </w:rPr>
              <w:t>互感器：同样设备配置2套，1套做主标准、1套做参考标准。</w:t>
            </w:r>
          </w:p>
          <w:p>
            <w:pPr>
              <w:numPr>
                <w:ilvl w:val="0"/>
                <w:numId w:val="20"/>
              </w:numPr>
              <w:jc w:val="left"/>
              <w:rPr>
                <w:rFonts w:ascii="仿宋" w:hAnsi="仿宋" w:eastAsia="仿宋" w:cs="仿宋"/>
                <w:color w:val="auto"/>
                <w:sz w:val="24"/>
                <w:highlight w:val="none"/>
              </w:rPr>
            </w:pPr>
            <w:r>
              <w:rPr>
                <w:rFonts w:hint="eastAsia" w:ascii="仿宋" w:hAnsi="仿宋" w:eastAsia="仿宋" w:cs="仿宋"/>
                <w:color w:val="auto"/>
                <w:sz w:val="24"/>
                <w:highlight w:val="none"/>
              </w:rPr>
              <w:t>互感器校验仪：1台。</w:t>
            </w:r>
          </w:p>
          <w:p>
            <w:pPr>
              <w:numPr>
                <w:ilvl w:val="0"/>
                <w:numId w:val="20"/>
              </w:numPr>
              <w:jc w:val="left"/>
              <w:rPr>
                <w:rFonts w:ascii="仿宋" w:hAnsi="仿宋" w:eastAsia="仿宋" w:cs="仿宋"/>
                <w:color w:val="auto"/>
                <w:sz w:val="24"/>
                <w:highlight w:val="none"/>
              </w:rPr>
            </w:pPr>
            <w:r>
              <w:rPr>
                <w:rFonts w:hint="eastAsia" w:ascii="仿宋" w:hAnsi="仿宋" w:eastAsia="仿宋" w:cs="仿宋"/>
                <w:color w:val="auto"/>
                <w:sz w:val="24"/>
                <w:highlight w:val="none"/>
              </w:rPr>
              <w:t>测试线：二次线2套、一次线1套。</w:t>
            </w:r>
          </w:p>
          <w:p>
            <w:pPr>
              <w:numPr>
                <w:ilvl w:val="0"/>
                <w:numId w:val="20"/>
              </w:numPr>
              <w:jc w:val="left"/>
              <w:rPr>
                <w:rFonts w:ascii="仿宋" w:hAnsi="仿宋" w:eastAsia="仿宋" w:cs="仿宋"/>
                <w:color w:val="auto"/>
                <w:sz w:val="24"/>
                <w:highlight w:val="none"/>
              </w:rPr>
            </w:pPr>
            <w:r>
              <w:rPr>
                <w:rFonts w:hint="eastAsia" w:ascii="仿宋" w:hAnsi="仿宋" w:eastAsia="仿宋" w:cs="仿宋"/>
                <w:color w:val="auto"/>
                <w:sz w:val="24"/>
                <w:highlight w:val="none"/>
              </w:rPr>
              <w:t>升流器：2套互感器可共用1套升流器。</w:t>
            </w:r>
          </w:p>
          <w:p>
            <w:pPr>
              <w:jc w:val="left"/>
              <w:rPr>
                <w:rFonts w:ascii="仿宋" w:hAnsi="仿宋" w:eastAsia="仿宋" w:cs="仿宋"/>
                <w:color w:val="auto"/>
                <w:sz w:val="24"/>
                <w:highlight w:val="none"/>
              </w:rPr>
            </w:pPr>
            <w:r>
              <w:rPr>
                <w:rFonts w:hint="eastAsia" w:ascii="仿宋" w:hAnsi="仿宋" w:eastAsia="仿宋" w:cs="仿宋"/>
                <w:color w:val="auto"/>
                <w:sz w:val="24"/>
                <w:highlight w:val="none"/>
              </w:rPr>
              <w:t>转运箱：1套互感器配置1套转运箱；额外单独配一套备用的转运箱；2套互感器共需3套转运箱。</w:t>
            </w:r>
          </w:p>
        </w:tc>
      </w:tr>
    </w:tbl>
    <w:p>
      <w:pPr>
        <w:rPr>
          <w:rFonts w:ascii="仿宋" w:hAnsi="仿宋" w:eastAsia="仿宋" w:cs="仿宋"/>
          <w:color w:val="auto"/>
          <w:sz w:val="24"/>
          <w:highlight w:val="none"/>
        </w:rPr>
      </w:pPr>
    </w:p>
    <w:p>
      <w:pPr>
        <w:widowControl/>
        <w:rPr>
          <w:rFonts w:ascii="仿宋" w:hAnsi="仿宋" w:eastAsia="仿宋" w:cs="仿宋"/>
          <w:b/>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b/>
          <w:color w:val="auto"/>
          <w:sz w:val="24"/>
          <w:highlight w:val="none"/>
        </w:rPr>
        <w:t>通用技术要求</w:t>
      </w:r>
    </w:p>
    <w:p>
      <w:pPr>
        <w:rPr>
          <w:rFonts w:ascii="仿宋" w:hAnsi="仿宋" w:eastAsia="仿宋" w:cs="仿宋"/>
          <w:color w:val="auto"/>
          <w:sz w:val="24"/>
          <w:highlight w:val="none"/>
        </w:rPr>
      </w:pPr>
      <w:r>
        <w:rPr>
          <w:rFonts w:hint="eastAsia" w:ascii="仿宋" w:hAnsi="仿宋" w:eastAsia="仿宋" w:cs="仿宋"/>
          <w:color w:val="auto"/>
          <w:sz w:val="24"/>
          <w:highlight w:val="none"/>
        </w:rPr>
        <w:t>1、计量性能及技术招标必须符合JJG 313-2010《测量用电流互感器》。</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2、测量设备应有具备相应资质的国家级技术机构（国家计量院、武汉高电压计量站）检定合格后出具检定证书，费用由供方承担。</w:t>
      </w:r>
    </w:p>
    <w:p>
      <w:pPr>
        <w:rPr>
          <w:rFonts w:ascii="仿宋" w:hAnsi="仿宋" w:eastAsia="仿宋" w:cs="仿宋"/>
          <w:b/>
          <w:color w:val="auto"/>
          <w:sz w:val="24"/>
          <w:highlight w:val="none"/>
        </w:rPr>
      </w:pPr>
      <w:r>
        <w:rPr>
          <w:rFonts w:hint="eastAsia" w:ascii="仿宋" w:hAnsi="仿宋" w:eastAsia="仿宋" w:cs="仿宋"/>
          <w:b/>
          <w:color w:val="auto"/>
          <w:sz w:val="24"/>
          <w:highlight w:val="none"/>
        </w:rPr>
        <w:t>（三）、配套设备及附件</w:t>
      </w:r>
    </w:p>
    <w:p>
      <w:pPr>
        <w:rPr>
          <w:rFonts w:ascii="仿宋" w:hAnsi="仿宋" w:eastAsia="仿宋" w:cs="仿宋"/>
          <w:bCs/>
          <w:color w:val="auto"/>
          <w:sz w:val="24"/>
          <w:highlight w:val="none"/>
        </w:rPr>
      </w:pPr>
      <w:r>
        <w:rPr>
          <w:rFonts w:hint="eastAsia" w:ascii="仿宋" w:hAnsi="仿宋" w:eastAsia="仿宋" w:cs="仿宋"/>
          <w:bCs/>
          <w:color w:val="auto"/>
          <w:sz w:val="24"/>
          <w:highlight w:val="none"/>
        </w:rPr>
        <w:t>1、试验用工具套装（含 扳手、钳子等）2套。</w:t>
      </w:r>
    </w:p>
    <w:p>
      <w:pPr>
        <w:widowControl/>
        <w:rPr>
          <w:rFonts w:ascii="仿宋" w:hAnsi="仿宋" w:eastAsia="仿宋" w:cs="仿宋"/>
          <w:b/>
          <w:color w:val="auto"/>
          <w:sz w:val="24"/>
          <w:highlight w:val="none"/>
        </w:rPr>
      </w:pPr>
      <w:r>
        <w:rPr>
          <w:rFonts w:hint="eastAsia" w:ascii="仿宋" w:hAnsi="仿宋" w:eastAsia="仿宋" w:cs="仿宋"/>
          <w:b/>
          <w:color w:val="auto"/>
          <w:sz w:val="24"/>
          <w:highlight w:val="none"/>
        </w:rPr>
        <w:t>（四）、技术资料</w:t>
      </w:r>
    </w:p>
    <w:p>
      <w:pPr>
        <w:rPr>
          <w:rFonts w:ascii="仿宋" w:hAnsi="仿宋" w:eastAsia="仿宋" w:cs="仿宋"/>
          <w:color w:val="auto"/>
          <w:sz w:val="24"/>
          <w:highlight w:val="none"/>
        </w:rPr>
      </w:pPr>
      <w:r>
        <w:rPr>
          <w:rFonts w:hint="eastAsia" w:ascii="仿宋" w:hAnsi="仿宋" w:eastAsia="仿宋" w:cs="仿宋"/>
          <w:color w:val="auto"/>
          <w:sz w:val="24"/>
          <w:highlight w:val="none"/>
        </w:rPr>
        <w:t>1、中文操作手册一套；</w:t>
      </w:r>
    </w:p>
    <w:p>
      <w:pPr>
        <w:rPr>
          <w:rFonts w:ascii="仿宋" w:hAnsi="仿宋" w:eastAsia="仿宋" w:cs="仿宋"/>
          <w:color w:val="auto"/>
          <w:sz w:val="24"/>
          <w:highlight w:val="none"/>
        </w:rPr>
      </w:pPr>
      <w:r>
        <w:rPr>
          <w:rFonts w:hint="eastAsia" w:ascii="仿宋" w:hAnsi="仿宋" w:eastAsia="仿宋" w:cs="仿宋"/>
          <w:color w:val="auto"/>
          <w:sz w:val="24"/>
          <w:highlight w:val="none"/>
        </w:rPr>
        <w:t>2、维修手册一份</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3、装箱单一份。</w:t>
      </w:r>
    </w:p>
    <w:p>
      <w:pPr>
        <w:widowControl/>
        <w:rPr>
          <w:rFonts w:ascii="仿宋" w:hAnsi="仿宋" w:eastAsia="仿宋" w:cs="仿宋"/>
          <w:b/>
          <w:color w:val="auto"/>
          <w:sz w:val="24"/>
          <w:highlight w:val="none"/>
        </w:rPr>
      </w:pPr>
      <w:r>
        <w:rPr>
          <w:rFonts w:hint="eastAsia" w:ascii="仿宋" w:hAnsi="仿宋" w:eastAsia="仿宋" w:cs="仿宋"/>
          <w:b/>
          <w:color w:val="auto"/>
          <w:sz w:val="24"/>
          <w:highlight w:val="none"/>
        </w:rPr>
        <w:t>（五）、质量保证及售后服务</w:t>
      </w:r>
    </w:p>
    <w:p>
      <w:pPr>
        <w:rPr>
          <w:rFonts w:ascii="仿宋" w:hAnsi="仿宋" w:eastAsia="仿宋" w:cs="仿宋"/>
          <w:color w:val="auto"/>
          <w:sz w:val="24"/>
          <w:highlight w:val="none"/>
        </w:rPr>
      </w:pPr>
      <w:r>
        <w:rPr>
          <w:rFonts w:hint="eastAsia" w:ascii="仿宋" w:hAnsi="仿宋" w:eastAsia="仿宋" w:cs="仿宋"/>
          <w:color w:val="auto"/>
          <w:sz w:val="24"/>
          <w:highlight w:val="none"/>
        </w:rPr>
        <w:t>1、乙方应该按合同规定的设备性能、质量标准向甲方提供未经使用的全新设备。</w:t>
      </w:r>
    </w:p>
    <w:p>
      <w:pPr>
        <w:rPr>
          <w:rFonts w:ascii="仿宋" w:hAnsi="仿宋" w:eastAsia="仿宋" w:cs="仿宋"/>
          <w:color w:val="auto"/>
          <w:sz w:val="24"/>
          <w:highlight w:val="none"/>
        </w:rPr>
      </w:pPr>
      <w:r>
        <w:rPr>
          <w:rFonts w:hint="eastAsia" w:ascii="仿宋" w:hAnsi="仿宋" w:eastAsia="仿宋" w:cs="仿宋"/>
          <w:color w:val="auto"/>
          <w:sz w:val="24"/>
          <w:highlight w:val="none"/>
        </w:rPr>
        <w:t>2、乙方提供设备的质量保证期为验收合格之后</w:t>
      </w:r>
      <w:r>
        <w:rPr>
          <w:rFonts w:hint="eastAsia" w:ascii="仿宋" w:hAnsi="仿宋" w:eastAsia="仿宋" w:cs="仿宋"/>
          <w:color w:val="auto"/>
          <w:sz w:val="24"/>
          <w:highlight w:val="none"/>
          <w:u w:val="single"/>
        </w:rPr>
        <w:t xml:space="preserve"> 2年</w:t>
      </w:r>
      <w:r>
        <w:rPr>
          <w:rFonts w:hint="eastAsia" w:ascii="仿宋" w:hAnsi="仿宋" w:eastAsia="仿宋" w:cs="仿宋"/>
          <w:color w:val="auto"/>
          <w:sz w:val="24"/>
          <w:highlight w:val="none"/>
        </w:rPr>
        <w:t>。在保证期内因设备本身的质量问题发生故障，乙方应负责免费修理和更换零部件。对达不到计量性能要求的，经双方协商，可按以下办法处理：</w:t>
      </w:r>
    </w:p>
    <w:p>
      <w:pPr>
        <w:rPr>
          <w:rFonts w:ascii="仿宋" w:hAnsi="仿宋" w:eastAsia="仿宋" w:cs="仿宋"/>
          <w:color w:val="auto"/>
          <w:sz w:val="24"/>
          <w:highlight w:val="none"/>
        </w:rPr>
      </w:pPr>
      <w:r>
        <w:rPr>
          <w:rFonts w:hint="eastAsia" w:ascii="仿宋" w:hAnsi="仿宋" w:eastAsia="仿宋" w:cs="仿宋"/>
          <w:color w:val="auto"/>
          <w:sz w:val="24"/>
          <w:highlight w:val="none"/>
        </w:rPr>
        <w:t>（1）退货处理：乙方应退回甲方支付的设备款，同时承担该设备的直接费用（运输、保险、检定等）。</w:t>
      </w:r>
    </w:p>
    <w:p>
      <w:pPr>
        <w:rPr>
          <w:rFonts w:ascii="仿宋" w:hAnsi="仿宋" w:eastAsia="仿宋" w:cs="仿宋"/>
          <w:color w:val="auto"/>
          <w:sz w:val="24"/>
          <w:highlight w:val="none"/>
        </w:rPr>
      </w:pPr>
      <w:r>
        <w:rPr>
          <w:rFonts w:hint="eastAsia" w:ascii="仿宋" w:hAnsi="仿宋" w:eastAsia="仿宋" w:cs="仿宋"/>
          <w:color w:val="auto"/>
          <w:sz w:val="24"/>
          <w:highlight w:val="none"/>
        </w:rPr>
        <w:t>（2）更换设备：乙方承担所发生的相关费用。</w:t>
      </w:r>
    </w:p>
    <w:p>
      <w:pPr>
        <w:rPr>
          <w:rFonts w:ascii="仿宋" w:hAnsi="仿宋" w:eastAsia="仿宋" w:cs="仿宋"/>
          <w:color w:val="auto"/>
          <w:sz w:val="24"/>
          <w:highlight w:val="none"/>
        </w:rPr>
      </w:pPr>
      <w:r>
        <w:rPr>
          <w:rFonts w:hint="eastAsia" w:ascii="仿宋" w:hAnsi="仿宋" w:eastAsia="仿宋" w:cs="仿宋"/>
          <w:color w:val="auto"/>
          <w:sz w:val="24"/>
          <w:highlight w:val="none"/>
        </w:rPr>
        <w:t>3、乙方负责将设备运送到甲方指定的实验室内，费用乙方承担；乙方在交货前应将合同号、设备名称、数量、件数、运输方式等通知甲方。</w:t>
      </w:r>
    </w:p>
    <w:p>
      <w:pPr>
        <w:rPr>
          <w:rFonts w:ascii="仿宋" w:hAnsi="仿宋" w:eastAsia="仿宋" w:cs="仿宋"/>
          <w:color w:val="auto"/>
          <w:sz w:val="24"/>
          <w:highlight w:val="none"/>
        </w:rPr>
      </w:pPr>
      <w:r>
        <w:rPr>
          <w:rFonts w:hint="eastAsia" w:ascii="仿宋" w:hAnsi="仿宋" w:eastAsia="仿宋" w:cs="仿宋"/>
          <w:color w:val="auto"/>
          <w:sz w:val="24"/>
          <w:highlight w:val="none"/>
        </w:rPr>
        <w:t>4、设备在运输中造成的锈蚀、破损、丢失等均有乙方承担责任。</w:t>
      </w:r>
    </w:p>
    <w:p>
      <w:pPr>
        <w:rPr>
          <w:rFonts w:ascii="仿宋" w:hAnsi="仿宋" w:eastAsia="仿宋" w:cs="仿宋"/>
          <w:b/>
          <w:color w:val="auto"/>
          <w:sz w:val="24"/>
          <w:highlight w:val="none"/>
        </w:rPr>
      </w:pPr>
      <w:r>
        <w:rPr>
          <w:rFonts w:hint="eastAsia" w:ascii="仿宋" w:hAnsi="仿宋" w:eastAsia="仿宋" w:cs="仿宋"/>
          <w:color w:val="auto"/>
          <w:sz w:val="24"/>
          <w:highlight w:val="none"/>
        </w:rPr>
        <w:t>5、在设备调试阶段，根据甲方要求，乙方应及时派出技术人员现场安装调试设备，并对甲方人员免费进行培训。</w:t>
      </w:r>
    </w:p>
    <w:p>
      <w:pPr>
        <w:rPr>
          <w:rFonts w:ascii="仿宋" w:hAnsi="仿宋" w:eastAsia="仿宋" w:cs="仿宋"/>
          <w:color w:val="auto"/>
          <w:sz w:val="24"/>
          <w:highlight w:val="none"/>
        </w:rPr>
      </w:pPr>
      <w:r>
        <w:rPr>
          <w:rFonts w:hint="eastAsia" w:ascii="仿宋" w:hAnsi="仿宋" w:eastAsia="仿宋" w:cs="仿宋"/>
          <w:color w:val="auto"/>
          <w:sz w:val="24"/>
          <w:highlight w:val="none"/>
        </w:rPr>
        <w:t>6、在保证期内，如设备出现质量问题，乙方在接到甲方通知后应在</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b/>
          <w:color w:val="auto"/>
          <w:sz w:val="24"/>
          <w:highlight w:val="none"/>
          <w:u w:val="single"/>
        </w:rPr>
        <w:t xml:space="preserve"> 48</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小时内达到甲方现场。</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7、质保期：验收合格后2年。</w:t>
      </w:r>
    </w:p>
    <w:p>
      <w:pPr>
        <w:widowControl/>
        <w:rPr>
          <w:rFonts w:ascii="仿宋" w:hAnsi="仿宋" w:eastAsia="仿宋" w:cs="仿宋"/>
          <w:color w:val="auto"/>
          <w:sz w:val="24"/>
          <w:highlight w:val="none"/>
        </w:rPr>
      </w:pPr>
      <w:r>
        <w:rPr>
          <w:rFonts w:hint="eastAsia" w:ascii="仿宋" w:hAnsi="仿宋" w:eastAsia="仿宋" w:cs="仿宋"/>
          <w:b/>
          <w:color w:val="auto"/>
          <w:sz w:val="24"/>
          <w:highlight w:val="none"/>
        </w:rPr>
        <w:t>（六）、验收</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1、供方负责在需方现场进行仪器的安装、调试和验收等工作，需方只负责提供相应的人力支持和搬运工具。</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2、对于缺漏的仪器附件等内容，供方必须免费提供。</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3、仪器现场安装、调试后，甲方依照技术要求按程序对设备进行验收。</w:t>
      </w:r>
    </w:p>
    <w:p>
      <w:pPr>
        <w:rPr>
          <w:rFonts w:ascii="仿宋" w:hAnsi="仿宋" w:eastAsia="仿宋" w:cs="仿宋"/>
          <w:b/>
          <w:color w:val="auto"/>
          <w:sz w:val="24"/>
          <w:highlight w:val="none"/>
        </w:rPr>
      </w:pPr>
      <w:r>
        <w:rPr>
          <w:rFonts w:hint="eastAsia" w:ascii="仿宋" w:hAnsi="仿宋" w:eastAsia="仿宋" w:cs="仿宋"/>
          <w:b/>
          <w:color w:val="auto"/>
          <w:sz w:val="24"/>
          <w:highlight w:val="none"/>
        </w:rPr>
        <w:t>（七）、交货时间</w:t>
      </w:r>
    </w:p>
    <w:p>
      <w:pPr>
        <w:rPr>
          <w:rFonts w:ascii="仿宋" w:hAnsi="仿宋" w:eastAsia="仿宋" w:cs="仿宋"/>
          <w:color w:val="auto"/>
          <w:sz w:val="24"/>
          <w:highlight w:val="none"/>
        </w:rPr>
      </w:pPr>
      <w:r>
        <w:rPr>
          <w:rFonts w:hint="eastAsia" w:ascii="仿宋" w:hAnsi="仿宋" w:eastAsia="仿宋" w:cs="仿宋"/>
          <w:color w:val="auto"/>
          <w:sz w:val="24"/>
          <w:highlight w:val="none"/>
        </w:rPr>
        <w:t>1、交货时间：</w:t>
      </w:r>
      <w:r>
        <w:rPr>
          <w:rFonts w:hint="eastAsia" w:ascii="仿宋" w:hAnsi="仿宋" w:eastAsia="仿宋" w:cs="仿宋"/>
          <w:b/>
          <w:color w:val="auto"/>
          <w:sz w:val="24"/>
          <w:highlight w:val="none"/>
          <w:u w:val="single"/>
        </w:rPr>
        <w:t xml:space="preserve">120 </w:t>
      </w:r>
      <w:r>
        <w:rPr>
          <w:rFonts w:hint="eastAsia" w:ascii="仿宋" w:hAnsi="仿宋" w:eastAsia="仿宋" w:cs="仿宋"/>
          <w:color w:val="auto"/>
          <w:sz w:val="24"/>
          <w:highlight w:val="none"/>
        </w:rPr>
        <w:t>日历日内</w:t>
      </w:r>
    </w:p>
    <w:p>
      <w:pPr>
        <w:pStyle w:val="2"/>
        <w:ind w:left="0" w:leftChars="0"/>
        <w:rPr>
          <w:color w:val="auto"/>
          <w:highlight w:val="none"/>
        </w:rPr>
      </w:pPr>
    </w:p>
    <w:p>
      <w:pPr>
        <w:rPr>
          <w:rFonts w:ascii="仿宋" w:hAnsi="仿宋" w:eastAsia="仿宋" w:cs="仿宋"/>
          <w:b/>
          <w:color w:val="auto"/>
          <w:sz w:val="28"/>
          <w:szCs w:val="28"/>
          <w:highlight w:val="none"/>
        </w:rPr>
      </w:pPr>
      <w:r>
        <w:rPr>
          <w:rFonts w:hint="eastAsia" w:ascii="仿宋" w:hAnsi="仿宋" w:eastAsia="仿宋" w:cs="仿宋"/>
          <w:b/>
          <w:bCs/>
          <w:color w:val="auto"/>
          <w:sz w:val="28"/>
          <w:szCs w:val="28"/>
          <w:highlight w:val="none"/>
        </w:rPr>
        <w:t>三：</w:t>
      </w:r>
      <w:r>
        <w:rPr>
          <w:rFonts w:hint="eastAsia" w:ascii="仿宋" w:hAnsi="仿宋" w:eastAsia="仿宋" w:cs="仿宋"/>
          <w:b/>
          <w:color w:val="auto"/>
          <w:sz w:val="28"/>
          <w:szCs w:val="28"/>
          <w:highlight w:val="none"/>
        </w:rPr>
        <w:t>测量设备名称：血液透析机检测仪   1台</w:t>
      </w:r>
    </w:p>
    <w:p>
      <w:pPr>
        <w:numPr>
          <w:ilvl w:val="0"/>
          <w:numId w:val="21"/>
        </w:numPr>
        <w:rPr>
          <w:rFonts w:ascii="仿宋" w:hAnsi="仿宋" w:eastAsia="仿宋" w:cs="仿宋"/>
          <w:b/>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技术参数</w:t>
      </w:r>
    </w:p>
    <w:p>
      <w:pPr>
        <w:rPr>
          <w:rFonts w:ascii="仿宋" w:hAnsi="仿宋" w:eastAsia="仿宋" w:cs="仿宋"/>
          <w:color w:val="auto"/>
          <w:sz w:val="24"/>
          <w:highlight w:val="none"/>
        </w:rPr>
      </w:pPr>
      <w:r>
        <w:rPr>
          <w:rFonts w:hint="eastAsia" w:ascii="仿宋" w:hAnsi="仿宋" w:eastAsia="仿宋" w:cs="仿宋"/>
          <w:color w:val="auto"/>
          <w:sz w:val="24"/>
          <w:highlight w:val="none"/>
        </w:rPr>
        <w:t>（1）电导率：测量范围：（5～20）mS/cm 最大允许误差：±0.1mS/cm</w:t>
      </w:r>
    </w:p>
    <w:p>
      <w:pPr>
        <w:rPr>
          <w:rFonts w:ascii="仿宋" w:hAnsi="仿宋" w:eastAsia="仿宋" w:cs="仿宋"/>
          <w:color w:val="auto"/>
          <w:sz w:val="24"/>
          <w:highlight w:val="none"/>
        </w:rPr>
      </w:pPr>
      <w:r>
        <w:rPr>
          <w:rFonts w:hint="eastAsia" w:ascii="仿宋" w:hAnsi="仿宋" w:eastAsia="仿宋" w:cs="仿宋"/>
          <w:color w:val="auto"/>
          <w:sz w:val="24"/>
          <w:highlight w:val="none"/>
        </w:rPr>
        <w:t>（2）温度：测量范围：（20～100）°C 最大允许误差：±0.1°C</w:t>
      </w:r>
    </w:p>
    <w:p>
      <w:pPr>
        <w:rPr>
          <w:rFonts w:ascii="仿宋" w:hAnsi="仿宋" w:eastAsia="仿宋" w:cs="仿宋"/>
          <w:color w:val="auto"/>
          <w:sz w:val="24"/>
          <w:highlight w:val="none"/>
        </w:rPr>
      </w:pPr>
      <w:r>
        <w:rPr>
          <w:rFonts w:hint="eastAsia" w:ascii="仿宋" w:hAnsi="仿宋" w:eastAsia="仿宋" w:cs="仿宋"/>
          <w:color w:val="auto"/>
          <w:sz w:val="24"/>
          <w:highlight w:val="none"/>
        </w:rPr>
        <w:t>（3）静（动）脉压：测量范围：（-40～60） kPa  最大允许误差：±0.27 kPa（4）透析液压力： 测量范围：（-110～250） kPa 最大允许误差：±0.67 kPa（5）透析液pH：测量范围：（0～14） pH   最大允许误差：±0.02pH</w:t>
      </w:r>
    </w:p>
    <w:p>
      <w:pPr>
        <w:rPr>
          <w:rFonts w:ascii="仿宋" w:hAnsi="仿宋" w:eastAsia="仿宋" w:cs="仿宋"/>
          <w:color w:val="auto"/>
          <w:sz w:val="24"/>
          <w:highlight w:val="none"/>
        </w:rPr>
      </w:pPr>
      <w:r>
        <w:rPr>
          <w:rFonts w:hint="eastAsia" w:ascii="仿宋" w:hAnsi="仿宋" w:eastAsia="仿宋" w:cs="仿宋"/>
          <w:color w:val="auto"/>
          <w:sz w:val="24"/>
          <w:highlight w:val="none"/>
        </w:rPr>
        <w:t>（6）透析液流量：测量范围：（0～2000）mL/min  最大允许误差：±1.5%</w:t>
      </w:r>
    </w:p>
    <w:p>
      <w:pPr>
        <w:widowControl/>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b/>
          <w:color w:val="auto"/>
          <w:sz w:val="24"/>
          <w:highlight w:val="none"/>
        </w:rPr>
        <w:t>通用技术要求</w:t>
      </w:r>
    </w:p>
    <w:p>
      <w:pPr>
        <w:rPr>
          <w:rFonts w:ascii="仿宋" w:hAnsi="仿宋" w:eastAsia="仿宋" w:cs="仿宋"/>
          <w:color w:val="auto"/>
          <w:sz w:val="24"/>
          <w:highlight w:val="none"/>
        </w:rPr>
      </w:pPr>
      <w:r>
        <w:rPr>
          <w:rFonts w:hint="eastAsia" w:ascii="仿宋" w:hAnsi="仿宋" w:eastAsia="仿宋" w:cs="仿宋"/>
          <w:color w:val="auto"/>
          <w:sz w:val="24"/>
          <w:highlight w:val="none"/>
        </w:rPr>
        <w:t>1、计量性能及技术招标必须符合JJF1353-2012《血液透析装置校准规》，。</w:t>
      </w:r>
    </w:p>
    <w:p>
      <w:pPr>
        <w:rPr>
          <w:rFonts w:ascii="仿宋" w:hAnsi="仿宋" w:eastAsia="仿宋" w:cs="仿宋"/>
          <w:b/>
          <w:color w:val="auto"/>
          <w:sz w:val="24"/>
          <w:highlight w:val="none"/>
        </w:rPr>
      </w:pPr>
      <w:r>
        <w:rPr>
          <w:rFonts w:hint="eastAsia" w:ascii="仿宋" w:hAnsi="仿宋" w:eastAsia="仿宋" w:cs="仿宋"/>
          <w:color w:val="auto"/>
          <w:sz w:val="24"/>
          <w:highlight w:val="none"/>
        </w:rPr>
        <w:t>2、测量设备所使用的软件，甲方享受免费升级，如发现软件开发商在软件中设置影响软件使用的限制，乙方承担一切责任和损失。同时甲方有权追究法律责任。</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3、该测量设备由中国国家计量院或中国计量测试研究院检定，出具计量检测证书，费用由供方承担。</w:t>
      </w:r>
    </w:p>
    <w:p>
      <w:pPr>
        <w:rPr>
          <w:rFonts w:ascii="仿宋" w:hAnsi="仿宋" w:eastAsia="仿宋" w:cs="仿宋"/>
          <w:b/>
          <w:color w:val="auto"/>
          <w:sz w:val="24"/>
          <w:highlight w:val="none"/>
        </w:rPr>
      </w:pPr>
      <w:r>
        <w:rPr>
          <w:rFonts w:hint="eastAsia" w:ascii="仿宋" w:hAnsi="仿宋" w:eastAsia="仿宋" w:cs="仿宋"/>
          <w:b/>
          <w:color w:val="auto"/>
          <w:sz w:val="24"/>
          <w:highlight w:val="none"/>
        </w:rPr>
        <w:t>（三）、配套设备及附件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584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名称及型号</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血液透析机检测仪主机</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压力转接管路</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电导率电极</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pH电极</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主机充电器</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bl>
    <w:p>
      <w:pPr>
        <w:widowControl/>
        <w:rPr>
          <w:rFonts w:ascii="仿宋" w:hAnsi="仿宋" w:eastAsia="仿宋" w:cs="仿宋"/>
          <w:b/>
          <w:color w:val="auto"/>
          <w:sz w:val="24"/>
          <w:highlight w:val="none"/>
        </w:rPr>
      </w:pPr>
    </w:p>
    <w:p>
      <w:pPr>
        <w:widowControl/>
        <w:rPr>
          <w:rFonts w:ascii="仿宋" w:hAnsi="仿宋" w:eastAsia="仿宋" w:cs="仿宋"/>
          <w:b/>
          <w:color w:val="auto"/>
          <w:sz w:val="24"/>
          <w:highlight w:val="none"/>
        </w:rPr>
      </w:pPr>
      <w:r>
        <w:rPr>
          <w:rFonts w:hint="eastAsia" w:ascii="仿宋" w:hAnsi="仿宋" w:eastAsia="仿宋" w:cs="仿宋"/>
          <w:b/>
          <w:color w:val="auto"/>
          <w:sz w:val="24"/>
          <w:highlight w:val="none"/>
        </w:rPr>
        <w:t>（四）、技术资料</w:t>
      </w:r>
    </w:p>
    <w:p>
      <w:pPr>
        <w:ind w:left="900"/>
        <w:rPr>
          <w:rFonts w:ascii="仿宋" w:hAnsi="仿宋" w:eastAsia="仿宋" w:cs="仿宋"/>
          <w:color w:val="auto"/>
          <w:sz w:val="24"/>
          <w:highlight w:val="none"/>
        </w:rPr>
      </w:pPr>
      <w:r>
        <w:rPr>
          <w:rFonts w:hint="eastAsia" w:ascii="仿宋" w:hAnsi="仿宋" w:eastAsia="仿宋" w:cs="仿宋"/>
          <w:color w:val="auto"/>
          <w:sz w:val="24"/>
          <w:highlight w:val="none"/>
        </w:rPr>
        <w:t>1、中文操作手册一套；</w:t>
      </w:r>
    </w:p>
    <w:p>
      <w:pPr>
        <w:ind w:left="900"/>
        <w:rPr>
          <w:rFonts w:ascii="仿宋" w:hAnsi="仿宋" w:eastAsia="仿宋" w:cs="仿宋"/>
          <w:color w:val="auto"/>
          <w:sz w:val="24"/>
          <w:highlight w:val="none"/>
        </w:rPr>
      </w:pPr>
      <w:r>
        <w:rPr>
          <w:rFonts w:hint="eastAsia" w:ascii="仿宋" w:hAnsi="仿宋" w:eastAsia="仿宋" w:cs="仿宋"/>
          <w:color w:val="auto"/>
          <w:sz w:val="24"/>
          <w:highlight w:val="none"/>
        </w:rPr>
        <w:t>2、维修手册一份</w:t>
      </w:r>
    </w:p>
    <w:p>
      <w:pPr>
        <w:widowControl/>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3、装箱单一份。</w:t>
      </w:r>
    </w:p>
    <w:p>
      <w:pPr>
        <w:widowControl/>
        <w:rPr>
          <w:rFonts w:ascii="仿宋" w:hAnsi="仿宋" w:eastAsia="仿宋" w:cs="仿宋"/>
          <w:b/>
          <w:color w:val="auto"/>
          <w:sz w:val="24"/>
          <w:highlight w:val="none"/>
        </w:rPr>
      </w:pPr>
      <w:r>
        <w:rPr>
          <w:rFonts w:hint="eastAsia" w:ascii="仿宋" w:hAnsi="仿宋" w:eastAsia="仿宋" w:cs="仿宋"/>
          <w:b/>
          <w:color w:val="auto"/>
          <w:sz w:val="24"/>
          <w:highlight w:val="none"/>
        </w:rPr>
        <w:t>（五）、质量保证及售后服务</w:t>
      </w:r>
    </w:p>
    <w:p>
      <w:pPr>
        <w:rPr>
          <w:rFonts w:ascii="仿宋" w:hAnsi="仿宋" w:eastAsia="仿宋" w:cs="仿宋"/>
          <w:color w:val="auto"/>
          <w:sz w:val="24"/>
          <w:highlight w:val="none"/>
        </w:rPr>
      </w:pPr>
      <w:r>
        <w:rPr>
          <w:rFonts w:hint="eastAsia" w:ascii="仿宋" w:hAnsi="仿宋" w:eastAsia="仿宋" w:cs="仿宋"/>
          <w:color w:val="auto"/>
          <w:sz w:val="24"/>
          <w:highlight w:val="none"/>
        </w:rPr>
        <w:t>1、乙方应该按合同规定的设备性能、质量标准向甲方提供未经使用的全新设备。</w:t>
      </w:r>
    </w:p>
    <w:p>
      <w:pPr>
        <w:rPr>
          <w:rFonts w:ascii="仿宋" w:hAnsi="仿宋" w:eastAsia="仿宋" w:cs="仿宋"/>
          <w:color w:val="auto"/>
          <w:sz w:val="24"/>
          <w:highlight w:val="none"/>
        </w:rPr>
      </w:pPr>
      <w:r>
        <w:rPr>
          <w:rFonts w:hint="eastAsia" w:ascii="仿宋" w:hAnsi="仿宋" w:eastAsia="仿宋" w:cs="仿宋"/>
          <w:color w:val="auto"/>
          <w:sz w:val="24"/>
          <w:highlight w:val="none"/>
        </w:rPr>
        <w:t>2、乙方提供设备的质量保证期为验收合格之后</w:t>
      </w:r>
      <w:r>
        <w:rPr>
          <w:rFonts w:hint="eastAsia" w:ascii="仿宋" w:hAnsi="仿宋" w:eastAsia="仿宋" w:cs="仿宋"/>
          <w:color w:val="auto"/>
          <w:sz w:val="24"/>
          <w:highlight w:val="none"/>
          <w:u w:val="single"/>
        </w:rPr>
        <w:t xml:space="preserve"> 2年</w:t>
      </w:r>
      <w:r>
        <w:rPr>
          <w:rFonts w:hint="eastAsia" w:ascii="仿宋" w:hAnsi="仿宋" w:eastAsia="仿宋" w:cs="仿宋"/>
          <w:color w:val="auto"/>
          <w:sz w:val="24"/>
          <w:highlight w:val="none"/>
        </w:rPr>
        <w:t>。在保证期内因设备本身的质量问题发生故障，乙方应负责免费修理和更换零部件。对达不到计量性能要求的，经双方协商，可按以下办法处理：</w:t>
      </w:r>
    </w:p>
    <w:p>
      <w:pPr>
        <w:rPr>
          <w:rFonts w:ascii="仿宋" w:hAnsi="仿宋" w:eastAsia="仿宋" w:cs="仿宋"/>
          <w:color w:val="auto"/>
          <w:sz w:val="24"/>
          <w:highlight w:val="none"/>
        </w:rPr>
      </w:pPr>
      <w:r>
        <w:rPr>
          <w:rFonts w:hint="eastAsia" w:ascii="仿宋" w:hAnsi="仿宋" w:eastAsia="仿宋" w:cs="仿宋"/>
          <w:color w:val="auto"/>
          <w:sz w:val="24"/>
          <w:highlight w:val="none"/>
        </w:rPr>
        <w:t>（1）退货处理：乙方应退回甲方支付的设备款，同时承担该设备的直接费用（运输、保险、检定等）。</w:t>
      </w:r>
    </w:p>
    <w:p>
      <w:pPr>
        <w:rPr>
          <w:rFonts w:ascii="仿宋" w:hAnsi="仿宋" w:eastAsia="仿宋" w:cs="仿宋"/>
          <w:color w:val="auto"/>
          <w:sz w:val="24"/>
          <w:highlight w:val="none"/>
        </w:rPr>
      </w:pPr>
      <w:r>
        <w:rPr>
          <w:rFonts w:hint="eastAsia" w:ascii="仿宋" w:hAnsi="仿宋" w:eastAsia="仿宋" w:cs="仿宋"/>
          <w:color w:val="auto"/>
          <w:sz w:val="24"/>
          <w:highlight w:val="none"/>
        </w:rPr>
        <w:t>（2）更换设备：乙方承担所发生的相关费用。</w:t>
      </w:r>
    </w:p>
    <w:p>
      <w:pPr>
        <w:rPr>
          <w:rFonts w:ascii="仿宋" w:hAnsi="仿宋" w:eastAsia="仿宋" w:cs="仿宋"/>
          <w:color w:val="auto"/>
          <w:sz w:val="24"/>
          <w:highlight w:val="none"/>
        </w:rPr>
      </w:pPr>
      <w:r>
        <w:rPr>
          <w:rFonts w:hint="eastAsia" w:ascii="仿宋" w:hAnsi="仿宋" w:eastAsia="仿宋" w:cs="仿宋"/>
          <w:color w:val="auto"/>
          <w:sz w:val="24"/>
          <w:highlight w:val="none"/>
        </w:rPr>
        <w:t>3、乙方在交货前应该将合同号、设备名称、数量、件数、运输方式等通知甲方。</w:t>
      </w:r>
    </w:p>
    <w:p>
      <w:pPr>
        <w:rPr>
          <w:rFonts w:ascii="仿宋" w:hAnsi="仿宋" w:eastAsia="仿宋" w:cs="仿宋"/>
          <w:color w:val="auto"/>
          <w:sz w:val="24"/>
          <w:highlight w:val="none"/>
        </w:rPr>
      </w:pPr>
      <w:r>
        <w:rPr>
          <w:rFonts w:hint="eastAsia" w:ascii="仿宋" w:hAnsi="仿宋" w:eastAsia="仿宋" w:cs="仿宋"/>
          <w:color w:val="auto"/>
          <w:sz w:val="24"/>
          <w:highlight w:val="none"/>
        </w:rPr>
        <w:t>4、设备在运输中造成的锈蚀、破损、丢失等均有乙方承担责任。</w:t>
      </w:r>
    </w:p>
    <w:p>
      <w:pPr>
        <w:rPr>
          <w:rFonts w:ascii="仿宋" w:hAnsi="仿宋" w:eastAsia="仿宋" w:cs="仿宋"/>
          <w:b/>
          <w:color w:val="auto"/>
          <w:sz w:val="24"/>
          <w:highlight w:val="none"/>
        </w:rPr>
      </w:pPr>
      <w:r>
        <w:rPr>
          <w:rFonts w:hint="eastAsia" w:ascii="仿宋" w:hAnsi="仿宋" w:eastAsia="仿宋" w:cs="仿宋"/>
          <w:color w:val="auto"/>
          <w:sz w:val="24"/>
          <w:highlight w:val="none"/>
        </w:rPr>
        <w:t>5、在设备调试阶段，根据甲方要求，乙方应及时派出技术人员现场安装调试设备，并对甲方人员免费进行培训。</w:t>
      </w:r>
    </w:p>
    <w:p>
      <w:pPr>
        <w:rPr>
          <w:rFonts w:ascii="仿宋" w:hAnsi="仿宋" w:eastAsia="仿宋" w:cs="仿宋"/>
          <w:color w:val="auto"/>
          <w:sz w:val="24"/>
          <w:highlight w:val="none"/>
        </w:rPr>
      </w:pPr>
      <w:r>
        <w:rPr>
          <w:rFonts w:hint="eastAsia" w:ascii="仿宋" w:hAnsi="仿宋" w:eastAsia="仿宋" w:cs="仿宋"/>
          <w:color w:val="auto"/>
          <w:sz w:val="24"/>
          <w:highlight w:val="none"/>
        </w:rPr>
        <w:t>6、在保证期内，如设备出现质量问题，乙方在接到甲方通知后应在</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b/>
          <w:color w:val="auto"/>
          <w:sz w:val="24"/>
          <w:highlight w:val="none"/>
          <w:u w:val="single"/>
        </w:rPr>
        <w:t xml:space="preserve"> 24</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小时提供解决方案。</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7、质保期：验收合格后2年。</w:t>
      </w:r>
    </w:p>
    <w:p>
      <w:pPr>
        <w:widowControl/>
        <w:rPr>
          <w:rFonts w:ascii="仿宋" w:hAnsi="仿宋" w:eastAsia="仿宋" w:cs="仿宋"/>
          <w:color w:val="auto"/>
          <w:sz w:val="24"/>
          <w:highlight w:val="none"/>
        </w:rPr>
      </w:pPr>
      <w:r>
        <w:rPr>
          <w:rFonts w:hint="eastAsia" w:ascii="仿宋" w:hAnsi="仿宋" w:eastAsia="仿宋" w:cs="仿宋"/>
          <w:b/>
          <w:color w:val="auto"/>
          <w:sz w:val="24"/>
          <w:highlight w:val="none"/>
        </w:rPr>
        <w:t>（六）、验收</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1、供方负责在需方现场进行仪器的安装、调试和验收等工作，需方只负责提供相应的人力支持和搬运工具。</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2、对于缺漏的仪器附件等内容，供方必须免费提供。</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3、仪器现场安装、调试后，供方通知需方共同组织对仪器进行性能验收，验收依据为双方认可的第三方计量部门(西北中心)出具的检定或校准证书报告或根据双方协商的验收测试方法进行测试验收。</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5、仪器安装调试完成后，经验收确认合格后，由供方和需方共同在验收报告上签字，仪器的安装调试工作方可完成。    </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方法：根据技术要求和相关规程规范的要求进行验收。</w:t>
      </w:r>
    </w:p>
    <w:p>
      <w:pPr>
        <w:rPr>
          <w:rFonts w:ascii="仿宋" w:hAnsi="仿宋" w:eastAsia="仿宋" w:cs="仿宋"/>
          <w:b/>
          <w:color w:val="auto"/>
          <w:sz w:val="24"/>
          <w:highlight w:val="none"/>
        </w:rPr>
      </w:pPr>
      <w:r>
        <w:rPr>
          <w:rFonts w:hint="eastAsia" w:ascii="仿宋" w:hAnsi="仿宋" w:eastAsia="仿宋" w:cs="仿宋"/>
          <w:b/>
          <w:color w:val="auto"/>
          <w:sz w:val="24"/>
          <w:highlight w:val="none"/>
        </w:rPr>
        <w:t>（七）、交货时间</w:t>
      </w:r>
    </w:p>
    <w:p>
      <w:pPr>
        <w:rPr>
          <w:rFonts w:ascii="仿宋" w:hAnsi="仿宋" w:eastAsia="仿宋" w:cs="仿宋"/>
          <w:color w:val="auto"/>
          <w:sz w:val="24"/>
          <w:highlight w:val="none"/>
        </w:rPr>
      </w:pPr>
      <w:r>
        <w:rPr>
          <w:rFonts w:hint="eastAsia" w:ascii="仿宋" w:hAnsi="仿宋" w:eastAsia="仿宋" w:cs="仿宋"/>
          <w:color w:val="auto"/>
          <w:sz w:val="24"/>
          <w:highlight w:val="none"/>
        </w:rPr>
        <w:t>1、交货时间：</w:t>
      </w:r>
      <w:r>
        <w:rPr>
          <w:rFonts w:hint="eastAsia" w:ascii="仿宋" w:hAnsi="仿宋" w:eastAsia="仿宋" w:cs="仿宋"/>
          <w:b/>
          <w:color w:val="auto"/>
          <w:sz w:val="24"/>
          <w:highlight w:val="none"/>
          <w:u w:val="single"/>
        </w:rPr>
        <w:t xml:space="preserve">90 </w:t>
      </w:r>
      <w:r>
        <w:rPr>
          <w:rFonts w:hint="eastAsia" w:ascii="仿宋" w:hAnsi="仿宋" w:eastAsia="仿宋" w:cs="仿宋"/>
          <w:color w:val="auto"/>
          <w:sz w:val="24"/>
          <w:highlight w:val="none"/>
        </w:rPr>
        <w:t>日历日内</w:t>
      </w:r>
    </w:p>
    <w:p>
      <w:pPr>
        <w:rPr>
          <w:rFonts w:ascii="仿宋" w:hAnsi="仿宋" w:eastAsia="仿宋" w:cs="仿宋"/>
          <w:color w:val="auto"/>
          <w:sz w:val="24"/>
          <w:highlight w:val="none"/>
        </w:rPr>
      </w:pPr>
    </w:p>
    <w:p>
      <w:pPr>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四、</w:t>
      </w:r>
      <w:r>
        <w:rPr>
          <w:rFonts w:hint="eastAsia" w:ascii="仿宋" w:hAnsi="仿宋" w:eastAsia="仿宋" w:cs="仿宋"/>
          <w:b/>
          <w:color w:val="auto"/>
          <w:sz w:val="28"/>
          <w:szCs w:val="28"/>
          <w:highlight w:val="none"/>
        </w:rPr>
        <w:t>测量设备名称：智能化心脑电图机心电监护仪检定装置  1台</w:t>
      </w:r>
    </w:p>
    <w:p>
      <w:pPr>
        <w:rPr>
          <w:rFonts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b/>
          <w:color w:val="auto"/>
          <w:sz w:val="24"/>
          <w:highlight w:val="none"/>
        </w:rPr>
        <w:t>技术参数</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1.1测量范围：</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1.1.1平衡衰减器：衰减比：1/1000；</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1.1.2方波信号：幅度范围（峰峰值）：8.0μV～30.0V；周期范围：2ms～50s；</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1.1.3正弦信号：幅度范围（峰峰值）：8.00μV～30.0V；频率范围：20mHz～1000Hz；</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1.1.4三角波：周期范围：2ms～50s；</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1.1.5标准心率信号：心率范围：（10.0～500）次/分钟；幅度范围：（峰峰值）：4.00μV～15.0V；</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1.1.6极化电压：直流：±300mV；</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1.1.7微分信号：频率:1Hz。</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1.2最大允许误差：</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1.2.1平衡衰减器：衰减比最大允许误差：±0.3%；</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1.2.2方波信号：</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幅度最大允许误差（峰峰值）：80.0μV～30.0V±0.5%；</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50.0μV～80.0μV±1%；</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8.00μV～50.0μV±10%；</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周期最大允许误差：±（0.1信号周期＋2μs）；</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1.2.3正弦信号：</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幅度最大允许误差（峰峰值）：（频率在20mHz～200Hz内）</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80.0μV～30.0V±0.5%；</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50.0μV～80.0μV±1%；</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8.00μV～50.0μV±10%；</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周期最大允许误差：±（0.1%信号周期+2μs）；</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失真度：500Hz以下＜1%；500Hz以上＜2%；</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1.2.4三角波：</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周期最大允许误差：±（0.1%信号周期+2μs）；</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1.2.5标准心率信号：</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心率最大允许误差：±（0.1%信号周期±2ms）；</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幅度最大允许误差（峰峰值）：</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4.00μV～15.0V±1%；</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25.0μV～40.0μV±5%；</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4.00μV～25.0μV±10%；</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1.2.6极化电压：电压最大允许误差：±5%；</w:t>
      </w:r>
    </w:p>
    <w:p>
      <w:pPr>
        <w:ind w:left="420" w:leftChars="200" w:firstLine="120" w:firstLineChars="50"/>
        <w:rPr>
          <w:rFonts w:ascii="仿宋" w:hAnsi="仿宋" w:eastAsia="仿宋" w:cs="仿宋"/>
          <w:color w:val="auto"/>
          <w:sz w:val="24"/>
          <w:highlight w:val="none"/>
        </w:rPr>
      </w:pPr>
      <w:r>
        <w:rPr>
          <w:rFonts w:hint="eastAsia" w:ascii="仿宋" w:hAnsi="仿宋" w:eastAsia="仿宋" w:cs="仿宋"/>
          <w:color w:val="auto"/>
          <w:sz w:val="24"/>
          <w:highlight w:val="none"/>
        </w:rPr>
        <w:t>1.2.7微分信号：频率最大允许误差：±0.1%；</w:t>
      </w:r>
    </w:p>
    <w:p>
      <w:pPr>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1.3工作电压：国内标准，有保护。 </w:t>
      </w:r>
    </w:p>
    <w:p>
      <w:pPr>
        <w:widowControl/>
        <w:ind w:firstLine="480" w:firstLineChars="200"/>
        <w:rPr>
          <w:rFonts w:ascii="仿宋" w:hAnsi="仿宋" w:eastAsia="仿宋" w:cs="仿宋"/>
          <w:b/>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b/>
          <w:color w:val="auto"/>
          <w:sz w:val="24"/>
          <w:highlight w:val="none"/>
        </w:rPr>
        <w:t>通用技术要求</w:t>
      </w:r>
    </w:p>
    <w:p>
      <w:pPr>
        <w:rPr>
          <w:rFonts w:ascii="仿宋" w:hAnsi="仿宋" w:eastAsia="仿宋" w:cs="仿宋"/>
          <w:color w:val="auto"/>
          <w:sz w:val="24"/>
          <w:highlight w:val="none"/>
        </w:rPr>
      </w:pPr>
      <w:r>
        <w:rPr>
          <w:rFonts w:hint="eastAsia" w:ascii="仿宋" w:hAnsi="仿宋" w:eastAsia="仿宋" w:cs="仿宋"/>
          <w:color w:val="auto"/>
          <w:sz w:val="24"/>
          <w:highlight w:val="none"/>
        </w:rPr>
        <w:t>1、计量性能及技术招标必须符合JJF 543-2008《心电图机检定规程》。</w:t>
      </w:r>
    </w:p>
    <w:p>
      <w:pPr>
        <w:rPr>
          <w:rFonts w:ascii="仿宋" w:hAnsi="仿宋" w:eastAsia="仿宋" w:cs="仿宋"/>
          <w:b/>
          <w:color w:val="auto"/>
          <w:sz w:val="24"/>
          <w:highlight w:val="none"/>
        </w:rPr>
      </w:pPr>
      <w:r>
        <w:rPr>
          <w:rFonts w:hint="eastAsia" w:ascii="仿宋" w:hAnsi="仿宋" w:eastAsia="仿宋" w:cs="仿宋"/>
          <w:color w:val="auto"/>
          <w:sz w:val="24"/>
          <w:highlight w:val="none"/>
        </w:rPr>
        <w:t>2、测量设备所使用的软件，甲方享受免费升级，如发现软件开发商在软件中设置影响软件使用的限制，乙方承担一切责任和损失。同时甲方有权追究法律责任。</w:t>
      </w:r>
    </w:p>
    <w:p>
      <w:pPr>
        <w:rPr>
          <w:rFonts w:ascii="仿宋" w:hAnsi="仿宋" w:eastAsia="仿宋" w:cs="仿宋"/>
          <w:color w:val="auto"/>
          <w:sz w:val="24"/>
          <w:highlight w:val="none"/>
        </w:rPr>
      </w:pPr>
      <w:r>
        <w:rPr>
          <w:rFonts w:hint="eastAsia" w:ascii="仿宋" w:hAnsi="仿宋" w:eastAsia="仿宋" w:cs="仿宋"/>
          <w:color w:val="auto"/>
          <w:sz w:val="24"/>
          <w:highlight w:val="none"/>
        </w:rPr>
        <w:t>3、软件需能保证检测数据的安全，可以按照甲方要求导出数据，软件具有检测数据自动备份和手动备份的功能。</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4、该测量设备由中国计量院检定，出具计量检定证书，费用由供方承担。</w:t>
      </w:r>
    </w:p>
    <w:p>
      <w:pPr>
        <w:rPr>
          <w:rFonts w:ascii="仿宋" w:hAnsi="仿宋" w:eastAsia="仿宋" w:cs="仿宋"/>
          <w:b/>
          <w:color w:val="auto"/>
          <w:sz w:val="24"/>
          <w:highlight w:val="none"/>
        </w:rPr>
      </w:pPr>
      <w:r>
        <w:rPr>
          <w:rFonts w:hint="eastAsia" w:ascii="仿宋" w:hAnsi="仿宋" w:eastAsia="仿宋" w:cs="仿宋"/>
          <w:b/>
          <w:color w:val="auto"/>
          <w:sz w:val="24"/>
          <w:highlight w:val="none"/>
        </w:rPr>
        <w:t>（三）、配套设备及附件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5841"/>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名称及型号</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共模抑制比</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线纹尺</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放大镜</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携带箱</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085"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5841"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使用说明书、出厂合格证</w:t>
            </w:r>
          </w:p>
        </w:tc>
        <w:tc>
          <w:tcPr>
            <w:tcW w:w="876"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r>
    </w:tbl>
    <w:p>
      <w:pPr>
        <w:widowControl/>
        <w:rPr>
          <w:rFonts w:ascii="仿宋" w:hAnsi="仿宋" w:eastAsia="仿宋" w:cs="仿宋"/>
          <w:b/>
          <w:color w:val="auto"/>
          <w:sz w:val="24"/>
          <w:highlight w:val="none"/>
        </w:rPr>
      </w:pPr>
      <w:r>
        <w:rPr>
          <w:rFonts w:hint="eastAsia" w:ascii="仿宋" w:hAnsi="仿宋" w:eastAsia="仿宋" w:cs="仿宋"/>
          <w:b/>
          <w:color w:val="auto"/>
          <w:sz w:val="24"/>
          <w:highlight w:val="none"/>
        </w:rPr>
        <w:t>（四）、技术资料</w:t>
      </w:r>
    </w:p>
    <w:p>
      <w:pPr>
        <w:ind w:left="900"/>
        <w:rPr>
          <w:rFonts w:ascii="仿宋" w:hAnsi="仿宋" w:eastAsia="仿宋" w:cs="仿宋"/>
          <w:color w:val="auto"/>
          <w:sz w:val="24"/>
          <w:highlight w:val="none"/>
        </w:rPr>
      </w:pPr>
      <w:r>
        <w:rPr>
          <w:rFonts w:hint="eastAsia" w:ascii="仿宋" w:hAnsi="仿宋" w:eastAsia="仿宋" w:cs="仿宋"/>
          <w:color w:val="auto"/>
          <w:sz w:val="24"/>
          <w:highlight w:val="none"/>
        </w:rPr>
        <w:t>1、中文操作手册一套；</w:t>
      </w:r>
    </w:p>
    <w:p>
      <w:pPr>
        <w:ind w:left="900"/>
        <w:rPr>
          <w:rFonts w:ascii="仿宋" w:hAnsi="仿宋" w:eastAsia="仿宋" w:cs="仿宋"/>
          <w:color w:val="auto"/>
          <w:sz w:val="24"/>
          <w:highlight w:val="none"/>
        </w:rPr>
      </w:pPr>
      <w:r>
        <w:rPr>
          <w:rFonts w:hint="eastAsia" w:ascii="仿宋" w:hAnsi="仿宋" w:eastAsia="仿宋" w:cs="仿宋"/>
          <w:color w:val="auto"/>
          <w:sz w:val="24"/>
          <w:highlight w:val="none"/>
        </w:rPr>
        <w:t>2、维修手册一份</w:t>
      </w:r>
    </w:p>
    <w:p>
      <w:pPr>
        <w:widowControl/>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3、装箱单一份。</w:t>
      </w:r>
    </w:p>
    <w:p>
      <w:pPr>
        <w:widowControl/>
        <w:rPr>
          <w:rFonts w:ascii="仿宋" w:hAnsi="仿宋" w:eastAsia="仿宋" w:cs="仿宋"/>
          <w:b/>
          <w:color w:val="auto"/>
          <w:sz w:val="24"/>
          <w:highlight w:val="none"/>
        </w:rPr>
      </w:pPr>
      <w:r>
        <w:rPr>
          <w:rFonts w:hint="eastAsia" w:ascii="仿宋" w:hAnsi="仿宋" w:eastAsia="仿宋" w:cs="仿宋"/>
          <w:b/>
          <w:color w:val="auto"/>
          <w:sz w:val="24"/>
          <w:highlight w:val="none"/>
        </w:rPr>
        <w:t>（五）、质量保证及售后服务</w:t>
      </w:r>
    </w:p>
    <w:p>
      <w:pPr>
        <w:rPr>
          <w:rFonts w:ascii="仿宋" w:hAnsi="仿宋" w:eastAsia="仿宋" w:cs="仿宋"/>
          <w:color w:val="auto"/>
          <w:sz w:val="24"/>
          <w:highlight w:val="none"/>
        </w:rPr>
      </w:pPr>
      <w:r>
        <w:rPr>
          <w:rFonts w:hint="eastAsia" w:ascii="仿宋" w:hAnsi="仿宋" w:eastAsia="仿宋" w:cs="仿宋"/>
          <w:color w:val="auto"/>
          <w:sz w:val="24"/>
          <w:highlight w:val="none"/>
        </w:rPr>
        <w:t>1、乙方应该按合同规定的设备性能、质量标准向甲方提供未经使用的全新设备。</w:t>
      </w:r>
    </w:p>
    <w:p>
      <w:pPr>
        <w:rPr>
          <w:rFonts w:ascii="仿宋" w:hAnsi="仿宋" w:eastAsia="仿宋" w:cs="仿宋"/>
          <w:color w:val="auto"/>
          <w:sz w:val="24"/>
          <w:highlight w:val="none"/>
        </w:rPr>
      </w:pPr>
      <w:r>
        <w:rPr>
          <w:rFonts w:hint="eastAsia" w:ascii="仿宋" w:hAnsi="仿宋" w:eastAsia="仿宋" w:cs="仿宋"/>
          <w:color w:val="auto"/>
          <w:sz w:val="24"/>
          <w:highlight w:val="none"/>
        </w:rPr>
        <w:t>2、乙方提供设备的质量保证期为验收合格之后</w:t>
      </w:r>
      <w:r>
        <w:rPr>
          <w:rFonts w:hint="eastAsia" w:ascii="仿宋" w:hAnsi="仿宋" w:eastAsia="仿宋" w:cs="仿宋"/>
          <w:color w:val="auto"/>
          <w:sz w:val="24"/>
          <w:highlight w:val="none"/>
          <w:u w:val="single"/>
        </w:rPr>
        <w:t>2年</w:t>
      </w:r>
      <w:r>
        <w:rPr>
          <w:rFonts w:hint="eastAsia" w:ascii="仿宋" w:hAnsi="仿宋" w:eastAsia="仿宋" w:cs="仿宋"/>
          <w:color w:val="auto"/>
          <w:sz w:val="24"/>
          <w:highlight w:val="none"/>
        </w:rPr>
        <w:t>。在保证期内因设备本身的质量问题发生故障，乙方应负责免费修理和更换零部件。对达不到计量性能要求的，经双方协商，可按以下办法处理：</w:t>
      </w:r>
    </w:p>
    <w:p>
      <w:pPr>
        <w:rPr>
          <w:rFonts w:ascii="仿宋" w:hAnsi="仿宋" w:eastAsia="仿宋" w:cs="仿宋"/>
          <w:color w:val="auto"/>
          <w:sz w:val="24"/>
          <w:highlight w:val="none"/>
        </w:rPr>
      </w:pPr>
      <w:r>
        <w:rPr>
          <w:rFonts w:hint="eastAsia" w:ascii="仿宋" w:hAnsi="仿宋" w:eastAsia="仿宋" w:cs="仿宋"/>
          <w:color w:val="auto"/>
          <w:sz w:val="24"/>
          <w:highlight w:val="none"/>
        </w:rPr>
        <w:t>（1）退货处理：乙方应退回甲方支付的设备款，同时承担该设备的直接费用（运输、保险、检定等）。</w:t>
      </w:r>
    </w:p>
    <w:p>
      <w:pPr>
        <w:rPr>
          <w:rFonts w:ascii="仿宋" w:hAnsi="仿宋" w:eastAsia="仿宋" w:cs="仿宋"/>
          <w:color w:val="auto"/>
          <w:sz w:val="24"/>
          <w:highlight w:val="none"/>
        </w:rPr>
      </w:pPr>
      <w:r>
        <w:rPr>
          <w:rFonts w:hint="eastAsia" w:ascii="仿宋" w:hAnsi="仿宋" w:eastAsia="仿宋" w:cs="仿宋"/>
          <w:color w:val="auto"/>
          <w:sz w:val="24"/>
          <w:highlight w:val="none"/>
        </w:rPr>
        <w:t>（2）更换设备：乙方承担所发生的相关费用。</w:t>
      </w:r>
    </w:p>
    <w:p>
      <w:pPr>
        <w:rPr>
          <w:rFonts w:ascii="仿宋" w:hAnsi="仿宋" w:eastAsia="仿宋" w:cs="仿宋"/>
          <w:color w:val="auto"/>
          <w:sz w:val="24"/>
          <w:highlight w:val="none"/>
        </w:rPr>
      </w:pPr>
      <w:r>
        <w:rPr>
          <w:rFonts w:hint="eastAsia" w:ascii="仿宋" w:hAnsi="仿宋" w:eastAsia="仿宋" w:cs="仿宋"/>
          <w:color w:val="auto"/>
          <w:sz w:val="24"/>
          <w:highlight w:val="none"/>
        </w:rPr>
        <w:t>3、乙方在交货前应该将合同号、设备名称、数量、件数、运输方式等通知甲方。</w:t>
      </w:r>
    </w:p>
    <w:p>
      <w:pPr>
        <w:rPr>
          <w:rFonts w:ascii="仿宋" w:hAnsi="仿宋" w:eastAsia="仿宋" w:cs="仿宋"/>
          <w:color w:val="auto"/>
          <w:sz w:val="24"/>
          <w:highlight w:val="none"/>
        </w:rPr>
      </w:pPr>
      <w:r>
        <w:rPr>
          <w:rFonts w:hint="eastAsia" w:ascii="仿宋" w:hAnsi="仿宋" w:eastAsia="仿宋" w:cs="仿宋"/>
          <w:color w:val="auto"/>
          <w:sz w:val="24"/>
          <w:highlight w:val="none"/>
        </w:rPr>
        <w:t>4、设备在运输中造成的锈蚀、破损、丢失等均有乙方承担责任。</w:t>
      </w:r>
    </w:p>
    <w:p>
      <w:pPr>
        <w:rPr>
          <w:rFonts w:ascii="仿宋" w:hAnsi="仿宋" w:eastAsia="仿宋" w:cs="仿宋"/>
          <w:b/>
          <w:color w:val="auto"/>
          <w:sz w:val="24"/>
          <w:highlight w:val="none"/>
        </w:rPr>
      </w:pPr>
      <w:r>
        <w:rPr>
          <w:rFonts w:hint="eastAsia" w:ascii="仿宋" w:hAnsi="仿宋" w:eastAsia="仿宋" w:cs="仿宋"/>
          <w:color w:val="auto"/>
          <w:sz w:val="24"/>
          <w:highlight w:val="none"/>
        </w:rPr>
        <w:t>5、在设备调试阶段，根据甲方要求，乙方应及时派出技术人员现场安装调试设备，并对甲方人员免费进行培训。</w:t>
      </w:r>
    </w:p>
    <w:p>
      <w:pPr>
        <w:rPr>
          <w:rFonts w:ascii="仿宋" w:hAnsi="仿宋" w:eastAsia="仿宋" w:cs="仿宋"/>
          <w:color w:val="auto"/>
          <w:sz w:val="24"/>
          <w:highlight w:val="none"/>
        </w:rPr>
      </w:pPr>
      <w:r>
        <w:rPr>
          <w:rFonts w:hint="eastAsia" w:ascii="仿宋" w:hAnsi="仿宋" w:eastAsia="仿宋" w:cs="仿宋"/>
          <w:color w:val="auto"/>
          <w:sz w:val="24"/>
          <w:highlight w:val="none"/>
        </w:rPr>
        <w:t>6、在保证期内，如设备出现质量问题，乙方在接到甲方通知后应在</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b/>
          <w:color w:val="auto"/>
          <w:sz w:val="24"/>
          <w:highlight w:val="none"/>
          <w:u w:val="single"/>
        </w:rPr>
        <w:t xml:space="preserve"> 48</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小时内达到甲方现场。</w:t>
      </w:r>
    </w:p>
    <w:p>
      <w:pPr>
        <w:widowControl/>
        <w:rPr>
          <w:rFonts w:ascii="仿宋" w:hAnsi="仿宋" w:eastAsia="仿宋" w:cs="仿宋"/>
          <w:color w:val="auto"/>
          <w:sz w:val="24"/>
          <w:highlight w:val="none"/>
        </w:rPr>
      </w:pPr>
      <w:r>
        <w:rPr>
          <w:rFonts w:hint="eastAsia" w:ascii="仿宋" w:hAnsi="仿宋" w:eastAsia="仿宋" w:cs="仿宋"/>
          <w:color w:val="auto"/>
          <w:sz w:val="24"/>
          <w:highlight w:val="none"/>
        </w:rPr>
        <w:t>7、质保期：验收合格后2年。</w:t>
      </w:r>
    </w:p>
    <w:p>
      <w:pPr>
        <w:widowControl/>
        <w:rPr>
          <w:rFonts w:ascii="仿宋" w:hAnsi="仿宋" w:eastAsia="仿宋" w:cs="仿宋"/>
          <w:color w:val="auto"/>
          <w:sz w:val="24"/>
          <w:highlight w:val="none"/>
        </w:rPr>
      </w:pPr>
      <w:r>
        <w:rPr>
          <w:rFonts w:hint="eastAsia" w:ascii="仿宋" w:hAnsi="仿宋" w:eastAsia="仿宋" w:cs="仿宋"/>
          <w:b/>
          <w:color w:val="auto"/>
          <w:sz w:val="24"/>
          <w:highlight w:val="none"/>
        </w:rPr>
        <w:t>（六）、验收</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1、供方负责在需方现场进行仪器的安装、调试和验收等工作，需方只负责提供相应的人力支持和搬运工具。</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2、对于缺漏的仪器附件等内容，供方必须免费提供。</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3、仪器现场安装、调试后，供方通知需方共同组织对仪器进行性能验收，验收依据为双方认可的第三方计量部门(西北中心)出具的检定或校准证书报告或根据双方协商的验收测试方法进行测试验收。</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5、仪器安装调试完成后，经验收确认合格后，由供方和需方共同在验收报告上签字，仪器的安装调试工作方可完成。    </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方法：根据技术要求和相关规程规范的要求进行验收。</w:t>
      </w:r>
    </w:p>
    <w:p>
      <w:pPr>
        <w:widowControl/>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单位：第三方或新疆计量测试研究院出具的测试证书。</w:t>
      </w:r>
    </w:p>
    <w:p>
      <w:pPr>
        <w:rPr>
          <w:rFonts w:ascii="仿宋" w:hAnsi="仿宋" w:eastAsia="仿宋" w:cs="仿宋"/>
          <w:b/>
          <w:color w:val="auto"/>
          <w:sz w:val="24"/>
          <w:highlight w:val="none"/>
        </w:rPr>
      </w:pPr>
      <w:r>
        <w:rPr>
          <w:rFonts w:hint="eastAsia" w:ascii="仿宋" w:hAnsi="仿宋" w:eastAsia="仿宋" w:cs="仿宋"/>
          <w:b/>
          <w:color w:val="auto"/>
          <w:sz w:val="24"/>
          <w:highlight w:val="none"/>
        </w:rPr>
        <w:t>（七）、交货时间</w:t>
      </w:r>
    </w:p>
    <w:p>
      <w:pPr>
        <w:rPr>
          <w:rFonts w:ascii="仿宋" w:hAnsi="仿宋" w:eastAsia="仿宋" w:cs="仿宋"/>
          <w:color w:val="auto"/>
          <w:sz w:val="24"/>
          <w:highlight w:val="none"/>
        </w:rPr>
      </w:pPr>
      <w:r>
        <w:rPr>
          <w:rFonts w:hint="eastAsia" w:ascii="仿宋" w:hAnsi="仿宋" w:eastAsia="仿宋" w:cs="仿宋"/>
          <w:color w:val="auto"/>
          <w:sz w:val="24"/>
          <w:highlight w:val="none"/>
        </w:rPr>
        <w:t>1、交货时间：</w:t>
      </w:r>
      <w:r>
        <w:rPr>
          <w:rFonts w:hint="eastAsia" w:ascii="仿宋" w:hAnsi="仿宋" w:eastAsia="仿宋" w:cs="仿宋"/>
          <w:b/>
          <w:color w:val="auto"/>
          <w:sz w:val="24"/>
          <w:highlight w:val="none"/>
          <w:u w:val="single"/>
        </w:rPr>
        <w:t xml:space="preserve">90 </w:t>
      </w:r>
      <w:r>
        <w:rPr>
          <w:rFonts w:hint="eastAsia" w:ascii="仿宋" w:hAnsi="仿宋" w:eastAsia="仿宋" w:cs="仿宋"/>
          <w:color w:val="auto"/>
          <w:sz w:val="24"/>
          <w:highlight w:val="none"/>
        </w:rPr>
        <w:t>日历日内</w:t>
      </w:r>
    </w:p>
    <w:p>
      <w:pPr>
        <w:rPr>
          <w:color w:val="auto"/>
          <w:sz w:val="28"/>
          <w:szCs w:val="28"/>
          <w:highlight w:val="none"/>
        </w:rPr>
      </w:pPr>
    </w:p>
    <w:p>
      <w:pPr>
        <w:pStyle w:val="16"/>
        <w:ind w:firstLine="0" w:firstLineChars="0"/>
        <w:rPr>
          <w:rFonts w:ascii="仿宋" w:hAnsi="仿宋" w:eastAsia="仿宋" w:cs="仿宋"/>
          <w:b/>
          <w:bCs/>
          <w:color w:val="auto"/>
          <w:sz w:val="30"/>
          <w:szCs w:val="30"/>
          <w:highlight w:val="none"/>
        </w:rPr>
      </w:pPr>
    </w:p>
    <w:p>
      <w:pPr>
        <w:rPr>
          <w:color w:val="auto"/>
          <w:highlight w:val="none"/>
        </w:rPr>
      </w:pPr>
      <w:r>
        <w:rPr>
          <w:rFonts w:hint="eastAsia"/>
          <w:color w:val="auto"/>
          <w:highlight w:val="none"/>
        </w:rPr>
        <w:br w:type="page"/>
      </w:r>
    </w:p>
    <w:p>
      <w:pPr>
        <w:pStyle w:val="3"/>
        <w:rPr>
          <w:rFonts w:cs="仿宋"/>
          <w:b w:val="0"/>
          <w:bCs/>
          <w:color w:val="auto"/>
          <w:szCs w:val="32"/>
          <w:highlight w:val="none"/>
        </w:rPr>
      </w:pPr>
      <w:r>
        <w:rPr>
          <w:color w:val="auto"/>
          <w:highlight w:val="none"/>
        </w:rPr>
        <w:fldChar w:fldCharType="begin"/>
      </w:r>
      <w:r>
        <w:rPr>
          <w:color w:val="auto"/>
          <w:highlight w:val="none"/>
        </w:rPr>
        <w:instrText xml:space="preserve"> HYPERLINK \l "_Toc15797" </w:instrText>
      </w:r>
      <w:r>
        <w:rPr>
          <w:color w:val="auto"/>
          <w:highlight w:val="none"/>
        </w:rPr>
        <w:fldChar w:fldCharType="separate"/>
      </w:r>
      <w:r>
        <w:rPr>
          <w:rFonts w:hint="eastAsia" w:cs="仿宋"/>
          <w:bCs/>
          <w:color w:val="auto"/>
          <w:szCs w:val="32"/>
          <w:highlight w:val="none"/>
        </w:rPr>
        <w:t xml:space="preserve">第五章 </w:t>
      </w:r>
      <w:r>
        <w:rPr>
          <w:rFonts w:hint="eastAsia" w:cs="仿宋"/>
          <w:bCs/>
          <w:color w:val="auto"/>
          <w:szCs w:val="32"/>
          <w:highlight w:val="none"/>
        </w:rPr>
        <w:fldChar w:fldCharType="end"/>
      </w:r>
      <w:r>
        <w:rPr>
          <w:rFonts w:hint="eastAsia" w:cs="仿宋"/>
          <w:bCs/>
          <w:color w:val="auto"/>
          <w:szCs w:val="32"/>
          <w:highlight w:val="none"/>
        </w:rPr>
        <w:t>合同格式</w:t>
      </w:r>
      <w:bookmarkEnd w:id="14"/>
    </w:p>
    <w:p>
      <w:pPr>
        <w:spacing w:line="360" w:lineRule="auto"/>
        <w:jc w:val="center"/>
        <w:rPr>
          <w:rFonts w:ascii="仿宋" w:hAnsi="仿宋" w:eastAsia="仿宋" w:cs="仿宋"/>
          <w:b/>
          <w:bCs/>
          <w:color w:val="auto"/>
          <w:sz w:val="28"/>
          <w:szCs w:val="21"/>
          <w:highlight w:val="none"/>
        </w:rPr>
      </w:pPr>
      <w:r>
        <w:rPr>
          <w:rFonts w:hint="eastAsia" w:ascii="仿宋" w:hAnsi="仿宋" w:eastAsia="仿宋" w:cs="仿宋"/>
          <w:b/>
          <w:bCs/>
          <w:color w:val="auto"/>
          <w:szCs w:val="21"/>
          <w:highlight w:val="none"/>
        </w:rPr>
        <w:t>（注：此合同仅供参考，具体的合同签订双方可根据项目的具体要求进行修订）</w:t>
      </w:r>
    </w:p>
    <w:p>
      <w:pPr>
        <w:spacing w:line="300" w:lineRule="exact"/>
        <w:rPr>
          <w:rFonts w:ascii="仿宋" w:hAnsi="仿宋" w:eastAsia="仿宋"/>
          <w:color w:val="auto"/>
          <w:sz w:val="28"/>
          <w:szCs w:val="28"/>
          <w:highlight w:val="none"/>
        </w:rPr>
      </w:pPr>
    </w:p>
    <w:p>
      <w:pPr>
        <w:spacing w:line="300" w:lineRule="exact"/>
        <w:rPr>
          <w:rFonts w:ascii="仿宋" w:hAnsi="仿宋" w:eastAsia="仿宋"/>
          <w:color w:val="auto"/>
          <w:sz w:val="28"/>
          <w:szCs w:val="28"/>
          <w:highlight w:val="none"/>
        </w:rPr>
      </w:pPr>
    </w:p>
    <w:p>
      <w:pPr>
        <w:spacing w:line="300" w:lineRule="exact"/>
        <w:rPr>
          <w:rFonts w:ascii="仿宋" w:hAnsi="仿宋" w:eastAsia="仿宋"/>
          <w:color w:val="auto"/>
          <w:sz w:val="28"/>
          <w:szCs w:val="28"/>
          <w:highlight w:val="none"/>
        </w:rPr>
      </w:pPr>
    </w:p>
    <w:p>
      <w:pPr>
        <w:spacing w:line="300" w:lineRule="exact"/>
        <w:rPr>
          <w:rFonts w:ascii="仿宋" w:hAnsi="仿宋" w:eastAsia="仿宋"/>
          <w:color w:val="auto"/>
          <w:sz w:val="28"/>
          <w:szCs w:val="28"/>
          <w:highlight w:val="none"/>
        </w:rPr>
      </w:pPr>
    </w:p>
    <w:p>
      <w:pPr>
        <w:spacing w:line="300" w:lineRule="exact"/>
        <w:rPr>
          <w:rFonts w:ascii="仿宋" w:hAnsi="仿宋" w:eastAsia="仿宋"/>
          <w:color w:val="auto"/>
          <w:sz w:val="28"/>
          <w:szCs w:val="28"/>
          <w:highlight w:val="none"/>
        </w:rPr>
      </w:pPr>
    </w:p>
    <w:p>
      <w:pPr>
        <w:spacing w:line="300" w:lineRule="exact"/>
        <w:rPr>
          <w:rFonts w:ascii="仿宋" w:hAnsi="仿宋" w:eastAsia="仿宋"/>
          <w:color w:val="auto"/>
          <w:sz w:val="28"/>
          <w:szCs w:val="28"/>
          <w:highlight w:val="none"/>
        </w:rPr>
      </w:pPr>
    </w:p>
    <w:p>
      <w:pPr>
        <w:spacing w:line="560" w:lineRule="exact"/>
        <w:ind w:firstLine="1350" w:firstLineChars="450"/>
        <w:jc w:val="left"/>
        <w:rPr>
          <w:rFonts w:ascii="仿宋" w:hAnsi="仿宋" w:eastAsia="仿宋"/>
          <w:color w:val="auto"/>
          <w:sz w:val="30"/>
          <w:szCs w:val="30"/>
          <w:highlight w:val="none"/>
        </w:rPr>
      </w:pPr>
      <w:r>
        <w:rPr>
          <w:rFonts w:hint="eastAsia" w:ascii="仿宋" w:hAnsi="仿宋" w:eastAsia="仿宋"/>
          <w:color w:val="auto"/>
          <w:sz w:val="30"/>
          <w:szCs w:val="30"/>
          <w:highlight w:val="none"/>
        </w:rPr>
        <w:t xml:space="preserve">买 </w:t>
      </w:r>
      <w:r>
        <w:rPr>
          <w:rFonts w:ascii="仿宋" w:hAnsi="仿宋" w:eastAsia="仿宋"/>
          <w:color w:val="auto"/>
          <w:sz w:val="30"/>
          <w:szCs w:val="30"/>
          <w:highlight w:val="none"/>
        </w:rPr>
        <w:t xml:space="preserve">   </w:t>
      </w:r>
      <w:r>
        <w:rPr>
          <w:rFonts w:hint="eastAsia" w:ascii="仿宋" w:hAnsi="仿宋" w:eastAsia="仿宋"/>
          <w:color w:val="auto"/>
          <w:sz w:val="30"/>
          <w:szCs w:val="30"/>
          <w:highlight w:val="none"/>
        </w:rPr>
        <w:t>方：</w:t>
      </w:r>
    </w:p>
    <w:p>
      <w:pPr>
        <w:spacing w:line="560" w:lineRule="exact"/>
        <w:ind w:firstLine="1350" w:firstLineChars="450"/>
        <w:jc w:val="left"/>
        <w:rPr>
          <w:rFonts w:ascii="仿宋" w:hAnsi="仿宋" w:eastAsia="仿宋"/>
          <w:color w:val="auto"/>
          <w:sz w:val="30"/>
          <w:szCs w:val="30"/>
          <w:highlight w:val="none"/>
        </w:rPr>
      </w:pPr>
    </w:p>
    <w:p>
      <w:pPr>
        <w:spacing w:line="560" w:lineRule="exact"/>
        <w:ind w:firstLine="1350" w:firstLineChars="450"/>
        <w:jc w:val="left"/>
        <w:rPr>
          <w:rFonts w:ascii="仿宋" w:hAnsi="仿宋" w:eastAsia="仿宋"/>
          <w:color w:val="auto"/>
          <w:sz w:val="30"/>
          <w:szCs w:val="30"/>
          <w:highlight w:val="none"/>
        </w:rPr>
      </w:pPr>
      <w:r>
        <w:rPr>
          <w:rFonts w:hint="eastAsia" w:ascii="仿宋" w:hAnsi="仿宋" w:eastAsia="仿宋"/>
          <w:color w:val="auto"/>
          <w:sz w:val="30"/>
          <w:szCs w:val="30"/>
          <w:highlight w:val="none"/>
        </w:rPr>
        <w:t xml:space="preserve">卖  </w:t>
      </w:r>
      <w:r>
        <w:rPr>
          <w:rFonts w:ascii="仿宋" w:hAnsi="仿宋" w:eastAsia="仿宋"/>
          <w:color w:val="auto"/>
          <w:sz w:val="30"/>
          <w:szCs w:val="30"/>
          <w:highlight w:val="none"/>
        </w:rPr>
        <w:t xml:space="preserve">  </w:t>
      </w:r>
      <w:r>
        <w:rPr>
          <w:rFonts w:hint="eastAsia" w:ascii="仿宋" w:hAnsi="仿宋" w:eastAsia="仿宋"/>
          <w:color w:val="auto"/>
          <w:sz w:val="30"/>
          <w:szCs w:val="30"/>
          <w:highlight w:val="none"/>
        </w:rPr>
        <w:t>方：</w:t>
      </w:r>
    </w:p>
    <w:p>
      <w:pPr>
        <w:spacing w:line="560" w:lineRule="exact"/>
        <w:ind w:firstLine="1350" w:firstLineChars="450"/>
        <w:jc w:val="left"/>
        <w:rPr>
          <w:rFonts w:ascii="仿宋" w:hAnsi="仿宋" w:eastAsia="仿宋"/>
          <w:color w:val="auto"/>
          <w:sz w:val="30"/>
          <w:szCs w:val="30"/>
          <w:highlight w:val="none"/>
        </w:rPr>
      </w:pPr>
    </w:p>
    <w:p>
      <w:pPr>
        <w:spacing w:line="560" w:lineRule="exact"/>
        <w:ind w:firstLine="1350" w:firstLineChars="450"/>
        <w:jc w:val="left"/>
        <w:rPr>
          <w:rFonts w:ascii="仿宋" w:hAnsi="仿宋" w:eastAsia="仿宋"/>
          <w:color w:val="auto"/>
          <w:sz w:val="30"/>
          <w:szCs w:val="30"/>
          <w:highlight w:val="none"/>
        </w:rPr>
      </w:pPr>
      <w:r>
        <w:rPr>
          <w:rFonts w:hint="eastAsia" w:ascii="仿宋" w:hAnsi="仿宋" w:eastAsia="仿宋"/>
          <w:color w:val="auto"/>
          <w:sz w:val="30"/>
          <w:szCs w:val="30"/>
          <w:highlight w:val="none"/>
        </w:rPr>
        <w:t>签约地点：</w:t>
      </w:r>
    </w:p>
    <w:p>
      <w:pPr>
        <w:spacing w:line="560" w:lineRule="exact"/>
        <w:ind w:firstLine="1350" w:firstLineChars="450"/>
        <w:jc w:val="left"/>
        <w:rPr>
          <w:rFonts w:ascii="仿宋" w:hAnsi="仿宋" w:eastAsia="仿宋"/>
          <w:color w:val="auto"/>
          <w:sz w:val="30"/>
          <w:szCs w:val="30"/>
          <w:highlight w:val="none"/>
        </w:rPr>
      </w:pPr>
    </w:p>
    <w:p>
      <w:pPr>
        <w:spacing w:line="560" w:lineRule="exact"/>
        <w:ind w:firstLine="1350" w:firstLineChars="450"/>
        <w:jc w:val="left"/>
        <w:rPr>
          <w:rFonts w:ascii="仿宋" w:hAnsi="仿宋" w:eastAsia="仿宋"/>
          <w:color w:val="auto"/>
          <w:sz w:val="30"/>
          <w:szCs w:val="30"/>
          <w:highlight w:val="none"/>
        </w:rPr>
      </w:pPr>
      <w:r>
        <w:rPr>
          <w:rFonts w:hint="eastAsia" w:ascii="仿宋" w:hAnsi="仿宋" w:eastAsia="仿宋"/>
          <w:color w:val="auto"/>
          <w:sz w:val="30"/>
          <w:szCs w:val="30"/>
          <w:highlight w:val="none"/>
        </w:rPr>
        <w:t>签约日期：  年   月   日</w:t>
      </w:r>
    </w:p>
    <w:p>
      <w:pPr>
        <w:spacing w:line="560" w:lineRule="exact"/>
        <w:ind w:firstLine="1350" w:firstLineChars="450"/>
        <w:jc w:val="left"/>
        <w:rPr>
          <w:rFonts w:ascii="仿宋" w:hAnsi="仿宋" w:eastAsia="仿宋"/>
          <w:color w:val="auto"/>
          <w:sz w:val="30"/>
          <w:szCs w:val="30"/>
          <w:highlight w:val="none"/>
        </w:rPr>
      </w:pPr>
    </w:p>
    <w:p>
      <w:pPr>
        <w:spacing w:line="560" w:lineRule="exact"/>
        <w:ind w:firstLine="1350" w:firstLineChars="450"/>
        <w:jc w:val="left"/>
        <w:rPr>
          <w:rFonts w:ascii="仿宋" w:hAnsi="仿宋" w:eastAsia="仿宋"/>
          <w:color w:val="auto"/>
          <w:sz w:val="30"/>
          <w:szCs w:val="30"/>
          <w:highlight w:val="none"/>
        </w:rPr>
      </w:pPr>
      <w:r>
        <w:rPr>
          <w:rFonts w:hint="eastAsia" w:ascii="仿宋" w:hAnsi="仿宋" w:eastAsia="仿宋"/>
          <w:color w:val="auto"/>
          <w:sz w:val="30"/>
          <w:szCs w:val="30"/>
          <w:highlight w:val="none"/>
        </w:rPr>
        <w:t>合同编号：</w:t>
      </w:r>
    </w:p>
    <w:p>
      <w:pPr>
        <w:spacing w:line="560" w:lineRule="exact"/>
        <w:rPr>
          <w:rFonts w:ascii="仿宋" w:hAnsi="仿宋" w:eastAsia="仿宋"/>
          <w:color w:val="auto"/>
          <w:sz w:val="30"/>
          <w:szCs w:val="30"/>
          <w:highlight w:val="none"/>
        </w:rPr>
      </w:pPr>
    </w:p>
    <w:p>
      <w:pPr>
        <w:spacing w:line="560" w:lineRule="exact"/>
        <w:rPr>
          <w:rFonts w:ascii="仿宋" w:hAnsi="仿宋" w:eastAsia="仿宋"/>
          <w:color w:val="auto"/>
          <w:sz w:val="24"/>
          <w:highlight w:val="none"/>
        </w:rPr>
      </w:pPr>
    </w:p>
    <w:p>
      <w:pPr>
        <w:spacing w:line="560" w:lineRule="exact"/>
        <w:rPr>
          <w:rFonts w:ascii="仿宋" w:hAnsi="仿宋" w:eastAsia="仿宋"/>
          <w:color w:val="auto"/>
          <w:sz w:val="24"/>
          <w:highlight w:val="none"/>
        </w:rPr>
      </w:pPr>
    </w:p>
    <w:p>
      <w:pPr>
        <w:spacing w:line="360" w:lineRule="auto"/>
        <w:jc w:val="center"/>
        <w:rPr>
          <w:rFonts w:ascii="仿宋" w:hAnsi="仿宋" w:eastAsia="仿宋" w:cs="宋体"/>
          <w:color w:val="auto"/>
          <w:sz w:val="36"/>
          <w:szCs w:val="36"/>
          <w:highlight w:val="none"/>
        </w:rPr>
      </w:pPr>
      <w:r>
        <w:rPr>
          <w:rFonts w:hint="eastAsia" w:ascii="仿宋" w:hAnsi="仿宋" w:eastAsia="仿宋" w:cs="宋体"/>
          <w:color w:val="auto"/>
          <w:sz w:val="36"/>
          <w:szCs w:val="36"/>
          <w:highlight w:val="none"/>
        </w:rPr>
        <w:t>二零二二年  月</w:t>
      </w:r>
    </w:p>
    <w:p>
      <w:pPr>
        <w:spacing w:line="360" w:lineRule="auto"/>
        <w:jc w:val="center"/>
        <w:rPr>
          <w:rFonts w:ascii="仿宋" w:hAnsi="仿宋" w:eastAsia="仿宋" w:cs="宋体"/>
          <w:color w:val="auto"/>
          <w:sz w:val="36"/>
          <w:szCs w:val="36"/>
          <w:highlight w:val="none"/>
        </w:rPr>
      </w:pPr>
    </w:p>
    <w:p>
      <w:pPr>
        <w:spacing w:line="360" w:lineRule="auto"/>
        <w:jc w:val="center"/>
        <w:rPr>
          <w:rFonts w:ascii="仿宋" w:hAnsi="仿宋" w:eastAsia="仿宋" w:cs="宋体"/>
          <w:color w:val="auto"/>
          <w:sz w:val="36"/>
          <w:szCs w:val="36"/>
          <w:highlight w:val="none"/>
        </w:rPr>
      </w:pPr>
    </w:p>
    <w:p>
      <w:pPr>
        <w:spacing w:line="360" w:lineRule="auto"/>
        <w:jc w:val="center"/>
        <w:rPr>
          <w:rFonts w:ascii="仿宋" w:hAnsi="仿宋" w:eastAsia="仿宋" w:cs="宋体"/>
          <w:color w:val="auto"/>
          <w:sz w:val="36"/>
          <w:szCs w:val="36"/>
          <w:highlight w:val="none"/>
        </w:rPr>
      </w:pPr>
      <w:r>
        <w:rPr>
          <w:rFonts w:hint="eastAsia" w:ascii="仿宋" w:hAnsi="仿宋" w:eastAsia="仿宋" w:cs="宋体"/>
          <w:color w:val="auto"/>
          <w:sz w:val="36"/>
          <w:szCs w:val="36"/>
          <w:highlight w:val="none"/>
        </w:rPr>
        <w:br w:type="page"/>
      </w: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甲方（买方）：</w:t>
      </w: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地址：</w:t>
      </w: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电话：</w:t>
      </w: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乙方（卖</w:t>
      </w:r>
      <w:r>
        <w:rPr>
          <w:rFonts w:ascii="仿宋" w:hAnsi="仿宋" w:eastAsia="仿宋"/>
          <w:color w:val="auto"/>
          <w:sz w:val="24"/>
          <w:highlight w:val="none"/>
        </w:rPr>
        <w:t>方</w:t>
      </w:r>
      <w:r>
        <w:rPr>
          <w:rFonts w:hint="eastAsia" w:ascii="仿宋" w:hAnsi="仿宋" w:eastAsia="仿宋"/>
          <w:color w:val="auto"/>
          <w:sz w:val="24"/>
          <w:highlight w:val="none"/>
        </w:rPr>
        <w:t>）</w:t>
      </w:r>
      <w:r>
        <w:rPr>
          <w:rFonts w:ascii="仿宋" w:hAnsi="仿宋" w:eastAsia="仿宋"/>
          <w:color w:val="auto"/>
          <w:sz w:val="24"/>
          <w:highlight w:val="none"/>
        </w:rPr>
        <w:t>：</w:t>
      </w: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地址：</w:t>
      </w: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电话：</w:t>
      </w:r>
    </w:p>
    <w:p>
      <w:pPr>
        <w:spacing w:line="400" w:lineRule="exact"/>
        <w:ind w:firstLine="480" w:firstLineChars="200"/>
        <w:rPr>
          <w:rFonts w:ascii="仿宋" w:hAnsi="仿宋" w:eastAsia="仿宋"/>
          <w:color w:val="auto"/>
          <w:sz w:val="24"/>
          <w:highlight w:val="none"/>
        </w:rPr>
      </w:pP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（以下简称甲方）与</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（以下简称乙方）就</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采购安装事宜，根据《中华人民共和国政府采购法》、《中华人民共和国民法典》等规定，本着平等、自愿、互利、互惠的原则，经各方协商一致，订立本合同。</w:t>
      </w:r>
    </w:p>
    <w:p>
      <w:pPr>
        <w:spacing w:line="400" w:lineRule="exact"/>
        <w:ind w:firstLine="480" w:firstLineChars="200"/>
        <w:jc w:val="center"/>
        <w:rPr>
          <w:rFonts w:ascii="仿宋" w:hAnsi="仿宋" w:eastAsia="仿宋"/>
          <w:color w:val="auto"/>
          <w:sz w:val="24"/>
          <w:highlight w:val="none"/>
        </w:rPr>
      </w:pPr>
    </w:p>
    <w:p>
      <w:pPr>
        <w:tabs>
          <w:tab w:val="center" w:pos="4394"/>
          <w:tab w:val="left" w:pos="6889"/>
        </w:tabs>
        <w:spacing w:line="400" w:lineRule="exact"/>
        <w:ind w:firstLine="482" w:firstLineChars="200"/>
        <w:jc w:val="left"/>
        <w:rPr>
          <w:rFonts w:ascii="仿宋" w:hAnsi="仿宋" w:eastAsia="仿宋"/>
          <w:b/>
          <w:color w:val="auto"/>
          <w:sz w:val="24"/>
          <w:highlight w:val="none"/>
        </w:rPr>
      </w:pPr>
      <w:r>
        <w:rPr>
          <w:rFonts w:ascii="仿宋" w:hAnsi="仿宋" w:eastAsia="仿宋"/>
          <w:b/>
          <w:color w:val="auto"/>
          <w:sz w:val="24"/>
          <w:highlight w:val="none"/>
        </w:rPr>
        <w:tab/>
      </w:r>
      <w:r>
        <w:rPr>
          <w:rFonts w:hint="eastAsia" w:ascii="仿宋" w:hAnsi="仿宋" w:eastAsia="仿宋"/>
          <w:b/>
          <w:color w:val="auto"/>
          <w:sz w:val="24"/>
          <w:highlight w:val="none"/>
        </w:rPr>
        <w:t>第一部分 通用条款</w:t>
      </w:r>
      <w:r>
        <w:rPr>
          <w:rFonts w:ascii="仿宋" w:hAnsi="仿宋" w:eastAsia="仿宋"/>
          <w:b/>
          <w:color w:val="auto"/>
          <w:sz w:val="24"/>
          <w:highlight w:val="none"/>
        </w:rPr>
        <w:tab/>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在此供应的货物，乙方同意做如下保证</w:t>
      </w:r>
      <w:r>
        <w:rPr>
          <w:rFonts w:ascii="仿宋" w:hAnsi="仿宋" w:eastAsia="仿宋"/>
          <w:color w:val="auto"/>
          <w:sz w:val="24"/>
          <w:highlight w:val="none"/>
        </w:rPr>
        <w:t>:</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一、乙方供应的全部货物，必须在不涉及任何担保、留置权、专利权使用费的情况下，交付与本合同规定完全相同的货物。</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二、不能将甲方全部或部分付款看作是对有缺陷的工艺或不合格货物的认可。</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三、所供货物均须符合相应图纸和技术规范中的相关规定，并且不涉及到任何侵权行为或任何索赔。</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甲方未提出异议的，乙方仍应于货物质保期内承担保固责任。甲方对货物的验收手续仅仅证明乙方交货的行为，并不能免除乙方应当承担的货物质量责任。</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 xml:space="preserve">因乙方货物质量瑕疵原因导致甲方对其他第三方承担的违约金、损失赔偿等任何赔偿责任，甲方均有权将该赔偿责任转移给乙方，乙方对此无异议。 </w:t>
      </w:r>
    </w:p>
    <w:p>
      <w:pPr>
        <w:spacing w:line="400" w:lineRule="exact"/>
        <w:ind w:firstLine="360" w:firstLineChars="150"/>
        <w:jc w:val="left"/>
        <w:rPr>
          <w:rFonts w:ascii="仿宋" w:hAnsi="仿宋" w:eastAsia="仿宋"/>
          <w:color w:val="auto"/>
          <w:sz w:val="24"/>
          <w:highlight w:val="none"/>
        </w:rPr>
      </w:pP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五、甲方有要求乙方延迟一段合理时间再行交货的权利。</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七、在项目终止或甲方订立本合同所依据的本项目合同终止时，甲方经书面通知可解除本合同，此种情况不作违约处理。</w:t>
      </w:r>
      <w:r>
        <w:rPr>
          <w:rFonts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八、所有交付到甲方现场的货物必须附有交货单。签字的交货单必须附在所有发票上作为本合同付款的前提条件。</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十二、因乙方全部或部分违约导致双方发生的诉讼</w:t>
      </w:r>
      <w:r>
        <w:rPr>
          <w:rFonts w:ascii="仿宋" w:hAnsi="仿宋" w:eastAsia="仿宋"/>
          <w:color w:val="auto"/>
          <w:sz w:val="24"/>
          <w:highlight w:val="none"/>
        </w:rPr>
        <w:t>/</w:t>
      </w:r>
      <w:r>
        <w:rPr>
          <w:rFonts w:hint="eastAsia" w:ascii="仿宋" w:hAnsi="仿宋" w:eastAsia="仿宋"/>
          <w:color w:val="auto"/>
          <w:sz w:val="24"/>
          <w:highlight w:val="none"/>
        </w:rPr>
        <w:t>仲裁或甲方与第三方发生的诉讼</w:t>
      </w:r>
      <w:r>
        <w:rPr>
          <w:rFonts w:ascii="仿宋" w:hAnsi="仿宋" w:eastAsia="仿宋"/>
          <w:color w:val="auto"/>
          <w:sz w:val="24"/>
          <w:highlight w:val="none"/>
        </w:rPr>
        <w:t>/</w:t>
      </w:r>
      <w:r>
        <w:rPr>
          <w:rFonts w:hint="eastAsia" w:ascii="仿宋" w:hAnsi="仿宋" w:eastAsia="仿宋"/>
          <w:color w:val="auto"/>
          <w:sz w:val="24"/>
          <w:highlight w:val="none"/>
        </w:rPr>
        <w:t>仲裁，乙方同意承担甲方因此而支出的全部诉讼费、律师费、调查费、交通费及其他合理费用。</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十三、未经甲方书面同意，乙方不得将本合同的工作内容全部或部分转让给任何第三人。</w:t>
      </w:r>
      <w:r>
        <w:rPr>
          <w:rFonts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十四、乙方声明、陈述和保证其是合法设立并有效存续的独立法人，其授权代表已获得法人授权可代表其签署合同。</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color w:val="auto"/>
          <w:sz w:val="24"/>
          <w:highlight w:val="none"/>
        </w:rPr>
        <w:t xml:space="preserve"> </w:t>
      </w:r>
    </w:p>
    <w:p>
      <w:pPr>
        <w:rPr>
          <w:rFonts w:ascii="仿宋" w:hAnsi="仿宋" w:eastAsia="仿宋"/>
          <w:b/>
          <w:color w:val="auto"/>
          <w:sz w:val="24"/>
          <w:highlight w:val="none"/>
        </w:rPr>
      </w:pPr>
      <w:r>
        <w:rPr>
          <w:rFonts w:hint="eastAsia" w:ascii="仿宋" w:hAnsi="仿宋" w:eastAsia="仿宋"/>
          <w:b/>
          <w:color w:val="auto"/>
          <w:sz w:val="24"/>
          <w:highlight w:val="none"/>
        </w:rPr>
        <w:br w:type="page"/>
      </w:r>
    </w:p>
    <w:p>
      <w:pPr>
        <w:spacing w:line="400" w:lineRule="exact"/>
        <w:ind w:firstLine="482" w:firstLineChars="200"/>
        <w:jc w:val="center"/>
        <w:rPr>
          <w:rFonts w:ascii="仿宋" w:hAnsi="仿宋" w:eastAsia="仿宋"/>
          <w:b/>
          <w:color w:val="auto"/>
          <w:sz w:val="24"/>
          <w:highlight w:val="none"/>
        </w:rPr>
      </w:pPr>
      <w:r>
        <w:rPr>
          <w:rFonts w:hint="eastAsia" w:ascii="仿宋" w:hAnsi="仿宋" w:eastAsia="仿宋"/>
          <w:b/>
          <w:color w:val="auto"/>
          <w:sz w:val="24"/>
          <w:highlight w:val="none"/>
        </w:rPr>
        <w:t>第二部分 专用条款</w:t>
      </w:r>
    </w:p>
    <w:p>
      <w:pPr>
        <w:spacing w:line="400" w:lineRule="exact"/>
        <w:ind w:firstLine="361" w:firstLineChars="150"/>
        <w:jc w:val="left"/>
        <w:rPr>
          <w:rFonts w:ascii="仿宋" w:hAnsi="仿宋" w:eastAsia="仿宋"/>
          <w:b/>
          <w:color w:val="auto"/>
          <w:sz w:val="24"/>
          <w:highlight w:val="none"/>
        </w:rPr>
      </w:pPr>
      <w:r>
        <w:rPr>
          <w:rFonts w:hint="eastAsia" w:ascii="仿宋" w:hAnsi="仿宋" w:eastAsia="仿宋"/>
          <w:b/>
          <w:color w:val="auto"/>
          <w:sz w:val="24"/>
          <w:highlight w:val="none"/>
        </w:rPr>
        <w:t>一、</w:t>
      </w:r>
      <w:r>
        <w:rPr>
          <w:rFonts w:ascii="仿宋" w:hAnsi="仿宋" w:eastAsia="仿宋"/>
          <w:b/>
          <w:color w:val="auto"/>
          <w:sz w:val="24"/>
          <w:highlight w:val="none"/>
        </w:rPr>
        <w:t xml:space="preserve"> </w:t>
      </w:r>
      <w:r>
        <w:rPr>
          <w:rFonts w:hint="eastAsia" w:ascii="仿宋" w:hAnsi="仿宋" w:eastAsia="仿宋"/>
          <w:b/>
          <w:color w:val="auto"/>
          <w:sz w:val="24"/>
          <w:highlight w:val="none"/>
        </w:rPr>
        <w:t>合同标的</w:t>
      </w:r>
      <w:r>
        <w:rPr>
          <w:rFonts w:ascii="仿宋" w:hAnsi="仿宋" w:eastAsia="仿宋"/>
          <w:b/>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、货物</w:t>
      </w:r>
      <w:r>
        <w:rPr>
          <w:rFonts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注</w:t>
      </w:r>
      <w:r>
        <w:rPr>
          <w:rFonts w:ascii="仿宋" w:hAnsi="仿宋" w:eastAsia="仿宋"/>
          <w:color w:val="auto"/>
          <w:sz w:val="24"/>
          <w:highlight w:val="none"/>
        </w:rPr>
        <w:t>:</w:t>
      </w:r>
      <w:r>
        <w:rPr>
          <w:rFonts w:hint="eastAsia" w:ascii="仿宋" w:hAnsi="仿宋" w:eastAsia="仿宋"/>
          <w:color w:val="auto"/>
          <w:sz w:val="24"/>
          <w:highlight w:val="none"/>
        </w:rPr>
        <w:t>乙方应保证，甲方在中华人民共和国使用该货物或货物的任何一部分时，免受第三方提出的侵犯其专利权、商标权、工业设计权或其他知识产权的起诉。</w:t>
      </w:r>
    </w:p>
    <w:p>
      <w:pPr>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2、数量及价格：详细技术要求见附件</w:t>
      </w:r>
    </w:p>
    <w:p>
      <w:pPr>
        <w:spacing w:line="400" w:lineRule="exact"/>
        <w:ind w:firstLine="480" w:firstLineChars="200"/>
        <w:jc w:val="left"/>
        <w:rPr>
          <w:rFonts w:ascii="仿宋" w:hAnsi="仿宋" w:eastAsia="仿宋"/>
          <w:color w:val="auto"/>
          <w:sz w:val="24"/>
          <w:highlight w:val="none"/>
        </w:rPr>
      </w:pPr>
    </w:p>
    <w:tbl>
      <w:tblPr>
        <w:tblStyle w:val="60"/>
        <w:tblW w:w="86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3"/>
        <w:gridCol w:w="764"/>
        <w:gridCol w:w="1244"/>
        <w:gridCol w:w="836"/>
        <w:gridCol w:w="1045"/>
        <w:gridCol w:w="700"/>
        <w:gridCol w:w="648"/>
        <w:gridCol w:w="1030"/>
        <w:gridCol w:w="802"/>
        <w:gridCol w:w="8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序号</w:t>
            </w:r>
          </w:p>
        </w:tc>
        <w:tc>
          <w:tcPr>
            <w:tcW w:w="76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物品名称</w:t>
            </w:r>
          </w:p>
        </w:tc>
        <w:tc>
          <w:tcPr>
            <w:tcW w:w="12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生产厂家或</w:t>
            </w:r>
          </w:p>
          <w:p>
            <w:pPr>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品牌</w:t>
            </w:r>
          </w:p>
        </w:tc>
        <w:tc>
          <w:tcPr>
            <w:tcW w:w="8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规格</w:t>
            </w:r>
          </w:p>
          <w:p>
            <w:pPr>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型号</w:t>
            </w:r>
          </w:p>
        </w:tc>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技术</w:t>
            </w:r>
          </w:p>
          <w:p>
            <w:pPr>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参数</w:t>
            </w:r>
          </w:p>
        </w:tc>
        <w:tc>
          <w:tcPr>
            <w:tcW w:w="700"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olor w:val="auto"/>
                <w:szCs w:val="21"/>
                <w:highlight w:val="none"/>
              </w:rPr>
            </w:pPr>
          </w:p>
          <w:p>
            <w:pPr>
              <w:spacing w:line="400" w:lineRule="exact"/>
              <w:rPr>
                <w:rFonts w:ascii="仿宋" w:hAnsi="仿宋" w:eastAsia="仿宋"/>
                <w:color w:val="auto"/>
                <w:szCs w:val="21"/>
                <w:highlight w:val="none"/>
              </w:rPr>
            </w:pPr>
            <w:r>
              <w:rPr>
                <w:rFonts w:hint="eastAsia" w:ascii="仿宋" w:hAnsi="仿宋" w:eastAsia="仿宋"/>
                <w:color w:val="auto"/>
                <w:szCs w:val="21"/>
                <w:highlight w:val="none"/>
              </w:rPr>
              <w:t>单位</w:t>
            </w:r>
          </w:p>
        </w:tc>
        <w:tc>
          <w:tcPr>
            <w:tcW w:w="6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数量</w:t>
            </w:r>
          </w:p>
        </w:tc>
        <w:tc>
          <w:tcPr>
            <w:tcW w:w="10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含税</w:t>
            </w:r>
          </w:p>
          <w:p>
            <w:pPr>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单价</w:t>
            </w:r>
          </w:p>
          <w:p>
            <w:pPr>
              <w:spacing w:line="400" w:lineRule="exact"/>
              <w:jc w:val="center"/>
              <w:rPr>
                <w:rFonts w:ascii="仿宋" w:hAnsi="仿宋" w:eastAsia="仿宋"/>
                <w:color w:val="auto"/>
                <w:szCs w:val="21"/>
                <w:highlight w:val="none"/>
              </w:rPr>
            </w:pPr>
            <w:r>
              <w:rPr>
                <w:rFonts w:hint="eastAsia" w:ascii="仿宋" w:hAnsi="仿宋" w:eastAsia="仿宋"/>
                <w:color w:val="auto"/>
                <w:szCs w:val="21"/>
                <w:highlight w:val="none"/>
              </w:rPr>
              <w:t>(元)</w:t>
            </w:r>
          </w:p>
        </w:tc>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auto"/>
                <w:szCs w:val="21"/>
                <w:highlight w:val="none"/>
              </w:rPr>
            </w:pPr>
            <w:r>
              <w:rPr>
                <w:rFonts w:hint="eastAsia" w:ascii="仿宋" w:hAnsi="仿宋" w:eastAsia="仿宋"/>
                <w:color w:val="auto"/>
                <w:szCs w:val="21"/>
                <w:highlight w:val="none"/>
              </w:rPr>
              <w:t>合计</w:t>
            </w:r>
          </w:p>
        </w:tc>
        <w:tc>
          <w:tcPr>
            <w:tcW w:w="861" w:type="dxa"/>
            <w:tcBorders>
              <w:top w:val="single" w:color="auto" w:sz="4" w:space="0"/>
              <w:left w:val="single" w:color="auto" w:sz="4" w:space="0"/>
              <w:bottom w:val="single" w:color="auto" w:sz="4" w:space="0"/>
              <w:right w:val="single" w:color="auto" w:sz="4" w:space="0"/>
            </w:tcBorders>
          </w:tcPr>
          <w:p>
            <w:pPr>
              <w:spacing w:line="400" w:lineRule="exact"/>
              <w:ind w:firstLine="105" w:firstLineChars="50"/>
              <w:rPr>
                <w:rFonts w:ascii="仿宋" w:hAnsi="仿宋" w:eastAsia="仿宋"/>
                <w:color w:val="auto"/>
                <w:szCs w:val="21"/>
                <w:highlight w:val="none"/>
              </w:rPr>
            </w:pPr>
          </w:p>
          <w:p>
            <w:pPr>
              <w:spacing w:line="400" w:lineRule="exact"/>
              <w:ind w:firstLine="105" w:firstLineChars="50"/>
              <w:rPr>
                <w:rFonts w:ascii="仿宋" w:hAnsi="仿宋" w:eastAsia="仿宋"/>
                <w:color w:val="auto"/>
                <w:szCs w:val="21"/>
                <w:highlight w:val="none"/>
              </w:rPr>
            </w:pPr>
            <w:r>
              <w:rPr>
                <w:rFonts w:hint="eastAsia" w:ascii="仿宋" w:hAnsi="仿宋" w:eastAsia="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83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86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83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86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7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83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c>
          <w:tcPr>
            <w:tcW w:w="70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8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olor w:val="auto"/>
                <w:sz w:val="24"/>
                <w:highlight w:val="none"/>
              </w:rPr>
            </w:pPr>
          </w:p>
        </w:tc>
        <w:tc>
          <w:tcPr>
            <w:tcW w:w="861" w:type="dxa"/>
            <w:tcBorders>
              <w:top w:val="single" w:color="auto" w:sz="4" w:space="0"/>
              <w:left w:val="single" w:color="auto" w:sz="4" w:space="0"/>
              <w:bottom w:val="single" w:color="auto" w:sz="4" w:space="0"/>
              <w:right w:val="single" w:color="auto" w:sz="4" w:space="0"/>
            </w:tcBorders>
          </w:tcPr>
          <w:p>
            <w:pPr>
              <w:spacing w:line="400" w:lineRule="exact"/>
              <w:jc w:val="center"/>
              <w:rPr>
                <w:rFonts w:ascii="仿宋" w:hAnsi="仿宋" w:eastAsia="仿宋"/>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613" w:type="dxa"/>
            <w:gridSpan w:val="10"/>
            <w:tcBorders>
              <w:top w:val="single" w:color="auto" w:sz="4" w:space="0"/>
              <w:left w:val="single" w:color="auto" w:sz="4" w:space="0"/>
              <w:bottom w:val="single" w:color="auto" w:sz="4" w:space="0"/>
              <w:right w:val="single" w:color="auto" w:sz="4" w:space="0"/>
            </w:tcBorders>
          </w:tcPr>
          <w:p>
            <w:pPr>
              <w:spacing w:line="400" w:lineRule="exact"/>
              <w:ind w:firstLine="120" w:firstLineChars="50"/>
              <w:rPr>
                <w:rFonts w:ascii="仿宋" w:hAnsi="仿宋" w:eastAsia="仿宋"/>
                <w:color w:val="auto"/>
                <w:sz w:val="24"/>
                <w:highlight w:val="none"/>
              </w:rPr>
            </w:pPr>
            <w:r>
              <w:rPr>
                <w:rFonts w:hint="eastAsia" w:ascii="仿宋" w:hAnsi="仿宋" w:eastAsia="仿宋"/>
                <w:color w:val="auto"/>
                <w:sz w:val="24"/>
                <w:highlight w:val="none"/>
              </w:rPr>
              <w:t>总计：人民币（大写）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613" w:type="dxa"/>
            <w:gridSpan w:val="10"/>
            <w:tcBorders>
              <w:top w:val="single" w:color="auto" w:sz="4" w:space="0"/>
              <w:left w:val="single" w:color="auto" w:sz="4" w:space="0"/>
              <w:bottom w:val="single" w:color="auto" w:sz="4" w:space="0"/>
              <w:right w:val="single" w:color="auto" w:sz="4" w:space="0"/>
            </w:tcBorders>
          </w:tcPr>
          <w:p>
            <w:pPr>
              <w:spacing w:line="400" w:lineRule="exact"/>
              <w:ind w:firstLine="120" w:firstLineChars="50"/>
              <w:jc w:val="left"/>
              <w:rPr>
                <w:rFonts w:ascii="仿宋" w:hAnsi="仿宋" w:eastAsia="仿宋"/>
                <w:color w:val="auto"/>
                <w:sz w:val="24"/>
                <w:highlight w:val="none"/>
              </w:rPr>
            </w:pPr>
            <w:r>
              <w:rPr>
                <w:rFonts w:hint="eastAsia" w:ascii="仿宋" w:hAnsi="仿宋" w:eastAsia="仿宋"/>
                <w:color w:val="auto"/>
                <w:sz w:val="24"/>
                <w:highlight w:val="none"/>
              </w:rPr>
              <w:t>说明：含运输费、装卸费、技术指导、含增值税</w:t>
            </w:r>
          </w:p>
        </w:tc>
      </w:tr>
    </w:tbl>
    <w:p>
      <w:pPr>
        <w:spacing w:line="400" w:lineRule="exact"/>
        <w:jc w:val="left"/>
        <w:rPr>
          <w:rFonts w:ascii="仿宋" w:hAnsi="仿宋" w:eastAsia="仿宋"/>
          <w:color w:val="auto"/>
          <w:sz w:val="24"/>
          <w:highlight w:val="none"/>
        </w:rPr>
      </w:pPr>
    </w:p>
    <w:p>
      <w:pPr>
        <w:spacing w:line="400" w:lineRule="exact"/>
        <w:ind w:firstLine="360" w:firstLineChars="150"/>
        <w:jc w:val="left"/>
        <w:rPr>
          <w:rFonts w:ascii="仿宋" w:hAnsi="仿宋" w:eastAsia="仿宋"/>
          <w:color w:val="auto"/>
          <w:sz w:val="24"/>
          <w:highlight w:val="none"/>
        </w:rPr>
      </w:pPr>
      <w:r>
        <w:rPr>
          <w:rFonts w:hint="eastAsia" w:ascii="仿宋" w:hAnsi="仿宋" w:eastAsia="仿宋"/>
          <w:color w:val="auto"/>
          <w:sz w:val="24"/>
          <w:highlight w:val="none"/>
        </w:rPr>
        <w:t>3、本合同为固定单价，合同总价为人民币大写：</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元整（小写：</w:t>
      </w:r>
      <w:r>
        <w:rPr>
          <w:rFonts w:ascii="Calibri" w:hAnsi="Calibri" w:eastAsia="仿宋" w:cs="Calibri"/>
          <w:color w:val="auto"/>
          <w:sz w:val="24"/>
          <w:highlight w:val="none"/>
        </w:rPr>
        <w:t>¥</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400" w:lineRule="exact"/>
        <w:ind w:firstLine="566" w:firstLineChars="236"/>
        <w:rPr>
          <w:rFonts w:ascii="仿宋" w:hAnsi="仿宋" w:eastAsia="仿宋"/>
          <w:bCs/>
          <w:color w:val="auto"/>
          <w:sz w:val="24"/>
          <w:highlight w:val="none"/>
        </w:rPr>
      </w:pPr>
      <w:r>
        <w:rPr>
          <w:rFonts w:hint="eastAsia" w:ascii="仿宋" w:hAnsi="仿宋" w:eastAsia="仿宋"/>
          <w:color w:val="auto"/>
          <w:sz w:val="24"/>
          <w:highlight w:val="none"/>
        </w:rPr>
        <w:t xml:space="preserve">4、本协议项下的产品规格、参数等内容，必须与招投标文件保持一致，任何一方不得私自更改，如在合同履行过程中，出现合同中约定的产品规格、参数等内容与招投标文件不一致的，以招投标文件规定的内容为准；私自更改产品规格、参数的一方，承担因此给对方造成的一切损失。但因产品升级换代而改变产品规格、参数的情形除外，此种情形需形成书面情况说明，并由双方盖章或签字确认后执行。  </w:t>
      </w:r>
    </w:p>
    <w:p>
      <w:pPr>
        <w:spacing w:line="400" w:lineRule="exact"/>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二、质量保证</w:t>
      </w:r>
    </w:p>
    <w:p>
      <w:pPr>
        <w:spacing w:line="400" w:lineRule="exact"/>
        <w:ind w:firstLine="360" w:firstLineChars="15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400" w:lineRule="exact"/>
        <w:ind w:firstLine="360" w:firstLineChars="15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、乙方保证本合同货物是符合国家技术规格和国家质量标准的出厂原装合格产品，产品型号、数量、规格及技术、质量标准、售后服务必须满足甲方和自治区政府采购合同定点采购要求。</w:t>
      </w:r>
    </w:p>
    <w:p>
      <w:pPr>
        <w:spacing w:line="400" w:lineRule="exact"/>
        <w:ind w:firstLine="360" w:firstLineChars="15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400" w:lineRule="exact"/>
        <w:ind w:firstLine="360" w:firstLineChars="150"/>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400" w:lineRule="exact"/>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三、质量保证期</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1、合同内货物质保期至少为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年，质保期自甲方书面验收合格后，乙方开具发票之日起计算。具体质保期以相关产品生产厂家提供的质保期为准。生产厂家提供的质保期少于</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年的，以</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年为准；生产厂家提供的质保期长于</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pPr>
        <w:spacing w:line="400" w:lineRule="exact"/>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四、交货（或安装）时间、地点</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1、乙方于</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日前将货物送达（并安装调试完毕）至以下指定地点：</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，并确保在</w:t>
      </w:r>
      <w:r>
        <w:rPr>
          <w:rFonts w:hint="eastAsia" w:ascii="仿宋" w:hAnsi="仿宋" w:eastAsia="仿宋"/>
          <w:color w:val="auto"/>
          <w:sz w:val="24"/>
          <w:highlight w:val="none"/>
          <w:u w:val="single"/>
        </w:rPr>
        <w:t xml:space="preserve"> </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天内配合甲方完成验收工作。</w:t>
      </w:r>
    </w:p>
    <w:p>
      <w:pPr>
        <w:spacing w:line="400" w:lineRule="exact"/>
        <w:ind w:firstLine="360" w:firstLineChars="150"/>
        <w:rPr>
          <w:rFonts w:ascii="仿宋" w:hAnsi="仿宋" w:eastAsia="仿宋"/>
          <w:color w:val="auto"/>
          <w:sz w:val="24"/>
          <w:highlight w:val="none"/>
          <w:u w:val="single"/>
        </w:rPr>
      </w:pPr>
      <w:r>
        <w:rPr>
          <w:rFonts w:hint="eastAsia" w:ascii="仿宋" w:hAnsi="仿宋" w:eastAsia="仿宋"/>
          <w:color w:val="auto"/>
          <w:sz w:val="24"/>
          <w:highlight w:val="none"/>
        </w:rPr>
        <w:t>2、到货地点和接货单位（或接货人）</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。甲方指定的接货人为：姓名：</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，身份证号：</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；双方明确，除该指定接货人外，其他任何人员（包括甲方的其他任何工作人员）签署的接货单，甲方均不予认可。</w:t>
      </w:r>
    </w:p>
    <w:p>
      <w:pPr>
        <w:spacing w:line="400" w:lineRule="exact"/>
        <w:rPr>
          <w:rFonts w:ascii="仿宋" w:hAnsi="仿宋" w:eastAsia="仿宋"/>
          <w:color w:val="auto"/>
          <w:sz w:val="24"/>
          <w:highlight w:val="none"/>
        </w:rPr>
      </w:pPr>
      <w:r>
        <w:rPr>
          <w:rFonts w:hint="eastAsia" w:ascii="仿宋" w:hAnsi="仿宋" w:eastAsia="仿宋"/>
          <w:color w:val="auto"/>
          <w:sz w:val="24"/>
          <w:highlight w:val="none"/>
        </w:rPr>
        <w:t xml:space="preserve">   3、在交付时，乙方必须向甲方提供保修凭证等一切相关资料及配件，否则，甲方有权不予付款且不承担违约责任。</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4、货物交付完成且经甲方验收合格前，本合同项下商品的损毁灭失风险由乙方承担，货物交付完成且经甲方验收合格后，商品的所有权及损毁灭失风险转移至甲方。（若需安装、调试）由乙方负责安装调试，安装调试完毕且经甲方外观及设备整体质量验收完成之日起算的30天后无质量问题的且经过甲方书面验收合格后视为交货合格。乙方应承担货物外观验收完成之日前毁损灭失风险。</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5、在安装期间，因物件发生的事故及人身伤亡，由乙方承担责任。与甲方无关，甲方不付相关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乙方放弃在上述甲方连带责任支付赔偿款项条件下的抗辩权利。现场设施维护由乙方负责。与甲方无关，甲方不付相关责任。</w:t>
      </w:r>
    </w:p>
    <w:p>
      <w:pPr>
        <w:spacing w:line="400" w:lineRule="exact"/>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五、产品包装及运输</w:t>
      </w:r>
    </w:p>
    <w:p>
      <w:pPr>
        <w:spacing w:line="400" w:lineRule="exact"/>
        <w:ind w:firstLine="360" w:firstLineChars="15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１、包装必须与运输方式相适应，包装方式的确定和包装费用均由乙方负责</w:t>
      </w:r>
      <w:r>
        <w:rPr>
          <w:rFonts w:ascii="仿宋" w:hAnsi="仿宋" w:eastAsia="仿宋" w:cs="Bookman Old Style"/>
          <w:bCs/>
          <w:color w:val="auto"/>
          <w:sz w:val="24"/>
          <w:highlight w:val="none"/>
        </w:rPr>
        <w:t>;</w:t>
      </w:r>
      <w:r>
        <w:rPr>
          <w:rFonts w:hint="eastAsia" w:ascii="仿宋" w:hAnsi="仿宋" w:eastAsia="仿宋" w:cs="Bookman Old Style"/>
          <w:bCs/>
          <w:color w:val="auto"/>
          <w:sz w:val="24"/>
          <w:highlight w:val="none"/>
        </w:rPr>
        <w:t>由于不适当的包装而造成的货物有任何的损坏由乙方负责。</w:t>
      </w:r>
      <w:r>
        <w:rPr>
          <w:rFonts w:ascii="仿宋" w:hAnsi="仿宋" w:eastAsia="仿宋" w:cs="Bookman Old Style"/>
          <w:bCs/>
          <w:color w:val="auto"/>
          <w:sz w:val="24"/>
          <w:highlight w:val="none"/>
        </w:rPr>
        <w:t xml:space="preserve"> </w:t>
      </w:r>
    </w:p>
    <w:p>
      <w:pPr>
        <w:spacing w:line="400" w:lineRule="exact"/>
        <w:ind w:firstLine="360" w:firstLineChars="15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auto"/>
          <w:sz w:val="24"/>
          <w:highlight w:val="none"/>
        </w:rPr>
        <w:t xml:space="preserve"> </w:t>
      </w:r>
    </w:p>
    <w:p>
      <w:pPr>
        <w:spacing w:line="400" w:lineRule="exact"/>
        <w:ind w:firstLine="360" w:firstLineChars="15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3、包装费、运输费、装卸费和保险费均已包含在合同单价内。</w:t>
      </w:r>
    </w:p>
    <w:p>
      <w:pPr>
        <w:spacing w:line="400" w:lineRule="exact"/>
        <w:ind w:firstLine="360" w:firstLineChars="15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4、运输途中的货物安全问题均由乙方负责。</w:t>
      </w:r>
    </w:p>
    <w:p>
      <w:pPr>
        <w:spacing w:line="400" w:lineRule="exact"/>
        <w:ind w:firstLine="361" w:firstLineChars="150"/>
        <w:rPr>
          <w:rFonts w:ascii="仿宋" w:hAnsi="仿宋" w:eastAsia="仿宋" w:cs="Bookman Old Style"/>
          <w:bCs/>
          <w:color w:val="auto"/>
          <w:sz w:val="24"/>
          <w:highlight w:val="none"/>
        </w:rPr>
      </w:pPr>
      <w:r>
        <w:rPr>
          <w:rFonts w:hint="eastAsia" w:ascii="仿宋" w:hAnsi="仿宋" w:eastAsia="仿宋"/>
          <w:b/>
          <w:color w:val="auto"/>
          <w:sz w:val="24"/>
          <w:highlight w:val="none"/>
        </w:rPr>
        <w:t>六、验收</w:t>
      </w:r>
    </w:p>
    <w:p>
      <w:pPr>
        <w:spacing w:line="400" w:lineRule="exact"/>
        <w:ind w:firstLine="360" w:firstLineChars="150"/>
        <w:rPr>
          <w:rFonts w:ascii="仿宋" w:hAnsi="仿宋" w:eastAsia="仿宋"/>
          <w:color w:val="auto"/>
          <w:sz w:val="24"/>
          <w:highlight w:val="none"/>
        </w:rPr>
      </w:pPr>
      <w:r>
        <w:rPr>
          <w:rFonts w:ascii="仿宋" w:hAnsi="仿宋" w:eastAsia="仿宋"/>
          <w:color w:val="auto"/>
          <w:sz w:val="24"/>
          <w:highlight w:val="none"/>
        </w:rPr>
        <w:t>1</w:t>
      </w:r>
      <w:r>
        <w:rPr>
          <w:rFonts w:hint="eastAsia" w:ascii="仿宋" w:hAnsi="仿宋" w:eastAsia="仿宋"/>
          <w:color w:val="auto"/>
          <w:sz w:val="24"/>
          <w:highlight w:val="none"/>
        </w:rPr>
        <w:t>、在交货前，乙方应确保制造商对货物的有关内在和外观质量、规格、性能、数量和重量进行准确的和全面的检验，并出具货物符合合同规定的验收单。该验收单将作为申请付款单据的必要条件。但不应视为是对质量、规格、性能、数量的最终定论。</w:t>
      </w:r>
    </w:p>
    <w:p>
      <w:pPr>
        <w:spacing w:line="400" w:lineRule="exact"/>
        <w:ind w:firstLine="360" w:firstLineChars="150"/>
        <w:rPr>
          <w:rFonts w:ascii="仿宋" w:hAnsi="仿宋" w:eastAsia="仿宋"/>
          <w:color w:val="auto"/>
          <w:sz w:val="24"/>
          <w:highlight w:val="none"/>
        </w:rPr>
      </w:pPr>
      <w:r>
        <w:rPr>
          <w:rFonts w:ascii="仿宋" w:hAnsi="仿宋" w:eastAsia="仿宋"/>
          <w:color w:val="auto"/>
          <w:sz w:val="24"/>
          <w:highlight w:val="none"/>
        </w:rPr>
        <w:t>2</w:t>
      </w:r>
      <w:r>
        <w:rPr>
          <w:rFonts w:hint="eastAsia" w:ascii="仿宋" w:hAnsi="仿宋" w:eastAsia="仿宋"/>
          <w:color w:val="auto"/>
          <w:sz w:val="24"/>
          <w:highlight w:val="none"/>
        </w:rPr>
        <w:t>、数量</w:t>
      </w:r>
      <w:r>
        <w:rPr>
          <w:rFonts w:ascii="仿宋" w:hAnsi="仿宋" w:eastAsia="仿宋"/>
          <w:color w:val="auto"/>
          <w:sz w:val="24"/>
          <w:highlight w:val="none"/>
        </w:rPr>
        <w:t xml:space="preserve">: </w:t>
      </w:r>
      <w:r>
        <w:rPr>
          <w:rFonts w:hint="eastAsia" w:ascii="仿宋" w:hAnsi="仿宋" w:eastAsia="仿宋"/>
          <w:color w:val="auto"/>
          <w:sz w:val="24"/>
          <w:highlight w:val="none"/>
        </w:rPr>
        <w:t>乙方交货时，甲乙双方应各指定一名工作人员对货物数量进行统计，交货完成后，就甲方验收合格的货物数量，由双方各自指定的工作人员在交货清单上签字确认，交货清单一式两份，作为今后双方结算的依据。</w:t>
      </w:r>
      <w:r>
        <w:rPr>
          <w:rFonts w:ascii="仿宋" w:hAnsi="仿宋" w:eastAsia="仿宋"/>
          <w:color w:val="auto"/>
          <w:sz w:val="24"/>
          <w:highlight w:val="none"/>
        </w:rPr>
        <w:t xml:space="preserve"> </w:t>
      </w:r>
    </w:p>
    <w:p>
      <w:pPr>
        <w:spacing w:line="400" w:lineRule="exact"/>
        <w:ind w:firstLine="360" w:firstLineChars="15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color w:val="auto"/>
          <w:sz w:val="24"/>
          <w:highlight w:val="none"/>
        </w:rPr>
        <w:t xml:space="preserve"> </w:t>
      </w:r>
    </w:p>
    <w:p>
      <w:pPr>
        <w:spacing w:line="400" w:lineRule="exact"/>
        <w:ind w:firstLine="360" w:firstLineChars="150"/>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400" w:lineRule="exact"/>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七、售后服务</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上述产品的免费保修期为交货并验收合格后</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免费更换时间为交货并验收合格后</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w:t>
      </w:r>
    </w:p>
    <w:p>
      <w:pPr>
        <w:spacing w:line="400" w:lineRule="exact"/>
        <w:ind w:firstLine="360" w:firstLineChars="150"/>
        <w:rPr>
          <w:rFonts w:ascii="仿宋" w:hAnsi="仿宋" w:eastAsia="仿宋"/>
          <w:color w:val="auto"/>
          <w:sz w:val="24"/>
          <w:highlight w:val="none"/>
          <w:u w:val="single"/>
        </w:rPr>
      </w:pPr>
      <w:r>
        <w:rPr>
          <w:rFonts w:hint="eastAsia" w:ascii="仿宋" w:hAnsi="仿宋" w:eastAsia="仿宋"/>
          <w:color w:val="auto"/>
          <w:sz w:val="24"/>
          <w:highlight w:val="none"/>
        </w:rPr>
        <w:t>乙方售后服务联系人</w:t>
      </w:r>
      <w:r>
        <w:rPr>
          <w:rFonts w:ascii="仿宋" w:hAnsi="仿宋" w:eastAsia="仿宋"/>
          <w:color w:val="auto"/>
          <w:sz w:val="24"/>
          <w:highlight w:val="none"/>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w:t>
      </w:r>
    </w:p>
    <w:p>
      <w:pPr>
        <w:spacing w:line="400" w:lineRule="exact"/>
        <w:ind w:firstLine="360" w:firstLineChars="150"/>
        <w:rPr>
          <w:rFonts w:ascii="仿宋" w:hAnsi="仿宋" w:eastAsia="仿宋"/>
          <w:color w:val="auto"/>
          <w:sz w:val="24"/>
          <w:highlight w:val="none"/>
          <w:u w:val="single"/>
        </w:rPr>
      </w:pPr>
      <w:r>
        <w:rPr>
          <w:rFonts w:hint="eastAsia" w:ascii="仿宋" w:hAnsi="仿宋" w:eastAsia="仿宋"/>
          <w:color w:val="auto"/>
          <w:sz w:val="24"/>
          <w:highlight w:val="none"/>
        </w:rPr>
        <w:t>联系电话</w:t>
      </w:r>
      <w:r>
        <w:rPr>
          <w:rFonts w:hint="eastAsia" w:ascii="仿宋" w:hAnsi="仿宋" w:eastAsia="仿宋"/>
          <w:color w:val="auto"/>
          <w:sz w:val="24"/>
          <w:highlight w:val="none"/>
          <w:u w:val="single"/>
        </w:rPr>
        <w:t xml:space="preserve">                      。</w:t>
      </w:r>
      <w:r>
        <w:rPr>
          <w:rFonts w:ascii="仿宋" w:hAnsi="仿宋" w:eastAsia="仿宋"/>
          <w:color w:val="auto"/>
          <w:sz w:val="24"/>
          <w:highlight w:val="none"/>
        </w:rPr>
        <w:t xml:space="preserve"> </w:t>
      </w:r>
    </w:p>
    <w:p>
      <w:pPr>
        <w:spacing w:line="400" w:lineRule="exact"/>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八、货款的支付</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1、原则上不支付预付款。合同签订后第一批耗材到货验收合格后支付合同价款的30%，全部耗材供货完毕并验收合格后支付合同价款的70%。</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2、甲方支付上述任何一笔款项前，乙方应提供符合甲方财务做账要求的正规增值税发票，否则，甲方有权拒付款项且不承担违约责任。</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3、乙方银行账户信息：</w:t>
      </w:r>
    </w:p>
    <w:p>
      <w:pPr>
        <w:spacing w:line="400" w:lineRule="exact"/>
        <w:ind w:firstLine="560"/>
        <w:rPr>
          <w:rFonts w:ascii="仿宋" w:hAnsi="仿宋" w:eastAsia="仿宋"/>
          <w:color w:val="auto"/>
          <w:sz w:val="24"/>
          <w:highlight w:val="none"/>
          <w:u w:val="single"/>
        </w:rPr>
      </w:pPr>
      <w:r>
        <w:rPr>
          <w:rFonts w:hint="eastAsia" w:ascii="仿宋" w:hAnsi="仿宋" w:eastAsia="仿宋"/>
          <w:color w:val="auto"/>
          <w:sz w:val="24"/>
          <w:highlight w:val="none"/>
        </w:rPr>
        <w:t>开 户 行：</w:t>
      </w:r>
      <w:r>
        <w:rPr>
          <w:rFonts w:hint="eastAsia" w:ascii="仿宋" w:hAnsi="仿宋" w:eastAsia="仿宋"/>
          <w:color w:val="auto"/>
          <w:sz w:val="24"/>
          <w:highlight w:val="none"/>
          <w:u w:val="single"/>
        </w:rPr>
        <w:t xml:space="preserve">                   </w:t>
      </w:r>
    </w:p>
    <w:p>
      <w:pPr>
        <w:spacing w:line="400" w:lineRule="exact"/>
        <w:ind w:firstLine="560"/>
        <w:rPr>
          <w:rFonts w:ascii="仿宋" w:hAnsi="仿宋" w:eastAsia="仿宋"/>
          <w:color w:val="auto"/>
          <w:sz w:val="24"/>
          <w:highlight w:val="none"/>
          <w:u w:val="single"/>
        </w:rPr>
      </w:pPr>
      <w:r>
        <w:rPr>
          <w:rFonts w:hint="eastAsia" w:ascii="仿宋" w:hAnsi="仿宋" w:eastAsia="仿宋"/>
          <w:color w:val="auto"/>
          <w:sz w:val="24"/>
          <w:highlight w:val="none"/>
        </w:rPr>
        <w:t>账户名称：</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pPr>
        <w:spacing w:line="400" w:lineRule="exact"/>
        <w:ind w:firstLine="560"/>
        <w:rPr>
          <w:rFonts w:ascii="仿宋" w:hAnsi="仿宋" w:eastAsia="仿宋"/>
          <w:color w:val="auto"/>
          <w:sz w:val="24"/>
          <w:highlight w:val="none"/>
          <w:u w:val="single"/>
        </w:rPr>
      </w:pPr>
      <w:r>
        <w:rPr>
          <w:rFonts w:hint="eastAsia" w:ascii="仿宋" w:hAnsi="仿宋" w:eastAsia="仿宋"/>
          <w:color w:val="auto"/>
          <w:sz w:val="24"/>
          <w:highlight w:val="none"/>
        </w:rPr>
        <w:t>银行账号：</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 xml:space="preserve">               </w:t>
      </w:r>
    </w:p>
    <w:p>
      <w:pPr>
        <w:spacing w:line="400" w:lineRule="exact"/>
        <w:ind w:firstLine="480" w:firstLineChars="200"/>
        <w:jc w:val="left"/>
        <w:rPr>
          <w:rFonts w:ascii="仿宋" w:hAnsi="仿宋" w:eastAsia="仿宋"/>
          <w:color w:val="auto"/>
          <w:sz w:val="24"/>
          <w:highlight w:val="none"/>
        </w:rPr>
      </w:pPr>
      <w:r>
        <w:rPr>
          <w:rFonts w:hint="eastAsia" w:ascii="仿宋" w:hAnsi="仿宋" w:eastAsia="仿宋"/>
          <w:color w:val="auto"/>
          <w:sz w:val="24"/>
          <w:highlight w:val="none"/>
        </w:rPr>
        <w:t xml:space="preserve">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 </w:t>
      </w:r>
      <w:r>
        <w:rPr>
          <w:rFonts w:ascii="仿宋" w:hAnsi="仿宋" w:eastAsia="仿宋"/>
          <w:color w:val="auto"/>
          <w:sz w:val="24"/>
          <w:highlight w:val="none"/>
        </w:rPr>
        <w:t xml:space="preserve"> </w:t>
      </w:r>
    </w:p>
    <w:p>
      <w:pPr>
        <w:spacing w:line="400" w:lineRule="exact"/>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九、违约责任</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1、甲方违约责任</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2、乙方违约责任</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1）乙方应严格按照合同约定的时间交货并完成安装调试等一切相关工作，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w:t>
      </w:r>
      <w:r>
        <w:rPr>
          <w:rFonts w:ascii="仿宋" w:hAnsi="仿宋" w:eastAsia="仿宋"/>
          <w:color w:val="auto"/>
          <w:sz w:val="24"/>
          <w:highlight w:val="none"/>
        </w:rPr>
        <w:t>0%</w:t>
      </w:r>
      <w:r>
        <w:rPr>
          <w:rFonts w:hint="eastAsia" w:ascii="仿宋" w:hAnsi="仿宋" w:eastAsia="仿宋"/>
          <w:color w:val="auto"/>
          <w:sz w:val="24"/>
          <w:highlight w:val="none"/>
        </w:rPr>
        <w:t>的违约金，乙方支付上述违约金不足以赔偿甲方损失的，甲方有权另行向乙方索赔（包括但不限于第三方索赔、律师费、诉讼费、鉴定费、公证费、差旅费等甲方采取诉讼途径发生的一切费用）。</w:t>
      </w:r>
    </w:p>
    <w:p>
      <w:pPr>
        <w:spacing w:line="400" w:lineRule="exact"/>
        <w:ind w:firstLine="360" w:firstLineChars="150"/>
        <w:rPr>
          <w:rFonts w:ascii="仿宋" w:hAnsi="仿宋" w:eastAsia="仿宋"/>
          <w:color w:val="auto"/>
          <w:sz w:val="24"/>
          <w:highlight w:val="none"/>
        </w:rPr>
      </w:pPr>
      <w:r>
        <w:rPr>
          <w:rFonts w:hint="eastAsia" w:ascii="仿宋" w:hAnsi="仿宋" w:eastAsia="仿宋"/>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400" w:lineRule="exact"/>
        <w:ind w:firstLine="360" w:firstLineChars="150"/>
        <w:rPr>
          <w:rFonts w:ascii="仿宋" w:hAnsi="仿宋" w:eastAsia="仿宋"/>
          <w:color w:val="auto"/>
          <w:sz w:val="24"/>
          <w:highlight w:val="none"/>
        </w:rPr>
      </w:pPr>
      <w:r>
        <w:rPr>
          <w:rFonts w:ascii="仿宋" w:hAnsi="仿宋" w:eastAsia="仿宋"/>
          <w:color w:val="auto"/>
          <w:sz w:val="24"/>
          <w:highlight w:val="none"/>
        </w:rPr>
        <w:t>3</w:t>
      </w:r>
      <w:r>
        <w:rPr>
          <w:rFonts w:hint="eastAsia" w:ascii="仿宋" w:hAnsi="仿宋" w:eastAsia="仿宋"/>
          <w:color w:val="auto"/>
          <w:sz w:val="24"/>
          <w:highlight w:val="none"/>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400" w:lineRule="exact"/>
        <w:ind w:firstLine="360" w:firstLineChars="150"/>
        <w:rPr>
          <w:rFonts w:ascii="仿宋" w:hAnsi="仿宋" w:eastAsia="仿宋"/>
          <w:color w:val="auto"/>
          <w:sz w:val="24"/>
          <w:highlight w:val="none"/>
        </w:rPr>
      </w:pPr>
      <w:r>
        <w:rPr>
          <w:rFonts w:ascii="仿宋" w:hAnsi="仿宋" w:eastAsia="仿宋"/>
          <w:color w:val="auto"/>
          <w:sz w:val="24"/>
          <w:highlight w:val="none"/>
        </w:rPr>
        <w:t>4</w:t>
      </w:r>
      <w:r>
        <w:rPr>
          <w:rFonts w:hint="eastAsia" w:ascii="仿宋" w:hAnsi="仿宋" w:eastAsia="仿宋"/>
          <w:color w:val="auto"/>
          <w:sz w:val="24"/>
          <w:highlight w:val="none"/>
        </w:rPr>
        <w:t>）乙方在协议供货有效期内违反本有关质量保证及售后服务的，甲方有权要求乙方支付合同总价款2</w:t>
      </w:r>
      <w:r>
        <w:rPr>
          <w:rFonts w:ascii="仿宋" w:hAnsi="仿宋" w:eastAsia="仿宋"/>
          <w:color w:val="auto"/>
          <w:sz w:val="24"/>
          <w:highlight w:val="none"/>
        </w:rPr>
        <w:t>0%</w:t>
      </w:r>
      <w:r>
        <w:rPr>
          <w:rFonts w:hint="eastAsia" w:ascii="仿宋" w:hAnsi="仿宋" w:eastAsia="仿宋"/>
          <w:color w:val="auto"/>
          <w:sz w:val="24"/>
          <w:highlight w:val="none"/>
        </w:rPr>
        <w:t>的违约金，乙方支付上述违约金不足以赔偿甲方损失的，甲方有权另行向乙方索赔（包括但不限于第三方索赔、律师费、诉讼费、鉴定费、公证费、差旅费等甲方采取诉讼途径发生的一切费用）。</w:t>
      </w:r>
    </w:p>
    <w:p>
      <w:pPr>
        <w:spacing w:line="400" w:lineRule="exact"/>
        <w:ind w:firstLine="360" w:firstLineChars="150"/>
        <w:rPr>
          <w:rFonts w:ascii="仿宋" w:hAnsi="仿宋" w:eastAsia="仿宋" w:cs="Bookman Old Style"/>
          <w:color w:val="auto"/>
          <w:sz w:val="24"/>
          <w:highlight w:val="none"/>
        </w:rPr>
      </w:pPr>
      <w:r>
        <w:rPr>
          <w:rFonts w:ascii="仿宋" w:hAnsi="仿宋" w:eastAsia="仿宋" w:cs="Bookman Old Style"/>
          <w:color w:val="auto"/>
          <w:sz w:val="24"/>
          <w:highlight w:val="none"/>
        </w:rPr>
        <w:t>5</w:t>
      </w:r>
      <w:r>
        <w:rPr>
          <w:rFonts w:hint="eastAsia" w:ascii="仿宋" w:hAnsi="仿宋" w:eastAsia="仿宋" w:cs="Bookman Old Style"/>
          <w:color w:val="auto"/>
          <w:sz w:val="24"/>
          <w:highlight w:val="none"/>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400" w:lineRule="exact"/>
        <w:ind w:firstLine="360" w:firstLineChars="150"/>
        <w:rPr>
          <w:rFonts w:ascii="仿宋" w:hAnsi="仿宋" w:eastAsia="仿宋" w:cs="Bookman Old Style"/>
          <w:color w:val="auto"/>
          <w:sz w:val="24"/>
          <w:highlight w:val="none"/>
        </w:rPr>
      </w:pPr>
      <w:r>
        <w:rPr>
          <w:rFonts w:hint="eastAsia" w:ascii="仿宋" w:hAnsi="仿宋" w:eastAsia="仿宋" w:cs="Bookman Old Style"/>
          <w:color w:val="auto"/>
          <w:sz w:val="24"/>
          <w:highlight w:val="none"/>
        </w:rPr>
        <w:t>6）</w:t>
      </w:r>
      <w:r>
        <w:rPr>
          <w:rFonts w:hint="eastAsia" w:ascii="仿宋" w:hAnsi="仿宋" w:eastAsia="仿宋"/>
          <w:color w:val="auto"/>
          <w:sz w:val="24"/>
          <w:highlight w:val="none"/>
        </w:rPr>
        <w:t>本合同签订后，乙方不得以货物市场价格上涨等各种理由断货、中止供货或要求甲方调价，否则，甲方有权解除合同并拒绝支付任何合同款项，乙方向甲方支付合同总价20%的违约金。</w:t>
      </w:r>
    </w:p>
    <w:p>
      <w:pPr>
        <w:spacing w:line="400" w:lineRule="exact"/>
        <w:ind w:firstLine="361" w:firstLineChars="150"/>
        <w:rPr>
          <w:rFonts w:ascii="仿宋" w:hAnsi="仿宋" w:eastAsia="仿宋" w:cs="Bookman Old Style"/>
          <w:b/>
          <w:color w:val="auto"/>
          <w:sz w:val="24"/>
          <w:highlight w:val="none"/>
        </w:rPr>
      </w:pPr>
      <w:r>
        <w:rPr>
          <w:rFonts w:hint="eastAsia" w:ascii="仿宋" w:hAnsi="仿宋" w:eastAsia="仿宋" w:cs="Bookman Old Style"/>
          <w:b/>
          <w:color w:val="auto"/>
          <w:sz w:val="24"/>
          <w:highlight w:val="none"/>
        </w:rPr>
        <w:t>十、不可抗力</w:t>
      </w:r>
    </w:p>
    <w:p>
      <w:pPr>
        <w:spacing w:line="400" w:lineRule="exact"/>
        <w:ind w:firstLine="360" w:firstLineChars="15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400" w:lineRule="exact"/>
        <w:ind w:firstLine="360" w:firstLineChars="150"/>
        <w:rPr>
          <w:rFonts w:ascii="仿宋" w:hAnsi="仿宋" w:eastAsia="仿宋" w:cs="Bookman Old Style"/>
          <w:bCs/>
          <w:color w:val="auto"/>
          <w:sz w:val="24"/>
          <w:highlight w:val="none"/>
        </w:rPr>
      </w:pPr>
      <w:r>
        <w:rPr>
          <w:rFonts w:ascii="仿宋" w:hAnsi="仿宋" w:eastAsia="仿宋" w:cs="Bookman Old Style"/>
          <w:bCs/>
          <w:color w:val="auto"/>
          <w:sz w:val="24"/>
          <w:highlight w:val="none"/>
        </w:rPr>
        <w:t>2</w:t>
      </w:r>
      <w:r>
        <w:rPr>
          <w:rFonts w:hint="eastAsia" w:ascii="仿宋" w:hAnsi="仿宋" w:eastAsia="仿宋" w:cs="Bookman Old Style"/>
          <w:bCs/>
          <w:color w:val="auto"/>
          <w:sz w:val="24"/>
          <w:highlight w:val="none"/>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400" w:lineRule="exact"/>
        <w:ind w:firstLine="361" w:firstLineChars="150"/>
        <w:rPr>
          <w:rFonts w:ascii="仿宋" w:hAnsi="仿宋" w:eastAsia="仿宋" w:cs="Bookman Old Style"/>
          <w:b/>
          <w:color w:val="auto"/>
          <w:sz w:val="24"/>
          <w:highlight w:val="none"/>
        </w:rPr>
      </w:pPr>
      <w:r>
        <w:rPr>
          <w:rFonts w:hint="eastAsia" w:ascii="仿宋" w:hAnsi="仿宋" w:eastAsia="仿宋" w:cs="Bookman Old Style"/>
          <w:b/>
          <w:color w:val="auto"/>
          <w:sz w:val="24"/>
          <w:highlight w:val="none"/>
        </w:rPr>
        <w:t>十一、争议解决</w:t>
      </w:r>
    </w:p>
    <w:p>
      <w:pPr>
        <w:spacing w:line="400" w:lineRule="exact"/>
        <w:ind w:firstLine="360" w:firstLineChars="150"/>
        <w:rPr>
          <w:rFonts w:ascii="仿宋" w:hAnsi="仿宋" w:eastAsia="仿宋" w:cs="Bookman Old Style"/>
          <w:color w:val="auto"/>
          <w:sz w:val="24"/>
          <w:highlight w:val="none"/>
        </w:rPr>
      </w:pPr>
      <w:r>
        <w:rPr>
          <w:rFonts w:hint="eastAsia" w:ascii="仿宋" w:hAnsi="仿宋" w:eastAsia="仿宋" w:cs="Bookman Old Style"/>
          <w:color w:val="auto"/>
          <w:sz w:val="24"/>
          <w:highlight w:val="none"/>
        </w:rPr>
        <w:t>本合同如发生纠纷，当事人双方应当及时协商解决，协商不成时，可向甲方所在地人民法院起诉。</w:t>
      </w:r>
    </w:p>
    <w:p>
      <w:pPr>
        <w:spacing w:line="400" w:lineRule="exact"/>
        <w:ind w:firstLine="361" w:firstLineChars="150"/>
        <w:rPr>
          <w:rFonts w:ascii="仿宋" w:hAnsi="仿宋" w:eastAsia="仿宋" w:cs="Bookman Old Style"/>
          <w:b/>
          <w:bCs/>
          <w:color w:val="auto"/>
          <w:sz w:val="24"/>
          <w:highlight w:val="none"/>
        </w:rPr>
      </w:pPr>
      <w:r>
        <w:rPr>
          <w:rFonts w:hint="eastAsia" w:ascii="仿宋" w:hAnsi="仿宋" w:eastAsia="仿宋" w:cs="Bookman Old Style"/>
          <w:b/>
          <w:bCs/>
          <w:color w:val="auto"/>
          <w:sz w:val="24"/>
          <w:highlight w:val="none"/>
        </w:rPr>
        <w:t>十二、合同的文本及生效</w:t>
      </w:r>
    </w:p>
    <w:p>
      <w:pPr>
        <w:spacing w:line="400" w:lineRule="exact"/>
        <w:ind w:firstLine="360" w:firstLineChars="150"/>
        <w:rPr>
          <w:rFonts w:ascii="仿宋" w:hAnsi="仿宋" w:eastAsia="仿宋" w:cs="Bookman Old Style"/>
          <w:bCs/>
          <w:color w:val="auto"/>
          <w:sz w:val="24"/>
          <w:highlight w:val="none"/>
        </w:rPr>
      </w:pPr>
      <w:r>
        <w:rPr>
          <w:rFonts w:ascii="仿宋" w:hAnsi="仿宋" w:eastAsia="仿宋" w:cs="Bookman Old Style"/>
          <w:bCs/>
          <w:color w:val="auto"/>
          <w:sz w:val="24"/>
          <w:highlight w:val="none"/>
        </w:rPr>
        <w:t>1</w:t>
      </w:r>
      <w:r>
        <w:rPr>
          <w:rFonts w:hint="eastAsia" w:ascii="仿宋" w:hAnsi="仿宋" w:eastAsia="仿宋" w:cs="Bookman Old Style"/>
          <w:bCs/>
          <w:color w:val="auto"/>
          <w:sz w:val="24"/>
          <w:highlight w:val="none"/>
        </w:rPr>
        <w:t>、本合同一式陆份，甲方执肆份、乙方执贰份。</w:t>
      </w:r>
    </w:p>
    <w:p>
      <w:pPr>
        <w:spacing w:line="400" w:lineRule="exact"/>
        <w:ind w:firstLine="360" w:firstLineChars="150"/>
        <w:rPr>
          <w:rFonts w:ascii="仿宋" w:hAnsi="仿宋" w:eastAsia="仿宋" w:cs="Bookman Old Style"/>
          <w:bCs/>
          <w:color w:val="auto"/>
          <w:sz w:val="24"/>
          <w:highlight w:val="none"/>
        </w:rPr>
      </w:pPr>
      <w:r>
        <w:rPr>
          <w:rFonts w:ascii="仿宋" w:hAnsi="仿宋" w:eastAsia="仿宋" w:cs="Bookman Old Style"/>
          <w:bCs/>
          <w:color w:val="auto"/>
          <w:sz w:val="24"/>
          <w:highlight w:val="none"/>
        </w:rPr>
        <w:t>2</w:t>
      </w:r>
      <w:r>
        <w:rPr>
          <w:rFonts w:hint="eastAsia" w:ascii="仿宋" w:hAnsi="仿宋" w:eastAsia="仿宋" w:cs="Bookman Old Style"/>
          <w:bCs/>
          <w:color w:val="auto"/>
          <w:sz w:val="24"/>
          <w:highlight w:val="none"/>
        </w:rPr>
        <w:t>、本合同经双方法定代表人签字或单位盖章或双方委托代理人签字成立生效。</w:t>
      </w:r>
    </w:p>
    <w:p>
      <w:pPr>
        <w:spacing w:line="400" w:lineRule="exact"/>
        <w:ind w:firstLine="360" w:firstLineChars="150"/>
        <w:rPr>
          <w:rFonts w:ascii="仿宋" w:hAnsi="仿宋" w:eastAsia="仿宋" w:cs="Bookman Old Style"/>
          <w:bCs/>
          <w:color w:val="auto"/>
          <w:sz w:val="24"/>
          <w:highlight w:val="none"/>
        </w:rPr>
      </w:pPr>
      <w:r>
        <w:rPr>
          <w:rFonts w:hint="eastAsia" w:ascii="仿宋" w:hAnsi="仿宋" w:eastAsia="仿宋" w:cs="Bookman Old Style"/>
          <w:bCs/>
          <w:color w:val="auto"/>
          <w:sz w:val="24"/>
          <w:highlight w:val="none"/>
        </w:rPr>
        <w:t>3、合同内容如遇国家法律、法规及政策另有规定的，从其规定。</w:t>
      </w:r>
    </w:p>
    <w:p>
      <w:pPr>
        <w:spacing w:line="400" w:lineRule="exact"/>
        <w:ind w:firstLine="361" w:firstLineChars="150"/>
        <w:rPr>
          <w:rFonts w:ascii="仿宋" w:hAnsi="仿宋" w:eastAsia="仿宋"/>
          <w:b/>
          <w:color w:val="auto"/>
          <w:sz w:val="24"/>
          <w:highlight w:val="none"/>
        </w:rPr>
      </w:pPr>
      <w:r>
        <w:rPr>
          <w:rFonts w:hint="eastAsia" w:ascii="仿宋" w:hAnsi="仿宋" w:eastAsia="仿宋"/>
          <w:b/>
          <w:color w:val="auto"/>
          <w:sz w:val="24"/>
          <w:highlight w:val="none"/>
        </w:rPr>
        <w:t>十三、其他约定事项</w:t>
      </w:r>
    </w:p>
    <w:p>
      <w:pPr>
        <w:spacing w:line="400" w:lineRule="exact"/>
        <w:ind w:firstLine="360" w:firstLineChars="150"/>
        <w:rPr>
          <w:rFonts w:ascii="仿宋" w:hAnsi="仿宋" w:eastAsia="仿宋" w:cs="Bookman Old Style"/>
          <w:color w:val="auto"/>
          <w:sz w:val="24"/>
          <w:highlight w:val="none"/>
        </w:rPr>
      </w:pPr>
      <w:r>
        <w:rPr>
          <w:rFonts w:hint="eastAsia" w:ascii="仿宋" w:hAnsi="仿宋" w:eastAsia="仿宋" w:cs="Bookman Old Style"/>
          <w:color w:val="auto"/>
          <w:sz w:val="24"/>
          <w:highlight w:val="none"/>
        </w:rPr>
        <w:t>1、和本合同相关的双方往来函件(包括传真件、电子邮件)与原件具有同等的法律效力，修改无效。</w:t>
      </w:r>
    </w:p>
    <w:p>
      <w:pPr>
        <w:spacing w:line="400" w:lineRule="exact"/>
        <w:ind w:firstLine="360" w:firstLineChars="150"/>
        <w:rPr>
          <w:rFonts w:ascii="仿宋" w:hAnsi="仿宋" w:eastAsia="仿宋" w:cs="Bookman Old Style"/>
          <w:color w:val="auto"/>
          <w:sz w:val="24"/>
          <w:highlight w:val="none"/>
        </w:rPr>
      </w:pPr>
      <w:r>
        <w:rPr>
          <w:rFonts w:ascii="仿宋" w:hAnsi="仿宋" w:eastAsia="仿宋" w:cs="Bookman Old Style"/>
          <w:color w:val="auto"/>
          <w:sz w:val="24"/>
          <w:highlight w:val="none"/>
        </w:rPr>
        <w:t>2</w:t>
      </w:r>
      <w:r>
        <w:rPr>
          <w:rFonts w:hint="eastAsia" w:ascii="仿宋" w:hAnsi="仿宋" w:eastAsia="仿宋" w:cs="Bookman Old Style"/>
          <w:color w:val="auto"/>
          <w:sz w:val="24"/>
          <w:highlight w:val="none"/>
        </w:rPr>
        <w:t>、与本合同有关的招投标文件、答疑附件、合同附件均是本合同不可分割的组成部分，与本合同具有同等法律效力，其他未尽事宜从其规定。</w:t>
      </w:r>
    </w:p>
    <w:p>
      <w:pPr>
        <w:spacing w:line="400" w:lineRule="exact"/>
        <w:ind w:firstLine="360" w:firstLineChars="150"/>
        <w:rPr>
          <w:rFonts w:ascii="仿宋" w:hAnsi="仿宋" w:eastAsia="仿宋" w:cs="Bookman Old Style"/>
          <w:color w:val="auto"/>
          <w:sz w:val="24"/>
          <w:highlight w:val="none"/>
        </w:rPr>
      </w:pPr>
      <w:r>
        <w:rPr>
          <w:rFonts w:ascii="仿宋" w:hAnsi="仿宋" w:eastAsia="仿宋" w:cs="Bookman Old Style"/>
          <w:color w:val="auto"/>
          <w:sz w:val="24"/>
          <w:highlight w:val="none"/>
        </w:rPr>
        <w:t>3</w:t>
      </w:r>
      <w:r>
        <w:rPr>
          <w:rFonts w:hint="eastAsia" w:ascii="仿宋" w:hAnsi="仿宋" w:eastAsia="仿宋" w:cs="Bookman Old Style"/>
          <w:color w:val="auto"/>
          <w:sz w:val="24"/>
          <w:highlight w:val="none"/>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400" w:lineRule="exact"/>
        <w:ind w:firstLine="360" w:firstLineChars="150"/>
        <w:rPr>
          <w:rFonts w:ascii="仿宋" w:hAnsi="仿宋" w:eastAsia="仿宋" w:cs="Bookman Old Style"/>
          <w:color w:val="auto"/>
          <w:sz w:val="24"/>
          <w:highlight w:val="none"/>
        </w:rPr>
      </w:pPr>
      <w:r>
        <w:rPr>
          <w:rFonts w:ascii="仿宋" w:hAnsi="仿宋" w:eastAsia="仿宋" w:cs="Bookman Old Style"/>
          <w:color w:val="auto"/>
          <w:sz w:val="24"/>
          <w:highlight w:val="none"/>
        </w:rPr>
        <w:t>4</w:t>
      </w:r>
      <w:r>
        <w:rPr>
          <w:rFonts w:hint="eastAsia" w:ascii="仿宋" w:hAnsi="仿宋" w:eastAsia="仿宋" w:cs="Bookman Old Style"/>
          <w:color w:val="auto"/>
          <w:sz w:val="24"/>
          <w:highlight w:val="none"/>
        </w:rPr>
        <w:t>、本合同首部双方的联系方式及地址均为双方有效的送达地址，如有一方地址发生变更，应在变更后当日向对方书面通知，如因变更方未及时通知，相对方按合同尾部地址送达的，视为送达成功。</w:t>
      </w:r>
    </w:p>
    <w:p>
      <w:pPr>
        <w:spacing w:line="520" w:lineRule="exact"/>
        <w:ind w:firstLine="360" w:firstLineChars="150"/>
        <w:rPr>
          <w:rFonts w:ascii="仿宋" w:hAnsi="仿宋" w:eastAsia="仿宋"/>
          <w:color w:val="auto"/>
          <w:sz w:val="24"/>
          <w:highlight w:val="none"/>
        </w:rPr>
      </w:pPr>
    </w:p>
    <w:p>
      <w:pPr>
        <w:spacing w:line="520" w:lineRule="exact"/>
        <w:ind w:firstLine="360" w:firstLineChars="150"/>
        <w:rPr>
          <w:rFonts w:ascii="仿宋" w:hAnsi="仿宋" w:eastAsia="仿宋" w:cs="Bookman Old Style"/>
          <w:color w:val="auto"/>
          <w:sz w:val="24"/>
          <w:highlight w:val="none"/>
        </w:rPr>
      </w:pPr>
      <w:r>
        <w:rPr>
          <w:rFonts w:hint="eastAsia" w:ascii="仿宋" w:hAnsi="仿宋" w:eastAsia="仿宋"/>
          <w:color w:val="auto"/>
          <w:sz w:val="24"/>
          <w:highlight w:val="none"/>
        </w:rPr>
        <w:t>（以下无正文，为本合同签署页）</w:t>
      </w:r>
    </w:p>
    <w:p>
      <w:pPr>
        <w:spacing w:line="520" w:lineRule="exact"/>
        <w:rPr>
          <w:rFonts w:ascii="仿宋" w:hAnsi="仿宋" w:eastAsia="仿宋"/>
          <w:color w:val="auto"/>
          <w:sz w:val="24"/>
          <w:highlight w:val="none"/>
        </w:rPr>
      </w:pP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甲方（盖章）：</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乙</w:t>
      </w:r>
      <w:r>
        <w:rPr>
          <w:rFonts w:ascii="仿宋" w:hAnsi="仿宋" w:eastAsia="仿宋"/>
          <w:color w:val="auto"/>
          <w:sz w:val="24"/>
          <w:highlight w:val="none"/>
        </w:rPr>
        <w:t>方（盖章）：</w:t>
      </w: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法人或授权代表（签字）：                法人或授权代表（签字）：</w:t>
      </w: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地址：</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地址：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p>
    <w:p>
      <w:pPr>
        <w:spacing w:line="520" w:lineRule="exact"/>
        <w:rPr>
          <w:rFonts w:ascii="仿宋" w:hAnsi="仿宋" w:eastAsia="仿宋"/>
          <w:color w:val="auto"/>
          <w:sz w:val="24"/>
          <w:highlight w:val="none"/>
        </w:rPr>
      </w:pPr>
      <w:r>
        <w:rPr>
          <w:rFonts w:hint="eastAsia" w:ascii="仿宋" w:hAnsi="仿宋" w:eastAsia="仿宋"/>
          <w:color w:val="auto"/>
          <w:sz w:val="24"/>
          <w:highlight w:val="none"/>
        </w:rPr>
        <w:t>电话：</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电话：</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p>
    <w:p>
      <w:pPr>
        <w:rPr>
          <w:color w:val="auto"/>
          <w:highlight w:val="none"/>
        </w:rPr>
      </w:pPr>
      <w:r>
        <w:rPr>
          <w:rFonts w:hint="eastAsia" w:ascii="仿宋" w:hAnsi="仿宋" w:eastAsia="仿宋"/>
          <w:color w:val="auto"/>
          <w:sz w:val="24"/>
          <w:highlight w:val="none"/>
        </w:rPr>
        <w:t>日期：</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年</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月</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日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w:t>
      </w:r>
      <w:r>
        <w:rPr>
          <w:rFonts w:hint="eastAsia" w:ascii="仿宋" w:hAnsi="仿宋" w:eastAsia="仿宋"/>
          <w:color w:val="auto"/>
          <w:sz w:val="24"/>
          <w:highlight w:val="none"/>
        </w:rPr>
        <w:t>日期：</w:t>
      </w:r>
      <w:r>
        <w:rPr>
          <w:rFonts w:ascii="仿宋" w:hAnsi="仿宋" w:eastAsia="仿宋"/>
          <w:color w:val="auto"/>
          <w:sz w:val="24"/>
          <w:highlight w:val="none"/>
        </w:rPr>
        <w:t xml:space="preserve"> </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年</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 月</w:t>
      </w:r>
      <w:r>
        <w:rPr>
          <w:rFonts w:hint="eastAsia" w:ascii="仿宋" w:hAnsi="仿宋" w:eastAsia="仿宋"/>
          <w:color w:val="auto"/>
          <w:sz w:val="24"/>
          <w:highlight w:val="none"/>
        </w:rPr>
        <w:t xml:space="preserve">  </w:t>
      </w:r>
      <w:r>
        <w:rPr>
          <w:rFonts w:ascii="仿宋" w:hAnsi="仿宋" w:eastAsia="仿宋"/>
          <w:color w:val="auto"/>
          <w:sz w:val="24"/>
          <w:highlight w:val="none"/>
        </w:rPr>
        <w:t xml:space="preserve">日  </w:t>
      </w:r>
      <w:r>
        <w:rPr>
          <w:rFonts w:hint="eastAsia" w:ascii="仿宋" w:hAnsi="仿宋" w:eastAsia="仿宋"/>
          <w:color w:val="auto"/>
          <w:sz w:val="24"/>
          <w:highlight w:val="none"/>
        </w:rPr>
        <w:t xml:space="preserve">        </w:t>
      </w:r>
    </w:p>
    <w:p>
      <w:pPr>
        <w:pStyle w:val="3"/>
        <w:rPr>
          <w:rFonts w:cs="仿宋"/>
          <w:b w:val="0"/>
          <w:bCs/>
          <w:color w:val="auto"/>
          <w:szCs w:val="32"/>
          <w:highlight w:val="none"/>
        </w:rPr>
      </w:pPr>
      <w:r>
        <w:rPr>
          <w:rFonts w:hint="eastAsia" w:cs="仿宋"/>
          <w:b w:val="0"/>
          <w:bCs/>
          <w:color w:val="auto"/>
          <w:szCs w:val="32"/>
          <w:highlight w:val="none"/>
        </w:rPr>
        <w:br w:type="page"/>
      </w:r>
      <w:bookmarkStart w:id="15" w:name="_Toc26746"/>
      <w:r>
        <w:rPr>
          <w:rFonts w:hint="eastAsia" w:cs="仿宋"/>
          <w:bCs/>
          <w:color w:val="auto"/>
          <w:highlight w:val="none"/>
        </w:rPr>
        <w:fldChar w:fldCharType="begin"/>
      </w:r>
      <w:r>
        <w:rPr>
          <w:rFonts w:hint="eastAsia" w:cs="仿宋"/>
          <w:bCs/>
          <w:color w:val="auto"/>
          <w:highlight w:val="none"/>
        </w:rPr>
        <w:instrText xml:space="preserve"> HYPERLINK \l "_Toc26330" </w:instrText>
      </w:r>
      <w:r>
        <w:rPr>
          <w:rFonts w:hint="eastAsia" w:cs="仿宋"/>
          <w:bCs/>
          <w:color w:val="auto"/>
          <w:highlight w:val="none"/>
        </w:rPr>
        <w:fldChar w:fldCharType="separate"/>
      </w:r>
      <w:r>
        <w:rPr>
          <w:rFonts w:hint="eastAsia" w:cs="仿宋"/>
          <w:bCs/>
          <w:color w:val="auto"/>
          <w:szCs w:val="32"/>
          <w:highlight w:val="none"/>
        </w:rPr>
        <w:t>第六章 投标文件格式</w:t>
      </w:r>
      <w:r>
        <w:rPr>
          <w:rFonts w:hint="eastAsia" w:cs="仿宋"/>
          <w:bCs/>
          <w:color w:val="auto"/>
          <w:szCs w:val="32"/>
          <w:highlight w:val="none"/>
        </w:rPr>
        <w:fldChar w:fldCharType="end"/>
      </w:r>
      <w:bookmarkEnd w:id="15"/>
    </w:p>
    <w:p>
      <w:pPr>
        <w:shd w:val="clear" w:color="auto" w:fill="FFFFFF"/>
        <w:spacing w:line="440" w:lineRule="exact"/>
        <w:jc w:val="center"/>
        <w:rPr>
          <w:rFonts w:ascii="仿宋" w:hAnsi="仿宋" w:eastAsia="仿宋" w:cs="仿宋"/>
          <w:bCs/>
          <w:color w:val="auto"/>
          <w:szCs w:val="21"/>
          <w:highlight w:val="none"/>
        </w:rPr>
      </w:pPr>
    </w:p>
    <w:p>
      <w:pPr>
        <w:shd w:val="clear" w:color="auto" w:fill="FFFFFF"/>
        <w:spacing w:line="440" w:lineRule="exac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开标一览表</w:t>
      </w:r>
    </w:p>
    <w:p>
      <w:pPr>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项目名称：                                        项目编号：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投标人名称</w:t>
            </w:r>
          </w:p>
        </w:tc>
        <w:tc>
          <w:tcPr>
            <w:tcW w:w="6984" w:type="dxa"/>
            <w:vAlign w:val="center"/>
          </w:tcPr>
          <w:p>
            <w:pPr>
              <w:shd w:val="clear" w:color="auto" w:fill="FFFFFF"/>
              <w:tabs>
                <w:tab w:val="left" w:pos="3780"/>
              </w:tabs>
              <w:spacing w:line="440" w:lineRule="exact"/>
              <w:ind w:firstLine="480" w:firstLineChars="20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投标总价</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（人民币）</w:t>
            </w:r>
          </w:p>
        </w:tc>
        <w:tc>
          <w:tcPr>
            <w:tcW w:w="6984"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05"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供货期</w:t>
            </w:r>
          </w:p>
        </w:tc>
        <w:tc>
          <w:tcPr>
            <w:tcW w:w="6984"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05"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质保期</w:t>
            </w:r>
          </w:p>
        </w:tc>
        <w:tc>
          <w:tcPr>
            <w:tcW w:w="6984" w:type="dxa"/>
            <w:shd w:val="clear" w:color="auto" w:fill="F3F3F3"/>
            <w:vAlign w:val="center"/>
          </w:tcPr>
          <w:p>
            <w:pPr>
              <w:shd w:val="clear" w:color="auto" w:fill="FFFFFF"/>
              <w:autoSpaceDE w:val="0"/>
              <w:autoSpaceDN w:val="0"/>
              <w:spacing w:line="440" w:lineRule="exact"/>
              <w:rPr>
                <w:rFonts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报价说明</w:t>
            </w:r>
          </w:p>
        </w:tc>
        <w:tc>
          <w:tcPr>
            <w:tcW w:w="6984"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p>
        </w:tc>
      </w:tr>
    </w:tbl>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备注：</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1、投标总报价</w:t>
      </w:r>
      <w:r>
        <w:rPr>
          <w:rFonts w:hint="eastAsia" w:ascii="仿宋" w:hAnsi="仿宋" w:eastAsia="仿宋" w:cs="仿宋"/>
          <w:bCs/>
          <w:color w:val="auto"/>
          <w:sz w:val="24"/>
          <w:highlight w:val="none"/>
        </w:rPr>
        <w:t>以元为单位，小数点后保留2位。</w:t>
      </w:r>
    </w:p>
    <w:p>
      <w:pPr>
        <w:shd w:val="clear" w:color="auto" w:fill="FFFFFF"/>
        <w:adjustRightInd w:val="0"/>
        <w:snapToGrid w:val="0"/>
        <w:spacing w:line="440" w:lineRule="exact"/>
        <w:rPr>
          <w:rFonts w:ascii="仿宋" w:hAnsi="仿宋" w:eastAsia="仿宋" w:cs="仿宋"/>
          <w:color w:val="auto"/>
          <w:kern w:val="0"/>
          <w:sz w:val="24"/>
          <w:highlight w:val="none"/>
        </w:rPr>
      </w:pPr>
      <w:r>
        <w:rPr>
          <w:rFonts w:hint="eastAsia" w:ascii="仿宋" w:hAnsi="仿宋" w:eastAsia="仿宋" w:cs="仿宋"/>
          <w:color w:val="auto"/>
          <w:sz w:val="24"/>
          <w:highlight w:val="none"/>
        </w:rPr>
        <w:t>2、报价应包含货物的采购、包装、运输、装卸、保险、验收、检验等一切费用。</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3、投标人必须自行考虑本项目在实施期间的一切可能产生的费用。在合同执行过程中，招标人将不再另行支付与本项目相关的任何费用（非本项目要求的其它内容除外）。</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4、开标一览表所填内容应与投标报价一览表所填内容相一致。</w:t>
      </w:r>
    </w:p>
    <w:p>
      <w:pPr>
        <w:shd w:val="clear" w:color="auto" w:fill="FFFFFF"/>
        <w:tabs>
          <w:tab w:val="left" w:pos="3780"/>
        </w:tabs>
        <w:spacing w:line="44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5、此表须单独密封提供。</w:t>
      </w:r>
    </w:p>
    <w:p>
      <w:pPr>
        <w:shd w:val="clear" w:color="auto" w:fill="FFFFFF"/>
        <w:tabs>
          <w:tab w:val="left" w:pos="3780"/>
        </w:tabs>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投标人（盖公章）：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w:t>
      </w:r>
    </w:p>
    <w:p>
      <w:pPr>
        <w:rPr>
          <w:rFonts w:ascii="仿宋" w:hAnsi="仿宋" w:eastAsia="仿宋" w:cs="仿宋"/>
          <w:color w:val="auto"/>
          <w:sz w:val="24"/>
          <w:highlight w:val="none"/>
          <w:lang w:val="zh-CN"/>
        </w:rPr>
      </w:pPr>
      <w:r>
        <w:rPr>
          <w:rFonts w:hint="eastAsia" w:ascii="仿宋" w:hAnsi="仿宋" w:eastAsia="仿宋" w:cs="仿宋"/>
          <w:color w:val="auto"/>
          <w:sz w:val="24"/>
          <w:highlight w:val="none"/>
        </w:rPr>
        <w:t>日期：  年  月  日</w:t>
      </w:r>
    </w:p>
    <w:p>
      <w:pPr>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br w:type="page"/>
      </w:r>
    </w:p>
    <w:p>
      <w:pPr>
        <w:widowControl/>
        <w:spacing w:line="440" w:lineRule="exact"/>
        <w:jc w:val="left"/>
        <w:rPr>
          <w:rFonts w:ascii="仿宋" w:hAnsi="仿宋" w:eastAsia="仿宋" w:cs="仿宋"/>
          <w:color w:val="auto"/>
          <w:sz w:val="24"/>
          <w:highlight w:val="none"/>
          <w:lang w:val="zh-CN"/>
        </w:rPr>
      </w:pPr>
    </w:p>
    <w:p>
      <w:pPr>
        <w:widowControl/>
        <w:spacing w:line="440" w:lineRule="exact"/>
        <w:jc w:val="left"/>
        <w:rPr>
          <w:rFonts w:ascii="仿宋" w:hAnsi="仿宋" w:eastAsia="仿宋" w:cs="仿宋"/>
          <w:color w:val="auto"/>
          <w:sz w:val="24"/>
          <w:highlight w:val="none"/>
          <w:lang w:val="zh-CN"/>
        </w:rPr>
      </w:pPr>
    </w:p>
    <w:p>
      <w:pPr>
        <w:widowControl/>
        <w:spacing w:line="440" w:lineRule="exact"/>
        <w:jc w:val="left"/>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（封面示例）</w:t>
      </w:r>
    </w:p>
    <w:p>
      <w:pPr>
        <w:shd w:val="clear" w:color="auto" w:fill="FFFFFF"/>
        <w:spacing w:line="440" w:lineRule="exact"/>
        <w:ind w:firstLine="420"/>
        <w:jc w:val="right"/>
        <w:outlineLvl w:val="0"/>
        <w:rPr>
          <w:rFonts w:ascii="仿宋" w:hAnsi="仿宋" w:eastAsia="仿宋" w:cs="仿宋"/>
          <w:bCs/>
          <w:color w:val="auto"/>
          <w:sz w:val="24"/>
          <w:highlight w:val="none"/>
          <w:lang w:val="zh-CN"/>
        </w:rPr>
      </w:pPr>
      <w:bookmarkStart w:id="16" w:name="_Toc16621"/>
    </w:p>
    <w:p>
      <w:pPr>
        <w:shd w:val="clear" w:color="auto" w:fill="FFFFFF"/>
        <w:spacing w:line="440" w:lineRule="exact"/>
        <w:ind w:firstLine="420"/>
        <w:jc w:val="right"/>
        <w:outlineLvl w:val="0"/>
        <w:rPr>
          <w:rFonts w:ascii="仿宋" w:hAnsi="仿宋" w:eastAsia="仿宋" w:cs="仿宋"/>
          <w:bCs/>
          <w:color w:val="auto"/>
          <w:sz w:val="24"/>
          <w:highlight w:val="none"/>
          <w:lang w:val="zh-CN"/>
        </w:rPr>
      </w:pPr>
      <w:r>
        <w:rPr>
          <w:rFonts w:hint="eastAsia" w:ascii="仿宋" w:hAnsi="仿宋" w:eastAsia="仿宋" w:cs="仿宋"/>
          <w:bCs/>
          <w:color w:val="auto"/>
          <w:sz w:val="24"/>
          <w:highlight w:val="none"/>
          <w:lang w:val="zh-CN"/>
        </w:rPr>
        <w:t>正本</w:t>
      </w:r>
      <w:bookmarkEnd w:id="16"/>
      <w:r>
        <w:rPr>
          <w:rFonts w:hint="eastAsia" w:ascii="仿宋" w:hAnsi="仿宋" w:eastAsia="仿宋" w:cs="仿宋"/>
          <w:bCs/>
          <w:color w:val="auto"/>
          <w:sz w:val="24"/>
          <w:highlight w:val="none"/>
          <w:lang w:val="zh-CN"/>
        </w:rPr>
        <w:t>或副本</w:t>
      </w:r>
    </w:p>
    <w:p>
      <w:pPr>
        <w:shd w:val="clear" w:color="auto" w:fill="FFFFFF"/>
        <w:spacing w:line="440" w:lineRule="exact"/>
        <w:ind w:firstLine="420"/>
        <w:jc w:val="center"/>
        <w:rPr>
          <w:rFonts w:ascii="仿宋" w:hAnsi="仿宋" w:eastAsia="仿宋" w:cs="仿宋"/>
          <w:bCs/>
          <w:color w:val="auto"/>
          <w:sz w:val="24"/>
          <w:highlight w:val="none"/>
          <w:lang w:val="zh-CN"/>
        </w:rPr>
      </w:pPr>
    </w:p>
    <w:p>
      <w:pPr>
        <w:rPr>
          <w:color w:val="auto"/>
          <w:highlight w:val="none"/>
          <w:lang w:val="zh-CN"/>
        </w:rPr>
      </w:pPr>
    </w:p>
    <w:p>
      <w:pPr>
        <w:jc w:val="center"/>
        <w:rPr>
          <w:rFonts w:ascii="仿宋" w:hAnsi="仿宋" w:eastAsia="仿宋" w:cs="仿宋"/>
          <w:b/>
          <w:bCs/>
          <w:color w:val="auto"/>
          <w:sz w:val="36"/>
          <w:szCs w:val="44"/>
          <w:highlight w:val="none"/>
        </w:rPr>
      </w:pPr>
      <w:r>
        <w:rPr>
          <w:rFonts w:hint="eastAsia" w:ascii="仿宋" w:hAnsi="仿宋" w:eastAsia="仿宋" w:cs="仿宋"/>
          <w:b/>
          <w:bCs/>
          <w:color w:val="auto"/>
          <w:sz w:val="36"/>
          <w:szCs w:val="44"/>
          <w:highlight w:val="none"/>
          <w:lang w:val="zh-CN"/>
        </w:rPr>
        <w:t>新疆维吾尔自治区计量测试研究院测量设备采购项目</w:t>
      </w:r>
    </w:p>
    <w:p>
      <w:pPr>
        <w:shd w:val="clear" w:color="auto" w:fill="FFFFFF"/>
        <w:spacing w:line="440" w:lineRule="exact"/>
        <w:ind w:firstLine="420"/>
        <w:jc w:val="center"/>
        <w:outlineLvl w:val="0"/>
        <w:rPr>
          <w:rFonts w:ascii="仿宋" w:hAnsi="仿宋" w:eastAsia="仿宋" w:cs="仿宋"/>
          <w:b/>
          <w:bCs/>
          <w:color w:val="auto"/>
          <w:sz w:val="32"/>
          <w:szCs w:val="32"/>
          <w:highlight w:val="none"/>
        </w:rPr>
      </w:pPr>
      <w:bookmarkStart w:id="17" w:name="_Toc31774"/>
    </w:p>
    <w:p>
      <w:pPr>
        <w:shd w:val="clear" w:color="auto" w:fill="FFFFFF"/>
        <w:spacing w:line="440" w:lineRule="exact"/>
        <w:ind w:firstLine="420"/>
        <w:jc w:val="center"/>
        <w:outlineLvl w:val="0"/>
        <w:rPr>
          <w:rFonts w:hint="eastAsia" w:ascii="仿宋" w:hAnsi="仿宋" w:eastAsia="仿宋" w:cs="仿宋"/>
          <w:b/>
          <w:color w:val="auto"/>
          <w:sz w:val="36"/>
          <w:szCs w:val="36"/>
          <w:highlight w:val="none"/>
          <w:lang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eastAsia="zh-CN"/>
        </w:rPr>
        <w:t>XJRBZB-CG01-2022043-02</w:t>
      </w:r>
    </w:p>
    <w:p>
      <w:pPr>
        <w:shd w:val="clear" w:color="auto" w:fill="FFFFFF"/>
        <w:spacing w:line="440" w:lineRule="exact"/>
        <w:ind w:firstLine="420"/>
        <w:jc w:val="center"/>
        <w:outlineLvl w:val="0"/>
        <w:rPr>
          <w:rFonts w:ascii="仿宋" w:hAnsi="仿宋" w:eastAsia="仿宋" w:cs="仿宋"/>
          <w:b/>
          <w:color w:val="auto"/>
          <w:sz w:val="36"/>
          <w:szCs w:val="36"/>
          <w:highlight w:val="none"/>
          <w:lang w:val="zh-CN"/>
        </w:rPr>
      </w:pPr>
    </w:p>
    <w:p>
      <w:pPr>
        <w:pStyle w:val="28"/>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项目编号：第</w:t>
      </w:r>
      <w:r>
        <w:rPr>
          <w:rFonts w:hint="eastAsia" w:ascii="仿宋" w:hAnsi="仿宋" w:eastAsia="仿宋" w:cs="仿宋"/>
          <w:b/>
          <w:color w:val="auto"/>
          <w:sz w:val="32"/>
          <w:szCs w:val="32"/>
          <w:highlight w:val="none"/>
          <w:u w:val="single"/>
        </w:rPr>
        <w:t xml:space="preserve">   </w:t>
      </w:r>
      <w:r>
        <w:rPr>
          <w:rFonts w:hint="eastAsia" w:ascii="仿宋" w:hAnsi="仿宋" w:eastAsia="仿宋" w:cs="仿宋"/>
          <w:b/>
          <w:color w:val="auto"/>
          <w:sz w:val="32"/>
          <w:szCs w:val="32"/>
          <w:highlight w:val="none"/>
        </w:rPr>
        <w:t>包</w:t>
      </w:r>
    </w:p>
    <w:p>
      <w:pPr>
        <w:pStyle w:val="29"/>
        <w:ind w:firstLine="361"/>
        <w:rPr>
          <w:rFonts w:ascii="仿宋" w:hAnsi="仿宋" w:eastAsia="仿宋" w:cs="仿宋"/>
          <w:b/>
          <w:color w:val="auto"/>
          <w:sz w:val="36"/>
          <w:szCs w:val="36"/>
          <w:highlight w:val="none"/>
          <w:lang w:val="zh-CN"/>
        </w:rPr>
      </w:pPr>
    </w:p>
    <w:p>
      <w:pPr>
        <w:pStyle w:val="29"/>
        <w:ind w:firstLine="361"/>
        <w:rPr>
          <w:rFonts w:ascii="仿宋" w:hAnsi="仿宋" w:eastAsia="仿宋" w:cs="仿宋"/>
          <w:b/>
          <w:color w:val="auto"/>
          <w:sz w:val="36"/>
          <w:szCs w:val="36"/>
          <w:highlight w:val="none"/>
          <w:lang w:val="zh-CN"/>
        </w:rPr>
      </w:pPr>
    </w:p>
    <w:p>
      <w:pPr>
        <w:shd w:val="clear" w:color="auto" w:fill="FFFFFF"/>
        <w:spacing w:line="440" w:lineRule="exact"/>
        <w:ind w:firstLine="420"/>
        <w:jc w:val="center"/>
        <w:outlineLvl w:val="0"/>
        <w:rPr>
          <w:rFonts w:ascii="仿宋" w:hAnsi="仿宋" w:eastAsia="仿宋" w:cs="仿宋"/>
          <w:b/>
          <w:color w:val="auto"/>
          <w:sz w:val="36"/>
          <w:szCs w:val="36"/>
          <w:highlight w:val="none"/>
          <w:lang w:val="zh-CN"/>
        </w:rPr>
      </w:pPr>
      <w:r>
        <w:rPr>
          <w:rFonts w:hint="eastAsia" w:ascii="仿宋" w:hAnsi="仿宋" w:eastAsia="仿宋" w:cs="仿宋"/>
          <w:b/>
          <w:color w:val="auto"/>
          <w:sz w:val="36"/>
          <w:szCs w:val="36"/>
          <w:highlight w:val="none"/>
          <w:lang w:val="zh-CN"/>
        </w:rPr>
        <w:t>投 标 文 件</w:t>
      </w:r>
      <w:bookmarkEnd w:id="17"/>
    </w:p>
    <w:p>
      <w:pPr>
        <w:shd w:val="clear" w:color="auto" w:fill="FFFFFF"/>
        <w:spacing w:line="440" w:lineRule="exact"/>
        <w:ind w:firstLine="420"/>
        <w:jc w:val="center"/>
        <w:rPr>
          <w:rFonts w:ascii="仿宋" w:hAnsi="仿宋" w:eastAsia="仿宋" w:cs="仿宋"/>
          <w:b/>
          <w:bCs/>
          <w:color w:val="auto"/>
          <w:sz w:val="24"/>
          <w:highlight w:val="none"/>
          <w:lang w:val="zh-CN"/>
        </w:rPr>
      </w:pPr>
    </w:p>
    <w:p>
      <w:pPr>
        <w:shd w:val="clear" w:color="auto" w:fill="FFFFFF"/>
        <w:spacing w:line="440" w:lineRule="exact"/>
        <w:ind w:firstLine="420"/>
        <w:jc w:val="center"/>
        <w:rPr>
          <w:rFonts w:ascii="仿宋" w:hAnsi="仿宋" w:eastAsia="仿宋" w:cs="仿宋"/>
          <w:b/>
          <w:bCs/>
          <w:color w:val="auto"/>
          <w:sz w:val="24"/>
          <w:highlight w:val="none"/>
          <w:lang w:val="zh-CN"/>
        </w:rPr>
      </w:pPr>
    </w:p>
    <w:p>
      <w:pPr>
        <w:shd w:val="clear" w:color="auto" w:fill="FFFFFF"/>
        <w:spacing w:line="440" w:lineRule="exact"/>
        <w:ind w:firstLine="420"/>
        <w:jc w:val="center"/>
        <w:rPr>
          <w:rFonts w:ascii="仿宋" w:hAnsi="仿宋" w:eastAsia="仿宋" w:cs="仿宋"/>
          <w:b/>
          <w:bCs/>
          <w:color w:val="auto"/>
          <w:sz w:val="24"/>
          <w:highlight w:val="none"/>
          <w:lang w:val="zh-CN"/>
        </w:rPr>
      </w:pPr>
    </w:p>
    <w:p>
      <w:pPr>
        <w:shd w:val="clear" w:color="auto" w:fill="FFFFFF"/>
        <w:spacing w:line="440" w:lineRule="exact"/>
        <w:ind w:firstLine="420"/>
        <w:jc w:val="center"/>
        <w:rPr>
          <w:rFonts w:ascii="仿宋" w:hAnsi="仿宋" w:eastAsia="仿宋" w:cs="仿宋"/>
          <w:b/>
          <w:bCs/>
          <w:color w:val="auto"/>
          <w:sz w:val="24"/>
          <w:highlight w:val="none"/>
          <w:lang w:val="zh-CN"/>
        </w:rPr>
      </w:pPr>
    </w:p>
    <w:p>
      <w:pPr>
        <w:shd w:val="clear" w:color="auto" w:fill="FFFFFF"/>
        <w:spacing w:line="440" w:lineRule="exact"/>
        <w:ind w:firstLine="240" w:firstLineChars="1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投标人（盖公章）：×××公司</w:t>
      </w:r>
    </w:p>
    <w:p>
      <w:pPr>
        <w:shd w:val="clear" w:color="auto" w:fill="FFFFFF"/>
        <w:spacing w:line="440" w:lineRule="exact"/>
        <w:ind w:firstLine="240" w:firstLineChars="100"/>
        <w:rPr>
          <w:rFonts w:ascii="仿宋" w:hAnsi="仿宋" w:eastAsia="仿宋" w:cs="仿宋"/>
          <w:color w:val="auto"/>
          <w:sz w:val="24"/>
          <w:highlight w:val="none"/>
          <w:lang w:val="zh-CN"/>
        </w:rPr>
      </w:pPr>
      <w:r>
        <w:rPr>
          <w:rFonts w:hint="eastAsia" w:ascii="仿宋" w:hAnsi="仿宋" w:eastAsia="仿宋" w:cs="仿宋"/>
          <w:color w:val="auto"/>
          <w:sz w:val="24"/>
          <w:highlight w:val="none"/>
        </w:rPr>
        <w:t>法定代表人或授权代理人（签章）：</w:t>
      </w:r>
    </w:p>
    <w:p>
      <w:pPr>
        <w:shd w:val="clear" w:color="auto" w:fill="FFFFFF"/>
        <w:spacing w:line="440" w:lineRule="exact"/>
        <w:ind w:firstLine="240" w:firstLineChars="1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地址：</w:t>
      </w:r>
    </w:p>
    <w:p>
      <w:pPr>
        <w:shd w:val="clear" w:color="auto" w:fill="FFFFFF"/>
        <w:spacing w:line="440" w:lineRule="exact"/>
        <w:ind w:firstLine="240" w:firstLineChars="1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w:t>
      </w:r>
    </w:p>
    <w:p>
      <w:pPr>
        <w:shd w:val="clear" w:color="auto" w:fill="FFFFFF"/>
        <w:spacing w:line="440" w:lineRule="exact"/>
        <w:ind w:firstLine="240" w:firstLineChars="1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联系电话：</w:t>
      </w:r>
    </w:p>
    <w:p>
      <w:pPr>
        <w:shd w:val="clear" w:color="auto" w:fill="FFFFFF"/>
        <w:spacing w:line="440" w:lineRule="exact"/>
        <w:ind w:firstLine="240" w:firstLineChars="100"/>
        <w:rPr>
          <w:rFonts w:ascii="仿宋" w:hAnsi="仿宋" w:eastAsia="仿宋" w:cs="仿宋"/>
          <w:color w:val="auto"/>
          <w:sz w:val="24"/>
          <w:highlight w:val="none"/>
          <w:lang w:val="zh-CN"/>
        </w:rPr>
      </w:pPr>
      <w:r>
        <w:rPr>
          <w:rFonts w:hint="eastAsia" w:ascii="仿宋" w:hAnsi="仿宋" w:eastAsia="仿宋" w:cs="仿宋"/>
          <w:color w:val="auto"/>
          <w:sz w:val="24"/>
          <w:highlight w:val="none"/>
          <w:lang w:val="zh-CN"/>
        </w:rPr>
        <w:t>编制时间：×年×月×日</w:t>
      </w:r>
    </w:p>
    <w:p>
      <w:pPr>
        <w:spacing w:line="400" w:lineRule="exact"/>
        <w:ind w:firstLine="420" w:firstLineChars="200"/>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br w:type="page"/>
      </w:r>
    </w:p>
    <w:p>
      <w:pPr>
        <w:spacing w:line="400" w:lineRule="exact"/>
        <w:ind w:firstLine="480" w:firstLineChars="200"/>
        <w:jc w:val="center"/>
        <w:rPr>
          <w:rFonts w:ascii="仿宋" w:hAnsi="仿宋" w:eastAsia="仿宋" w:cs="仿宋"/>
          <w:color w:val="auto"/>
          <w:sz w:val="24"/>
          <w:highlight w:val="none"/>
        </w:rPr>
      </w:pPr>
      <w:r>
        <w:rPr>
          <w:rFonts w:hint="eastAsia" w:ascii="仿宋" w:hAnsi="仿宋" w:eastAsia="仿宋" w:cs="仿宋"/>
          <w:color w:val="auto"/>
          <w:sz w:val="24"/>
          <w:highlight w:val="none"/>
        </w:rPr>
        <w:t>目录</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（1）投标函；</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（2）法定代表人身份证明书；</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（3）法定代表人授权委托书；</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（4）投标报价一览表；</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（5）明细报价表；</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（6）投标人的资格证明材料；</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（7）投标保证金缴纳凭证；</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（8）项目人员配备情况表；</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（9）投标人近三年相关项目业绩表（2019年1月至今）；</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（10）商务、技术条款偏离表；</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（11）有关投标产品的证明、检测报告或产品鉴定证书</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（12）技术方案；</w:t>
      </w:r>
    </w:p>
    <w:p>
      <w:pPr>
        <w:ind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（13）投标人认为需要提交的其他商务技术资料</w:t>
      </w:r>
    </w:p>
    <w:p>
      <w:pPr>
        <w:ind w:firstLine="480" w:firstLineChars="200"/>
        <w:rPr>
          <w:rFonts w:ascii="仿宋" w:hAnsi="仿宋" w:eastAsia="仿宋" w:cs="仿宋"/>
          <w:bCs/>
          <w:color w:val="auto"/>
          <w:sz w:val="24"/>
          <w:highlight w:val="none"/>
        </w:rPr>
      </w:pPr>
    </w:p>
    <w:p>
      <w:pPr>
        <w:ind w:firstLine="482" w:firstLineChars="200"/>
        <w:rPr>
          <w:rFonts w:ascii="仿宋" w:hAnsi="仿宋" w:eastAsia="仿宋" w:cs="仿宋"/>
          <w:b/>
          <w:color w:val="auto"/>
          <w:sz w:val="24"/>
          <w:highlight w:val="none"/>
        </w:rPr>
      </w:pPr>
    </w:p>
    <w:p>
      <w:pPr>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注：为了便于查找，请按上述顺序编制投标文件内容，并在目录中注明每项内容的起始页码。</w:t>
      </w:r>
    </w:p>
    <w:p>
      <w:pPr>
        <w:ind w:firstLine="420" w:firstLineChars="200"/>
        <w:rPr>
          <w:rFonts w:ascii="仿宋" w:hAnsi="仿宋" w:eastAsia="仿宋" w:cs="仿宋"/>
          <w:bCs/>
          <w:color w:val="auto"/>
          <w:szCs w:val="21"/>
          <w:highlight w:val="none"/>
        </w:rPr>
      </w:pPr>
    </w:p>
    <w:p>
      <w:pPr>
        <w:widowControl/>
        <w:spacing w:line="440" w:lineRule="exact"/>
        <w:jc w:val="left"/>
        <w:rPr>
          <w:rFonts w:ascii="仿宋" w:hAnsi="仿宋" w:eastAsia="仿宋" w:cs="仿宋"/>
          <w:color w:val="auto"/>
          <w:sz w:val="24"/>
          <w:highlight w:val="none"/>
        </w:rPr>
      </w:pPr>
      <w:r>
        <w:rPr>
          <w:rFonts w:hint="eastAsia" w:ascii="仿宋" w:hAnsi="仿宋" w:eastAsia="仿宋" w:cs="仿宋"/>
          <w:bCs/>
          <w:color w:val="auto"/>
          <w:szCs w:val="21"/>
          <w:highlight w:val="none"/>
        </w:rPr>
        <w:br w:type="page"/>
      </w:r>
    </w:p>
    <w:p>
      <w:pPr>
        <w:shd w:val="clear" w:color="auto" w:fill="FFFFFF"/>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1、投标函</w:t>
      </w:r>
    </w:p>
    <w:p>
      <w:pPr>
        <w:shd w:val="clear" w:color="auto" w:fill="FFFFFF"/>
        <w:spacing w:line="440" w:lineRule="exact"/>
        <w:jc w:val="left"/>
        <w:rPr>
          <w:rFonts w:ascii="仿宋" w:hAnsi="仿宋" w:eastAsia="仿宋" w:cs="仿宋"/>
          <w:color w:val="auto"/>
          <w:sz w:val="24"/>
          <w:highlight w:val="none"/>
          <w:u w:val="singl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pPr>
        <w:shd w:val="clear" w:color="auto" w:fill="FFFFFF"/>
        <w:spacing w:line="440" w:lineRule="exact"/>
        <w:ind w:firstLine="489" w:firstLineChars="204"/>
        <w:rPr>
          <w:rFonts w:ascii="仿宋" w:hAnsi="仿宋" w:eastAsia="仿宋" w:cs="仿宋"/>
          <w:color w:val="auto"/>
          <w:sz w:val="24"/>
          <w:highlight w:val="none"/>
        </w:rPr>
      </w:pPr>
      <w:r>
        <w:rPr>
          <w:rFonts w:hint="eastAsia" w:ascii="仿宋" w:hAnsi="仿宋" w:eastAsia="仿宋" w:cs="仿宋"/>
          <w:color w:val="auto"/>
          <w:sz w:val="24"/>
          <w:highlight w:val="none"/>
        </w:rPr>
        <w:t>我方收到并研究了贵方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（项目名称、项目编号）项目的招标文件，愿意按照招标文件规定的内容承担该项目的投标任务，严格执行我方所承诺的责任和义务。为此，我方郑重声明以下诸点，并负法律责任。</w:t>
      </w:r>
    </w:p>
    <w:p>
      <w:pPr>
        <w:shd w:val="clear" w:color="auto" w:fill="FFFFFF"/>
        <w:spacing w:line="440" w:lineRule="exact"/>
        <w:ind w:firstLine="489" w:firstLineChars="204"/>
        <w:rPr>
          <w:rFonts w:ascii="仿宋" w:hAnsi="仿宋" w:eastAsia="仿宋" w:cs="仿宋"/>
          <w:color w:val="auto"/>
          <w:sz w:val="24"/>
          <w:highlight w:val="none"/>
        </w:rPr>
      </w:pPr>
      <w:r>
        <w:rPr>
          <w:rFonts w:hint="eastAsia" w:ascii="仿宋" w:hAnsi="仿宋" w:eastAsia="仿宋" w:cs="仿宋"/>
          <w:color w:val="auto"/>
          <w:sz w:val="24"/>
          <w:highlight w:val="none"/>
        </w:rPr>
        <w:t>1、我方按招标文件要求提交投标文件，愿按《中华人民共和国政府采购法》及其他有关法律、法规的规定，自觉履行自己的全部责任。</w:t>
      </w:r>
    </w:p>
    <w:p>
      <w:pPr>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2、我方同意在投标有效期内遵守贵方招标文件要求，在此期限期满前的任何时间，贵方招标文件及我方投标文件一直对我方具有约束力；</w:t>
      </w:r>
    </w:p>
    <w:p>
      <w:pPr>
        <w:shd w:val="clear" w:color="auto" w:fill="FFFFFF"/>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3、如果我方投标被接受，我方将按照招标文件的规定，我方保证将按采购要求和投标文件中的承诺按期、按质、按量交付使用方；</w:t>
      </w:r>
    </w:p>
    <w:p>
      <w:pPr>
        <w:shd w:val="clear" w:color="auto" w:fill="FFFFFF"/>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4、如果我方中标，我方将在招标文件规定的时间内签订委托合同并按采购要求提供履约担保。如果我方违约，除投标保证金不予退还外，贵方有权终止我方中标并选择其它中标人。</w:t>
      </w:r>
    </w:p>
    <w:p>
      <w:pPr>
        <w:shd w:val="clear" w:color="auto" w:fill="FFFFFF"/>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pPr>
        <w:shd w:val="clear" w:color="auto" w:fill="FFFFFF"/>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6、一旦我方中标，我方愿意按招标要求承担招标代理服务费。</w:t>
      </w:r>
    </w:p>
    <w:p>
      <w:pPr>
        <w:shd w:val="clear" w:color="auto" w:fill="FFFFFF"/>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7、一旦我方中标，我方承诺按采购人要求提供全额增值税专用发票。</w:t>
      </w:r>
    </w:p>
    <w:p>
      <w:pPr>
        <w:shd w:val="clear" w:color="auto" w:fill="FFFFFF"/>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8、贵方的招标文件和中标通知书及我方投标文件将构成约束双方合同的附件。</w:t>
      </w:r>
    </w:p>
    <w:p>
      <w:pPr>
        <w:shd w:val="clear" w:color="auto" w:fill="FFFFFF"/>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9、我方理解最低报价不是中标的唯一条件，如果我方未中标，贵方没有必要对我方做出任何解释和说明，我方将充分尊重和理解贵方的选择。</w:t>
      </w:r>
    </w:p>
    <w:p>
      <w:pPr>
        <w:shd w:val="clear" w:color="auto" w:fill="FFFFFF"/>
        <w:spacing w:line="440" w:lineRule="exact"/>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10、我方的投标文件自提交投标文件截止之日起有效期为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w:t>
      </w:r>
    </w:p>
    <w:p>
      <w:pPr>
        <w:pStyle w:val="327"/>
        <w:shd w:val="clear" w:color="auto" w:fill="FFFFFF"/>
        <w:snapToGrid w:val="0"/>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投标人（盖公章）：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w:t>
      </w:r>
    </w:p>
    <w:p>
      <w:pPr>
        <w:shd w:val="clear" w:color="auto" w:fill="FFFFFF"/>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hd w:val="clear" w:color="auto" w:fill="FFFFFF"/>
        <w:spacing w:line="440" w:lineRule="exact"/>
        <w:rPr>
          <w:rFonts w:ascii="仿宋" w:hAnsi="仿宋" w:eastAsia="仿宋" w:cs="仿宋"/>
          <w:bCs/>
          <w:color w:val="auto"/>
          <w:sz w:val="24"/>
          <w:highlight w:val="none"/>
        </w:rPr>
      </w:pPr>
      <w:r>
        <w:rPr>
          <w:rFonts w:hint="eastAsia"/>
          <w:color w:val="auto"/>
          <w:highlight w:val="none"/>
        </w:rPr>
        <w:br w:type="page"/>
      </w:r>
    </w:p>
    <w:p>
      <w:pPr>
        <w:shd w:val="clear" w:color="auto" w:fill="FFFFFF"/>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2、法定代表人身份证明书</w:t>
      </w: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单位名称：</w:t>
      </w:r>
    </w:p>
    <w:p>
      <w:pPr>
        <w:shd w:val="clear" w:color="auto" w:fill="FFFFFF"/>
        <w:spacing w:line="44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单位性质：</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地址：</w:t>
      </w:r>
    </w:p>
    <w:p>
      <w:pPr>
        <w:shd w:val="clear" w:color="auto" w:fill="FFFFFF"/>
        <w:spacing w:line="44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营业期限：</w:t>
      </w:r>
    </w:p>
    <w:p>
      <w:pPr>
        <w:shd w:val="clear" w:color="auto" w:fill="FFFFFF"/>
        <w:spacing w:line="44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成立时间：</w:t>
      </w:r>
    </w:p>
    <w:p>
      <w:pPr>
        <w:shd w:val="clear" w:color="auto" w:fill="FFFFFF"/>
        <w:spacing w:line="44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经营范围：</w:t>
      </w: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姓名：        性别：       年龄：        职务：</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（投标人名称）的法定代表人。</w:t>
      </w: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59264;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0288;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特此证明。</w:t>
      </w: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投标人（盖公章）：</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hd w:val="clear" w:color="auto" w:fill="FFFFFF"/>
        <w:spacing w:line="440" w:lineRule="exact"/>
        <w:rPr>
          <w:rFonts w:ascii="仿宋" w:hAnsi="仿宋" w:eastAsia="仿宋" w:cs="仿宋"/>
          <w:b/>
          <w:bCs/>
          <w:color w:val="auto"/>
          <w:szCs w:val="21"/>
          <w:highlight w:val="none"/>
        </w:rPr>
      </w:pPr>
    </w:p>
    <w:p>
      <w:pPr>
        <w:shd w:val="clear" w:color="auto" w:fill="FFFFFF"/>
        <w:spacing w:line="440" w:lineRule="exact"/>
        <w:rPr>
          <w:rFonts w:ascii="仿宋" w:hAnsi="仿宋" w:eastAsia="仿宋" w:cs="仿宋"/>
          <w:bCs/>
          <w:color w:val="auto"/>
          <w:sz w:val="24"/>
          <w:highlight w:val="none"/>
        </w:rPr>
      </w:pPr>
      <w:r>
        <w:rPr>
          <w:rFonts w:hint="eastAsia" w:ascii="仿宋" w:hAnsi="仿宋" w:eastAsia="仿宋" w:cs="仿宋"/>
          <w:b/>
          <w:bCs/>
          <w:color w:val="auto"/>
          <w:szCs w:val="21"/>
          <w:highlight w:val="none"/>
        </w:rPr>
        <w:br w:type="page"/>
      </w:r>
    </w:p>
    <w:p>
      <w:pPr>
        <w:shd w:val="clear" w:color="auto" w:fill="FFFFFF"/>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3、法定代表人授权委托书</w:t>
      </w:r>
    </w:p>
    <w:p>
      <w:pPr>
        <w:shd w:val="clear" w:color="auto" w:fill="FFFFFF"/>
        <w:spacing w:line="440" w:lineRule="exact"/>
        <w:jc w:val="center"/>
        <w:rPr>
          <w:rFonts w:ascii="仿宋" w:hAnsi="仿宋" w:eastAsia="仿宋" w:cs="仿宋"/>
          <w:b/>
          <w:bCs/>
          <w:color w:val="auto"/>
          <w:sz w:val="24"/>
          <w:highlight w:val="none"/>
        </w:rPr>
      </w:pPr>
    </w:p>
    <w:p>
      <w:pPr>
        <w:shd w:val="clear" w:color="auto" w:fill="FFFFFF"/>
        <w:spacing w:line="440" w:lineRule="exact"/>
        <w:ind w:firstLine="453" w:firstLineChars="189"/>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本授权委托书声明：我</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系</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（投标人名称）的法定代表人，现授权委托</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（投标人名称）的</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为我的代理人，以</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（投标人名称）的名义参加</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（项目名称和项目编号）采购项目的投标活动。代理人在参加整个招标投标活动所签署的一切文件和处理与之相关的一切事物，我均予承认。</w:t>
      </w:r>
    </w:p>
    <w:p>
      <w:pPr>
        <w:shd w:val="clear" w:color="auto" w:fill="FFFFFF"/>
        <w:spacing w:line="440" w:lineRule="exact"/>
        <w:ind w:firstLine="480" w:firstLineChars="200"/>
        <w:rPr>
          <w:rFonts w:ascii="仿宋" w:hAnsi="仿宋" w:eastAsia="仿宋" w:cs="仿宋"/>
          <w:bCs/>
          <w:color w:val="auto"/>
          <w:sz w:val="24"/>
          <w:highlight w:val="none"/>
          <w:u w:val="single"/>
        </w:rPr>
      </w:pPr>
      <w:r>
        <w:rPr>
          <w:rFonts w:hint="eastAsia" w:ascii="仿宋" w:hAnsi="仿宋" w:eastAsia="仿宋" w:cs="仿宋"/>
          <w:bCs/>
          <w:color w:val="auto"/>
          <w:sz w:val="24"/>
          <w:highlight w:val="none"/>
        </w:rPr>
        <w:t>代理人：        性别：        年龄：</w:t>
      </w:r>
    </w:p>
    <w:p>
      <w:pPr>
        <w:shd w:val="clear" w:color="auto" w:fill="FFFFFF"/>
        <w:spacing w:line="440" w:lineRule="exact"/>
        <w:ind w:firstLine="453" w:firstLineChars="189"/>
        <w:rPr>
          <w:rFonts w:ascii="仿宋" w:hAnsi="仿宋" w:eastAsia="仿宋" w:cs="仿宋"/>
          <w:bCs/>
          <w:color w:val="auto"/>
          <w:sz w:val="24"/>
          <w:highlight w:val="none"/>
        </w:rPr>
      </w:pPr>
      <w:r>
        <w:rPr>
          <w:rFonts w:hint="eastAsia" w:ascii="仿宋" w:hAnsi="仿宋" w:eastAsia="仿宋" w:cs="仿宋"/>
          <w:bCs/>
          <w:color w:val="auto"/>
          <w:sz w:val="24"/>
          <w:highlight w:val="none"/>
        </w:rPr>
        <w:t>部门：          职务：</w:t>
      </w:r>
    </w:p>
    <w:p>
      <w:pPr>
        <w:shd w:val="clear" w:color="auto" w:fill="FFFFFF"/>
        <w:spacing w:line="440" w:lineRule="exact"/>
        <w:ind w:firstLine="453" w:firstLineChars="189"/>
        <w:rPr>
          <w:rFonts w:ascii="仿宋" w:hAnsi="仿宋" w:eastAsia="仿宋" w:cs="仿宋"/>
          <w:bCs/>
          <w:color w:val="auto"/>
          <w:sz w:val="24"/>
          <w:highlight w:val="none"/>
          <w:u w:val="single"/>
        </w:rPr>
      </w:pPr>
      <w:r>
        <w:rPr>
          <w:rFonts w:hint="eastAsia" w:ascii="仿宋" w:hAnsi="仿宋" w:eastAsia="仿宋" w:cs="仿宋"/>
          <w:bCs/>
          <w:color w:val="auto"/>
          <w:sz w:val="24"/>
          <w:highlight w:val="none"/>
          <w:u w:val="single"/>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bCs/>
          <w:color w:val="auto"/>
          <w:sz w:val="24"/>
          <w:highlight w:val="none"/>
          <w:u w:val="single"/>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hd w:val="clear" w:color="auto" w:fill="FFFFFF"/>
        <w:spacing w:line="440" w:lineRule="exact"/>
        <w:rPr>
          <w:rFonts w:ascii="仿宋" w:hAnsi="仿宋" w:eastAsia="仿宋" w:cs="仿宋"/>
          <w:bCs/>
          <w:color w:val="auto"/>
          <w:sz w:val="24"/>
          <w:highlight w:val="none"/>
        </w:rPr>
      </w:pPr>
    </w:p>
    <w:p>
      <w:pPr>
        <w:shd w:val="clear" w:color="auto" w:fill="FFFFFF"/>
        <w:spacing w:line="440" w:lineRule="exact"/>
        <w:rPr>
          <w:rFonts w:ascii="仿宋" w:hAnsi="仿宋" w:eastAsia="仿宋" w:cs="仿宋"/>
          <w:bCs/>
          <w:color w:val="auto"/>
          <w:sz w:val="24"/>
          <w:highlight w:val="none"/>
        </w:rPr>
      </w:pPr>
    </w:p>
    <w:p>
      <w:pPr>
        <w:shd w:val="clear" w:color="auto" w:fill="FFFFFF"/>
        <w:spacing w:line="440" w:lineRule="exact"/>
        <w:rPr>
          <w:rFonts w:ascii="仿宋" w:hAnsi="仿宋" w:eastAsia="仿宋" w:cs="仿宋"/>
          <w:bCs/>
          <w:color w:val="auto"/>
          <w:sz w:val="24"/>
          <w:highlight w:val="none"/>
        </w:rPr>
      </w:pPr>
    </w:p>
    <w:p>
      <w:pPr>
        <w:shd w:val="clear" w:color="auto" w:fill="FFFFFF"/>
        <w:spacing w:line="440" w:lineRule="exact"/>
        <w:rPr>
          <w:rFonts w:ascii="仿宋" w:hAnsi="仿宋" w:eastAsia="仿宋" w:cs="仿宋"/>
          <w:bCs/>
          <w:color w:val="auto"/>
          <w:sz w:val="24"/>
          <w:highlight w:val="none"/>
        </w:rPr>
      </w:pPr>
    </w:p>
    <w:p>
      <w:pPr>
        <w:shd w:val="clear" w:color="auto" w:fill="FFFFFF"/>
        <w:spacing w:line="440" w:lineRule="exact"/>
        <w:rPr>
          <w:rFonts w:ascii="仿宋" w:hAnsi="仿宋" w:eastAsia="仿宋" w:cs="仿宋"/>
          <w:bCs/>
          <w:color w:val="auto"/>
          <w:sz w:val="24"/>
          <w:highlight w:val="none"/>
        </w:rPr>
      </w:pPr>
    </w:p>
    <w:p>
      <w:pPr>
        <w:shd w:val="clear" w:color="auto" w:fill="FFFFFF"/>
        <w:spacing w:line="440" w:lineRule="exact"/>
        <w:rPr>
          <w:rFonts w:ascii="仿宋" w:hAnsi="仿宋" w:eastAsia="仿宋" w:cs="仿宋"/>
          <w:bCs/>
          <w:color w:val="auto"/>
          <w:sz w:val="24"/>
          <w:highlight w:val="none"/>
        </w:rPr>
      </w:pPr>
    </w:p>
    <w:p>
      <w:pPr>
        <w:shd w:val="clear" w:color="auto" w:fill="FFFFFF"/>
        <w:spacing w:line="440" w:lineRule="exact"/>
        <w:rPr>
          <w:rFonts w:ascii="仿宋" w:hAnsi="仿宋" w:eastAsia="仿宋" w:cs="仿宋"/>
          <w:bCs/>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hint="eastAsia" w:ascii="仿宋" w:hAnsi="仿宋" w:eastAsia="仿宋" w:cs="仿宋"/>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pStyle w:val="327"/>
        <w:shd w:val="clear" w:color="auto" w:fill="FFFFFF"/>
        <w:snapToGrid w:val="0"/>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投标人（盖公章）：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w:t>
      </w:r>
    </w:p>
    <w:p>
      <w:pPr>
        <w:shd w:val="clear" w:color="auto" w:fill="FFFFFF"/>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20" w:firstLineChars="200"/>
        <w:rPr>
          <w:rFonts w:ascii="仿宋" w:hAnsi="仿宋" w:eastAsia="仿宋" w:cs="仿宋"/>
          <w:color w:val="auto"/>
          <w:sz w:val="24"/>
          <w:highlight w:val="none"/>
        </w:rPr>
      </w:pPr>
      <w:r>
        <w:rPr>
          <w:rFonts w:hint="eastAsia" w:ascii="仿宋" w:hAnsi="仿宋" w:eastAsia="仿宋" w:cs="仿宋"/>
          <w:color w:val="auto"/>
          <w:szCs w:val="21"/>
          <w:highlight w:val="none"/>
        </w:rPr>
        <w:br w:type="page"/>
      </w:r>
    </w:p>
    <w:p>
      <w:pPr>
        <w:shd w:val="clear" w:color="auto" w:fill="FFFFFF"/>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4、投标报价一览表</w:t>
      </w:r>
    </w:p>
    <w:p>
      <w:pPr>
        <w:shd w:val="clear" w:color="auto" w:fill="FFFFFF"/>
        <w:spacing w:line="44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项目名称：                                        项目编号：</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投标人名称</w:t>
            </w:r>
          </w:p>
        </w:tc>
        <w:tc>
          <w:tcPr>
            <w:tcW w:w="6984" w:type="dxa"/>
            <w:vAlign w:val="center"/>
          </w:tcPr>
          <w:p>
            <w:pPr>
              <w:shd w:val="clear" w:color="auto" w:fill="FFFFFF"/>
              <w:tabs>
                <w:tab w:val="left" w:pos="3780"/>
              </w:tabs>
              <w:spacing w:line="440" w:lineRule="exact"/>
              <w:ind w:firstLine="480" w:firstLineChars="200"/>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投标总价</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（人民币）</w:t>
            </w:r>
          </w:p>
        </w:tc>
        <w:tc>
          <w:tcPr>
            <w:tcW w:w="6984"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05"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供货期</w:t>
            </w:r>
          </w:p>
        </w:tc>
        <w:tc>
          <w:tcPr>
            <w:tcW w:w="6984"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2105"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质保期</w:t>
            </w:r>
          </w:p>
        </w:tc>
        <w:tc>
          <w:tcPr>
            <w:tcW w:w="6984" w:type="dxa"/>
            <w:shd w:val="clear" w:color="auto" w:fill="F3F3F3"/>
            <w:vAlign w:val="center"/>
          </w:tcPr>
          <w:p>
            <w:pPr>
              <w:shd w:val="clear" w:color="auto" w:fill="FFFFFF"/>
              <w:autoSpaceDE w:val="0"/>
              <w:autoSpaceDN w:val="0"/>
              <w:spacing w:line="440" w:lineRule="exact"/>
              <w:rPr>
                <w:rFonts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报价说明</w:t>
            </w:r>
          </w:p>
        </w:tc>
        <w:tc>
          <w:tcPr>
            <w:tcW w:w="6984" w:type="dxa"/>
            <w:shd w:val="clear" w:color="auto" w:fill="F3F3F3"/>
            <w:vAlign w:val="center"/>
          </w:tcPr>
          <w:p>
            <w:pPr>
              <w:shd w:val="clear" w:color="auto" w:fill="FFFFFF"/>
              <w:tabs>
                <w:tab w:val="left" w:pos="3780"/>
              </w:tabs>
              <w:spacing w:line="440" w:lineRule="exact"/>
              <w:rPr>
                <w:rFonts w:ascii="仿宋" w:hAnsi="仿宋" w:eastAsia="仿宋" w:cs="仿宋"/>
                <w:color w:val="auto"/>
                <w:sz w:val="24"/>
                <w:highlight w:val="none"/>
              </w:rPr>
            </w:pPr>
          </w:p>
        </w:tc>
      </w:tr>
    </w:tbl>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备注：</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1、投标总报价</w:t>
      </w:r>
      <w:r>
        <w:rPr>
          <w:rFonts w:hint="eastAsia" w:ascii="仿宋" w:hAnsi="仿宋" w:eastAsia="仿宋" w:cs="仿宋"/>
          <w:bCs/>
          <w:color w:val="auto"/>
          <w:sz w:val="24"/>
          <w:highlight w:val="none"/>
        </w:rPr>
        <w:t>以元为单位，小数点后保留2位。</w:t>
      </w:r>
    </w:p>
    <w:p>
      <w:pPr>
        <w:shd w:val="clear" w:color="auto" w:fill="FFFFFF"/>
        <w:adjustRightInd w:val="0"/>
        <w:snapToGrid w:val="0"/>
        <w:spacing w:line="440" w:lineRule="exact"/>
        <w:rPr>
          <w:rFonts w:ascii="仿宋" w:hAnsi="仿宋" w:eastAsia="仿宋" w:cs="仿宋"/>
          <w:color w:val="auto"/>
          <w:kern w:val="0"/>
          <w:sz w:val="24"/>
          <w:highlight w:val="none"/>
        </w:rPr>
      </w:pPr>
      <w:r>
        <w:rPr>
          <w:rFonts w:hint="eastAsia" w:ascii="仿宋" w:hAnsi="仿宋" w:eastAsia="仿宋" w:cs="仿宋"/>
          <w:color w:val="auto"/>
          <w:sz w:val="24"/>
          <w:highlight w:val="none"/>
        </w:rPr>
        <w:t>2、报价应包含货物的采购、包装、运输、装卸、保险、验收、检验等一切费用。</w:t>
      </w:r>
    </w:p>
    <w:p>
      <w:pPr>
        <w:shd w:val="clear" w:color="auto" w:fill="FFFFFF"/>
        <w:tabs>
          <w:tab w:val="left" w:pos="378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3、投标人必须自行考虑本项目在实施期间的一切可能产生的费用。在合同执行过程中，招标人将不再另行支付与本项目相关的任何费用（非本项目要求的其它内容除外）。</w:t>
      </w:r>
    </w:p>
    <w:p>
      <w:pPr>
        <w:shd w:val="clear" w:color="auto" w:fill="FFFFFF"/>
        <w:tabs>
          <w:tab w:val="left" w:pos="3780"/>
        </w:tabs>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投标人（盖公章）：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w:t>
      </w:r>
    </w:p>
    <w:p>
      <w:pPr>
        <w:shd w:val="clear" w:color="auto" w:fill="FFFFFF"/>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pacing w:line="460" w:lineRule="atLeast"/>
        <w:rPr>
          <w:color w:val="auto"/>
          <w:sz w:val="24"/>
          <w:highlight w:val="none"/>
        </w:rPr>
      </w:pPr>
      <w:r>
        <w:rPr>
          <w:rFonts w:hint="eastAsia"/>
          <w:color w:val="auto"/>
          <w:highlight w:val="none"/>
        </w:rPr>
        <w:br w:type="page"/>
      </w:r>
    </w:p>
    <w:p>
      <w:pPr>
        <w:spacing w:line="460" w:lineRule="atLeas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5、明细报价表</w:t>
      </w:r>
    </w:p>
    <w:p>
      <w:pPr>
        <w:tabs>
          <w:tab w:val="left" w:pos="5100"/>
        </w:tabs>
        <w:spacing w:line="440" w:lineRule="exact"/>
        <w:ind w:firstLine="352" w:firstLineChars="147"/>
        <w:rPr>
          <w:rFonts w:ascii="仿宋" w:hAnsi="仿宋" w:eastAsia="仿宋" w:cs="仿宋"/>
          <w:bCs/>
          <w:color w:val="auto"/>
          <w:sz w:val="24"/>
          <w:highlight w:val="none"/>
        </w:rPr>
      </w:pPr>
      <w:r>
        <w:rPr>
          <w:rFonts w:hint="eastAsia" w:ascii="仿宋" w:hAnsi="仿宋" w:eastAsia="仿宋" w:cs="仿宋"/>
          <w:bCs/>
          <w:color w:val="auto"/>
          <w:sz w:val="24"/>
          <w:highlight w:val="none"/>
        </w:rPr>
        <w:t>项目名称：</w:t>
      </w:r>
    </w:p>
    <w:p>
      <w:pPr>
        <w:pStyle w:val="327"/>
        <w:spacing w:line="440" w:lineRule="exact"/>
        <w:ind w:left="208" w:leftChars="99" w:firstLine="120" w:firstLineChars="50"/>
        <w:jc w:val="both"/>
        <w:rPr>
          <w:rFonts w:ascii="仿宋" w:hAnsi="仿宋" w:eastAsia="仿宋" w:cs="仿宋"/>
          <w:bCs/>
          <w:color w:val="auto"/>
          <w:kern w:val="2"/>
          <w:sz w:val="24"/>
          <w:highlight w:val="none"/>
        </w:rPr>
      </w:pPr>
      <w:r>
        <w:rPr>
          <w:rFonts w:hint="eastAsia" w:ascii="仿宋" w:hAnsi="仿宋" w:eastAsia="仿宋" w:cs="仿宋"/>
          <w:bCs/>
          <w:color w:val="auto"/>
          <w:kern w:val="2"/>
          <w:sz w:val="24"/>
          <w:highlight w:val="none"/>
        </w:rPr>
        <w:t>项目编号：</w:t>
      </w:r>
    </w:p>
    <w:tbl>
      <w:tblPr>
        <w:tblStyle w:val="60"/>
        <w:tblW w:w="4809" w:type="pct"/>
        <w:tblInd w:w="354" w:type="dxa"/>
        <w:tblLayout w:type="autofit"/>
        <w:tblCellMar>
          <w:top w:w="0" w:type="dxa"/>
          <w:left w:w="0" w:type="dxa"/>
          <w:bottom w:w="0" w:type="dxa"/>
          <w:right w:w="0" w:type="dxa"/>
        </w:tblCellMar>
      </w:tblPr>
      <w:tblGrid>
        <w:gridCol w:w="1435"/>
        <w:gridCol w:w="1442"/>
        <w:gridCol w:w="1337"/>
        <w:gridCol w:w="1087"/>
        <w:gridCol w:w="771"/>
        <w:gridCol w:w="1136"/>
        <w:gridCol w:w="936"/>
        <w:gridCol w:w="925"/>
      </w:tblGrid>
      <w:tr>
        <w:tblPrEx>
          <w:tblCellMar>
            <w:top w:w="0" w:type="dxa"/>
            <w:left w:w="0" w:type="dxa"/>
            <w:bottom w:w="0" w:type="dxa"/>
            <w:right w:w="0" w:type="dxa"/>
          </w:tblCellMar>
        </w:tblPrEx>
        <w:trPr>
          <w:trHeight w:val="711" w:hRule="atLeast"/>
        </w:trPr>
        <w:tc>
          <w:tcPr>
            <w:tcW w:w="791"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95"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货物名称</w:t>
            </w:r>
          </w:p>
        </w:tc>
        <w:tc>
          <w:tcPr>
            <w:tcW w:w="737"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规格型号</w:t>
            </w:r>
          </w:p>
        </w:tc>
        <w:tc>
          <w:tcPr>
            <w:tcW w:w="599"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制造商</w:t>
            </w:r>
          </w:p>
        </w:tc>
        <w:tc>
          <w:tcPr>
            <w:tcW w:w="425"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626"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单价（元）</w:t>
            </w:r>
          </w:p>
        </w:tc>
        <w:tc>
          <w:tcPr>
            <w:tcW w:w="516"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合计（元）</w:t>
            </w:r>
          </w:p>
        </w:tc>
        <w:tc>
          <w:tcPr>
            <w:tcW w:w="509" w:type="pct"/>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备注</w:t>
            </w:r>
          </w:p>
        </w:tc>
      </w:tr>
      <w:tr>
        <w:tblPrEx>
          <w:tblCellMar>
            <w:top w:w="0" w:type="dxa"/>
            <w:left w:w="0" w:type="dxa"/>
            <w:bottom w:w="0" w:type="dxa"/>
            <w:right w:w="0" w:type="dxa"/>
          </w:tblCellMar>
        </w:tblPrEx>
        <w:trPr>
          <w:trHeight w:val="565" w:hRule="atLeast"/>
        </w:trPr>
        <w:tc>
          <w:tcPr>
            <w:tcW w:w="791"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仿宋" w:hAnsi="仿宋" w:eastAsia="仿宋" w:cs="仿宋"/>
                <w:color w:val="auto"/>
                <w:kern w:val="0"/>
                <w:sz w:val="24"/>
                <w:highlight w:val="none"/>
              </w:rPr>
            </w:pPr>
          </w:p>
        </w:tc>
        <w:tc>
          <w:tcPr>
            <w:tcW w:w="795"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仿宋" w:hAnsi="仿宋" w:eastAsia="仿宋" w:cs="仿宋"/>
                <w:color w:val="auto"/>
                <w:kern w:val="0"/>
                <w:sz w:val="24"/>
                <w:highlight w:val="none"/>
              </w:rPr>
            </w:pPr>
          </w:p>
        </w:tc>
        <w:tc>
          <w:tcPr>
            <w:tcW w:w="737"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left="143" w:firstLine="480"/>
              <w:jc w:val="center"/>
              <w:rPr>
                <w:rFonts w:ascii="仿宋" w:hAnsi="仿宋" w:eastAsia="仿宋" w:cs="仿宋"/>
                <w:color w:val="auto"/>
                <w:kern w:val="0"/>
                <w:sz w:val="24"/>
                <w:highlight w:val="none"/>
              </w:rPr>
            </w:pPr>
          </w:p>
        </w:tc>
        <w:tc>
          <w:tcPr>
            <w:tcW w:w="59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仿宋" w:hAnsi="仿宋" w:eastAsia="仿宋" w:cs="仿宋"/>
                <w:color w:val="auto"/>
                <w:kern w:val="0"/>
                <w:sz w:val="24"/>
                <w:highlight w:val="none"/>
              </w:rPr>
            </w:pPr>
          </w:p>
        </w:tc>
        <w:tc>
          <w:tcPr>
            <w:tcW w:w="4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仿宋" w:hAnsi="仿宋" w:eastAsia="仿宋" w:cs="仿宋"/>
                <w:color w:val="auto"/>
                <w:kern w:val="0"/>
                <w:sz w:val="24"/>
                <w:highlight w:val="none"/>
              </w:rPr>
            </w:pPr>
          </w:p>
        </w:tc>
        <w:tc>
          <w:tcPr>
            <w:tcW w:w="62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仿宋" w:hAnsi="仿宋" w:eastAsia="仿宋" w:cs="仿宋"/>
                <w:color w:val="auto"/>
                <w:kern w:val="0"/>
                <w:sz w:val="24"/>
                <w:highlight w:val="none"/>
              </w:rPr>
            </w:pPr>
          </w:p>
        </w:tc>
        <w:tc>
          <w:tcPr>
            <w:tcW w:w="516"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50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trHeight w:val="565" w:hRule="atLeast"/>
        </w:trPr>
        <w:tc>
          <w:tcPr>
            <w:tcW w:w="791" w:type="pct"/>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795" w:type="pct"/>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737" w:type="pct"/>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599" w:type="pct"/>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425" w:type="pct"/>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626" w:type="pct"/>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516" w:type="pct"/>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509" w:type="pct"/>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trHeight w:val="555" w:hRule="atLeast"/>
        </w:trPr>
        <w:tc>
          <w:tcPr>
            <w:tcW w:w="791"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仿宋" w:hAnsi="仿宋" w:eastAsia="仿宋" w:cs="仿宋"/>
                <w:color w:val="auto"/>
                <w:kern w:val="0"/>
                <w:sz w:val="24"/>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仿宋" w:hAnsi="仿宋" w:eastAsia="仿宋" w:cs="仿宋"/>
                <w:color w:val="auto"/>
                <w:kern w:val="0"/>
                <w:sz w:val="24"/>
                <w:highlight w:val="none"/>
              </w:rPr>
            </w:pPr>
          </w:p>
        </w:tc>
        <w:tc>
          <w:tcPr>
            <w:tcW w:w="737"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599"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425"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626"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516"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c>
          <w:tcPr>
            <w:tcW w:w="509"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spacing w:line="44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trHeight w:val="555" w:hRule="atLeast"/>
        </w:trPr>
        <w:tc>
          <w:tcPr>
            <w:tcW w:w="791" w:type="pc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总计</w:t>
            </w:r>
          </w:p>
        </w:tc>
        <w:tc>
          <w:tcPr>
            <w:tcW w:w="4208" w:type="pct"/>
            <w:gridSpan w:val="7"/>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spacing w:line="44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大写：</w:t>
            </w:r>
          </w:p>
          <w:p>
            <w:pPr>
              <w:widowControl/>
              <w:spacing w:line="440" w:lineRule="exact"/>
              <w:rPr>
                <w:rFonts w:ascii="仿宋" w:hAnsi="仿宋" w:eastAsia="仿宋" w:cs="仿宋"/>
                <w:color w:val="auto"/>
                <w:kern w:val="0"/>
                <w:sz w:val="24"/>
                <w:highlight w:val="none"/>
              </w:rPr>
            </w:pPr>
            <w:r>
              <w:rPr>
                <w:rFonts w:hint="eastAsia" w:ascii="仿宋" w:hAnsi="仿宋" w:eastAsia="仿宋" w:cs="仿宋"/>
                <w:b/>
                <w:bCs/>
                <w:color w:val="auto"/>
                <w:sz w:val="24"/>
                <w:highlight w:val="none"/>
              </w:rPr>
              <w:t>小写：</w:t>
            </w:r>
          </w:p>
        </w:tc>
      </w:tr>
    </w:tbl>
    <w:p>
      <w:pPr>
        <w:pStyle w:val="32"/>
        <w:rPr>
          <w:rFonts w:ascii="仿宋" w:hAnsi="仿宋" w:eastAsia="仿宋" w:cs="仿宋"/>
          <w:color w:val="auto"/>
          <w:sz w:val="24"/>
          <w:szCs w:val="24"/>
          <w:highlight w:val="none"/>
        </w:rPr>
      </w:pPr>
    </w:p>
    <w:p>
      <w:pPr>
        <w:pStyle w:val="32"/>
        <w:rPr>
          <w:rFonts w:ascii="仿宋" w:hAnsi="仿宋" w:eastAsia="仿宋" w:cs="仿宋"/>
          <w:color w:val="auto"/>
          <w:sz w:val="24"/>
          <w:szCs w:val="24"/>
          <w:highlight w:val="none"/>
        </w:rPr>
      </w:pPr>
    </w:p>
    <w:p>
      <w:pPr>
        <w:pStyle w:val="327"/>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投标人（盖公章）：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w:t>
      </w:r>
    </w:p>
    <w:p>
      <w:pPr>
        <w:shd w:val="clear" w:color="auto" w:fill="FFFFFF"/>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spacing w:line="440" w:lineRule="exact"/>
        <w:rPr>
          <w:rFonts w:ascii="仿宋" w:hAnsi="仿宋" w:eastAsia="仿宋" w:cs="仿宋"/>
          <w:b/>
          <w:color w:val="auto"/>
          <w:sz w:val="24"/>
          <w:highlight w:val="none"/>
        </w:rPr>
      </w:pPr>
    </w:p>
    <w:p>
      <w:pPr>
        <w:spacing w:line="440" w:lineRule="exact"/>
        <w:rPr>
          <w:rFonts w:ascii="仿宋" w:hAnsi="仿宋" w:eastAsia="仿宋" w:cs="仿宋"/>
          <w:b/>
          <w:color w:val="auto"/>
          <w:szCs w:val="21"/>
          <w:highlight w:val="none"/>
        </w:rPr>
      </w:pPr>
    </w:p>
    <w:p>
      <w:pPr>
        <w:pStyle w:val="16"/>
        <w:ind w:firstLine="400"/>
        <w:rPr>
          <w:rFonts w:ascii="仿宋" w:hAnsi="仿宋" w:eastAsia="仿宋" w:cs="仿宋"/>
          <w:color w:val="auto"/>
          <w:szCs w:val="21"/>
          <w:highlight w:val="none"/>
        </w:rPr>
      </w:pPr>
    </w:p>
    <w:p>
      <w:pPr>
        <w:widowControl/>
        <w:spacing w:line="440" w:lineRule="exact"/>
        <w:jc w:val="left"/>
        <w:rPr>
          <w:rFonts w:ascii="仿宋" w:hAnsi="仿宋" w:eastAsia="仿宋" w:cs="仿宋"/>
          <w:color w:val="auto"/>
          <w:sz w:val="24"/>
          <w:highlight w:val="none"/>
        </w:rPr>
      </w:pPr>
      <w:r>
        <w:rPr>
          <w:rFonts w:hint="eastAsia"/>
          <w:color w:val="auto"/>
          <w:highlight w:val="none"/>
        </w:rPr>
        <w:br w:type="page"/>
      </w:r>
    </w:p>
    <w:p>
      <w:pPr>
        <w:spacing w:line="460" w:lineRule="atLeas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6、投标人的资格证明材料</w:t>
      </w:r>
    </w:p>
    <w:p>
      <w:pPr>
        <w:shd w:val="clear" w:color="auto" w:fill="FFFFFF"/>
        <w:spacing w:line="440" w:lineRule="exact"/>
        <w:jc w:val="center"/>
        <w:rPr>
          <w:rFonts w:ascii="仿宋" w:hAnsi="仿宋" w:eastAsia="仿宋" w:cs="仿宋"/>
          <w:bCs/>
          <w:color w:val="auto"/>
          <w:sz w:val="24"/>
          <w:highlight w:val="none"/>
        </w:rPr>
      </w:pPr>
      <w:bookmarkStart w:id="18" w:name="_Toc60925523"/>
      <w:r>
        <w:rPr>
          <w:rFonts w:hint="eastAsia" w:ascii="仿宋" w:hAnsi="仿宋" w:eastAsia="仿宋" w:cs="仿宋"/>
          <w:bCs/>
          <w:color w:val="auto"/>
          <w:sz w:val="24"/>
          <w:highlight w:val="none"/>
        </w:rPr>
        <w:t>（1）投标人基本情况表</w:t>
      </w:r>
      <w:bookmarkEnd w:id="18"/>
    </w:p>
    <w:tbl>
      <w:tblPr>
        <w:tblStyle w:val="60"/>
        <w:tblW w:w="0" w:type="auto"/>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r>
      <w:tr>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联 系 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rPr>
                <w:rFonts w:ascii="仿宋" w:hAnsi="仿宋" w:eastAsia="仿宋" w:cs="仿宋"/>
                <w:color w:val="auto"/>
                <w:kern w:val="0"/>
                <w:sz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传    真</w:t>
            </w:r>
          </w:p>
        </w:tc>
        <w:tc>
          <w:tcPr>
            <w:tcW w:w="3165" w:type="dxa"/>
            <w:gridSpan w:val="4"/>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仿宋" w:hAnsi="仿宋" w:eastAsia="仿宋" w:cs="仿宋"/>
                <w:color w:val="auto"/>
                <w:kern w:val="0"/>
                <w:sz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网    址</w:t>
            </w: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职工概况</w:t>
            </w:r>
          </w:p>
        </w:tc>
        <w:tc>
          <w:tcPr>
            <w:tcW w:w="1038" w:type="dxa"/>
            <w:vMerge w:val="restart"/>
            <w:tcBorders>
              <w:top w:val="single" w:color="auto" w:sz="8" w:space="0"/>
              <w:left w:val="single" w:color="auto" w:sz="8" w:space="0"/>
              <w:right w:val="single" w:color="auto" w:sz="4" w:space="0"/>
            </w:tcBorders>
            <w:vAlign w:val="center"/>
          </w:tcPr>
          <w:p>
            <w:pPr>
              <w:autoSpaceDE w:val="0"/>
              <w:autoSpaceDN w:val="0"/>
              <w:adjustRightInd w:val="0"/>
              <w:snapToGrid w:val="0"/>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职工总数</w:t>
            </w:r>
          </w:p>
        </w:tc>
        <w:tc>
          <w:tcPr>
            <w:tcW w:w="1139" w:type="dxa"/>
            <w:gridSpan w:val="2"/>
            <w:vMerge w:val="restart"/>
            <w:tcBorders>
              <w:top w:val="single" w:color="auto" w:sz="8" w:space="0"/>
              <w:left w:val="single" w:color="auto" w:sz="4" w:space="0"/>
              <w:right w:val="single" w:color="auto" w:sz="4"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988" w:type="dxa"/>
            <w:vMerge w:val="restart"/>
            <w:tcBorders>
              <w:top w:val="single" w:color="auto" w:sz="8" w:space="0"/>
              <w:left w:val="single" w:color="auto" w:sz="4"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其</w:t>
            </w:r>
          </w:p>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仿宋" w:hAnsi="仿宋" w:eastAsia="仿宋" w:cs="仿宋"/>
                <w:color w:val="auto"/>
                <w:kern w:val="0"/>
                <w:sz w:val="24"/>
                <w:highlight w:val="none"/>
              </w:rPr>
            </w:pPr>
          </w:p>
        </w:tc>
        <w:tc>
          <w:tcPr>
            <w:tcW w:w="1038" w:type="dxa"/>
            <w:vMerge w:val="continue"/>
            <w:tcBorders>
              <w:left w:val="single" w:color="auto" w:sz="8" w:space="0"/>
              <w:right w:val="single" w:color="auto" w:sz="4"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1139" w:type="dxa"/>
            <w:gridSpan w:val="2"/>
            <w:vMerge w:val="continue"/>
            <w:tcBorders>
              <w:left w:val="single" w:color="auto" w:sz="4" w:space="0"/>
              <w:right w:val="single" w:color="auto" w:sz="4"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988" w:type="dxa"/>
            <w:vMerge w:val="continue"/>
            <w:tcBorders>
              <w:left w:val="single" w:color="auto" w:sz="4"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仿宋" w:hAnsi="仿宋" w:eastAsia="仿宋" w:cs="仿宋"/>
                <w:color w:val="auto"/>
                <w:kern w:val="0"/>
                <w:sz w:val="24"/>
                <w:highlight w:val="none"/>
              </w:rPr>
            </w:pPr>
          </w:p>
        </w:tc>
        <w:tc>
          <w:tcPr>
            <w:tcW w:w="1038" w:type="dxa"/>
            <w:vMerge w:val="continue"/>
            <w:tcBorders>
              <w:left w:val="single" w:color="auto" w:sz="8" w:space="0"/>
              <w:bottom w:val="single" w:color="auto" w:sz="8" w:space="0"/>
              <w:right w:val="single" w:color="auto" w:sz="4"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1139" w:type="dxa"/>
            <w:gridSpan w:val="2"/>
            <w:vMerge w:val="continue"/>
            <w:tcBorders>
              <w:left w:val="single" w:color="auto" w:sz="4" w:space="0"/>
              <w:bottom w:val="single" w:color="auto" w:sz="8" w:space="0"/>
              <w:right w:val="single" w:color="auto" w:sz="4"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988" w:type="dxa"/>
            <w:vMerge w:val="continue"/>
            <w:tcBorders>
              <w:left w:val="single" w:color="auto" w:sz="4"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pPr>
              <w:autoSpaceDE w:val="0"/>
              <w:autoSpaceDN w:val="0"/>
              <w:adjustRightInd w:val="0"/>
              <w:snapToGrid w:val="0"/>
              <w:spacing w:line="520" w:lineRule="exact"/>
              <w:jc w:val="center"/>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仿宋" w:hAnsi="仿宋" w:eastAsia="仿宋" w:cs="仿宋"/>
                <w:color w:val="auto"/>
                <w:kern w:val="0"/>
                <w:sz w:val="24"/>
                <w:highlight w:val="none"/>
              </w:rPr>
            </w:pPr>
          </w:p>
        </w:tc>
        <w:tc>
          <w:tcPr>
            <w:tcW w:w="7300" w:type="dxa"/>
            <w:gridSpan w:val="7"/>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单位负责人</w:t>
            </w: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仿宋" w:hAnsi="仿宋" w:eastAsia="仿宋" w:cs="仿宋"/>
                <w:color w:val="auto"/>
                <w:kern w:val="0"/>
                <w:sz w:val="24"/>
                <w:highlight w:val="none"/>
              </w:rPr>
            </w:pPr>
          </w:p>
        </w:tc>
        <w:tc>
          <w:tcPr>
            <w:tcW w:w="1590"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姓  名</w:t>
            </w:r>
          </w:p>
        </w:tc>
        <w:tc>
          <w:tcPr>
            <w:tcW w:w="1837" w:type="dxa"/>
            <w:gridSpan w:val="3"/>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职务及职称</w:t>
            </w:r>
          </w:p>
        </w:tc>
        <w:tc>
          <w:tcPr>
            <w:tcW w:w="1733" w:type="dxa"/>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ind w:firstLine="480" w:firstLineChars="200"/>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年  龄</w:t>
            </w: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专   业</w:t>
            </w:r>
          </w:p>
        </w:tc>
      </w:tr>
      <w:tr>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left"/>
              <w:rPr>
                <w:rFonts w:ascii="仿宋" w:hAnsi="仿宋" w:eastAsia="仿宋" w:cs="仿宋"/>
                <w:color w:val="auto"/>
                <w:kern w:val="0"/>
                <w:sz w:val="24"/>
                <w:highlight w:val="none"/>
              </w:rPr>
            </w:pPr>
          </w:p>
        </w:tc>
        <w:tc>
          <w:tcPr>
            <w:tcW w:w="1590" w:type="dxa"/>
            <w:gridSpan w:val="2"/>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仿宋" w:hAnsi="仿宋" w:eastAsia="仿宋" w:cs="仿宋"/>
                <w:color w:val="auto"/>
                <w:kern w:val="0"/>
                <w:sz w:val="24"/>
                <w:highlight w:val="none"/>
              </w:rPr>
            </w:pPr>
          </w:p>
        </w:tc>
        <w:tc>
          <w:tcPr>
            <w:tcW w:w="1837" w:type="dxa"/>
            <w:gridSpan w:val="3"/>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仿宋" w:hAnsi="仿宋" w:eastAsia="仿宋" w:cs="仿宋"/>
                <w:color w:val="auto"/>
                <w:kern w:val="0"/>
                <w:sz w:val="24"/>
                <w:highlight w:val="none"/>
              </w:rPr>
            </w:pPr>
          </w:p>
        </w:tc>
        <w:tc>
          <w:tcPr>
            <w:tcW w:w="1733" w:type="dxa"/>
            <w:tcBorders>
              <w:top w:val="single" w:color="auto" w:sz="8" w:space="0"/>
              <w:left w:val="single" w:color="auto" w:sz="8" w:space="0"/>
              <w:bottom w:val="single" w:color="auto" w:sz="8" w:space="0"/>
              <w:right w:val="single" w:color="auto" w:sz="8" w:space="0"/>
            </w:tcBorders>
          </w:tcPr>
          <w:p>
            <w:pPr>
              <w:autoSpaceDE w:val="0"/>
              <w:autoSpaceDN w:val="0"/>
              <w:adjustRightInd w:val="0"/>
              <w:snapToGrid w:val="0"/>
              <w:spacing w:line="520" w:lineRule="exact"/>
              <w:rPr>
                <w:rFonts w:ascii="仿宋" w:hAnsi="仿宋" w:eastAsia="仿宋" w:cs="仿宋"/>
                <w:color w:val="auto"/>
                <w:kern w:val="0"/>
                <w:sz w:val="24"/>
                <w:highlight w:val="none"/>
              </w:rPr>
            </w:pPr>
          </w:p>
        </w:tc>
        <w:tc>
          <w:tcPr>
            <w:tcW w:w="2140" w:type="dxa"/>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仿宋" w:hAnsi="仿宋" w:eastAsia="仿宋" w:cs="仿宋"/>
                <w:color w:val="auto"/>
                <w:kern w:val="0"/>
                <w:sz w:val="24"/>
                <w:highlight w:val="none"/>
              </w:rPr>
            </w:pPr>
          </w:p>
        </w:tc>
      </w:tr>
      <w:tr>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pPr>
              <w:widowControl/>
              <w:adjustRightInd w:val="0"/>
              <w:snapToGrid w:val="0"/>
              <w:spacing w:line="520" w:lineRule="exact"/>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经营范围</w:t>
            </w:r>
          </w:p>
        </w:tc>
        <w:tc>
          <w:tcPr>
            <w:tcW w:w="7300" w:type="dxa"/>
            <w:gridSpan w:val="7"/>
            <w:tcBorders>
              <w:top w:val="single" w:color="auto" w:sz="8" w:space="0"/>
              <w:left w:val="single" w:color="auto" w:sz="8" w:space="0"/>
              <w:bottom w:val="single" w:color="auto" w:sz="8" w:space="0"/>
              <w:right w:val="single" w:color="auto" w:sz="12" w:space="0"/>
            </w:tcBorders>
          </w:tcPr>
          <w:p>
            <w:pPr>
              <w:autoSpaceDE w:val="0"/>
              <w:autoSpaceDN w:val="0"/>
              <w:adjustRightInd w:val="0"/>
              <w:snapToGrid w:val="0"/>
              <w:spacing w:line="520" w:lineRule="exact"/>
              <w:rPr>
                <w:rFonts w:ascii="仿宋" w:hAnsi="仿宋" w:eastAsia="仿宋" w:cs="仿宋"/>
                <w:color w:val="auto"/>
                <w:kern w:val="0"/>
                <w:sz w:val="24"/>
                <w:highlight w:val="none"/>
              </w:rPr>
            </w:pPr>
          </w:p>
        </w:tc>
      </w:tr>
    </w:tbl>
    <w:p>
      <w:pPr>
        <w:spacing w:line="36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rPr>
        <w:t>备注：1、本表后附营业执照及其它相关材料、信用查询记录等；</w:t>
      </w:r>
    </w:p>
    <w:p>
      <w:pPr>
        <w:spacing w:line="360" w:lineRule="auto"/>
        <w:ind w:firstLine="720" w:firstLineChars="300"/>
        <w:jc w:val="left"/>
        <w:rPr>
          <w:rFonts w:ascii="仿宋" w:hAnsi="仿宋" w:eastAsia="仿宋" w:cs="仿宋"/>
          <w:color w:val="auto"/>
          <w:sz w:val="24"/>
          <w:highlight w:val="none"/>
        </w:rPr>
      </w:pPr>
      <w:r>
        <w:rPr>
          <w:rFonts w:hint="eastAsia" w:ascii="仿宋" w:hAnsi="仿宋" w:eastAsia="仿宋" w:cs="仿宋"/>
          <w:color w:val="auto"/>
          <w:sz w:val="24"/>
          <w:highlight w:val="none"/>
        </w:rPr>
        <w:t>2、投标人须提供中小微企业声明函；投标人如是残疾人福利性单位的须提供残疾人福利性单位声明函；为监狱企业的须提供由省级以上监狱管理局、戒毒管理局（含新疆生产建设兵团）出具的属于监狱企业的证明文件。</w:t>
      </w:r>
    </w:p>
    <w:p>
      <w:pPr>
        <w:spacing w:line="588" w:lineRule="exact"/>
        <w:rPr>
          <w:rFonts w:ascii="仿宋" w:hAnsi="仿宋" w:eastAsia="仿宋" w:cs="仿宋"/>
          <w:color w:val="auto"/>
          <w:spacing w:val="6"/>
          <w:sz w:val="24"/>
          <w:highlight w:val="none"/>
        </w:rPr>
      </w:pPr>
      <w:r>
        <w:rPr>
          <w:rFonts w:hint="eastAsia" w:ascii="仿宋" w:hAnsi="仿宋" w:eastAsia="仿宋" w:cs="仿宋"/>
          <w:color w:val="auto"/>
          <w:szCs w:val="21"/>
          <w:highlight w:val="none"/>
        </w:rPr>
        <w:br w:type="page"/>
      </w:r>
      <w:r>
        <w:rPr>
          <w:rStyle w:val="63"/>
          <w:rFonts w:hint="eastAsia" w:ascii="仿宋" w:hAnsi="仿宋" w:eastAsia="仿宋" w:cs="仿宋"/>
          <w:color w:val="auto"/>
          <w:kern w:val="0"/>
          <w:sz w:val="24"/>
          <w:highlight w:val="none"/>
        </w:rPr>
        <w:t>附表一、</w:t>
      </w:r>
    </w:p>
    <w:p>
      <w:pPr>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中小企业声明函(货物)</w:t>
      </w:r>
    </w:p>
    <w:p>
      <w:pPr>
        <w:ind w:left="1280"/>
        <w:rPr>
          <w:rFonts w:ascii="仿宋" w:hAnsi="仿宋" w:eastAsia="仿宋" w:cs="仿宋"/>
          <w:color w:val="auto"/>
          <w:sz w:val="32"/>
          <w:szCs w:val="32"/>
          <w:highlight w:val="none"/>
        </w:rPr>
      </w:pPr>
    </w:p>
    <w:p>
      <w:pPr>
        <w:snapToGrid w:val="0"/>
        <w:spacing w:line="336"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w:t>
      </w:r>
      <w:r>
        <w:rPr>
          <w:rFonts w:hint="eastAsia" w:ascii="仿宋" w:hAnsi="仿宋" w:eastAsia="仿宋" w:cs="仿宋"/>
          <w:i/>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采购活动，提供的货物全部由符合政策要求的中小企业制造。相关企业（含联合体中的中小企业、签订分包意向协议的中小企业）的具体情况如下：</w:t>
      </w:r>
    </w:p>
    <w:p>
      <w:pPr>
        <w:snapToGrid w:val="0"/>
        <w:spacing w:line="336"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i/>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（采购文件中明确的所属行业）</w:t>
      </w:r>
      <w:r>
        <w:rPr>
          <w:rFonts w:hint="eastAsia" w:ascii="仿宋" w:hAnsi="仿宋" w:eastAsia="仿宋" w:cs="仿宋"/>
          <w:color w:val="auto"/>
          <w:sz w:val="24"/>
          <w:highlight w:val="none"/>
        </w:rPr>
        <w:t>；制造商为</w:t>
      </w:r>
      <w:r>
        <w:rPr>
          <w:rFonts w:hint="eastAsia" w:ascii="仿宋" w:hAnsi="仿宋" w:eastAsia="仿宋" w:cs="仿宋"/>
          <w:i/>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w:t>
      </w:r>
      <w:r>
        <w:rPr>
          <w:rStyle w:val="70"/>
          <w:rFonts w:hint="eastAsia" w:ascii="仿宋" w:hAnsi="仿宋" w:eastAsia="仿宋" w:cs="仿宋"/>
          <w:color w:val="auto"/>
          <w:sz w:val="24"/>
          <w:highlight w:val="none"/>
        </w:rPr>
        <w:footnoteReference w:id="0"/>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（中型企业、小型企业、微型企业）</w:t>
      </w:r>
      <w:r>
        <w:rPr>
          <w:rFonts w:hint="eastAsia" w:ascii="仿宋" w:hAnsi="仿宋" w:eastAsia="仿宋" w:cs="仿宋"/>
          <w:color w:val="auto"/>
          <w:sz w:val="24"/>
          <w:highlight w:val="none"/>
        </w:rPr>
        <w:t>；</w:t>
      </w:r>
    </w:p>
    <w:p>
      <w:pPr>
        <w:snapToGrid w:val="0"/>
        <w:spacing w:line="336"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2. </w:t>
      </w:r>
      <w:r>
        <w:rPr>
          <w:rFonts w:hint="eastAsia" w:ascii="仿宋" w:hAnsi="仿宋" w:eastAsia="仿宋" w:cs="仿宋"/>
          <w:i/>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i/>
          <w:color w:val="auto"/>
          <w:sz w:val="24"/>
          <w:highlight w:val="none"/>
          <w:u w:val="single"/>
        </w:rPr>
        <w:t>（采购文件中明确的所属行业）</w:t>
      </w:r>
      <w:r>
        <w:rPr>
          <w:rFonts w:hint="eastAsia" w:ascii="仿宋" w:hAnsi="仿宋" w:eastAsia="仿宋" w:cs="仿宋"/>
          <w:color w:val="auto"/>
          <w:sz w:val="24"/>
          <w:highlight w:val="none"/>
        </w:rPr>
        <w:t>；制造商为</w:t>
      </w:r>
      <w:r>
        <w:rPr>
          <w:rFonts w:hint="eastAsia" w:ascii="仿宋" w:hAnsi="仿宋" w:eastAsia="仿宋" w:cs="仿宋"/>
          <w:i/>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i/>
          <w:color w:val="auto"/>
          <w:sz w:val="24"/>
          <w:highlight w:val="none"/>
          <w:u w:val="single"/>
        </w:rPr>
        <w:t>（中型企业、小型企业、微型企业）</w:t>
      </w:r>
      <w:r>
        <w:rPr>
          <w:rFonts w:hint="eastAsia" w:ascii="仿宋" w:hAnsi="仿宋" w:eastAsia="仿宋" w:cs="仿宋"/>
          <w:color w:val="auto"/>
          <w:sz w:val="24"/>
          <w:highlight w:val="none"/>
        </w:rPr>
        <w:t>；</w:t>
      </w:r>
    </w:p>
    <w:p>
      <w:pPr>
        <w:snapToGrid w:val="0"/>
        <w:spacing w:line="336"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w:t>
      </w:r>
    </w:p>
    <w:p>
      <w:pPr>
        <w:snapToGrid w:val="0"/>
        <w:spacing w:line="336"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snapToGrid w:val="0"/>
        <w:spacing w:line="336"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snapToGrid w:val="0"/>
        <w:spacing w:line="336"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企业名称（盖章）：</w:t>
      </w:r>
    </w:p>
    <w:p>
      <w:pPr>
        <w:snapToGrid w:val="0"/>
        <w:spacing w:line="336"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                      日期：</w:t>
      </w:r>
    </w:p>
    <w:p>
      <w:pPr>
        <w:spacing w:line="480" w:lineRule="exact"/>
        <w:rPr>
          <w:rFonts w:ascii="仿宋" w:hAnsi="仿宋" w:eastAsia="仿宋" w:cs="仿宋"/>
          <w:b/>
          <w:color w:val="auto"/>
          <w:sz w:val="28"/>
          <w:szCs w:val="28"/>
          <w:highlight w:val="none"/>
        </w:rPr>
      </w:pPr>
    </w:p>
    <w:p>
      <w:pPr>
        <w:snapToGrid w:val="0"/>
        <w:spacing w:line="336" w:lineRule="auto"/>
        <w:ind w:firstLine="640" w:firstLineChars="200"/>
        <w:rPr>
          <w:rFonts w:ascii="仿宋" w:hAnsi="仿宋" w:eastAsia="仿宋"/>
          <w:color w:val="auto"/>
          <w:sz w:val="32"/>
          <w:szCs w:val="32"/>
          <w:highlight w:val="none"/>
        </w:rPr>
      </w:pPr>
    </w:p>
    <w:p>
      <w:pPr>
        <w:widowControl/>
        <w:jc w:val="left"/>
        <w:rPr>
          <w:rStyle w:val="63"/>
          <w:rFonts w:ascii="仿宋" w:hAnsi="仿宋" w:eastAsia="仿宋" w:cs="仿宋"/>
          <w:color w:val="auto"/>
          <w:kern w:val="0"/>
          <w:szCs w:val="21"/>
          <w:highlight w:val="none"/>
        </w:rPr>
      </w:pPr>
      <w:r>
        <w:rPr>
          <w:rStyle w:val="63"/>
          <w:rFonts w:hint="eastAsia" w:ascii="仿宋" w:hAnsi="仿宋" w:eastAsia="仿宋" w:cs="仿宋"/>
          <w:color w:val="auto"/>
          <w:kern w:val="0"/>
          <w:szCs w:val="21"/>
          <w:highlight w:val="none"/>
        </w:rPr>
        <w:br w:type="page"/>
      </w:r>
    </w:p>
    <w:p>
      <w:pPr>
        <w:spacing w:line="588" w:lineRule="exact"/>
        <w:rPr>
          <w:rFonts w:ascii="仿宋" w:hAnsi="仿宋" w:eastAsia="仿宋" w:cs="仿宋"/>
          <w:color w:val="auto"/>
          <w:spacing w:val="6"/>
          <w:sz w:val="24"/>
          <w:highlight w:val="none"/>
        </w:rPr>
      </w:pPr>
      <w:r>
        <w:rPr>
          <w:rStyle w:val="63"/>
          <w:rFonts w:hint="eastAsia" w:ascii="仿宋" w:hAnsi="仿宋" w:eastAsia="仿宋" w:cs="仿宋"/>
          <w:color w:val="auto"/>
          <w:kern w:val="0"/>
          <w:sz w:val="24"/>
          <w:highlight w:val="none"/>
        </w:rPr>
        <w:t>附表二、</w:t>
      </w:r>
    </w:p>
    <w:p>
      <w:pPr>
        <w:spacing w:line="588" w:lineRule="exact"/>
        <w:jc w:val="center"/>
        <w:rPr>
          <w:rFonts w:ascii="仿宋" w:hAnsi="仿宋" w:eastAsia="仿宋" w:cs="仿宋"/>
          <w:b/>
          <w:color w:val="auto"/>
          <w:spacing w:val="6"/>
          <w:sz w:val="24"/>
          <w:highlight w:val="none"/>
        </w:rPr>
      </w:pPr>
      <w:bookmarkStart w:id="19" w:name="OLE_LINK14"/>
      <w:bookmarkStart w:id="20" w:name="OLE_LINK13"/>
      <w:r>
        <w:rPr>
          <w:rFonts w:hint="eastAsia" w:ascii="仿宋" w:hAnsi="仿宋" w:eastAsia="仿宋" w:cs="仿宋"/>
          <w:b/>
          <w:color w:val="auto"/>
          <w:spacing w:val="6"/>
          <w:sz w:val="24"/>
          <w:highlight w:val="none"/>
        </w:rPr>
        <w:t>残疾人福利性单位声明函</w:t>
      </w:r>
    </w:p>
    <w:bookmarkEnd w:id="19"/>
    <w:bookmarkEnd w:id="20"/>
    <w:p>
      <w:pPr>
        <w:spacing w:line="588" w:lineRule="exact"/>
        <w:rPr>
          <w:rFonts w:ascii="仿宋" w:hAnsi="仿宋" w:eastAsia="仿宋" w:cs="仿宋"/>
          <w:b/>
          <w:color w:val="auto"/>
          <w:spacing w:val="6"/>
          <w:sz w:val="24"/>
          <w:highlight w:val="none"/>
        </w:rPr>
      </w:pPr>
    </w:p>
    <w:p>
      <w:pPr>
        <w:spacing w:line="588" w:lineRule="exact"/>
        <w:ind w:firstLine="504" w:firstLineChars="200"/>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pPr>
        <w:spacing w:line="588" w:lineRule="exact"/>
        <w:ind w:firstLine="504" w:firstLineChars="200"/>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pPr>
        <w:spacing w:line="588" w:lineRule="exact"/>
        <w:ind w:firstLine="504" w:firstLineChars="200"/>
        <w:rPr>
          <w:rFonts w:ascii="仿宋" w:hAnsi="仿宋" w:eastAsia="仿宋" w:cs="仿宋"/>
          <w:color w:val="auto"/>
          <w:spacing w:val="6"/>
          <w:sz w:val="24"/>
          <w:highlight w:val="none"/>
        </w:rPr>
      </w:pPr>
    </w:p>
    <w:p>
      <w:pPr>
        <w:spacing w:line="588" w:lineRule="exact"/>
        <w:ind w:firstLine="504" w:firstLineChars="200"/>
        <w:rPr>
          <w:rFonts w:ascii="仿宋" w:hAnsi="仿宋" w:eastAsia="仿宋" w:cs="仿宋"/>
          <w:color w:val="auto"/>
          <w:spacing w:val="6"/>
          <w:sz w:val="24"/>
          <w:highlight w:val="none"/>
        </w:rPr>
      </w:pPr>
    </w:p>
    <w:p>
      <w:pPr>
        <w:tabs>
          <w:tab w:val="left" w:pos="4860"/>
        </w:tabs>
        <w:spacing w:line="588" w:lineRule="exact"/>
        <w:ind w:right="1560" w:firstLine="504" w:firstLineChars="200"/>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pPr>
        <w:tabs>
          <w:tab w:val="left" w:pos="4860"/>
        </w:tabs>
        <w:spacing w:line="588" w:lineRule="exact"/>
        <w:ind w:right="1560" w:firstLine="504" w:firstLineChars="200"/>
        <w:jc w:val="center"/>
        <w:rPr>
          <w:rFonts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pPr>
        <w:rPr>
          <w:rFonts w:ascii="仿宋" w:hAnsi="仿宋" w:eastAsia="仿宋" w:cs="仿宋"/>
          <w:color w:val="auto"/>
          <w:sz w:val="24"/>
          <w:highlight w:val="none"/>
        </w:rPr>
      </w:pPr>
    </w:p>
    <w:p>
      <w:pPr>
        <w:widowControl/>
        <w:jc w:val="left"/>
        <w:rPr>
          <w:rFonts w:ascii="仿宋" w:hAnsi="仿宋" w:eastAsia="仿宋" w:cs="仿宋"/>
          <w:color w:val="auto"/>
          <w:sz w:val="24"/>
          <w:highlight w:val="none"/>
        </w:rPr>
      </w:pPr>
    </w:p>
    <w:p>
      <w:pPr>
        <w:widowControl/>
        <w:jc w:val="left"/>
        <w:rPr>
          <w:rFonts w:ascii="仿宋" w:hAnsi="仿宋" w:eastAsia="仿宋" w:cs="仿宋"/>
          <w:color w:val="auto"/>
          <w:sz w:val="24"/>
          <w:highlight w:val="none"/>
        </w:rPr>
      </w:pPr>
    </w:p>
    <w:p>
      <w:pPr>
        <w:widowControl/>
        <w:jc w:val="left"/>
        <w:rPr>
          <w:rFonts w:ascii="仿宋" w:hAnsi="仿宋" w:eastAsia="仿宋" w:cs="仿宋"/>
          <w:color w:val="auto"/>
          <w:sz w:val="24"/>
          <w:highlight w:val="none"/>
        </w:rPr>
      </w:pPr>
    </w:p>
    <w:p>
      <w:pPr>
        <w:widowControl/>
        <w:jc w:val="left"/>
        <w:rPr>
          <w:rFonts w:ascii="仿宋" w:hAnsi="仿宋" w:eastAsia="仿宋" w:cs="仿宋"/>
          <w:color w:val="auto"/>
          <w:sz w:val="24"/>
          <w:highlight w:val="none"/>
        </w:rPr>
      </w:pPr>
      <w:r>
        <w:rPr>
          <w:rStyle w:val="63"/>
          <w:rFonts w:hint="eastAsia" w:ascii="仿宋" w:hAnsi="仿宋" w:eastAsia="仿宋" w:cs="仿宋"/>
          <w:color w:val="auto"/>
          <w:kern w:val="0"/>
          <w:sz w:val="24"/>
          <w:highlight w:val="none"/>
        </w:rPr>
        <w:t>附表三、监狱企业证明文件</w:t>
      </w:r>
    </w:p>
    <w:p>
      <w:pPr>
        <w:pStyle w:val="55"/>
        <w:spacing w:line="360" w:lineRule="auto"/>
        <w:ind w:firstLine="480" w:firstLineChars="200"/>
        <w:rPr>
          <w:rStyle w:val="63"/>
          <w:rFonts w:ascii="仿宋" w:hAnsi="仿宋" w:eastAsia="仿宋" w:cs="仿宋"/>
          <w:color w:val="auto"/>
          <w:highlight w:val="none"/>
        </w:rPr>
      </w:pPr>
      <w:r>
        <w:rPr>
          <w:rFonts w:hint="eastAsia" w:ascii="仿宋" w:hAnsi="仿宋" w:eastAsia="仿宋" w:cs="仿宋"/>
          <w:color w:val="auto"/>
          <w:highlight w:val="none"/>
        </w:rPr>
        <w:t>监狱企业参加政府采购活动时，应当提供由省级以上监狱管理局、戒毒管理局（含新疆生产建设兵团）出具的属于监狱企业的证明文件。</w:t>
      </w:r>
    </w:p>
    <w:p>
      <w:pPr>
        <w:shd w:val="clear" w:color="auto" w:fill="FFFFFF"/>
        <w:tabs>
          <w:tab w:val="left" w:pos="3780"/>
        </w:tabs>
        <w:spacing w:line="440" w:lineRule="exact"/>
        <w:jc w:val="center"/>
        <w:rPr>
          <w:rFonts w:ascii="仿宋" w:hAnsi="仿宋" w:eastAsia="仿宋" w:cs="仿宋"/>
          <w:color w:val="auto"/>
          <w:sz w:val="24"/>
          <w:highlight w:val="none"/>
        </w:rPr>
      </w:pPr>
    </w:p>
    <w:p>
      <w:pPr>
        <w:shd w:val="clear" w:color="auto" w:fill="FFFFFF"/>
        <w:spacing w:line="440" w:lineRule="exact"/>
        <w:rPr>
          <w:rFonts w:ascii="仿宋" w:hAnsi="仿宋" w:eastAsia="仿宋" w:cs="仿宋"/>
          <w:b/>
          <w:bCs/>
          <w:color w:val="auto"/>
          <w:szCs w:val="21"/>
          <w:highlight w:val="none"/>
        </w:rPr>
      </w:pPr>
    </w:p>
    <w:p>
      <w:pPr>
        <w:widowControl/>
        <w:spacing w:line="440" w:lineRule="exact"/>
        <w:jc w:val="left"/>
        <w:rPr>
          <w:rFonts w:ascii="仿宋" w:hAnsi="仿宋" w:eastAsia="仿宋" w:cs="仿宋"/>
          <w:bCs/>
          <w:color w:val="auto"/>
          <w:sz w:val="24"/>
          <w:highlight w:val="none"/>
        </w:rPr>
      </w:pPr>
      <w:r>
        <w:rPr>
          <w:rFonts w:hint="eastAsia" w:ascii="仿宋" w:hAnsi="仿宋" w:eastAsia="仿宋" w:cs="仿宋"/>
          <w:b/>
          <w:bCs/>
          <w:color w:val="auto"/>
          <w:szCs w:val="21"/>
          <w:highlight w:val="none"/>
        </w:rPr>
        <w:br w:type="page"/>
      </w:r>
    </w:p>
    <w:p>
      <w:pPr>
        <w:shd w:val="clear" w:color="auto" w:fill="FFFFFF"/>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（2）资格文件声明函</w:t>
      </w:r>
    </w:p>
    <w:p>
      <w:pPr>
        <w:spacing w:before="159"/>
        <w:ind w:left="298"/>
        <w:jc w:val="left"/>
        <w:rPr>
          <w:rFonts w:ascii="仿宋" w:hAnsi="仿宋" w:eastAsia="仿宋" w:cs="仿宋"/>
          <w:b/>
          <w:color w:val="auto"/>
          <w:sz w:val="24"/>
          <w:highlight w:val="none"/>
        </w:rPr>
      </w:pPr>
      <w:r>
        <w:rPr>
          <w:rFonts w:hint="eastAsia" w:ascii="仿宋" w:hAnsi="仿宋" w:eastAsia="仿宋" w:cs="仿宋"/>
          <w:b/>
          <w:color w:val="auto"/>
          <w:sz w:val="24"/>
          <w:highlight w:val="none"/>
        </w:rPr>
        <w:t>致：（采购人）</w:t>
      </w:r>
    </w:p>
    <w:p>
      <w:pPr>
        <w:pStyle w:val="28"/>
        <w:spacing w:before="139"/>
        <w:ind w:left="298" w:right="346" w:firstLine="420"/>
        <w:rPr>
          <w:rFonts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】投标邀请，本签字人愿意参加投标响应，并声明：</w:t>
      </w:r>
    </w:p>
    <w:p>
      <w:pPr>
        <w:pStyle w:val="28"/>
        <w:ind w:left="581"/>
        <w:rPr>
          <w:rFonts w:ascii="仿宋" w:hAnsi="仿宋" w:eastAsia="仿宋" w:cs="仿宋"/>
          <w:color w:val="auto"/>
          <w:sz w:val="24"/>
          <w:highlight w:val="none"/>
        </w:rPr>
      </w:pPr>
      <w:r>
        <w:rPr>
          <w:rFonts w:hint="eastAsia" w:ascii="仿宋" w:hAnsi="仿宋" w:eastAsia="仿宋" w:cs="仿宋"/>
          <w:color w:val="auto"/>
          <w:sz w:val="24"/>
          <w:highlight w:val="none"/>
        </w:rPr>
        <w:t>一、本公司（企业）具备《中华人民共和国政府采购法》第二十二条规定的条件：</w:t>
      </w:r>
    </w:p>
    <w:p>
      <w:pPr>
        <w:pStyle w:val="28"/>
        <w:ind w:left="581"/>
        <w:rPr>
          <w:rFonts w:ascii="仿宋" w:hAnsi="仿宋" w:eastAsia="仿宋" w:cs="仿宋"/>
          <w:color w:val="auto"/>
          <w:sz w:val="24"/>
          <w:highlight w:val="none"/>
        </w:rPr>
      </w:pPr>
      <w:r>
        <w:rPr>
          <w:rFonts w:hint="eastAsia" w:ascii="仿宋" w:hAnsi="仿宋" w:eastAsia="仿宋" w:cs="仿宋"/>
          <w:color w:val="auto"/>
          <w:sz w:val="24"/>
          <w:highlight w:val="none"/>
        </w:rPr>
        <w:t>（一）具有独立承担民事责任的能力；</w:t>
      </w:r>
    </w:p>
    <w:p>
      <w:pPr>
        <w:pStyle w:val="28"/>
        <w:ind w:left="581"/>
        <w:rPr>
          <w:rFonts w:ascii="仿宋" w:hAnsi="仿宋" w:eastAsia="仿宋" w:cs="仿宋"/>
          <w:color w:val="auto"/>
          <w:sz w:val="24"/>
          <w:highlight w:val="none"/>
        </w:rPr>
      </w:pPr>
      <w:r>
        <w:rPr>
          <w:rFonts w:hint="eastAsia" w:ascii="仿宋" w:hAnsi="仿宋" w:eastAsia="仿宋" w:cs="仿宋"/>
          <w:color w:val="auto"/>
          <w:sz w:val="24"/>
          <w:highlight w:val="none"/>
        </w:rPr>
        <w:t>（二）具有良好的商业信誉和健全的财务会计制度；</w:t>
      </w:r>
    </w:p>
    <w:p>
      <w:pPr>
        <w:pStyle w:val="28"/>
        <w:ind w:left="581"/>
        <w:rPr>
          <w:rFonts w:ascii="仿宋" w:hAnsi="仿宋" w:eastAsia="仿宋" w:cs="仿宋"/>
          <w:color w:val="auto"/>
          <w:sz w:val="24"/>
          <w:highlight w:val="none"/>
        </w:rPr>
      </w:pPr>
      <w:r>
        <w:rPr>
          <w:rFonts w:hint="eastAsia" w:ascii="仿宋" w:hAnsi="仿宋" w:eastAsia="仿宋" w:cs="仿宋"/>
          <w:color w:val="auto"/>
          <w:sz w:val="24"/>
          <w:highlight w:val="none"/>
        </w:rPr>
        <w:t>（三）具有履行合同所必需的设备和专业技术能力；</w:t>
      </w:r>
    </w:p>
    <w:p>
      <w:pPr>
        <w:pStyle w:val="28"/>
        <w:ind w:left="581"/>
        <w:rPr>
          <w:rFonts w:ascii="仿宋" w:hAnsi="仿宋" w:eastAsia="仿宋" w:cs="仿宋"/>
          <w:color w:val="auto"/>
          <w:sz w:val="24"/>
          <w:highlight w:val="none"/>
        </w:rPr>
      </w:pPr>
      <w:r>
        <w:rPr>
          <w:rFonts w:hint="eastAsia" w:ascii="仿宋" w:hAnsi="仿宋" w:eastAsia="仿宋" w:cs="仿宋"/>
          <w:color w:val="auto"/>
          <w:sz w:val="24"/>
          <w:highlight w:val="none"/>
        </w:rPr>
        <w:t>（四）有依法缴纳税收和社会保障资金的良好记录；</w:t>
      </w:r>
    </w:p>
    <w:p>
      <w:pPr>
        <w:pStyle w:val="28"/>
        <w:ind w:left="581"/>
        <w:rPr>
          <w:rFonts w:ascii="仿宋" w:hAnsi="仿宋" w:eastAsia="仿宋" w:cs="仿宋"/>
          <w:color w:val="auto"/>
          <w:sz w:val="24"/>
          <w:highlight w:val="none"/>
        </w:rPr>
      </w:pPr>
      <w:r>
        <w:rPr>
          <w:rFonts w:hint="eastAsia" w:ascii="仿宋" w:hAnsi="仿宋" w:eastAsia="仿宋" w:cs="仿宋"/>
          <w:color w:val="auto"/>
          <w:sz w:val="24"/>
          <w:highlight w:val="none"/>
        </w:rPr>
        <w:t>（五）参加政府采购活动前三年内，在经营活动中没有重大违法记录；</w:t>
      </w:r>
    </w:p>
    <w:p>
      <w:pPr>
        <w:pStyle w:val="28"/>
        <w:ind w:left="581"/>
        <w:rPr>
          <w:rFonts w:ascii="仿宋" w:hAnsi="仿宋" w:eastAsia="仿宋" w:cs="仿宋"/>
          <w:color w:val="auto"/>
          <w:sz w:val="24"/>
          <w:highlight w:val="none"/>
        </w:rPr>
      </w:pPr>
      <w:r>
        <w:rPr>
          <w:rFonts w:hint="eastAsia" w:ascii="仿宋" w:hAnsi="仿宋" w:eastAsia="仿宋" w:cs="仿宋"/>
          <w:color w:val="auto"/>
          <w:sz w:val="24"/>
          <w:highlight w:val="none"/>
        </w:rPr>
        <w:t>（六）法律、行政法规规定的其他条件。</w:t>
      </w:r>
    </w:p>
    <w:p>
      <w:pPr>
        <w:pStyle w:val="28"/>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本公司（企业）的单位负责人与所参投的本采购项目包组的其他供应商的单位负责人不为同一人且与其他供应商之间不存在直接控股、管理关系。</w:t>
      </w:r>
    </w:p>
    <w:p>
      <w:pPr>
        <w:pStyle w:val="28"/>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pStyle w:val="28"/>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本公司（企业）承诺在本次招标采购活动中，如有违法、违规、弄虚作假行为，所造成的损失、不良后果及法律责任，一律由我公司（企业）承担。</w:t>
      </w:r>
    </w:p>
    <w:p>
      <w:pPr>
        <w:ind w:left="708" w:right="7390" w:firstLine="9"/>
        <w:jc w:val="left"/>
        <w:rPr>
          <w:rFonts w:ascii="仿宋" w:hAnsi="仿宋" w:eastAsia="仿宋" w:cs="仿宋"/>
          <w:color w:val="auto"/>
          <w:sz w:val="24"/>
          <w:highlight w:val="none"/>
        </w:rPr>
      </w:pPr>
      <w:r>
        <w:rPr>
          <w:rFonts w:hint="eastAsia" w:ascii="仿宋" w:hAnsi="仿宋" w:eastAsia="仿宋" w:cs="仿宋"/>
          <w:color w:val="auto"/>
          <w:sz w:val="24"/>
          <w:highlight w:val="none"/>
        </w:rPr>
        <w:t>特此声明！</w:t>
      </w:r>
    </w:p>
    <w:p>
      <w:pPr>
        <w:ind w:firstLine="482" w:firstLineChars="200"/>
        <w:jc w:val="left"/>
        <w:rPr>
          <w:rFonts w:ascii="仿宋" w:hAnsi="仿宋" w:eastAsia="仿宋" w:cs="仿宋"/>
          <w:b/>
          <w:color w:val="auto"/>
          <w:sz w:val="24"/>
          <w:highlight w:val="none"/>
        </w:rPr>
      </w:pPr>
      <w:r>
        <w:rPr>
          <w:rFonts w:hint="eastAsia" w:ascii="仿宋" w:hAnsi="仿宋" w:eastAsia="仿宋" w:cs="仿宋"/>
          <w:b/>
          <w:color w:val="auto"/>
          <w:sz w:val="24"/>
          <w:highlight w:val="none"/>
        </w:rPr>
        <w:t>备注：</w:t>
      </w:r>
    </w:p>
    <w:p>
      <w:pPr>
        <w:pStyle w:val="391"/>
        <w:numPr>
          <w:ilvl w:val="1"/>
          <w:numId w:val="22"/>
        </w:numPr>
        <w:tabs>
          <w:tab w:val="left" w:pos="928"/>
        </w:tabs>
        <w:ind w:left="927" w:firstLine="480"/>
        <w:jc w:val="left"/>
        <w:rPr>
          <w:rFonts w:ascii="仿宋" w:hAnsi="仿宋" w:eastAsia="仿宋" w:cs="仿宋"/>
          <w:color w:val="auto"/>
          <w:highlight w:val="none"/>
        </w:rPr>
      </w:pPr>
      <w:r>
        <w:rPr>
          <w:rFonts w:hint="eastAsia" w:ascii="仿宋" w:hAnsi="仿宋" w:eastAsia="仿宋" w:cs="仿宋"/>
          <w:color w:val="auto"/>
          <w:highlight w:val="none"/>
        </w:rPr>
        <w:t>本声明函必须提供且内容不得擅自删改，否则视为无效投标。</w:t>
      </w:r>
    </w:p>
    <w:p>
      <w:pPr>
        <w:pStyle w:val="391"/>
        <w:numPr>
          <w:ilvl w:val="1"/>
          <w:numId w:val="22"/>
        </w:numPr>
        <w:tabs>
          <w:tab w:val="left" w:pos="928"/>
        </w:tabs>
        <w:spacing w:before="137"/>
        <w:ind w:left="927" w:firstLine="480"/>
        <w:jc w:val="left"/>
        <w:rPr>
          <w:rFonts w:ascii="仿宋" w:hAnsi="仿宋" w:eastAsia="仿宋" w:cs="仿宋"/>
          <w:color w:val="auto"/>
          <w:highlight w:val="none"/>
        </w:rPr>
      </w:pPr>
      <w:r>
        <w:rPr>
          <w:rFonts w:hint="eastAsia" w:ascii="仿宋" w:hAnsi="仿宋" w:eastAsia="仿宋" w:cs="仿宋"/>
          <w:color w:val="auto"/>
          <w:highlight w:val="none"/>
        </w:rPr>
        <w:t>本声明函如有虚假或与事实不符的，作无效投标处理。</w:t>
      </w:r>
    </w:p>
    <w:p>
      <w:pPr>
        <w:shd w:val="clear" w:color="auto" w:fill="FFFFFF"/>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投标人（盖公章）：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w:t>
      </w:r>
    </w:p>
    <w:p>
      <w:pPr>
        <w:shd w:val="clear" w:color="auto" w:fill="FFFFFF"/>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utoSpaceDE w:val="0"/>
        <w:autoSpaceDN w:val="0"/>
        <w:adjustRightInd w:val="0"/>
        <w:spacing w:line="480" w:lineRule="exact"/>
        <w:ind w:left="118"/>
        <w:jc w:val="center"/>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pPr>
        <w:autoSpaceDE w:val="0"/>
        <w:autoSpaceDN w:val="0"/>
        <w:adjustRightInd w:val="0"/>
        <w:spacing w:line="480" w:lineRule="exact"/>
        <w:ind w:left="118"/>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(3)反商业贿赂承诺书</w:t>
      </w:r>
    </w:p>
    <w:p>
      <w:pPr>
        <w:autoSpaceDE w:val="0"/>
        <w:autoSpaceDN w:val="0"/>
        <w:adjustRightInd w:val="0"/>
        <w:spacing w:line="480" w:lineRule="exact"/>
        <w:ind w:left="118"/>
        <w:jc w:val="center"/>
        <w:rPr>
          <w:rFonts w:ascii="仿宋" w:hAnsi="仿宋" w:eastAsia="仿宋" w:cs="仿宋"/>
          <w:b/>
          <w:color w:val="auto"/>
          <w:kern w:val="0"/>
          <w:sz w:val="28"/>
          <w:szCs w:val="28"/>
          <w:highlight w:val="none"/>
        </w:rPr>
      </w:pPr>
    </w:p>
    <w:p>
      <w:pPr>
        <w:autoSpaceDE w:val="0"/>
        <w:autoSpaceDN w:val="0"/>
        <w:adjustRightInd w:val="0"/>
        <w:spacing w:line="480" w:lineRule="exact"/>
        <w:ind w:left="118"/>
        <w:jc w:val="center"/>
        <w:rPr>
          <w:rFonts w:ascii="仿宋" w:hAnsi="仿宋" w:eastAsia="仿宋" w:cs="仿宋"/>
          <w:b/>
          <w:color w:val="auto"/>
          <w:kern w:val="0"/>
          <w:sz w:val="28"/>
          <w:szCs w:val="28"/>
          <w:highlight w:val="none"/>
        </w:rPr>
      </w:pPr>
    </w:p>
    <w:p>
      <w:pPr>
        <w:autoSpaceDE w:val="0"/>
        <w:autoSpaceDN w:val="0"/>
        <w:adjustRightInd w:val="0"/>
        <w:spacing w:line="480" w:lineRule="exact"/>
        <w:ind w:left="118" w:firstLine="480" w:firstLineChars="200"/>
        <w:jc w:val="left"/>
        <w:rPr>
          <w:rFonts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我公司承诺在</w:t>
      </w:r>
      <w:r>
        <w:rPr>
          <w:rFonts w:hint="eastAsia" w:ascii="仿宋" w:hAnsi="仿宋" w:eastAsia="仿宋" w:cs="仿宋"/>
          <w:bCs/>
          <w:color w:val="auto"/>
          <w:kern w:val="0"/>
          <w:sz w:val="24"/>
          <w:highlight w:val="none"/>
          <w:u w:val="single"/>
        </w:rPr>
        <w:t xml:space="preserve">               </w:t>
      </w:r>
      <w:r>
        <w:rPr>
          <w:rFonts w:hint="eastAsia" w:ascii="仿宋" w:hAnsi="仿宋" w:eastAsia="仿宋" w:cs="仿宋"/>
          <w:bCs/>
          <w:color w:val="auto"/>
          <w:kern w:val="0"/>
          <w:sz w:val="24"/>
          <w:highlight w:val="none"/>
        </w:rPr>
        <w:t>（项目名称、项目编号）招标活动中，不给予国家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80" w:lineRule="exact"/>
        <w:ind w:left="118"/>
        <w:jc w:val="center"/>
        <w:rPr>
          <w:rFonts w:ascii="仿宋" w:hAnsi="仿宋" w:eastAsia="仿宋" w:cs="仿宋"/>
          <w:bCs/>
          <w:color w:val="auto"/>
          <w:kern w:val="0"/>
          <w:sz w:val="24"/>
          <w:highlight w:val="none"/>
        </w:rPr>
      </w:pPr>
    </w:p>
    <w:p>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投标人名称（盖单位章）：</w:t>
      </w:r>
    </w:p>
    <w:p>
      <w:pPr>
        <w:spacing w:line="360" w:lineRule="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法定代表人或其委托代理人（签字盖章）：</w:t>
      </w:r>
    </w:p>
    <w:p>
      <w:pPr>
        <w:spacing w:line="520" w:lineRule="exac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日期：年月日</w:t>
      </w:r>
    </w:p>
    <w:p>
      <w:pPr>
        <w:shd w:val="clear" w:color="auto" w:fill="FFFFFF"/>
        <w:tabs>
          <w:tab w:val="left" w:pos="996"/>
        </w:tabs>
        <w:spacing w:line="440" w:lineRule="exact"/>
        <w:rPr>
          <w:rFonts w:ascii="仿宋" w:hAnsi="仿宋" w:eastAsia="仿宋" w:cs="仿宋"/>
          <w:color w:val="auto"/>
          <w:szCs w:val="21"/>
          <w:highlight w:val="none"/>
        </w:rPr>
      </w:pPr>
    </w:p>
    <w:p>
      <w:pPr>
        <w:pStyle w:val="71"/>
        <w:ind w:firstLine="0" w:firstLineChars="0"/>
        <w:jc w:val="center"/>
        <w:rPr>
          <w:color w:val="auto"/>
          <w:highlight w:val="none"/>
        </w:rPr>
      </w:pPr>
      <w:r>
        <w:rPr>
          <w:rFonts w:hint="eastAsia"/>
          <w:color w:val="auto"/>
          <w:highlight w:val="none"/>
        </w:rPr>
        <w:br w:type="page"/>
      </w:r>
      <w:r>
        <w:rPr>
          <w:rFonts w:hint="eastAsia" w:ascii="仿宋" w:hAnsi="仿宋" w:eastAsia="仿宋" w:cs="仿宋"/>
          <w:bCs/>
          <w:color w:val="auto"/>
          <w:szCs w:val="24"/>
          <w:highlight w:val="none"/>
        </w:rPr>
        <w:t>(5)投标人认为需要提交的其他资格证明资料</w:t>
      </w:r>
    </w:p>
    <w:p>
      <w:pPr>
        <w:shd w:val="clear" w:color="auto" w:fill="FFFFFF"/>
        <w:spacing w:line="440" w:lineRule="exact"/>
        <w:rPr>
          <w:rFonts w:ascii="仿宋" w:hAnsi="仿宋" w:eastAsia="仿宋" w:cs="仿宋"/>
          <w:color w:val="auto"/>
          <w:szCs w:val="21"/>
          <w:highlight w:val="none"/>
        </w:rPr>
      </w:pPr>
    </w:p>
    <w:p>
      <w:pPr>
        <w:shd w:val="clear" w:color="auto" w:fill="FFFFFF"/>
        <w:spacing w:line="440" w:lineRule="exact"/>
        <w:rPr>
          <w:rFonts w:ascii="仿宋" w:hAnsi="仿宋" w:eastAsia="仿宋" w:cs="仿宋"/>
          <w:color w:val="auto"/>
          <w:szCs w:val="21"/>
          <w:highlight w:val="none"/>
        </w:rPr>
      </w:pPr>
    </w:p>
    <w:p>
      <w:pPr>
        <w:shd w:val="clear" w:color="auto" w:fill="FFFFFF"/>
        <w:spacing w:line="44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br w:type="page"/>
      </w:r>
      <w:r>
        <w:rPr>
          <w:rFonts w:hint="eastAsia" w:ascii="仿宋" w:hAnsi="仿宋" w:eastAsia="仿宋" w:cs="仿宋"/>
          <w:bCs/>
          <w:color w:val="auto"/>
          <w:sz w:val="24"/>
          <w:highlight w:val="none"/>
        </w:rPr>
        <w:t>7、投标保证金缴纳凭证</w:t>
      </w:r>
    </w:p>
    <w:p>
      <w:pPr>
        <w:shd w:val="clear" w:color="auto" w:fill="FFFFFF"/>
        <w:spacing w:line="440" w:lineRule="exact"/>
        <w:rPr>
          <w:rFonts w:ascii="仿宋" w:hAnsi="仿宋" w:eastAsia="仿宋" w:cs="仿宋"/>
          <w:color w:val="auto"/>
          <w:szCs w:val="21"/>
          <w:highlight w:val="none"/>
        </w:rPr>
      </w:pPr>
    </w:p>
    <w:p>
      <w:pPr>
        <w:autoSpaceDE w:val="0"/>
        <w:autoSpaceDN w:val="0"/>
        <w:adjustRightInd w:val="0"/>
        <w:spacing w:line="480" w:lineRule="exact"/>
        <w:jc w:val="left"/>
        <w:rPr>
          <w:rFonts w:ascii="仿宋" w:hAnsi="仿宋" w:eastAsia="仿宋" w:cs="仿宋"/>
          <w:b/>
          <w:color w:val="auto"/>
          <w:kern w:val="0"/>
          <w:sz w:val="24"/>
          <w:highlight w:val="none"/>
        </w:rPr>
      </w:pPr>
      <w:r>
        <w:rPr>
          <w:rFonts w:hint="eastAsia" w:ascii="仿宋" w:hAnsi="仿宋" w:eastAsia="仿宋" w:cs="仿宋"/>
          <w:b/>
          <w:bCs/>
          <w:color w:val="auto"/>
          <w:kern w:val="0"/>
          <w:sz w:val="24"/>
          <w:highlight w:val="none"/>
        </w:rPr>
        <w:t>备注：附投标保证金汇款凭证复印件加盖公章</w:t>
      </w:r>
    </w:p>
    <w:p>
      <w:pPr>
        <w:shd w:val="clear" w:color="auto" w:fill="FFFFFF"/>
        <w:spacing w:line="440" w:lineRule="exact"/>
        <w:rPr>
          <w:rFonts w:ascii="仿宋" w:hAnsi="仿宋" w:eastAsia="仿宋" w:cs="仿宋"/>
          <w:color w:val="auto"/>
          <w:szCs w:val="21"/>
          <w:highlight w:val="none"/>
        </w:rPr>
      </w:pPr>
    </w:p>
    <w:p>
      <w:pPr>
        <w:spacing w:before="140"/>
        <w:ind w:right="31"/>
        <w:jc w:val="center"/>
        <w:rPr>
          <w:rFonts w:ascii="仿宋" w:hAnsi="仿宋" w:eastAsia="仿宋" w:cs="仿宋"/>
          <w:b/>
          <w:color w:val="auto"/>
          <w:sz w:val="28"/>
          <w:szCs w:val="28"/>
          <w:highlight w:val="none"/>
        </w:rPr>
      </w:pPr>
      <w:r>
        <w:rPr>
          <w:rFonts w:hint="eastAsia" w:ascii="仿宋" w:hAnsi="仿宋" w:eastAsia="仿宋" w:cs="仿宋"/>
          <w:color w:val="auto"/>
          <w:szCs w:val="21"/>
          <w:highlight w:val="none"/>
        </w:rPr>
        <w:br w:type="page"/>
      </w:r>
      <w:r>
        <w:rPr>
          <w:rFonts w:hint="eastAsia" w:ascii="仿宋" w:hAnsi="仿宋" w:eastAsia="仿宋" w:cs="仿宋"/>
          <w:bCs/>
          <w:color w:val="auto"/>
          <w:sz w:val="24"/>
          <w:highlight w:val="none"/>
        </w:rPr>
        <w:t>8、项目人员配备情况表</w:t>
      </w:r>
    </w:p>
    <w:p>
      <w:pPr>
        <w:pStyle w:val="28"/>
        <w:spacing w:before="93" w:line="480" w:lineRule="exact"/>
        <w:ind w:left="298" w:right="5213"/>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p>
      <w:pPr>
        <w:pStyle w:val="28"/>
        <w:spacing w:before="93" w:line="480" w:lineRule="exact"/>
        <w:ind w:left="298" w:right="5213"/>
        <w:rPr>
          <w:rFonts w:ascii="仿宋" w:hAnsi="仿宋" w:eastAsia="仿宋" w:cs="仿宋"/>
          <w:color w:val="auto"/>
          <w:sz w:val="24"/>
          <w:highlight w:val="none"/>
        </w:rPr>
      </w:pPr>
      <w:r>
        <w:rPr>
          <w:rFonts w:hint="eastAsia" w:ascii="仿宋" w:hAnsi="仿宋" w:eastAsia="仿宋" w:cs="仿宋"/>
          <w:color w:val="auto"/>
          <w:sz w:val="24"/>
          <w:highlight w:val="none"/>
        </w:rPr>
        <w:t>项目编号：</w:t>
      </w:r>
    </w:p>
    <w:tbl>
      <w:tblPr>
        <w:tblStyle w:val="6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994"/>
        <w:gridCol w:w="994"/>
        <w:gridCol w:w="994"/>
        <w:gridCol w:w="994"/>
        <w:gridCol w:w="856"/>
        <w:gridCol w:w="1372"/>
        <w:gridCol w:w="128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95"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94"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994"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拟承担工作内容</w:t>
            </w:r>
          </w:p>
        </w:tc>
        <w:tc>
          <w:tcPr>
            <w:tcW w:w="994"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994"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856"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2659" w:type="dxa"/>
            <w:gridSpan w:val="2"/>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执业资格（培训）证书</w:t>
            </w:r>
          </w:p>
        </w:tc>
        <w:tc>
          <w:tcPr>
            <w:tcW w:w="798" w:type="dxa"/>
            <w:vMerge w:val="restart"/>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95" w:type="dxa"/>
            <w:vMerge w:val="continue"/>
            <w:vAlign w:val="center"/>
          </w:tcPr>
          <w:p>
            <w:pPr>
              <w:jc w:val="center"/>
              <w:rPr>
                <w:rFonts w:ascii="仿宋" w:hAnsi="仿宋" w:eastAsia="仿宋" w:cs="仿宋"/>
                <w:color w:val="auto"/>
                <w:sz w:val="24"/>
                <w:highlight w:val="none"/>
              </w:rPr>
            </w:pPr>
          </w:p>
        </w:tc>
        <w:tc>
          <w:tcPr>
            <w:tcW w:w="994" w:type="dxa"/>
            <w:vMerge w:val="continue"/>
            <w:vAlign w:val="center"/>
          </w:tcPr>
          <w:p>
            <w:pPr>
              <w:jc w:val="center"/>
              <w:rPr>
                <w:rFonts w:ascii="仿宋" w:hAnsi="仿宋" w:eastAsia="仿宋" w:cs="仿宋"/>
                <w:color w:val="auto"/>
                <w:sz w:val="24"/>
                <w:highlight w:val="none"/>
              </w:rPr>
            </w:pPr>
          </w:p>
        </w:tc>
        <w:tc>
          <w:tcPr>
            <w:tcW w:w="994" w:type="dxa"/>
            <w:vMerge w:val="continue"/>
            <w:vAlign w:val="center"/>
          </w:tcPr>
          <w:p>
            <w:pPr>
              <w:jc w:val="center"/>
              <w:rPr>
                <w:rFonts w:ascii="仿宋" w:hAnsi="仿宋" w:eastAsia="仿宋" w:cs="仿宋"/>
                <w:color w:val="auto"/>
                <w:sz w:val="24"/>
                <w:highlight w:val="none"/>
              </w:rPr>
            </w:pPr>
          </w:p>
        </w:tc>
        <w:tc>
          <w:tcPr>
            <w:tcW w:w="994" w:type="dxa"/>
            <w:vMerge w:val="continue"/>
            <w:vAlign w:val="center"/>
          </w:tcPr>
          <w:p>
            <w:pPr>
              <w:jc w:val="center"/>
              <w:rPr>
                <w:rFonts w:ascii="仿宋" w:hAnsi="仿宋" w:eastAsia="仿宋" w:cs="仿宋"/>
                <w:color w:val="auto"/>
                <w:sz w:val="24"/>
                <w:highlight w:val="none"/>
              </w:rPr>
            </w:pPr>
          </w:p>
        </w:tc>
        <w:tc>
          <w:tcPr>
            <w:tcW w:w="994" w:type="dxa"/>
            <w:vMerge w:val="continue"/>
            <w:vAlign w:val="center"/>
          </w:tcPr>
          <w:p>
            <w:pPr>
              <w:jc w:val="center"/>
              <w:rPr>
                <w:rFonts w:ascii="仿宋" w:hAnsi="仿宋" w:eastAsia="仿宋" w:cs="仿宋"/>
                <w:color w:val="auto"/>
                <w:sz w:val="24"/>
                <w:highlight w:val="none"/>
              </w:rPr>
            </w:pPr>
          </w:p>
        </w:tc>
        <w:tc>
          <w:tcPr>
            <w:tcW w:w="856" w:type="dxa"/>
            <w:vMerge w:val="continue"/>
            <w:vAlign w:val="center"/>
          </w:tcPr>
          <w:p>
            <w:pPr>
              <w:jc w:val="center"/>
              <w:rPr>
                <w:rFonts w:ascii="仿宋" w:hAnsi="仿宋" w:eastAsia="仿宋" w:cs="仿宋"/>
                <w:color w:val="auto"/>
                <w:sz w:val="24"/>
                <w:highlight w:val="none"/>
              </w:rPr>
            </w:pPr>
          </w:p>
        </w:tc>
        <w:tc>
          <w:tcPr>
            <w:tcW w:w="1372"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证书名称及范围</w:t>
            </w:r>
          </w:p>
        </w:tc>
        <w:tc>
          <w:tcPr>
            <w:tcW w:w="1287" w:type="dxa"/>
            <w:vAlign w:val="center"/>
          </w:tcPr>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证书</w:t>
            </w:r>
          </w:p>
          <w:p>
            <w:pPr>
              <w:jc w:val="center"/>
              <w:rPr>
                <w:rFonts w:ascii="仿宋" w:hAnsi="仿宋" w:eastAsia="仿宋" w:cs="仿宋"/>
                <w:color w:val="auto"/>
                <w:sz w:val="24"/>
                <w:highlight w:val="none"/>
              </w:rPr>
            </w:pPr>
            <w:r>
              <w:rPr>
                <w:rFonts w:hint="eastAsia" w:ascii="仿宋" w:hAnsi="仿宋" w:eastAsia="仿宋" w:cs="仿宋"/>
                <w:color w:val="auto"/>
                <w:sz w:val="24"/>
                <w:highlight w:val="none"/>
              </w:rPr>
              <w:t>编号</w:t>
            </w:r>
          </w:p>
        </w:tc>
        <w:tc>
          <w:tcPr>
            <w:tcW w:w="798" w:type="dxa"/>
            <w:vMerge w:val="continue"/>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856" w:type="dxa"/>
            <w:vAlign w:val="center"/>
          </w:tcPr>
          <w:p>
            <w:pPr>
              <w:jc w:val="center"/>
              <w:rPr>
                <w:rFonts w:ascii="仿宋" w:hAnsi="仿宋" w:eastAsia="仿宋" w:cs="仿宋"/>
                <w:color w:val="auto"/>
                <w:sz w:val="24"/>
                <w:highlight w:val="none"/>
              </w:rPr>
            </w:pPr>
          </w:p>
        </w:tc>
        <w:tc>
          <w:tcPr>
            <w:tcW w:w="1372" w:type="dxa"/>
            <w:vAlign w:val="center"/>
          </w:tcPr>
          <w:p>
            <w:pPr>
              <w:jc w:val="center"/>
              <w:rPr>
                <w:rFonts w:ascii="仿宋" w:hAnsi="仿宋" w:eastAsia="仿宋" w:cs="仿宋"/>
                <w:color w:val="auto"/>
                <w:sz w:val="24"/>
                <w:highlight w:val="none"/>
              </w:rPr>
            </w:pPr>
          </w:p>
        </w:tc>
        <w:tc>
          <w:tcPr>
            <w:tcW w:w="1287" w:type="dxa"/>
            <w:vAlign w:val="center"/>
          </w:tcPr>
          <w:p>
            <w:pPr>
              <w:jc w:val="center"/>
              <w:rPr>
                <w:rFonts w:ascii="仿宋" w:hAnsi="仿宋" w:eastAsia="仿宋" w:cs="仿宋"/>
                <w:color w:val="auto"/>
                <w:sz w:val="24"/>
                <w:highlight w:val="none"/>
              </w:rPr>
            </w:pPr>
          </w:p>
        </w:tc>
        <w:tc>
          <w:tcPr>
            <w:tcW w:w="798"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856" w:type="dxa"/>
            <w:vAlign w:val="center"/>
          </w:tcPr>
          <w:p>
            <w:pPr>
              <w:jc w:val="center"/>
              <w:rPr>
                <w:rFonts w:ascii="仿宋" w:hAnsi="仿宋" w:eastAsia="仿宋" w:cs="仿宋"/>
                <w:color w:val="auto"/>
                <w:sz w:val="24"/>
                <w:highlight w:val="none"/>
              </w:rPr>
            </w:pPr>
          </w:p>
        </w:tc>
        <w:tc>
          <w:tcPr>
            <w:tcW w:w="1372" w:type="dxa"/>
            <w:vAlign w:val="center"/>
          </w:tcPr>
          <w:p>
            <w:pPr>
              <w:jc w:val="center"/>
              <w:rPr>
                <w:rFonts w:ascii="仿宋" w:hAnsi="仿宋" w:eastAsia="仿宋" w:cs="仿宋"/>
                <w:color w:val="auto"/>
                <w:sz w:val="24"/>
                <w:highlight w:val="none"/>
              </w:rPr>
            </w:pPr>
          </w:p>
        </w:tc>
        <w:tc>
          <w:tcPr>
            <w:tcW w:w="1287" w:type="dxa"/>
            <w:vAlign w:val="center"/>
          </w:tcPr>
          <w:p>
            <w:pPr>
              <w:jc w:val="center"/>
              <w:rPr>
                <w:rFonts w:ascii="仿宋" w:hAnsi="仿宋" w:eastAsia="仿宋" w:cs="仿宋"/>
                <w:color w:val="auto"/>
                <w:sz w:val="24"/>
                <w:highlight w:val="none"/>
              </w:rPr>
            </w:pPr>
          </w:p>
        </w:tc>
        <w:tc>
          <w:tcPr>
            <w:tcW w:w="798"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856" w:type="dxa"/>
            <w:vAlign w:val="center"/>
          </w:tcPr>
          <w:p>
            <w:pPr>
              <w:jc w:val="center"/>
              <w:rPr>
                <w:rFonts w:ascii="仿宋" w:hAnsi="仿宋" w:eastAsia="仿宋" w:cs="仿宋"/>
                <w:color w:val="auto"/>
                <w:sz w:val="24"/>
                <w:highlight w:val="none"/>
              </w:rPr>
            </w:pPr>
          </w:p>
        </w:tc>
        <w:tc>
          <w:tcPr>
            <w:tcW w:w="1372" w:type="dxa"/>
            <w:vAlign w:val="center"/>
          </w:tcPr>
          <w:p>
            <w:pPr>
              <w:jc w:val="center"/>
              <w:rPr>
                <w:rFonts w:ascii="仿宋" w:hAnsi="仿宋" w:eastAsia="仿宋" w:cs="仿宋"/>
                <w:color w:val="auto"/>
                <w:sz w:val="24"/>
                <w:highlight w:val="none"/>
              </w:rPr>
            </w:pPr>
          </w:p>
        </w:tc>
        <w:tc>
          <w:tcPr>
            <w:tcW w:w="1287" w:type="dxa"/>
            <w:vAlign w:val="center"/>
          </w:tcPr>
          <w:p>
            <w:pPr>
              <w:jc w:val="center"/>
              <w:rPr>
                <w:rFonts w:ascii="仿宋" w:hAnsi="仿宋" w:eastAsia="仿宋" w:cs="仿宋"/>
                <w:color w:val="auto"/>
                <w:sz w:val="24"/>
                <w:highlight w:val="none"/>
              </w:rPr>
            </w:pPr>
          </w:p>
        </w:tc>
        <w:tc>
          <w:tcPr>
            <w:tcW w:w="798"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856" w:type="dxa"/>
            <w:vAlign w:val="center"/>
          </w:tcPr>
          <w:p>
            <w:pPr>
              <w:jc w:val="center"/>
              <w:rPr>
                <w:rFonts w:ascii="仿宋" w:hAnsi="仿宋" w:eastAsia="仿宋" w:cs="仿宋"/>
                <w:color w:val="auto"/>
                <w:sz w:val="24"/>
                <w:highlight w:val="none"/>
              </w:rPr>
            </w:pPr>
          </w:p>
        </w:tc>
        <w:tc>
          <w:tcPr>
            <w:tcW w:w="1372" w:type="dxa"/>
            <w:vAlign w:val="center"/>
          </w:tcPr>
          <w:p>
            <w:pPr>
              <w:jc w:val="center"/>
              <w:rPr>
                <w:rFonts w:ascii="仿宋" w:hAnsi="仿宋" w:eastAsia="仿宋" w:cs="仿宋"/>
                <w:color w:val="auto"/>
                <w:sz w:val="24"/>
                <w:highlight w:val="none"/>
              </w:rPr>
            </w:pPr>
          </w:p>
        </w:tc>
        <w:tc>
          <w:tcPr>
            <w:tcW w:w="1287" w:type="dxa"/>
            <w:vAlign w:val="center"/>
          </w:tcPr>
          <w:p>
            <w:pPr>
              <w:jc w:val="center"/>
              <w:rPr>
                <w:rFonts w:ascii="仿宋" w:hAnsi="仿宋" w:eastAsia="仿宋" w:cs="仿宋"/>
                <w:color w:val="auto"/>
                <w:sz w:val="24"/>
                <w:highlight w:val="none"/>
              </w:rPr>
            </w:pPr>
          </w:p>
        </w:tc>
        <w:tc>
          <w:tcPr>
            <w:tcW w:w="798"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856" w:type="dxa"/>
            <w:vAlign w:val="center"/>
          </w:tcPr>
          <w:p>
            <w:pPr>
              <w:jc w:val="center"/>
              <w:rPr>
                <w:rFonts w:ascii="仿宋" w:hAnsi="仿宋" w:eastAsia="仿宋" w:cs="仿宋"/>
                <w:color w:val="auto"/>
                <w:sz w:val="24"/>
                <w:highlight w:val="none"/>
              </w:rPr>
            </w:pPr>
          </w:p>
        </w:tc>
        <w:tc>
          <w:tcPr>
            <w:tcW w:w="1372" w:type="dxa"/>
            <w:vAlign w:val="center"/>
          </w:tcPr>
          <w:p>
            <w:pPr>
              <w:jc w:val="center"/>
              <w:rPr>
                <w:rFonts w:ascii="仿宋" w:hAnsi="仿宋" w:eastAsia="仿宋" w:cs="仿宋"/>
                <w:color w:val="auto"/>
                <w:sz w:val="24"/>
                <w:highlight w:val="none"/>
              </w:rPr>
            </w:pPr>
          </w:p>
        </w:tc>
        <w:tc>
          <w:tcPr>
            <w:tcW w:w="1287" w:type="dxa"/>
            <w:vAlign w:val="center"/>
          </w:tcPr>
          <w:p>
            <w:pPr>
              <w:jc w:val="center"/>
              <w:rPr>
                <w:rFonts w:ascii="仿宋" w:hAnsi="仿宋" w:eastAsia="仿宋" w:cs="仿宋"/>
                <w:color w:val="auto"/>
                <w:sz w:val="24"/>
                <w:highlight w:val="none"/>
              </w:rPr>
            </w:pPr>
          </w:p>
        </w:tc>
        <w:tc>
          <w:tcPr>
            <w:tcW w:w="798"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856" w:type="dxa"/>
            <w:vAlign w:val="center"/>
          </w:tcPr>
          <w:p>
            <w:pPr>
              <w:jc w:val="center"/>
              <w:rPr>
                <w:rFonts w:ascii="仿宋" w:hAnsi="仿宋" w:eastAsia="仿宋" w:cs="仿宋"/>
                <w:color w:val="auto"/>
                <w:sz w:val="24"/>
                <w:highlight w:val="none"/>
              </w:rPr>
            </w:pPr>
          </w:p>
        </w:tc>
        <w:tc>
          <w:tcPr>
            <w:tcW w:w="1372" w:type="dxa"/>
            <w:vAlign w:val="center"/>
          </w:tcPr>
          <w:p>
            <w:pPr>
              <w:jc w:val="center"/>
              <w:rPr>
                <w:rFonts w:ascii="仿宋" w:hAnsi="仿宋" w:eastAsia="仿宋" w:cs="仿宋"/>
                <w:color w:val="auto"/>
                <w:sz w:val="24"/>
                <w:highlight w:val="none"/>
              </w:rPr>
            </w:pPr>
          </w:p>
        </w:tc>
        <w:tc>
          <w:tcPr>
            <w:tcW w:w="1287" w:type="dxa"/>
            <w:vAlign w:val="center"/>
          </w:tcPr>
          <w:p>
            <w:pPr>
              <w:jc w:val="center"/>
              <w:rPr>
                <w:rFonts w:ascii="仿宋" w:hAnsi="仿宋" w:eastAsia="仿宋" w:cs="仿宋"/>
                <w:color w:val="auto"/>
                <w:sz w:val="24"/>
                <w:highlight w:val="none"/>
              </w:rPr>
            </w:pPr>
          </w:p>
        </w:tc>
        <w:tc>
          <w:tcPr>
            <w:tcW w:w="798"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856" w:type="dxa"/>
            <w:vAlign w:val="center"/>
          </w:tcPr>
          <w:p>
            <w:pPr>
              <w:jc w:val="center"/>
              <w:rPr>
                <w:rFonts w:ascii="仿宋" w:hAnsi="仿宋" w:eastAsia="仿宋" w:cs="仿宋"/>
                <w:color w:val="auto"/>
                <w:sz w:val="24"/>
                <w:highlight w:val="none"/>
              </w:rPr>
            </w:pPr>
          </w:p>
        </w:tc>
        <w:tc>
          <w:tcPr>
            <w:tcW w:w="1372" w:type="dxa"/>
            <w:vAlign w:val="center"/>
          </w:tcPr>
          <w:p>
            <w:pPr>
              <w:jc w:val="center"/>
              <w:rPr>
                <w:rFonts w:ascii="仿宋" w:hAnsi="仿宋" w:eastAsia="仿宋" w:cs="仿宋"/>
                <w:color w:val="auto"/>
                <w:sz w:val="24"/>
                <w:highlight w:val="none"/>
              </w:rPr>
            </w:pPr>
          </w:p>
        </w:tc>
        <w:tc>
          <w:tcPr>
            <w:tcW w:w="1287" w:type="dxa"/>
            <w:vAlign w:val="center"/>
          </w:tcPr>
          <w:p>
            <w:pPr>
              <w:jc w:val="center"/>
              <w:rPr>
                <w:rFonts w:ascii="仿宋" w:hAnsi="仿宋" w:eastAsia="仿宋" w:cs="仿宋"/>
                <w:color w:val="auto"/>
                <w:sz w:val="24"/>
                <w:highlight w:val="none"/>
              </w:rPr>
            </w:pPr>
          </w:p>
        </w:tc>
        <w:tc>
          <w:tcPr>
            <w:tcW w:w="798" w:type="dxa"/>
            <w:vAlign w:val="center"/>
          </w:tcPr>
          <w:p>
            <w:pPr>
              <w:jc w:val="center"/>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5"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994" w:type="dxa"/>
            <w:vAlign w:val="center"/>
          </w:tcPr>
          <w:p>
            <w:pPr>
              <w:jc w:val="center"/>
              <w:rPr>
                <w:rFonts w:ascii="仿宋" w:hAnsi="仿宋" w:eastAsia="仿宋" w:cs="仿宋"/>
                <w:color w:val="auto"/>
                <w:sz w:val="24"/>
                <w:highlight w:val="none"/>
              </w:rPr>
            </w:pPr>
          </w:p>
        </w:tc>
        <w:tc>
          <w:tcPr>
            <w:tcW w:w="856" w:type="dxa"/>
            <w:vAlign w:val="center"/>
          </w:tcPr>
          <w:p>
            <w:pPr>
              <w:jc w:val="center"/>
              <w:rPr>
                <w:rFonts w:ascii="仿宋" w:hAnsi="仿宋" w:eastAsia="仿宋" w:cs="仿宋"/>
                <w:color w:val="auto"/>
                <w:sz w:val="24"/>
                <w:highlight w:val="none"/>
              </w:rPr>
            </w:pPr>
          </w:p>
        </w:tc>
        <w:tc>
          <w:tcPr>
            <w:tcW w:w="1372" w:type="dxa"/>
            <w:vAlign w:val="center"/>
          </w:tcPr>
          <w:p>
            <w:pPr>
              <w:jc w:val="center"/>
              <w:rPr>
                <w:rFonts w:ascii="仿宋" w:hAnsi="仿宋" w:eastAsia="仿宋" w:cs="仿宋"/>
                <w:color w:val="auto"/>
                <w:sz w:val="24"/>
                <w:highlight w:val="none"/>
              </w:rPr>
            </w:pPr>
          </w:p>
        </w:tc>
        <w:tc>
          <w:tcPr>
            <w:tcW w:w="1287" w:type="dxa"/>
            <w:vAlign w:val="center"/>
          </w:tcPr>
          <w:p>
            <w:pPr>
              <w:jc w:val="center"/>
              <w:rPr>
                <w:rFonts w:ascii="仿宋" w:hAnsi="仿宋" w:eastAsia="仿宋" w:cs="仿宋"/>
                <w:color w:val="auto"/>
                <w:sz w:val="24"/>
                <w:highlight w:val="none"/>
              </w:rPr>
            </w:pPr>
          </w:p>
        </w:tc>
        <w:tc>
          <w:tcPr>
            <w:tcW w:w="798" w:type="dxa"/>
            <w:vAlign w:val="center"/>
          </w:tcPr>
          <w:p>
            <w:pPr>
              <w:jc w:val="center"/>
              <w:rPr>
                <w:rFonts w:ascii="仿宋" w:hAnsi="仿宋" w:eastAsia="仿宋" w:cs="仿宋"/>
                <w:color w:val="auto"/>
                <w:sz w:val="24"/>
                <w:highlight w:val="none"/>
              </w:rPr>
            </w:pPr>
          </w:p>
        </w:tc>
      </w:tr>
    </w:tbl>
    <w:p>
      <w:pPr>
        <w:pStyle w:val="28"/>
        <w:spacing w:line="48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注：</w:t>
      </w:r>
    </w:p>
    <w:p>
      <w:pPr>
        <w:pStyle w:val="28"/>
        <w:numPr>
          <w:ilvl w:val="0"/>
          <w:numId w:val="23"/>
        </w:numPr>
        <w:spacing w:line="48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投标人必须如实填写此表格，并提供相关证书等复印件证明文件。</w:t>
      </w:r>
    </w:p>
    <w:p>
      <w:pPr>
        <w:pStyle w:val="29"/>
        <w:ind w:firstLine="0" w:firstLineChars="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2）项目成员须提供身份证复印件以及近三个月的社保缴纳证明材料。</w:t>
      </w:r>
    </w:p>
    <w:p>
      <w:pPr>
        <w:pStyle w:val="28"/>
        <w:spacing w:line="48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3）供应商应保证上述填报内容真实。</w:t>
      </w:r>
    </w:p>
    <w:p>
      <w:pPr>
        <w:pStyle w:val="28"/>
        <w:spacing w:line="48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4）本表不够时按照相同格式自制。</w:t>
      </w:r>
    </w:p>
    <w:p>
      <w:pPr>
        <w:shd w:val="clear" w:color="auto" w:fill="FFFFFF"/>
        <w:spacing w:line="440" w:lineRule="exact"/>
        <w:rPr>
          <w:rFonts w:ascii="仿宋" w:hAnsi="仿宋" w:eastAsia="仿宋" w:cs="仿宋"/>
          <w:color w:val="auto"/>
          <w:szCs w:val="21"/>
          <w:highlight w:val="none"/>
        </w:rPr>
      </w:pPr>
    </w:p>
    <w:p>
      <w:pPr>
        <w:shd w:val="clear" w:color="auto" w:fill="FFFFFF"/>
        <w:spacing w:line="440" w:lineRule="exact"/>
        <w:rPr>
          <w:rFonts w:ascii="仿宋" w:hAnsi="仿宋" w:eastAsia="仿宋" w:cs="仿宋"/>
          <w:color w:val="auto"/>
          <w:szCs w:val="21"/>
          <w:highlight w:val="none"/>
        </w:rPr>
      </w:pPr>
    </w:p>
    <w:p>
      <w:pPr>
        <w:pStyle w:val="327"/>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投标人（盖公章）：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w:t>
      </w:r>
    </w:p>
    <w:p>
      <w:pPr>
        <w:shd w:val="clear" w:color="auto" w:fill="FFFFFF"/>
        <w:adjustRightInd w:val="0"/>
        <w:snapToGrid w:val="0"/>
        <w:spacing w:line="440" w:lineRule="exact"/>
        <w:rPr>
          <w:rFonts w:ascii="仿宋" w:hAnsi="仿宋" w:eastAsia="仿宋" w:cs="仿宋"/>
          <w:color w:val="auto"/>
          <w:szCs w:val="21"/>
          <w:highlight w:val="none"/>
        </w:rPr>
      </w:pPr>
      <w:r>
        <w:rPr>
          <w:rFonts w:hint="eastAsia" w:ascii="仿宋" w:hAnsi="仿宋" w:eastAsia="仿宋" w:cs="仿宋"/>
          <w:color w:val="auto"/>
          <w:sz w:val="24"/>
          <w:highlight w:val="none"/>
        </w:rPr>
        <w:t>日期：  年  月  日</w:t>
      </w:r>
    </w:p>
    <w:p>
      <w:pPr>
        <w:shd w:val="clear" w:color="auto" w:fill="FFFFFF"/>
        <w:spacing w:line="440" w:lineRule="exact"/>
        <w:rPr>
          <w:rFonts w:ascii="仿宋" w:hAnsi="仿宋" w:eastAsia="仿宋" w:cs="仿宋"/>
          <w:color w:val="auto"/>
          <w:szCs w:val="21"/>
          <w:highlight w:val="none"/>
        </w:rPr>
      </w:pPr>
    </w:p>
    <w:p>
      <w:pPr>
        <w:widowControl/>
        <w:spacing w:line="440" w:lineRule="exact"/>
        <w:jc w:val="left"/>
        <w:rPr>
          <w:rFonts w:ascii="仿宋" w:hAnsi="仿宋" w:eastAsia="仿宋" w:cs="仿宋"/>
          <w:bCs/>
          <w:color w:val="auto"/>
          <w:sz w:val="24"/>
          <w:highlight w:val="none"/>
        </w:rPr>
      </w:pPr>
      <w:r>
        <w:rPr>
          <w:rFonts w:hint="eastAsia" w:ascii="仿宋" w:hAnsi="仿宋" w:eastAsia="仿宋" w:cs="仿宋"/>
          <w:color w:val="auto"/>
          <w:szCs w:val="21"/>
          <w:highlight w:val="none"/>
        </w:rPr>
        <w:br w:type="page"/>
      </w:r>
    </w:p>
    <w:p>
      <w:pPr>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9、投标人近三年相关项目业绩表（2019年1月至今）</w:t>
      </w:r>
    </w:p>
    <w:tbl>
      <w:tblPr>
        <w:tblStyle w:val="60"/>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982" w:type="dxa"/>
            <w:shd w:val="clear" w:color="auto" w:fill="F3F3F3"/>
            <w:vAlign w:val="center"/>
          </w:tcPr>
          <w:p>
            <w:pPr>
              <w:widowControl/>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1855" w:type="dxa"/>
            <w:shd w:val="clear" w:color="auto" w:fill="F3F3F3"/>
            <w:vAlign w:val="center"/>
          </w:tcPr>
          <w:p>
            <w:pPr>
              <w:widowControl/>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项目名称</w:t>
            </w:r>
          </w:p>
        </w:tc>
        <w:tc>
          <w:tcPr>
            <w:tcW w:w="2080" w:type="dxa"/>
            <w:shd w:val="clear" w:color="auto" w:fill="F3F3F3"/>
            <w:vAlign w:val="center"/>
          </w:tcPr>
          <w:p>
            <w:pPr>
              <w:widowControl/>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合同内容</w:t>
            </w:r>
          </w:p>
        </w:tc>
        <w:tc>
          <w:tcPr>
            <w:tcW w:w="1393" w:type="dxa"/>
            <w:shd w:val="clear" w:color="auto" w:fill="F3F3F3"/>
            <w:vAlign w:val="center"/>
          </w:tcPr>
          <w:p>
            <w:pPr>
              <w:widowControl/>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合同总额</w:t>
            </w:r>
          </w:p>
        </w:tc>
        <w:tc>
          <w:tcPr>
            <w:tcW w:w="1668" w:type="dxa"/>
            <w:shd w:val="clear" w:color="auto" w:fill="F3F3F3"/>
            <w:vAlign w:val="center"/>
          </w:tcPr>
          <w:p>
            <w:pPr>
              <w:widowControl/>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签约日期</w:t>
            </w:r>
          </w:p>
        </w:tc>
        <w:tc>
          <w:tcPr>
            <w:tcW w:w="1668" w:type="dxa"/>
            <w:shd w:val="clear" w:color="auto" w:fill="F3F3F3"/>
            <w:vAlign w:val="center"/>
          </w:tcPr>
          <w:p>
            <w:pPr>
              <w:widowControl/>
              <w:spacing w:line="440" w:lineRule="exact"/>
              <w:jc w:val="center"/>
              <w:rPr>
                <w:rFonts w:ascii="仿宋" w:hAnsi="仿宋" w:eastAsia="仿宋" w:cs="仿宋"/>
                <w:bCs/>
                <w:color w:val="auto"/>
                <w:sz w:val="24"/>
                <w:highlight w:val="none"/>
              </w:rPr>
            </w:pPr>
            <w:r>
              <w:rPr>
                <w:rFonts w:hint="eastAsia" w:ascii="仿宋" w:hAnsi="仿宋" w:eastAsia="仿宋" w:cs="仿宋"/>
                <w:bCs/>
                <w:color w:val="auto"/>
                <w:sz w:val="24"/>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pPr>
              <w:widowControl/>
              <w:spacing w:line="440" w:lineRule="exact"/>
              <w:jc w:val="left"/>
              <w:rPr>
                <w:rFonts w:ascii="仿宋" w:hAnsi="仿宋" w:eastAsia="仿宋" w:cs="仿宋"/>
                <w:color w:val="auto"/>
                <w:sz w:val="24"/>
                <w:highlight w:val="none"/>
              </w:rPr>
            </w:pPr>
          </w:p>
        </w:tc>
        <w:tc>
          <w:tcPr>
            <w:tcW w:w="1855" w:type="dxa"/>
            <w:vAlign w:val="center"/>
          </w:tcPr>
          <w:p>
            <w:pPr>
              <w:widowControl/>
              <w:spacing w:line="440" w:lineRule="exact"/>
              <w:jc w:val="left"/>
              <w:rPr>
                <w:rFonts w:ascii="仿宋" w:hAnsi="仿宋" w:eastAsia="仿宋" w:cs="仿宋"/>
                <w:color w:val="auto"/>
                <w:sz w:val="24"/>
                <w:highlight w:val="none"/>
              </w:rPr>
            </w:pPr>
          </w:p>
        </w:tc>
        <w:tc>
          <w:tcPr>
            <w:tcW w:w="2080" w:type="dxa"/>
          </w:tcPr>
          <w:p>
            <w:pPr>
              <w:widowControl/>
              <w:spacing w:line="440" w:lineRule="exact"/>
              <w:jc w:val="left"/>
              <w:rPr>
                <w:rFonts w:ascii="仿宋" w:hAnsi="仿宋" w:eastAsia="仿宋" w:cs="仿宋"/>
                <w:color w:val="auto"/>
                <w:sz w:val="24"/>
                <w:highlight w:val="none"/>
              </w:rPr>
            </w:pPr>
          </w:p>
        </w:tc>
        <w:tc>
          <w:tcPr>
            <w:tcW w:w="1393"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pPr>
              <w:widowControl/>
              <w:spacing w:line="440" w:lineRule="exact"/>
              <w:jc w:val="left"/>
              <w:rPr>
                <w:rFonts w:ascii="仿宋" w:hAnsi="仿宋" w:eastAsia="仿宋" w:cs="仿宋"/>
                <w:color w:val="auto"/>
                <w:sz w:val="24"/>
                <w:highlight w:val="none"/>
              </w:rPr>
            </w:pPr>
          </w:p>
        </w:tc>
        <w:tc>
          <w:tcPr>
            <w:tcW w:w="1855" w:type="dxa"/>
            <w:vAlign w:val="center"/>
          </w:tcPr>
          <w:p>
            <w:pPr>
              <w:widowControl/>
              <w:spacing w:line="440" w:lineRule="exact"/>
              <w:jc w:val="left"/>
              <w:rPr>
                <w:rFonts w:ascii="仿宋" w:hAnsi="仿宋" w:eastAsia="仿宋" w:cs="仿宋"/>
                <w:color w:val="auto"/>
                <w:sz w:val="24"/>
                <w:highlight w:val="none"/>
              </w:rPr>
            </w:pPr>
          </w:p>
        </w:tc>
        <w:tc>
          <w:tcPr>
            <w:tcW w:w="2080" w:type="dxa"/>
          </w:tcPr>
          <w:p>
            <w:pPr>
              <w:widowControl/>
              <w:spacing w:line="440" w:lineRule="exact"/>
              <w:jc w:val="left"/>
              <w:rPr>
                <w:rFonts w:ascii="仿宋" w:hAnsi="仿宋" w:eastAsia="仿宋" w:cs="仿宋"/>
                <w:color w:val="auto"/>
                <w:sz w:val="24"/>
                <w:highlight w:val="none"/>
              </w:rPr>
            </w:pPr>
          </w:p>
        </w:tc>
        <w:tc>
          <w:tcPr>
            <w:tcW w:w="1393"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pPr>
              <w:widowControl/>
              <w:spacing w:line="440" w:lineRule="exact"/>
              <w:jc w:val="left"/>
              <w:rPr>
                <w:rFonts w:ascii="仿宋" w:hAnsi="仿宋" w:eastAsia="仿宋" w:cs="仿宋"/>
                <w:color w:val="auto"/>
                <w:sz w:val="24"/>
                <w:highlight w:val="none"/>
              </w:rPr>
            </w:pPr>
          </w:p>
        </w:tc>
        <w:tc>
          <w:tcPr>
            <w:tcW w:w="1855" w:type="dxa"/>
            <w:vAlign w:val="center"/>
          </w:tcPr>
          <w:p>
            <w:pPr>
              <w:widowControl/>
              <w:spacing w:line="440" w:lineRule="exact"/>
              <w:jc w:val="left"/>
              <w:rPr>
                <w:rFonts w:ascii="仿宋" w:hAnsi="仿宋" w:eastAsia="仿宋" w:cs="仿宋"/>
                <w:color w:val="auto"/>
                <w:sz w:val="24"/>
                <w:highlight w:val="none"/>
              </w:rPr>
            </w:pPr>
          </w:p>
        </w:tc>
        <w:tc>
          <w:tcPr>
            <w:tcW w:w="2080" w:type="dxa"/>
          </w:tcPr>
          <w:p>
            <w:pPr>
              <w:widowControl/>
              <w:spacing w:line="440" w:lineRule="exact"/>
              <w:jc w:val="left"/>
              <w:rPr>
                <w:rFonts w:ascii="仿宋" w:hAnsi="仿宋" w:eastAsia="仿宋" w:cs="仿宋"/>
                <w:color w:val="auto"/>
                <w:sz w:val="24"/>
                <w:highlight w:val="none"/>
              </w:rPr>
            </w:pPr>
          </w:p>
        </w:tc>
        <w:tc>
          <w:tcPr>
            <w:tcW w:w="1393"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pPr>
              <w:widowControl/>
              <w:spacing w:line="440" w:lineRule="exact"/>
              <w:jc w:val="left"/>
              <w:rPr>
                <w:rFonts w:ascii="仿宋" w:hAnsi="仿宋" w:eastAsia="仿宋" w:cs="仿宋"/>
                <w:color w:val="auto"/>
                <w:sz w:val="24"/>
                <w:highlight w:val="none"/>
              </w:rPr>
            </w:pPr>
          </w:p>
        </w:tc>
        <w:tc>
          <w:tcPr>
            <w:tcW w:w="1855" w:type="dxa"/>
            <w:vAlign w:val="center"/>
          </w:tcPr>
          <w:p>
            <w:pPr>
              <w:widowControl/>
              <w:spacing w:line="440" w:lineRule="exact"/>
              <w:jc w:val="left"/>
              <w:rPr>
                <w:rFonts w:ascii="仿宋" w:hAnsi="仿宋" w:eastAsia="仿宋" w:cs="仿宋"/>
                <w:color w:val="auto"/>
                <w:sz w:val="24"/>
                <w:highlight w:val="none"/>
              </w:rPr>
            </w:pPr>
          </w:p>
        </w:tc>
        <w:tc>
          <w:tcPr>
            <w:tcW w:w="2080" w:type="dxa"/>
          </w:tcPr>
          <w:p>
            <w:pPr>
              <w:widowControl/>
              <w:spacing w:line="440" w:lineRule="exact"/>
              <w:jc w:val="left"/>
              <w:rPr>
                <w:rFonts w:ascii="仿宋" w:hAnsi="仿宋" w:eastAsia="仿宋" w:cs="仿宋"/>
                <w:color w:val="auto"/>
                <w:sz w:val="24"/>
                <w:highlight w:val="none"/>
              </w:rPr>
            </w:pPr>
          </w:p>
        </w:tc>
        <w:tc>
          <w:tcPr>
            <w:tcW w:w="1393"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pPr>
              <w:widowControl/>
              <w:spacing w:line="440" w:lineRule="exact"/>
              <w:jc w:val="left"/>
              <w:rPr>
                <w:rFonts w:ascii="仿宋" w:hAnsi="仿宋" w:eastAsia="仿宋" w:cs="仿宋"/>
                <w:color w:val="auto"/>
                <w:sz w:val="24"/>
                <w:highlight w:val="none"/>
              </w:rPr>
            </w:pPr>
          </w:p>
        </w:tc>
        <w:tc>
          <w:tcPr>
            <w:tcW w:w="1855" w:type="dxa"/>
            <w:vAlign w:val="center"/>
          </w:tcPr>
          <w:p>
            <w:pPr>
              <w:widowControl/>
              <w:spacing w:line="440" w:lineRule="exact"/>
              <w:jc w:val="left"/>
              <w:rPr>
                <w:rFonts w:ascii="仿宋" w:hAnsi="仿宋" w:eastAsia="仿宋" w:cs="仿宋"/>
                <w:color w:val="auto"/>
                <w:sz w:val="24"/>
                <w:highlight w:val="none"/>
              </w:rPr>
            </w:pPr>
          </w:p>
        </w:tc>
        <w:tc>
          <w:tcPr>
            <w:tcW w:w="2080" w:type="dxa"/>
          </w:tcPr>
          <w:p>
            <w:pPr>
              <w:widowControl/>
              <w:spacing w:line="440" w:lineRule="exact"/>
              <w:jc w:val="left"/>
              <w:rPr>
                <w:rFonts w:ascii="仿宋" w:hAnsi="仿宋" w:eastAsia="仿宋" w:cs="仿宋"/>
                <w:color w:val="auto"/>
                <w:sz w:val="24"/>
                <w:highlight w:val="none"/>
              </w:rPr>
            </w:pPr>
          </w:p>
        </w:tc>
        <w:tc>
          <w:tcPr>
            <w:tcW w:w="1393"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pPr>
              <w:widowControl/>
              <w:spacing w:line="440" w:lineRule="exact"/>
              <w:jc w:val="left"/>
              <w:rPr>
                <w:rFonts w:ascii="仿宋" w:hAnsi="仿宋" w:eastAsia="仿宋" w:cs="仿宋"/>
                <w:color w:val="auto"/>
                <w:sz w:val="24"/>
                <w:highlight w:val="none"/>
              </w:rPr>
            </w:pPr>
          </w:p>
        </w:tc>
        <w:tc>
          <w:tcPr>
            <w:tcW w:w="1855" w:type="dxa"/>
            <w:vAlign w:val="center"/>
          </w:tcPr>
          <w:p>
            <w:pPr>
              <w:widowControl/>
              <w:spacing w:line="440" w:lineRule="exact"/>
              <w:jc w:val="left"/>
              <w:rPr>
                <w:rFonts w:ascii="仿宋" w:hAnsi="仿宋" w:eastAsia="仿宋" w:cs="仿宋"/>
                <w:color w:val="auto"/>
                <w:sz w:val="24"/>
                <w:highlight w:val="none"/>
              </w:rPr>
            </w:pPr>
          </w:p>
        </w:tc>
        <w:tc>
          <w:tcPr>
            <w:tcW w:w="2080" w:type="dxa"/>
          </w:tcPr>
          <w:p>
            <w:pPr>
              <w:widowControl/>
              <w:spacing w:line="440" w:lineRule="exact"/>
              <w:jc w:val="left"/>
              <w:rPr>
                <w:rFonts w:ascii="仿宋" w:hAnsi="仿宋" w:eastAsia="仿宋" w:cs="仿宋"/>
                <w:color w:val="auto"/>
                <w:sz w:val="24"/>
                <w:highlight w:val="none"/>
              </w:rPr>
            </w:pPr>
          </w:p>
        </w:tc>
        <w:tc>
          <w:tcPr>
            <w:tcW w:w="1393"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pPr>
              <w:widowControl/>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855" w:type="dxa"/>
            <w:vAlign w:val="center"/>
          </w:tcPr>
          <w:p>
            <w:pPr>
              <w:widowControl/>
              <w:spacing w:line="440" w:lineRule="exact"/>
              <w:jc w:val="left"/>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2080" w:type="dxa"/>
          </w:tcPr>
          <w:p>
            <w:pPr>
              <w:widowControl/>
              <w:spacing w:line="440" w:lineRule="exact"/>
              <w:jc w:val="left"/>
              <w:rPr>
                <w:rFonts w:ascii="仿宋" w:hAnsi="仿宋" w:eastAsia="仿宋" w:cs="仿宋"/>
                <w:color w:val="auto"/>
                <w:sz w:val="24"/>
                <w:highlight w:val="none"/>
              </w:rPr>
            </w:pPr>
          </w:p>
        </w:tc>
        <w:tc>
          <w:tcPr>
            <w:tcW w:w="1393"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c>
          <w:tcPr>
            <w:tcW w:w="1668" w:type="dxa"/>
            <w:vAlign w:val="center"/>
          </w:tcPr>
          <w:p>
            <w:pPr>
              <w:widowControl/>
              <w:spacing w:line="440" w:lineRule="exact"/>
              <w:jc w:val="left"/>
              <w:rPr>
                <w:rFonts w:ascii="仿宋" w:hAnsi="仿宋" w:eastAsia="仿宋" w:cs="仿宋"/>
                <w:color w:val="auto"/>
                <w:sz w:val="24"/>
                <w:highlight w:val="none"/>
              </w:rPr>
            </w:pPr>
          </w:p>
        </w:tc>
      </w:tr>
    </w:tbl>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备注：</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1.投标人须提供完整合同复印件作为证明材料。</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2.证明材料的复印件必须附在本表格之后。</w:t>
      </w:r>
    </w:p>
    <w:p>
      <w:pPr>
        <w:widowControl/>
        <w:spacing w:line="440" w:lineRule="exact"/>
        <w:jc w:val="lef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投标人（盖公章）：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w:t>
      </w:r>
    </w:p>
    <w:p>
      <w:pPr>
        <w:shd w:val="clear" w:color="auto" w:fill="FFFFFF"/>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widowControl/>
        <w:jc w:val="left"/>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10、商务、技术响应与偏离表</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vAlign w:val="center"/>
          </w:tcPr>
          <w:p>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1443" w:type="dxa"/>
            <w:vAlign w:val="center"/>
          </w:tcPr>
          <w:p>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文件条目号</w:t>
            </w:r>
          </w:p>
        </w:tc>
        <w:tc>
          <w:tcPr>
            <w:tcW w:w="2453" w:type="dxa"/>
            <w:vAlign w:val="center"/>
          </w:tcPr>
          <w:p>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采购规格</w:t>
            </w:r>
          </w:p>
        </w:tc>
        <w:tc>
          <w:tcPr>
            <w:tcW w:w="2154" w:type="dxa"/>
            <w:vAlign w:val="center"/>
          </w:tcPr>
          <w:p>
            <w:pPr>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投标文件的规格</w:t>
            </w:r>
          </w:p>
        </w:tc>
        <w:tc>
          <w:tcPr>
            <w:tcW w:w="1275" w:type="dxa"/>
            <w:vAlign w:val="center"/>
          </w:tcPr>
          <w:p>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响应与偏离</w:t>
            </w:r>
          </w:p>
        </w:tc>
        <w:tc>
          <w:tcPr>
            <w:tcW w:w="851" w:type="dxa"/>
            <w:vAlign w:val="center"/>
          </w:tcPr>
          <w:p>
            <w:pPr>
              <w:spacing w:line="360" w:lineRule="auto"/>
              <w:jc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b/>
                <w:bCs/>
                <w:color w:val="auto"/>
                <w:kern w:val="0"/>
                <w:sz w:val="24"/>
                <w:highlight w:val="none"/>
              </w:rPr>
              <w:t>商务响应与偏离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443" w:type="dxa"/>
            <w:vAlign w:val="center"/>
          </w:tcPr>
          <w:p>
            <w:pPr>
              <w:spacing w:line="360" w:lineRule="auto"/>
              <w:jc w:val="center"/>
              <w:rPr>
                <w:rFonts w:ascii="仿宋" w:hAnsi="仿宋" w:eastAsia="仿宋" w:cs="仿宋"/>
                <w:color w:val="auto"/>
                <w:kern w:val="0"/>
                <w:sz w:val="24"/>
                <w:highlight w:val="none"/>
              </w:rPr>
            </w:pPr>
          </w:p>
        </w:tc>
        <w:tc>
          <w:tcPr>
            <w:tcW w:w="2453" w:type="dxa"/>
            <w:vAlign w:val="center"/>
          </w:tcPr>
          <w:p>
            <w:pPr>
              <w:spacing w:line="360" w:lineRule="auto"/>
              <w:jc w:val="center"/>
              <w:rPr>
                <w:rFonts w:ascii="仿宋" w:hAnsi="仿宋" w:eastAsia="仿宋" w:cs="仿宋"/>
                <w:color w:val="auto"/>
                <w:kern w:val="0"/>
                <w:sz w:val="24"/>
                <w:highlight w:val="none"/>
              </w:rPr>
            </w:pPr>
          </w:p>
        </w:tc>
        <w:tc>
          <w:tcPr>
            <w:tcW w:w="2154" w:type="dxa"/>
            <w:vAlign w:val="center"/>
          </w:tcPr>
          <w:p>
            <w:pPr>
              <w:spacing w:line="360" w:lineRule="auto"/>
              <w:jc w:val="center"/>
              <w:rPr>
                <w:rFonts w:ascii="仿宋" w:hAnsi="仿宋" w:eastAsia="仿宋" w:cs="仿宋"/>
                <w:color w:val="auto"/>
                <w:kern w:val="0"/>
                <w:sz w:val="24"/>
                <w:highlight w:val="none"/>
              </w:rPr>
            </w:pPr>
          </w:p>
        </w:tc>
        <w:tc>
          <w:tcPr>
            <w:tcW w:w="1275" w:type="dxa"/>
            <w:vAlign w:val="center"/>
          </w:tcPr>
          <w:p>
            <w:pPr>
              <w:spacing w:line="360" w:lineRule="auto"/>
              <w:jc w:val="center"/>
              <w:rPr>
                <w:rFonts w:ascii="仿宋" w:hAnsi="仿宋" w:eastAsia="仿宋" w:cs="仿宋"/>
                <w:color w:val="auto"/>
                <w:kern w:val="0"/>
                <w:sz w:val="24"/>
                <w:highlight w:val="none"/>
              </w:rPr>
            </w:pPr>
          </w:p>
        </w:tc>
        <w:tc>
          <w:tcPr>
            <w:tcW w:w="851" w:type="dxa"/>
            <w:vAlign w:val="center"/>
          </w:tcPr>
          <w:p>
            <w:pPr>
              <w:spacing w:line="360" w:lineRule="auto"/>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443" w:type="dxa"/>
            <w:vAlign w:val="center"/>
          </w:tcPr>
          <w:p>
            <w:pPr>
              <w:spacing w:line="360" w:lineRule="auto"/>
              <w:jc w:val="center"/>
              <w:rPr>
                <w:rFonts w:ascii="仿宋" w:hAnsi="仿宋" w:eastAsia="仿宋" w:cs="仿宋"/>
                <w:color w:val="auto"/>
                <w:kern w:val="0"/>
                <w:sz w:val="24"/>
                <w:highlight w:val="none"/>
              </w:rPr>
            </w:pPr>
          </w:p>
        </w:tc>
        <w:tc>
          <w:tcPr>
            <w:tcW w:w="2453" w:type="dxa"/>
            <w:vAlign w:val="center"/>
          </w:tcPr>
          <w:p>
            <w:pPr>
              <w:spacing w:line="360" w:lineRule="auto"/>
              <w:jc w:val="center"/>
              <w:rPr>
                <w:rFonts w:ascii="仿宋" w:hAnsi="仿宋" w:eastAsia="仿宋" w:cs="仿宋"/>
                <w:color w:val="auto"/>
                <w:kern w:val="0"/>
                <w:sz w:val="24"/>
                <w:highlight w:val="none"/>
              </w:rPr>
            </w:pPr>
          </w:p>
        </w:tc>
        <w:tc>
          <w:tcPr>
            <w:tcW w:w="2154" w:type="dxa"/>
            <w:vAlign w:val="center"/>
          </w:tcPr>
          <w:p>
            <w:pPr>
              <w:spacing w:line="360" w:lineRule="auto"/>
              <w:jc w:val="center"/>
              <w:rPr>
                <w:rFonts w:ascii="仿宋" w:hAnsi="仿宋" w:eastAsia="仿宋" w:cs="仿宋"/>
                <w:color w:val="auto"/>
                <w:kern w:val="0"/>
                <w:sz w:val="24"/>
                <w:highlight w:val="none"/>
              </w:rPr>
            </w:pPr>
          </w:p>
        </w:tc>
        <w:tc>
          <w:tcPr>
            <w:tcW w:w="1275" w:type="dxa"/>
            <w:vAlign w:val="center"/>
          </w:tcPr>
          <w:p>
            <w:pPr>
              <w:spacing w:line="360" w:lineRule="auto"/>
              <w:jc w:val="center"/>
              <w:rPr>
                <w:rFonts w:ascii="仿宋" w:hAnsi="仿宋" w:eastAsia="仿宋" w:cs="仿宋"/>
                <w:color w:val="auto"/>
                <w:kern w:val="0"/>
                <w:sz w:val="24"/>
                <w:highlight w:val="none"/>
              </w:rPr>
            </w:pPr>
          </w:p>
        </w:tc>
        <w:tc>
          <w:tcPr>
            <w:tcW w:w="851" w:type="dxa"/>
            <w:vAlign w:val="center"/>
          </w:tcPr>
          <w:p>
            <w:pPr>
              <w:spacing w:line="360" w:lineRule="auto"/>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443" w:type="dxa"/>
            <w:vAlign w:val="center"/>
          </w:tcPr>
          <w:p>
            <w:pPr>
              <w:spacing w:line="360" w:lineRule="auto"/>
              <w:jc w:val="center"/>
              <w:rPr>
                <w:rFonts w:ascii="仿宋" w:hAnsi="仿宋" w:eastAsia="仿宋" w:cs="仿宋"/>
                <w:color w:val="auto"/>
                <w:kern w:val="0"/>
                <w:sz w:val="24"/>
                <w:highlight w:val="none"/>
              </w:rPr>
            </w:pPr>
          </w:p>
        </w:tc>
        <w:tc>
          <w:tcPr>
            <w:tcW w:w="2453" w:type="dxa"/>
            <w:vAlign w:val="center"/>
          </w:tcPr>
          <w:p>
            <w:pPr>
              <w:spacing w:line="360" w:lineRule="auto"/>
              <w:jc w:val="center"/>
              <w:rPr>
                <w:rFonts w:ascii="仿宋" w:hAnsi="仿宋" w:eastAsia="仿宋" w:cs="仿宋"/>
                <w:color w:val="auto"/>
                <w:kern w:val="0"/>
                <w:sz w:val="24"/>
                <w:highlight w:val="none"/>
              </w:rPr>
            </w:pPr>
          </w:p>
        </w:tc>
        <w:tc>
          <w:tcPr>
            <w:tcW w:w="2154" w:type="dxa"/>
            <w:vAlign w:val="center"/>
          </w:tcPr>
          <w:p>
            <w:pPr>
              <w:spacing w:line="360" w:lineRule="auto"/>
              <w:jc w:val="center"/>
              <w:rPr>
                <w:rFonts w:ascii="仿宋" w:hAnsi="仿宋" w:eastAsia="仿宋" w:cs="仿宋"/>
                <w:color w:val="auto"/>
                <w:kern w:val="0"/>
                <w:sz w:val="24"/>
                <w:highlight w:val="none"/>
              </w:rPr>
            </w:pPr>
          </w:p>
        </w:tc>
        <w:tc>
          <w:tcPr>
            <w:tcW w:w="1275" w:type="dxa"/>
            <w:vAlign w:val="center"/>
          </w:tcPr>
          <w:p>
            <w:pPr>
              <w:spacing w:line="360" w:lineRule="auto"/>
              <w:jc w:val="center"/>
              <w:rPr>
                <w:rFonts w:ascii="仿宋" w:hAnsi="仿宋" w:eastAsia="仿宋" w:cs="仿宋"/>
                <w:color w:val="auto"/>
                <w:kern w:val="0"/>
                <w:sz w:val="24"/>
                <w:highlight w:val="none"/>
              </w:rPr>
            </w:pPr>
          </w:p>
        </w:tc>
        <w:tc>
          <w:tcPr>
            <w:tcW w:w="851" w:type="dxa"/>
            <w:vAlign w:val="center"/>
          </w:tcPr>
          <w:p>
            <w:pPr>
              <w:spacing w:line="360" w:lineRule="auto"/>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443" w:type="dxa"/>
            <w:vAlign w:val="center"/>
          </w:tcPr>
          <w:p>
            <w:pPr>
              <w:spacing w:line="360" w:lineRule="auto"/>
              <w:jc w:val="center"/>
              <w:rPr>
                <w:rFonts w:ascii="仿宋" w:hAnsi="仿宋" w:eastAsia="仿宋" w:cs="仿宋"/>
                <w:color w:val="auto"/>
                <w:kern w:val="0"/>
                <w:sz w:val="24"/>
                <w:highlight w:val="none"/>
              </w:rPr>
            </w:pPr>
          </w:p>
        </w:tc>
        <w:tc>
          <w:tcPr>
            <w:tcW w:w="2453" w:type="dxa"/>
            <w:vAlign w:val="center"/>
          </w:tcPr>
          <w:p>
            <w:pPr>
              <w:spacing w:line="360" w:lineRule="auto"/>
              <w:jc w:val="center"/>
              <w:rPr>
                <w:rFonts w:ascii="仿宋" w:hAnsi="仿宋" w:eastAsia="仿宋" w:cs="仿宋"/>
                <w:color w:val="auto"/>
                <w:kern w:val="0"/>
                <w:sz w:val="24"/>
                <w:highlight w:val="none"/>
              </w:rPr>
            </w:pPr>
          </w:p>
        </w:tc>
        <w:tc>
          <w:tcPr>
            <w:tcW w:w="2154" w:type="dxa"/>
            <w:vAlign w:val="center"/>
          </w:tcPr>
          <w:p>
            <w:pPr>
              <w:spacing w:line="360" w:lineRule="auto"/>
              <w:jc w:val="center"/>
              <w:rPr>
                <w:rFonts w:ascii="仿宋" w:hAnsi="仿宋" w:eastAsia="仿宋" w:cs="仿宋"/>
                <w:color w:val="auto"/>
                <w:kern w:val="0"/>
                <w:sz w:val="24"/>
                <w:highlight w:val="none"/>
              </w:rPr>
            </w:pPr>
          </w:p>
        </w:tc>
        <w:tc>
          <w:tcPr>
            <w:tcW w:w="1275" w:type="dxa"/>
            <w:vAlign w:val="center"/>
          </w:tcPr>
          <w:p>
            <w:pPr>
              <w:spacing w:line="360" w:lineRule="auto"/>
              <w:jc w:val="center"/>
              <w:rPr>
                <w:rFonts w:ascii="仿宋" w:hAnsi="仿宋" w:eastAsia="仿宋" w:cs="仿宋"/>
                <w:color w:val="auto"/>
                <w:kern w:val="0"/>
                <w:sz w:val="24"/>
                <w:highlight w:val="none"/>
              </w:rPr>
            </w:pPr>
          </w:p>
        </w:tc>
        <w:tc>
          <w:tcPr>
            <w:tcW w:w="851" w:type="dxa"/>
            <w:vAlign w:val="center"/>
          </w:tcPr>
          <w:p>
            <w:pPr>
              <w:spacing w:line="360" w:lineRule="auto"/>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443" w:type="dxa"/>
            <w:vAlign w:val="center"/>
          </w:tcPr>
          <w:p>
            <w:pPr>
              <w:spacing w:line="360" w:lineRule="auto"/>
              <w:jc w:val="center"/>
              <w:rPr>
                <w:rFonts w:ascii="仿宋" w:hAnsi="仿宋" w:eastAsia="仿宋" w:cs="仿宋"/>
                <w:color w:val="auto"/>
                <w:kern w:val="0"/>
                <w:sz w:val="24"/>
                <w:highlight w:val="none"/>
              </w:rPr>
            </w:pPr>
          </w:p>
        </w:tc>
        <w:tc>
          <w:tcPr>
            <w:tcW w:w="2453" w:type="dxa"/>
            <w:vAlign w:val="center"/>
          </w:tcPr>
          <w:p>
            <w:pPr>
              <w:spacing w:line="360" w:lineRule="auto"/>
              <w:jc w:val="center"/>
              <w:rPr>
                <w:rFonts w:ascii="仿宋" w:hAnsi="仿宋" w:eastAsia="仿宋" w:cs="仿宋"/>
                <w:color w:val="auto"/>
                <w:kern w:val="0"/>
                <w:sz w:val="24"/>
                <w:highlight w:val="none"/>
              </w:rPr>
            </w:pPr>
          </w:p>
        </w:tc>
        <w:tc>
          <w:tcPr>
            <w:tcW w:w="2154" w:type="dxa"/>
            <w:vAlign w:val="center"/>
          </w:tcPr>
          <w:p>
            <w:pPr>
              <w:spacing w:line="360" w:lineRule="auto"/>
              <w:jc w:val="center"/>
              <w:rPr>
                <w:rFonts w:ascii="仿宋" w:hAnsi="仿宋" w:eastAsia="仿宋" w:cs="仿宋"/>
                <w:color w:val="auto"/>
                <w:kern w:val="0"/>
                <w:sz w:val="24"/>
                <w:highlight w:val="none"/>
              </w:rPr>
            </w:pPr>
          </w:p>
        </w:tc>
        <w:tc>
          <w:tcPr>
            <w:tcW w:w="1275" w:type="dxa"/>
            <w:vAlign w:val="center"/>
          </w:tcPr>
          <w:p>
            <w:pPr>
              <w:spacing w:line="360" w:lineRule="auto"/>
              <w:jc w:val="center"/>
              <w:rPr>
                <w:rFonts w:ascii="仿宋" w:hAnsi="仿宋" w:eastAsia="仿宋" w:cs="仿宋"/>
                <w:color w:val="auto"/>
                <w:kern w:val="0"/>
                <w:sz w:val="24"/>
                <w:highlight w:val="none"/>
              </w:rPr>
            </w:pPr>
          </w:p>
        </w:tc>
        <w:tc>
          <w:tcPr>
            <w:tcW w:w="851" w:type="dxa"/>
            <w:vAlign w:val="center"/>
          </w:tcPr>
          <w:p>
            <w:pPr>
              <w:spacing w:line="360" w:lineRule="auto"/>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b/>
                <w:bCs/>
                <w:color w:val="auto"/>
                <w:kern w:val="0"/>
                <w:sz w:val="24"/>
                <w:highlight w:val="none"/>
              </w:rPr>
              <w:t>技术响应与偏离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1443" w:type="dxa"/>
            <w:vAlign w:val="center"/>
          </w:tcPr>
          <w:p>
            <w:pPr>
              <w:spacing w:line="360" w:lineRule="auto"/>
              <w:jc w:val="center"/>
              <w:rPr>
                <w:rFonts w:ascii="仿宋" w:hAnsi="仿宋" w:eastAsia="仿宋" w:cs="仿宋"/>
                <w:color w:val="auto"/>
                <w:kern w:val="0"/>
                <w:sz w:val="24"/>
                <w:highlight w:val="none"/>
              </w:rPr>
            </w:pPr>
          </w:p>
        </w:tc>
        <w:tc>
          <w:tcPr>
            <w:tcW w:w="2453" w:type="dxa"/>
            <w:vAlign w:val="center"/>
          </w:tcPr>
          <w:p>
            <w:pPr>
              <w:spacing w:line="360" w:lineRule="auto"/>
              <w:jc w:val="center"/>
              <w:rPr>
                <w:rFonts w:ascii="仿宋" w:hAnsi="仿宋" w:eastAsia="仿宋" w:cs="仿宋"/>
                <w:color w:val="auto"/>
                <w:kern w:val="0"/>
                <w:sz w:val="24"/>
                <w:highlight w:val="none"/>
              </w:rPr>
            </w:pPr>
          </w:p>
        </w:tc>
        <w:tc>
          <w:tcPr>
            <w:tcW w:w="2154" w:type="dxa"/>
            <w:vAlign w:val="center"/>
          </w:tcPr>
          <w:p>
            <w:pPr>
              <w:spacing w:line="360" w:lineRule="auto"/>
              <w:jc w:val="center"/>
              <w:rPr>
                <w:rFonts w:ascii="仿宋" w:hAnsi="仿宋" w:eastAsia="仿宋" w:cs="仿宋"/>
                <w:color w:val="auto"/>
                <w:kern w:val="0"/>
                <w:sz w:val="24"/>
                <w:highlight w:val="none"/>
              </w:rPr>
            </w:pPr>
          </w:p>
        </w:tc>
        <w:tc>
          <w:tcPr>
            <w:tcW w:w="1275" w:type="dxa"/>
            <w:vAlign w:val="center"/>
          </w:tcPr>
          <w:p>
            <w:pPr>
              <w:spacing w:line="360" w:lineRule="auto"/>
              <w:jc w:val="center"/>
              <w:rPr>
                <w:rFonts w:ascii="仿宋" w:hAnsi="仿宋" w:eastAsia="仿宋" w:cs="仿宋"/>
                <w:color w:val="auto"/>
                <w:kern w:val="0"/>
                <w:sz w:val="24"/>
                <w:highlight w:val="none"/>
              </w:rPr>
            </w:pPr>
          </w:p>
        </w:tc>
        <w:tc>
          <w:tcPr>
            <w:tcW w:w="851" w:type="dxa"/>
            <w:vAlign w:val="center"/>
          </w:tcPr>
          <w:p>
            <w:pPr>
              <w:spacing w:line="360" w:lineRule="auto"/>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443" w:type="dxa"/>
            <w:vAlign w:val="center"/>
          </w:tcPr>
          <w:p>
            <w:pPr>
              <w:spacing w:line="360" w:lineRule="auto"/>
              <w:jc w:val="center"/>
              <w:rPr>
                <w:rFonts w:ascii="仿宋" w:hAnsi="仿宋" w:eastAsia="仿宋" w:cs="仿宋"/>
                <w:color w:val="auto"/>
                <w:kern w:val="0"/>
                <w:sz w:val="24"/>
                <w:highlight w:val="none"/>
              </w:rPr>
            </w:pPr>
          </w:p>
        </w:tc>
        <w:tc>
          <w:tcPr>
            <w:tcW w:w="2453" w:type="dxa"/>
            <w:vAlign w:val="center"/>
          </w:tcPr>
          <w:p>
            <w:pPr>
              <w:spacing w:line="360" w:lineRule="auto"/>
              <w:jc w:val="center"/>
              <w:rPr>
                <w:rFonts w:ascii="仿宋" w:hAnsi="仿宋" w:eastAsia="仿宋" w:cs="仿宋"/>
                <w:color w:val="auto"/>
                <w:kern w:val="0"/>
                <w:sz w:val="24"/>
                <w:highlight w:val="none"/>
              </w:rPr>
            </w:pPr>
          </w:p>
        </w:tc>
        <w:tc>
          <w:tcPr>
            <w:tcW w:w="2154" w:type="dxa"/>
            <w:vAlign w:val="center"/>
          </w:tcPr>
          <w:p>
            <w:pPr>
              <w:spacing w:line="360" w:lineRule="auto"/>
              <w:jc w:val="center"/>
              <w:rPr>
                <w:rFonts w:ascii="仿宋" w:hAnsi="仿宋" w:eastAsia="仿宋" w:cs="仿宋"/>
                <w:color w:val="auto"/>
                <w:kern w:val="0"/>
                <w:sz w:val="24"/>
                <w:highlight w:val="none"/>
              </w:rPr>
            </w:pPr>
          </w:p>
        </w:tc>
        <w:tc>
          <w:tcPr>
            <w:tcW w:w="1275" w:type="dxa"/>
            <w:vAlign w:val="center"/>
          </w:tcPr>
          <w:p>
            <w:pPr>
              <w:spacing w:line="360" w:lineRule="auto"/>
              <w:jc w:val="center"/>
              <w:rPr>
                <w:rFonts w:ascii="仿宋" w:hAnsi="仿宋" w:eastAsia="仿宋" w:cs="仿宋"/>
                <w:color w:val="auto"/>
                <w:kern w:val="0"/>
                <w:sz w:val="24"/>
                <w:highlight w:val="none"/>
              </w:rPr>
            </w:pPr>
          </w:p>
        </w:tc>
        <w:tc>
          <w:tcPr>
            <w:tcW w:w="851" w:type="dxa"/>
            <w:vAlign w:val="center"/>
          </w:tcPr>
          <w:p>
            <w:pPr>
              <w:spacing w:line="360" w:lineRule="auto"/>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443" w:type="dxa"/>
            <w:vAlign w:val="center"/>
          </w:tcPr>
          <w:p>
            <w:pPr>
              <w:spacing w:line="360" w:lineRule="auto"/>
              <w:jc w:val="center"/>
              <w:rPr>
                <w:rFonts w:ascii="仿宋" w:hAnsi="仿宋" w:eastAsia="仿宋" w:cs="仿宋"/>
                <w:color w:val="auto"/>
                <w:kern w:val="0"/>
                <w:sz w:val="24"/>
                <w:highlight w:val="none"/>
              </w:rPr>
            </w:pPr>
          </w:p>
        </w:tc>
        <w:tc>
          <w:tcPr>
            <w:tcW w:w="2453" w:type="dxa"/>
            <w:vAlign w:val="center"/>
          </w:tcPr>
          <w:p>
            <w:pPr>
              <w:spacing w:line="360" w:lineRule="auto"/>
              <w:jc w:val="center"/>
              <w:rPr>
                <w:rFonts w:ascii="仿宋" w:hAnsi="仿宋" w:eastAsia="仿宋" w:cs="仿宋"/>
                <w:color w:val="auto"/>
                <w:kern w:val="0"/>
                <w:sz w:val="24"/>
                <w:highlight w:val="none"/>
              </w:rPr>
            </w:pPr>
          </w:p>
        </w:tc>
        <w:tc>
          <w:tcPr>
            <w:tcW w:w="2154" w:type="dxa"/>
            <w:vAlign w:val="center"/>
          </w:tcPr>
          <w:p>
            <w:pPr>
              <w:spacing w:line="360" w:lineRule="auto"/>
              <w:jc w:val="center"/>
              <w:rPr>
                <w:rFonts w:ascii="仿宋" w:hAnsi="仿宋" w:eastAsia="仿宋" w:cs="仿宋"/>
                <w:color w:val="auto"/>
                <w:kern w:val="0"/>
                <w:sz w:val="24"/>
                <w:highlight w:val="none"/>
              </w:rPr>
            </w:pPr>
          </w:p>
        </w:tc>
        <w:tc>
          <w:tcPr>
            <w:tcW w:w="1275" w:type="dxa"/>
            <w:vAlign w:val="center"/>
          </w:tcPr>
          <w:p>
            <w:pPr>
              <w:spacing w:line="360" w:lineRule="auto"/>
              <w:jc w:val="center"/>
              <w:rPr>
                <w:rFonts w:ascii="仿宋" w:hAnsi="仿宋" w:eastAsia="仿宋" w:cs="仿宋"/>
                <w:color w:val="auto"/>
                <w:kern w:val="0"/>
                <w:sz w:val="24"/>
                <w:highlight w:val="none"/>
              </w:rPr>
            </w:pPr>
          </w:p>
        </w:tc>
        <w:tc>
          <w:tcPr>
            <w:tcW w:w="851" w:type="dxa"/>
            <w:vAlign w:val="center"/>
          </w:tcPr>
          <w:p>
            <w:pPr>
              <w:spacing w:line="360" w:lineRule="auto"/>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443" w:type="dxa"/>
            <w:vAlign w:val="center"/>
          </w:tcPr>
          <w:p>
            <w:pPr>
              <w:spacing w:line="360" w:lineRule="auto"/>
              <w:jc w:val="center"/>
              <w:rPr>
                <w:rFonts w:ascii="仿宋" w:hAnsi="仿宋" w:eastAsia="仿宋" w:cs="仿宋"/>
                <w:color w:val="auto"/>
                <w:kern w:val="0"/>
                <w:sz w:val="24"/>
                <w:highlight w:val="none"/>
              </w:rPr>
            </w:pPr>
          </w:p>
        </w:tc>
        <w:tc>
          <w:tcPr>
            <w:tcW w:w="2453" w:type="dxa"/>
            <w:vAlign w:val="center"/>
          </w:tcPr>
          <w:p>
            <w:pPr>
              <w:spacing w:line="360" w:lineRule="auto"/>
              <w:jc w:val="center"/>
              <w:rPr>
                <w:rFonts w:ascii="仿宋" w:hAnsi="仿宋" w:eastAsia="仿宋" w:cs="仿宋"/>
                <w:color w:val="auto"/>
                <w:kern w:val="0"/>
                <w:sz w:val="24"/>
                <w:highlight w:val="none"/>
              </w:rPr>
            </w:pPr>
          </w:p>
        </w:tc>
        <w:tc>
          <w:tcPr>
            <w:tcW w:w="2154" w:type="dxa"/>
            <w:vAlign w:val="center"/>
          </w:tcPr>
          <w:p>
            <w:pPr>
              <w:spacing w:line="360" w:lineRule="auto"/>
              <w:jc w:val="center"/>
              <w:rPr>
                <w:rFonts w:ascii="仿宋" w:hAnsi="仿宋" w:eastAsia="仿宋" w:cs="仿宋"/>
                <w:color w:val="auto"/>
                <w:kern w:val="0"/>
                <w:sz w:val="24"/>
                <w:highlight w:val="none"/>
              </w:rPr>
            </w:pPr>
          </w:p>
        </w:tc>
        <w:tc>
          <w:tcPr>
            <w:tcW w:w="1275" w:type="dxa"/>
            <w:vAlign w:val="center"/>
          </w:tcPr>
          <w:p>
            <w:pPr>
              <w:spacing w:line="360" w:lineRule="auto"/>
              <w:jc w:val="center"/>
              <w:rPr>
                <w:rFonts w:ascii="仿宋" w:hAnsi="仿宋" w:eastAsia="仿宋" w:cs="仿宋"/>
                <w:color w:val="auto"/>
                <w:kern w:val="0"/>
                <w:sz w:val="24"/>
                <w:highlight w:val="none"/>
              </w:rPr>
            </w:pPr>
          </w:p>
        </w:tc>
        <w:tc>
          <w:tcPr>
            <w:tcW w:w="851" w:type="dxa"/>
            <w:vAlign w:val="center"/>
          </w:tcPr>
          <w:p>
            <w:pPr>
              <w:spacing w:line="360" w:lineRule="auto"/>
              <w:jc w:val="center"/>
              <w:rPr>
                <w:rFonts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pPr>
              <w:spacing w:line="360" w:lineRule="auto"/>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443" w:type="dxa"/>
            <w:vAlign w:val="center"/>
          </w:tcPr>
          <w:p>
            <w:pPr>
              <w:spacing w:line="360" w:lineRule="auto"/>
              <w:jc w:val="center"/>
              <w:rPr>
                <w:rFonts w:ascii="仿宋" w:hAnsi="仿宋" w:eastAsia="仿宋" w:cs="仿宋"/>
                <w:color w:val="auto"/>
                <w:kern w:val="0"/>
                <w:sz w:val="24"/>
                <w:highlight w:val="none"/>
              </w:rPr>
            </w:pPr>
          </w:p>
        </w:tc>
        <w:tc>
          <w:tcPr>
            <w:tcW w:w="2453" w:type="dxa"/>
            <w:vAlign w:val="center"/>
          </w:tcPr>
          <w:p>
            <w:pPr>
              <w:spacing w:line="360" w:lineRule="auto"/>
              <w:jc w:val="center"/>
              <w:rPr>
                <w:rFonts w:ascii="仿宋" w:hAnsi="仿宋" w:eastAsia="仿宋" w:cs="仿宋"/>
                <w:color w:val="auto"/>
                <w:kern w:val="0"/>
                <w:sz w:val="24"/>
                <w:highlight w:val="none"/>
              </w:rPr>
            </w:pPr>
          </w:p>
        </w:tc>
        <w:tc>
          <w:tcPr>
            <w:tcW w:w="2154" w:type="dxa"/>
            <w:vAlign w:val="center"/>
          </w:tcPr>
          <w:p>
            <w:pPr>
              <w:spacing w:line="360" w:lineRule="auto"/>
              <w:jc w:val="center"/>
              <w:rPr>
                <w:rFonts w:ascii="仿宋" w:hAnsi="仿宋" w:eastAsia="仿宋" w:cs="仿宋"/>
                <w:color w:val="auto"/>
                <w:kern w:val="0"/>
                <w:sz w:val="24"/>
                <w:highlight w:val="none"/>
              </w:rPr>
            </w:pPr>
          </w:p>
        </w:tc>
        <w:tc>
          <w:tcPr>
            <w:tcW w:w="1275" w:type="dxa"/>
            <w:vAlign w:val="center"/>
          </w:tcPr>
          <w:p>
            <w:pPr>
              <w:spacing w:line="360" w:lineRule="auto"/>
              <w:jc w:val="center"/>
              <w:rPr>
                <w:rFonts w:ascii="仿宋" w:hAnsi="仿宋" w:eastAsia="仿宋" w:cs="仿宋"/>
                <w:color w:val="auto"/>
                <w:kern w:val="0"/>
                <w:sz w:val="24"/>
                <w:highlight w:val="none"/>
              </w:rPr>
            </w:pPr>
          </w:p>
        </w:tc>
        <w:tc>
          <w:tcPr>
            <w:tcW w:w="851" w:type="dxa"/>
            <w:vAlign w:val="center"/>
          </w:tcPr>
          <w:p>
            <w:pPr>
              <w:spacing w:line="360" w:lineRule="auto"/>
              <w:jc w:val="center"/>
              <w:rPr>
                <w:rFonts w:ascii="仿宋" w:hAnsi="仿宋" w:eastAsia="仿宋" w:cs="仿宋"/>
                <w:color w:val="auto"/>
                <w:kern w:val="0"/>
                <w:sz w:val="24"/>
                <w:highlight w:val="none"/>
              </w:rPr>
            </w:pPr>
          </w:p>
        </w:tc>
      </w:tr>
    </w:tbl>
    <w:p>
      <w:pPr>
        <w:spacing w:line="360" w:lineRule="auto"/>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说明：1、“响应与偏离”应注明“响应”或“偏离”；</w:t>
      </w:r>
    </w:p>
    <w:p>
      <w:pPr>
        <w:spacing w:line="360" w:lineRule="auto"/>
        <w:jc w:val="left"/>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2、商务条款包括投标有效期、供货期、质保期等，技术条款包括第四章采购需求中的内容。</w:t>
      </w:r>
    </w:p>
    <w:p>
      <w:pPr>
        <w:pStyle w:val="327"/>
        <w:shd w:val="clear" w:color="auto" w:fill="FFFFFF"/>
        <w:snapToGrid w:val="0"/>
        <w:spacing w:line="440" w:lineRule="exact"/>
        <w:rPr>
          <w:rFonts w:ascii="仿宋" w:hAnsi="仿宋" w:eastAsia="仿宋" w:cs="仿宋"/>
          <w:color w:val="auto"/>
          <w:sz w:val="24"/>
          <w:highlight w:val="none"/>
        </w:rPr>
      </w:pPr>
    </w:p>
    <w:p>
      <w:pPr>
        <w:pStyle w:val="327"/>
        <w:shd w:val="clear" w:color="auto" w:fill="FFFFFF"/>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投标人（盖公章）：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法定代表人（签章）：</w:t>
      </w:r>
    </w:p>
    <w:p>
      <w:pPr>
        <w:shd w:val="clear" w:color="auto" w:fill="FFFFFF"/>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授权代理人（签字）：</w:t>
      </w:r>
    </w:p>
    <w:p>
      <w:pPr>
        <w:shd w:val="clear" w:color="auto" w:fill="FFFFFF"/>
        <w:adjustRightInd w:val="0"/>
        <w:snapToGrid w:val="0"/>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47"/>
        <w:numPr>
          <w:ilvl w:val="0"/>
          <w:numId w:val="0"/>
        </w:numPr>
        <w:jc w:val="center"/>
        <w:rPr>
          <w:rFonts w:ascii="仿宋" w:hAnsi="仿宋" w:eastAsia="仿宋" w:cs="仿宋"/>
          <w:bCs/>
          <w:color w:val="auto"/>
          <w:sz w:val="24"/>
          <w:szCs w:val="24"/>
          <w:highlight w:val="none"/>
        </w:rPr>
      </w:pPr>
      <w:r>
        <w:rPr>
          <w:rFonts w:hint="eastAsia" w:ascii="仿宋" w:hAnsi="仿宋" w:eastAsia="仿宋" w:cs="仿宋"/>
          <w:color w:val="auto"/>
          <w:szCs w:val="21"/>
          <w:highlight w:val="none"/>
        </w:rPr>
        <w:br w:type="page"/>
      </w:r>
    </w:p>
    <w:p>
      <w:pPr>
        <w:pStyle w:val="47"/>
        <w:numPr>
          <w:ilvl w:val="0"/>
          <w:numId w:val="0"/>
        </w:num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11、有关投标产品的证明、检测报告或产品鉴定证书</w:t>
      </w:r>
    </w:p>
    <w:p>
      <w:pPr>
        <w:pStyle w:val="47"/>
        <w:numPr>
          <w:ilvl w:val="0"/>
          <w:numId w:val="0"/>
        </w:numPr>
        <w:rPr>
          <w:rFonts w:ascii="仿宋" w:hAnsi="仿宋" w:eastAsia="仿宋" w:cs="仿宋"/>
          <w:color w:val="auto"/>
          <w:sz w:val="24"/>
          <w:szCs w:val="24"/>
          <w:highlight w:val="none"/>
        </w:rPr>
      </w:pPr>
    </w:p>
    <w:p>
      <w:pPr>
        <w:pStyle w:val="47"/>
        <w:numPr>
          <w:ilvl w:val="0"/>
          <w:numId w:val="0"/>
        </w:numPr>
        <w:rPr>
          <w:rFonts w:ascii="仿宋" w:hAnsi="仿宋" w:eastAsia="仿宋" w:cs="仿宋"/>
          <w:color w:val="auto"/>
          <w:sz w:val="24"/>
          <w:szCs w:val="24"/>
          <w:highlight w:val="none"/>
        </w:rPr>
      </w:pPr>
    </w:p>
    <w:p>
      <w:pPr>
        <w:pStyle w:val="47"/>
        <w:numPr>
          <w:ilvl w:val="0"/>
          <w:numId w:val="0"/>
        </w:num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注：附投标产品的证明文件、检测报告或产品鉴定证书的复印件(并加盖投标单位章)等相关证明资料。</w:t>
      </w:r>
    </w:p>
    <w:p>
      <w:pPr>
        <w:tabs>
          <w:tab w:val="center" w:pos="4832"/>
          <w:tab w:val="left" w:pos="7140"/>
        </w:tabs>
        <w:jc w:val="center"/>
        <w:outlineLvl w:val="1"/>
        <w:rPr>
          <w:rFonts w:ascii="仿宋" w:hAnsi="仿宋" w:eastAsia="仿宋" w:cs="仿宋"/>
          <w:bCs/>
          <w:color w:val="auto"/>
          <w:kern w:val="0"/>
          <w:szCs w:val="21"/>
          <w:highlight w:val="none"/>
        </w:rPr>
      </w:pPr>
      <w:r>
        <w:rPr>
          <w:rFonts w:hint="eastAsia" w:ascii="仿宋" w:hAnsi="仿宋" w:eastAsia="仿宋" w:cs="仿宋"/>
          <w:color w:val="auto"/>
          <w:szCs w:val="21"/>
          <w:highlight w:val="none"/>
        </w:rPr>
        <w:br w:type="page"/>
      </w:r>
      <w:bookmarkStart w:id="21" w:name="_Toc60925526"/>
    </w:p>
    <w:p>
      <w:pPr>
        <w:tabs>
          <w:tab w:val="center" w:pos="4832"/>
          <w:tab w:val="left" w:pos="7140"/>
        </w:tabs>
        <w:jc w:val="center"/>
        <w:outlineLvl w:val="1"/>
        <w:rPr>
          <w:rFonts w:ascii="仿宋" w:hAnsi="仿宋" w:eastAsia="仿宋" w:cs="仿宋"/>
          <w:bCs/>
          <w:color w:val="auto"/>
          <w:sz w:val="24"/>
          <w:highlight w:val="none"/>
        </w:rPr>
      </w:pPr>
      <w:r>
        <w:rPr>
          <w:rFonts w:hint="eastAsia" w:ascii="仿宋" w:hAnsi="仿宋" w:eastAsia="仿宋" w:cs="仿宋"/>
          <w:bCs/>
          <w:color w:val="auto"/>
          <w:sz w:val="24"/>
          <w:highlight w:val="none"/>
        </w:rPr>
        <w:t>12、技术方案</w:t>
      </w:r>
      <w:bookmarkEnd w:id="21"/>
    </w:p>
    <w:p>
      <w:pPr>
        <w:spacing w:line="360" w:lineRule="auto"/>
        <w:ind w:firstLine="480" w:firstLineChars="200"/>
        <w:rPr>
          <w:rFonts w:ascii="仿宋" w:hAnsi="仿宋" w:eastAsia="仿宋" w:cs="仿宋"/>
          <w:color w:val="auto"/>
          <w:sz w:val="24"/>
          <w:highlight w:val="none"/>
        </w:rPr>
      </w:pPr>
      <w:bookmarkStart w:id="22" w:name="_Toc375218897"/>
      <w:r>
        <w:rPr>
          <w:rFonts w:hint="eastAsia" w:ascii="仿宋" w:hAnsi="仿宋" w:eastAsia="仿宋" w:cs="仿宋"/>
          <w:bCs/>
          <w:color w:val="auto"/>
          <w:sz w:val="24"/>
          <w:highlight w:val="none"/>
        </w:rPr>
        <w:t>投标人须提交拟完成本项目的技术方案，技术方案的格式和内容由投标人根据本项目的具体情况及评分标准</w:t>
      </w:r>
      <w:r>
        <w:rPr>
          <w:rFonts w:hint="eastAsia" w:ascii="仿宋" w:hAnsi="仿宋" w:eastAsia="仿宋" w:cs="仿宋"/>
          <w:color w:val="auto"/>
          <w:sz w:val="24"/>
          <w:highlight w:val="none"/>
        </w:rPr>
        <w:t>自行拟定</w:t>
      </w:r>
      <w:bookmarkStart w:id="23" w:name="_Toc375218899"/>
      <w:r>
        <w:rPr>
          <w:rFonts w:hint="eastAsia" w:ascii="仿宋" w:hAnsi="仿宋" w:eastAsia="仿宋" w:cs="仿宋"/>
          <w:color w:val="auto"/>
          <w:sz w:val="24"/>
          <w:highlight w:val="none"/>
        </w:rPr>
        <w:t>。</w:t>
      </w:r>
    </w:p>
    <w:bookmarkEnd w:id="22"/>
    <w:bookmarkEnd w:id="23"/>
    <w:p>
      <w:pPr>
        <w:spacing w:line="360" w:lineRule="auto"/>
        <w:ind w:firstLine="480" w:firstLineChars="200"/>
        <w:rPr>
          <w:rFonts w:ascii="仿宋" w:hAnsi="仿宋" w:eastAsia="仿宋" w:cs="仿宋"/>
          <w:color w:val="auto"/>
          <w:sz w:val="24"/>
          <w:highlight w:val="none"/>
        </w:rPr>
      </w:pPr>
    </w:p>
    <w:p>
      <w:pPr>
        <w:pStyle w:val="47"/>
        <w:numPr>
          <w:ilvl w:val="0"/>
          <w:numId w:val="0"/>
        </w:numPr>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br w:type="page"/>
      </w:r>
    </w:p>
    <w:p>
      <w:pPr>
        <w:pStyle w:val="47"/>
        <w:numPr>
          <w:ilvl w:val="0"/>
          <w:numId w:val="0"/>
        </w:numPr>
        <w:jc w:val="center"/>
        <w:rPr>
          <w:rFonts w:ascii="仿宋" w:hAnsi="仿宋" w:eastAsia="仿宋" w:cs="仿宋"/>
          <w:b/>
          <w:bCs/>
          <w:color w:val="auto"/>
          <w:sz w:val="22"/>
          <w:szCs w:val="22"/>
          <w:highlight w:val="none"/>
        </w:rPr>
      </w:pPr>
      <w:r>
        <w:rPr>
          <w:rFonts w:hint="eastAsia" w:ascii="仿宋" w:hAnsi="仿宋" w:eastAsia="仿宋" w:cs="仿宋"/>
          <w:bCs/>
          <w:color w:val="auto"/>
          <w:sz w:val="24"/>
          <w:szCs w:val="24"/>
          <w:highlight w:val="none"/>
        </w:rPr>
        <w:t>13、投标人认为需要提交的其他商务技术资料</w:t>
      </w:r>
    </w:p>
    <w:sectPr>
      <w:footerReference r:id="rId7" w:type="default"/>
      <w:pgSz w:w="11906" w:h="16838"/>
      <w:pgMar w:top="680" w:right="1276" w:bottom="1712" w:left="1417" w:header="703" w:footer="850"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魏碑体">
    <w:altName w:val="宋体"/>
    <w:panose1 w:val="00000000000000000000"/>
    <w:charset w:val="86"/>
    <w:family w:val="swiss"/>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Geneva">
    <w:altName w:val="Arial"/>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DD..">
    <w:altName w:val="宋体"/>
    <w:panose1 w:val="00000000000000000000"/>
    <w:charset w:val="86"/>
    <w:family w:val="auto"/>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华文新魏">
    <w:altName w:val="宋体"/>
    <w:panose1 w:val="02010800040101010101"/>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文鼎粗黑">
    <w:altName w:val="黑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Bookman Old Style">
    <w:altName w:val="Segoe Print"/>
    <w:panose1 w:val="02050604050505020204"/>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1"/>
                          </w:pP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FGj8E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MnINCO8OCQuXfjLqCDUVwykVRtNG5TX4816ynv6i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xFGj8EBAACNAwAADgAAAAAAAAABACAAAAAeAQAAZHJzL2Uyb0RvYy54bWxQSwUG&#10;AAAAAAYABgBZAQAAUQUAAAAA&#10;">
              <v:fill on="f" focussize="0,0"/>
              <v:stroke on="f"/>
              <v:imagedata o:title=""/>
              <o:lock v:ext="edit" aspectratio="f"/>
              <v:textbox inset="0mm,0mm,0mm,0mm" style="mso-fit-shape-to-text:t;">
                <w:txbxContent>
                  <w:p>
                    <w:pPr>
                      <w:pStyle w:val="4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aNsABAACN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s5BoQXh8TFi79ZNQJai6GUyqM5o3Ka/DnvWQ9/EX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z+Ro2wAEAAI0DAAAOAAAAAAAAAAEAIAAAAB4BAABkcnMvZTJvRG9jLnhtbFBLBQYA&#10;AAAABgAGAFkBAABQBQAAAAA=&#10;">
              <v:fill on="f" focussize="0,0"/>
              <v:stroke on="f"/>
              <v:imagedata o:title=""/>
              <o:lock v:ext="edit" aspectratio="f"/>
              <v:textbox inset="0mm,0mm,0mm,0mm" style="mso-fit-shape-to-text:t;">
                <w:txbxContent>
                  <w:p>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6370" cy="139700"/>
              <wp:effectExtent l="0" t="0" r="0" b="0"/>
              <wp:wrapNone/>
              <wp:docPr id="2" name="Text Box 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00" w:lineRule="exact"/>
                            <w:ind w:left="40"/>
                            <w:rPr>
                              <w:rFonts w:ascii="宋体" w:hAnsi="宋体" w:cs="宋体"/>
                              <w:sz w:val="18"/>
                              <w:szCs w:val="18"/>
                            </w:rPr>
                          </w:pPr>
                          <w:r>
                            <w:fldChar w:fldCharType="begin"/>
                          </w:r>
                          <w:r>
                            <w:rPr>
                              <w:rFonts w:ascii="宋体" w:hAnsi="宋体" w:cs="宋体"/>
                              <w:sz w:val="18"/>
                              <w:szCs w:val="18"/>
                            </w:rPr>
                            <w:instrText xml:space="preserve"> PAGE </w:instrText>
                          </w:r>
                          <w:r>
                            <w:fldChar w:fldCharType="separate"/>
                          </w:r>
                          <w:r>
                            <w:rPr>
                              <w:rFonts w:ascii="宋体" w:hAnsi="宋体" w:cs="宋体"/>
                              <w:sz w:val="18"/>
                              <w:szCs w:val="18"/>
                            </w:rPr>
                            <w:t>5</w:t>
                          </w:r>
                          <w:r>
                            <w:fldChar w:fldCharType="end"/>
                          </w:r>
                        </w:p>
                      </w:txbxContent>
                    </wps:txbx>
                    <wps:bodyPr wrap="square" lIns="0" tIns="0" rIns="0" bIns="0" upright="1"/>
                  </wps:wsp>
                </a:graphicData>
              </a:graphic>
            </wp:anchor>
          </w:drawing>
        </mc:Choice>
        <mc:Fallback>
          <w:pict>
            <v:shape id="Text Box 3" o:spid="_x0000_s1026" o:spt="202" type="#_x0000_t202" style="position:absolute;left:0pt;margin-top:0pt;height:11pt;width:13.1pt;mso-position-horizontal:center;mso-position-horizontal-relative:margin;z-index:251659264;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fSswbS&#10;AAAAAwEAAA8AAAAAAAAAAQAgAAAAIgAAAGRycy9kb3ducmV2LnhtbFBLAQIUABQAAAAIAIdO4kDg&#10;t0lhtAEAAH4DAAAOAAAAAAAAAAEAIAAAACEBAABkcnMvZTJvRG9jLnhtbFBLBQYAAAAABgAGAFkB&#10;AABHBQAAAAA=&#10;">
              <v:fill on="f" focussize="0,0"/>
              <v:stroke on="f"/>
              <v:imagedata o:title=""/>
              <o:lock v:ext="edit" aspectratio="f"/>
              <v:textbox inset="0mm,0mm,0mm,0mm">
                <w:txbxContent>
                  <w:p>
                    <w:pPr>
                      <w:spacing w:line="200" w:lineRule="exact"/>
                      <w:ind w:left="40"/>
                      <w:rPr>
                        <w:rFonts w:ascii="宋体" w:hAnsi="宋体" w:cs="宋体"/>
                        <w:sz w:val="18"/>
                        <w:szCs w:val="18"/>
                      </w:rPr>
                    </w:pPr>
                    <w:r>
                      <w:fldChar w:fldCharType="begin"/>
                    </w:r>
                    <w:r>
                      <w:rPr>
                        <w:rFonts w:ascii="宋体" w:hAnsi="宋体" w:cs="宋体"/>
                        <w:sz w:val="18"/>
                        <w:szCs w:val="18"/>
                      </w:rPr>
                      <w:instrText xml:space="preserve"> PAGE </w:instrText>
                    </w:r>
                    <w:r>
                      <w:fldChar w:fldCharType="separate"/>
                    </w:r>
                    <w:r>
                      <w:rPr>
                        <w:rFonts w:ascii="宋体" w:hAnsi="宋体" w:cs="宋体"/>
                        <w:sz w:val="18"/>
                        <w:szCs w:val="18"/>
                      </w:rP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39700"/>
              <wp:effectExtent l="0" t="0" r="0" b="0"/>
              <wp:wrapNone/>
              <wp:docPr id="7" name="Text Box 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00" w:lineRule="exact"/>
                            <w:ind w:left="40"/>
                            <w:rPr>
                              <w:rFonts w:ascii="宋体" w:hAnsi="宋体" w:cs="宋体"/>
                              <w:sz w:val="18"/>
                              <w:szCs w:val="18"/>
                            </w:rPr>
                          </w:pPr>
                          <w:r>
                            <w:fldChar w:fldCharType="begin"/>
                          </w:r>
                          <w:r>
                            <w:rPr>
                              <w:rFonts w:ascii="宋体" w:hAnsi="宋体" w:cs="宋体"/>
                              <w:sz w:val="18"/>
                              <w:szCs w:val="18"/>
                            </w:rPr>
                            <w:instrText xml:space="preserve"> PAGE </w:instrText>
                          </w:r>
                          <w:r>
                            <w:fldChar w:fldCharType="separate"/>
                          </w:r>
                          <w:r>
                            <w:rPr>
                              <w:rFonts w:ascii="宋体" w:hAnsi="宋体" w:cs="宋体"/>
                              <w:sz w:val="18"/>
                              <w:szCs w:val="18"/>
                            </w:rPr>
                            <w:t>74</w:t>
                          </w:r>
                          <w:r>
                            <w:fldChar w:fldCharType="end"/>
                          </w:r>
                        </w:p>
                      </w:txbxContent>
                    </wps:txbx>
                    <wps:bodyPr wrap="square" lIns="0" tIns="0" rIns="0" bIns="0" upright="1"/>
                  </wps:wsp>
                </a:graphicData>
              </a:graphic>
            </wp:anchor>
          </w:drawing>
        </mc:Choice>
        <mc:Fallback>
          <w:pict>
            <v:shape id="Text Box 3" o:spid="_x0000_s1026" o:spt="202" type="#_x0000_t202" style="position:absolute;left:0pt;margin-top:0pt;height:11pt;width:13.1pt;mso-position-horizontal:center;mso-position-horizontal-relative:margin;z-index:251660288;mso-width-relative:page;mso-height-relative:page;" filled="f" stroked="f" coordsize="21600,21600"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fSswbS&#10;AAAAAwEAAA8AAAAAAAAAAQAgAAAAIgAAAGRycy9kb3ducmV2LnhtbFBLAQIUABQAAAAIAIdO4kAC&#10;XrlFtAEAAH4DAAAOAAAAAAAAAAEAIAAAACEBAABkcnMvZTJvRG9jLnhtbFBLBQYAAAAABgAGAFkB&#10;AABHBQAAAAA=&#10;">
              <v:fill on="f" focussize="0,0"/>
              <v:stroke on="f"/>
              <v:imagedata o:title=""/>
              <o:lock v:ext="edit" aspectratio="f"/>
              <v:textbox inset="0mm,0mm,0mm,0mm">
                <w:txbxContent>
                  <w:p>
                    <w:pPr>
                      <w:spacing w:line="200" w:lineRule="exact"/>
                      <w:ind w:left="40"/>
                      <w:rPr>
                        <w:rFonts w:ascii="宋体" w:hAnsi="宋体" w:cs="宋体"/>
                        <w:sz w:val="18"/>
                        <w:szCs w:val="18"/>
                      </w:rPr>
                    </w:pPr>
                    <w:r>
                      <w:fldChar w:fldCharType="begin"/>
                    </w:r>
                    <w:r>
                      <w:rPr>
                        <w:rFonts w:ascii="宋体" w:hAnsi="宋体" w:cs="宋体"/>
                        <w:sz w:val="18"/>
                        <w:szCs w:val="18"/>
                      </w:rPr>
                      <w:instrText xml:space="preserve"> PAGE </w:instrText>
                    </w:r>
                    <w:r>
                      <w:fldChar w:fldCharType="separate"/>
                    </w:r>
                    <w:r>
                      <w:rPr>
                        <w:rFonts w:ascii="宋体" w:hAnsi="宋体" w:cs="宋体"/>
                        <w:sz w:val="18"/>
                        <w:szCs w:val="18"/>
                      </w:rPr>
                      <w:t>74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7"/>
        <w:numPr>
          <w:ilvl w:val="0"/>
          <w:numId w:val="0"/>
        </w:numPr>
      </w:pPr>
      <w:r>
        <w:rPr>
          <w:rStyle w:val="70"/>
        </w:rPr>
        <w:footnoteRef/>
      </w:r>
      <w:r>
        <w:t xml:space="preserve"> </w:t>
      </w:r>
      <w:r>
        <w:rPr>
          <w:rFonts w:hint="eastAsia"/>
        </w:rPr>
        <w:t>从业人员、营业收入、资产总额填报上一年度数据，无上一年度数据的新成立企业可不填报。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9C5B1020"/>
    <w:multiLevelType w:val="singleLevel"/>
    <w:tmpl w:val="9C5B1020"/>
    <w:lvl w:ilvl="0" w:tentative="0">
      <w:start w:val="1"/>
      <w:numFmt w:val="decimal"/>
      <w:suff w:val="nothing"/>
      <w:lvlText w:val="%1、"/>
      <w:lvlJc w:val="left"/>
    </w:lvl>
  </w:abstractNum>
  <w:abstractNum w:abstractNumId="2">
    <w:nsid w:val="AC141C0D"/>
    <w:multiLevelType w:val="singleLevel"/>
    <w:tmpl w:val="AC141C0D"/>
    <w:lvl w:ilvl="0" w:tentative="0">
      <w:start w:val="1"/>
      <w:numFmt w:val="chineseCounting"/>
      <w:suff w:val="nothing"/>
      <w:lvlText w:val="（%1）"/>
      <w:lvlJc w:val="left"/>
      <w:rPr>
        <w:rFonts w:hint="eastAsia"/>
      </w:rPr>
    </w:lvl>
  </w:abstractNum>
  <w:abstractNum w:abstractNumId="3">
    <w:nsid w:val="E05FF4C5"/>
    <w:multiLevelType w:val="singleLevel"/>
    <w:tmpl w:val="E05FF4C5"/>
    <w:lvl w:ilvl="0" w:tentative="0">
      <w:start w:val="7"/>
      <w:numFmt w:val="chineseCounting"/>
      <w:suff w:val="nothing"/>
      <w:lvlText w:val="%1、"/>
      <w:lvlJc w:val="left"/>
      <w:rPr>
        <w:rFonts w:hint="eastAsia"/>
      </w:rPr>
    </w:lvl>
  </w:abstractNum>
  <w:abstractNum w:abstractNumId="4">
    <w:nsid w:val="E06729EB"/>
    <w:multiLevelType w:val="singleLevel"/>
    <w:tmpl w:val="E06729EB"/>
    <w:lvl w:ilvl="0" w:tentative="0">
      <w:start w:val="1"/>
      <w:numFmt w:val="decimal"/>
      <w:suff w:val="nothing"/>
      <w:lvlText w:val="%1、"/>
      <w:lvlJc w:val="left"/>
    </w:lvl>
  </w:abstractNum>
  <w:abstractNum w:abstractNumId="5">
    <w:nsid w:val="EC49DFE2"/>
    <w:multiLevelType w:val="singleLevel"/>
    <w:tmpl w:val="EC49DFE2"/>
    <w:lvl w:ilvl="0" w:tentative="0">
      <w:start w:val="4"/>
      <w:numFmt w:val="chineseCounting"/>
      <w:suff w:val="space"/>
      <w:lvlText w:val="第%1章"/>
      <w:lvlJc w:val="left"/>
      <w:rPr>
        <w:rFonts w:hint="eastAsia"/>
      </w:rPr>
    </w:lvl>
  </w:abstractNum>
  <w:abstractNum w:abstractNumId="6">
    <w:nsid w:val="FB80EA7D"/>
    <w:multiLevelType w:val="singleLevel"/>
    <w:tmpl w:val="FB80EA7D"/>
    <w:lvl w:ilvl="0" w:tentative="0">
      <w:start w:val="1"/>
      <w:numFmt w:val="decimal"/>
      <w:suff w:val="nothing"/>
      <w:lvlText w:val="%1、"/>
      <w:lvlJc w:val="left"/>
    </w:lvl>
  </w:abstractNum>
  <w:abstractNum w:abstractNumId="7">
    <w:nsid w:val="03F2EC8D"/>
    <w:multiLevelType w:val="singleLevel"/>
    <w:tmpl w:val="03F2EC8D"/>
    <w:lvl w:ilvl="0" w:tentative="0">
      <w:start w:val="1"/>
      <w:numFmt w:val="decimal"/>
      <w:suff w:val="nothing"/>
      <w:lvlText w:val="%1）"/>
      <w:lvlJc w:val="left"/>
    </w:lvl>
  </w:abstractNum>
  <w:abstractNum w:abstractNumId="8">
    <w:nsid w:val="0EDB2900"/>
    <w:multiLevelType w:val="multilevel"/>
    <w:tmpl w:val="0EDB2900"/>
    <w:lvl w:ilvl="0" w:tentative="0">
      <w:start w:val="1"/>
      <w:numFmt w:val="bullet"/>
      <w:pStyle w:val="403"/>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9">
    <w:nsid w:val="11BF6E1B"/>
    <w:multiLevelType w:val="multilevel"/>
    <w:tmpl w:val="11BF6E1B"/>
    <w:lvl w:ilvl="0" w:tentative="0">
      <w:start w:val="1"/>
      <w:numFmt w:val="decimal"/>
      <w:pStyle w:val="175"/>
      <w:lvlText w:val="(%1)"/>
      <w:lvlJc w:val="left"/>
      <w:pPr>
        <w:ind w:left="510" w:hanging="420"/>
      </w:pPr>
      <w:rPr>
        <w:rFonts w:hint="default" w:ascii="Times New Roman" w:hAnsi="Times New Roman" w:cs="Times New Roman"/>
        <w:sz w:val="24"/>
        <w:szCs w:val="24"/>
      </w:rPr>
    </w:lvl>
    <w:lvl w:ilvl="1" w:tentative="0">
      <w:start w:val="1"/>
      <w:numFmt w:val="lowerLetter"/>
      <w:lvlText w:val="%2)"/>
      <w:lvlJc w:val="left"/>
      <w:pPr>
        <w:ind w:left="930" w:hanging="420"/>
      </w:pPr>
    </w:lvl>
    <w:lvl w:ilvl="2" w:tentative="0">
      <w:start w:val="1"/>
      <w:numFmt w:val="lowerRoman"/>
      <w:lvlText w:val="%3."/>
      <w:lvlJc w:val="right"/>
      <w:pPr>
        <w:ind w:left="1350" w:hanging="420"/>
      </w:pPr>
    </w:lvl>
    <w:lvl w:ilvl="3" w:tentative="0">
      <w:start w:val="1"/>
      <w:numFmt w:val="decimal"/>
      <w:lvlText w:val="%4."/>
      <w:lvlJc w:val="left"/>
      <w:pPr>
        <w:ind w:left="1770" w:hanging="420"/>
      </w:pPr>
    </w:lvl>
    <w:lvl w:ilvl="4" w:tentative="0">
      <w:start w:val="1"/>
      <w:numFmt w:val="lowerLetter"/>
      <w:lvlText w:val="%5)"/>
      <w:lvlJc w:val="left"/>
      <w:pPr>
        <w:ind w:left="2190" w:hanging="420"/>
      </w:pPr>
    </w:lvl>
    <w:lvl w:ilvl="5" w:tentative="0">
      <w:start w:val="1"/>
      <w:numFmt w:val="lowerRoman"/>
      <w:lvlText w:val="%6."/>
      <w:lvlJc w:val="right"/>
      <w:pPr>
        <w:ind w:left="2610" w:hanging="420"/>
      </w:pPr>
    </w:lvl>
    <w:lvl w:ilvl="6" w:tentative="0">
      <w:start w:val="1"/>
      <w:numFmt w:val="decimal"/>
      <w:lvlText w:val="%7."/>
      <w:lvlJc w:val="left"/>
      <w:pPr>
        <w:ind w:left="3030" w:hanging="420"/>
      </w:pPr>
    </w:lvl>
    <w:lvl w:ilvl="7" w:tentative="0">
      <w:start w:val="1"/>
      <w:numFmt w:val="lowerLetter"/>
      <w:lvlText w:val="%8)"/>
      <w:lvlJc w:val="left"/>
      <w:pPr>
        <w:ind w:left="3450" w:hanging="420"/>
      </w:pPr>
    </w:lvl>
    <w:lvl w:ilvl="8" w:tentative="0">
      <w:start w:val="1"/>
      <w:numFmt w:val="lowerRoman"/>
      <w:lvlText w:val="%9."/>
      <w:lvlJc w:val="right"/>
      <w:pPr>
        <w:ind w:left="3870" w:hanging="420"/>
      </w:pPr>
    </w:lvl>
  </w:abstractNum>
  <w:abstractNum w:abstractNumId="10">
    <w:nsid w:val="13F60562"/>
    <w:multiLevelType w:val="multilevel"/>
    <w:tmpl w:val="13F60562"/>
    <w:lvl w:ilvl="0" w:tentative="0">
      <w:start w:val="1"/>
      <w:numFmt w:val="decimal"/>
      <w:lvlText w:val="%1　"/>
      <w:lvlJc w:val="left"/>
      <w:pPr>
        <w:tabs>
          <w:tab w:val="left" w:pos="1733"/>
        </w:tabs>
        <w:ind w:left="1620" w:firstLine="0"/>
      </w:pPr>
      <w:rPr>
        <w:rFonts w:hint="eastAsia" w:cs="Times New Roman"/>
      </w:rPr>
    </w:lvl>
    <w:lvl w:ilvl="1" w:tentative="0">
      <w:start w:val="1"/>
      <w:numFmt w:val="decimal"/>
      <w:lvlText w:val="%1.%2　"/>
      <w:lvlJc w:val="left"/>
      <w:pPr>
        <w:tabs>
          <w:tab w:val="left" w:pos="767"/>
        </w:tabs>
        <w:ind w:left="767" w:hanging="227"/>
      </w:pPr>
      <w:rPr>
        <w:rFonts w:hint="default" w:ascii="Times New Roman" w:hAnsi="Times New Roman" w:eastAsia="宋体" w:cs="Times New Roman"/>
        <w:b/>
        <w:i w:val="0"/>
        <w:sz w:val="30"/>
        <w:szCs w:val="30"/>
      </w:rPr>
    </w:lvl>
    <w:lvl w:ilvl="2" w:tentative="0">
      <w:start w:val="1"/>
      <w:numFmt w:val="decimal"/>
      <w:lvlText w:val="%1.%2.%3　"/>
      <w:lvlJc w:val="left"/>
      <w:pPr>
        <w:tabs>
          <w:tab w:val="left" w:pos="709"/>
        </w:tabs>
        <w:ind w:left="709" w:hanging="709"/>
      </w:pPr>
      <w:rPr>
        <w:rFonts w:hint="eastAsia" w:cs="Times New Roman"/>
        <w:sz w:val="28"/>
        <w:szCs w:val="28"/>
      </w:rPr>
    </w:lvl>
    <w:lvl w:ilvl="3" w:tentative="0">
      <w:start w:val="0"/>
      <w:numFmt w:val="decimal"/>
      <w:pStyle w:val="302"/>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1">
    <w:nsid w:val="18232DD3"/>
    <w:multiLevelType w:val="singleLevel"/>
    <w:tmpl w:val="18232DD3"/>
    <w:lvl w:ilvl="0" w:tentative="0">
      <w:start w:val="1"/>
      <w:numFmt w:val="decimal"/>
      <w:pStyle w:val="621"/>
      <w:lvlText w:val="（%1）"/>
      <w:lvlJc w:val="left"/>
      <w:pPr>
        <w:tabs>
          <w:tab w:val="left" w:pos="1800"/>
        </w:tabs>
        <w:ind w:left="1800" w:hanging="900"/>
      </w:pPr>
      <w:rPr>
        <w:rFonts w:hint="eastAsia"/>
      </w:rPr>
    </w:lvl>
  </w:abstractNum>
  <w:abstractNum w:abstractNumId="12">
    <w:nsid w:val="20A10221"/>
    <w:multiLevelType w:val="multilevel"/>
    <w:tmpl w:val="20A10221"/>
    <w:lvl w:ilvl="0" w:tentative="0">
      <w:start w:val="1"/>
      <w:numFmt w:val="decimal"/>
      <w:pStyle w:val="413"/>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7727B63"/>
    <w:multiLevelType w:val="multilevel"/>
    <w:tmpl w:val="27727B63"/>
    <w:lvl w:ilvl="0" w:tentative="0">
      <w:start w:val="1"/>
      <w:numFmt w:val="bullet"/>
      <w:pStyle w:val="62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5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45E346C8"/>
    <w:multiLevelType w:val="singleLevel"/>
    <w:tmpl w:val="45E346C8"/>
    <w:lvl w:ilvl="0" w:tentative="0">
      <w:start w:val="4"/>
      <w:numFmt w:val="japaneseCounting"/>
      <w:pStyle w:val="47"/>
      <w:lvlText w:val="（%1）"/>
      <w:lvlJc w:val="left"/>
      <w:pPr>
        <w:tabs>
          <w:tab w:val="left" w:pos="1080"/>
        </w:tabs>
        <w:ind w:left="1080" w:hanging="1080"/>
      </w:pPr>
      <w:rPr>
        <w:rFonts w:hint="eastAsia"/>
      </w:rPr>
    </w:lvl>
  </w:abstractNum>
  <w:abstractNum w:abstractNumId="16">
    <w:nsid w:val="4F430D32"/>
    <w:multiLevelType w:val="multilevel"/>
    <w:tmpl w:val="4F430D32"/>
    <w:lvl w:ilvl="0" w:tentative="0">
      <w:start w:val="1"/>
      <w:numFmt w:val="decimal"/>
      <w:pStyle w:val="15"/>
      <w:lvlText w:val=""/>
      <w:lvlJc w:val="left"/>
      <w:pPr>
        <w:tabs>
          <w:tab w:val="left" w:pos="360"/>
        </w:tabs>
        <w:ind w:left="360" w:hanging="360"/>
      </w:pPr>
      <w:rPr>
        <w:rFonts w:hint="default" w:ascii="Times New Roman" w:hAnsi="Times New Roman"/>
      </w:rPr>
    </w:lvl>
    <w:lvl w:ilvl="1" w:tentative="0">
      <w:start w:val="1"/>
      <w:numFmt w:val="decimal"/>
      <w:lvlText w:val="%1.%2"/>
      <w:lvlJc w:val="left"/>
      <w:pPr>
        <w:tabs>
          <w:tab w:val="left" w:pos="1620"/>
        </w:tabs>
        <w:ind w:left="1620" w:hanging="810"/>
      </w:pPr>
      <w:rPr>
        <w:rFonts w:hint="eastAsia"/>
      </w:rPr>
    </w:lvl>
    <w:lvl w:ilvl="2" w:tentative="0">
      <w:start w:val="1"/>
      <w:numFmt w:val="decimal"/>
      <w:lvlText w:val="%1.%2.%3"/>
      <w:lvlJc w:val="left"/>
      <w:pPr>
        <w:tabs>
          <w:tab w:val="left" w:pos="2430"/>
        </w:tabs>
        <w:ind w:left="2430" w:hanging="810"/>
      </w:pPr>
      <w:rPr>
        <w:rFonts w:hint="eastAsia"/>
      </w:rPr>
    </w:lvl>
    <w:lvl w:ilvl="3" w:tentative="0">
      <w:start w:val="1"/>
      <w:numFmt w:val="decimal"/>
      <w:lvlText w:val="%1.%2.%3.%4"/>
      <w:lvlJc w:val="left"/>
      <w:pPr>
        <w:tabs>
          <w:tab w:val="left" w:pos="3240"/>
        </w:tabs>
        <w:ind w:left="3240" w:hanging="810"/>
      </w:pPr>
      <w:rPr>
        <w:rFonts w:hint="eastAsia"/>
      </w:rPr>
    </w:lvl>
    <w:lvl w:ilvl="4" w:tentative="0">
      <w:start w:val="1"/>
      <w:numFmt w:val="decimal"/>
      <w:lvlText w:val="%1.%2.%3.%4.%5"/>
      <w:lvlJc w:val="left"/>
      <w:pPr>
        <w:tabs>
          <w:tab w:val="left" w:pos="4050"/>
        </w:tabs>
        <w:ind w:left="4050" w:hanging="810"/>
      </w:pPr>
      <w:rPr>
        <w:rFonts w:hint="eastAsia"/>
      </w:rPr>
    </w:lvl>
    <w:lvl w:ilvl="5" w:tentative="0">
      <w:start w:val="1"/>
      <w:numFmt w:val="decimal"/>
      <w:lvlText w:val="%1.%2.%3.%4.%5.%6"/>
      <w:lvlJc w:val="left"/>
      <w:pPr>
        <w:tabs>
          <w:tab w:val="left" w:pos="4860"/>
        </w:tabs>
        <w:ind w:left="4860" w:hanging="810"/>
      </w:pPr>
      <w:rPr>
        <w:rFonts w:hint="eastAsia"/>
      </w:rPr>
    </w:lvl>
    <w:lvl w:ilvl="6" w:tentative="0">
      <w:start w:val="1"/>
      <w:numFmt w:val="decimal"/>
      <w:lvlText w:val="%1.%2.%3.%4.%5.%6.%7"/>
      <w:lvlJc w:val="left"/>
      <w:pPr>
        <w:tabs>
          <w:tab w:val="left" w:pos="5670"/>
        </w:tabs>
        <w:ind w:left="5670" w:hanging="810"/>
      </w:pPr>
      <w:rPr>
        <w:rFonts w:hint="eastAsia"/>
      </w:rPr>
    </w:lvl>
    <w:lvl w:ilvl="7" w:tentative="0">
      <w:start w:val="1"/>
      <w:numFmt w:val="decimal"/>
      <w:lvlText w:val="%1.%2.%3.%4.%5.%6.%7.%8"/>
      <w:lvlJc w:val="left"/>
      <w:pPr>
        <w:tabs>
          <w:tab w:val="left" w:pos="6480"/>
        </w:tabs>
        <w:ind w:left="6480" w:hanging="810"/>
      </w:pPr>
      <w:rPr>
        <w:rFonts w:hint="eastAsia"/>
      </w:rPr>
    </w:lvl>
    <w:lvl w:ilvl="8" w:tentative="0">
      <w:start w:val="1"/>
      <w:numFmt w:val="decimal"/>
      <w:lvlText w:val="%1.%2.%3.%4.%5.%6.%7.%8.%9"/>
      <w:lvlJc w:val="left"/>
      <w:pPr>
        <w:tabs>
          <w:tab w:val="left" w:pos="7290"/>
        </w:tabs>
        <w:ind w:left="7290" w:hanging="810"/>
      </w:pPr>
      <w:rPr>
        <w:rFonts w:hint="eastAsia"/>
      </w:rPr>
    </w:lvl>
  </w:abstractNum>
  <w:abstractNum w:abstractNumId="17">
    <w:nsid w:val="582744BB"/>
    <w:multiLevelType w:val="singleLevel"/>
    <w:tmpl w:val="582744BB"/>
    <w:lvl w:ilvl="0" w:tentative="0">
      <w:start w:val="1"/>
      <w:numFmt w:val="decimal"/>
      <w:suff w:val="nothing"/>
      <w:lvlText w:val="%1、"/>
      <w:lvlJc w:val="left"/>
    </w:lvl>
  </w:abstractNum>
  <w:abstractNum w:abstractNumId="18">
    <w:nsid w:val="5B6D3AF1"/>
    <w:multiLevelType w:val="multilevel"/>
    <w:tmpl w:val="5B6D3AF1"/>
    <w:lvl w:ilvl="0" w:tentative="0">
      <w:start w:val="1"/>
      <w:numFmt w:val="decimal"/>
      <w:pStyle w:val="755"/>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19">
    <w:nsid w:val="6E230785"/>
    <w:multiLevelType w:val="multilevel"/>
    <w:tmpl w:val="6E230785"/>
    <w:lvl w:ilvl="0" w:tentative="0">
      <w:start w:val="1"/>
      <w:numFmt w:val="bullet"/>
      <w:pStyle w:val="714"/>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743DEE2C"/>
    <w:multiLevelType w:val="singleLevel"/>
    <w:tmpl w:val="743DEE2C"/>
    <w:lvl w:ilvl="0" w:tentative="0">
      <w:start w:val="1"/>
      <w:numFmt w:val="chineseCounting"/>
      <w:suff w:val="nothing"/>
      <w:lvlText w:val="%1、"/>
      <w:lvlJc w:val="left"/>
      <w:rPr>
        <w:rFonts w:hint="eastAsia"/>
      </w:rPr>
    </w:lvl>
  </w:abstractNum>
  <w:abstractNum w:abstractNumId="21">
    <w:nsid w:val="77CFB11F"/>
    <w:multiLevelType w:val="singleLevel"/>
    <w:tmpl w:val="77CFB11F"/>
    <w:lvl w:ilvl="0" w:tentative="0">
      <w:start w:val="1"/>
      <w:numFmt w:val="decimal"/>
      <w:suff w:val="nothing"/>
      <w:lvlText w:val="%1、"/>
      <w:lvlJc w:val="left"/>
    </w:lvl>
  </w:abstractNum>
  <w:abstractNum w:abstractNumId="22">
    <w:nsid w:val="7E3B679F"/>
    <w:multiLevelType w:val="multilevel"/>
    <w:tmpl w:val="7E3B679F"/>
    <w:lvl w:ilvl="0" w:tentative="0">
      <w:start w:val="1"/>
      <w:numFmt w:val="chineseCountingThousand"/>
      <w:pStyle w:val="284"/>
      <w:lvlText w:val="%1."/>
      <w:lvlJc w:val="left"/>
      <w:pPr>
        <w:ind w:left="0" w:firstLine="0"/>
      </w:pPr>
      <w:rPr>
        <w:rFonts w:hint="default"/>
        <w:color w:val="auto"/>
        <w:sz w:val="44"/>
      </w:rPr>
    </w:lvl>
    <w:lvl w:ilvl="1" w:tentative="0">
      <w:start w:val="1"/>
      <w:numFmt w:val="decimal"/>
      <w:pStyle w:val="277"/>
      <w:lvlText w:val="%2"/>
      <w:lvlJc w:val="left"/>
      <w:pPr>
        <w:ind w:left="0" w:firstLine="0"/>
      </w:pPr>
      <w:rPr>
        <w:rFonts w:hint="eastAsia"/>
      </w:rPr>
    </w:lvl>
    <w:lvl w:ilvl="2" w:tentative="0">
      <w:start w:val="1"/>
      <w:numFmt w:val="decimal"/>
      <w:pStyle w:val="651"/>
      <w:lvlText w:val="%2.%3"/>
      <w:lvlJc w:val="left"/>
      <w:pPr>
        <w:ind w:left="0" w:firstLine="0"/>
      </w:pPr>
      <w:rPr>
        <w:rFonts w:hint="eastAsia"/>
      </w:rPr>
    </w:lvl>
    <w:lvl w:ilvl="3" w:tentative="0">
      <w:start w:val="1"/>
      <w:numFmt w:val="decimal"/>
      <w:pStyle w:val="126"/>
      <w:lvlText w:val="%2.%3.%4"/>
      <w:lvlJc w:val="left"/>
      <w:pPr>
        <w:ind w:left="0" w:firstLine="0"/>
      </w:pPr>
      <w:rPr>
        <w:rFonts w:hint="eastAsia"/>
      </w:rPr>
    </w:lvl>
    <w:lvl w:ilvl="4" w:tentative="0">
      <w:start w:val="1"/>
      <w:numFmt w:val="decimal"/>
      <w:pStyle w:val="328"/>
      <w:lvlText w:val="%2.%3.%4.%5"/>
      <w:lvlJc w:val="left"/>
      <w:pPr>
        <w:ind w:left="0" w:firstLine="0"/>
      </w:pPr>
      <w:rPr>
        <w:rFonts w:hint="eastAsia"/>
      </w:rPr>
    </w:lvl>
    <w:lvl w:ilvl="5" w:tentative="0">
      <w:start w:val="1"/>
      <w:numFmt w:val="decimal"/>
      <w:lvlText w:val="%2.%3.%4.%5.%6"/>
      <w:lvlJc w:val="left"/>
      <w:pPr>
        <w:ind w:left="0" w:firstLine="0"/>
      </w:pPr>
      <w:rPr>
        <w:rFonts w:hint="eastAsia" w:eastAsia="宋体"/>
        <w:b/>
        <w:sz w:val="24"/>
      </w:rPr>
    </w:lvl>
    <w:lvl w:ilvl="6" w:tentative="0">
      <w:start w:val="1"/>
      <w:numFmt w:val="decimal"/>
      <w:lvlText w:val="%2.%3.%4.%5.%6.%7"/>
      <w:lvlJc w:val="left"/>
      <w:pPr>
        <w:ind w:left="0" w:firstLine="0"/>
      </w:pPr>
      <w:rPr>
        <w:rFonts w:hint="eastAsia"/>
      </w:rPr>
    </w:lvl>
    <w:lvl w:ilvl="7" w:tentative="0">
      <w:start w:val="1"/>
      <w:numFmt w:val="decimal"/>
      <w:lvlText w:val="%2.%3.%4.%5.%6.%7.%8"/>
      <w:lvlJc w:val="left"/>
      <w:pPr>
        <w:ind w:left="0" w:firstLine="0"/>
      </w:pPr>
      <w:rPr>
        <w:rFonts w:hint="eastAsia"/>
      </w:rPr>
    </w:lvl>
    <w:lvl w:ilvl="8" w:tentative="0">
      <w:start w:val="1"/>
      <w:numFmt w:val="decimal"/>
      <w:lvlText w:val="%2.%3.%4.%5.%6.%7.%8.%9"/>
      <w:lvlJc w:val="left"/>
      <w:pPr>
        <w:ind w:left="0" w:firstLine="0"/>
      </w:pPr>
      <w:rPr>
        <w:rFonts w:hint="eastAsia"/>
      </w:rPr>
    </w:lvl>
  </w:abstractNum>
  <w:num w:numId="1">
    <w:abstractNumId w:val="16"/>
  </w:num>
  <w:num w:numId="2">
    <w:abstractNumId w:val="15"/>
  </w:num>
  <w:num w:numId="3">
    <w:abstractNumId w:val="14"/>
  </w:num>
  <w:num w:numId="4">
    <w:abstractNumId w:val="22"/>
  </w:num>
  <w:num w:numId="5">
    <w:abstractNumId w:val="9"/>
  </w:num>
  <w:num w:numId="6">
    <w:abstractNumId w:val="10"/>
  </w:num>
  <w:num w:numId="7">
    <w:abstractNumId w:val="8"/>
  </w:num>
  <w:num w:numId="8">
    <w:abstractNumId w:val="12"/>
  </w:num>
  <w:num w:numId="9">
    <w:abstractNumId w:val="13"/>
  </w:num>
  <w:num w:numId="10">
    <w:abstractNumId w:val="11"/>
  </w:num>
  <w:num w:numId="11">
    <w:abstractNumId w:val="19"/>
  </w:num>
  <w:num w:numId="12">
    <w:abstractNumId w:val="18"/>
  </w:num>
  <w:num w:numId="13">
    <w:abstractNumId w:val="3"/>
  </w:num>
  <w:num w:numId="14">
    <w:abstractNumId w:val="4"/>
  </w:num>
  <w:num w:numId="15">
    <w:abstractNumId w:val="6"/>
  </w:num>
  <w:num w:numId="16">
    <w:abstractNumId w:val="20"/>
  </w:num>
  <w:num w:numId="17">
    <w:abstractNumId w:val="5"/>
  </w:num>
  <w:num w:numId="18">
    <w:abstractNumId w:val="1"/>
  </w:num>
  <w:num w:numId="19">
    <w:abstractNumId w:val="17"/>
  </w:num>
  <w:num w:numId="20">
    <w:abstractNumId w:val="21"/>
  </w:num>
  <w:num w:numId="21">
    <w:abstractNumId w:val="2"/>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HorizontalSpacing w:val="105"/>
  <w:drawingGridVerticalSpacing w:val="159"/>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iZmI5NTcwNDA2ZmFjMDJkZGU2NzYwMWRjZjdhOTEifQ=="/>
  </w:docVars>
  <w:rsids>
    <w:rsidRoot w:val="00172A27"/>
    <w:rsid w:val="00001895"/>
    <w:rsid w:val="0000679B"/>
    <w:rsid w:val="0001163C"/>
    <w:rsid w:val="00020860"/>
    <w:rsid w:val="00022EBA"/>
    <w:rsid w:val="00022FFF"/>
    <w:rsid w:val="000241F8"/>
    <w:rsid w:val="00024A04"/>
    <w:rsid w:val="00025053"/>
    <w:rsid w:val="000263A5"/>
    <w:rsid w:val="00032C61"/>
    <w:rsid w:val="00033B36"/>
    <w:rsid w:val="0004061C"/>
    <w:rsid w:val="000412DF"/>
    <w:rsid w:val="00041C7D"/>
    <w:rsid w:val="00041E05"/>
    <w:rsid w:val="00041F95"/>
    <w:rsid w:val="00043F6E"/>
    <w:rsid w:val="0004503C"/>
    <w:rsid w:val="0005186B"/>
    <w:rsid w:val="00051F8C"/>
    <w:rsid w:val="00052F18"/>
    <w:rsid w:val="0006074E"/>
    <w:rsid w:val="0006142A"/>
    <w:rsid w:val="0006213E"/>
    <w:rsid w:val="00063CD5"/>
    <w:rsid w:val="00065C72"/>
    <w:rsid w:val="00067884"/>
    <w:rsid w:val="00070876"/>
    <w:rsid w:val="00071F22"/>
    <w:rsid w:val="00073184"/>
    <w:rsid w:val="00076E8D"/>
    <w:rsid w:val="00076EA1"/>
    <w:rsid w:val="00082E39"/>
    <w:rsid w:val="00084C2F"/>
    <w:rsid w:val="00085156"/>
    <w:rsid w:val="000857F5"/>
    <w:rsid w:val="0008643D"/>
    <w:rsid w:val="0008672A"/>
    <w:rsid w:val="00095FC1"/>
    <w:rsid w:val="000A0479"/>
    <w:rsid w:val="000A0618"/>
    <w:rsid w:val="000A09B5"/>
    <w:rsid w:val="000A1BCA"/>
    <w:rsid w:val="000A2AC1"/>
    <w:rsid w:val="000A754D"/>
    <w:rsid w:val="000B0C84"/>
    <w:rsid w:val="000B1B18"/>
    <w:rsid w:val="000B58B9"/>
    <w:rsid w:val="000B5DAB"/>
    <w:rsid w:val="000B666B"/>
    <w:rsid w:val="000B7462"/>
    <w:rsid w:val="000C0EFC"/>
    <w:rsid w:val="000C1A39"/>
    <w:rsid w:val="000C3B30"/>
    <w:rsid w:val="000C51E7"/>
    <w:rsid w:val="000D00CC"/>
    <w:rsid w:val="000D1621"/>
    <w:rsid w:val="000D1739"/>
    <w:rsid w:val="000D543A"/>
    <w:rsid w:val="000E07CE"/>
    <w:rsid w:val="000E3DA5"/>
    <w:rsid w:val="000F17A6"/>
    <w:rsid w:val="00100AB9"/>
    <w:rsid w:val="00103A57"/>
    <w:rsid w:val="00104646"/>
    <w:rsid w:val="00104E62"/>
    <w:rsid w:val="0010559D"/>
    <w:rsid w:val="00105A67"/>
    <w:rsid w:val="00105E20"/>
    <w:rsid w:val="001118D0"/>
    <w:rsid w:val="001127A9"/>
    <w:rsid w:val="00112B8C"/>
    <w:rsid w:val="00112CD8"/>
    <w:rsid w:val="00113CFD"/>
    <w:rsid w:val="0011427B"/>
    <w:rsid w:val="00121B0C"/>
    <w:rsid w:val="00121FA2"/>
    <w:rsid w:val="0012230F"/>
    <w:rsid w:val="00123D21"/>
    <w:rsid w:val="00124994"/>
    <w:rsid w:val="00127F29"/>
    <w:rsid w:val="001309DB"/>
    <w:rsid w:val="00130A28"/>
    <w:rsid w:val="00133FD6"/>
    <w:rsid w:val="00136DE3"/>
    <w:rsid w:val="001479B6"/>
    <w:rsid w:val="00153642"/>
    <w:rsid w:val="00157515"/>
    <w:rsid w:val="00160695"/>
    <w:rsid w:val="0016323D"/>
    <w:rsid w:val="00164781"/>
    <w:rsid w:val="00165991"/>
    <w:rsid w:val="00170E4B"/>
    <w:rsid w:val="00171511"/>
    <w:rsid w:val="00172A27"/>
    <w:rsid w:val="001755FE"/>
    <w:rsid w:val="0017576E"/>
    <w:rsid w:val="00175BD8"/>
    <w:rsid w:val="0018000F"/>
    <w:rsid w:val="001804E3"/>
    <w:rsid w:val="00180D18"/>
    <w:rsid w:val="0018263E"/>
    <w:rsid w:val="00182FF1"/>
    <w:rsid w:val="00184B65"/>
    <w:rsid w:val="00185189"/>
    <w:rsid w:val="001861A8"/>
    <w:rsid w:val="00187C1E"/>
    <w:rsid w:val="00192EAF"/>
    <w:rsid w:val="00193195"/>
    <w:rsid w:val="001A1250"/>
    <w:rsid w:val="001A1E95"/>
    <w:rsid w:val="001A57FE"/>
    <w:rsid w:val="001B6526"/>
    <w:rsid w:val="001B6C12"/>
    <w:rsid w:val="001B7744"/>
    <w:rsid w:val="001C18BC"/>
    <w:rsid w:val="001C32BE"/>
    <w:rsid w:val="001C4CEC"/>
    <w:rsid w:val="001C73F9"/>
    <w:rsid w:val="001D3237"/>
    <w:rsid w:val="001D38BB"/>
    <w:rsid w:val="001D3DC8"/>
    <w:rsid w:val="001D42A6"/>
    <w:rsid w:val="001D7131"/>
    <w:rsid w:val="001D7E95"/>
    <w:rsid w:val="001E094E"/>
    <w:rsid w:val="001E2376"/>
    <w:rsid w:val="001E61DB"/>
    <w:rsid w:val="001E7B3A"/>
    <w:rsid w:val="001E7CC0"/>
    <w:rsid w:val="001F3530"/>
    <w:rsid w:val="001F3AA3"/>
    <w:rsid w:val="001F6716"/>
    <w:rsid w:val="001F7C81"/>
    <w:rsid w:val="00201BB9"/>
    <w:rsid w:val="002029B2"/>
    <w:rsid w:val="00207867"/>
    <w:rsid w:val="00207B13"/>
    <w:rsid w:val="0021020A"/>
    <w:rsid w:val="00210A24"/>
    <w:rsid w:val="002111A4"/>
    <w:rsid w:val="00213962"/>
    <w:rsid w:val="00215BA0"/>
    <w:rsid w:val="002160D8"/>
    <w:rsid w:val="002171A8"/>
    <w:rsid w:val="002220D7"/>
    <w:rsid w:val="002255D3"/>
    <w:rsid w:val="002331C4"/>
    <w:rsid w:val="00246767"/>
    <w:rsid w:val="00246C7E"/>
    <w:rsid w:val="002540AA"/>
    <w:rsid w:val="00257440"/>
    <w:rsid w:val="002641CD"/>
    <w:rsid w:val="00264D01"/>
    <w:rsid w:val="002736BA"/>
    <w:rsid w:val="002750C4"/>
    <w:rsid w:val="00277231"/>
    <w:rsid w:val="00280288"/>
    <w:rsid w:val="002851E2"/>
    <w:rsid w:val="00287FF3"/>
    <w:rsid w:val="00292C6C"/>
    <w:rsid w:val="00294A4B"/>
    <w:rsid w:val="00295C2A"/>
    <w:rsid w:val="0029782F"/>
    <w:rsid w:val="002A04CB"/>
    <w:rsid w:val="002A0C39"/>
    <w:rsid w:val="002A10CA"/>
    <w:rsid w:val="002A31E0"/>
    <w:rsid w:val="002A7EB1"/>
    <w:rsid w:val="002B0BB1"/>
    <w:rsid w:val="002B1563"/>
    <w:rsid w:val="002B3DDA"/>
    <w:rsid w:val="002B418D"/>
    <w:rsid w:val="002B586D"/>
    <w:rsid w:val="002B646F"/>
    <w:rsid w:val="002C37ED"/>
    <w:rsid w:val="002C3E93"/>
    <w:rsid w:val="002C7CFB"/>
    <w:rsid w:val="002D3E4E"/>
    <w:rsid w:val="002D5EDE"/>
    <w:rsid w:val="002D6A83"/>
    <w:rsid w:val="002E001B"/>
    <w:rsid w:val="002E1B69"/>
    <w:rsid w:val="002E21DA"/>
    <w:rsid w:val="002E2ED0"/>
    <w:rsid w:val="002F267C"/>
    <w:rsid w:val="002F48B7"/>
    <w:rsid w:val="002F72B0"/>
    <w:rsid w:val="00303262"/>
    <w:rsid w:val="003046DE"/>
    <w:rsid w:val="00305B79"/>
    <w:rsid w:val="00306BD0"/>
    <w:rsid w:val="00307CD2"/>
    <w:rsid w:val="00311F0F"/>
    <w:rsid w:val="0031337F"/>
    <w:rsid w:val="00313538"/>
    <w:rsid w:val="00315F58"/>
    <w:rsid w:val="00320300"/>
    <w:rsid w:val="00320C57"/>
    <w:rsid w:val="00321BC9"/>
    <w:rsid w:val="00322DC1"/>
    <w:rsid w:val="00323323"/>
    <w:rsid w:val="00323C35"/>
    <w:rsid w:val="00324C75"/>
    <w:rsid w:val="003260B8"/>
    <w:rsid w:val="00326C4E"/>
    <w:rsid w:val="003278B0"/>
    <w:rsid w:val="003315C7"/>
    <w:rsid w:val="003322CF"/>
    <w:rsid w:val="00335978"/>
    <w:rsid w:val="00341B5C"/>
    <w:rsid w:val="00341D0C"/>
    <w:rsid w:val="0034232E"/>
    <w:rsid w:val="00342AB1"/>
    <w:rsid w:val="003450D1"/>
    <w:rsid w:val="00345860"/>
    <w:rsid w:val="00347F79"/>
    <w:rsid w:val="003513E8"/>
    <w:rsid w:val="0035475F"/>
    <w:rsid w:val="00354CA8"/>
    <w:rsid w:val="0035760D"/>
    <w:rsid w:val="003601DD"/>
    <w:rsid w:val="00365933"/>
    <w:rsid w:val="00366861"/>
    <w:rsid w:val="00371FD3"/>
    <w:rsid w:val="00374070"/>
    <w:rsid w:val="00374D0A"/>
    <w:rsid w:val="00376257"/>
    <w:rsid w:val="00376F33"/>
    <w:rsid w:val="00380DB6"/>
    <w:rsid w:val="003819B6"/>
    <w:rsid w:val="003841C2"/>
    <w:rsid w:val="003918BD"/>
    <w:rsid w:val="003929AC"/>
    <w:rsid w:val="00394087"/>
    <w:rsid w:val="00395943"/>
    <w:rsid w:val="003A0E88"/>
    <w:rsid w:val="003A596A"/>
    <w:rsid w:val="003B0520"/>
    <w:rsid w:val="003B1007"/>
    <w:rsid w:val="003B4D7D"/>
    <w:rsid w:val="003B5D5B"/>
    <w:rsid w:val="003C4DBF"/>
    <w:rsid w:val="003C506B"/>
    <w:rsid w:val="003D5917"/>
    <w:rsid w:val="003D7268"/>
    <w:rsid w:val="003E4B04"/>
    <w:rsid w:val="003E5957"/>
    <w:rsid w:val="003E76D1"/>
    <w:rsid w:val="003F0053"/>
    <w:rsid w:val="003F433F"/>
    <w:rsid w:val="003F5C9D"/>
    <w:rsid w:val="003F6539"/>
    <w:rsid w:val="003F6891"/>
    <w:rsid w:val="003F6B3E"/>
    <w:rsid w:val="004016DB"/>
    <w:rsid w:val="004063DA"/>
    <w:rsid w:val="004077BF"/>
    <w:rsid w:val="00413DBE"/>
    <w:rsid w:val="00413F5A"/>
    <w:rsid w:val="00417DA9"/>
    <w:rsid w:val="0042003A"/>
    <w:rsid w:val="004253FC"/>
    <w:rsid w:val="00425664"/>
    <w:rsid w:val="00427663"/>
    <w:rsid w:val="00431049"/>
    <w:rsid w:val="0044276F"/>
    <w:rsid w:val="00442E14"/>
    <w:rsid w:val="00444242"/>
    <w:rsid w:val="004449EB"/>
    <w:rsid w:val="00444AF7"/>
    <w:rsid w:val="00446F7C"/>
    <w:rsid w:val="004577D2"/>
    <w:rsid w:val="004600E3"/>
    <w:rsid w:val="00465880"/>
    <w:rsid w:val="00467327"/>
    <w:rsid w:val="00472C67"/>
    <w:rsid w:val="00476038"/>
    <w:rsid w:val="00476E34"/>
    <w:rsid w:val="004773C8"/>
    <w:rsid w:val="00480339"/>
    <w:rsid w:val="004808F9"/>
    <w:rsid w:val="004840F2"/>
    <w:rsid w:val="00487AC1"/>
    <w:rsid w:val="004921FE"/>
    <w:rsid w:val="004927A0"/>
    <w:rsid w:val="00494826"/>
    <w:rsid w:val="004A203B"/>
    <w:rsid w:val="004A23B6"/>
    <w:rsid w:val="004A4469"/>
    <w:rsid w:val="004A4E86"/>
    <w:rsid w:val="004A5A12"/>
    <w:rsid w:val="004A5A7F"/>
    <w:rsid w:val="004A7720"/>
    <w:rsid w:val="004A7FF4"/>
    <w:rsid w:val="004B1772"/>
    <w:rsid w:val="004B1AFE"/>
    <w:rsid w:val="004B46E2"/>
    <w:rsid w:val="004B535B"/>
    <w:rsid w:val="004B7F78"/>
    <w:rsid w:val="004C39C8"/>
    <w:rsid w:val="004C3CC9"/>
    <w:rsid w:val="004C3FBC"/>
    <w:rsid w:val="004C5722"/>
    <w:rsid w:val="004C5B33"/>
    <w:rsid w:val="004D0489"/>
    <w:rsid w:val="004D0672"/>
    <w:rsid w:val="004D1C34"/>
    <w:rsid w:val="004D48F5"/>
    <w:rsid w:val="004D4F78"/>
    <w:rsid w:val="004D55E9"/>
    <w:rsid w:val="004D5B8D"/>
    <w:rsid w:val="004D626E"/>
    <w:rsid w:val="004D6302"/>
    <w:rsid w:val="004D666D"/>
    <w:rsid w:val="004D75D9"/>
    <w:rsid w:val="004E3DDA"/>
    <w:rsid w:val="004E6249"/>
    <w:rsid w:val="004E6620"/>
    <w:rsid w:val="004F2AF4"/>
    <w:rsid w:val="004F386B"/>
    <w:rsid w:val="004F4C09"/>
    <w:rsid w:val="004F61A8"/>
    <w:rsid w:val="00500D4A"/>
    <w:rsid w:val="00502AAD"/>
    <w:rsid w:val="00505FA5"/>
    <w:rsid w:val="00510131"/>
    <w:rsid w:val="005118AE"/>
    <w:rsid w:val="00514BBC"/>
    <w:rsid w:val="00520E47"/>
    <w:rsid w:val="00521F9E"/>
    <w:rsid w:val="0052549E"/>
    <w:rsid w:val="005277C6"/>
    <w:rsid w:val="00534425"/>
    <w:rsid w:val="00535250"/>
    <w:rsid w:val="00542623"/>
    <w:rsid w:val="0054472F"/>
    <w:rsid w:val="00544C46"/>
    <w:rsid w:val="00553706"/>
    <w:rsid w:val="00555314"/>
    <w:rsid w:val="00557BB8"/>
    <w:rsid w:val="005604E0"/>
    <w:rsid w:val="00561675"/>
    <w:rsid w:val="00561EEC"/>
    <w:rsid w:val="0056208B"/>
    <w:rsid w:val="005738EB"/>
    <w:rsid w:val="005745C6"/>
    <w:rsid w:val="0057477A"/>
    <w:rsid w:val="00575A73"/>
    <w:rsid w:val="00581827"/>
    <w:rsid w:val="00587227"/>
    <w:rsid w:val="0058744E"/>
    <w:rsid w:val="00591797"/>
    <w:rsid w:val="00593B5E"/>
    <w:rsid w:val="00594E39"/>
    <w:rsid w:val="00595AE0"/>
    <w:rsid w:val="005A3ACA"/>
    <w:rsid w:val="005A41E8"/>
    <w:rsid w:val="005A7098"/>
    <w:rsid w:val="005B5FAB"/>
    <w:rsid w:val="005B61AD"/>
    <w:rsid w:val="005B6A7D"/>
    <w:rsid w:val="005B6AFE"/>
    <w:rsid w:val="005D009A"/>
    <w:rsid w:val="005D3BFB"/>
    <w:rsid w:val="005D5CD3"/>
    <w:rsid w:val="005E09B4"/>
    <w:rsid w:val="005E74CA"/>
    <w:rsid w:val="005F0E09"/>
    <w:rsid w:val="005F1B46"/>
    <w:rsid w:val="005F4765"/>
    <w:rsid w:val="005F4EB6"/>
    <w:rsid w:val="005F5202"/>
    <w:rsid w:val="0060335E"/>
    <w:rsid w:val="00603DD1"/>
    <w:rsid w:val="00605CAE"/>
    <w:rsid w:val="0061047A"/>
    <w:rsid w:val="006129B5"/>
    <w:rsid w:val="00615E65"/>
    <w:rsid w:val="00616911"/>
    <w:rsid w:val="00617FD5"/>
    <w:rsid w:val="006224EF"/>
    <w:rsid w:val="00626DDE"/>
    <w:rsid w:val="0062763E"/>
    <w:rsid w:val="0062789A"/>
    <w:rsid w:val="00636FB7"/>
    <w:rsid w:val="0064023D"/>
    <w:rsid w:val="00640F3D"/>
    <w:rsid w:val="00643F3C"/>
    <w:rsid w:val="00650A19"/>
    <w:rsid w:val="00651FF3"/>
    <w:rsid w:val="00654504"/>
    <w:rsid w:val="006563DF"/>
    <w:rsid w:val="00656571"/>
    <w:rsid w:val="00662304"/>
    <w:rsid w:val="00663299"/>
    <w:rsid w:val="0066491E"/>
    <w:rsid w:val="006656BD"/>
    <w:rsid w:val="006776A3"/>
    <w:rsid w:val="006804B7"/>
    <w:rsid w:val="00690959"/>
    <w:rsid w:val="00691517"/>
    <w:rsid w:val="00691FB9"/>
    <w:rsid w:val="006930D1"/>
    <w:rsid w:val="0069564D"/>
    <w:rsid w:val="006963A8"/>
    <w:rsid w:val="006977FA"/>
    <w:rsid w:val="006A62A6"/>
    <w:rsid w:val="006B49B3"/>
    <w:rsid w:val="006B6E77"/>
    <w:rsid w:val="006B7564"/>
    <w:rsid w:val="006C308E"/>
    <w:rsid w:val="006C49E9"/>
    <w:rsid w:val="006C5920"/>
    <w:rsid w:val="006D350A"/>
    <w:rsid w:val="006D4752"/>
    <w:rsid w:val="006E0A4C"/>
    <w:rsid w:val="006E5B4E"/>
    <w:rsid w:val="006E60A3"/>
    <w:rsid w:val="006F1D1B"/>
    <w:rsid w:val="006F6235"/>
    <w:rsid w:val="00702EE1"/>
    <w:rsid w:val="00703056"/>
    <w:rsid w:val="007048BF"/>
    <w:rsid w:val="007063D9"/>
    <w:rsid w:val="0070746E"/>
    <w:rsid w:val="007120A4"/>
    <w:rsid w:val="00714D22"/>
    <w:rsid w:val="00724C2A"/>
    <w:rsid w:val="007311EF"/>
    <w:rsid w:val="00734087"/>
    <w:rsid w:val="00734DD2"/>
    <w:rsid w:val="0073530B"/>
    <w:rsid w:val="0073572F"/>
    <w:rsid w:val="00735842"/>
    <w:rsid w:val="0074390A"/>
    <w:rsid w:val="007453B0"/>
    <w:rsid w:val="007455F2"/>
    <w:rsid w:val="00746698"/>
    <w:rsid w:val="007546A6"/>
    <w:rsid w:val="00754EA8"/>
    <w:rsid w:val="007569AF"/>
    <w:rsid w:val="00760785"/>
    <w:rsid w:val="007610FA"/>
    <w:rsid w:val="00766C6C"/>
    <w:rsid w:val="007712C7"/>
    <w:rsid w:val="00775E95"/>
    <w:rsid w:val="00784722"/>
    <w:rsid w:val="00785642"/>
    <w:rsid w:val="00792E02"/>
    <w:rsid w:val="00793401"/>
    <w:rsid w:val="00793CB9"/>
    <w:rsid w:val="007A2C84"/>
    <w:rsid w:val="007A36D6"/>
    <w:rsid w:val="007B361E"/>
    <w:rsid w:val="007B3967"/>
    <w:rsid w:val="007B4407"/>
    <w:rsid w:val="007B70C3"/>
    <w:rsid w:val="007C3264"/>
    <w:rsid w:val="007C40D1"/>
    <w:rsid w:val="007C5512"/>
    <w:rsid w:val="007D1F0D"/>
    <w:rsid w:val="007D3718"/>
    <w:rsid w:val="007D4A5F"/>
    <w:rsid w:val="007D4FCF"/>
    <w:rsid w:val="007D5D77"/>
    <w:rsid w:val="007D6561"/>
    <w:rsid w:val="007D70C1"/>
    <w:rsid w:val="007D772C"/>
    <w:rsid w:val="007E414A"/>
    <w:rsid w:val="007E4A4A"/>
    <w:rsid w:val="007E64FD"/>
    <w:rsid w:val="007E7EC1"/>
    <w:rsid w:val="007F26B3"/>
    <w:rsid w:val="007F6278"/>
    <w:rsid w:val="007F6DF1"/>
    <w:rsid w:val="00800ADF"/>
    <w:rsid w:val="00800C39"/>
    <w:rsid w:val="00802C18"/>
    <w:rsid w:val="00807E2A"/>
    <w:rsid w:val="0081301F"/>
    <w:rsid w:val="00814B19"/>
    <w:rsid w:val="00815ED4"/>
    <w:rsid w:val="0081620B"/>
    <w:rsid w:val="0081707A"/>
    <w:rsid w:val="008233EF"/>
    <w:rsid w:val="008319B3"/>
    <w:rsid w:val="00832094"/>
    <w:rsid w:val="00832CCE"/>
    <w:rsid w:val="00835BBE"/>
    <w:rsid w:val="00836C14"/>
    <w:rsid w:val="00837E6C"/>
    <w:rsid w:val="00842892"/>
    <w:rsid w:val="00843723"/>
    <w:rsid w:val="00847D28"/>
    <w:rsid w:val="008531CA"/>
    <w:rsid w:val="00856BE4"/>
    <w:rsid w:val="0086172A"/>
    <w:rsid w:val="00861D6C"/>
    <w:rsid w:val="00865F15"/>
    <w:rsid w:val="008711CE"/>
    <w:rsid w:val="00871E37"/>
    <w:rsid w:val="008731BF"/>
    <w:rsid w:val="00873730"/>
    <w:rsid w:val="00880496"/>
    <w:rsid w:val="00881451"/>
    <w:rsid w:val="00884804"/>
    <w:rsid w:val="00891B8F"/>
    <w:rsid w:val="008A5994"/>
    <w:rsid w:val="008A68E2"/>
    <w:rsid w:val="008A6E1B"/>
    <w:rsid w:val="008A7D04"/>
    <w:rsid w:val="008B1188"/>
    <w:rsid w:val="008B3200"/>
    <w:rsid w:val="008B4847"/>
    <w:rsid w:val="008C66B8"/>
    <w:rsid w:val="008C7C55"/>
    <w:rsid w:val="008D134B"/>
    <w:rsid w:val="008D1EDA"/>
    <w:rsid w:val="008D3FD2"/>
    <w:rsid w:val="008D6467"/>
    <w:rsid w:val="008D6645"/>
    <w:rsid w:val="008E7F41"/>
    <w:rsid w:val="008F0BC4"/>
    <w:rsid w:val="008F0D9D"/>
    <w:rsid w:val="008F1EE3"/>
    <w:rsid w:val="008F56F1"/>
    <w:rsid w:val="008F662A"/>
    <w:rsid w:val="008F6F78"/>
    <w:rsid w:val="009012A2"/>
    <w:rsid w:val="00902531"/>
    <w:rsid w:val="00903BC7"/>
    <w:rsid w:val="00906DB9"/>
    <w:rsid w:val="00911E0D"/>
    <w:rsid w:val="00911E12"/>
    <w:rsid w:val="00916D6C"/>
    <w:rsid w:val="00917452"/>
    <w:rsid w:val="00920764"/>
    <w:rsid w:val="0092082A"/>
    <w:rsid w:val="00921F5D"/>
    <w:rsid w:val="0092480B"/>
    <w:rsid w:val="009278A7"/>
    <w:rsid w:val="00930D8F"/>
    <w:rsid w:val="009339D8"/>
    <w:rsid w:val="00933EAE"/>
    <w:rsid w:val="0094094D"/>
    <w:rsid w:val="00944DED"/>
    <w:rsid w:val="00950C45"/>
    <w:rsid w:val="009611EA"/>
    <w:rsid w:val="0096335C"/>
    <w:rsid w:val="009675B9"/>
    <w:rsid w:val="00981D59"/>
    <w:rsid w:val="00994A44"/>
    <w:rsid w:val="009952B1"/>
    <w:rsid w:val="009956AB"/>
    <w:rsid w:val="009968D5"/>
    <w:rsid w:val="009A21A2"/>
    <w:rsid w:val="009A3D36"/>
    <w:rsid w:val="009A763D"/>
    <w:rsid w:val="009A7855"/>
    <w:rsid w:val="009B5670"/>
    <w:rsid w:val="009B7001"/>
    <w:rsid w:val="009C0A00"/>
    <w:rsid w:val="009C21D4"/>
    <w:rsid w:val="009C6382"/>
    <w:rsid w:val="009C7875"/>
    <w:rsid w:val="009D0634"/>
    <w:rsid w:val="009D1304"/>
    <w:rsid w:val="009D22DC"/>
    <w:rsid w:val="009D2BA0"/>
    <w:rsid w:val="009D514A"/>
    <w:rsid w:val="009D6E3F"/>
    <w:rsid w:val="009E1586"/>
    <w:rsid w:val="009E1C48"/>
    <w:rsid w:val="009E2060"/>
    <w:rsid w:val="009E3BE7"/>
    <w:rsid w:val="009F1878"/>
    <w:rsid w:val="009F292A"/>
    <w:rsid w:val="009F330A"/>
    <w:rsid w:val="009F343D"/>
    <w:rsid w:val="009F6F53"/>
    <w:rsid w:val="00A017CB"/>
    <w:rsid w:val="00A02291"/>
    <w:rsid w:val="00A03AD4"/>
    <w:rsid w:val="00A06487"/>
    <w:rsid w:val="00A066B0"/>
    <w:rsid w:val="00A07C4F"/>
    <w:rsid w:val="00A11924"/>
    <w:rsid w:val="00A12872"/>
    <w:rsid w:val="00A13035"/>
    <w:rsid w:val="00A13EB6"/>
    <w:rsid w:val="00A1447D"/>
    <w:rsid w:val="00A15362"/>
    <w:rsid w:val="00A15A02"/>
    <w:rsid w:val="00A164EE"/>
    <w:rsid w:val="00A17FC6"/>
    <w:rsid w:val="00A20270"/>
    <w:rsid w:val="00A211BA"/>
    <w:rsid w:val="00A226AE"/>
    <w:rsid w:val="00A257C2"/>
    <w:rsid w:val="00A2675E"/>
    <w:rsid w:val="00A31C1F"/>
    <w:rsid w:val="00A31D79"/>
    <w:rsid w:val="00A36063"/>
    <w:rsid w:val="00A3642D"/>
    <w:rsid w:val="00A365BF"/>
    <w:rsid w:val="00A37C9D"/>
    <w:rsid w:val="00A4145D"/>
    <w:rsid w:val="00A4283B"/>
    <w:rsid w:val="00A43160"/>
    <w:rsid w:val="00A4328A"/>
    <w:rsid w:val="00A5144B"/>
    <w:rsid w:val="00A520A5"/>
    <w:rsid w:val="00A52A22"/>
    <w:rsid w:val="00A54C50"/>
    <w:rsid w:val="00A63E45"/>
    <w:rsid w:val="00A66621"/>
    <w:rsid w:val="00A66ED6"/>
    <w:rsid w:val="00A67105"/>
    <w:rsid w:val="00A70B34"/>
    <w:rsid w:val="00A71AB8"/>
    <w:rsid w:val="00A72254"/>
    <w:rsid w:val="00A734BB"/>
    <w:rsid w:val="00A813B9"/>
    <w:rsid w:val="00A81FB3"/>
    <w:rsid w:val="00A8338F"/>
    <w:rsid w:val="00A87205"/>
    <w:rsid w:val="00A91772"/>
    <w:rsid w:val="00A91EF7"/>
    <w:rsid w:val="00A92650"/>
    <w:rsid w:val="00AA0BDA"/>
    <w:rsid w:val="00AB3452"/>
    <w:rsid w:val="00AB421B"/>
    <w:rsid w:val="00AB59DA"/>
    <w:rsid w:val="00AC695A"/>
    <w:rsid w:val="00AD0D3E"/>
    <w:rsid w:val="00AD6C41"/>
    <w:rsid w:val="00AD743A"/>
    <w:rsid w:val="00AD7DC3"/>
    <w:rsid w:val="00AE0179"/>
    <w:rsid w:val="00AE0F7B"/>
    <w:rsid w:val="00AE3225"/>
    <w:rsid w:val="00AE48D6"/>
    <w:rsid w:val="00AF04A9"/>
    <w:rsid w:val="00AF0DA3"/>
    <w:rsid w:val="00AF5F32"/>
    <w:rsid w:val="00AF7FA5"/>
    <w:rsid w:val="00B02921"/>
    <w:rsid w:val="00B035A6"/>
    <w:rsid w:val="00B0385D"/>
    <w:rsid w:val="00B03BCD"/>
    <w:rsid w:val="00B057EB"/>
    <w:rsid w:val="00B10431"/>
    <w:rsid w:val="00B111E7"/>
    <w:rsid w:val="00B14494"/>
    <w:rsid w:val="00B14900"/>
    <w:rsid w:val="00B16CF4"/>
    <w:rsid w:val="00B4167D"/>
    <w:rsid w:val="00B4471C"/>
    <w:rsid w:val="00B4513E"/>
    <w:rsid w:val="00B46263"/>
    <w:rsid w:val="00B50F71"/>
    <w:rsid w:val="00B53864"/>
    <w:rsid w:val="00B56AB3"/>
    <w:rsid w:val="00B61E71"/>
    <w:rsid w:val="00B669A8"/>
    <w:rsid w:val="00B66A93"/>
    <w:rsid w:val="00B70C9C"/>
    <w:rsid w:val="00B74204"/>
    <w:rsid w:val="00B74A57"/>
    <w:rsid w:val="00B76E80"/>
    <w:rsid w:val="00B80F45"/>
    <w:rsid w:val="00B81D76"/>
    <w:rsid w:val="00B868FE"/>
    <w:rsid w:val="00B875FE"/>
    <w:rsid w:val="00B957EB"/>
    <w:rsid w:val="00B963C9"/>
    <w:rsid w:val="00B97C84"/>
    <w:rsid w:val="00BA35A9"/>
    <w:rsid w:val="00BA6A4E"/>
    <w:rsid w:val="00BA7D90"/>
    <w:rsid w:val="00BB23D3"/>
    <w:rsid w:val="00BB3DB8"/>
    <w:rsid w:val="00BB7E03"/>
    <w:rsid w:val="00BC0EC5"/>
    <w:rsid w:val="00BC1C3F"/>
    <w:rsid w:val="00BC26EA"/>
    <w:rsid w:val="00BC3B2A"/>
    <w:rsid w:val="00BC52E1"/>
    <w:rsid w:val="00BD0E76"/>
    <w:rsid w:val="00BD1665"/>
    <w:rsid w:val="00BD4952"/>
    <w:rsid w:val="00BD5711"/>
    <w:rsid w:val="00BD5E56"/>
    <w:rsid w:val="00BD79A0"/>
    <w:rsid w:val="00BE4A85"/>
    <w:rsid w:val="00BE5923"/>
    <w:rsid w:val="00C00572"/>
    <w:rsid w:val="00C0071D"/>
    <w:rsid w:val="00C04619"/>
    <w:rsid w:val="00C04C4D"/>
    <w:rsid w:val="00C1278C"/>
    <w:rsid w:val="00C15785"/>
    <w:rsid w:val="00C157EF"/>
    <w:rsid w:val="00C1635B"/>
    <w:rsid w:val="00C20AFE"/>
    <w:rsid w:val="00C21115"/>
    <w:rsid w:val="00C22FB6"/>
    <w:rsid w:val="00C232EC"/>
    <w:rsid w:val="00C26A6B"/>
    <w:rsid w:val="00C2740E"/>
    <w:rsid w:val="00C304D6"/>
    <w:rsid w:val="00C33839"/>
    <w:rsid w:val="00C375FA"/>
    <w:rsid w:val="00C4218B"/>
    <w:rsid w:val="00C50604"/>
    <w:rsid w:val="00C5065D"/>
    <w:rsid w:val="00C54EFB"/>
    <w:rsid w:val="00C5517D"/>
    <w:rsid w:val="00C55707"/>
    <w:rsid w:val="00C61169"/>
    <w:rsid w:val="00C62552"/>
    <w:rsid w:val="00C634D8"/>
    <w:rsid w:val="00C665A5"/>
    <w:rsid w:val="00C67772"/>
    <w:rsid w:val="00C70574"/>
    <w:rsid w:val="00C709E8"/>
    <w:rsid w:val="00C72260"/>
    <w:rsid w:val="00C76473"/>
    <w:rsid w:val="00C809AE"/>
    <w:rsid w:val="00C83829"/>
    <w:rsid w:val="00C8388C"/>
    <w:rsid w:val="00C84E16"/>
    <w:rsid w:val="00C87E1D"/>
    <w:rsid w:val="00C914D8"/>
    <w:rsid w:val="00C93659"/>
    <w:rsid w:val="00C93A87"/>
    <w:rsid w:val="00C97508"/>
    <w:rsid w:val="00CA139A"/>
    <w:rsid w:val="00CA2E9D"/>
    <w:rsid w:val="00CA4743"/>
    <w:rsid w:val="00CA4D63"/>
    <w:rsid w:val="00CA4EA2"/>
    <w:rsid w:val="00CA5063"/>
    <w:rsid w:val="00CA5469"/>
    <w:rsid w:val="00CA67D8"/>
    <w:rsid w:val="00CA730E"/>
    <w:rsid w:val="00CB15FA"/>
    <w:rsid w:val="00CB1ED9"/>
    <w:rsid w:val="00CB1FF5"/>
    <w:rsid w:val="00CB3B59"/>
    <w:rsid w:val="00CB4583"/>
    <w:rsid w:val="00CB5A02"/>
    <w:rsid w:val="00CC191B"/>
    <w:rsid w:val="00CC3C2A"/>
    <w:rsid w:val="00CC5805"/>
    <w:rsid w:val="00CC5AB8"/>
    <w:rsid w:val="00CD0032"/>
    <w:rsid w:val="00CD0550"/>
    <w:rsid w:val="00CD6D1F"/>
    <w:rsid w:val="00CE0D7C"/>
    <w:rsid w:val="00CE1513"/>
    <w:rsid w:val="00CE3579"/>
    <w:rsid w:val="00CE396D"/>
    <w:rsid w:val="00CF06AD"/>
    <w:rsid w:val="00CF5641"/>
    <w:rsid w:val="00CF760A"/>
    <w:rsid w:val="00D01908"/>
    <w:rsid w:val="00D0462E"/>
    <w:rsid w:val="00D12A3C"/>
    <w:rsid w:val="00D14BD0"/>
    <w:rsid w:val="00D15B07"/>
    <w:rsid w:val="00D2031F"/>
    <w:rsid w:val="00D22A84"/>
    <w:rsid w:val="00D339CC"/>
    <w:rsid w:val="00D421BD"/>
    <w:rsid w:val="00D4475C"/>
    <w:rsid w:val="00D45CED"/>
    <w:rsid w:val="00D45F61"/>
    <w:rsid w:val="00D52E00"/>
    <w:rsid w:val="00D540C5"/>
    <w:rsid w:val="00D61C5D"/>
    <w:rsid w:val="00D6213D"/>
    <w:rsid w:val="00D62C3C"/>
    <w:rsid w:val="00D6334D"/>
    <w:rsid w:val="00D65BAD"/>
    <w:rsid w:val="00D67B02"/>
    <w:rsid w:val="00D735FD"/>
    <w:rsid w:val="00D74804"/>
    <w:rsid w:val="00D776BD"/>
    <w:rsid w:val="00D77CCE"/>
    <w:rsid w:val="00D82782"/>
    <w:rsid w:val="00D915B2"/>
    <w:rsid w:val="00DA2091"/>
    <w:rsid w:val="00DA5D0C"/>
    <w:rsid w:val="00DB0183"/>
    <w:rsid w:val="00DB1918"/>
    <w:rsid w:val="00DB6180"/>
    <w:rsid w:val="00DB7724"/>
    <w:rsid w:val="00DC6624"/>
    <w:rsid w:val="00DD178B"/>
    <w:rsid w:val="00DD1FF7"/>
    <w:rsid w:val="00DD4220"/>
    <w:rsid w:val="00DD58FD"/>
    <w:rsid w:val="00DD7129"/>
    <w:rsid w:val="00DE3D1F"/>
    <w:rsid w:val="00DE7E5F"/>
    <w:rsid w:val="00DF1298"/>
    <w:rsid w:val="00DF16BE"/>
    <w:rsid w:val="00DF260C"/>
    <w:rsid w:val="00DF6E7B"/>
    <w:rsid w:val="00DF73EA"/>
    <w:rsid w:val="00E00767"/>
    <w:rsid w:val="00E010FE"/>
    <w:rsid w:val="00E01B05"/>
    <w:rsid w:val="00E04A0E"/>
    <w:rsid w:val="00E150E8"/>
    <w:rsid w:val="00E15A55"/>
    <w:rsid w:val="00E16C56"/>
    <w:rsid w:val="00E17BA2"/>
    <w:rsid w:val="00E27F01"/>
    <w:rsid w:val="00E4074C"/>
    <w:rsid w:val="00E408AB"/>
    <w:rsid w:val="00E467F5"/>
    <w:rsid w:val="00E5653B"/>
    <w:rsid w:val="00E60052"/>
    <w:rsid w:val="00E64CD3"/>
    <w:rsid w:val="00E655F6"/>
    <w:rsid w:val="00E66AEE"/>
    <w:rsid w:val="00E66E30"/>
    <w:rsid w:val="00E700DC"/>
    <w:rsid w:val="00E71E22"/>
    <w:rsid w:val="00E75DC4"/>
    <w:rsid w:val="00E82DFC"/>
    <w:rsid w:val="00E866D6"/>
    <w:rsid w:val="00E870CA"/>
    <w:rsid w:val="00E935E6"/>
    <w:rsid w:val="00E951C1"/>
    <w:rsid w:val="00E95D1A"/>
    <w:rsid w:val="00E97200"/>
    <w:rsid w:val="00E97BE2"/>
    <w:rsid w:val="00EA0DCB"/>
    <w:rsid w:val="00EA171F"/>
    <w:rsid w:val="00EA613E"/>
    <w:rsid w:val="00EA648F"/>
    <w:rsid w:val="00EB3644"/>
    <w:rsid w:val="00EB3B05"/>
    <w:rsid w:val="00EB3F62"/>
    <w:rsid w:val="00EB47EF"/>
    <w:rsid w:val="00EB483C"/>
    <w:rsid w:val="00EB5A0D"/>
    <w:rsid w:val="00EB6E6B"/>
    <w:rsid w:val="00EB793C"/>
    <w:rsid w:val="00EB7AEE"/>
    <w:rsid w:val="00EE075E"/>
    <w:rsid w:val="00EE6807"/>
    <w:rsid w:val="00EE738A"/>
    <w:rsid w:val="00EF4C71"/>
    <w:rsid w:val="00EF6484"/>
    <w:rsid w:val="00F0160E"/>
    <w:rsid w:val="00F02A5D"/>
    <w:rsid w:val="00F02AC4"/>
    <w:rsid w:val="00F07BB7"/>
    <w:rsid w:val="00F10CC4"/>
    <w:rsid w:val="00F11C51"/>
    <w:rsid w:val="00F152A5"/>
    <w:rsid w:val="00F15AFD"/>
    <w:rsid w:val="00F17909"/>
    <w:rsid w:val="00F21934"/>
    <w:rsid w:val="00F21A1C"/>
    <w:rsid w:val="00F220FB"/>
    <w:rsid w:val="00F222C1"/>
    <w:rsid w:val="00F25319"/>
    <w:rsid w:val="00F26632"/>
    <w:rsid w:val="00F3083E"/>
    <w:rsid w:val="00F33B50"/>
    <w:rsid w:val="00F33E73"/>
    <w:rsid w:val="00F347D8"/>
    <w:rsid w:val="00F36AE5"/>
    <w:rsid w:val="00F417CB"/>
    <w:rsid w:val="00F41F31"/>
    <w:rsid w:val="00F41FC0"/>
    <w:rsid w:val="00F42DE6"/>
    <w:rsid w:val="00F4470F"/>
    <w:rsid w:val="00F46759"/>
    <w:rsid w:val="00F476D7"/>
    <w:rsid w:val="00F54243"/>
    <w:rsid w:val="00F65994"/>
    <w:rsid w:val="00F6769C"/>
    <w:rsid w:val="00F677E5"/>
    <w:rsid w:val="00F7177E"/>
    <w:rsid w:val="00F763CE"/>
    <w:rsid w:val="00F848D5"/>
    <w:rsid w:val="00F85111"/>
    <w:rsid w:val="00F85AB1"/>
    <w:rsid w:val="00F87282"/>
    <w:rsid w:val="00F92E7B"/>
    <w:rsid w:val="00F9694B"/>
    <w:rsid w:val="00F96F7E"/>
    <w:rsid w:val="00F9736F"/>
    <w:rsid w:val="00FA0422"/>
    <w:rsid w:val="00FA0F58"/>
    <w:rsid w:val="00FA186E"/>
    <w:rsid w:val="00FA2865"/>
    <w:rsid w:val="00FA632A"/>
    <w:rsid w:val="00FA7EBC"/>
    <w:rsid w:val="00FB21E2"/>
    <w:rsid w:val="00FC1726"/>
    <w:rsid w:val="00FC2E7B"/>
    <w:rsid w:val="00FC5C44"/>
    <w:rsid w:val="00FC5C5A"/>
    <w:rsid w:val="00FC7B30"/>
    <w:rsid w:val="00FD06A2"/>
    <w:rsid w:val="00FD0EE3"/>
    <w:rsid w:val="00FD37D5"/>
    <w:rsid w:val="00FD3C97"/>
    <w:rsid w:val="00FD418A"/>
    <w:rsid w:val="00FD5305"/>
    <w:rsid w:val="00FE0431"/>
    <w:rsid w:val="00FE20B5"/>
    <w:rsid w:val="00FE4572"/>
    <w:rsid w:val="00FE4DDD"/>
    <w:rsid w:val="00FF0084"/>
    <w:rsid w:val="00FF1D1F"/>
    <w:rsid w:val="00FF2475"/>
    <w:rsid w:val="00FF499E"/>
    <w:rsid w:val="00FF6828"/>
    <w:rsid w:val="00FF7621"/>
    <w:rsid w:val="00FF7979"/>
    <w:rsid w:val="01021764"/>
    <w:rsid w:val="01076545"/>
    <w:rsid w:val="01371143"/>
    <w:rsid w:val="015215CF"/>
    <w:rsid w:val="0166473D"/>
    <w:rsid w:val="01C83B94"/>
    <w:rsid w:val="01F03FB8"/>
    <w:rsid w:val="02247ACE"/>
    <w:rsid w:val="022A76DA"/>
    <w:rsid w:val="0231342E"/>
    <w:rsid w:val="024912E2"/>
    <w:rsid w:val="02542444"/>
    <w:rsid w:val="02B40E52"/>
    <w:rsid w:val="02D82D98"/>
    <w:rsid w:val="03335377"/>
    <w:rsid w:val="035B5DBF"/>
    <w:rsid w:val="03B07937"/>
    <w:rsid w:val="03B8568B"/>
    <w:rsid w:val="03C51043"/>
    <w:rsid w:val="03FD14B1"/>
    <w:rsid w:val="04357A7B"/>
    <w:rsid w:val="047D569A"/>
    <w:rsid w:val="049162CB"/>
    <w:rsid w:val="05B5619B"/>
    <w:rsid w:val="05DA1A5A"/>
    <w:rsid w:val="063B7F01"/>
    <w:rsid w:val="06A40584"/>
    <w:rsid w:val="06D4640B"/>
    <w:rsid w:val="06F168B5"/>
    <w:rsid w:val="07266CF0"/>
    <w:rsid w:val="073C6CB6"/>
    <w:rsid w:val="077A3CEC"/>
    <w:rsid w:val="07A57586"/>
    <w:rsid w:val="08100FB4"/>
    <w:rsid w:val="0869448C"/>
    <w:rsid w:val="089A1325"/>
    <w:rsid w:val="08A95B6D"/>
    <w:rsid w:val="092035E5"/>
    <w:rsid w:val="094457C4"/>
    <w:rsid w:val="09975029"/>
    <w:rsid w:val="09C2002A"/>
    <w:rsid w:val="0A101F09"/>
    <w:rsid w:val="0A5F2116"/>
    <w:rsid w:val="0A6028AA"/>
    <w:rsid w:val="0A965452"/>
    <w:rsid w:val="0AC138BD"/>
    <w:rsid w:val="0AF10F01"/>
    <w:rsid w:val="0BC70A77"/>
    <w:rsid w:val="0C3A6446"/>
    <w:rsid w:val="0C414E03"/>
    <w:rsid w:val="0C8B7B98"/>
    <w:rsid w:val="0CB72F9A"/>
    <w:rsid w:val="0CDE7251"/>
    <w:rsid w:val="0CE2106D"/>
    <w:rsid w:val="0D1E6DD1"/>
    <w:rsid w:val="0D24141E"/>
    <w:rsid w:val="0D434F52"/>
    <w:rsid w:val="0D733911"/>
    <w:rsid w:val="0DAA498D"/>
    <w:rsid w:val="0E471675"/>
    <w:rsid w:val="0E720264"/>
    <w:rsid w:val="0F8C0AAB"/>
    <w:rsid w:val="0FA92023"/>
    <w:rsid w:val="10482BD9"/>
    <w:rsid w:val="105706E7"/>
    <w:rsid w:val="10AF2276"/>
    <w:rsid w:val="10D00CD6"/>
    <w:rsid w:val="10F75AED"/>
    <w:rsid w:val="110D6A04"/>
    <w:rsid w:val="112A5CCB"/>
    <w:rsid w:val="11860C60"/>
    <w:rsid w:val="11875F13"/>
    <w:rsid w:val="118F65E6"/>
    <w:rsid w:val="119A6ABC"/>
    <w:rsid w:val="12BC3742"/>
    <w:rsid w:val="12CF620B"/>
    <w:rsid w:val="12DF229C"/>
    <w:rsid w:val="130E45E7"/>
    <w:rsid w:val="13146843"/>
    <w:rsid w:val="14744293"/>
    <w:rsid w:val="149B156A"/>
    <w:rsid w:val="15532C3D"/>
    <w:rsid w:val="155F41A4"/>
    <w:rsid w:val="15C27D14"/>
    <w:rsid w:val="16163E61"/>
    <w:rsid w:val="162D5424"/>
    <w:rsid w:val="166C5148"/>
    <w:rsid w:val="16893F4C"/>
    <w:rsid w:val="168B5923"/>
    <w:rsid w:val="16C96EE3"/>
    <w:rsid w:val="16DA72B6"/>
    <w:rsid w:val="17161A32"/>
    <w:rsid w:val="17336C4C"/>
    <w:rsid w:val="178B5FFE"/>
    <w:rsid w:val="17A56F65"/>
    <w:rsid w:val="17BE7D1C"/>
    <w:rsid w:val="17C8329E"/>
    <w:rsid w:val="188576AC"/>
    <w:rsid w:val="18C60A1B"/>
    <w:rsid w:val="18ED43DF"/>
    <w:rsid w:val="18F27B86"/>
    <w:rsid w:val="18F60FD3"/>
    <w:rsid w:val="1946725C"/>
    <w:rsid w:val="19551A7A"/>
    <w:rsid w:val="19880789"/>
    <w:rsid w:val="1A097900"/>
    <w:rsid w:val="1A412D36"/>
    <w:rsid w:val="1A7E422C"/>
    <w:rsid w:val="1A951883"/>
    <w:rsid w:val="1AA452EF"/>
    <w:rsid w:val="1AED33EA"/>
    <w:rsid w:val="1B304996"/>
    <w:rsid w:val="1B507478"/>
    <w:rsid w:val="1BD7197C"/>
    <w:rsid w:val="1C185D6B"/>
    <w:rsid w:val="1C1D1C92"/>
    <w:rsid w:val="1C30192F"/>
    <w:rsid w:val="1C3138AB"/>
    <w:rsid w:val="1C874A89"/>
    <w:rsid w:val="1CAD18F2"/>
    <w:rsid w:val="1D3224DC"/>
    <w:rsid w:val="1D61352C"/>
    <w:rsid w:val="1D817721"/>
    <w:rsid w:val="1D8520A8"/>
    <w:rsid w:val="1DC212A8"/>
    <w:rsid w:val="1E010B19"/>
    <w:rsid w:val="1E53796B"/>
    <w:rsid w:val="1EAC11B7"/>
    <w:rsid w:val="1EDA7B78"/>
    <w:rsid w:val="1EEB2585"/>
    <w:rsid w:val="1F4305F0"/>
    <w:rsid w:val="1F735893"/>
    <w:rsid w:val="1F834A14"/>
    <w:rsid w:val="1FBC3B37"/>
    <w:rsid w:val="201B29AB"/>
    <w:rsid w:val="20453738"/>
    <w:rsid w:val="207E4106"/>
    <w:rsid w:val="20842E13"/>
    <w:rsid w:val="211D715D"/>
    <w:rsid w:val="2134310B"/>
    <w:rsid w:val="2160130F"/>
    <w:rsid w:val="21614E9E"/>
    <w:rsid w:val="218A1ACF"/>
    <w:rsid w:val="21A84D2E"/>
    <w:rsid w:val="21C7025E"/>
    <w:rsid w:val="21EC7741"/>
    <w:rsid w:val="222B2CA2"/>
    <w:rsid w:val="222C1BF1"/>
    <w:rsid w:val="2235750C"/>
    <w:rsid w:val="22DE09AE"/>
    <w:rsid w:val="232779F1"/>
    <w:rsid w:val="235B66B5"/>
    <w:rsid w:val="23707CDE"/>
    <w:rsid w:val="23A16834"/>
    <w:rsid w:val="23A62383"/>
    <w:rsid w:val="23BA511E"/>
    <w:rsid w:val="23C815DE"/>
    <w:rsid w:val="23DF445E"/>
    <w:rsid w:val="23E1787A"/>
    <w:rsid w:val="23E521B7"/>
    <w:rsid w:val="23EA427B"/>
    <w:rsid w:val="24166B45"/>
    <w:rsid w:val="242D008D"/>
    <w:rsid w:val="24676915"/>
    <w:rsid w:val="246B18E7"/>
    <w:rsid w:val="248278CC"/>
    <w:rsid w:val="248D5970"/>
    <w:rsid w:val="24AC7F5A"/>
    <w:rsid w:val="2507150F"/>
    <w:rsid w:val="253011CF"/>
    <w:rsid w:val="255B06FF"/>
    <w:rsid w:val="25875D27"/>
    <w:rsid w:val="25AD6D9B"/>
    <w:rsid w:val="25EE5B79"/>
    <w:rsid w:val="26045ADD"/>
    <w:rsid w:val="26205F09"/>
    <w:rsid w:val="26477021"/>
    <w:rsid w:val="264A3A5E"/>
    <w:rsid w:val="26DF20E0"/>
    <w:rsid w:val="27751CD1"/>
    <w:rsid w:val="279710F9"/>
    <w:rsid w:val="27B5758F"/>
    <w:rsid w:val="27C0618B"/>
    <w:rsid w:val="27F94C8C"/>
    <w:rsid w:val="283803EE"/>
    <w:rsid w:val="285C06C5"/>
    <w:rsid w:val="286A0F65"/>
    <w:rsid w:val="28745E2A"/>
    <w:rsid w:val="28D22CB7"/>
    <w:rsid w:val="28DF788E"/>
    <w:rsid w:val="28F36B95"/>
    <w:rsid w:val="293D2655"/>
    <w:rsid w:val="297407D1"/>
    <w:rsid w:val="29A34B99"/>
    <w:rsid w:val="2A2D1228"/>
    <w:rsid w:val="2A3355FF"/>
    <w:rsid w:val="2A8F3840"/>
    <w:rsid w:val="2AAF7240"/>
    <w:rsid w:val="2AD34B5F"/>
    <w:rsid w:val="2AD41DE1"/>
    <w:rsid w:val="2B142B1B"/>
    <w:rsid w:val="2B326508"/>
    <w:rsid w:val="2B327D31"/>
    <w:rsid w:val="2B9C7DB2"/>
    <w:rsid w:val="2BC9162B"/>
    <w:rsid w:val="2BFB02CA"/>
    <w:rsid w:val="2C1372A0"/>
    <w:rsid w:val="2C155F80"/>
    <w:rsid w:val="2C195013"/>
    <w:rsid w:val="2C547D57"/>
    <w:rsid w:val="2C7374A3"/>
    <w:rsid w:val="2C783443"/>
    <w:rsid w:val="2CB55696"/>
    <w:rsid w:val="2D0D47AB"/>
    <w:rsid w:val="2D984240"/>
    <w:rsid w:val="2D9B39F2"/>
    <w:rsid w:val="2DDE272B"/>
    <w:rsid w:val="2DFC2769"/>
    <w:rsid w:val="2DFD4BAB"/>
    <w:rsid w:val="2E050F29"/>
    <w:rsid w:val="2ECB5873"/>
    <w:rsid w:val="2F046A57"/>
    <w:rsid w:val="2F275F5D"/>
    <w:rsid w:val="2F2C1A95"/>
    <w:rsid w:val="2F395E76"/>
    <w:rsid w:val="2F47063D"/>
    <w:rsid w:val="2F4E6A13"/>
    <w:rsid w:val="2F5B66CE"/>
    <w:rsid w:val="2F6F1B8C"/>
    <w:rsid w:val="2FA1634B"/>
    <w:rsid w:val="2FA441DB"/>
    <w:rsid w:val="2FBA4943"/>
    <w:rsid w:val="2FED1242"/>
    <w:rsid w:val="301B540D"/>
    <w:rsid w:val="30647505"/>
    <w:rsid w:val="30C63279"/>
    <w:rsid w:val="313535B9"/>
    <w:rsid w:val="315D1084"/>
    <w:rsid w:val="315D39D4"/>
    <w:rsid w:val="31A95B5E"/>
    <w:rsid w:val="31D766C2"/>
    <w:rsid w:val="321343EE"/>
    <w:rsid w:val="325A0E68"/>
    <w:rsid w:val="32A50401"/>
    <w:rsid w:val="32C06A8B"/>
    <w:rsid w:val="32F8532C"/>
    <w:rsid w:val="334E436F"/>
    <w:rsid w:val="338F343D"/>
    <w:rsid w:val="3396129A"/>
    <w:rsid w:val="33991271"/>
    <w:rsid w:val="33CB74FA"/>
    <w:rsid w:val="34316AED"/>
    <w:rsid w:val="34CB0BB5"/>
    <w:rsid w:val="34F34F5A"/>
    <w:rsid w:val="356C2FF0"/>
    <w:rsid w:val="35854D8B"/>
    <w:rsid w:val="359325E7"/>
    <w:rsid w:val="359C108A"/>
    <w:rsid w:val="35CC0C8F"/>
    <w:rsid w:val="35D02BA5"/>
    <w:rsid w:val="361316EE"/>
    <w:rsid w:val="362D776A"/>
    <w:rsid w:val="365F0CB6"/>
    <w:rsid w:val="367311FE"/>
    <w:rsid w:val="36E06D86"/>
    <w:rsid w:val="36E651FB"/>
    <w:rsid w:val="36ED4E97"/>
    <w:rsid w:val="37074CA8"/>
    <w:rsid w:val="373F57B5"/>
    <w:rsid w:val="377A6117"/>
    <w:rsid w:val="37BE108B"/>
    <w:rsid w:val="37D92736"/>
    <w:rsid w:val="37DD2E03"/>
    <w:rsid w:val="37E15CB1"/>
    <w:rsid w:val="37F7453C"/>
    <w:rsid w:val="386C5AA3"/>
    <w:rsid w:val="388F698F"/>
    <w:rsid w:val="38B9167F"/>
    <w:rsid w:val="39C474DF"/>
    <w:rsid w:val="39E21D7F"/>
    <w:rsid w:val="39E774EE"/>
    <w:rsid w:val="3A3D2878"/>
    <w:rsid w:val="3AF2032C"/>
    <w:rsid w:val="3AF85078"/>
    <w:rsid w:val="3B093A09"/>
    <w:rsid w:val="3B1E1326"/>
    <w:rsid w:val="3B234763"/>
    <w:rsid w:val="3B342764"/>
    <w:rsid w:val="3B5A5570"/>
    <w:rsid w:val="3B642BDD"/>
    <w:rsid w:val="3B6C7458"/>
    <w:rsid w:val="3BE338E1"/>
    <w:rsid w:val="3C424B26"/>
    <w:rsid w:val="3C67025D"/>
    <w:rsid w:val="3CA17098"/>
    <w:rsid w:val="3CE91A18"/>
    <w:rsid w:val="3D15116B"/>
    <w:rsid w:val="3D6F5A9F"/>
    <w:rsid w:val="3D9F343C"/>
    <w:rsid w:val="3DA5209B"/>
    <w:rsid w:val="3DA72447"/>
    <w:rsid w:val="3DD1389B"/>
    <w:rsid w:val="3E231A9E"/>
    <w:rsid w:val="3EF86E2A"/>
    <w:rsid w:val="3F0120EA"/>
    <w:rsid w:val="3F091C63"/>
    <w:rsid w:val="3F172111"/>
    <w:rsid w:val="3F203E89"/>
    <w:rsid w:val="3FB35324"/>
    <w:rsid w:val="3FCE63A8"/>
    <w:rsid w:val="3FD414E4"/>
    <w:rsid w:val="3FE34565"/>
    <w:rsid w:val="3FFA217D"/>
    <w:rsid w:val="3FFD282E"/>
    <w:rsid w:val="403569E2"/>
    <w:rsid w:val="40B901A8"/>
    <w:rsid w:val="40DB614F"/>
    <w:rsid w:val="41DE664A"/>
    <w:rsid w:val="41F17721"/>
    <w:rsid w:val="4200124E"/>
    <w:rsid w:val="429767AA"/>
    <w:rsid w:val="42AE707D"/>
    <w:rsid w:val="42CC23F7"/>
    <w:rsid w:val="43173FBE"/>
    <w:rsid w:val="433E1849"/>
    <w:rsid w:val="443C6F3A"/>
    <w:rsid w:val="44717E54"/>
    <w:rsid w:val="449C0743"/>
    <w:rsid w:val="44D81D15"/>
    <w:rsid w:val="44F970E6"/>
    <w:rsid w:val="456E2D33"/>
    <w:rsid w:val="45774DEB"/>
    <w:rsid w:val="46217297"/>
    <w:rsid w:val="462C7EFF"/>
    <w:rsid w:val="46362CB1"/>
    <w:rsid w:val="46B42D1A"/>
    <w:rsid w:val="46D80CC4"/>
    <w:rsid w:val="472678C0"/>
    <w:rsid w:val="474464C9"/>
    <w:rsid w:val="476F7E7B"/>
    <w:rsid w:val="47DC69C1"/>
    <w:rsid w:val="47FC5EF2"/>
    <w:rsid w:val="48042A70"/>
    <w:rsid w:val="481A5643"/>
    <w:rsid w:val="488C0A9C"/>
    <w:rsid w:val="48EC583F"/>
    <w:rsid w:val="4924024A"/>
    <w:rsid w:val="4933682B"/>
    <w:rsid w:val="493C1681"/>
    <w:rsid w:val="49507FFC"/>
    <w:rsid w:val="498B355B"/>
    <w:rsid w:val="49D66F3F"/>
    <w:rsid w:val="49E60293"/>
    <w:rsid w:val="49FD1F96"/>
    <w:rsid w:val="4A046A89"/>
    <w:rsid w:val="4A267ED1"/>
    <w:rsid w:val="4A496763"/>
    <w:rsid w:val="4A4E1181"/>
    <w:rsid w:val="4A901D0E"/>
    <w:rsid w:val="4AA057AA"/>
    <w:rsid w:val="4AC565AE"/>
    <w:rsid w:val="4B2A1C26"/>
    <w:rsid w:val="4B3442D7"/>
    <w:rsid w:val="4B4B3AC2"/>
    <w:rsid w:val="4BA55F65"/>
    <w:rsid w:val="4BB17956"/>
    <w:rsid w:val="4BC82845"/>
    <w:rsid w:val="4BDA60D4"/>
    <w:rsid w:val="4BE75F1F"/>
    <w:rsid w:val="4C13454D"/>
    <w:rsid w:val="4C1545D2"/>
    <w:rsid w:val="4C27660E"/>
    <w:rsid w:val="4C45636E"/>
    <w:rsid w:val="4C4B02DE"/>
    <w:rsid w:val="4D092076"/>
    <w:rsid w:val="4D3276EB"/>
    <w:rsid w:val="4D51296B"/>
    <w:rsid w:val="4D7A10F8"/>
    <w:rsid w:val="4D9C08E3"/>
    <w:rsid w:val="4E165041"/>
    <w:rsid w:val="4E493050"/>
    <w:rsid w:val="4E9F43D2"/>
    <w:rsid w:val="4EA83158"/>
    <w:rsid w:val="4EE43792"/>
    <w:rsid w:val="4EF16480"/>
    <w:rsid w:val="4F334479"/>
    <w:rsid w:val="4F497530"/>
    <w:rsid w:val="4F583E14"/>
    <w:rsid w:val="4F8D3DC7"/>
    <w:rsid w:val="4FA15887"/>
    <w:rsid w:val="503415FA"/>
    <w:rsid w:val="504D351A"/>
    <w:rsid w:val="50796036"/>
    <w:rsid w:val="50EA61DB"/>
    <w:rsid w:val="5123149A"/>
    <w:rsid w:val="51476ECF"/>
    <w:rsid w:val="515F45AB"/>
    <w:rsid w:val="519B777A"/>
    <w:rsid w:val="51A72EFC"/>
    <w:rsid w:val="51B431FD"/>
    <w:rsid w:val="51BD3F5D"/>
    <w:rsid w:val="51F133E9"/>
    <w:rsid w:val="51F4771F"/>
    <w:rsid w:val="51FF0643"/>
    <w:rsid w:val="520143BB"/>
    <w:rsid w:val="52562A82"/>
    <w:rsid w:val="52C246A1"/>
    <w:rsid w:val="52CE67D6"/>
    <w:rsid w:val="52CF6267"/>
    <w:rsid w:val="52D7511B"/>
    <w:rsid w:val="52DF544A"/>
    <w:rsid w:val="539A609B"/>
    <w:rsid w:val="53A652E3"/>
    <w:rsid w:val="53D766AA"/>
    <w:rsid w:val="546A1027"/>
    <w:rsid w:val="546A435B"/>
    <w:rsid w:val="548239CE"/>
    <w:rsid w:val="54B571A7"/>
    <w:rsid w:val="54DB57C6"/>
    <w:rsid w:val="54DD04D0"/>
    <w:rsid w:val="54EC5550"/>
    <w:rsid w:val="54EF1117"/>
    <w:rsid w:val="554C55EF"/>
    <w:rsid w:val="55850F34"/>
    <w:rsid w:val="558C2D92"/>
    <w:rsid w:val="55B7231A"/>
    <w:rsid w:val="560D0200"/>
    <w:rsid w:val="563F1656"/>
    <w:rsid w:val="56563B7E"/>
    <w:rsid w:val="569A05BB"/>
    <w:rsid w:val="56BA4A51"/>
    <w:rsid w:val="56F25B1D"/>
    <w:rsid w:val="5722514B"/>
    <w:rsid w:val="57556DB4"/>
    <w:rsid w:val="57BA6F69"/>
    <w:rsid w:val="58232CAE"/>
    <w:rsid w:val="58512B76"/>
    <w:rsid w:val="586C0AA8"/>
    <w:rsid w:val="58CE0D6F"/>
    <w:rsid w:val="58EA796C"/>
    <w:rsid w:val="596A6CE9"/>
    <w:rsid w:val="597044CB"/>
    <w:rsid w:val="59A833AB"/>
    <w:rsid w:val="59D377DE"/>
    <w:rsid w:val="59F27101"/>
    <w:rsid w:val="5A413E24"/>
    <w:rsid w:val="5A5A4790"/>
    <w:rsid w:val="5A980C37"/>
    <w:rsid w:val="5A9949F3"/>
    <w:rsid w:val="5B034BF6"/>
    <w:rsid w:val="5B5B54E2"/>
    <w:rsid w:val="5B5F0035"/>
    <w:rsid w:val="5B6A5FC9"/>
    <w:rsid w:val="5BF92675"/>
    <w:rsid w:val="5C2E0402"/>
    <w:rsid w:val="5C4B1059"/>
    <w:rsid w:val="5C8D11FE"/>
    <w:rsid w:val="5CCF0F18"/>
    <w:rsid w:val="5CDD294E"/>
    <w:rsid w:val="5D3F66DF"/>
    <w:rsid w:val="5D647B7D"/>
    <w:rsid w:val="5D743C22"/>
    <w:rsid w:val="5D756F8D"/>
    <w:rsid w:val="5D806B3B"/>
    <w:rsid w:val="5D880DBA"/>
    <w:rsid w:val="5DD53BF3"/>
    <w:rsid w:val="5E327224"/>
    <w:rsid w:val="5E3E24F3"/>
    <w:rsid w:val="5E43718C"/>
    <w:rsid w:val="5E5A0E2E"/>
    <w:rsid w:val="5EF445E0"/>
    <w:rsid w:val="5F00133D"/>
    <w:rsid w:val="5F1F04EF"/>
    <w:rsid w:val="5F4C7024"/>
    <w:rsid w:val="5F526B75"/>
    <w:rsid w:val="5F742670"/>
    <w:rsid w:val="5F8040C1"/>
    <w:rsid w:val="605D010C"/>
    <w:rsid w:val="60867CE6"/>
    <w:rsid w:val="609F74E8"/>
    <w:rsid w:val="60BF3DBF"/>
    <w:rsid w:val="60F457A7"/>
    <w:rsid w:val="6101478E"/>
    <w:rsid w:val="6148168F"/>
    <w:rsid w:val="617F7C40"/>
    <w:rsid w:val="61991BE0"/>
    <w:rsid w:val="61B256D1"/>
    <w:rsid w:val="61BC20AC"/>
    <w:rsid w:val="61EA1EF7"/>
    <w:rsid w:val="623560E3"/>
    <w:rsid w:val="62367ECA"/>
    <w:rsid w:val="62787AD3"/>
    <w:rsid w:val="62C17B2D"/>
    <w:rsid w:val="62D71EFE"/>
    <w:rsid w:val="63357EB3"/>
    <w:rsid w:val="6367071F"/>
    <w:rsid w:val="63A36B31"/>
    <w:rsid w:val="63A6497A"/>
    <w:rsid w:val="63ED7C0E"/>
    <w:rsid w:val="63EF1B7A"/>
    <w:rsid w:val="644F0FB6"/>
    <w:rsid w:val="645C0C48"/>
    <w:rsid w:val="64761478"/>
    <w:rsid w:val="64847AB0"/>
    <w:rsid w:val="64B23139"/>
    <w:rsid w:val="64D07098"/>
    <w:rsid w:val="65171D19"/>
    <w:rsid w:val="65227D5E"/>
    <w:rsid w:val="65605F45"/>
    <w:rsid w:val="656767D3"/>
    <w:rsid w:val="65882615"/>
    <w:rsid w:val="65AF625D"/>
    <w:rsid w:val="65BE5C89"/>
    <w:rsid w:val="65D62028"/>
    <w:rsid w:val="664E469F"/>
    <w:rsid w:val="66664B2F"/>
    <w:rsid w:val="66733D92"/>
    <w:rsid w:val="667747F4"/>
    <w:rsid w:val="66862C89"/>
    <w:rsid w:val="66946DC4"/>
    <w:rsid w:val="66A54C79"/>
    <w:rsid w:val="66A55D6D"/>
    <w:rsid w:val="66B92DA3"/>
    <w:rsid w:val="6708306A"/>
    <w:rsid w:val="673A7F29"/>
    <w:rsid w:val="67627252"/>
    <w:rsid w:val="67650BBF"/>
    <w:rsid w:val="67707A32"/>
    <w:rsid w:val="678F4246"/>
    <w:rsid w:val="67AC0E26"/>
    <w:rsid w:val="686A6296"/>
    <w:rsid w:val="68773EF6"/>
    <w:rsid w:val="687D57B5"/>
    <w:rsid w:val="6880489C"/>
    <w:rsid w:val="68A4068B"/>
    <w:rsid w:val="690A79D3"/>
    <w:rsid w:val="697C2595"/>
    <w:rsid w:val="69A76B40"/>
    <w:rsid w:val="69AF6752"/>
    <w:rsid w:val="6A2E3D63"/>
    <w:rsid w:val="6A712A53"/>
    <w:rsid w:val="6AA60E0E"/>
    <w:rsid w:val="6AB75CE9"/>
    <w:rsid w:val="6AC540A6"/>
    <w:rsid w:val="6ACA414C"/>
    <w:rsid w:val="6AD5472B"/>
    <w:rsid w:val="6AF5135F"/>
    <w:rsid w:val="6B057EF2"/>
    <w:rsid w:val="6B6356D9"/>
    <w:rsid w:val="6B901C1E"/>
    <w:rsid w:val="6BB51F5E"/>
    <w:rsid w:val="6BBC47BD"/>
    <w:rsid w:val="6BCA6EC3"/>
    <w:rsid w:val="6BCE244D"/>
    <w:rsid w:val="6BD8102F"/>
    <w:rsid w:val="6BF53F5F"/>
    <w:rsid w:val="6C3A3A8D"/>
    <w:rsid w:val="6C3D04B5"/>
    <w:rsid w:val="6C652711"/>
    <w:rsid w:val="6C9630D7"/>
    <w:rsid w:val="6CBC1355"/>
    <w:rsid w:val="6CE86F56"/>
    <w:rsid w:val="6D007CBE"/>
    <w:rsid w:val="6D2A360E"/>
    <w:rsid w:val="6D52414D"/>
    <w:rsid w:val="6DAF318F"/>
    <w:rsid w:val="6DBB3A65"/>
    <w:rsid w:val="6DC237A8"/>
    <w:rsid w:val="6DD00F60"/>
    <w:rsid w:val="6E513AEE"/>
    <w:rsid w:val="6EC6021D"/>
    <w:rsid w:val="6EE45F81"/>
    <w:rsid w:val="6F00613A"/>
    <w:rsid w:val="6F1C591A"/>
    <w:rsid w:val="6F480478"/>
    <w:rsid w:val="6F573CB0"/>
    <w:rsid w:val="6F616041"/>
    <w:rsid w:val="6F9D41C4"/>
    <w:rsid w:val="6FA653FB"/>
    <w:rsid w:val="6FDD1AFE"/>
    <w:rsid w:val="6FEC7FA1"/>
    <w:rsid w:val="70085EEB"/>
    <w:rsid w:val="70206C28"/>
    <w:rsid w:val="704B33EC"/>
    <w:rsid w:val="7071060F"/>
    <w:rsid w:val="708741CD"/>
    <w:rsid w:val="714D3268"/>
    <w:rsid w:val="71D46F3F"/>
    <w:rsid w:val="71F118FE"/>
    <w:rsid w:val="72223149"/>
    <w:rsid w:val="7230646A"/>
    <w:rsid w:val="727016C1"/>
    <w:rsid w:val="727C0F6A"/>
    <w:rsid w:val="72895317"/>
    <w:rsid w:val="7290531B"/>
    <w:rsid w:val="72985CC8"/>
    <w:rsid w:val="72C76B03"/>
    <w:rsid w:val="734F7D4B"/>
    <w:rsid w:val="735F4E72"/>
    <w:rsid w:val="737E7670"/>
    <w:rsid w:val="73820117"/>
    <w:rsid w:val="73F40F27"/>
    <w:rsid w:val="73F70735"/>
    <w:rsid w:val="7404062C"/>
    <w:rsid w:val="740B61A3"/>
    <w:rsid w:val="7420334D"/>
    <w:rsid w:val="743A4040"/>
    <w:rsid w:val="744869F5"/>
    <w:rsid w:val="7454418F"/>
    <w:rsid w:val="74785904"/>
    <w:rsid w:val="74906F6A"/>
    <w:rsid w:val="7496678D"/>
    <w:rsid w:val="749B2AF9"/>
    <w:rsid w:val="74E46F74"/>
    <w:rsid w:val="74E753FA"/>
    <w:rsid w:val="74F15553"/>
    <w:rsid w:val="750218DB"/>
    <w:rsid w:val="753C6991"/>
    <w:rsid w:val="754B3078"/>
    <w:rsid w:val="756C6E5E"/>
    <w:rsid w:val="757028B1"/>
    <w:rsid w:val="765C3616"/>
    <w:rsid w:val="7676510C"/>
    <w:rsid w:val="76A74C81"/>
    <w:rsid w:val="76C372DE"/>
    <w:rsid w:val="76D50207"/>
    <w:rsid w:val="76E16D3B"/>
    <w:rsid w:val="779007E2"/>
    <w:rsid w:val="7790461C"/>
    <w:rsid w:val="77AE4874"/>
    <w:rsid w:val="77B85D10"/>
    <w:rsid w:val="77D2238D"/>
    <w:rsid w:val="783518F6"/>
    <w:rsid w:val="784B3D3D"/>
    <w:rsid w:val="78550CFB"/>
    <w:rsid w:val="78A5534F"/>
    <w:rsid w:val="78AF2513"/>
    <w:rsid w:val="791C0548"/>
    <w:rsid w:val="79312283"/>
    <w:rsid w:val="799E680F"/>
    <w:rsid w:val="79B42F21"/>
    <w:rsid w:val="79F137E1"/>
    <w:rsid w:val="7A2D2707"/>
    <w:rsid w:val="7A4E496D"/>
    <w:rsid w:val="7A732E5D"/>
    <w:rsid w:val="7AB51E9F"/>
    <w:rsid w:val="7AD26045"/>
    <w:rsid w:val="7AEE597E"/>
    <w:rsid w:val="7B266373"/>
    <w:rsid w:val="7B2A4102"/>
    <w:rsid w:val="7B5C33E6"/>
    <w:rsid w:val="7B660B49"/>
    <w:rsid w:val="7B9D5233"/>
    <w:rsid w:val="7BD02C2C"/>
    <w:rsid w:val="7BD628B3"/>
    <w:rsid w:val="7C263E4B"/>
    <w:rsid w:val="7C5C4760"/>
    <w:rsid w:val="7CB13CD2"/>
    <w:rsid w:val="7CDB5353"/>
    <w:rsid w:val="7D1D1F29"/>
    <w:rsid w:val="7D1F1B92"/>
    <w:rsid w:val="7D235A97"/>
    <w:rsid w:val="7D3E6783"/>
    <w:rsid w:val="7D620562"/>
    <w:rsid w:val="7D6704C4"/>
    <w:rsid w:val="7DCF536B"/>
    <w:rsid w:val="7E096B41"/>
    <w:rsid w:val="7E39148D"/>
    <w:rsid w:val="7E7D49D0"/>
    <w:rsid w:val="7EDA195C"/>
    <w:rsid w:val="7F107E0B"/>
    <w:rsid w:val="7F405C73"/>
    <w:rsid w:val="7F55643D"/>
    <w:rsid w:val="7F626B4E"/>
    <w:rsid w:val="7F845667"/>
    <w:rsid w:val="7F9E648B"/>
    <w:rsid w:val="7FCC2F11"/>
    <w:rsid w:val="7FCE4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qFormat="1" w:uiPriority="0" w:semiHidden="0"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2"/>
    <w:basedOn w:val="1"/>
    <w:next w:val="1"/>
    <w:link w:val="73"/>
    <w:qFormat/>
    <w:uiPriority w:val="0"/>
    <w:pPr>
      <w:keepNext/>
      <w:keepLines/>
      <w:spacing w:before="260" w:after="260" w:line="413" w:lineRule="auto"/>
      <w:outlineLvl w:val="1"/>
    </w:pPr>
    <w:rPr>
      <w:rFonts w:ascii="Arial" w:hAnsi="Arial" w:eastAsia="黑体"/>
      <w:b/>
      <w:bCs/>
      <w:kern w:val="0"/>
      <w:sz w:val="32"/>
      <w:szCs w:val="32"/>
    </w:rPr>
  </w:style>
  <w:style w:type="paragraph" w:styleId="2">
    <w:name w:val="heading 3"/>
    <w:basedOn w:val="1"/>
    <w:next w:val="1"/>
    <w:link w:val="74"/>
    <w:qFormat/>
    <w:uiPriority w:val="0"/>
    <w:pPr>
      <w:keepNext/>
      <w:keepLines/>
      <w:spacing w:before="260" w:after="260" w:line="360" w:lineRule="auto"/>
      <w:ind w:left="171" w:leftChars="171"/>
      <w:outlineLvl w:val="2"/>
    </w:pPr>
    <w:rPr>
      <w:rFonts w:eastAsia="Arial Unicode MS"/>
      <w:b/>
      <w:kern w:val="0"/>
      <w:sz w:val="20"/>
      <w:szCs w:val="20"/>
    </w:rPr>
  </w:style>
  <w:style w:type="paragraph" w:styleId="5">
    <w:name w:val="heading 4"/>
    <w:basedOn w:val="1"/>
    <w:next w:val="1"/>
    <w:link w:val="75"/>
    <w:qFormat/>
    <w:uiPriority w:val="0"/>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76"/>
    <w:qFormat/>
    <w:uiPriority w:val="0"/>
    <w:pPr>
      <w:keepNext/>
      <w:keepLines/>
      <w:spacing w:before="280" w:after="290" w:line="376" w:lineRule="auto"/>
      <w:outlineLvl w:val="4"/>
    </w:pPr>
    <w:rPr>
      <w:rFonts w:ascii="Calibri" w:hAnsi="Calibri"/>
      <w:b/>
      <w:bCs/>
      <w:kern w:val="0"/>
      <w:sz w:val="28"/>
      <w:szCs w:val="28"/>
    </w:rPr>
  </w:style>
  <w:style w:type="paragraph" w:styleId="7">
    <w:name w:val="heading 6"/>
    <w:basedOn w:val="1"/>
    <w:next w:val="1"/>
    <w:link w:val="77"/>
    <w:qFormat/>
    <w:uiPriority w:val="0"/>
    <w:pPr>
      <w:keepNext/>
      <w:keepLines/>
      <w:widowControl/>
      <w:tabs>
        <w:tab w:val="left" w:pos="1320"/>
        <w:tab w:val="left" w:pos="1440"/>
        <w:tab w:val="left" w:pos="3480"/>
      </w:tabs>
      <w:spacing w:before="240" w:after="64" w:line="320" w:lineRule="auto"/>
      <w:ind w:left="3480" w:hanging="420"/>
      <w:jc w:val="left"/>
      <w:outlineLvl w:val="5"/>
    </w:pPr>
    <w:rPr>
      <w:rFonts w:ascii="Arial" w:hAnsi="Arial" w:eastAsia="黑体"/>
      <w:b/>
      <w:bCs/>
      <w:kern w:val="0"/>
      <w:sz w:val="24"/>
    </w:rPr>
  </w:style>
  <w:style w:type="paragraph" w:styleId="8">
    <w:name w:val="heading 7"/>
    <w:basedOn w:val="1"/>
    <w:next w:val="1"/>
    <w:link w:val="78"/>
    <w:qFormat/>
    <w:uiPriority w:val="0"/>
    <w:pPr>
      <w:keepNext/>
      <w:keepLines/>
      <w:widowControl/>
      <w:tabs>
        <w:tab w:val="left" w:pos="1320"/>
        <w:tab w:val="left" w:pos="2520"/>
        <w:tab w:val="left" w:pos="3900"/>
      </w:tabs>
      <w:spacing w:before="240" w:after="64" w:line="320" w:lineRule="auto"/>
      <w:ind w:left="3900" w:hanging="420"/>
      <w:jc w:val="left"/>
      <w:outlineLvl w:val="6"/>
    </w:pPr>
    <w:rPr>
      <w:b/>
      <w:bCs/>
      <w:kern w:val="0"/>
      <w:sz w:val="24"/>
    </w:rPr>
  </w:style>
  <w:style w:type="paragraph" w:styleId="9">
    <w:name w:val="heading 8"/>
    <w:basedOn w:val="1"/>
    <w:next w:val="1"/>
    <w:link w:val="79"/>
    <w:qFormat/>
    <w:uiPriority w:val="0"/>
    <w:pPr>
      <w:keepNext/>
      <w:keepLines/>
      <w:widowControl/>
      <w:tabs>
        <w:tab w:val="left" w:pos="1320"/>
        <w:tab w:val="left" w:pos="1440"/>
        <w:tab w:val="left" w:pos="4320"/>
      </w:tabs>
      <w:spacing w:before="240" w:after="64" w:line="320" w:lineRule="auto"/>
      <w:ind w:left="4320" w:hanging="420"/>
      <w:jc w:val="left"/>
      <w:outlineLvl w:val="7"/>
    </w:pPr>
    <w:rPr>
      <w:rFonts w:ascii="Arial" w:hAnsi="Arial" w:eastAsia="黑体"/>
      <w:kern w:val="0"/>
      <w:sz w:val="24"/>
    </w:rPr>
  </w:style>
  <w:style w:type="paragraph" w:styleId="10">
    <w:name w:val="heading 9"/>
    <w:basedOn w:val="1"/>
    <w:next w:val="1"/>
    <w:link w:val="80"/>
    <w:qFormat/>
    <w:uiPriority w:val="0"/>
    <w:pPr>
      <w:keepNext/>
      <w:keepLines/>
      <w:widowControl/>
      <w:tabs>
        <w:tab w:val="left" w:pos="1320"/>
        <w:tab w:val="left" w:pos="1584"/>
        <w:tab w:val="left" w:pos="4740"/>
      </w:tabs>
      <w:spacing w:before="240" w:after="64" w:line="320" w:lineRule="auto"/>
      <w:ind w:left="4740" w:hanging="420"/>
      <w:jc w:val="left"/>
      <w:outlineLvl w:val="8"/>
    </w:pPr>
    <w:rPr>
      <w:rFonts w:ascii="Arial" w:hAnsi="Arial" w:eastAsia="黑体"/>
      <w:kern w:val="0"/>
      <w:sz w:val="20"/>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ind w:left="420" w:leftChars="200"/>
    </w:pPr>
    <w:rPr>
      <w:szCs w:val="20"/>
    </w:rPr>
  </w:style>
  <w:style w:type="paragraph" w:styleId="14">
    <w:name w:val="List Bullet 4"/>
    <w:basedOn w:val="1"/>
    <w:qFormat/>
    <w:uiPriority w:val="0"/>
    <w:pPr>
      <w:tabs>
        <w:tab w:val="left" w:pos="980"/>
      </w:tabs>
      <w:spacing w:beforeLines="50" w:afterLines="50" w:line="360" w:lineRule="auto"/>
      <w:ind w:left="980" w:hanging="420"/>
    </w:pPr>
    <w:rPr>
      <w:sz w:val="24"/>
    </w:rPr>
  </w:style>
  <w:style w:type="paragraph" w:styleId="15">
    <w:name w:val="List Number"/>
    <w:basedOn w:val="1"/>
    <w:qFormat/>
    <w:uiPriority w:val="0"/>
    <w:pPr>
      <w:numPr>
        <w:ilvl w:val="0"/>
        <w:numId w:val="1"/>
      </w:numPr>
      <w:tabs>
        <w:tab w:val="left" w:pos="840"/>
      </w:tabs>
    </w:pPr>
    <w:rPr>
      <w:rFonts w:ascii="Calibri" w:hAnsi="Calibri"/>
      <w:sz w:val="28"/>
      <w:szCs w:val="22"/>
    </w:rPr>
  </w:style>
  <w:style w:type="paragraph" w:styleId="16">
    <w:name w:val="Normal Indent"/>
    <w:basedOn w:val="1"/>
    <w:link w:val="81"/>
    <w:qFormat/>
    <w:uiPriority w:val="99"/>
    <w:pPr>
      <w:ind w:firstLine="420" w:firstLineChars="200"/>
    </w:pPr>
    <w:rPr>
      <w:kern w:val="0"/>
      <w:sz w:val="20"/>
    </w:rPr>
  </w:style>
  <w:style w:type="paragraph" w:styleId="17">
    <w:name w:val="caption"/>
    <w:basedOn w:val="1"/>
    <w:next w:val="1"/>
    <w:link w:val="82"/>
    <w:qFormat/>
    <w:uiPriority w:val="0"/>
    <w:pPr>
      <w:widowControl/>
      <w:jc w:val="left"/>
    </w:pPr>
    <w:rPr>
      <w:rFonts w:ascii="Arial" w:hAnsi="Arial" w:eastAsia="黑体"/>
      <w:kern w:val="0"/>
      <w:sz w:val="20"/>
      <w:szCs w:val="20"/>
    </w:rPr>
  </w:style>
  <w:style w:type="paragraph" w:styleId="18">
    <w:name w:val="List Bullet"/>
    <w:basedOn w:val="1"/>
    <w:qFormat/>
    <w:uiPriority w:val="0"/>
    <w:pPr>
      <w:spacing w:beforeLines="50" w:afterLines="50" w:line="360" w:lineRule="auto"/>
      <w:ind w:firstLine="482" w:firstLineChars="200"/>
    </w:pPr>
    <w:rPr>
      <w:rFonts w:ascii="宋体" w:hAnsi="宋体"/>
      <w:b/>
      <w:kern w:val="0"/>
      <w:sz w:val="24"/>
    </w:rPr>
  </w:style>
  <w:style w:type="paragraph" w:styleId="19">
    <w:name w:val="envelope address"/>
    <w:basedOn w:val="1"/>
    <w:qFormat/>
    <w:uiPriority w:val="0"/>
    <w:pPr>
      <w:framePr w:w="7920" w:h="1980" w:hRule="exact" w:hSpace="180" w:wrap="around" w:vAnchor="margin" w:hAnchor="page" w:xAlign="center" w:yAlign="bottom"/>
      <w:adjustRightInd w:val="0"/>
      <w:spacing w:line="480" w:lineRule="atLeast"/>
      <w:ind w:left="2880"/>
      <w:textAlignment w:val="baseline"/>
    </w:pPr>
    <w:rPr>
      <w:rFonts w:eastAsia="魏碑体"/>
      <w:spacing w:val="10"/>
      <w:kern w:val="0"/>
      <w:sz w:val="32"/>
      <w:szCs w:val="20"/>
    </w:rPr>
  </w:style>
  <w:style w:type="paragraph" w:styleId="20">
    <w:name w:val="Document Map"/>
    <w:basedOn w:val="1"/>
    <w:link w:val="83"/>
    <w:qFormat/>
    <w:uiPriority w:val="99"/>
    <w:pPr>
      <w:shd w:val="clear" w:color="auto" w:fill="000080"/>
    </w:pPr>
    <w:rPr>
      <w:kern w:val="0"/>
      <w:sz w:val="20"/>
    </w:rPr>
  </w:style>
  <w:style w:type="paragraph" w:styleId="21">
    <w:name w:val="toa heading"/>
    <w:basedOn w:val="1"/>
    <w:next w:val="1"/>
    <w:qFormat/>
    <w:uiPriority w:val="0"/>
    <w:pPr>
      <w:spacing w:before="120"/>
    </w:pPr>
    <w:rPr>
      <w:rFonts w:ascii="Cambria" w:hAnsi="Cambria"/>
      <w:sz w:val="24"/>
    </w:rPr>
  </w:style>
  <w:style w:type="paragraph" w:styleId="22">
    <w:name w:val="annotation text"/>
    <w:basedOn w:val="1"/>
    <w:link w:val="84"/>
    <w:unhideWhenUsed/>
    <w:qFormat/>
    <w:uiPriority w:val="0"/>
    <w:pPr>
      <w:jc w:val="left"/>
    </w:pPr>
    <w:rPr>
      <w:kern w:val="0"/>
      <w:sz w:val="20"/>
    </w:rPr>
  </w:style>
  <w:style w:type="paragraph" w:styleId="23">
    <w:name w:val="index 6"/>
    <w:basedOn w:val="1"/>
    <w:next w:val="1"/>
    <w:qFormat/>
    <w:uiPriority w:val="99"/>
    <w:pPr>
      <w:ind w:left="2100"/>
    </w:pPr>
  </w:style>
  <w:style w:type="paragraph" w:styleId="24">
    <w:name w:val="Salutation"/>
    <w:basedOn w:val="1"/>
    <w:next w:val="1"/>
    <w:link w:val="85"/>
    <w:qFormat/>
    <w:uiPriority w:val="0"/>
    <w:rPr>
      <w:kern w:val="0"/>
      <w:sz w:val="20"/>
    </w:rPr>
  </w:style>
  <w:style w:type="paragraph" w:styleId="25">
    <w:name w:val="Body Text 3"/>
    <w:basedOn w:val="1"/>
    <w:link w:val="86"/>
    <w:unhideWhenUsed/>
    <w:qFormat/>
    <w:uiPriority w:val="0"/>
    <w:pPr>
      <w:spacing w:beforeLines="50" w:afterLines="50" w:line="360" w:lineRule="auto"/>
    </w:pPr>
    <w:rPr>
      <w:kern w:val="0"/>
      <w:sz w:val="16"/>
      <w:szCs w:val="16"/>
    </w:rPr>
  </w:style>
  <w:style w:type="paragraph" w:styleId="26">
    <w:name w:val="Closing"/>
    <w:basedOn w:val="1"/>
    <w:link w:val="87"/>
    <w:qFormat/>
    <w:uiPriority w:val="0"/>
    <w:pPr>
      <w:ind w:left="100" w:leftChars="2100"/>
    </w:pPr>
    <w:rPr>
      <w:rFonts w:ascii="宋体" w:hAnsi="宋体"/>
      <w:b/>
      <w:kern w:val="0"/>
      <w:sz w:val="24"/>
    </w:rPr>
  </w:style>
  <w:style w:type="paragraph" w:styleId="27">
    <w:name w:val="List Bullet 3"/>
    <w:basedOn w:val="1"/>
    <w:unhideWhenUsed/>
    <w:qFormat/>
    <w:uiPriority w:val="0"/>
    <w:pPr>
      <w:tabs>
        <w:tab w:val="left" w:pos="1200"/>
      </w:tabs>
      <w:ind w:left="1200" w:leftChars="400" w:hanging="360" w:hangingChars="200"/>
      <w:contextualSpacing/>
    </w:pPr>
    <w:rPr>
      <w:szCs w:val="20"/>
    </w:rPr>
  </w:style>
  <w:style w:type="paragraph" w:styleId="28">
    <w:name w:val="Body Text"/>
    <w:basedOn w:val="1"/>
    <w:next w:val="29"/>
    <w:link w:val="88"/>
    <w:unhideWhenUsed/>
    <w:qFormat/>
    <w:uiPriority w:val="0"/>
    <w:pPr>
      <w:spacing w:after="120"/>
    </w:pPr>
    <w:rPr>
      <w:kern w:val="0"/>
      <w:sz w:val="20"/>
    </w:rPr>
  </w:style>
  <w:style w:type="paragraph" w:styleId="29">
    <w:name w:val="Body Text First Indent"/>
    <w:basedOn w:val="28"/>
    <w:link w:val="89"/>
    <w:qFormat/>
    <w:uiPriority w:val="0"/>
    <w:pPr>
      <w:ind w:firstLine="420" w:firstLineChars="100"/>
    </w:pPr>
    <w:rPr>
      <w:rFonts w:ascii="宋体"/>
      <w:color w:val="000000"/>
      <w:szCs w:val="32"/>
    </w:rPr>
  </w:style>
  <w:style w:type="paragraph" w:styleId="30">
    <w:name w:val="Body Text Indent"/>
    <w:basedOn w:val="1"/>
    <w:link w:val="90"/>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31">
    <w:name w:val="List 2"/>
    <w:basedOn w:val="1"/>
    <w:next w:val="32"/>
    <w:qFormat/>
    <w:uiPriority w:val="0"/>
    <w:pPr>
      <w:spacing w:beforeLines="50" w:afterLines="50" w:line="360" w:lineRule="auto"/>
      <w:ind w:left="100" w:leftChars="200" w:hanging="200" w:hangingChars="200"/>
    </w:pPr>
    <w:rPr>
      <w:sz w:val="24"/>
    </w:rPr>
  </w:style>
  <w:style w:type="paragraph" w:styleId="32">
    <w:name w:val="Plain Text"/>
    <w:basedOn w:val="1"/>
    <w:link w:val="91"/>
    <w:qFormat/>
    <w:uiPriority w:val="0"/>
    <w:rPr>
      <w:rFonts w:ascii="宋体" w:hAnsi="Courier New"/>
      <w:kern w:val="0"/>
      <w:sz w:val="20"/>
      <w:szCs w:val="21"/>
    </w:rPr>
  </w:style>
  <w:style w:type="paragraph" w:styleId="33">
    <w:name w:val="Block Text"/>
    <w:basedOn w:val="1"/>
    <w:qFormat/>
    <w:uiPriority w:val="0"/>
    <w:pPr>
      <w:spacing w:beforeLines="50" w:afterLines="50" w:line="360" w:lineRule="auto"/>
      <w:ind w:left="1440" w:leftChars="700" w:right="1440" w:rightChars="700"/>
    </w:pPr>
    <w:rPr>
      <w:sz w:val="24"/>
    </w:rPr>
  </w:style>
  <w:style w:type="paragraph" w:styleId="34">
    <w:name w:val="toc 5"/>
    <w:basedOn w:val="1"/>
    <w:next w:val="1"/>
    <w:qFormat/>
    <w:uiPriority w:val="39"/>
    <w:pPr>
      <w:ind w:left="840"/>
      <w:jc w:val="left"/>
    </w:pPr>
    <w:rPr>
      <w:sz w:val="18"/>
      <w:szCs w:val="18"/>
    </w:rPr>
  </w:style>
  <w:style w:type="paragraph" w:styleId="35">
    <w:name w:val="toc 3"/>
    <w:basedOn w:val="1"/>
    <w:next w:val="1"/>
    <w:qFormat/>
    <w:uiPriority w:val="39"/>
    <w:pPr>
      <w:ind w:left="420"/>
      <w:jc w:val="left"/>
    </w:pPr>
    <w:rPr>
      <w:i/>
      <w:iCs/>
      <w:sz w:val="20"/>
      <w:szCs w:val="20"/>
    </w:rPr>
  </w:style>
  <w:style w:type="paragraph" w:styleId="36">
    <w:name w:val="toc 8"/>
    <w:basedOn w:val="1"/>
    <w:next w:val="1"/>
    <w:qFormat/>
    <w:uiPriority w:val="39"/>
    <w:pPr>
      <w:ind w:left="1470"/>
      <w:jc w:val="left"/>
    </w:pPr>
    <w:rPr>
      <w:sz w:val="18"/>
      <w:szCs w:val="18"/>
    </w:rPr>
  </w:style>
  <w:style w:type="paragraph" w:styleId="37">
    <w:name w:val="Date"/>
    <w:basedOn w:val="1"/>
    <w:next w:val="1"/>
    <w:link w:val="92"/>
    <w:qFormat/>
    <w:uiPriority w:val="0"/>
    <w:pPr>
      <w:ind w:left="100" w:leftChars="2500"/>
    </w:pPr>
    <w:rPr>
      <w:rFonts w:eastAsia="仿宋_GB2312"/>
      <w:color w:val="000000"/>
      <w:kern w:val="0"/>
      <w:sz w:val="28"/>
    </w:rPr>
  </w:style>
  <w:style w:type="paragraph" w:styleId="38">
    <w:name w:val="Body Text Indent 2"/>
    <w:basedOn w:val="1"/>
    <w:link w:val="93"/>
    <w:qFormat/>
    <w:uiPriority w:val="0"/>
    <w:pPr>
      <w:autoSpaceDE w:val="0"/>
      <w:autoSpaceDN w:val="0"/>
      <w:adjustRightInd w:val="0"/>
      <w:spacing w:line="360" w:lineRule="auto"/>
      <w:ind w:left="1415" w:leftChars="674" w:firstLine="1"/>
      <w:jc w:val="left"/>
    </w:pPr>
    <w:rPr>
      <w:rFonts w:ascii="幼圆" w:eastAsia="幼圆"/>
      <w:color w:val="000000"/>
      <w:kern w:val="0"/>
      <w:sz w:val="30"/>
      <w:szCs w:val="32"/>
    </w:rPr>
  </w:style>
  <w:style w:type="paragraph" w:styleId="39">
    <w:name w:val="endnote text"/>
    <w:basedOn w:val="1"/>
    <w:link w:val="94"/>
    <w:qFormat/>
    <w:uiPriority w:val="0"/>
    <w:pPr>
      <w:snapToGrid w:val="0"/>
      <w:jc w:val="left"/>
    </w:pPr>
    <w:rPr>
      <w:rFonts w:ascii="Calibri" w:hAnsi="Calibri"/>
      <w:szCs w:val="22"/>
    </w:rPr>
  </w:style>
  <w:style w:type="paragraph" w:styleId="40">
    <w:name w:val="Balloon Text"/>
    <w:basedOn w:val="1"/>
    <w:link w:val="95"/>
    <w:qFormat/>
    <w:uiPriority w:val="0"/>
    <w:rPr>
      <w:kern w:val="0"/>
      <w:sz w:val="18"/>
      <w:szCs w:val="18"/>
    </w:rPr>
  </w:style>
  <w:style w:type="paragraph" w:styleId="41">
    <w:name w:val="footer"/>
    <w:basedOn w:val="1"/>
    <w:link w:val="96"/>
    <w:unhideWhenUsed/>
    <w:qFormat/>
    <w:uiPriority w:val="99"/>
    <w:pPr>
      <w:tabs>
        <w:tab w:val="center" w:pos="4153"/>
        <w:tab w:val="right" w:pos="8306"/>
      </w:tabs>
      <w:snapToGrid w:val="0"/>
      <w:jc w:val="left"/>
    </w:pPr>
    <w:rPr>
      <w:kern w:val="0"/>
      <w:sz w:val="18"/>
      <w:szCs w:val="18"/>
    </w:rPr>
  </w:style>
  <w:style w:type="paragraph" w:styleId="42">
    <w:name w:val="header"/>
    <w:basedOn w:val="1"/>
    <w:link w:val="9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43">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44">
    <w:name w:val="toc 4"/>
    <w:basedOn w:val="1"/>
    <w:next w:val="1"/>
    <w:qFormat/>
    <w:uiPriority w:val="39"/>
    <w:pPr>
      <w:ind w:left="630"/>
      <w:jc w:val="left"/>
    </w:pPr>
    <w:rPr>
      <w:sz w:val="18"/>
      <w:szCs w:val="18"/>
    </w:rPr>
  </w:style>
  <w:style w:type="paragraph" w:styleId="45">
    <w:name w:val="Subtitle"/>
    <w:basedOn w:val="1"/>
    <w:next w:val="1"/>
    <w:link w:val="98"/>
    <w:qFormat/>
    <w:uiPriority w:val="0"/>
    <w:pPr>
      <w:spacing w:before="240" w:after="60" w:line="312" w:lineRule="auto"/>
      <w:jc w:val="center"/>
      <w:outlineLvl w:val="1"/>
    </w:pPr>
    <w:rPr>
      <w:rFonts w:ascii="Cambria" w:hAnsi="Cambria"/>
      <w:b/>
      <w:bCs/>
      <w:kern w:val="28"/>
      <w:sz w:val="32"/>
      <w:szCs w:val="32"/>
    </w:rPr>
  </w:style>
  <w:style w:type="paragraph" w:styleId="46">
    <w:name w:val="List"/>
    <w:basedOn w:val="1"/>
    <w:qFormat/>
    <w:uiPriority w:val="0"/>
    <w:pPr>
      <w:ind w:left="420" w:hanging="420"/>
    </w:pPr>
    <w:rPr>
      <w:sz w:val="24"/>
      <w:szCs w:val="20"/>
    </w:rPr>
  </w:style>
  <w:style w:type="paragraph" w:styleId="47">
    <w:name w:val="footnote text"/>
    <w:basedOn w:val="1"/>
    <w:qFormat/>
    <w:uiPriority w:val="0"/>
    <w:pPr>
      <w:numPr>
        <w:ilvl w:val="0"/>
        <w:numId w:val="2"/>
      </w:numPr>
      <w:snapToGrid w:val="0"/>
      <w:ind w:left="0" w:firstLine="0"/>
      <w:jc w:val="left"/>
    </w:pPr>
    <w:rPr>
      <w:sz w:val="18"/>
      <w:szCs w:val="18"/>
    </w:rPr>
  </w:style>
  <w:style w:type="paragraph" w:styleId="48">
    <w:name w:val="toc 6"/>
    <w:basedOn w:val="1"/>
    <w:next w:val="1"/>
    <w:qFormat/>
    <w:uiPriority w:val="39"/>
    <w:pPr>
      <w:ind w:left="1050"/>
      <w:jc w:val="left"/>
    </w:pPr>
    <w:rPr>
      <w:sz w:val="18"/>
      <w:szCs w:val="18"/>
    </w:rPr>
  </w:style>
  <w:style w:type="paragraph" w:styleId="49">
    <w:name w:val="Body Text Indent 3"/>
    <w:basedOn w:val="1"/>
    <w:link w:val="99"/>
    <w:qFormat/>
    <w:uiPriority w:val="0"/>
    <w:pPr>
      <w:ind w:firstLine="480" w:firstLineChars="200"/>
    </w:pPr>
    <w:rPr>
      <w:rFonts w:ascii="幼圆" w:eastAsia="幼圆"/>
      <w:kern w:val="0"/>
      <w:sz w:val="24"/>
      <w:szCs w:val="32"/>
    </w:rPr>
  </w:style>
  <w:style w:type="paragraph" w:styleId="50">
    <w:name w:val="table of figures"/>
    <w:basedOn w:val="1"/>
    <w:next w:val="1"/>
    <w:qFormat/>
    <w:uiPriority w:val="99"/>
    <w:pPr>
      <w:ind w:left="200" w:leftChars="200" w:hanging="200" w:hangingChars="200"/>
    </w:pPr>
  </w:style>
  <w:style w:type="paragraph" w:styleId="51">
    <w:name w:val="toc 2"/>
    <w:basedOn w:val="1"/>
    <w:next w:val="1"/>
    <w:qFormat/>
    <w:uiPriority w:val="39"/>
    <w:pPr>
      <w:ind w:left="210"/>
      <w:jc w:val="left"/>
    </w:pPr>
    <w:rPr>
      <w:smallCaps/>
      <w:sz w:val="20"/>
      <w:szCs w:val="20"/>
    </w:rPr>
  </w:style>
  <w:style w:type="paragraph" w:styleId="52">
    <w:name w:val="toc 9"/>
    <w:basedOn w:val="1"/>
    <w:next w:val="1"/>
    <w:qFormat/>
    <w:uiPriority w:val="39"/>
    <w:pPr>
      <w:ind w:left="1680"/>
      <w:jc w:val="left"/>
    </w:pPr>
    <w:rPr>
      <w:sz w:val="18"/>
      <w:szCs w:val="18"/>
    </w:rPr>
  </w:style>
  <w:style w:type="paragraph" w:styleId="53">
    <w:name w:val="Body Text 2"/>
    <w:basedOn w:val="1"/>
    <w:link w:val="100"/>
    <w:qFormat/>
    <w:uiPriority w:val="0"/>
    <w:pPr>
      <w:jc w:val="center"/>
    </w:pPr>
    <w:rPr>
      <w:rFonts w:ascii="宋体" w:hAnsi="宋体"/>
      <w:kern w:val="0"/>
      <w:sz w:val="24"/>
    </w:rPr>
  </w:style>
  <w:style w:type="paragraph" w:styleId="54">
    <w:name w:val="HTML Preformatted"/>
    <w:basedOn w:val="1"/>
    <w:link w:val="10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6">
    <w:name w:val="index 1"/>
    <w:basedOn w:val="1"/>
    <w:next w:val="1"/>
    <w:qFormat/>
    <w:uiPriority w:val="0"/>
    <w:rPr>
      <w:kern w:val="0"/>
      <w:sz w:val="24"/>
      <w:szCs w:val="21"/>
    </w:rPr>
  </w:style>
  <w:style w:type="paragraph" w:styleId="57">
    <w:name w:val="Title"/>
    <w:basedOn w:val="1"/>
    <w:next w:val="1"/>
    <w:link w:val="102"/>
    <w:qFormat/>
    <w:uiPriority w:val="0"/>
    <w:pPr>
      <w:spacing w:before="240" w:after="60"/>
      <w:jc w:val="center"/>
      <w:outlineLvl w:val="0"/>
    </w:pPr>
    <w:rPr>
      <w:rFonts w:ascii="Arial" w:hAnsi="Arial"/>
      <w:b/>
      <w:bCs/>
      <w:kern w:val="0"/>
      <w:sz w:val="32"/>
      <w:szCs w:val="32"/>
    </w:rPr>
  </w:style>
  <w:style w:type="paragraph" w:styleId="58">
    <w:name w:val="annotation subject"/>
    <w:basedOn w:val="22"/>
    <w:next w:val="22"/>
    <w:link w:val="103"/>
    <w:qFormat/>
    <w:uiPriority w:val="0"/>
    <w:rPr>
      <w:b/>
      <w:szCs w:val="20"/>
    </w:rPr>
  </w:style>
  <w:style w:type="paragraph" w:styleId="59">
    <w:name w:val="Body Text First Indent 2"/>
    <w:basedOn w:val="30"/>
    <w:link w:val="104"/>
    <w:unhideWhenUsed/>
    <w:qFormat/>
    <w:uiPriority w:val="0"/>
    <w:pPr>
      <w:autoSpaceDE/>
      <w:autoSpaceDN/>
      <w:adjustRightInd/>
      <w:spacing w:after="120" w:line="240" w:lineRule="auto"/>
      <w:ind w:left="420" w:leftChars="200" w:firstLine="420" w:firstLineChars="200"/>
    </w:pPr>
    <w:rPr>
      <w:rFonts w:ascii="仿宋_GB2312" w:eastAsia="仿宋_GB2312"/>
      <w:color w:val="auto"/>
      <w:sz w:val="24"/>
      <w:szCs w:val="24"/>
    </w:rPr>
  </w:style>
  <w:style w:type="table" w:styleId="61">
    <w:name w:val="Table Grid"/>
    <w:basedOn w:val="6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endnote reference"/>
    <w:qFormat/>
    <w:uiPriority w:val="0"/>
    <w:rPr>
      <w:vertAlign w:val="superscript"/>
    </w:rPr>
  </w:style>
  <w:style w:type="character" w:styleId="65">
    <w:name w:val="page number"/>
    <w:qFormat/>
    <w:uiPriority w:val="0"/>
  </w:style>
  <w:style w:type="character" w:styleId="66">
    <w:name w:val="FollowedHyperlink"/>
    <w:qFormat/>
    <w:uiPriority w:val="99"/>
    <w:rPr>
      <w:color w:val="800080"/>
      <w:u w:val="single"/>
    </w:rPr>
  </w:style>
  <w:style w:type="character" w:styleId="67">
    <w:name w:val="Emphasis"/>
    <w:qFormat/>
    <w:uiPriority w:val="0"/>
    <w:rPr>
      <w:i/>
      <w:iCs/>
    </w:rPr>
  </w:style>
  <w:style w:type="character" w:styleId="68">
    <w:name w:val="Hyperlink"/>
    <w:qFormat/>
    <w:uiPriority w:val="99"/>
    <w:rPr>
      <w:color w:val="0000FF"/>
      <w:u w:val="single"/>
    </w:rPr>
  </w:style>
  <w:style w:type="character" w:styleId="69">
    <w:name w:val="annotation reference"/>
    <w:qFormat/>
    <w:uiPriority w:val="0"/>
    <w:rPr>
      <w:sz w:val="21"/>
    </w:rPr>
  </w:style>
  <w:style w:type="character" w:styleId="70">
    <w:name w:val="footnote reference"/>
    <w:unhideWhenUsed/>
    <w:qFormat/>
    <w:uiPriority w:val="99"/>
    <w:rPr>
      <w:vertAlign w:val="superscript"/>
    </w:rPr>
  </w:style>
  <w:style w:type="paragraph" w:customStyle="1" w:styleId="71">
    <w:name w:val="正文缩进1"/>
    <w:basedOn w:val="1"/>
    <w:qFormat/>
    <w:uiPriority w:val="0"/>
    <w:pPr>
      <w:spacing w:line="360" w:lineRule="auto"/>
      <w:ind w:firstLine="200" w:firstLineChars="200"/>
      <w:jc w:val="left"/>
    </w:pPr>
    <w:rPr>
      <w:rFonts w:ascii="宋体" w:hAnsi="宋体"/>
      <w:sz w:val="24"/>
      <w:szCs w:val="22"/>
    </w:rPr>
  </w:style>
  <w:style w:type="character" w:customStyle="1" w:styleId="72">
    <w:name w:val="标题 1 Char"/>
    <w:link w:val="3"/>
    <w:qFormat/>
    <w:uiPriority w:val="0"/>
    <w:rPr>
      <w:rFonts w:ascii="仿宋" w:hAnsi="仿宋" w:eastAsia="仿宋" w:cs="Times New Roman"/>
      <w:b/>
      <w:kern w:val="44"/>
      <w:sz w:val="32"/>
      <w:szCs w:val="20"/>
    </w:rPr>
  </w:style>
  <w:style w:type="character" w:customStyle="1" w:styleId="73">
    <w:name w:val="标题 2 Char"/>
    <w:link w:val="4"/>
    <w:qFormat/>
    <w:uiPriority w:val="0"/>
    <w:rPr>
      <w:rFonts w:ascii="Arial" w:hAnsi="Arial" w:eastAsia="黑体" w:cs="Times New Roman"/>
      <w:b/>
      <w:bCs/>
      <w:sz w:val="32"/>
      <w:szCs w:val="32"/>
    </w:rPr>
  </w:style>
  <w:style w:type="character" w:customStyle="1" w:styleId="74">
    <w:name w:val="标题 3 Char"/>
    <w:link w:val="2"/>
    <w:qFormat/>
    <w:uiPriority w:val="0"/>
    <w:rPr>
      <w:rFonts w:ascii="Times New Roman" w:hAnsi="Times New Roman" w:eastAsia="Arial Unicode MS" w:cs="Times New Roman"/>
      <w:b/>
      <w:szCs w:val="20"/>
    </w:rPr>
  </w:style>
  <w:style w:type="character" w:customStyle="1" w:styleId="75">
    <w:name w:val="标题 4 Char"/>
    <w:link w:val="5"/>
    <w:qFormat/>
    <w:uiPriority w:val="0"/>
    <w:rPr>
      <w:rFonts w:ascii="Cambria" w:hAnsi="Cambria" w:eastAsia="宋体" w:cs="Times New Roman"/>
      <w:b/>
      <w:bCs/>
      <w:sz w:val="28"/>
      <w:szCs w:val="28"/>
    </w:rPr>
  </w:style>
  <w:style w:type="character" w:customStyle="1" w:styleId="76">
    <w:name w:val="标题 5 Char"/>
    <w:link w:val="6"/>
    <w:qFormat/>
    <w:uiPriority w:val="0"/>
    <w:rPr>
      <w:rFonts w:ascii="Calibri" w:hAnsi="Calibri" w:eastAsia="宋体" w:cs="Times New Roman"/>
      <w:b/>
      <w:bCs/>
      <w:sz w:val="28"/>
      <w:szCs w:val="28"/>
    </w:rPr>
  </w:style>
  <w:style w:type="character" w:customStyle="1" w:styleId="77">
    <w:name w:val="标题 6 Char"/>
    <w:link w:val="7"/>
    <w:qFormat/>
    <w:uiPriority w:val="0"/>
    <w:rPr>
      <w:rFonts w:ascii="Arial" w:hAnsi="Arial" w:eastAsia="黑体" w:cs="Times New Roman"/>
      <w:b/>
      <w:bCs/>
      <w:kern w:val="0"/>
      <w:sz w:val="24"/>
      <w:szCs w:val="24"/>
    </w:rPr>
  </w:style>
  <w:style w:type="character" w:customStyle="1" w:styleId="78">
    <w:name w:val="标题 7 Char"/>
    <w:link w:val="8"/>
    <w:qFormat/>
    <w:uiPriority w:val="0"/>
    <w:rPr>
      <w:rFonts w:ascii="Times New Roman" w:hAnsi="Times New Roman" w:eastAsia="宋体" w:cs="Times New Roman"/>
      <w:b/>
      <w:bCs/>
      <w:kern w:val="0"/>
      <w:sz w:val="24"/>
      <w:szCs w:val="24"/>
    </w:rPr>
  </w:style>
  <w:style w:type="character" w:customStyle="1" w:styleId="79">
    <w:name w:val="标题 8 Char"/>
    <w:link w:val="9"/>
    <w:qFormat/>
    <w:uiPriority w:val="0"/>
    <w:rPr>
      <w:rFonts w:ascii="Arial" w:hAnsi="Arial" w:eastAsia="黑体" w:cs="Times New Roman"/>
      <w:kern w:val="0"/>
      <w:sz w:val="24"/>
      <w:szCs w:val="24"/>
    </w:rPr>
  </w:style>
  <w:style w:type="character" w:customStyle="1" w:styleId="80">
    <w:name w:val="标题 9 Char"/>
    <w:link w:val="10"/>
    <w:qFormat/>
    <w:uiPriority w:val="0"/>
    <w:rPr>
      <w:rFonts w:ascii="Arial" w:hAnsi="Arial" w:eastAsia="黑体" w:cs="Times New Roman"/>
      <w:kern w:val="0"/>
      <w:szCs w:val="21"/>
    </w:rPr>
  </w:style>
  <w:style w:type="character" w:customStyle="1" w:styleId="81">
    <w:name w:val="正文缩进 Char"/>
    <w:link w:val="16"/>
    <w:qFormat/>
    <w:uiPriority w:val="99"/>
    <w:rPr>
      <w:szCs w:val="24"/>
    </w:rPr>
  </w:style>
  <w:style w:type="character" w:customStyle="1" w:styleId="82">
    <w:name w:val="题注 Char"/>
    <w:link w:val="17"/>
    <w:qFormat/>
    <w:locked/>
    <w:uiPriority w:val="0"/>
    <w:rPr>
      <w:rFonts w:ascii="Arial" w:hAnsi="Arial" w:eastAsia="黑体"/>
    </w:rPr>
  </w:style>
  <w:style w:type="character" w:customStyle="1" w:styleId="83">
    <w:name w:val="文档结构图 Char1"/>
    <w:link w:val="20"/>
    <w:qFormat/>
    <w:uiPriority w:val="99"/>
    <w:rPr>
      <w:szCs w:val="24"/>
      <w:shd w:val="clear" w:color="auto" w:fill="000080"/>
    </w:rPr>
  </w:style>
  <w:style w:type="character" w:customStyle="1" w:styleId="84">
    <w:name w:val="批注文字 Char"/>
    <w:link w:val="22"/>
    <w:qFormat/>
    <w:uiPriority w:val="0"/>
    <w:rPr>
      <w:rFonts w:ascii="Times New Roman" w:hAnsi="Times New Roman" w:eastAsia="宋体" w:cs="Times New Roman"/>
      <w:szCs w:val="24"/>
    </w:rPr>
  </w:style>
  <w:style w:type="character" w:customStyle="1" w:styleId="85">
    <w:name w:val="称呼 Char1"/>
    <w:link w:val="24"/>
    <w:qFormat/>
    <w:uiPriority w:val="0"/>
    <w:rPr>
      <w:szCs w:val="24"/>
    </w:rPr>
  </w:style>
  <w:style w:type="character" w:customStyle="1" w:styleId="86">
    <w:name w:val="正文文本 3 Char2"/>
    <w:link w:val="25"/>
    <w:qFormat/>
    <w:uiPriority w:val="0"/>
    <w:rPr>
      <w:sz w:val="16"/>
      <w:szCs w:val="16"/>
    </w:rPr>
  </w:style>
  <w:style w:type="character" w:customStyle="1" w:styleId="87">
    <w:name w:val="结束语 Char2"/>
    <w:link w:val="26"/>
    <w:qFormat/>
    <w:uiPriority w:val="0"/>
    <w:rPr>
      <w:rFonts w:ascii="宋体" w:hAnsi="宋体"/>
      <w:b/>
      <w:sz w:val="24"/>
      <w:szCs w:val="24"/>
    </w:rPr>
  </w:style>
  <w:style w:type="character" w:customStyle="1" w:styleId="88">
    <w:name w:val="正文文本 Char"/>
    <w:link w:val="28"/>
    <w:qFormat/>
    <w:uiPriority w:val="0"/>
    <w:rPr>
      <w:rFonts w:ascii="Times New Roman" w:hAnsi="Times New Roman" w:eastAsia="宋体" w:cs="Times New Roman"/>
      <w:szCs w:val="24"/>
    </w:rPr>
  </w:style>
  <w:style w:type="character" w:customStyle="1" w:styleId="89">
    <w:name w:val="正文首行缩进 Char1"/>
    <w:link w:val="29"/>
    <w:qFormat/>
    <w:uiPriority w:val="0"/>
    <w:rPr>
      <w:rFonts w:ascii="宋体"/>
      <w:color w:val="000000"/>
      <w:szCs w:val="32"/>
    </w:rPr>
  </w:style>
  <w:style w:type="character" w:customStyle="1" w:styleId="90">
    <w:name w:val="正文文本缩进 Char3"/>
    <w:link w:val="30"/>
    <w:qFormat/>
    <w:uiPriority w:val="99"/>
    <w:rPr>
      <w:rFonts w:ascii="宋体"/>
      <w:color w:val="000000"/>
      <w:sz w:val="32"/>
      <w:szCs w:val="32"/>
    </w:rPr>
  </w:style>
  <w:style w:type="character" w:customStyle="1" w:styleId="91">
    <w:name w:val="纯文本 Char2"/>
    <w:link w:val="32"/>
    <w:qFormat/>
    <w:uiPriority w:val="0"/>
    <w:rPr>
      <w:rFonts w:ascii="宋体" w:hAnsi="Courier New" w:cs="Courier New"/>
      <w:szCs w:val="21"/>
    </w:rPr>
  </w:style>
  <w:style w:type="character" w:customStyle="1" w:styleId="92">
    <w:name w:val="日期 Char1"/>
    <w:link w:val="37"/>
    <w:qFormat/>
    <w:uiPriority w:val="0"/>
    <w:rPr>
      <w:rFonts w:eastAsia="仿宋_GB2312"/>
      <w:color w:val="000000"/>
      <w:sz w:val="28"/>
      <w:szCs w:val="24"/>
    </w:rPr>
  </w:style>
  <w:style w:type="character" w:customStyle="1" w:styleId="93">
    <w:name w:val="正文文本缩进 2 Char1"/>
    <w:link w:val="38"/>
    <w:qFormat/>
    <w:uiPriority w:val="0"/>
    <w:rPr>
      <w:rFonts w:ascii="幼圆" w:eastAsia="幼圆"/>
      <w:color w:val="000000"/>
      <w:sz w:val="30"/>
      <w:szCs w:val="32"/>
    </w:rPr>
  </w:style>
  <w:style w:type="character" w:customStyle="1" w:styleId="94">
    <w:name w:val="尾注文本 Char2"/>
    <w:link w:val="39"/>
    <w:qFormat/>
    <w:uiPriority w:val="0"/>
  </w:style>
  <w:style w:type="character" w:customStyle="1" w:styleId="95">
    <w:name w:val="批注框文本 Char2"/>
    <w:link w:val="40"/>
    <w:qFormat/>
    <w:uiPriority w:val="0"/>
    <w:rPr>
      <w:sz w:val="18"/>
      <w:szCs w:val="18"/>
    </w:rPr>
  </w:style>
  <w:style w:type="character" w:customStyle="1" w:styleId="96">
    <w:name w:val="页脚 Char"/>
    <w:link w:val="41"/>
    <w:qFormat/>
    <w:uiPriority w:val="99"/>
    <w:rPr>
      <w:rFonts w:ascii="Times New Roman" w:hAnsi="Times New Roman" w:eastAsia="宋体" w:cs="Times New Roman"/>
      <w:sz w:val="18"/>
      <w:szCs w:val="18"/>
    </w:rPr>
  </w:style>
  <w:style w:type="character" w:customStyle="1" w:styleId="97">
    <w:name w:val="页眉 Char"/>
    <w:link w:val="42"/>
    <w:qFormat/>
    <w:uiPriority w:val="99"/>
    <w:rPr>
      <w:rFonts w:ascii="Times New Roman" w:hAnsi="Times New Roman" w:eastAsia="宋体" w:cs="Times New Roman"/>
      <w:sz w:val="18"/>
      <w:szCs w:val="18"/>
    </w:rPr>
  </w:style>
  <w:style w:type="character" w:customStyle="1" w:styleId="98">
    <w:name w:val="副标题 Char2"/>
    <w:link w:val="45"/>
    <w:qFormat/>
    <w:uiPriority w:val="0"/>
    <w:rPr>
      <w:rFonts w:ascii="Cambria" w:hAnsi="Cambria"/>
      <w:b/>
      <w:bCs/>
      <w:kern w:val="28"/>
      <w:sz w:val="32"/>
      <w:szCs w:val="32"/>
    </w:rPr>
  </w:style>
  <w:style w:type="character" w:customStyle="1" w:styleId="99">
    <w:name w:val="正文文本缩进 3 Char1"/>
    <w:link w:val="49"/>
    <w:qFormat/>
    <w:uiPriority w:val="0"/>
    <w:rPr>
      <w:rFonts w:ascii="幼圆" w:eastAsia="幼圆"/>
      <w:sz w:val="24"/>
      <w:szCs w:val="32"/>
    </w:rPr>
  </w:style>
  <w:style w:type="character" w:customStyle="1" w:styleId="100">
    <w:name w:val="正文文本 2 Char1"/>
    <w:link w:val="53"/>
    <w:qFormat/>
    <w:uiPriority w:val="0"/>
    <w:rPr>
      <w:rFonts w:ascii="宋体" w:hAnsi="宋体"/>
      <w:sz w:val="24"/>
      <w:szCs w:val="24"/>
    </w:rPr>
  </w:style>
  <w:style w:type="character" w:customStyle="1" w:styleId="101">
    <w:name w:val="HTML 预设格式 Char2"/>
    <w:link w:val="54"/>
    <w:qFormat/>
    <w:uiPriority w:val="99"/>
    <w:rPr>
      <w:rFonts w:ascii="宋体" w:hAnsi="宋体" w:cs="宋体"/>
      <w:sz w:val="24"/>
      <w:szCs w:val="24"/>
    </w:rPr>
  </w:style>
  <w:style w:type="character" w:customStyle="1" w:styleId="102">
    <w:name w:val="标题 Char2"/>
    <w:link w:val="57"/>
    <w:qFormat/>
    <w:uiPriority w:val="0"/>
    <w:rPr>
      <w:rFonts w:ascii="Arial" w:hAnsi="Arial"/>
      <w:b/>
      <w:bCs/>
      <w:sz w:val="32"/>
      <w:szCs w:val="32"/>
    </w:rPr>
  </w:style>
  <w:style w:type="character" w:customStyle="1" w:styleId="103">
    <w:name w:val="批注主题 Char1"/>
    <w:link w:val="58"/>
    <w:qFormat/>
    <w:uiPriority w:val="0"/>
    <w:rPr>
      <w:b/>
    </w:rPr>
  </w:style>
  <w:style w:type="character" w:customStyle="1" w:styleId="104">
    <w:name w:val="正文首行缩进 2 Char2"/>
    <w:link w:val="59"/>
    <w:qFormat/>
    <w:uiPriority w:val="0"/>
    <w:rPr>
      <w:rFonts w:ascii="仿宋_GB2312" w:eastAsia="仿宋_GB2312"/>
      <w:sz w:val="24"/>
      <w:szCs w:val="24"/>
    </w:rPr>
  </w:style>
  <w:style w:type="paragraph" w:customStyle="1" w:styleId="105">
    <w:name w:val="标题 5（有编号）（绿盟科技）"/>
    <w:basedOn w:val="1"/>
    <w:next w:val="10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10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07">
    <w:name w:val="正文文本 Char3"/>
    <w:semiHidden/>
    <w:qFormat/>
    <w:uiPriority w:val="99"/>
    <w:rPr>
      <w:rFonts w:ascii="Times New Roman" w:hAnsi="Times New Roman" w:eastAsia="宋体" w:cs="Times New Roman"/>
      <w:szCs w:val="24"/>
    </w:rPr>
  </w:style>
  <w:style w:type="character" w:customStyle="1" w:styleId="108">
    <w:name w:val="批注文字 Char1"/>
    <w:qFormat/>
    <w:uiPriority w:val="0"/>
    <w:rPr>
      <w:rFonts w:ascii="Times New Roman" w:hAnsi="Times New Roman" w:eastAsia="宋体" w:cs="Times New Roman"/>
      <w:szCs w:val="24"/>
    </w:rPr>
  </w:style>
  <w:style w:type="paragraph" w:customStyle="1" w:styleId="109">
    <w:name w:val="Style1"/>
    <w:basedOn w:val="1"/>
    <w:qFormat/>
    <w:uiPriority w:val="0"/>
    <w:pPr>
      <w:widowControl/>
      <w:tabs>
        <w:tab w:val="left" w:pos="-720"/>
      </w:tabs>
    </w:pPr>
    <w:rPr>
      <w:spacing w:val="-3"/>
      <w:kern w:val="0"/>
      <w:sz w:val="24"/>
      <w:szCs w:val="20"/>
      <w:lang w:val="en-AU" w:eastAsia="en-US"/>
    </w:rPr>
  </w:style>
  <w:style w:type="character" w:customStyle="1" w:styleId="110">
    <w:name w:val="页脚 Char1"/>
    <w:semiHidden/>
    <w:qFormat/>
    <w:uiPriority w:val="0"/>
    <w:rPr>
      <w:rFonts w:ascii="Times New Roman" w:hAnsi="Times New Roman" w:eastAsia="宋体" w:cs="Times New Roman"/>
      <w:sz w:val="18"/>
      <w:szCs w:val="18"/>
    </w:rPr>
  </w:style>
  <w:style w:type="character" w:customStyle="1" w:styleId="111">
    <w:name w:val="正文文本缩进 Char2"/>
    <w:qFormat/>
    <w:uiPriority w:val="0"/>
    <w:rPr>
      <w:rFonts w:ascii="宋体"/>
      <w:color w:val="000000"/>
      <w:sz w:val="32"/>
      <w:szCs w:val="32"/>
    </w:rPr>
  </w:style>
  <w:style w:type="character" w:customStyle="1" w:styleId="112">
    <w:name w:val="Table Text Char1"/>
    <w:qFormat/>
    <w:uiPriority w:val="0"/>
    <w:rPr>
      <w:rFonts w:ascii="Arial" w:hAnsi="Arial" w:eastAsia="宋体" w:cs="Arial"/>
      <w:snapToGrid w:val="0"/>
      <w:sz w:val="21"/>
      <w:szCs w:val="21"/>
      <w:lang w:val="en-US" w:eastAsia="zh-CN" w:bidi="ar-SA"/>
    </w:rPr>
  </w:style>
  <w:style w:type="character" w:customStyle="1" w:styleId="113">
    <w:name w:val="正文首行缩进 2 Char"/>
    <w:qFormat/>
    <w:uiPriority w:val="0"/>
  </w:style>
  <w:style w:type="character" w:customStyle="1" w:styleId="114">
    <w:name w:val="正文文本缩进 Char"/>
    <w:qFormat/>
    <w:uiPriority w:val="99"/>
    <w:rPr>
      <w:rFonts w:ascii="Times New Roman" w:hAnsi="Times New Roman" w:eastAsia="宋体" w:cs="Times New Roman"/>
      <w:szCs w:val="24"/>
    </w:rPr>
  </w:style>
  <w:style w:type="character" w:customStyle="1" w:styleId="115">
    <w:name w:val="B正文 Char"/>
    <w:link w:val="116"/>
    <w:qFormat/>
    <w:locked/>
    <w:uiPriority w:val="0"/>
    <w:rPr>
      <w:rFonts w:ascii="宋体" w:hAnsi="宋体"/>
      <w:sz w:val="24"/>
    </w:rPr>
  </w:style>
  <w:style w:type="paragraph" w:customStyle="1" w:styleId="116">
    <w:name w:val="B正文"/>
    <w:basedOn w:val="1"/>
    <w:link w:val="115"/>
    <w:qFormat/>
    <w:uiPriority w:val="0"/>
    <w:pPr>
      <w:widowControl/>
      <w:spacing w:line="360" w:lineRule="auto"/>
      <w:ind w:firstLine="200" w:firstLineChars="200"/>
    </w:pPr>
    <w:rPr>
      <w:rFonts w:ascii="宋体" w:hAnsi="宋体"/>
      <w:kern w:val="0"/>
      <w:sz w:val="24"/>
      <w:szCs w:val="20"/>
    </w:rPr>
  </w:style>
  <w:style w:type="character" w:customStyle="1" w:styleId="117">
    <w:name w:val="font11"/>
    <w:qFormat/>
    <w:uiPriority w:val="0"/>
    <w:rPr>
      <w:rFonts w:hint="eastAsia" w:ascii="宋体" w:hAnsi="宋体" w:eastAsia="宋体" w:cs="宋体"/>
      <w:color w:val="000000"/>
      <w:sz w:val="20"/>
      <w:szCs w:val="20"/>
      <w:u w:val="none"/>
    </w:rPr>
  </w:style>
  <w:style w:type="character" w:customStyle="1" w:styleId="118">
    <w:name w:val="结束语 Char1"/>
    <w:qFormat/>
    <w:uiPriority w:val="0"/>
    <w:rPr>
      <w:kern w:val="2"/>
      <w:sz w:val="21"/>
      <w:szCs w:val="24"/>
    </w:rPr>
  </w:style>
  <w:style w:type="character" w:customStyle="1" w:styleId="119">
    <w:name w:val="常规 Char"/>
    <w:link w:val="120"/>
    <w:qFormat/>
    <w:uiPriority w:val="0"/>
    <w:rPr>
      <w:rFonts w:ascii="Tahoma" w:hAnsi="Tahoma"/>
      <w:color w:val="000000"/>
      <w:sz w:val="28"/>
      <w:szCs w:val="21"/>
    </w:rPr>
  </w:style>
  <w:style w:type="paragraph" w:customStyle="1" w:styleId="120">
    <w:name w:val="常规"/>
    <w:basedOn w:val="1"/>
    <w:link w:val="119"/>
    <w:qFormat/>
    <w:uiPriority w:val="0"/>
    <w:pPr>
      <w:spacing w:beforeLines="100" w:afterLines="100" w:line="360" w:lineRule="auto"/>
      <w:ind w:firstLine="560" w:firstLineChars="200"/>
      <w:jc w:val="center"/>
    </w:pPr>
    <w:rPr>
      <w:rFonts w:ascii="Tahoma" w:hAnsi="Tahoma"/>
      <w:color w:val="000000"/>
      <w:kern w:val="0"/>
      <w:sz w:val="28"/>
      <w:szCs w:val="21"/>
    </w:rPr>
  </w:style>
  <w:style w:type="character" w:customStyle="1" w:styleId="121">
    <w:name w:val="ca-251"/>
    <w:qFormat/>
    <w:uiPriority w:val="0"/>
    <w:rPr>
      <w:rFonts w:hint="default" w:ascii="Times New Roman" w:hAnsi="Times New Roman" w:cs="Times New Roman"/>
      <w:sz w:val="24"/>
      <w:szCs w:val="24"/>
    </w:rPr>
  </w:style>
  <w:style w:type="character" w:customStyle="1" w:styleId="122">
    <w:name w:val="font91"/>
    <w:qFormat/>
    <w:uiPriority w:val="0"/>
    <w:rPr>
      <w:rFonts w:hint="eastAsia" w:ascii="宋体" w:hAnsi="宋体" w:eastAsia="宋体" w:cs="宋体"/>
      <w:color w:val="000000"/>
      <w:sz w:val="20"/>
      <w:szCs w:val="20"/>
      <w:u w:val="none"/>
    </w:rPr>
  </w:style>
  <w:style w:type="character" w:customStyle="1" w:styleId="123">
    <w:name w:val="正文文本缩进 Char1"/>
    <w:qFormat/>
    <w:uiPriority w:val="0"/>
    <w:rPr>
      <w:rFonts w:ascii="楷体_GB2312" w:eastAsia="楷体_GB2312"/>
      <w:kern w:val="2"/>
      <w:sz w:val="28"/>
      <w:szCs w:val="31"/>
    </w:rPr>
  </w:style>
  <w:style w:type="character" w:customStyle="1" w:styleId="124">
    <w:name w:val="Char Char5"/>
    <w:qFormat/>
    <w:uiPriority w:val="0"/>
    <w:rPr>
      <w:rFonts w:ascii="Times New Roman" w:hAnsi="Times New Roman" w:eastAsia="宋体"/>
      <w:sz w:val="18"/>
    </w:rPr>
  </w:style>
  <w:style w:type="character" w:customStyle="1" w:styleId="125">
    <w:name w:val="四级大纲 Char"/>
    <w:link w:val="126"/>
    <w:qFormat/>
    <w:uiPriority w:val="0"/>
    <w:rPr>
      <w:rFonts w:ascii="Calibri" w:hAnsi="Calibri"/>
      <w:b/>
      <w:kern w:val="2"/>
      <w:sz w:val="30"/>
      <w:szCs w:val="22"/>
      <w:lang w:val="en-US" w:eastAsia="zh-CN" w:bidi="ar-SA"/>
    </w:rPr>
  </w:style>
  <w:style w:type="paragraph" w:customStyle="1" w:styleId="126">
    <w:name w:val="四级大纲"/>
    <w:next w:val="127"/>
    <w:link w:val="125"/>
    <w:qFormat/>
    <w:uiPriority w:val="0"/>
    <w:pPr>
      <w:numPr>
        <w:ilvl w:val="3"/>
        <w:numId w:val="4"/>
      </w:numPr>
      <w:outlineLvl w:val="3"/>
    </w:pPr>
    <w:rPr>
      <w:rFonts w:ascii="Calibri" w:hAnsi="Calibri" w:eastAsia="宋体" w:cs="Times New Roman"/>
      <w:b/>
      <w:kern w:val="2"/>
      <w:sz w:val="30"/>
      <w:szCs w:val="22"/>
      <w:lang w:val="en-US" w:eastAsia="zh-CN" w:bidi="ar-SA"/>
    </w:rPr>
  </w:style>
  <w:style w:type="paragraph" w:customStyle="1" w:styleId="127">
    <w:name w:val="正文小四"/>
    <w:link w:val="128"/>
    <w:qFormat/>
    <w:uiPriority w:val="0"/>
    <w:pPr>
      <w:spacing w:line="360" w:lineRule="auto"/>
      <w:ind w:firstLine="480" w:firstLineChars="200"/>
      <w:jc w:val="both"/>
    </w:pPr>
    <w:rPr>
      <w:rFonts w:ascii="宋体" w:hAnsi="宋体" w:eastAsia="宋体" w:cs="Times New Roman"/>
      <w:sz w:val="24"/>
      <w:lang w:val="en-US" w:eastAsia="zh-CN" w:bidi="ar-SA"/>
    </w:rPr>
  </w:style>
  <w:style w:type="character" w:customStyle="1" w:styleId="128">
    <w:name w:val="正文小四 Char"/>
    <w:link w:val="127"/>
    <w:qFormat/>
    <w:uiPriority w:val="0"/>
    <w:rPr>
      <w:rFonts w:ascii="宋体" w:hAnsi="宋体"/>
      <w:sz w:val="24"/>
      <w:lang w:bidi="ar-SA"/>
    </w:rPr>
  </w:style>
  <w:style w:type="character" w:customStyle="1" w:styleId="129">
    <w:name w:val="Table Text Char"/>
    <w:link w:val="130"/>
    <w:qFormat/>
    <w:uiPriority w:val="0"/>
    <w:rPr>
      <w:rFonts w:ascii="Arial" w:hAnsi="Arial"/>
      <w:kern w:val="2"/>
      <w:sz w:val="18"/>
      <w:szCs w:val="22"/>
      <w:lang w:val="en-US" w:eastAsia="zh-CN" w:bidi="ar-SA"/>
    </w:rPr>
  </w:style>
  <w:style w:type="paragraph" w:customStyle="1" w:styleId="130">
    <w:name w:val="Table Text"/>
    <w:link w:val="129"/>
    <w:qFormat/>
    <w:uiPriority w:val="0"/>
    <w:pPr>
      <w:snapToGrid w:val="0"/>
      <w:spacing w:before="80" w:after="80"/>
    </w:pPr>
    <w:rPr>
      <w:rFonts w:ascii="Arial" w:hAnsi="Arial" w:eastAsia="宋体" w:cs="Times New Roman"/>
      <w:kern w:val="2"/>
      <w:sz w:val="18"/>
      <w:szCs w:val="22"/>
      <w:lang w:val="en-US" w:eastAsia="zh-CN" w:bidi="ar-SA"/>
    </w:rPr>
  </w:style>
  <w:style w:type="character" w:customStyle="1" w:styleId="131">
    <w:name w:val="word21"/>
    <w:qFormat/>
    <w:uiPriority w:val="0"/>
    <w:rPr>
      <w:b/>
      <w:bCs/>
      <w:color w:val="194D7C"/>
      <w:spacing w:val="400"/>
      <w:sz w:val="24"/>
      <w:szCs w:val="24"/>
    </w:rPr>
  </w:style>
  <w:style w:type="character" w:customStyle="1" w:styleId="132">
    <w:name w:val="页眉 Char1"/>
    <w:semiHidden/>
    <w:qFormat/>
    <w:uiPriority w:val="99"/>
    <w:rPr>
      <w:rFonts w:ascii="Times New Roman" w:hAnsi="Times New Roman" w:eastAsia="宋体" w:cs="Times New Roman"/>
      <w:sz w:val="18"/>
      <w:szCs w:val="18"/>
    </w:rPr>
  </w:style>
  <w:style w:type="character" w:customStyle="1" w:styleId="133">
    <w:name w:val="尾注文本 Char"/>
    <w:qFormat/>
    <w:uiPriority w:val="0"/>
    <w:rPr>
      <w:rFonts w:ascii="Times New Roman" w:hAnsi="Times New Roman" w:eastAsia="宋体" w:cs="Times New Roman"/>
      <w:szCs w:val="24"/>
    </w:rPr>
  </w:style>
  <w:style w:type="character" w:customStyle="1" w:styleId="134">
    <w:name w:val="纯文本 Char"/>
    <w:qFormat/>
    <w:uiPriority w:val="0"/>
    <w:rPr>
      <w:rFonts w:ascii="宋体" w:hAnsi="Courier New" w:eastAsia="宋体" w:cs="Courier New"/>
      <w:szCs w:val="21"/>
    </w:rPr>
  </w:style>
  <w:style w:type="character" w:customStyle="1" w:styleId="135">
    <w:name w:val="文档正文 Char"/>
    <w:link w:val="136"/>
    <w:qFormat/>
    <w:uiPriority w:val="0"/>
    <w:rPr>
      <w:rFonts w:ascii="Arial" w:eastAsia="长城仿宋"/>
      <w:sz w:val="28"/>
    </w:rPr>
  </w:style>
  <w:style w:type="paragraph" w:customStyle="1" w:styleId="136">
    <w:name w:val="文档正文"/>
    <w:basedOn w:val="1"/>
    <w:link w:val="135"/>
    <w:qFormat/>
    <w:uiPriority w:val="0"/>
    <w:pPr>
      <w:adjustRightInd w:val="0"/>
      <w:spacing w:line="312" w:lineRule="atLeast"/>
      <w:ind w:firstLine="567"/>
      <w:textAlignment w:val="baseline"/>
    </w:pPr>
    <w:rPr>
      <w:rFonts w:ascii="Arial" w:eastAsia="长城仿宋"/>
      <w:kern w:val="0"/>
      <w:sz w:val="28"/>
      <w:szCs w:val="20"/>
    </w:rPr>
  </w:style>
  <w:style w:type="character" w:customStyle="1" w:styleId="137">
    <w:name w:val="z-窗体底端 Char1"/>
    <w:qFormat/>
    <w:uiPriority w:val="0"/>
    <w:rPr>
      <w:rFonts w:ascii="Arial" w:hAnsi="Arial" w:cs="Arial"/>
      <w:vanish/>
      <w:kern w:val="2"/>
      <w:sz w:val="16"/>
      <w:szCs w:val="16"/>
    </w:rPr>
  </w:style>
  <w:style w:type="character" w:customStyle="1" w:styleId="138">
    <w:name w:val="正文缩进 Char1"/>
    <w:qFormat/>
    <w:uiPriority w:val="0"/>
    <w:rPr>
      <w:rFonts w:eastAsia="宋体"/>
      <w:kern w:val="2"/>
      <w:sz w:val="21"/>
      <w:szCs w:val="24"/>
      <w:lang w:val="en-US" w:eastAsia="zh-CN" w:bidi="ar-SA"/>
    </w:rPr>
  </w:style>
  <w:style w:type="character" w:customStyle="1" w:styleId="139">
    <w:name w:val="font41"/>
    <w:qFormat/>
    <w:uiPriority w:val="0"/>
    <w:rPr>
      <w:rFonts w:hint="eastAsia" w:ascii="宋体" w:hAnsi="宋体" w:eastAsia="宋体" w:cs="宋体"/>
      <w:color w:val="000000"/>
      <w:sz w:val="20"/>
      <w:szCs w:val="20"/>
      <w:u w:val="none"/>
    </w:rPr>
  </w:style>
  <w:style w:type="character" w:customStyle="1" w:styleId="140">
    <w:name w:val="font61"/>
    <w:qFormat/>
    <w:uiPriority w:val="0"/>
    <w:rPr>
      <w:rFonts w:hint="default" w:ascii="Times New Roman" w:hAnsi="Times New Roman" w:cs="Times New Roman"/>
      <w:color w:val="000000"/>
      <w:sz w:val="20"/>
      <w:szCs w:val="20"/>
      <w:u w:val="none"/>
    </w:rPr>
  </w:style>
  <w:style w:type="character" w:customStyle="1" w:styleId="141">
    <w:name w:val="标题 Char1"/>
    <w:qFormat/>
    <w:uiPriority w:val="0"/>
    <w:rPr>
      <w:rFonts w:ascii="Cambria" w:hAnsi="Cambria" w:cs="Times New Roman"/>
      <w:b/>
      <w:bCs/>
      <w:kern w:val="2"/>
      <w:sz w:val="32"/>
      <w:szCs w:val="32"/>
    </w:rPr>
  </w:style>
  <w:style w:type="character" w:customStyle="1" w:styleId="142">
    <w:name w:val="正文文本 2 Char"/>
    <w:qFormat/>
    <w:uiPriority w:val="0"/>
    <w:rPr>
      <w:rFonts w:ascii="Times New Roman" w:hAnsi="Times New Roman" w:eastAsia="宋体" w:cs="Times New Roman"/>
      <w:szCs w:val="24"/>
    </w:rPr>
  </w:style>
  <w:style w:type="character" w:customStyle="1" w:styleId="143">
    <w:name w:val="font01"/>
    <w:qFormat/>
    <w:uiPriority w:val="0"/>
    <w:rPr>
      <w:rFonts w:hint="eastAsia" w:ascii="宋体" w:hAnsi="宋体" w:eastAsia="宋体" w:cs="宋体"/>
      <w:color w:val="000000"/>
      <w:sz w:val="24"/>
      <w:szCs w:val="24"/>
      <w:u w:val="none"/>
      <w:vertAlign w:val="superscript"/>
    </w:rPr>
  </w:style>
  <w:style w:type="character" w:customStyle="1" w:styleId="144">
    <w:name w:val="3zw1"/>
    <w:qFormat/>
    <w:uiPriority w:val="0"/>
    <w:rPr>
      <w:color w:val="000000"/>
      <w:sz w:val="21"/>
      <w:szCs w:val="21"/>
    </w:rPr>
  </w:style>
  <w:style w:type="character" w:customStyle="1" w:styleId="145">
    <w:name w:val="段 Char"/>
    <w:link w:val="146"/>
    <w:qFormat/>
    <w:locked/>
    <w:uiPriority w:val="0"/>
    <w:rPr>
      <w:rFonts w:ascii="宋体" w:hAnsi="宋体"/>
      <w:kern w:val="2"/>
      <w:sz w:val="21"/>
      <w:szCs w:val="22"/>
      <w:lang w:val="en-US" w:eastAsia="zh-CN" w:bidi="ar-SA"/>
    </w:rPr>
  </w:style>
  <w:style w:type="paragraph" w:customStyle="1" w:styleId="146">
    <w:name w:val="段"/>
    <w:link w:val="145"/>
    <w:qFormat/>
    <w:uiPriority w:val="0"/>
    <w:pPr>
      <w:tabs>
        <w:tab w:val="center" w:pos="4201"/>
        <w:tab w:val="right" w:leader="dot" w:pos="9298"/>
      </w:tabs>
      <w:autoSpaceDE w:val="0"/>
      <w:autoSpaceDN w:val="0"/>
      <w:ind w:firstLine="420" w:firstLineChars="200"/>
      <w:jc w:val="both"/>
    </w:pPr>
    <w:rPr>
      <w:rFonts w:ascii="宋体" w:hAnsi="宋体" w:eastAsia="宋体" w:cs="Times New Roman"/>
      <w:kern w:val="2"/>
      <w:sz w:val="21"/>
      <w:szCs w:val="22"/>
      <w:lang w:val="en-US" w:eastAsia="zh-CN" w:bidi="ar-SA"/>
    </w:rPr>
  </w:style>
  <w:style w:type="character" w:customStyle="1" w:styleId="147">
    <w:name w:val="正文文本缩进 3 Char"/>
    <w:qFormat/>
    <w:uiPriority w:val="0"/>
    <w:rPr>
      <w:rFonts w:ascii="Times New Roman" w:hAnsi="Times New Roman" w:eastAsia="宋体" w:cs="Times New Roman"/>
      <w:sz w:val="16"/>
      <w:szCs w:val="16"/>
    </w:rPr>
  </w:style>
  <w:style w:type="character" w:customStyle="1" w:styleId="148">
    <w:name w:val="标题 3 Char1"/>
    <w:qFormat/>
    <w:uiPriority w:val="0"/>
    <w:rPr>
      <w:b/>
      <w:bCs/>
      <w:kern w:val="2"/>
      <w:sz w:val="32"/>
      <w:szCs w:val="32"/>
    </w:rPr>
  </w:style>
  <w:style w:type="character" w:customStyle="1" w:styleId="149">
    <w:name w:val="正文文本 Char2"/>
    <w:qFormat/>
    <w:uiPriority w:val="0"/>
    <w:rPr>
      <w:rFonts w:ascii="宋体"/>
      <w:color w:val="000000"/>
      <w:sz w:val="28"/>
      <w:szCs w:val="32"/>
    </w:rPr>
  </w:style>
  <w:style w:type="character" w:customStyle="1" w:styleId="150">
    <w:name w:val="样式 宋体"/>
    <w:qFormat/>
    <w:uiPriority w:val="0"/>
    <w:rPr>
      <w:rFonts w:ascii="宋体" w:hAnsi="宋体" w:eastAsia="宋体"/>
      <w:sz w:val="24"/>
      <w:szCs w:val="24"/>
    </w:rPr>
  </w:style>
  <w:style w:type="character" w:customStyle="1" w:styleId="151">
    <w:name w:val="z-窗体底端 Char"/>
    <w:qFormat/>
    <w:uiPriority w:val="99"/>
    <w:rPr>
      <w:rFonts w:ascii="Arial" w:hAnsi="Arial" w:cs="Arial"/>
      <w:vanish/>
      <w:sz w:val="16"/>
      <w:szCs w:val="16"/>
    </w:rPr>
  </w:style>
  <w:style w:type="character" w:customStyle="1" w:styleId="152">
    <w:name w:val="标题 Char"/>
    <w:qFormat/>
    <w:uiPriority w:val="0"/>
    <w:rPr>
      <w:rFonts w:ascii="Cambria" w:hAnsi="Cambria" w:eastAsia="宋体" w:cs="Times New Roman"/>
      <w:b/>
      <w:bCs/>
      <w:sz w:val="32"/>
      <w:szCs w:val="32"/>
    </w:rPr>
  </w:style>
  <w:style w:type="character" w:customStyle="1" w:styleId="153">
    <w:name w:val="content021"/>
    <w:qFormat/>
    <w:uiPriority w:val="0"/>
    <w:rPr>
      <w:color w:val="444444"/>
      <w:spacing w:val="330"/>
      <w:sz w:val="21"/>
      <w:szCs w:val="21"/>
      <w:u w:val="none"/>
    </w:rPr>
  </w:style>
  <w:style w:type="character" w:customStyle="1" w:styleId="154">
    <w:name w:val="Char Char3"/>
    <w:semiHidden/>
    <w:qFormat/>
    <w:uiPriority w:val="0"/>
    <w:rPr>
      <w:sz w:val="18"/>
      <w:szCs w:val="18"/>
    </w:rPr>
  </w:style>
  <w:style w:type="character" w:customStyle="1" w:styleId="155">
    <w:name w:val="正文文本 Char1"/>
    <w:qFormat/>
    <w:uiPriority w:val="0"/>
    <w:rPr>
      <w:rFonts w:ascii="楷体_GB2312" w:eastAsia="楷体_GB2312"/>
      <w:kern w:val="2"/>
      <w:sz w:val="28"/>
    </w:rPr>
  </w:style>
  <w:style w:type="character" w:customStyle="1" w:styleId="156">
    <w:name w:val="text_12_black1"/>
    <w:qFormat/>
    <w:uiPriority w:val="0"/>
    <w:rPr>
      <w:rFonts w:hint="default" w:ascii="ˎ̥" w:hAnsi="ˎ̥"/>
      <w:color w:val="333333"/>
      <w:sz w:val="18"/>
      <w:szCs w:val="18"/>
      <w:u w:val="none"/>
    </w:rPr>
  </w:style>
  <w:style w:type="character" w:customStyle="1" w:styleId="157">
    <w:name w:val="正文缩进(ALT+Z) Char"/>
    <w:link w:val="158"/>
    <w:qFormat/>
    <w:uiPriority w:val="0"/>
    <w:rPr>
      <w:sz w:val="24"/>
      <w:szCs w:val="24"/>
    </w:rPr>
  </w:style>
  <w:style w:type="paragraph" w:customStyle="1" w:styleId="158">
    <w:name w:val="正文缩进(ALT+Z)"/>
    <w:basedOn w:val="1"/>
    <w:link w:val="157"/>
    <w:qFormat/>
    <w:uiPriority w:val="0"/>
    <w:pPr>
      <w:spacing w:line="360" w:lineRule="auto"/>
      <w:ind w:firstLine="200" w:firstLineChars="200"/>
    </w:pPr>
    <w:rPr>
      <w:kern w:val="0"/>
      <w:sz w:val="24"/>
    </w:rPr>
  </w:style>
  <w:style w:type="character" w:customStyle="1" w:styleId="159">
    <w:name w:val="正文文本 3 Char1"/>
    <w:qFormat/>
    <w:uiPriority w:val="0"/>
    <w:rPr>
      <w:kern w:val="2"/>
      <w:sz w:val="16"/>
      <w:szCs w:val="16"/>
    </w:rPr>
  </w:style>
  <w:style w:type="character" w:customStyle="1" w:styleId="160">
    <w:name w:val="text_12_subject1"/>
    <w:qFormat/>
    <w:uiPriority w:val="0"/>
    <w:rPr>
      <w:rFonts w:hint="default" w:ascii="ˎ̥" w:hAnsi="ˎ̥"/>
      <w:b/>
      <w:bCs/>
      <w:color w:val="006699"/>
      <w:sz w:val="18"/>
      <w:szCs w:val="18"/>
      <w:u w:val="none"/>
    </w:rPr>
  </w:style>
  <w:style w:type="character" w:customStyle="1" w:styleId="161">
    <w:name w:val="z71"/>
    <w:qFormat/>
    <w:uiPriority w:val="0"/>
    <w:rPr>
      <w:spacing w:val="300"/>
      <w:sz w:val="18"/>
      <w:szCs w:val="18"/>
    </w:rPr>
  </w:style>
  <w:style w:type="character" w:customStyle="1" w:styleId="162">
    <w:name w:val="15"/>
    <w:qFormat/>
    <w:uiPriority w:val="0"/>
    <w:rPr>
      <w:rFonts w:hint="default" w:ascii="Times New Roman" w:hAnsi="Times New Roman" w:cs="Times New Roman"/>
      <w:color w:val="0000FF"/>
      <w:u w:val="single"/>
    </w:rPr>
  </w:style>
  <w:style w:type="character" w:customStyle="1" w:styleId="163">
    <w:name w:val="chanpinname"/>
    <w:qFormat/>
    <w:uiPriority w:val="0"/>
  </w:style>
  <w:style w:type="character" w:customStyle="1" w:styleId="164">
    <w:name w:val="结束语 Char"/>
    <w:qFormat/>
    <w:uiPriority w:val="0"/>
    <w:rPr>
      <w:rFonts w:ascii="Times New Roman" w:hAnsi="Times New Roman" w:eastAsia="宋体" w:cs="Times New Roman"/>
      <w:szCs w:val="24"/>
    </w:rPr>
  </w:style>
  <w:style w:type="character" w:customStyle="1" w:styleId="165">
    <w:name w:val="副标题 Char1"/>
    <w:qFormat/>
    <w:uiPriority w:val="0"/>
    <w:rPr>
      <w:rFonts w:ascii="Cambria" w:hAnsi="Cambria" w:cs="Times New Roman"/>
      <w:b/>
      <w:bCs/>
      <w:kern w:val="28"/>
      <w:sz w:val="32"/>
      <w:szCs w:val="32"/>
    </w:rPr>
  </w:style>
  <w:style w:type="character" w:customStyle="1" w:styleId="166">
    <w:name w:val="font31"/>
    <w:qFormat/>
    <w:uiPriority w:val="0"/>
    <w:rPr>
      <w:rFonts w:hint="default" w:ascii="Times New Roman" w:hAnsi="Times New Roman" w:cs="Times New Roman"/>
      <w:color w:val="000000"/>
      <w:sz w:val="20"/>
      <w:szCs w:val="20"/>
      <w:u w:val="none"/>
    </w:rPr>
  </w:style>
  <w:style w:type="character" w:customStyle="1" w:styleId="167">
    <w:name w:val="font81"/>
    <w:qFormat/>
    <w:uiPriority w:val="0"/>
    <w:rPr>
      <w:rFonts w:hint="eastAsia" w:ascii="宋体" w:hAnsi="宋体" w:eastAsia="宋体" w:cs="宋体"/>
      <w:color w:val="000000"/>
      <w:sz w:val="20"/>
      <w:szCs w:val="20"/>
      <w:u w:val="none"/>
    </w:rPr>
  </w:style>
  <w:style w:type="character" w:customStyle="1" w:styleId="168">
    <w:name w:val="short_text"/>
    <w:qFormat/>
    <w:uiPriority w:val="0"/>
  </w:style>
  <w:style w:type="character" w:customStyle="1" w:styleId="169">
    <w:name w:val="称呼 Char"/>
    <w:qFormat/>
    <w:uiPriority w:val="0"/>
    <w:rPr>
      <w:rFonts w:ascii="Times New Roman" w:hAnsi="Times New Roman" w:eastAsia="宋体" w:cs="Times New Roman"/>
      <w:szCs w:val="24"/>
    </w:rPr>
  </w:style>
  <w:style w:type="character" w:customStyle="1" w:styleId="170">
    <w:name w:val="txt"/>
    <w:qFormat/>
    <w:uiPriority w:val="0"/>
  </w:style>
  <w:style w:type="character" w:customStyle="1" w:styleId="171">
    <w:name w:val="font71"/>
    <w:qFormat/>
    <w:uiPriority w:val="0"/>
    <w:rPr>
      <w:rFonts w:hint="eastAsia" w:ascii="宋体" w:hAnsi="宋体" w:eastAsia="宋体" w:cs="宋体"/>
      <w:color w:val="000000"/>
      <w:sz w:val="20"/>
      <w:szCs w:val="20"/>
      <w:u w:val="none"/>
    </w:rPr>
  </w:style>
  <w:style w:type="character" w:customStyle="1" w:styleId="172">
    <w:name w:val="文档结构图 Char"/>
    <w:qFormat/>
    <w:uiPriority w:val="99"/>
    <w:rPr>
      <w:rFonts w:ascii="宋体" w:hAnsi="Times New Roman" w:eastAsia="宋体" w:cs="Times New Roman"/>
      <w:sz w:val="18"/>
      <w:szCs w:val="18"/>
    </w:rPr>
  </w:style>
  <w:style w:type="character" w:customStyle="1" w:styleId="173">
    <w:name w:val="hang1"/>
    <w:qFormat/>
    <w:uiPriority w:val="0"/>
  </w:style>
  <w:style w:type="character" w:customStyle="1" w:styleId="174">
    <w:name w:val="悬挂2 Char"/>
    <w:link w:val="175"/>
    <w:qFormat/>
    <w:uiPriority w:val="0"/>
    <w:rPr>
      <w:rFonts w:ascii="Calibri" w:hAnsi="Calibri"/>
      <w:kern w:val="2"/>
      <w:sz w:val="21"/>
      <w:szCs w:val="21"/>
      <w:lang w:val="en-US" w:eastAsia="zh-CN" w:bidi="ar-SA"/>
    </w:rPr>
  </w:style>
  <w:style w:type="paragraph" w:customStyle="1" w:styleId="175">
    <w:name w:val="悬挂2"/>
    <w:link w:val="174"/>
    <w:qFormat/>
    <w:uiPriority w:val="0"/>
    <w:pPr>
      <w:numPr>
        <w:ilvl w:val="0"/>
        <w:numId w:val="5"/>
      </w:numPr>
      <w:spacing w:beforeLines="50" w:afterLines="50" w:line="320" w:lineRule="exact"/>
      <w:jc w:val="both"/>
    </w:pPr>
    <w:rPr>
      <w:rFonts w:ascii="Calibri" w:hAnsi="Calibri" w:eastAsia="宋体" w:cs="Times New Roman"/>
      <w:kern w:val="2"/>
      <w:sz w:val="21"/>
      <w:szCs w:val="21"/>
      <w:lang w:val="en-US" w:eastAsia="zh-CN" w:bidi="ar-SA"/>
    </w:rPr>
  </w:style>
  <w:style w:type="character" w:customStyle="1" w:styleId="176">
    <w:name w:val="z21"/>
    <w:qFormat/>
    <w:uiPriority w:val="0"/>
    <w:rPr>
      <w:color w:val="000000"/>
      <w:spacing w:val="255"/>
      <w:sz w:val="18"/>
      <w:szCs w:val="18"/>
    </w:rPr>
  </w:style>
  <w:style w:type="character" w:customStyle="1" w:styleId="177">
    <w:name w:val="Table Heading Char"/>
    <w:link w:val="178"/>
    <w:qFormat/>
    <w:uiPriority w:val="0"/>
    <w:rPr>
      <w:rFonts w:ascii="Arial" w:hAnsi="Arial" w:eastAsia="黑体" w:cs="Book Antiqua"/>
      <w:bCs/>
      <w:snapToGrid w:val="0"/>
      <w:szCs w:val="21"/>
    </w:rPr>
  </w:style>
  <w:style w:type="paragraph" w:customStyle="1" w:styleId="178">
    <w:name w:val="Table Heading"/>
    <w:basedOn w:val="1"/>
    <w:link w:val="177"/>
    <w:qFormat/>
    <w:uiPriority w:val="0"/>
    <w:pPr>
      <w:keepNext/>
      <w:topLinePunct/>
      <w:adjustRightInd w:val="0"/>
      <w:snapToGrid w:val="0"/>
      <w:spacing w:before="80" w:after="80" w:line="240" w:lineRule="atLeast"/>
      <w:jc w:val="left"/>
    </w:pPr>
    <w:rPr>
      <w:rFonts w:ascii="Arial" w:hAnsi="Arial" w:eastAsia="黑体"/>
      <w:bCs/>
      <w:snapToGrid w:val="0"/>
      <w:kern w:val="0"/>
      <w:sz w:val="20"/>
      <w:szCs w:val="21"/>
    </w:rPr>
  </w:style>
  <w:style w:type="character" w:customStyle="1" w:styleId="179">
    <w:name w:val="悬挂1 Char"/>
    <w:link w:val="180"/>
    <w:qFormat/>
    <w:uiPriority w:val="0"/>
    <w:rPr>
      <w:rFonts w:ascii="Calibri" w:hAnsi="Calibri"/>
      <w:kern w:val="2"/>
      <w:sz w:val="21"/>
      <w:szCs w:val="21"/>
      <w:lang w:val="en-US" w:eastAsia="zh-CN" w:bidi="ar-SA"/>
    </w:rPr>
  </w:style>
  <w:style w:type="paragraph" w:customStyle="1" w:styleId="180">
    <w:name w:val="悬挂1"/>
    <w:link w:val="179"/>
    <w:qFormat/>
    <w:uiPriority w:val="0"/>
    <w:pPr>
      <w:spacing w:beforeLines="50" w:afterLines="50" w:line="360" w:lineRule="auto"/>
      <w:ind w:left="420" w:hanging="420"/>
      <w:jc w:val="both"/>
    </w:pPr>
    <w:rPr>
      <w:rFonts w:ascii="Calibri" w:hAnsi="Calibri" w:eastAsia="宋体" w:cs="Times New Roman"/>
      <w:kern w:val="2"/>
      <w:sz w:val="21"/>
      <w:szCs w:val="21"/>
      <w:lang w:val="en-US" w:eastAsia="zh-CN" w:bidi="ar-SA"/>
    </w:rPr>
  </w:style>
  <w:style w:type="character" w:customStyle="1" w:styleId="181">
    <w:name w:val="myp1111"/>
    <w:qFormat/>
    <w:uiPriority w:val="0"/>
    <w:rPr>
      <w:rFonts w:hint="default" w:ascii="ˎ̥" w:hAnsi="ˎ̥"/>
      <w:color w:val="000000"/>
      <w:sz w:val="15"/>
      <w:szCs w:val="15"/>
      <w:u w:val="none"/>
    </w:rPr>
  </w:style>
  <w:style w:type="character" w:customStyle="1" w:styleId="182">
    <w:name w:val="ca-231"/>
    <w:qFormat/>
    <w:uiPriority w:val="0"/>
    <w:rPr>
      <w:rFonts w:hint="eastAsia" w:ascii="宋体" w:hAnsi="宋体" w:eastAsia="宋体"/>
      <w:sz w:val="24"/>
      <w:szCs w:val="24"/>
    </w:rPr>
  </w:style>
  <w:style w:type="character" w:customStyle="1" w:styleId="183">
    <w:name w:val="未处理的提及1"/>
    <w:unhideWhenUsed/>
    <w:qFormat/>
    <w:uiPriority w:val="99"/>
    <w:rPr>
      <w:color w:val="605E5C"/>
      <w:shd w:val="clear" w:color="auto" w:fill="E1DFDD"/>
    </w:rPr>
  </w:style>
  <w:style w:type="character" w:customStyle="1" w:styleId="184">
    <w:name w:val="无间隔 Char"/>
    <w:link w:val="185"/>
    <w:qFormat/>
    <w:locked/>
    <w:uiPriority w:val="0"/>
    <w:rPr>
      <w:rFonts w:ascii="Calibri" w:hAnsi="Calibri"/>
    </w:rPr>
  </w:style>
  <w:style w:type="paragraph" w:customStyle="1" w:styleId="185">
    <w:name w:val="无间隔1"/>
    <w:basedOn w:val="1"/>
    <w:link w:val="184"/>
    <w:qFormat/>
    <w:uiPriority w:val="0"/>
    <w:rPr>
      <w:rFonts w:ascii="Calibri" w:hAnsi="Calibri"/>
      <w:kern w:val="0"/>
      <w:sz w:val="20"/>
      <w:szCs w:val="20"/>
    </w:rPr>
  </w:style>
  <w:style w:type="character" w:customStyle="1" w:styleId="186">
    <w:name w:val="正文2级 Char"/>
    <w:link w:val="187"/>
    <w:qFormat/>
    <w:uiPriority w:val="0"/>
    <w:rPr>
      <w:rFonts w:ascii="Calibri" w:hAnsi="Calibri"/>
      <w:bCs/>
      <w:kern w:val="44"/>
      <w:sz w:val="24"/>
      <w:szCs w:val="44"/>
      <w:lang w:val="en-US" w:eastAsia="zh-CN" w:bidi="ar-SA"/>
    </w:rPr>
  </w:style>
  <w:style w:type="paragraph" w:customStyle="1" w:styleId="187">
    <w:name w:val="正文2级"/>
    <w:link w:val="186"/>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188">
    <w:name w:val="页眉 Char2"/>
    <w:semiHidden/>
    <w:qFormat/>
    <w:uiPriority w:val="99"/>
    <w:rPr>
      <w:rFonts w:ascii="Times New Roman" w:hAnsi="Times New Roman" w:eastAsia="宋体" w:cs="Times New Roman"/>
      <w:sz w:val="18"/>
      <w:szCs w:val="18"/>
    </w:rPr>
  </w:style>
  <w:style w:type="character" w:customStyle="1" w:styleId="189">
    <w:name w:val="prod_content_font_011"/>
    <w:qFormat/>
    <w:uiPriority w:val="0"/>
    <w:rPr>
      <w:rFonts w:hint="default" w:ascii="Verdana" w:hAnsi="Verdana"/>
      <w:color w:val="5E5E5E"/>
      <w:sz w:val="17"/>
      <w:szCs w:val="17"/>
    </w:rPr>
  </w:style>
  <w:style w:type="character" w:customStyle="1" w:styleId="190">
    <w:name w:val="普通 (Web) Char"/>
    <w:link w:val="191"/>
    <w:qFormat/>
    <w:uiPriority w:val="99"/>
    <w:rPr>
      <w:rFonts w:ascii="宋体" w:hAnsi="宋体"/>
      <w:sz w:val="24"/>
      <w:szCs w:val="24"/>
    </w:rPr>
  </w:style>
  <w:style w:type="paragraph" w:customStyle="1" w:styleId="191">
    <w:name w:val="普通 (Web)"/>
    <w:basedOn w:val="1"/>
    <w:link w:val="190"/>
    <w:qFormat/>
    <w:uiPriority w:val="99"/>
    <w:pPr>
      <w:widowControl/>
      <w:spacing w:before="100" w:beforeAutospacing="1" w:after="100" w:afterAutospacing="1"/>
      <w:jc w:val="left"/>
    </w:pPr>
    <w:rPr>
      <w:rFonts w:ascii="宋体" w:hAnsi="宋体"/>
      <w:kern w:val="0"/>
      <w:sz w:val="24"/>
    </w:rPr>
  </w:style>
  <w:style w:type="character" w:customStyle="1" w:styleId="192">
    <w:name w:val="尾注文本 Char1"/>
    <w:qFormat/>
    <w:uiPriority w:val="99"/>
    <w:rPr>
      <w:kern w:val="2"/>
      <w:sz w:val="21"/>
      <w:szCs w:val="24"/>
    </w:rPr>
  </w:style>
  <w:style w:type="character" w:customStyle="1" w:styleId="193">
    <w:name w:val="正文首行缩进 2 Char1"/>
    <w:qFormat/>
    <w:uiPriority w:val="0"/>
  </w:style>
  <w:style w:type="character" w:customStyle="1" w:styleId="194">
    <w:name w:val="表格标题(居中) Char"/>
    <w:link w:val="195"/>
    <w:qFormat/>
    <w:uiPriority w:val="0"/>
    <w:rPr>
      <w:rFonts w:eastAsia="黑体"/>
      <w:sz w:val="24"/>
    </w:rPr>
  </w:style>
  <w:style w:type="paragraph" w:customStyle="1" w:styleId="195">
    <w:name w:val="表格标题(居中)"/>
    <w:basedOn w:val="1"/>
    <w:link w:val="194"/>
    <w:qFormat/>
    <w:uiPriority w:val="0"/>
    <w:pPr>
      <w:snapToGrid w:val="0"/>
      <w:spacing w:line="300" w:lineRule="auto"/>
      <w:jc w:val="center"/>
    </w:pPr>
    <w:rPr>
      <w:rFonts w:eastAsia="黑体"/>
      <w:kern w:val="0"/>
      <w:sz w:val="24"/>
      <w:szCs w:val="20"/>
    </w:rPr>
  </w:style>
  <w:style w:type="character" w:customStyle="1" w:styleId="196">
    <w:name w:val="副标题 Char"/>
    <w:qFormat/>
    <w:uiPriority w:val="0"/>
    <w:rPr>
      <w:rFonts w:ascii="Cambria" w:hAnsi="Cambria" w:eastAsia="宋体" w:cs="Times New Roman"/>
      <w:b/>
      <w:bCs/>
      <w:kern w:val="28"/>
      <w:sz w:val="32"/>
      <w:szCs w:val="32"/>
    </w:rPr>
  </w:style>
  <w:style w:type="character" w:customStyle="1" w:styleId="197">
    <w:name w:val="Figure Text Char"/>
    <w:link w:val="198"/>
    <w:qFormat/>
    <w:uiPriority w:val="0"/>
    <w:rPr>
      <w:rFonts w:ascii="Arial" w:hAnsi="Arial" w:cs="Arial"/>
      <w:kern w:val="2"/>
      <w:sz w:val="18"/>
      <w:szCs w:val="18"/>
      <w:lang w:val="en-US" w:eastAsia="en-US" w:bidi="ar-SA"/>
    </w:rPr>
  </w:style>
  <w:style w:type="paragraph" w:customStyle="1" w:styleId="198">
    <w:name w:val="Figure Text"/>
    <w:link w:val="197"/>
    <w:qFormat/>
    <w:uiPriority w:val="0"/>
    <w:pPr>
      <w:widowControl w:val="0"/>
      <w:adjustRightInd w:val="0"/>
      <w:snapToGrid w:val="0"/>
      <w:spacing w:line="240" w:lineRule="atLeast"/>
    </w:pPr>
    <w:rPr>
      <w:rFonts w:ascii="Arial" w:hAnsi="Arial" w:eastAsia="宋体" w:cs="Arial"/>
      <w:kern w:val="2"/>
      <w:sz w:val="18"/>
      <w:szCs w:val="18"/>
      <w:lang w:val="en-US" w:eastAsia="en-US" w:bidi="ar-SA"/>
    </w:rPr>
  </w:style>
  <w:style w:type="character" w:customStyle="1" w:styleId="199">
    <w:name w:val="批注框文本 Char"/>
    <w:qFormat/>
    <w:uiPriority w:val="0"/>
    <w:rPr>
      <w:rFonts w:ascii="Times New Roman" w:hAnsi="Times New Roman" w:eastAsia="宋体" w:cs="Times New Roman"/>
      <w:sz w:val="18"/>
      <w:szCs w:val="18"/>
    </w:rPr>
  </w:style>
  <w:style w:type="character" w:customStyle="1" w:styleId="200">
    <w:name w:val="日期 Char"/>
    <w:qFormat/>
    <w:uiPriority w:val="0"/>
    <w:rPr>
      <w:rFonts w:ascii="Times New Roman" w:hAnsi="Times New Roman" w:eastAsia="宋体" w:cs="Times New Roman"/>
      <w:szCs w:val="24"/>
    </w:rPr>
  </w:style>
  <w:style w:type="character" w:customStyle="1" w:styleId="201">
    <w:name w:val="contentheaderrev1"/>
    <w:qFormat/>
    <w:uiPriority w:val="0"/>
    <w:rPr>
      <w:rFonts w:hint="default" w:ascii="Arial" w:hAnsi="Arial" w:cs="Arial"/>
      <w:b/>
      <w:bCs/>
      <w:color w:val="FFFFFF"/>
      <w:sz w:val="18"/>
      <w:szCs w:val="18"/>
      <w:u w:val="none"/>
    </w:rPr>
  </w:style>
  <w:style w:type="character" w:customStyle="1" w:styleId="202">
    <w:name w:val="批注框文本 Char1"/>
    <w:qFormat/>
    <w:locked/>
    <w:uiPriority w:val="0"/>
    <w:rPr>
      <w:sz w:val="18"/>
      <w:szCs w:val="18"/>
    </w:rPr>
  </w:style>
  <w:style w:type="character" w:customStyle="1" w:styleId="203">
    <w:name w:val="font21"/>
    <w:qFormat/>
    <w:uiPriority w:val="0"/>
    <w:rPr>
      <w:rFonts w:hint="eastAsia" w:ascii="宋体" w:hAnsi="宋体" w:eastAsia="宋体" w:cs="宋体"/>
      <w:color w:val="000000"/>
      <w:sz w:val="24"/>
      <w:szCs w:val="24"/>
      <w:u w:val="none"/>
    </w:rPr>
  </w:style>
  <w:style w:type="character" w:customStyle="1" w:styleId="204">
    <w:name w:val="缩进 Char"/>
    <w:link w:val="205"/>
    <w:qFormat/>
    <w:uiPriority w:val="0"/>
    <w:rPr>
      <w:rFonts w:ascii="Calibri" w:hAnsi="Calibri"/>
      <w:color w:val="0000FF"/>
      <w:kern w:val="2"/>
      <w:sz w:val="21"/>
      <w:szCs w:val="18"/>
      <w:lang w:val="en-US" w:eastAsia="zh-CN" w:bidi="ar-SA"/>
    </w:rPr>
  </w:style>
  <w:style w:type="paragraph" w:customStyle="1" w:styleId="205">
    <w:name w:val="缩进"/>
    <w:link w:val="204"/>
    <w:qFormat/>
    <w:uiPriority w:val="0"/>
    <w:pPr>
      <w:spacing w:beforeLines="50" w:afterLines="50" w:line="320" w:lineRule="exact"/>
      <w:ind w:left="630" w:leftChars="300" w:firstLine="420" w:firstLineChars="200"/>
      <w:jc w:val="both"/>
    </w:pPr>
    <w:rPr>
      <w:rFonts w:ascii="Calibri" w:hAnsi="Calibri" w:eastAsia="宋体" w:cs="Times New Roman"/>
      <w:color w:val="0000FF"/>
      <w:kern w:val="2"/>
      <w:sz w:val="21"/>
      <w:szCs w:val="18"/>
      <w:lang w:val="en-US" w:eastAsia="zh-CN" w:bidi="ar-SA"/>
    </w:rPr>
  </w:style>
  <w:style w:type="character" w:customStyle="1" w:styleId="206">
    <w:name w:val="表中左小5 Char"/>
    <w:link w:val="207"/>
    <w:qFormat/>
    <w:uiPriority w:val="0"/>
    <w:rPr>
      <w:rFonts w:ascii="Calibri" w:hAnsi="Calibri"/>
      <w:color w:val="0000FF"/>
      <w:kern w:val="2"/>
      <w:sz w:val="18"/>
      <w:szCs w:val="18"/>
      <w:lang w:val="en-US" w:eastAsia="zh-CN" w:bidi="ar-SA"/>
    </w:rPr>
  </w:style>
  <w:style w:type="paragraph" w:customStyle="1" w:styleId="207">
    <w:name w:val="表中左小5"/>
    <w:link w:val="206"/>
    <w:qFormat/>
    <w:uiPriority w:val="0"/>
    <w:pPr>
      <w:adjustRightInd w:val="0"/>
      <w:snapToGrid w:val="0"/>
      <w:spacing w:line="320" w:lineRule="exact"/>
    </w:pPr>
    <w:rPr>
      <w:rFonts w:ascii="Calibri" w:hAnsi="Calibri" w:eastAsia="宋体" w:cs="Times New Roman"/>
      <w:color w:val="0000FF"/>
      <w:kern w:val="2"/>
      <w:sz w:val="18"/>
      <w:szCs w:val="18"/>
      <w:lang w:val="en-US" w:eastAsia="zh-CN" w:bidi="ar-SA"/>
    </w:rPr>
  </w:style>
  <w:style w:type="character" w:customStyle="1" w:styleId="208">
    <w:name w:val="HTML 预设格式 Char"/>
    <w:qFormat/>
    <w:uiPriority w:val="99"/>
    <w:rPr>
      <w:rFonts w:ascii="Courier New" w:hAnsi="Courier New" w:eastAsia="宋体" w:cs="Courier New"/>
      <w:sz w:val="20"/>
      <w:szCs w:val="20"/>
    </w:rPr>
  </w:style>
  <w:style w:type="character" w:customStyle="1" w:styleId="209">
    <w:name w:val="hei12"/>
    <w:qFormat/>
    <w:uiPriority w:val="0"/>
  </w:style>
  <w:style w:type="character" w:customStyle="1" w:styleId="210">
    <w:name w:val="首行缩进 Char Char1"/>
    <w:link w:val="211"/>
    <w:qFormat/>
    <w:locked/>
    <w:uiPriority w:val="0"/>
    <w:rPr>
      <w:sz w:val="24"/>
      <w:szCs w:val="24"/>
    </w:rPr>
  </w:style>
  <w:style w:type="paragraph" w:customStyle="1" w:styleId="211">
    <w:name w:val="首行缩进 Char"/>
    <w:basedOn w:val="1"/>
    <w:next w:val="16"/>
    <w:link w:val="210"/>
    <w:qFormat/>
    <w:uiPriority w:val="0"/>
    <w:pPr>
      <w:spacing w:line="300" w:lineRule="auto"/>
      <w:ind w:firstLine="420"/>
    </w:pPr>
    <w:rPr>
      <w:kern w:val="0"/>
      <w:sz w:val="24"/>
    </w:rPr>
  </w:style>
  <w:style w:type="character" w:customStyle="1" w:styleId="212">
    <w:name w:val="正文首行缩进 Char"/>
    <w:qFormat/>
    <w:uiPriority w:val="0"/>
  </w:style>
  <w:style w:type="character" w:customStyle="1" w:styleId="213">
    <w:name w:val="ca-121"/>
    <w:qFormat/>
    <w:uiPriority w:val="0"/>
    <w:rPr>
      <w:rFonts w:hint="eastAsia" w:ascii="宋体" w:hAnsi="宋体" w:eastAsia="宋体"/>
      <w:sz w:val="21"/>
      <w:szCs w:val="21"/>
    </w:rPr>
  </w:style>
  <w:style w:type="character" w:customStyle="1" w:styleId="214">
    <w:name w:val="批注主题 Char"/>
    <w:qFormat/>
    <w:uiPriority w:val="0"/>
    <w:rPr>
      <w:b/>
      <w:bCs/>
    </w:rPr>
  </w:style>
  <w:style w:type="character" w:customStyle="1" w:styleId="215">
    <w:name w:val="abcde1"/>
    <w:qFormat/>
    <w:uiPriority w:val="0"/>
    <w:rPr>
      <w:spacing w:val="400"/>
      <w:sz w:val="26"/>
      <w:szCs w:val="26"/>
    </w:rPr>
  </w:style>
  <w:style w:type="character" w:customStyle="1" w:styleId="216">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17">
    <w:name w:val="font51"/>
    <w:qFormat/>
    <w:uiPriority w:val="0"/>
    <w:rPr>
      <w:rFonts w:hint="eastAsia" w:ascii="宋体" w:hAnsi="宋体" w:eastAsia="宋体" w:cs="宋体"/>
      <w:color w:val="000000"/>
      <w:sz w:val="20"/>
      <w:szCs w:val="20"/>
      <w:u w:val="none"/>
    </w:rPr>
  </w:style>
  <w:style w:type="character" w:customStyle="1" w:styleId="218">
    <w:name w:val="样式 目录 2 + 宋体 Char"/>
    <w:link w:val="219"/>
    <w:qFormat/>
    <w:uiPriority w:val="0"/>
    <w:rPr>
      <w:rFonts w:ascii="宋体" w:hAnsi="宋体"/>
      <w:sz w:val="28"/>
    </w:rPr>
  </w:style>
  <w:style w:type="paragraph" w:customStyle="1" w:styleId="219">
    <w:name w:val="样式 目录 2 + 宋体"/>
    <w:basedOn w:val="28"/>
    <w:next w:val="28"/>
    <w:link w:val="218"/>
    <w:qFormat/>
    <w:uiPriority w:val="0"/>
    <w:rPr>
      <w:rFonts w:ascii="宋体" w:hAnsi="宋体"/>
      <w:sz w:val="28"/>
      <w:szCs w:val="20"/>
    </w:rPr>
  </w:style>
  <w:style w:type="character" w:customStyle="1" w:styleId="220">
    <w:name w:val="未处理的提及2"/>
    <w:unhideWhenUsed/>
    <w:qFormat/>
    <w:uiPriority w:val="99"/>
    <w:rPr>
      <w:color w:val="605E5C"/>
      <w:shd w:val="clear" w:color="auto" w:fill="E1DFDD"/>
    </w:rPr>
  </w:style>
  <w:style w:type="character" w:customStyle="1" w:styleId="221">
    <w:name w:val="ca-131"/>
    <w:qFormat/>
    <w:uiPriority w:val="0"/>
    <w:rPr>
      <w:rFonts w:hint="default" w:ascii="Times New Roman" w:hAnsi="Times New Roman" w:cs="Times New Roman"/>
      <w:sz w:val="21"/>
      <w:szCs w:val="21"/>
    </w:rPr>
  </w:style>
  <w:style w:type="character" w:customStyle="1" w:styleId="222">
    <w:name w:val="页脚 Char2"/>
    <w:semiHidden/>
    <w:qFormat/>
    <w:uiPriority w:val="99"/>
    <w:rPr>
      <w:rFonts w:ascii="Times New Roman" w:hAnsi="Times New Roman" w:eastAsia="宋体" w:cs="Times New Roman"/>
      <w:sz w:val="18"/>
      <w:szCs w:val="18"/>
    </w:rPr>
  </w:style>
  <w:style w:type="character" w:customStyle="1" w:styleId="223">
    <w:name w:val="悬挂22 Char"/>
    <w:link w:val="224"/>
    <w:qFormat/>
    <w:uiPriority w:val="0"/>
    <w:rPr>
      <w:rFonts w:ascii="Calibri" w:hAnsi="Calibri"/>
      <w:color w:val="FF0000"/>
      <w:kern w:val="2"/>
      <w:sz w:val="21"/>
      <w:szCs w:val="28"/>
      <w:lang w:val="en-US" w:eastAsia="zh-CN" w:bidi="ar-SA"/>
    </w:rPr>
  </w:style>
  <w:style w:type="paragraph" w:customStyle="1" w:styleId="224">
    <w:name w:val="悬挂22"/>
    <w:link w:val="223"/>
    <w:qFormat/>
    <w:uiPriority w:val="0"/>
    <w:pPr>
      <w:spacing w:beforeLines="50" w:afterLines="50" w:line="320" w:lineRule="exact"/>
      <w:ind w:left="988" w:hanging="420"/>
      <w:jc w:val="both"/>
    </w:pPr>
    <w:rPr>
      <w:rFonts w:ascii="Calibri" w:hAnsi="Calibri" w:eastAsia="宋体" w:cs="Times New Roman"/>
      <w:color w:val="FF0000"/>
      <w:kern w:val="2"/>
      <w:sz w:val="21"/>
      <w:szCs w:val="28"/>
      <w:lang w:val="en-US" w:eastAsia="zh-CN" w:bidi="ar-SA"/>
    </w:rPr>
  </w:style>
  <w:style w:type="character" w:customStyle="1" w:styleId="225">
    <w:name w:val="z-窗体底端 Char2"/>
    <w:link w:val="226"/>
    <w:qFormat/>
    <w:uiPriority w:val="99"/>
    <w:rPr>
      <w:rFonts w:ascii="Arial" w:hAnsi="Arial" w:cs="Arial"/>
      <w:vanish/>
      <w:sz w:val="16"/>
      <w:szCs w:val="16"/>
    </w:rPr>
  </w:style>
  <w:style w:type="paragraph" w:customStyle="1" w:styleId="226">
    <w:name w:val="z-窗体底端1"/>
    <w:basedOn w:val="1"/>
    <w:next w:val="1"/>
    <w:link w:val="225"/>
    <w:unhideWhenUsed/>
    <w:qFormat/>
    <w:uiPriority w:val="99"/>
    <w:pPr>
      <w:widowControl/>
      <w:pBdr>
        <w:top w:val="single" w:color="auto" w:sz="6" w:space="1"/>
      </w:pBdr>
      <w:jc w:val="center"/>
    </w:pPr>
    <w:rPr>
      <w:rFonts w:ascii="Arial" w:hAnsi="Arial"/>
      <w:vanish/>
      <w:kern w:val="0"/>
      <w:sz w:val="16"/>
      <w:szCs w:val="16"/>
    </w:rPr>
  </w:style>
  <w:style w:type="character" w:customStyle="1" w:styleId="227">
    <w:name w:val="apple-converted-space"/>
    <w:qFormat/>
    <w:uiPriority w:val="0"/>
  </w:style>
  <w:style w:type="character" w:customStyle="1" w:styleId="228">
    <w:name w:val="段 Char Char"/>
    <w:qFormat/>
    <w:uiPriority w:val="0"/>
    <w:rPr>
      <w:rFonts w:ascii="宋体"/>
      <w:sz w:val="21"/>
      <w:lang w:val="en-US" w:eastAsia="zh-CN" w:bidi="ar-SA"/>
    </w:rPr>
  </w:style>
  <w:style w:type="character" w:customStyle="1" w:styleId="229">
    <w:name w:val="unnamed11"/>
    <w:qFormat/>
    <w:uiPriority w:val="0"/>
    <w:rPr>
      <w:sz w:val="20"/>
      <w:szCs w:val="20"/>
    </w:rPr>
  </w:style>
  <w:style w:type="character" w:customStyle="1" w:styleId="230">
    <w:name w:val="param-name"/>
    <w:qFormat/>
    <w:uiPriority w:val="0"/>
  </w:style>
  <w:style w:type="character" w:customStyle="1" w:styleId="231">
    <w:name w:val="正文文本 3 Char"/>
    <w:qFormat/>
    <w:uiPriority w:val="0"/>
    <w:rPr>
      <w:rFonts w:ascii="Times New Roman" w:hAnsi="Times New Roman" w:eastAsia="宋体" w:cs="Times New Roman"/>
      <w:sz w:val="16"/>
      <w:szCs w:val="16"/>
    </w:rPr>
  </w:style>
  <w:style w:type="character" w:customStyle="1" w:styleId="232">
    <w:name w:val="正文缩进2格 Char"/>
    <w:link w:val="233"/>
    <w:qFormat/>
    <w:uiPriority w:val="0"/>
    <w:rPr>
      <w:rFonts w:ascii="仿宋_GB2312" w:hAnsi="宋体" w:eastAsia="仿宋_GB2312"/>
      <w:sz w:val="31"/>
    </w:rPr>
  </w:style>
  <w:style w:type="paragraph" w:customStyle="1" w:styleId="233">
    <w:name w:val="正文缩进2格"/>
    <w:basedOn w:val="1"/>
    <w:link w:val="232"/>
    <w:qFormat/>
    <w:uiPriority w:val="0"/>
    <w:pPr>
      <w:spacing w:line="600" w:lineRule="exact"/>
      <w:ind w:firstLine="639" w:firstLineChars="206"/>
    </w:pPr>
    <w:rPr>
      <w:rFonts w:ascii="仿宋_GB2312" w:hAnsi="宋体" w:eastAsia="仿宋_GB2312"/>
      <w:kern w:val="0"/>
      <w:sz w:val="31"/>
      <w:szCs w:val="20"/>
    </w:rPr>
  </w:style>
  <w:style w:type="character" w:customStyle="1" w:styleId="234">
    <w:name w:val="line14pj"/>
    <w:qFormat/>
    <w:uiPriority w:val="0"/>
  </w:style>
  <w:style w:type="character" w:customStyle="1" w:styleId="235">
    <w:name w:val="正文新 Char"/>
    <w:link w:val="236"/>
    <w:qFormat/>
    <w:uiPriority w:val="0"/>
    <w:rPr>
      <w:rFonts w:ascii="宋体" w:hAnsi="宋体"/>
      <w:sz w:val="28"/>
    </w:rPr>
  </w:style>
  <w:style w:type="paragraph" w:customStyle="1" w:styleId="236">
    <w:name w:val="正文新"/>
    <w:basedOn w:val="1"/>
    <w:link w:val="235"/>
    <w:qFormat/>
    <w:uiPriority w:val="0"/>
    <w:pPr>
      <w:spacing w:line="360" w:lineRule="auto"/>
      <w:ind w:firstLine="200" w:firstLineChars="200"/>
      <w:jc w:val="left"/>
    </w:pPr>
    <w:rPr>
      <w:rFonts w:ascii="宋体" w:hAnsi="宋体"/>
      <w:kern w:val="0"/>
      <w:sz w:val="28"/>
      <w:szCs w:val="20"/>
    </w:rPr>
  </w:style>
  <w:style w:type="character" w:customStyle="1" w:styleId="237">
    <w:name w:val="HTML 预设格式 Char1"/>
    <w:semiHidden/>
    <w:qFormat/>
    <w:uiPriority w:val="0"/>
    <w:rPr>
      <w:rFonts w:ascii="Courier New" w:hAnsi="Courier New" w:eastAsia="宋体" w:cs="Courier New"/>
      <w:sz w:val="20"/>
      <w:szCs w:val="20"/>
    </w:rPr>
  </w:style>
  <w:style w:type="character" w:customStyle="1" w:styleId="238">
    <w:name w:val="Table Description Char Char"/>
    <w:link w:val="239"/>
    <w:qFormat/>
    <w:uiPriority w:val="0"/>
    <w:rPr>
      <w:rFonts w:ascii="Arial" w:hAnsi="Arial" w:eastAsia="黑体"/>
      <w:kern w:val="2"/>
      <w:sz w:val="18"/>
      <w:szCs w:val="22"/>
      <w:lang w:val="en-US" w:eastAsia="zh-CN" w:bidi="ar-SA"/>
    </w:rPr>
  </w:style>
  <w:style w:type="paragraph" w:customStyle="1" w:styleId="239">
    <w:name w:val="Table Description"/>
    <w:next w:val="1"/>
    <w:link w:val="238"/>
    <w:qFormat/>
    <w:uiPriority w:val="0"/>
    <w:pPr>
      <w:keepNext/>
      <w:snapToGrid w:val="0"/>
      <w:spacing w:before="160" w:after="80"/>
      <w:ind w:left="1038"/>
      <w:jc w:val="center"/>
    </w:pPr>
    <w:rPr>
      <w:rFonts w:ascii="Arial" w:hAnsi="Arial" w:eastAsia="黑体" w:cs="Times New Roman"/>
      <w:kern w:val="2"/>
      <w:sz w:val="18"/>
      <w:szCs w:val="22"/>
      <w:lang w:val="en-US" w:eastAsia="zh-CN" w:bidi="ar-SA"/>
    </w:rPr>
  </w:style>
  <w:style w:type="character" w:customStyle="1" w:styleId="240">
    <w:name w:val="表格非标题文字 Char"/>
    <w:link w:val="241"/>
    <w:qFormat/>
    <w:uiPriority w:val="0"/>
    <w:rPr>
      <w:rFonts w:ascii="Arial" w:hAnsi="Arial"/>
      <w:kern w:val="2"/>
      <w:sz w:val="18"/>
      <w:szCs w:val="21"/>
      <w:lang w:val="en-US" w:eastAsia="zh-CN" w:bidi="ar-SA"/>
    </w:rPr>
  </w:style>
  <w:style w:type="paragraph" w:customStyle="1" w:styleId="241">
    <w:name w:val="表格非标题文字"/>
    <w:link w:val="240"/>
    <w:qFormat/>
    <w:uiPriority w:val="0"/>
    <w:pPr>
      <w:snapToGrid w:val="0"/>
      <w:spacing w:before="80" w:after="40"/>
    </w:pPr>
    <w:rPr>
      <w:rFonts w:ascii="Arial" w:hAnsi="Arial" w:eastAsia="宋体" w:cs="Times New Roman"/>
      <w:kern w:val="2"/>
      <w:sz w:val="18"/>
      <w:szCs w:val="21"/>
      <w:lang w:val="en-US" w:eastAsia="zh-CN" w:bidi="ar-SA"/>
    </w:rPr>
  </w:style>
  <w:style w:type="character" w:customStyle="1" w:styleId="242">
    <w:name w:val="纯文本 Char1"/>
    <w:qFormat/>
    <w:uiPriority w:val="0"/>
    <w:rPr>
      <w:rFonts w:ascii="宋体" w:hAnsi="Courier New" w:cs="Courier New"/>
      <w:kern w:val="2"/>
      <w:sz w:val="21"/>
      <w:szCs w:val="21"/>
    </w:rPr>
  </w:style>
  <w:style w:type="character" w:customStyle="1" w:styleId="243">
    <w:name w:val="正文文本缩进 2 Char"/>
    <w:qFormat/>
    <w:uiPriority w:val="0"/>
    <w:rPr>
      <w:rFonts w:ascii="Times New Roman" w:hAnsi="Times New Roman" w:eastAsia="宋体" w:cs="Times New Roman"/>
      <w:szCs w:val="24"/>
    </w:rPr>
  </w:style>
  <w:style w:type="paragraph" w:customStyle="1" w:styleId="244">
    <w:name w:val="xl4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45">
    <w:name w:val="默认段落字体 Para Char Char Char Char Char Char Char Char Char Char Char Char Char Char"/>
    <w:basedOn w:val="20"/>
    <w:qFormat/>
    <w:uiPriority w:val="0"/>
    <w:rPr>
      <w:rFonts w:ascii="Tahoma" w:hAnsi="Tahoma"/>
      <w:sz w:val="24"/>
    </w:rPr>
  </w:style>
  <w:style w:type="paragraph" w:customStyle="1" w:styleId="246">
    <w:name w:val="xl20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247">
    <w:name w:val="just"/>
    <w:basedOn w:val="1"/>
    <w:qFormat/>
    <w:uiPriority w:val="0"/>
    <w:pPr>
      <w:widowControl/>
      <w:spacing w:before="100" w:beforeAutospacing="1" w:after="100" w:afterAutospacing="1" w:line="360" w:lineRule="auto"/>
      <w:ind w:firstLine="510"/>
    </w:pPr>
    <w:rPr>
      <w:rFonts w:ascii="Geneva" w:hAnsi="Geneva"/>
      <w:kern w:val="0"/>
      <w:sz w:val="24"/>
    </w:rPr>
  </w:style>
  <w:style w:type="paragraph" w:customStyle="1" w:styleId="248">
    <w:name w:val="样式 标题 5 + 段前: 0.5 行 段后: 0.5 行"/>
    <w:basedOn w:val="6"/>
    <w:qFormat/>
    <w:uiPriority w:val="0"/>
    <w:pPr>
      <w:tabs>
        <w:tab w:val="left" w:pos="2580"/>
      </w:tabs>
      <w:spacing w:beforeLines="50" w:afterLines="50" w:line="360" w:lineRule="auto"/>
      <w:ind w:left="2580" w:hanging="420"/>
    </w:pPr>
    <w:rPr>
      <w:rFonts w:ascii="Times New Roman" w:hAnsi="Times New Roman" w:eastAsia="黑体" w:cs="宋体"/>
      <w:b w:val="0"/>
      <w:szCs w:val="20"/>
    </w:rPr>
  </w:style>
  <w:style w:type="paragraph" w:customStyle="1" w:styleId="249">
    <w:name w:val="表格文字"/>
    <w:basedOn w:val="1"/>
    <w:qFormat/>
    <w:uiPriority w:val="0"/>
    <w:pPr>
      <w:adjustRightInd w:val="0"/>
      <w:spacing w:line="240" w:lineRule="atLeast"/>
      <w:jc w:val="center"/>
      <w:textAlignment w:val="baseline"/>
    </w:pPr>
    <w:rPr>
      <w:rFonts w:ascii="宋体"/>
      <w:kern w:val="0"/>
      <w:szCs w:val="20"/>
    </w:rPr>
  </w:style>
  <w:style w:type="paragraph" w:customStyle="1" w:styleId="250">
    <w:name w:val="xl209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251">
    <w:name w:val="xl2085"/>
    <w:basedOn w:val="1"/>
    <w:qFormat/>
    <w:uiPriority w:val="0"/>
    <w:pPr>
      <w:widowControl/>
      <w:spacing w:before="100" w:beforeAutospacing="1" w:after="100" w:afterAutospacing="1"/>
      <w:jc w:val="center"/>
    </w:pPr>
    <w:rPr>
      <w:rFonts w:ascii="仿宋" w:hAnsi="仿宋" w:eastAsia="仿宋" w:cs="宋体"/>
      <w:kern w:val="0"/>
      <w:sz w:val="18"/>
      <w:szCs w:val="18"/>
    </w:rPr>
  </w:style>
  <w:style w:type="paragraph" w:customStyle="1" w:styleId="252">
    <w:name w:val="三级无"/>
    <w:basedOn w:val="253"/>
    <w:qFormat/>
    <w:uiPriority w:val="0"/>
    <w:pPr>
      <w:spacing w:beforeLines="0" w:afterLines="0"/>
    </w:pPr>
    <w:rPr>
      <w:rFonts w:ascii="宋体" w:eastAsia="宋体"/>
    </w:rPr>
  </w:style>
  <w:style w:type="paragraph" w:customStyle="1" w:styleId="253">
    <w:name w:val="三级条标题"/>
    <w:basedOn w:val="254"/>
    <w:next w:val="1"/>
    <w:qFormat/>
    <w:uiPriority w:val="0"/>
    <w:pPr>
      <w:outlineLvl w:val="4"/>
    </w:pPr>
  </w:style>
  <w:style w:type="paragraph" w:customStyle="1" w:styleId="254">
    <w:name w:val="二级条标题"/>
    <w:basedOn w:val="255"/>
    <w:next w:val="1"/>
    <w:qFormat/>
    <w:uiPriority w:val="0"/>
    <w:pPr>
      <w:outlineLvl w:val="3"/>
    </w:pPr>
  </w:style>
  <w:style w:type="paragraph" w:customStyle="1" w:styleId="255">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56">
    <w:name w:val="样式3"/>
    <w:qFormat/>
    <w:uiPriority w:val="0"/>
    <w:pPr>
      <w:spacing w:line="300" w:lineRule="auto"/>
    </w:pPr>
    <w:rPr>
      <w:rFonts w:ascii="Times New Roman" w:hAnsi="Times New Roman" w:eastAsia="宋体" w:cs="Times New Roman"/>
      <w:lang w:val="en-US" w:eastAsia="zh-CN" w:bidi="ar-SA"/>
    </w:rPr>
  </w:style>
  <w:style w:type="paragraph" w:customStyle="1" w:styleId="257">
    <w:name w:val="xl2051"/>
    <w:basedOn w:val="1"/>
    <w:qFormat/>
    <w:uiPriority w:val="0"/>
    <w:pPr>
      <w:widowControl/>
      <w:pBdr>
        <w:top w:val="double" w:color="auto" w:sz="6" w:space="0"/>
        <w:left w:val="double" w:color="auto" w:sz="6"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258">
    <w:name w:val="xl1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xl15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61">
    <w:name w:val="标题2"/>
    <w:basedOn w:val="1"/>
    <w:qFormat/>
    <w:uiPriority w:val="0"/>
    <w:pPr>
      <w:spacing w:beforeLines="50" w:afterLines="50" w:line="300" w:lineRule="exact"/>
    </w:pPr>
    <w:rPr>
      <w:b/>
      <w:bCs/>
    </w:rPr>
  </w:style>
  <w:style w:type="paragraph" w:customStyle="1" w:styleId="262">
    <w:name w:val="xl1063"/>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263">
    <w:name w:val="CM20"/>
    <w:basedOn w:val="264"/>
    <w:next w:val="264"/>
    <w:qFormat/>
    <w:uiPriority w:val="0"/>
    <w:pPr>
      <w:spacing w:after="115"/>
    </w:pPr>
    <w:rPr>
      <w:rFonts w:ascii=".a..DD.." w:eastAsia=".a..DD.."/>
      <w:color w:val="auto"/>
      <w:szCs w:val="24"/>
    </w:rPr>
  </w:style>
  <w:style w:type="paragraph" w:customStyle="1" w:styleId="2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5">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font8"/>
    <w:basedOn w:val="1"/>
    <w:qFormat/>
    <w:uiPriority w:val="0"/>
    <w:pPr>
      <w:widowControl/>
      <w:spacing w:before="100" w:beforeAutospacing="1" w:after="100" w:afterAutospacing="1"/>
      <w:jc w:val="left"/>
    </w:pPr>
    <w:rPr>
      <w:rFonts w:ascii="宋体" w:hAnsi="宋体" w:cs="Arial Unicode MS"/>
      <w:b/>
      <w:bCs/>
      <w:kern w:val="0"/>
      <w:sz w:val="32"/>
      <w:szCs w:val="32"/>
    </w:rPr>
  </w:style>
  <w:style w:type="paragraph" w:customStyle="1" w:styleId="267">
    <w:name w:val="样式 标题 1H1Header1h1标题4L1bocLevel 1 Topic Heading标书1Secti..."/>
    <w:basedOn w:val="3"/>
    <w:qFormat/>
    <w:uiPriority w:val="0"/>
    <w:pPr>
      <w:pageBreakBefore/>
      <w:tabs>
        <w:tab w:val="left" w:pos="425"/>
      </w:tabs>
      <w:adjustRightInd/>
      <w:spacing w:before="100" w:beforeAutospacing="1" w:afterLines="100" w:line="360" w:lineRule="auto"/>
      <w:ind w:left="425" w:hanging="425"/>
      <w:textAlignment w:val="auto"/>
    </w:pPr>
    <w:rPr>
      <w:rFonts w:eastAsia="黑体" w:cs="宋体"/>
      <w:bCs/>
      <w:sz w:val="44"/>
    </w:rPr>
  </w:style>
  <w:style w:type="paragraph" w:customStyle="1" w:styleId="268">
    <w:name w:val="xl2069"/>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69">
    <w:name w:val="xl206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270">
    <w:name w:val="font10"/>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271">
    <w:name w:val="Body Text 21"/>
    <w:basedOn w:val="1"/>
    <w:qFormat/>
    <w:uiPriority w:val="0"/>
    <w:pPr>
      <w:adjustRightInd w:val="0"/>
      <w:spacing w:line="240" w:lineRule="exact"/>
      <w:textAlignment w:val="baseline"/>
    </w:pPr>
    <w:rPr>
      <w:rFonts w:ascii="宋体"/>
      <w:kern w:val="0"/>
      <w:sz w:val="18"/>
      <w:szCs w:val="20"/>
    </w:rPr>
  </w:style>
  <w:style w:type="paragraph" w:customStyle="1" w:styleId="272">
    <w:name w:val="xl107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273">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274">
    <w:name w:val="Item Step"/>
    <w:basedOn w:val="1"/>
    <w:qFormat/>
    <w:uiPriority w:val="0"/>
    <w:pPr>
      <w:widowControl/>
      <w:tabs>
        <w:tab w:val="left" w:pos="567"/>
      </w:tabs>
      <w:spacing w:afterLines="50"/>
      <w:ind w:left="987" w:hanging="420"/>
      <w:jc w:val="left"/>
    </w:pPr>
    <w:rPr>
      <w:rFonts w:ascii="Tahoma" w:hAnsi="Tahoma"/>
      <w:sz w:val="28"/>
      <w:szCs w:val="21"/>
    </w:rPr>
  </w:style>
  <w:style w:type="paragraph" w:customStyle="1" w:styleId="275">
    <w:name w:val="样式 标题 1 + 非加粗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sz w:val="44"/>
    </w:rPr>
  </w:style>
  <w:style w:type="paragraph" w:customStyle="1" w:styleId="276">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77">
    <w:name w:val="二级大纲"/>
    <w:next w:val="127"/>
    <w:qFormat/>
    <w:uiPriority w:val="0"/>
    <w:pPr>
      <w:numPr>
        <w:ilvl w:val="1"/>
        <w:numId w:val="4"/>
      </w:numPr>
      <w:tabs>
        <w:tab w:val="left" w:pos="840"/>
      </w:tabs>
      <w:ind w:left="840" w:hanging="420"/>
      <w:outlineLvl w:val="1"/>
    </w:pPr>
    <w:rPr>
      <w:rFonts w:ascii="Calibri" w:hAnsi="Calibri" w:eastAsia="宋体" w:cs="Times New Roman"/>
      <w:b/>
      <w:kern w:val="2"/>
      <w:sz w:val="36"/>
      <w:szCs w:val="22"/>
      <w:lang w:val="en-US" w:eastAsia="zh-CN" w:bidi="ar-SA"/>
    </w:rPr>
  </w:style>
  <w:style w:type="paragraph" w:customStyle="1" w:styleId="278">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279">
    <w:name w:val="xl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280">
    <w:name w:val="xl10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1">
    <w:name w:val="书目1"/>
    <w:basedOn w:val="1"/>
    <w:next w:val="1"/>
    <w:unhideWhenUsed/>
    <w:qFormat/>
    <w:uiPriority w:val="37"/>
    <w:pPr>
      <w:spacing w:line="360" w:lineRule="auto"/>
      <w:ind w:firstLine="200" w:firstLineChars="200"/>
      <w:jc w:val="left"/>
    </w:pPr>
    <w:rPr>
      <w:sz w:val="24"/>
    </w:rPr>
  </w:style>
  <w:style w:type="paragraph" w:customStyle="1" w:styleId="282">
    <w:name w:val="xl9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3">
    <w:name w:val="xl20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 w:hAnsi="仿宋" w:eastAsia="仿宋" w:cs="宋体"/>
      <w:kern w:val="0"/>
      <w:sz w:val="18"/>
      <w:szCs w:val="18"/>
    </w:rPr>
  </w:style>
  <w:style w:type="paragraph" w:customStyle="1" w:styleId="284">
    <w:name w:val="手动目录"/>
    <w:basedOn w:val="1"/>
    <w:qFormat/>
    <w:uiPriority w:val="0"/>
    <w:pPr>
      <w:numPr>
        <w:ilvl w:val="0"/>
        <w:numId w:val="4"/>
      </w:numPr>
      <w:spacing w:line="360" w:lineRule="auto"/>
    </w:pPr>
    <w:rPr>
      <w:sz w:val="24"/>
    </w:rPr>
  </w:style>
  <w:style w:type="paragraph" w:customStyle="1" w:styleId="28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28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7">
    <w:name w:val="xl20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18"/>
      <w:szCs w:val="18"/>
    </w:rPr>
  </w:style>
  <w:style w:type="paragraph" w:customStyle="1" w:styleId="288">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89">
    <w:name w:val="项目编号2级"/>
    <w:basedOn w:val="290"/>
    <w:qFormat/>
    <w:uiPriority w:val="0"/>
    <w:pPr>
      <w:tabs>
        <w:tab w:val="left" w:pos="840"/>
      </w:tabs>
    </w:pPr>
  </w:style>
  <w:style w:type="paragraph" w:customStyle="1" w:styleId="290">
    <w:name w:val="项目编号1级"/>
    <w:basedOn w:val="291"/>
    <w:qFormat/>
    <w:uiPriority w:val="0"/>
    <w:pPr>
      <w:tabs>
        <w:tab w:val="left" w:pos="840"/>
      </w:tabs>
      <w:ind w:left="840" w:hanging="420" w:firstLineChars="0"/>
    </w:pPr>
  </w:style>
  <w:style w:type="paragraph" w:customStyle="1" w:styleId="291">
    <w:name w:val="正文缩进2"/>
    <w:basedOn w:val="1"/>
    <w:qFormat/>
    <w:uiPriority w:val="0"/>
    <w:pPr>
      <w:spacing w:line="360" w:lineRule="auto"/>
      <w:ind w:firstLine="200" w:firstLineChars="200"/>
    </w:pPr>
  </w:style>
  <w:style w:type="paragraph" w:customStyle="1" w:styleId="29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3">
    <w:name w:val="正文 New New"/>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94">
    <w:name w:val="xl5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kern w:val="0"/>
      <w:sz w:val="28"/>
      <w:szCs w:val="28"/>
    </w:rPr>
  </w:style>
  <w:style w:type="paragraph" w:customStyle="1" w:styleId="295">
    <w:name w:val="xl2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18"/>
      <w:szCs w:val="18"/>
    </w:rPr>
  </w:style>
  <w:style w:type="paragraph" w:customStyle="1" w:styleId="296">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297">
    <w:name w:val="xl1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298">
    <w:name w:val="xl10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9">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MingLiU" w:hAnsi="MingLiU" w:eastAsia="MingLiU" w:cs="宋体"/>
      <w:kern w:val="0"/>
      <w:sz w:val="24"/>
    </w:rPr>
  </w:style>
  <w:style w:type="paragraph" w:customStyle="1" w:styleId="300">
    <w:name w:val="xl32"/>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01">
    <w:name w:val="样式 标题 2 + 段前: 0.5 行 段后: 0.5 行1"/>
    <w:basedOn w:val="4"/>
    <w:qFormat/>
    <w:uiPriority w:val="0"/>
    <w:pPr>
      <w:tabs>
        <w:tab w:val="left" w:pos="576"/>
      </w:tabs>
      <w:spacing w:beforeLines="50" w:afterLines="50" w:line="360" w:lineRule="auto"/>
      <w:ind w:left="576" w:hanging="576"/>
      <w:jc w:val="left"/>
    </w:pPr>
    <w:rPr>
      <w:rFonts w:ascii="仿宋_GB2312" w:eastAsia="仿宋_GB2312" w:cs="宋体"/>
      <w:sz w:val="36"/>
      <w:szCs w:val="20"/>
    </w:rPr>
  </w:style>
  <w:style w:type="paragraph" w:customStyle="1" w:styleId="302">
    <w:name w:val="样式 标题 4Alt+4项h4H41.1.1.1 Heading 4Heading FourHead44bul...1"/>
    <w:basedOn w:val="5"/>
    <w:qFormat/>
    <w:uiPriority w:val="0"/>
    <w:pPr>
      <w:numPr>
        <w:ilvl w:val="3"/>
        <w:numId w:val="6"/>
      </w:numPr>
      <w:tabs>
        <w:tab w:val="left" w:pos="1931"/>
        <w:tab w:val="clear" w:pos="851"/>
      </w:tabs>
      <w:spacing w:before="120" w:after="0" w:line="360" w:lineRule="auto"/>
      <w:ind w:left="1931"/>
      <w:jc w:val="left"/>
    </w:pPr>
    <w:rPr>
      <w:rFonts w:ascii="Times New Roman" w:hAnsi="Times New Roman" w:eastAsia="黑体" w:cs="宋体"/>
      <w:b w:val="0"/>
      <w:bCs w:val="0"/>
      <w:sz w:val="24"/>
      <w:szCs w:val="20"/>
    </w:rPr>
  </w:style>
  <w:style w:type="paragraph" w:customStyle="1" w:styleId="303">
    <w:name w:val="xl2096"/>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04">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05">
    <w:name w:val="xl1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06">
    <w:name w:val="样式 标题 1 + 段前: 0.5 行 段后: 0.5 行"/>
    <w:basedOn w:val="3"/>
    <w:qFormat/>
    <w:uiPriority w:val="0"/>
    <w:pPr>
      <w:pageBreakBefore/>
      <w:tabs>
        <w:tab w:val="left" w:pos="840"/>
      </w:tabs>
      <w:adjustRightInd/>
      <w:spacing w:beforeLines="50" w:afterLines="50" w:line="480" w:lineRule="auto"/>
      <w:ind w:left="840" w:hanging="360"/>
      <w:textAlignment w:val="auto"/>
    </w:pPr>
    <w:rPr>
      <w:rFonts w:eastAsia="黑体" w:cs="宋体"/>
      <w:b w:val="0"/>
      <w:bCs/>
      <w:sz w:val="44"/>
    </w:rPr>
  </w:style>
  <w:style w:type="paragraph" w:customStyle="1" w:styleId="307">
    <w:name w:val="xl209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308">
    <w:name w:val="表格内容五号(V1)"/>
    <w:basedOn w:val="1"/>
    <w:qFormat/>
    <w:uiPriority w:val="0"/>
    <w:pPr>
      <w:jc w:val="center"/>
    </w:pPr>
    <w:rPr>
      <w:rFonts w:cs="Arial Unicode MS"/>
      <w:kern w:val="0"/>
      <w:szCs w:val="21"/>
    </w:rPr>
  </w:style>
  <w:style w:type="paragraph" w:customStyle="1" w:styleId="30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0">
    <w:name w:val="正文悬挂缩进6"/>
    <w:basedOn w:val="311"/>
    <w:qFormat/>
    <w:uiPriority w:val="0"/>
    <w:pPr>
      <w:tabs>
        <w:tab w:val="left" w:pos="1259"/>
      </w:tabs>
      <w:ind w:left="600" w:leftChars="600"/>
    </w:pPr>
  </w:style>
  <w:style w:type="paragraph" w:customStyle="1" w:styleId="311">
    <w:name w:val="正文悬挂缩进4"/>
    <w:basedOn w:val="1"/>
    <w:qFormat/>
    <w:uiPriority w:val="0"/>
    <w:pPr>
      <w:spacing w:line="360" w:lineRule="auto"/>
      <w:ind w:left="839"/>
    </w:pPr>
  </w:style>
  <w:style w:type="paragraph" w:customStyle="1" w:styleId="312">
    <w:name w:val="xl20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13">
    <w:name w:val="xl118"/>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14">
    <w:name w:val="xl2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15">
    <w:name w:val="样式 日期 + 行距: 1.5 倍行距"/>
    <w:basedOn w:val="37"/>
    <w:qFormat/>
    <w:uiPriority w:val="0"/>
    <w:pPr>
      <w:widowControl/>
      <w:spacing w:line="360" w:lineRule="auto"/>
      <w:ind w:left="0" w:leftChars="0" w:firstLine="540"/>
    </w:pPr>
    <w:rPr>
      <w:rFonts w:ascii="宋体" w:eastAsia="宋体" w:cs="宋体"/>
      <w:color w:val="auto"/>
      <w:sz w:val="24"/>
      <w:szCs w:val="20"/>
    </w:rPr>
  </w:style>
  <w:style w:type="paragraph" w:customStyle="1" w:styleId="316">
    <w:name w:val="xl206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317">
    <w:name w:val="样式 标题 2 + 段前: 0.5 行 段后: 0.5 行"/>
    <w:basedOn w:val="4"/>
    <w:qFormat/>
    <w:uiPriority w:val="0"/>
    <w:pPr>
      <w:tabs>
        <w:tab w:val="left" w:pos="1320"/>
      </w:tabs>
      <w:spacing w:beforeLines="50" w:afterLines="50" w:line="360" w:lineRule="auto"/>
      <w:jc w:val="left"/>
    </w:pPr>
    <w:rPr>
      <w:rFonts w:cs="宋体"/>
      <w:b w:val="0"/>
      <w:szCs w:val="20"/>
    </w:rPr>
  </w:style>
  <w:style w:type="paragraph" w:customStyle="1" w:styleId="318">
    <w:name w:val="Char Char Char"/>
    <w:basedOn w:val="1"/>
    <w:qFormat/>
    <w:uiPriority w:val="0"/>
    <w:rPr>
      <w:rFonts w:ascii="Tahoma" w:hAnsi="Tahoma" w:cs="Angsana New"/>
      <w:sz w:val="24"/>
      <w:szCs w:val="20"/>
    </w:rPr>
  </w:style>
  <w:style w:type="paragraph" w:customStyle="1" w:styleId="319">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320">
    <w:name w:val="xl10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21">
    <w:name w:val="样式 标题 3 + 段前: 0.5 行 段后: 0.5 行"/>
    <w:basedOn w:val="2"/>
    <w:qFormat/>
    <w:uiPriority w:val="0"/>
    <w:pPr>
      <w:tabs>
        <w:tab w:val="left" w:pos="720"/>
      </w:tabs>
      <w:spacing w:before="100" w:beforeAutospacing="1" w:after="100" w:afterAutospacing="1"/>
      <w:ind w:left="0" w:leftChars="0"/>
    </w:pPr>
    <w:rPr>
      <w:rFonts w:ascii="Arial" w:hAnsi="Arial" w:eastAsia="黑体" w:cs="宋体"/>
      <w:b w:val="0"/>
      <w:bCs/>
      <w:sz w:val="28"/>
    </w:rPr>
  </w:style>
  <w:style w:type="paragraph" w:customStyle="1" w:styleId="322">
    <w:name w:val="xl1062"/>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323">
    <w:name w:val="defaul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xl10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325">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326">
    <w:name w:val="xl2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327">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28">
    <w:name w:val="五级大纲"/>
    <w:next w:val="127"/>
    <w:qFormat/>
    <w:uiPriority w:val="0"/>
    <w:pPr>
      <w:numPr>
        <w:ilvl w:val="4"/>
        <w:numId w:val="4"/>
      </w:numPr>
      <w:tabs>
        <w:tab w:val="left" w:pos="2100"/>
      </w:tabs>
      <w:ind w:left="2100" w:hanging="420"/>
      <w:outlineLvl w:val="4"/>
    </w:pPr>
    <w:rPr>
      <w:rFonts w:ascii="Calibri" w:hAnsi="Calibri" w:eastAsia="宋体" w:cs="Times New Roman"/>
      <w:b/>
      <w:kern w:val="2"/>
      <w:sz w:val="28"/>
      <w:szCs w:val="22"/>
      <w:lang w:val="en-US" w:eastAsia="zh-CN" w:bidi="ar-SA"/>
    </w:rPr>
  </w:style>
  <w:style w:type="paragraph" w:customStyle="1" w:styleId="329">
    <w:name w:val="xl51"/>
    <w:basedOn w:val="1"/>
    <w:qFormat/>
    <w:uiPriority w:val="0"/>
    <w:pPr>
      <w:widowControl/>
      <w:pBdr>
        <w:top w:val="single" w:color="auto" w:sz="4" w:space="0"/>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30">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31">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332">
    <w:name w:val="xl59"/>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333">
    <w:name w:val="样式 标题 6 + 段前: 0.5 行 段后: 0.5 行"/>
    <w:basedOn w:val="7"/>
    <w:qFormat/>
    <w:uiPriority w:val="0"/>
    <w:pPr>
      <w:widowControl w:val="0"/>
      <w:tabs>
        <w:tab w:val="left" w:pos="3000"/>
        <w:tab w:val="clear" w:pos="1320"/>
        <w:tab w:val="clear" w:pos="1440"/>
        <w:tab w:val="clear" w:pos="3480"/>
      </w:tabs>
      <w:spacing w:beforeLines="50" w:afterLines="50" w:line="360" w:lineRule="auto"/>
      <w:jc w:val="both"/>
    </w:pPr>
    <w:rPr>
      <w:rFonts w:cs="宋体"/>
      <w:b w:val="0"/>
      <w:szCs w:val="20"/>
    </w:rPr>
  </w:style>
  <w:style w:type="paragraph" w:customStyle="1" w:styleId="334">
    <w:name w:val="默认段落字体 Para Char Char Char Char Char Char Char"/>
    <w:basedOn w:val="1"/>
    <w:qFormat/>
    <w:uiPriority w:val="0"/>
    <w:pPr>
      <w:jc w:val="left"/>
    </w:pPr>
    <w:rPr>
      <w:rFonts w:ascii="Tahoma" w:hAnsi="Tahoma"/>
      <w:sz w:val="24"/>
      <w:szCs w:val="20"/>
    </w:rPr>
  </w:style>
  <w:style w:type="paragraph" w:customStyle="1" w:styleId="335">
    <w:name w:val="GP正文(首行缩进)"/>
    <w:basedOn w:val="1"/>
    <w:qFormat/>
    <w:uiPriority w:val="0"/>
    <w:pPr>
      <w:spacing w:line="360" w:lineRule="auto"/>
      <w:ind w:firstLine="200" w:firstLineChars="200"/>
      <w:jc w:val="left"/>
    </w:pPr>
    <w:rPr>
      <w:sz w:val="24"/>
      <w:szCs w:val="21"/>
    </w:rPr>
  </w:style>
  <w:style w:type="paragraph" w:customStyle="1" w:styleId="336">
    <w:name w:val="style2"/>
    <w:basedOn w:val="1"/>
    <w:qFormat/>
    <w:uiPriority w:val="0"/>
    <w:pPr>
      <w:widowControl/>
      <w:spacing w:before="100" w:beforeAutospacing="1" w:after="100" w:afterAutospacing="1"/>
      <w:jc w:val="left"/>
    </w:pPr>
    <w:rPr>
      <w:rFonts w:ascii="宋体" w:hAnsi="宋体" w:cs="宋体"/>
      <w:kern w:val="0"/>
      <w:sz w:val="24"/>
    </w:rPr>
  </w:style>
  <w:style w:type="paragraph" w:customStyle="1" w:styleId="337">
    <w:name w:val="表格(五号)"/>
    <w:basedOn w:val="1"/>
    <w:qFormat/>
    <w:uiPriority w:val="0"/>
    <w:pPr>
      <w:adjustRightInd w:val="0"/>
      <w:snapToGrid w:val="0"/>
      <w:spacing w:before="60" w:after="60"/>
      <w:ind w:left="11"/>
      <w:jc w:val="center"/>
    </w:pPr>
    <w:rPr>
      <w:kern w:val="0"/>
      <w:szCs w:val="20"/>
    </w:rPr>
  </w:style>
  <w:style w:type="paragraph" w:customStyle="1" w:styleId="338">
    <w:name w:val="表格2"/>
    <w:basedOn w:val="1"/>
    <w:qFormat/>
    <w:uiPriority w:val="0"/>
    <w:pPr>
      <w:snapToGrid w:val="0"/>
      <w:jc w:val="center"/>
    </w:pPr>
    <w:rPr>
      <w:rFonts w:ascii="Arial" w:hAnsi="Arial" w:cs="Arial"/>
      <w:snapToGrid w:val="0"/>
      <w:kern w:val="0"/>
      <w:sz w:val="24"/>
    </w:rPr>
  </w:style>
  <w:style w:type="paragraph" w:customStyle="1" w:styleId="339">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340">
    <w:name w:val="10"/>
    <w:basedOn w:val="1"/>
    <w:qFormat/>
    <w:uiPriority w:val="0"/>
    <w:pPr>
      <w:spacing w:line="360" w:lineRule="auto"/>
      <w:ind w:firstLine="454"/>
    </w:pPr>
    <w:rPr>
      <w:rFonts w:ascii="Tahoma" w:hAnsi="Tahoma"/>
      <w:sz w:val="24"/>
      <w:szCs w:val="20"/>
    </w:rPr>
  </w:style>
  <w:style w:type="paragraph" w:customStyle="1" w:styleId="341">
    <w:name w:val="xl2056"/>
    <w:basedOn w:val="1"/>
    <w:qFormat/>
    <w:uiPriority w:val="0"/>
    <w:pPr>
      <w:widowControl/>
      <w:pBdr>
        <w:top w:val="double" w:color="auto" w:sz="6" w:space="0"/>
        <w:left w:val="single" w:color="auto" w:sz="4" w:space="0"/>
        <w:bottom w:val="single" w:color="auto" w:sz="4" w:space="0"/>
        <w:right w:val="double" w:color="auto" w:sz="6"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342">
    <w:name w:val="样式 样式 正文首行缩进 + 首行缩进:  2 字符 + 首行缩进:  2 字符"/>
    <w:basedOn w:val="1"/>
    <w:qFormat/>
    <w:uiPriority w:val="0"/>
    <w:pPr>
      <w:adjustRightInd w:val="0"/>
      <w:snapToGrid w:val="0"/>
      <w:spacing w:line="440" w:lineRule="exact"/>
      <w:ind w:firstLine="200" w:firstLineChars="200"/>
    </w:pPr>
    <w:rPr>
      <w:szCs w:val="20"/>
    </w:rPr>
  </w:style>
  <w:style w:type="paragraph" w:customStyle="1" w:styleId="34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4">
    <w:name w:val="xl7869"/>
    <w:basedOn w:val="1"/>
    <w:qFormat/>
    <w:uiPriority w:val="0"/>
    <w:pPr>
      <w:widowControl/>
      <w:spacing w:before="100" w:beforeAutospacing="1" w:after="100" w:afterAutospacing="1"/>
      <w:jc w:val="left"/>
      <w:textAlignment w:val="bottom"/>
    </w:pPr>
    <w:rPr>
      <w:rFonts w:ascii="宋体" w:hAnsi="宋体" w:cs="宋体"/>
      <w:color w:val="000000"/>
      <w:kern w:val="0"/>
      <w:sz w:val="20"/>
      <w:szCs w:val="20"/>
    </w:rPr>
  </w:style>
  <w:style w:type="paragraph" w:customStyle="1" w:styleId="3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eastAsia="Arial Unicode MS"/>
      <w:kern w:val="0"/>
      <w:sz w:val="20"/>
      <w:szCs w:val="20"/>
    </w:rPr>
  </w:style>
  <w:style w:type="paragraph" w:customStyle="1" w:styleId="346">
    <w:name w:val="xl2083"/>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4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34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50">
    <w:name w:val="WPSOffice手动目录 1"/>
    <w:qFormat/>
    <w:uiPriority w:val="0"/>
    <w:rPr>
      <w:rFonts w:ascii="Times New Roman" w:hAnsi="Times New Roman" w:eastAsia="宋体" w:cs="Times New Roman"/>
      <w:lang w:val="en-US" w:eastAsia="zh-CN" w:bidi="ar-SA"/>
    </w:rPr>
  </w:style>
  <w:style w:type="paragraph" w:customStyle="1" w:styleId="351">
    <w:name w:val="Char Char Char Char"/>
    <w:basedOn w:val="1"/>
    <w:qFormat/>
    <w:uiPriority w:val="0"/>
    <w:pPr>
      <w:tabs>
        <w:tab w:val="left" w:pos="360"/>
      </w:tabs>
      <w:ind w:firstLine="420" w:firstLineChars="150"/>
    </w:pPr>
    <w:rPr>
      <w:rFonts w:ascii="Arial" w:hAnsi="Arial" w:cs="Arial"/>
      <w:sz w:val="20"/>
      <w:szCs w:val="20"/>
    </w:rPr>
  </w:style>
  <w:style w:type="paragraph" w:customStyle="1" w:styleId="352">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53">
    <w:name w:val="xl15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354">
    <w:name w:val="xl1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55">
    <w:name w:val="样式 标题 4 + 段前: 0.5 行 段后: 0.5 行"/>
    <w:basedOn w:val="5"/>
    <w:qFormat/>
    <w:uiPriority w:val="0"/>
    <w:pPr>
      <w:tabs>
        <w:tab w:val="left" w:pos="360"/>
        <w:tab w:val="left" w:pos="1620"/>
      </w:tabs>
      <w:spacing w:before="100" w:beforeAutospacing="1" w:after="100" w:afterAutospacing="1" w:line="360" w:lineRule="auto"/>
      <w:ind w:left="1620" w:leftChars="600" w:hanging="360" w:hangingChars="200"/>
    </w:pPr>
    <w:rPr>
      <w:rFonts w:ascii="Arial" w:hAnsi="Arial" w:eastAsia="黑体" w:cs="宋体"/>
      <w:b w:val="0"/>
      <w:sz w:val="24"/>
      <w:szCs w:val="20"/>
    </w:rPr>
  </w:style>
  <w:style w:type="paragraph" w:customStyle="1" w:styleId="356">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57">
    <w:name w:val="def正文"/>
    <w:basedOn w:val="28"/>
    <w:qFormat/>
    <w:uiPriority w:val="0"/>
    <w:pPr>
      <w:widowControl/>
      <w:spacing w:after="0" w:line="360" w:lineRule="auto"/>
      <w:ind w:firstLine="482"/>
    </w:pPr>
    <w:rPr>
      <w:rFonts w:hAnsi="Calibri"/>
      <w:b/>
      <w:color w:val="000000"/>
      <w:sz w:val="24"/>
    </w:rPr>
  </w:style>
  <w:style w:type="paragraph" w:customStyle="1" w:styleId="358">
    <w:name w:val="xl20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359">
    <w:name w:val="zhang"/>
    <w:basedOn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60">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1">
    <w:name w:val="xl35"/>
    <w:basedOn w:val="1"/>
    <w:qFormat/>
    <w:uiPriority w:val="0"/>
    <w:pPr>
      <w:widowControl/>
      <w:pBdr>
        <w:top w:val="single" w:color="auto" w:sz="4"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62">
    <w:name w:val="表格标题1"/>
    <w:basedOn w:val="363"/>
    <w:qFormat/>
    <w:uiPriority w:val="0"/>
    <w:pPr>
      <w:tabs>
        <w:tab w:val="left" w:pos="1620"/>
      </w:tabs>
      <w:ind w:left="1620" w:leftChars="600" w:hanging="360" w:hangingChars="200"/>
      <w:jc w:val="both"/>
      <w:textAlignment w:val="bottom"/>
    </w:pPr>
    <w:rPr>
      <w:rFonts w:ascii="Times New Roman"/>
      <w:sz w:val="21"/>
      <w:szCs w:val="21"/>
    </w:rPr>
  </w:style>
  <w:style w:type="paragraph" w:customStyle="1" w:styleId="36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364">
    <w:name w:val="xl2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65">
    <w:name w:val="无间隔11"/>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366">
    <w:name w:val="表中5"/>
    <w:qFormat/>
    <w:uiPriority w:val="0"/>
    <w:pPr>
      <w:jc w:val="center"/>
    </w:pPr>
    <w:rPr>
      <w:rFonts w:ascii="Times New Roman" w:hAnsi="Times New Roman" w:eastAsia="宋体" w:cs="Times New Roman"/>
      <w:kern w:val="2"/>
      <w:sz w:val="21"/>
      <w:szCs w:val="28"/>
      <w:lang w:val="en-US" w:eastAsia="zh-CN" w:bidi="ar-SA"/>
    </w:rPr>
  </w:style>
  <w:style w:type="paragraph" w:customStyle="1" w:styleId="367">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368">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MingLiU" w:hAnsi="MingLiU" w:eastAsia="MingLiU" w:cs="宋体"/>
      <w:kern w:val="0"/>
      <w:sz w:val="24"/>
    </w:rPr>
  </w:style>
  <w:style w:type="paragraph" w:customStyle="1" w:styleId="369">
    <w:name w:val="xl1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370">
    <w:name w:val="xl2098"/>
    <w:basedOn w:val="1"/>
    <w:qFormat/>
    <w:uiPriority w:val="0"/>
    <w:pPr>
      <w:widowControl/>
      <w:pBdr>
        <w:bottom w:val="double" w:color="auto" w:sz="6" w:space="0"/>
      </w:pBdr>
      <w:spacing w:before="100" w:beforeAutospacing="1" w:after="100" w:afterAutospacing="1"/>
      <w:jc w:val="center"/>
    </w:pPr>
    <w:rPr>
      <w:rFonts w:ascii="仿宋" w:hAnsi="仿宋" w:eastAsia="仿宋" w:cs="宋体"/>
      <w:kern w:val="0"/>
      <w:sz w:val="18"/>
      <w:szCs w:val="18"/>
    </w:rPr>
  </w:style>
  <w:style w:type="paragraph" w:customStyle="1" w:styleId="371">
    <w:name w:val="标正文"/>
    <w:basedOn w:val="1"/>
    <w:qFormat/>
    <w:uiPriority w:val="0"/>
    <w:pPr>
      <w:ind w:firstLine="480" w:firstLineChars="200"/>
    </w:pPr>
  </w:style>
  <w:style w:type="paragraph" w:customStyle="1" w:styleId="372">
    <w:name w:val="样式 标题 4 + 段前: 0.5 行 段后: 0.5 行1"/>
    <w:basedOn w:val="5"/>
    <w:qFormat/>
    <w:uiPriority w:val="0"/>
    <w:pPr>
      <w:tabs>
        <w:tab w:val="left" w:pos="864"/>
      </w:tabs>
      <w:autoSpaceDE w:val="0"/>
      <w:spacing w:beforeLines="50" w:afterLines="50" w:line="360" w:lineRule="auto"/>
      <w:ind w:left="864" w:hanging="864"/>
    </w:pPr>
    <w:rPr>
      <w:rFonts w:ascii="仿宋_GB2312" w:hAnsi="Arial" w:eastAsia="仿宋_GB2312" w:cs="宋体"/>
      <w:sz w:val="30"/>
      <w:szCs w:val="20"/>
    </w:rPr>
  </w:style>
  <w:style w:type="paragraph" w:customStyle="1" w:styleId="373">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4">
    <w:name w:val="小四 段落 宋体 Char Char Char"/>
    <w:basedOn w:val="15"/>
    <w:qFormat/>
    <w:uiPriority w:val="0"/>
    <w:pPr>
      <w:numPr>
        <w:ilvl w:val="0"/>
        <w:numId w:val="0"/>
      </w:numPr>
      <w:spacing w:line="360" w:lineRule="auto"/>
      <w:ind w:right="-33" w:firstLine="480" w:firstLineChars="200"/>
      <w:jc w:val="left"/>
    </w:pPr>
    <w:rPr>
      <w:rFonts w:ascii="Times New Roman" w:hAnsi="Times New Roman"/>
      <w:sz w:val="24"/>
      <w:szCs w:val="20"/>
    </w:rPr>
  </w:style>
  <w:style w:type="paragraph" w:customStyle="1" w:styleId="375">
    <w:name w:val="样式 标题 3标题 3 Char Char Char Char(A-3)sect1.2.3h3H3 + 加粗 段前:..."/>
    <w:basedOn w:val="2"/>
    <w:qFormat/>
    <w:uiPriority w:val="0"/>
    <w:pPr>
      <w:keepNext w:val="0"/>
      <w:tabs>
        <w:tab w:val="left" w:pos="1080"/>
      </w:tabs>
      <w:spacing w:before="120" w:after="0" w:line="415" w:lineRule="auto"/>
    </w:pPr>
    <w:rPr>
      <w:rFonts w:eastAsia="黑体" w:cs="宋体"/>
      <w:b w:val="0"/>
      <w:bCs/>
      <w:sz w:val="24"/>
    </w:rPr>
  </w:style>
  <w:style w:type="paragraph" w:customStyle="1" w:styleId="376">
    <w:name w:val="xl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7">
    <w:name w:val="不缩进"/>
    <w:basedOn w:val="1"/>
    <w:qFormat/>
    <w:uiPriority w:val="0"/>
    <w:pPr>
      <w:spacing w:line="360" w:lineRule="auto"/>
      <w:jc w:val="center"/>
    </w:pPr>
    <w:rPr>
      <w:b/>
      <w:bCs/>
      <w:sz w:val="28"/>
      <w:szCs w:val="21"/>
    </w:rPr>
  </w:style>
  <w:style w:type="paragraph" w:customStyle="1" w:styleId="37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9">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0">
    <w:name w:val="小标"/>
    <w:basedOn w:val="1"/>
    <w:qFormat/>
    <w:uiPriority w:val="0"/>
    <w:rPr>
      <w:rFonts w:hint="eastAsia" w:ascii="黑体" w:eastAsia="黑体"/>
      <w:spacing w:val="20"/>
      <w:szCs w:val="20"/>
    </w:rPr>
  </w:style>
  <w:style w:type="paragraph" w:customStyle="1" w:styleId="381">
    <w:name w:val="font7"/>
    <w:basedOn w:val="1"/>
    <w:qFormat/>
    <w:uiPriority w:val="0"/>
    <w:pPr>
      <w:widowControl/>
      <w:spacing w:before="100" w:beforeAutospacing="1" w:after="100" w:afterAutospacing="1"/>
      <w:jc w:val="left"/>
    </w:pPr>
    <w:rPr>
      <w:rFonts w:ascii="宋体" w:hAnsi="宋体" w:cs="Arial Unicode MS"/>
      <w:kern w:val="0"/>
      <w:sz w:val="28"/>
      <w:szCs w:val="28"/>
    </w:rPr>
  </w:style>
  <w:style w:type="paragraph" w:customStyle="1" w:styleId="382">
    <w:name w:val="标书正文"/>
    <w:basedOn w:val="1"/>
    <w:qFormat/>
    <w:uiPriority w:val="0"/>
    <w:pPr>
      <w:spacing w:line="360" w:lineRule="auto"/>
      <w:ind w:firstLine="497" w:firstLineChars="207"/>
    </w:pPr>
    <w:rPr>
      <w:sz w:val="24"/>
      <w:szCs w:val="20"/>
    </w:rPr>
  </w:style>
  <w:style w:type="paragraph" w:customStyle="1" w:styleId="383">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4">
    <w:name w:val="xl10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385">
    <w:name w:val="xl50"/>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386">
    <w:name w:val="xl207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387">
    <w:name w:val="xl7864"/>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宋体" w:hAnsi="宋体" w:cs="宋体"/>
      <w:b/>
      <w:bCs/>
      <w:color w:val="000000"/>
      <w:kern w:val="0"/>
      <w:sz w:val="20"/>
      <w:szCs w:val="20"/>
    </w:rPr>
  </w:style>
  <w:style w:type="paragraph" w:customStyle="1" w:styleId="388">
    <w:name w:val="xl106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389">
    <w:name w:val="Char Char2 Char"/>
    <w:basedOn w:val="1"/>
    <w:semiHidden/>
    <w:qFormat/>
    <w:uiPriority w:val="0"/>
    <w:pPr>
      <w:widowControl/>
      <w:spacing w:after="160" w:line="240" w:lineRule="exact"/>
      <w:jc w:val="left"/>
    </w:pPr>
    <w:rPr>
      <w:rFonts w:ascii="Arial" w:hAnsi="Arial"/>
      <w:kern w:val="0"/>
      <w:sz w:val="22"/>
      <w:szCs w:val="22"/>
      <w:lang w:eastAsia="en-US"/>
    </w:rPr>
  </w:style>
  <w:style w:type="paragraph" w:customStyle="1" w:styleId="390">
    <w:name w:val="xl78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91">
    <w:name w:val="列出段落1"/>
    <w:basedOn w:val="1"/>
    <w:qFormat/>
    <w:uiPriority w:val="34"/>
    <w:pPr>
      <w:ind w:firstLine="420" w:firstLineChars="200"/>
    </w:pPr>
    <w:rPr>
      <w:rFonts w:ascii="宋体" w:hAnsi="宋体" w:cs="宋体"/>
      <w:bCs/>
      <w:color w:val="000000"/>
      <w:kern w:val="0"/>
      <w:sz w:val="24"/>
      <w:u w:val="single"/>
    </w:rPr>
  </w:style>
  <w:style w:type="paragraph" w:customStyle="1" w:styleId="392">
    <w:name w:val="CM2"/>
    <w:basedOn w:val="264"/>
    <w:next w:val="264"/>
    <w:qFormat/>
    <w:uiPriority w:val="0"/>
    <w:pPr>
      <w:spacing w:line="623" w:lineRule="atLeast"/>
    </w:pPr>
    <w:rPr>
      <w:rFonts w:ascii=".a..DD.." w:eastAsia=".a..DD.."/>
      <w:color w:val="auto"/>
      <w:szCs w:val="24"/>
    </w:rPr>
  </w:style>
  <w:style w:type="paragraph" w:customStyle="1" w:styleId="393">
    <w:name w:val="xl12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4">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95">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96">
    <w:name w:val="样式 标题 2 + 段前: 0.5 行 段后: 0.5 行2"/>
    <w:basedOn w:val="4"/>
    <w:qFormat/>
    <w:uiPriority w:val="0"/>
    <w:pPr>
      <w:tabs>
        <w:tab w:val="left" w:pos="1320"/>
      </w:tabs>
      <w:spacing w:beforeLines="50" w:afterLines="50" w:line="360" w:lineRule="auto"/>
      <w:jc w:val="left"/>
    </w:pPr>
    <w:rPr>
      <w:rFonts w:cs="宋体"/>
      <w:sz w:val="36"/>
      <w:szCs w:val="20"/>
    </w:rPr>
  </w:style>
  <w:style w:type="paragraph" w:customStyle="1" w:styleId="397">
    <w:name w:val="一级"/>
    <w:basedOn w:val="127"/>
    <w:next w:val="127"/>
    <w:qFormat/>
    <w:uiPriority w:val="0"/>
    <w:pPr>
      <w:tabs>
        <w:tab w:val="left" w:pos="360"/>
        <w:tab w:val="left" w:pos="780"/>
      </w:tabs>
      <w:ind w:left="780" w:hanging="360" w:firstLineChars="0"/>
      <w:jc w:val="center"/>
      <w:outlineLvl w:val="0"/>
    </w:pPr>
    <w:rPr>
      <w:b/>
      <w:sz w:val="44"/>
    </w:rPr>
  </w:style>
  <w:style w:type="paragraph" w:customStyle="1" w:styleId="398">
    <w:name w:val="内文"/>
    <w:qFormat/>
    <w:uiPriority w:val="0"/>
    <w:pPr>
      <w:widowControl w:val="0"/>
      <w:autoSpaceDE w:val="0"/>
      <w:autoSpaceDN w:val="0"/>
      <w:adjustRightInd w:val="0"/>
      <w:jc w:val="both"/>
    </w:pPr>
    <w:rPr>
      <w:rFonts w:hint="eastAsia" w:ascii="宋体" w:hAnsi="Times New Roman" w:eastAsia="宋体" w:cs="Times New Roman"/>
      <w:color w:val="000000"/>
      <w:sz w:val="24"/>
      <w:lang w:val="en-US" w:eastAsia="zh-CN" w:bidi="ar-SA"/>
    </w:rPr>
  </w:style>
  <w:style w:type="paragraph" w:customStyle="1" w:styleId="399">
    <w:name w:val="xl2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00">
    <w:name w:val="xl10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01">
    <w:name w:val="xl20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kern w:val="0"/>
      <w:sz w:val="18"/>
      <w:szCs w:val="18"/>
    </w:rPr>
  </w:style>
  <w:style w:type="paragraph" w:customStyle="1" w:styleId="402">
    <w:name w:val="xl10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3">
    <w:name w:val="Sub Item List"/>
    <w:basedOn w:val="1"/>
    <w:qFormat/>
    <w:uiPriority w:val="0"/>
    <w:pPr>
      <w:widowControl/>
      <w:numPr>
        <w:ilvl w:val="0"/>
        <w:numId w:val="7"/>
      </w:numPr>
      <w:topLinePunct/>
      <w:adjustRightInd w:val="0"/>
      <w:snapToGrid w:val="0"/>
      <w:spacing w:before="80" w:after="80" w:line="240" w:lineRule="atLeast"/>
      <w:jc w:val="left"/>
    </w:pPr>
    <w:rPr>
      <w:rFonts w:ascii="Arial" w:hAnsi="Arial" w:cs="Arial"/>
      <w:szCs w:val="21"/>
    </w:rPr>
  </w:style>
  <w:style w:type="paragraph" w:customStyle="1" w:styleId="40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5">
    <w:name w:val="封面中部"/>
    <w:basedOn w:val="1"/>
    <w:qFormat/>
    <w:uiPriority w:val="0"/>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06">
    <w:name w:val="xl108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07">
    <w:name w:val="xl20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408">
    <w:name w:val="font9"/>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409">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10">
    <w:name w:val="xl20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41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2">
    <w:name w:val="表3"/>
    <w:basedOn w:val="413"/>
    <w:qFormat/>
    <w:uiPriority w:val="0"/>
    <w:pPr>
      <w:numPr>
        <w:numId w:val="0"/>
      </w:numPr>
      <w:tabs>
        <w:tab w:val="left" w:pos="902"/>
      </w:tabs>
      <w:ind w:left="902" w:hanging="420"/>
    </w:pPr>
  </w:style>
  <w:style w:type="paragraph" w:customStyle="1" w:styleId="413">
    <w:name w:val="表2"/>
    <w:basedOn w:val="414"/>
    <w:qFormat/>
    <w:uiPriority w:val="0"/>
    <w:pPr>
      <w:numPr>
        <w:ilvl w:val="0"/>
        <w:numId w:val="8"/>
      </w:numPr>
    </w:pPr>
  </w:style>
  <w:style w:type="paragraph" w:customStyle="1" w:styleId="414">
    <w:name w:val="表1"/>
    <w:basedOn w:val="415"/>
    <w:qFormat/>
    <w:uiPriority w:val="0"/>
  </w:style>
  <w:style w:type="paragraph" w:customStyle="1" w:styleId="415">
    <w:name w:val="表格样式"/>
    <w:basedOn w:val="1"/>
    <w:qFormat/>
    <w:uiPriority w:val="0"/>
    <w:pPr>
      <w:spacing w:before="156" w:after="156"/>
      <w:jc w:val="center"/>
    </w:pPr>
    <w:rPr>
      <w:rFonts w:ascii="宋体" w:hAnsi="宋体" w:cs="宋体"/>
      <w:b/>
      <w:bCs/>
      <w:kern w:val="0"/>
      <w:szCs w:val="20"/>
    </w:rPr>
  </w:style>
  <w:style w:type="paragraph" w:customStyle="1" w:styleId="416">
    <w:name w:val="样式 标题 4 + 段前: 0.5 行 段后: 0.5 行 行距: 多倍行距 1.57 字行"/>
    <w:basedOn w:val="5"/>
    <w:qFormat/>
    <w:uiPriority w:val="0"/>
    <w:pPr>
      <w:tabs>
        <w:tab w:val="left" w:pos="2160"/>
      </w:tabs>
      <w:spacing w:beforeLines="50" w:afterLines="50" w:line="374" w:lineRule="auto"/>
      <w:ind w:left="2160" w:hanging="420"/>
    </w:pPr>
    <w:rPr>
      <w:rFonts w:ascii="Arial" w:hAnsi="Arial" w:eastAsia="黑体" w:cs="宋体"/>
      <w:b w:val="0"/>
      <w:sz w:val="30"/>
      <w:szCs w:val="30"/>
    </w:rPr>
  </w:style>
  <w:style w:type="paragraph" w:customStyle="1" w:styleId="417">
    <w:name w:val="Char Char Char Char1"/>
    <w:basedOn w:val="1"/>
    <w:qFormat/>
    <w:uiPriority w:val="0"/>
    <w:rPr>
      <w:rFonts w:ascii="仿宋_GB2312" w:eastAsia="仿宋_GB2312"/>
      <w:b/>
      <w:sz w:val="32"/>
      <w:szCs w:val="32"/>
    </w:rPr>
  </w:style>
  <w:style w:type="paragraph" w:customStyle="1" w:styleId="418">
    <w:name w:val="xl2052"/>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419">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420">
    <w:name w:val="样式 样式 标题 + 段前: 0.5 行 段后: 0.5 行 + 段前: 0.5 行 段后: 0.5 行"/>
    <w:basedOn w:val="421"/>
    <w:qFormat/>
    <w:uiPriority w:val="0"/>
    <w:pPr>
      <w:spacing w:beforeLines="50" w:afterLines="50" w:line="360" w:lineRule="auto"/>
    </w:pPr>
    <w:rPr>
      <w:rFonts w:eastAsia="黑体" w:cs="宋体"/>
      <w:sz w:val="72"/>
      <w:szCs w:val="20"/>
      <w:u w:val="double"/>
    </w:rPr>
  </w:style>
  <w:style w:type="paragraph" w:customStyle="1" w:styleId="421">
    <w:name w:val="样式 标题 + 段前: 0.5 行 段后: 0.5 行"/>
    <w:basedOn w:val="57"/>
    <w:qFormat/>
    <w:uiPriority w:val="0"/>
  </w:style>
  <w:style w:type="paragraph" w:customStyle="1" w:styleId="422">
    <w:name w:val="默认段落字体 Para Char Char Char Char Char Char Char Char Char Char Char Char Char"/>
    <w:basedOn w:val="20"/>
    <w:qFormat/>
    <w:uiPriority w:val="0"/>
    <w:pPr>
      <w:adjustRightInd w:val="0"/>
      <w:spacing w:line="436" w:lineRule="exact"/>
      <w:ind w:left="357"/>
      <w:jc w:val="left"/>
      <w:outlineLvl w:val="3"/>
    </w:pPr>
    <w:rPr>
      <w:rFonts w:ascii="宋体" w:hAnsi="宋体"/>
      <w:szCs w:val="21"/>
    </w:rPr>
  </w:style>
  <w:style w:type="paragraph" w:customStyle="1" w:styleId="423">
    <w:name w:val="说明正文"/>
    <w:basedOn w:val="1"/>
    <w:qFormat/>
    <w:uiPriority w:val="0"/>
    <w:pPr>
      <w:spacing w:line="360" w:lineRule="auto"/>
      <w:ind w:firstLine="480" w:firstLineChars="200"/>
    </w:pPr>
    <w:rPr>
      <w:rFonts w:ascii="宋体" w:hAnsi="宋体"/>
      <w:sz w:val="24"/>
    </w:rPr>
  </w:style>
  <w:style w:type="paragraph" w:customStyle="1" w:styleId="424">
    <w:name w:val="xl10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425">
    <w:name w:val="Char Char Char Char Char Char Char"/>
    <w:basedOn w:val="1"/>
    <w:qFormat/>
    <w:uiPriority w:val="0"/>
  </w:style>
  <w:style w:type="paragraph" w:customStyle="1" w:styleId="42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27">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428">
    <w:name w:val="xl78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429">
    <w:name w:val="默认段落字体 Para Char"/>
    <w:basedOn w:val="1"/>
    <w:qFormat/>
    <w:uiPriority w:val="0"/>
  </w:style>
  <w:style w:type="paragraph" w:customStyle="1" w:styleId="430">
    <w:name w:val="xl7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1">
    <w:name w:val="表样式"/>
    <w:basedOn w:val="1"/>
    <w:qFormat/>
    <w:uiPriority w:val="0"/>
    <w:pPr>
      <w:autoSpaceDE w:val="0"/>
      <w:autoSpaceDN w:val="0"/>
      <w:adjustRightInd w:val="0"/>
      <w:spacing w:before="90" w:after="90"/>
      <w:jc w:val="center"/>
    </w:pPr>
    <w:rPr>
      <w:rFonts w:ascii="Arial" w:hAnsi="Arial"/>
      <w:kern w:val="0"/>
      <w:sz w:val="18"/>
    </w:rPr>
  </w:style>
  <w:style w:type="paragraph" w:customStyle="1" w:styleId="432">
    <w:name w:val="正文居中小5"/>
    <w:basedOn w:val="1"/>
    <w:qFormat/>
    <w:uiPriority w:val="0"/>
    <w:pPr>
      <w:spacing w:line="360" w:lineRule="auto"/>
      <w:jc w:val="center"/>
    </w:pPr>
    <w:rPr>
      <w:rFonts w:ascii="Arial" w:hAnsi="Arial"/>
      <w:sz w:val="18"/>
    </w:rPr>
  </w:style>
  <w:style w:type="paragraph" w:customStyle="1" w:styleId="433">
    <w:name w:val="样式2"/>
    <w:basedOn w:val="1"/>
    <w:qFormat/>
    <w:uiPriority w:val="0"/>
    <w:pPr>
      <w:tabs>
        <w:tab w:val="left" w:pos="360"/>
      </w:tabs>
      <w:spacing w:line="360" w:lineRule="auto"/>
      <w:ind w:firstLine="174" w:firstLineChars="174"/>
      <w:jc w:val="left"/>
    </w:pPr>
    <w:rPr>
      <w:rFonts w:eastAsia="楷体_GB2312"/>
      <w:sz w:val="24"/>
      <w:szCs w:val="28"/>
    </w:rPr>
  </w:style>
  <w:style w:type="paragraph" w:customStyle="1" w:styleId="434">
    <w:name w:val="小四 段落 宋体 Char Char"/>
    <w:basedOn w:val="374"/>
    <w:qFormat/>
    <w:uiPriority w:val="0"/>
  </w:style>
  <w:style w:type="paragraph" w:customStyle="1" w:styleId="435">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436">
    <w:name w:val="xl786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37">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38">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9">
    <w:name w:val="TOC 标题2"/>
    <w:basedOn w:val="3"/>
    <w:next w:val="1"/>
    <w:qFormat/>
    <w:uiPriority w:val="39"/>
    <w:pPr>
      <w:adjustRightInd/>
      <w:spacing w:before="340" w:after="330" w:line="578" w:lineRule="auto"/>
      <w:jc w:val="both"/>
      <w:textAlignment w:val="auto"/>
      <w:outlineLvl w:val="9"/>
    </w:pPr>
    <w:rPr>
      <w:bCs/>
      <w:sz w:val="44"/>
      <w:szCs w:val="44"/>
    </w:rPr>
  </w:style>
  <w:style w:type="paragraph" w:customStyle="1" w:styleId="440">
    <w:name w:val="样式 小四 首行缩进:  2 字符"/>
    <w:basedOn w:val="1"/>
    <w:qFormat/>
    <w:uiPriority w:val="0"/>
    <w:pPr>
      <w:spacing w:line="300" w:lineRule="auto"/>
      <w:ind w:firstLine="480" w:firstLineChars="200"/>
    </w:pPr>
    <w:rPr>
      <w:sz w:val="24"/>
      <w:szCs w:val="20"/>
    </w:rPr>
  </w:style>
  <w:style w:type="paragraph" w:customStyle="1" w:styleId="441">
    <w:name w:val="xl4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42">
    <w:name w:val="xl20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kern w:val="0"/>
      <w:sz w:val="18"/>
      <w:szCs w:val="18"/>
    </w:rPr>
  </w:style>
  <w:style w:type="paragraph" w:customStyle="1" w:styleId="443">
    <w:name w:val="xl2084"/>
    <w:basedOn w:val="1"/>
    <w:qFormat/>
    <w:uiPriority w:val="0"/>
    <w:pPr>
      <w:widowControl/>
      <w:pBdr>
        <w:top w:val="single" w:color="auto" w:sz="4" w:space="0"/>
        <w:left w:val="single" w:color="auto" w:sz="4" w:space="0"/>
        <w:bottom w:val="double" w:color="auto" w:sz="6"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444">
    <w:name w:val="xl10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445">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46">
    <w:name w:val="标题3"/>
    <w:basedOn w:val="1"/>
    <w:qFormat/>
    <w:uiPriority w:val="0"/>
    <w:pPr>
      <w:spacing w:beforeLines="50" w:afterLines="50" w:line="300" w:lineRule="exact"/>
    </w:pPr>
    <w:rPr>
      <w:b/>
      <w:bCs/>
    </w:rPr>
  </w:style>
  <w:style w:type="paragraph" w:customStyle="1" w:styleId="4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8">
    <w:name w:val="英文标号正文"/>
    <w:basedOn w:val="1"/>
    <w:qFormat/>
    <w:uiPriority w:val="0"/>
    <w:pPr>
      <w:widowControl/>
      <w:tabs>
        <w:tab w:val="left" w:pos="425"/>
        <w:tab w:val="left" w:pos="1620"/>
      </w:tabs>
      <w:autoSpaceDE w:val="0"/>
      <w:autoSpaceDN w:val="0"/>
      <w:ind w:left="1620" w:leftChars="600" w:hanging="360" w:hangingChars="200"/>
    </w:pPr>
    <w:rPr>
      <w:kern w:val="0"/>
      <w:sz w:val="24"/>
      <w:szCs w:val="20"/>
    </w:rPr>
  </w:style>
  <w:style w:type="paragraph" w:customStyle="1" w:styleId="449">
    <w:name w:val="Absatz2AL"/>
    <w:basedOn w:val="28"/>
    <w:next w:val="1"/>
    <w:qFormat/>
    <w:uiPriority w:val="0"/>
    <w:pPr>
      <w:widowControl/>
      <w:overflowPunct w:val="0"/>
      <w:autoSpaceDE w:val="0"/>
      <w:autoSpaceDN w:val="0"/>
      <w:adjustRightInd w:val="0"/>
      <w:spacing w:after="0"/>
      <w:textAlignment w:val="baseline"/>
    </w:pPr>
    <w:rPr>
      <w:rFonts w:hAnsi="Calibri" w:eastAsia="楷体_GB2312"/>
      <w:sz w:val="24"/>
      <w:szCs w:val="20"/>
    </w:rPr>
  </w:style>
  <w:style w:type="paragraph" w:customStyle="1" w:styleId="45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2">
    <w:name w:val="样式5"/>
    <w:basedOn w:val="211"/>
    <w:qFormat/>
    <w:uiPriority w:val="0"/>
    <w:pPr>
      <w:snapToGrid w:val="0"/>
      <w:spacing w:line="360" w:lineRule="auto"/>
      <w:ind w:firstLine="456" w:firstLineChars="200"/>
      <w:jc w:val="left"/>
    </w:pPr>
    <w:rPr>
      <w:rFonts w:ascii="楷体_GB2312" w:hAnsi="楷体_GB2312" w:eastAsia="楷体_GB2312" w:cs="宋体"/>
      <w:b/>
      <w:spacing w:val="-6"/>
    </w:rPr>
  </w:style>
  <w:style w:type="paragraph" w:customStyle="1" w:styleId="453">
    <w:name w:val="xl1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54">
    <w:name w:val="二级无"/>
    <w:basedOn w:val="254"/>
    <w:qFormat/>
    <w:uiPriority w:val="0"/>
    <w:pPr>
      <w:spacing w:beforeLines="0" w:afterLines="0"/>
    </w:pPr>
    <w:rPr>
      <w:rFonts w:ascii="宋体" w:eastAsia="宋体"/>
    </w:rPr>
  </w:style>
  <w:style w:type="paragraph" w:customStyle="1" w:styleId="455">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 w:type="paragraph" w:customStyle="1" w:styleId="456">
    <w:name w:val="Figure Description"/>
    <w:basedOn w:val="1"/>
    <w:next w:val="120"/>
    <w:qFormat/>
    <w:uiPriority w:val="0"/>
    <w:pPr>
      <w:keepNext/>
      <w:keepLines/>
      <w:spacing w:afterLines="100" w:line="360" w:lineRule="auto"/>
      <w:jc w:val="center"/>
    </w:pPr>
    <w:rPr>
      <w:rFonts w:ascii="Tahoma" w:hAnsi="Tahoma"/>
      <w:sz w:val="24"/>
    </w:rPr>
  </w:style>
  <w:style w:type="paragraph" w:customStyle="1" w:styleId="457">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58">
    <w:name w:val="xl787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59">
    <w:name w:val="表格标题2"/>
    <w:basedOn w:val="1"/>
    <w:qFormat/>
    <w:uiPriority w:val="0"/>
    <w:pPr>
      <w:tabs>
        <w:tab w:val="left" w:pos="1620"/>
      </w:tabs>
      <w:adjustRightInd w:val="0"/>
      <w:spacing w:before="60" w:after="60"/>
      <w:ind w:left="1620" w:leftChars="600" w:hanging="360" w:hangingChars="200"/>
      <w:textAlignment w:val="bottom"/>
    </w:pPr>
    <w:rPr>
      <w:kern w:val="0"/>
      <w:szCs w:val="21"/>
    </w:rPr>
  </w:style>
  <w:style w:type="paragraph" w:customStyle="1" w:styleId="460">
    <w:name w:val="1"/>
    <w:basedOn w:val="42"/>
    <w:qFormat/>
    <w:uiPriority w:val="0"/>
    <w:pPr>
      <w:pBdr>
        <w:bottom w:val="none" w:color="auto" w:sz="0" w:space="0"/>
      </w:pBdr>
    </w:pPr>
    <w:rPr>
      <w:rFonts w:ascii="Calibri" w:hAnsi="Calibri" w:eastAsia="华文新魏"/>
      <w:sz w:val="21"/>
      <w:szCs w:val="20"/>
    </w:rPr>
  </w:style>
  <w:style w:type="paragraph" w:customStyle="1" w:styleId="461">
    <w:name w:val="TOC 标题3"/>
    <w:basedOn w:val="3"/>
    <w:next w:val="1"/>
    <w:unhideWhenUsed/>
    <w:qFormat/>
    <w:uiPriority w:val="39"/>
    <w:pPr>
      <w:outlineLvl w:val="9"/>
    </w:pPr>
  </w:style>
  <w:style w:type="paragraph" w:customStyle="1" w:styleId="462">
    <w:name w:val="TOC 标题1"/>
    <w:basedOn w:val="3"/>
    <w:next w:val="1"/>
    <w:unhideWhenUsed/>
    <w:qFormat/>
    <w:uiPriority w:val="39"/>
    <w:pPr>
      <w:widowControl/>
      <w:spacing w:before="240" w:line="259" w:lineRule="auto"/>
      <w:outlineLvl w:val="9"/>
    </w:pPr>
    <w:rPr>
      <w:rFonts w:ascii="Cambria" w:hAnsi="Cambria"/>
      <w:b w:val="0"/>
      <w:color w:val="366091"/>
      <w:kern w:val="0"/>
      <w:szCs w:val="32"/>
    </w:rPr>
  </w:style>
  <w:style w:type="paragraph" w:customStyle="1" w:styleId="463">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4">
    <w:name w:val="日期1"/>
    <w:basedOn w:val="1"/>
    <w:next w:val="1"/>
    <w:qFormat/>
    <w:uiPriority w:val="0"/>
    <w:pPr>
      <w:adjustRightInd w:val="0"/>
      <w:spacing w:line="360" w:lineRule="atLeast"/>
      <w:textAlignment w:val="baseline"/>
    </w:pPr>
    <w:rPr>
      <w:rFonts w:ascii="宋体"/>
      <w:kern w:val="0"/>
      <w:sz w:val="28"/>
      <w:szCs w:val="20"/>
    </w:rPr>
  </w:style>
  <w:style w:type="paragraph" w:customStyle="1" w:styleId="465">
    <w:name w:val="xl83"/>
    <w:basedOn w:val="1"/>
    <w:qFormat/>
    <w:uiPriority w:val="0"/>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466">
    <w:name w:val="xl52"/>
    <w:basedOn w:val="1"/>
    <w:qFormat/>
    <w:uiPriority w:val="0"/>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67">
    <w:name w:val="图"/>
    <w:basedOn w:val="1"/>
    <w:next w:val="1"/>
    <w:qFormat/>
    <w:uiPriority w:val="0"/>
    <w:pPr>
      <w:tabs>
        <w:tab w:val="left" w:pos="209"/>
      </w:tabs>
      <w:adjustRightInd w:val="0"/>
      <w:spacing w:before="60" w:after="60" w:line="360" w:lineRule="atLeast"/>
      <w:ind w:left="432" w:hanging="432"/>
      <w:jc w:val="center"/>
      <w:textAlignment w:val="baseline"/>
    </w:pPr>
    <w:rPr>
      <w:rFonts w:eastAsia="仿宋_GB2312"/>
      <w:b/>
      <w:kern w:val="0"/>
      <w:szCs w:val="20"/>
    </w:rPr>
  </w:style>
  <w:style w:type="paragraph" w:customStyle="1" w:styleId="468">
    <w:name w:val="Figure"/>
    <w:basedOn w:val="1"/>
    <w:next w:val="456"/>
    <w:qFormat/>
    <w:uiPriority w:val="0"/>
    <w:pPr>
      <w:keepNext/>
      <w:ind w:left="1701"/>
    </w:pPr>
  </w:style>
  <w:style w:type="paragraph" w:customStyle="1" w:styleId="469">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470">
    <w:name w:val="xl38"/>
    <w:basedOn w:val="1"/>
    <w:qFormat/>
    <w:uiPriority w:val="0"/>
    <w:pPr>
      <w:widowControl/>
      <w:pBdr>
        <w:top w:val="single" w:color="auto" w:sz="4" w:space="0"/>
        <w:bottom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71">
    <w:name w:val="xl33"/>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2">
    <w:name w:val="xl156"/>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73">
    <w:name w:val="xl44"/>
    <w:basedOn w:val="1"/>
    <w:qFormat/>
    <w:uiPriority w:val="0"/>
    <w:pPr>
      <w:widowControl/>
      <w:pBdr>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474">
    <w:name w:val="表格标题小四"/>
    <w:basedOn w:val="1"/>
    <w:next w:val="1"/>
    <w:qFormat/>
    <w:uiPriority w:val="0"/>
    <w:pPr>
      <w:adjustRightInd w:val="0"/>
      <w:snapToGrid w:val="0"/>
      <w:spacing w:line="288" w:lineRule="auto"/>
      <w:jc w:val="center"/>
    </w:pPr>
    <w:rPr>
      <w:rFonts w:eastAsia="黑体"/>
      <w:bCs/>
      <w:snapToGrid w:val="0"/>
      <w:sz w:val="24"/>
    </w:rPr>
  </w:style>
  <w:style w:type="paragraph" w:customStyle="1" w:styleId="475">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rPr>
  </w:style>
  <w:style w:type="paragraph" w:customStyle="1" w:styleId="478">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9">
    <w:name w:val="Char Char Char Char Char Char Char1"/>
    <w:basedOn w:val="1"/>
    <w:qFormat/>
    <w:uiPriority w:val="0"/>
  </w:style>
  <w:style w:type="paragraph" w:customStyle="1" w:styleId="480">
    <w:name w:val="xl2057"/>
    <w:basedOn w:val="1"/>
    <w:qFormat/>
    <w:uiPriority w:val="0"/>
    <w:pPr>
      <w:widowControl/>
      <w:spacing w:before="100" w:beforeAutospacing="1" w:after="100" w:afterAutospacing="1"/>
      <w:jc w:val="left"/>
    </w:pPr>
    <w:rPr>
      <w:rFonts w:ascii="仿宋" w:hAnsi="仿宋" w:eastAsia="仿宋" w:cs="宋体"/>
      <w:color w:val="000000"/>
      <w:kern w:val="0"/>
      <w:sz w:val="18"/>
      <w:szCs w:val="18"/>
    </w:rPr>
  </w:style>
  <w:style w:type="paragraph" w:customStyle="1" w:styleId="481">
    <w:name w:val="正文居中"/>
    <w:basedOn w:val="1"/>
    <w:next w:val="38"/>
    <w:qFormat/>
    <w:uiPriority w:val="0"/>
    <w:pPr>
      <w:adjustRightInd w:val="0"/>
      <w:snapToGrid w:val="0"/>
      <w:ind w:firstLine="480" w:firstLineChars="200"/>
    </w:pPr>
    <w:rPr>
      <w:rFonts w:ascii="宋体" w:hAnsi="宋体"/>
      <w:sz w:val="24"/>
    </w:rPr>
  </w:style>
  <w:style w:type="paragraph" w:customStyle="1" w:styleId="482">
    <w:name w:val="xl10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483">
    <w:name w:val="打印正文1"/>
    <w:basedOn w:val="1"/>
    <w:qFormat/>
    <w:uiPriority w:val="0"/>
    <w:pPr>
      <w:tabs>
        <w:tab w:val="left" w:pos="705"/>
        <w:tab w:val="left" w:pos="1440"/>
      </w:tabs>
      <w:spacing w:line="480" w:lineRule="atLeast"/>
      <w:ind w:left="1440" w:hanging="360"/>
    </w:pPr>
    <w:rPr>
      <w:rFonts w:ascii="宋体" w:hAnsi="宋体"/>
      <w:bCs/>
      <w:spacing w:val="10"/>
      <w:kern w:val="28"/>
      <w:szCs w:val="21"/>
    </w:rPr>
  </w:style>
  <w:style w:type="paragraph" w:customStyle="1" w:styleId="484">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85">
    <w:name w:val="Char2"/>
    <w:basedOn w:val="1"/>
    <w:qFormat/>
    <w:uiPriority w:val="0"/>
    <w:pPr>
      <w:jc w:val="center"/>
    </w:pPr>
    <w:rPr>
      <w:rFonts w:ascii="宋体" w:hAnsi="宋体"/>
      <w:b/>
      <w:szCs w:val="21"/>
    </w:rPr>
  </w:style>
  <w:style w:type="paragraph" w:customStyle="1" w:styleId="486">
    <w:name w:val="Item Step in Table"/>
    <w:basedOn w:val="1"/>
    <w:qFormat/>
    <w:uiPriority w:val="0"/>
    <w:pPr>
      <w:tabs>
        <w:tab w:val="left" w:pos="420"/>
      </w:tabs>
      <w:ind w:left="420" w:hanging="420"/>
      <w:jc w:val="left"/>
    </w:pPr>
    <w:rPr>
      <w:rFonts w:ascii="Tahoma" w:hAnsi="Tahoma"/>
      <w:sz w:val="28"/>
      <w:szCs w:val="21"/>
    </w:rPr>
  </w:style>
  <w:style w:type="paragraph" w:customStyle="1" w:styleId="487">
    <w:name w:val="_Style 38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8">
    <w:name w:val="样式 标题 1l1I1heading 1h11st levell1+toc 1Chapter title1He..."/>
    <w:basedOn w:val="3"/>
    <w:qFormat/>
    <w:uiPriority w:val="0"/>
    <w:pPr>
      <w:tabs>
        <w:tab w:val="left" w:pos="525"/>
      </w:tabs>
      <w:adjustRightInd/>
      <w:spacing w:before="340" w:after="330" w:line="360" w:lineRule="auto"/>
      <w:jc w:val="both"/>
      <w:textAlignment w:val="auto"/>
    </w:pPr>
    <w:rPr>
      <w:rFonts w:eastAsia="黑体"/>
      <w:bCs/>
      <w:sz w:val="28"/>
      <w:szCs w:val="32"/>
    </w:rPr>
  </w:style>
  <w:style w:type="paragraph" w:customStyle="1" w:styleId="489">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490">
    <w:name w:val="xl10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491">
    <w:name w:val="Notes Heading in Table"/>
    <w:next w:val="1"/>
    <w:qFormat/>
    <w:uiPriority w:val="0"/>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92">
    <w:name w:val="xl149"/>
    <w:basedOn w:val="1"/>
    <w:qFormat/>
    <w:uiPriority w:val="0"/>
    <w:pPr>
      <w:widowControl/>
      <w:spacing w:before="100" w:beforeAutospacing="1" w:after="100" w:afterAutospacing="1"/>
      <w:jc w:val="center"/>
    </w:pPr>
    <w:rPr>
      <w:rFonts w:ascii="宋体" w:hAnsi="宋体" w:cs="宋体"/>
      <w:color w:val="FF0000"/>
      <w:kern w:val="0"/>
      <w:sz w:val="20"/>
      <w:szCs w:val="20"/>
    </w:rPr>
  </w:style>
  <w:style w:type="paragraph" w:customStyle="1" w:styleId="493">
    <w:name w:val="正"/>
    <w:basedOn w:val="1"/>
    <w:qFormat/>
    <w:uiPriority w:val="0"/>
    <w:pPr>
      <w:ind w:firstLine="525"/>
    </w:pPr>
    <w:rPr>
      <w:spacing w:val="20"/>
      <w:szCs w:val="20"/>
    </w:rPr>
  </w:style>
  <w:style w:type="paragraph" w:customStyle="1" w:styleId="494">
    <w:name w:val="font16"/>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95">
    <w:name w:val="xl1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6">
    <w:name w:val="xl56"/>
    <w:basedOn w:val="1"/>
    <w:qFormat/>
    <w:uiPriority w:val="0"/>
    <w:pPr>
      <w:widowControl/>
      <w:pBdr>
        <w:top w:val="single" w:color="auto" w:sz="4" w:space="0"/>
        <w:left w:val="single" w:color="auto" w:sz="4" w:space="0"/>
        <w:bottom w:val="single" w:color="auto" w:sz="8"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497">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8">
    <w:name w:val="xl2055"/>
    <w:basedOn w:val="1"/>
    <w:qFormat/>
    <w:uiPriority w:val="0"/>
    <w:pPr>
      <w:widowControl/>
      <w:pBdr>
        <w:top w:val="double" w:color="auto" w:sz="6"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18"/>
      <w:szCs w:val="18"/>
    </w:rPr>
  </w:style>
  <w:style w:type="paragraph" w:customStyle="1" w:styleId="499">
    <w:name w:val="xl10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00">
    <w:name w:val="T文本"/>
    <w:basedOn w:val="1"/>
    <w:qFormat/>
    <w:uiPriority w:val="0"/>
    <w:pPr>
      <w:widowControl/>
      <w:snapToGrid w:val="0"/>
      <w:spacing w:beforeLines="50" w:afterLines="50" w:line="360" w:lineRule="auto"/>
      <w:ind w:firstLine="200" w:firstLineChars="200"/>
    </w:pPr>
    <w:rPr>
      <w:rFonts w:eastAsia="Times New Roman"/>
      <w:kern w:val="0"/>
      <w:sz w:val="24"/>
    </w:rPr>
  </w:style>
  <w:style w:type="paragraph" w:customStyle="1" w:styleId="501">
    <w:name w:val="Table Paragraph"/>
    <w:basedOn w:val="1"/>
    <w:qFormat/>
    <w:uiPriority w:val="1"/>
    <w:rPr>
      <w:rFonts w:ascii="宋体" w:hAnsi="宋体" w:cs="宋体"/>
      <w:lang w:val="zh-CN" w:bidi="zh-CN"/>
    </w:rPr>
  </w:style>
  <w:style w:type="paragraph" w:customStyle="1" w:styleId="502">
    <w:name w:val="正常"/>
    <w:qFormat/>
    <w:uiPriority w:val="0"/>
    <w:rPr>
      <w:rFonts w:ascii="Verdana" w:hAnsi="Verdana" w:eastAsia="宋体" w:cs="Times New Roman"/>
      <w:lang w:val="en-GB" w:eastAsia="en-US" w:bidi="ar-SA"/>
    </w:rPr>
  </w:style>
  <w:style w:type="paragraph" w:customStyle="1" w:styleId="503">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jc w:val="left"/>
    </w:pPr>
    <w:rPr>
      <w:rFonts w:ascii="宋体" w:hAnsi="宋体" w:cs="宋体"/>
      <w:b/>
      <w:bCs/>
      <w:kern w:val="0"/>
      <w:sz w:val="20"/>
      <w:szCs w:val="20"/>
    </w:rPr>
  </w:style>
  <w:style w:type="paragraph" w:customStyle="1" w:styleId="504">
    <w:name w:val="xl78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505">
    <w:name w:val="编号1级"/>
    <w:qFormat/>
    <w:uiPriority w:val="0"/>
    <w:pPr>
      <w:spacing w:afterLines="30" w:line="400" w:lineRule="exact"/>
      <w:outlineLvl w:val="8"/>
    </w:pPr>
    <w:rPr>
      <w:rFonts w:ascii="Times New Roman" w:hAnsi="Times New Roman" w:eastAsia="宋体" w:cs="Times New Roman"/>
      <w:b/>
      <w:kern w:val="2"/>
      <w:sz w:val="24"/>
      <w:szCs w:val="28"/>
      <w:lang w:val="en-US" w:eastAsia="zh-CN" w:bidi="ar-SA"/>
    </w:rPr>
  </w:style>
  <w:style w:type="paragraph" w:customStyle="1" w:styleId="50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07">
    <w:name w:val="xl10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08">
    <w:name w:val="_Style 255"/>
    <w:semiHidden/>
    <w:qFormat/>
    <w:uiPriority w:val="99"/>
    <w:rPr>
      <w:rFonts w:ascii="Times New Roman" w:hAnsi="Times New Roman" w:eastAsia="宋体" w:cs="Times New Roman"/>
      <w:kern w:val="2"/>
      <w:sz w:val="21"/>
      <w:szCs w:val="24"/>
      <w:lang w:val="en-US" w:eastAsia="zh-CN" w:bidi="ar-SA"/>
    </w:rPr>
  </w:style>
  <w:style w:type="paragraph" w:customStyle="1" w:styleId="5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b/>
      <w:bCs/>
      <w:kern w:val="0"/>
      <w:sz w:val="20"/>
      <w:szCs w:val="20"/>
    </w:rPr>
  </w:style>
  <w:style w:type="paragraph" w:customStyle="1" w:styleId="51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11">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12">
    <w:name w:val="xl107"/>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13">
    <w:name w:val="text_12_black"/>
    <w:basedOn w:val="1"/>
    <w:qFormat/>
    <w:uiPriority w:val="0"/>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514">
    <w:name w:val="样式 样式 标题 5 + 段前: 0.5 行 段后: 0.5 行 + 段前: 0.5 行 段后: 0.5 行"/>
    <w:basedOn w:val="248"/>
    <w:qFormat/>
    <w:uiPriority w:val="0"/>
    <w:rPr>
      <w:bCs w:val="0"/>
    </w:rPr>
  </w:style>
  <w:style w:type="paragraph" w:customStyle="1" w:styleId="515">
    <w:name w:val="项目编号一级"/>
    <w:basedOn w:val="1"/>
    <w:qFormat/>
    <w:uiPriority w:val="0"/>
    <w:pPr>
      <w:tabs>
        <w:tab w:val="left" w:pos="900"/>
      </w:tabs>
      <w:spacing w:line="360" w:lineRule="auto"/>
      <w:ind w:left="900" w:hanging="420"/>
    </w:pPr>
  </w:style>
  <w:style w:type="paragraph" w:customStyle="1" w:styleId="516">
    <w:name w:val="四级无"/>
    <w:basedOn w:val="517"/>
    <w:qFormat/>
    <w:uiPriority w:val="0"/>
    <w:pPr>
      <w:tabs>
        <w:tab w:val="left" w:pos="360"/>
      </w:tabs>
      <w:spacing w:beforeLines="0" w:afterLines="0"/>
    </w:pPr>
    <w:rPr>
      <w:rFonts w:ascii="宋体" w:eastAsia="宋体"/>
    </w:rPr>
  </w:style>
  <w:style w:type="paragraph" w:customStyle="1" w:styleId="517">
    <w:name w:val="四级条标题"/>
    <w:basedOn w:val="253"/>
    <w:next w:val="1"/>
    <w:qFormat/>
    <w:uiPriority w:val="0"/>
    <w:pPr>
      <w:outlineLvl w:val="5"/>
    </w:pPr>
  </w:style>
  <w:style w:type="paragraph" w:customStyle="1" w:styleId="518">
    <w:name w:val="样式 小四 行距: 1.5 倍行距"/>
    <w:basedOn w:val="1"/>
    <w:qFormat/>
    <w:uiPriority w:val="0"/>
    <w:pPr>
      <w:tabs>
        <w:tab w:val="left" w:pos="740"/>
      </w:tabs>
      <w:ind w:left="1081" w:hanging="1081"/>
    </w:pPr>
  </w:style>
  <w:style w:type="paragraph" w:customStyle="1" w:styleId="519">
    <w:name w:val="样式 标题 3H3h3h31第二层条3Bold Headbh章标题1小标题level_3PIM 3Lev...1"/>
    <w:basedOn w:val="2"/>
    <w:qFormat/>
    <w:uiPriority w:val="0"/>
    <w:pPr>
      <w:tabs>
        <w:tab w:val="left" w:pos="1740"/>
      </w:tabs>
      <w:spacing w:beforeLines="50" w:afterLines="50"/>
      <w:ind w:left="1740" w:leftChars="0" w:hanging="420"/>
    </w:pPr>
    <w:rPr>
      <w:rFonts w:ascii="Arial" w:hAnsi="Arial" w:eastAsia="黑体" w:cs="宋体"/>
      <w:b w:val="0"/>
      <w:bCs/>
      <w:sz w:val="32"/>
    </w:rPr>
  </w:style>
  <w:style w:type="paragraph" w:customStyle="1" w:styleId="520">
    <w:name w:val="xl11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521">
    <w:name w:val="four"/>
    <w:basedOn w:val="1"/>
    <w:qFormat/>
    <w:uiPriority w:val="0"/>
    <w:pPr>
      <w:widowControl/>
      <w:spacing w:before="100" w:beforeAutospacing="1" w:after="100" w:afterAutospacing="1"/>
      <w:jc w:val="left"/>
    </w:pPr>
    <w:rPr>
      <w:rFonts w:ascii="宋体" w:hAnsi="宋体" w:cs="宋体"/>
      <w:kern w:val="0"/>
      <w:sz w:val="24"/>
    </w:rPr>
  </w:style>
  <w:style w:type="paragraph" w:customStyle="1" w:styleId="522">
    <w:name w:val="xl10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23">
    <w:name w:val="列出段落2"/>
    <w:basedOn w:val="1"/>
    <w:qFormat/>
    <w:uiPriority w:val="0"/>
    <w:pPr>
      <w:ind w:firstLine="420" w:firstLineChars="200"/>
    </w:pPr>
  </w:style>
  <w:style w:type="paragraph" w:customStyle="1" w:styleId="524">
    <w:name w:val="xl4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525">
    <w:name w:val="列出段落11"/>
    <w:basedOn w:val="1"/>
    <w:qFormat/>
    <w:uiPriority w:val="34"/>
    <w:pPr>
      <w:ind w:firstLine="420" w:firstLineChars="200"/>
    </w:pPr>
    <w:rPr>
      <w:szCs w:val="20"/>
    </w:rPr>
  </w:style>
  <w:style w:type="paragraph" w:customStyle="1" w:styleId="526">
    <w:name w:val="xl78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527">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8">
    <w:name w:val="正文文本 21"/>
    <w:basedOn w:val="1"/>
    <w:qFormat/>
    <w:uiPriority w:val="0"/>
    <w:pPr>
      <w:adjustRightInd w:val="0"/>
      <w:spacing w:line="312" w:lineRule="atLeast"/>
      <w:ind w:firstLine="600"/>
      <w:textAlignment w:val="baseline"/>
    </w:pPr>
    <w:rPr>
      <w:rFonts w:ascii="宋体"/>
      <w:kern w:val="0"/>
      <w:sz w:val="28"/>
      <w:szCs w:val="20"/>
    </w:rPr>
  </w:style>
  <w:style w:type="paragraph" w:customStyle="1" w:styleId="529">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530">
    <w:name w:val="xl12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1">
    <w:name w:val="xl65"/>
    <w:basedOn w:val="1"/>
    <w:qFormat/>
    <w:uiPriority w:val="0"/>
    <w:pPr>
      <w:widowControl/>
      <w:pBdr>
        <w:top w:val="single" w:color="auto" w:sz="4" w:space="0"/>
        <w:right w:val="single" w:color="auto" w:sz="8" w:space="0"/>
      </w:pBdr>
      <w:spacing w:before="100" w:beforeAutospacing="1" w:after="100" w:afterAutospacing="1"/>
      <w:jc w:val="right"/>
    </w:pPr>
    <w:rPr>
      <w:rFonts w:ascii="Arial Unicode MS" w:hAnsi="Arial Unicode MS" w:eastAsia="Arial Unicode MS" w:cs="Arial Unicode MS"/>
      <w:b/>
      <w:bCs/>
      <w:kern w:val="0"/>
      <w:sz w:val="28"/>
      <w:szCs w:val="28"/>
    </w:rPr>
  </w:style>
  <w:style w:type="paragraph" w:customStyle="1" w:styleId="532">
    <w:name w:val="正文1"/>
    <w:basedOn w:val="1"/>
    <w:qFormat/>
    <w:uiPriority w:val="0"/>
    <w:pPr>
      <w:spacing w:line="360" w:lineRule="auto"/>
      <w:ind w:firstLine="200" w:firstLineChars="200"/>
    </w:pPr>
  </w:style>
  <w:style w:type="paragraph" w:customStyle="1" w:styleId="533">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534">
    <w:name w:val="Char11"/>
    <w:basedOn w:val="1"/>
    <w:qFormat/>
    <w:uiPriority w:val="0"/>
  </w:style>
  <w:style w:type="paragraph" w:customStyle="1" w:styleId="535">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6">
    <w:name w:val="WPS Plain"/>
    <w:qFormat/>
    <w:uiPriority w:val="0"/>
    <w:rPr>
      <w:rFonts w:ascii="Times New Roman" w:hAnsi="Times New Roman" w:eastAsia="宋体" w:cs="Times New Roman"/>
      <w:lang w:val="en-US" w:eastAsia="zh-CN" w:bidi="ar-SA"/>
    </w:rPr>
  </w:style>
  <w:style w:type="paragraph" w:customStyle="1" w:styleId="537">
    <w:name w:val="xl20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38">
    <w:name w:val="xl91"/>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39">
    <w:name w:val="表头"/>
    <w:basedOn w:val="1"/>
    <w:qFormat/>
    <w:uiPriority w:val="0"/>
    <w:pPr>
      <w:autoSpaceDE w:val="0"/>
      <w:autoSpaceDN w:val="0"/>
      <w:adjustRightInd w:val="0"/>
      <w:jc w:val="center"/>
    </w:pPr>
    <w:rPr>
      <w:rFonts w:ascii="Arial" w:hAnsi="Arial"/>
      <w:kern w:val="0"/>
      <w:sz w:val="18"/>
    </w:rPr>
  </w:style>
  <w:style w:type="paragraph" w:customStyle="1" w:styleId="540">
    <w:name w:val="xl9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41">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42">
    <w:name w:val="xl2091"/>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color w:val="FF0000"/>
      <w:kern w:val="0"/>
      <w:sz w:val="18"/>
      <w:szCs w:val="18"/>
    </w:rPr>
  </w:style>
  <w:style w:type="paragraph" w:customStyle="1" w:styleId="54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44">
    <w:name w:val="正文(单倍行距)"/>
    <w:basedOn w:val="1"/>
    <w:qFormat/>
    <w:uiPriority w:val="0"/>
    <w:pPr>
      <w:adjustRightInd w:val="0"/>
      <w:snapToGrid w:val="0"/>
      <w:jc w:val="center"/>
    </w:pPr>
  </w:style>
  <w:style w:type="paragraph" w:customStyle="1" w:styleId="545">
    <w:name w:val="样式 左  4 字符 首行缩进:  2 字符"/>
    <w:basedOn w:val="1"/>
    <w:qFormat/>
    <w:uiPriority w:val="0"/>
    <w:pPr>
      <w:spacing w:beforeLines="50" w:afterLines="50"/>
      <w:ind w:left="400" w:leftChars="400" w:firstLine="200" w:firstLineChars="200"/>
    </w:pPr>
    <w:rPr>
      <w:rFonts w:cs="宋体"/>
      <w:szCs w:val="20"/>
    </w:rPr>
  </w:style>
  <w:style w:type="paragraph" w:customStyle="1" w:styleId="546">
    <w:name w:val="xl1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7">
    <w:name w:val="表格正文2"/>
    <w:basedOn w:val="1"/>
    <w:qFormat/>
    <w:uiPriority w:val="0"/>
    <w:pPr>
      <w:adjustRightInd w:val="0"/>
      <w:snapToGrid w:val="0"/>
      <w:spacing w:line="400" w:lineRule="atLeast"/>
      <w:jc w:val="left"/>
    </w:pPr>
    <w:rPr>
      <w:sz w:val="24"/>
      <w:szCs w:val="20"/>
    </w:rPr>
  </w:style>
  <w:style w:type="paragraph" w:customStyle="1" w:styleId="548">
    <w:name w:val="xl1089"/>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49">
    <w:name w:val="xl10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55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51">
    <w:name w:val="书目11"/>
    <w:basedOn w:val="1"/>
    <w:next w:val="1"/>
    <w:unhideWhenUsed/>
    <w:qFormat/>
    <w:uiPriority w:val="37"/>
    <w:pPr>
      <w:spacing w:line="360" w:lineRule="auto"/>
      <w:ind w:firstLine="200" w:firstLineChars="200"/>
      <w:jc w:val="left"/>
    </w:pPr>
    <w:rPr>
      <w:sz w:val="24"/>
    </w:rPr>
  </w:style>
  <w:style w:type="paragraph" w:customStyle="1" w:styleId="552">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554">
    <w:name w:val="样式 样式 标题 2 + 段前: 0.5 行 段后: 0.5 行 + 段前: 0.5 行 段后: 0.5 行"/>
    <w:basedOn w:val="317"/>
    <w:qFormat/>
    <w:uiPriority w:val="0"/>
    <w:pPr>
      <w:spacing w:beforeLines="0" w:beforeAutospacing="1" w:afterLines="0" w:afterAutospacing="1"/>
      <w:ind w:left="576" w:hanging="576"/>
    </w:pPr>
    <w:rPr>
      <w:bCs w:val="0"/>
    </w:rPr>
  </w:style>
  <w:style w:type="paragraph" w:customStyle="1" w:styleId="555">
    <w:name w:val="样式 标题 2（x.x）节二级标题H2h2h212Header 2l2Level 2 HeadH2norm..."/>
    <w:basedOn w:val="4"/>
    <w:qFormat/>
    <w:uiPriority w:val="0"/>
    <w:pPr>
      <w:tabs>
        <w:tab w:val="left" w:pos="992"/>
      </w:tabs>
      <w:spacing w:before="100" w:beforeAutospacing="1" w:line="415" w:lineRule="auto"/>
      <w:ind w:left="992" w:hanging="567"/>
      <w:jc w:val="left"/>
    </w:pPr>
    <w:rPr>
      <w:rFonts w:eastAsia="楷体_GB2312" w:cs="宋体"/>
      <w:sz w:val="36"/>
      <w:szCs w:val="20"/>
    </w:rPr>
  </w:style>
  <w:style w:type="paragraph" w:customStyle="1" w:styleId="556">
    <w:name w:val="xl20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557">
    <w:name w:val="编号3级"/>
    <w:qFormat/>
    <w:uiPriority w:val="0"/>
    <w:pPr>
      <w:tabs>
        <w:tab w:val="left" w:pos="1259"/>
      </w:tabs>
      <w:spacing w:line="400" w:lineRule="exact"/>
      <w:ind w:left="1678" w:hanging="419"/>
    </w:pPr>
    <w:rPr>
      <w:rFonts w:ascii="Times New Roman" w:hAnsi="Times New Roman" w:eastAsia="宋体" w:cs="Times New Roman"/>
      <w:kern w:val="2"/>
      <w:sz w:val="24"/>
      <w:szCs w:val="24"/>
      <w:lang w:val="en-US" w:eastAsia="zh-CN" w:bidi="ar-SA"/>
    </w:rPr>
  </w:style>
  <w:style w:type="paragraph" w:customStyle="1" w:styleId="558">
    <w:name w:val="样式 标题 2 + 宋体 小三 段前: 0 磅 段后: 12 磅 行距: 1.5 倍行距"/>
    <w:basedOn w:val="4"/>
    <w:qFormat/>
    <w:uiPriority w:val="0"/>
    <w:pPr>
      <w:numPr>
        <w:ilvl w:val="1"/>
        <w:numId w:val="9"/>
      </w:numPr>
      <w:spacing w:before="0" w:afterLines="100" w:line="360" w:lineRule="auto"/>
    </w:pPr>
    <w:rPr>
      <w:rFonts w:ascii="宋体" w:hAnsi="宋体" w:eastAsia="宋体" w:cs="宋体"/>
      <w:sz w:val="30"/>
      <w:szCs w:val="20"/>
    </w:rPr>
  </w:style>
  <w:style w:type="paragraph" w:customStyle="1" w:styleId="55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561">
    <w:name w:val="Char Char1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2">
    <w:name w:val="xl10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563">
    <w:name w:val="Block Label"/>
    <w:basedOn w:val="1"/>
    <w:next w:val="1"/>
    <w:qFormat/>
    <w:uiPriority w:val="0"/>
    <w:pPr>
      <w:keepNext/>
      <w:keepLines/>
      <w:widowControl/>
      <w:topLinePunct/>
      <w:adjustRightInd w:val="0"/>
      <w:snapToGrid w:val="0"/>
      <w:spacing w:before="300" w:after="80" w:line="240" w:lineRule="atLeast"/>
      <w:jc w:val="left"/>
      <w:outlineLvl w:val="3"/>
    </w:pPr>
    <w:rPr>
      <w:rFonts w:ascii="Arial" w:hAnsi="Arial" w:eastAsia="黑体" w:cs="Book Antiqua"/>
      <w:bCs/>
      <w:kern w:val="0"/>
      <w:sz w:val="26"/>
      <w:szCs w:val="26"/>
    </w:rPr>
  </w:style>
  <w:style w:type="paragraph" w:customStyle="1" w:styleId="564">
    <w:name w:val="pa-10"/>
    <w:basedOn w:val="1"/>
    <w:qFormat/>
    <w:uiPriority w:val="0"/>
    <w:pPr>
      <w:widowControl/>
      <w:spacing w:line="280" w:lineRule="atLeast"/>
    </w:pPr>
    <w:rPr>
      <w:rFonts w:ascii="宋体" w:hAnsi="宋体" w:cs="宋体"/>
      <w:kern w:val="0"/>
      <w:sz w:val="24"/>
    </w:rPr>
  </w:style>
  <w:style w:type="paragraph" w:customStyle="1" w:styleId="565">
    <w:name w:val="xl106"/>
    <w:basedOn w:val="1"/>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cs="宋体"/>
      <w:kern w:val="0"/>
      <w:sz w:val="24"/>
    </w:rPr>
  </w:style>
  <w:style w:type="paragraph" w:customStyle="1" w:styleId="566">
    <w:name w:val="CM19"/>
    <w:basedOn w:val="264"/>
    <w:next w:val="264"/>
    <w:qFormat/>
    <w:uiPriority w:val="0"/>
    <w:pPr>
      <w:spacing w:line="440" w:lineRule="atLeast"/>
    </w:pPr>
    <w:rPr>
      <w:rFonts w:ascii="方正小标宋简体" w:eastAsia="方正小标宋简体"/>
      <w:color w:val="auto"/>
      <w:szCs w:val="24"/>
    </w:rPr>
  </w:style>
  <w:style w:type="paragraph" w:customStyle="1" w:styleId="5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rPr>
  </w:style>
  <w:style w:type="paragraph" w:customStyle="1" w:styleId="568">
    <w:name w:val="xl31"/>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569">
    <w:name w:val="font1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570">
    <w:name w:val="xl5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571">
    <w:name w:val="文档控制号等"/>
    <w:basedOn w:val="1"/>
    <w:qFormat/>
    <w:uiPriority w:val="0"/>
    <w:pPr>
      <w:spacing w:line="360" w:lineRule="auto"/>
      <w:jc w:val="left"/>
    </w:pPr>
  </w:style>
  <w:style w:type="paragraph" w:customStyle="1" w:styleId="572">
    <w:name w:val="lgh排序1"/>
    <w:basedOn w:val="32"/>
    <w:qFormat/>
    <w:uiPriority w:val="0"/>
    <w:pPr>
      <w:tabs>
        <w:tab w:val="left" w:pos="360"/>
      </w:tabs>
      <w:spacing w:line="360" w:lineRule="auto"/>
      <w:ind w:firstLine="480" w:firstLineChars="200"/>
    </w:pPr>
    <w:rPr>
      <w:rFonts w:hAnsi="宋体"/>
      <w:sz w:val="24"/>
      <w:szCs w:val="20"/>
    </w:rPr>
  </w:style>
  <w:style w:type="paragraph" w:customStyle="1" w:styleId="573">
    <w:name w:val="标准小四"/>
    <w:basedOn w:val="1"/>
    <w:qFormat/>
    <w:uiPriority w:val="0"/>
    <w:pPr>
      <w:spacing w:line="360" w:lineRule="auto"/>
      <w:ind w:firstLine="480" w:firstLineChars="200"/>
    </w:pPr>
    <w:rPr>
      <w:rFonts w:ascii="Arial" w:hAnsi="Arial"/>
      <w:sz w:val="24"/>
      <w:szCs w:val="21"/>
    </w:rPr>
  </w:style>
  <w:style w:type="paragraph" w:customStyle="1" w:styleId="574">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b/>
      <w:bCs/>
      <w:kern w:val="0"/>
      <w:sz w:val="20"/>
      <w:szCs w:val="20"/>
    </w:rPr>
  </w:style>
  <w:style w:type="paragraph" w:customStyle="1" w:styleId="575">
    <w:name w:val="xl1097"/>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57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7">
    <w:name w:val="样式 标题 1章节标题b1 + 段前: 6 磅"/>
    <w:basedOn w:val="3"/>
    <w:qFormat/>
    <w:uiPriority w:val="0"/>
    <w:pPr>
      <w:tabs>
        <w:tab w:val="left" w:pos="1320"/>
        <w:tab w:val="left" w:pos="1740"/>
      </w:tabs>
      <w:adjustRightInd/>
      <w:spacing w:line="360" w:lineRule="auto"/>
      <w:jc w:val="both"/>
      <w:textAlignment w:val="auto"/>
    </w:pPr>
    <w:rPr>
      <w:rFonts w:ascii="宋体" w:hAnsi="宋体" w:cs="宋体"/>
      <w:bCs/>
      <w:color w:val="000000"/>
      <w:kern w:val="2"/>
      <w:sz w:val="28"/>
      <w:szCs w:val="21"/>
    </w:rPr>
  </w:style>
  <w:style w:type="paragraph" w:customStyle="1" w:styleId="578">
    <w:name w:val="xl63"/>
    <w:basedOn w:val="1"/>
    <w:qFormat/>
    <w:uiPriority w:val="0"/>
    <w:pPr>
      <w:widowControl/>
      <w:pBdr>
        <w:top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579">
    <w:name w:val="列表 21"/>
    <w:basedOn w:val="1"/>
    <w:qFormat/>
    <w:uiPriority w:val="0"/>
    <w:pPr>
      <w:ind w:left="100" w:leftChars="200" w:hanging="200" w:hangingChars="200"/>
    </w:pPr>
  </w:style>
  <w:style w:type="paragraph" w:customStyle="1" w:styleId="580">
    <w:name w:val="报告正文"/>
    <w:basedOn w:val="1"/>
    <w:qFormat/>
    <w:uiPriority w:val="0"/>
    <w:pPr>
      <w:widowControl/>
      <w:overflowPunct w:val="0"/>
      <w:autoSpaceDE w:val="0"/>
      <w:autoSpaceDN w:val="0"/>
      <w:adjustRightInd w:val="0"/>
      <w:spacing w:after="80" w:line="360" w:lineRule="auto"/>
      <w:ind w:left="570"/>
      <w:textAlignment w:val="baseline"/>
    </w:pPr>
    <w:rPr>
      <w:kern w:val="0"/>
      <w:sz w:val="24"/>
      <w:szCs w:val="20"/>
    </w:rPr>
  </w:style>
  <w:style w:type="paragraph" w:customStyle="1" w:styleId="581">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582">
    <w:name w:val="样式 首行缩进: 0.85 厘米 段前: 2.5 磅 段后: 6 磅 行距: 1.5 倍行距"/>
    <w:basedOn w:val="1"/>
    <w:qFormat/>
    <w:uiPriority w:val="0"/>
    <w:pPr>
      <w:spacing w:before="50" w:after="120" w:line="360" w:lineRule="auto"/>
      <w:ind w:firstLine="480"/>
    </w:pPr>
    <w:rPr>
      <w:sz w:val="24"/>
    </w:rPr>
  </w:style>
  <w:style w:type="paragraph" w:customStyle="1" w:styleId="583">
    <w:name w:val="样式11"/>
    <w:basedOn w:val="1"/>
    <w:qFormat/>
    <w:uiPriority w:val="0"/>
    <w:pPr>
      <w:keepNext/>
      <w:keepLines/>
      <w:spacing w:before="100" w:beforeAutospacing="1" w:after="100" w:afterAutospacing="1" w:line="360" w:lineRule="auto"/>
      <w:outlineLvl w:val="1"/>
    </w:pPr>
    <w:rPr>
      <w:rFonts w:ascii="Arial" w:hAnsi="Arial" w:eastAsia="黑体" w:cs="宋体"/>
      <w:bCs/>
      <w:sz w:val="32"/>
      <w:szCs w:val="20"/>
    </w:rPr>
  </w:style>
  <w:style w:type="paragraph" w:customStyle="1" w:styleId="584">
    <w:name w:val="xl2050"/>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586">
    <w:name w:val="xl78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0"/>
      <w:szCs w:val="20"/>
    </w:rPr>
  </w:style>
  <w:style w:type="paragraph" w:customStyle="1" w:styleId="587">
    <w:name w:val="题头内容"/>
    <w:basedOn w:val="1"/>
    <w:qFormat/>
    <w:uiPriority w:val="0"/>
    <w:pPr>
      <w:adjustRightInd w:val="0"/>
      <w:spacing w:before="120" w:after="120" w:line="312" w:lineRule="atLeast"/>
      <w:ind w:right="879" w:firstLine="839"/>
      <w:jc w:val="center"/>
      <w:textAlignment w:val="baseline"/>
    </w:pPr>
    <w:rPr>
      <w:rFonts w:ascii="黑体" w:eastAsia="黑体"/>
      <w:kern w:val="0"/>
      <w:sz w:val="32"/>
      <w:szCs w:val="21"/>
    </w:rPr>
  </w:style>
  <w:style w:type="paragraph" w:customStyle="1" w:styleId="58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589">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90">
    <w:name w:val="xl121"/>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591">
    <w:name w:val="Step"/>
    <w:basedOn w:val="1"/>
    <w:qFormat/>
    <w:uiPriority w:val="0"/>
    <w:pPr>
      <w:widowControl/>
      <w:tabs>
        <w:tab w:val="left" w:pos="1701"/>
      </w:tabs>
      <w:topLinePunct/>
      <w:adjustRightInd w:val="0"/>
      <w:snapToGrid w:val="0"/>
      <w:spacing w:before="160" w:after="160" w:line="240" w:lineRule="atLeast"/>
      <w:ind w:left="1701" w:hanging="159"/>
      <w:jc w:val="left"/>
      <w:outlineLvl w:val="5"/>
    </w:pPr>
    <w:rPr>
      <w:rFonts w:ascii="Arial" w:hAnsi="Arial" w:cs="Arial"/>
      <w:snapToGrid w:val="0"/>
      <w:kern w:val="0"/>
      <w:szCs w:val="21"/>
    </w:rPr>
  </w:style>
  <w:style w:type="paragraph" w:customStyle="1" w:styleId="592">
    <w:name w:val="DLP正文"/>
    <w:basedOn w:val="1"/>
    <w:qFormat/>
    <w:uiPriority w:val="0"/>
    <w:pPr>
      <w:snapToGrid w:val="0"/>
      <w:spacing w:line="360" w:lineRule="auto"/>
      <w:ind w:firstLine="473"/>
    </w:pPr>
    <w:rPr>
      <w:rFonts w:hAnsi="宋体"/>
      <w:sz w:val="24"/>
      <w:szCs w:val="22"/>
    </w:rPr>
  </w:style>
  <w:style w:type="paragraph" w:customStyle="1" w:styleId="59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94">
    <w:name w:val="Char Char Char Char Char Char"/>
    <w:basedOn w:val="20"/>
    <w:semiHidden/>
    <w:qFormat/>
    <w:uiPriority w:val="0"/>
    <w:pPr>
      <w:spacing w:line="360" w:lineRule="auto"/>
      <w:ind w:firstLine="200" w:firstLineChars="200"/>
      <w:jc w:val="left"/>
    </w:pPr>
    <w:rPr>
      <w:rFonts w:ascii="Tahoma" w:hAnsi="Tahoma" w:cs="Tahoma"/>
      <w:sz w:val="18"/>
    </w:rPr>
  </w:style>
  <w:style w:type="paragraph" w:customStyle="1" w:styleId="595">
    <w:name w:val="xl2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18"/>
      <w:szCs w:val="18"/>
    </w:rPr>
  </w:style>
  <w:style w:type="paragraph" w:customStyle="1" w:styleId="59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97">
    <w:name w:val="表格1"/>
    <w:basedOn w:val="1"/>
    <w:qFormat/>
    <w:uiPriority w:val="0"/>
    <w:pPr>
      <w:tabs>
        <w:tab w:val="left" w:pos="203"/>
      </w:tabs>
      <w:spacing w:before="40" w:after="40"/>
      <w:jc w:val="center"/>
    </w:pPr>
    <w:rPr>
      <w:b/>
      <w:sz w:val="28"/>
      <w:szCs w:val="20"/>
    </w:rPr>
  </w:style>
  <w:style w:type="paragraph" w:customStyle="1" w:styleId="598">
    <w:name w:val="Item List Char"/>
    <w:qFormat/>
    <w:uiPriority w:val="0"/>
    <w:pPr>
      <w:tabs>
        <w:tab w:val="left" w:pos="360"/>
        <w:tab w:val="left" w:pos="2211"/>
      </w:tabs>
      <w:spacing w:line="300" w:lineRule="auto"/>
      <w:ind w:left="340" w:hanging="340"/>
      <w:jc w:val="both"/>
    </w:pPr>
    <w:rPr>
      <w:rFonts w:ascii="Arial" w:hAnsi="Arial" w:eastAsia="宋体" w:cs="Times New Roman"/>
      <w:sz w:val="21"/>
      <w:lang w:val="en-US" w:eastAsia="zh-CN" w:bidi="ar-SA"/>
    </w:rPr>
  </w:style>
  <w:style w:type="paragraph" w:customStyle="1" w:styleId="599">
    <w:name w:val="xl131"/>
    <w:basedOn w:val="1"/>
    <w:qFormat/>
    <w:uiPriority w:val="0"/>
    <w:pPr>
      <w:widowControl/>
      <w:pBdr>
        <w:top w:val="single" w:color="auto" w:sz="4" w:space="0"/>
        <w:left w:val="single" w:color="auto" w:sz="4" w:space="0"/>
        <w:bottom w:val="single" w:color="auto" w:sz="4" w:space="0"/>
        <w:right w:val="single" w:color="auto" w:sz="8" w:space="0"/>
      </w:pBdr>
      <w:shd w:val="clear" w:color="000000" w:fill="BFBFBF"/>
      <w:spacing w:before="100" w:beforeAutospacing="1" w:after="100" w:afterAutospacing="1"/>
      <w:jc w:val="center"/>
    </w:pPr>
    <w:rPr>
      <w:b/>
      <w:bCs/>
      <w:kern w:val="0"/>
      <w:sz w:val="20"/>
      <w:szCs w:val="20"/>
    </w:rPr>
  </w:style>
  <w:style w:type="paragraph" w:customStyle="1" w:styleId="600">
    <w:name w:val="目录"/>
    <w:basedOn w:val="1"/>
    <w:qFormat/>
    <w:uiPriority w:val="0"/>
    <w:pPr>
      <w:widowControl/>
      <w:jc w:val="center"/>
    </w:pPr>
    <w:rPr>
      <w:rFonts w:ascii="宋体"/>
      <w:b/>
      <w:kern w:val="0"/>
      <w:sz w:val="36"/>
      <w:szCs w:val="20"/>
    </w:rPr>
  </w:style>
  <w:style w:type="paragraph" w:customStyle="1" w:styleId="601">
    <w:name w:val="xl1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02">
    <w:name w:val="xl10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03">
    <w:name w:val="xl10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604">
    <w:name w:val="xl20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605">
    <w:name w:val="xl10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微软雅黑" w:hAnsi="微软雅黑" w:eastAsia="微软雅黑" w:cs="宋体"/>
      <w:kern w:val="0"/>
      <w:sz w:val="20"/>
      <w:szCs w:val="20"/>
    </w:rPr>
  </w:style>
  <w:style w:type="paragraph" w:customStyle="1" w:styleId="606">
    <w:name w:val="xl37"/>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07">
    <w:name w:val="xl23"/>
    <w:basedOn w:val="1"/>
    <w:qFormat/>
    <w:uiPriority w:val="0"/>
    <w:pPr>
      <w:widowControl/>
      <w:spacing w:before="100" w:beforeAutospacing="1" w:after="100" w:afterAutospacing="1"/>
      <w:jc w:val="center"/>
    </w:pPr>
    <w:rPr>
      <w:rFonts w:eastAsia="Arial Unicode MS"/>
      <w:kern w:val="0"/>
      <w:szCs w:val="21"/>
    </w:rPr>
  </w:style>
  <w:style w:type="paragraph" w:customStyle="1" w:styleId="608">
    <w:name w:val="复选框1"/>
    <w:basedOn w:val="1"/>
    <w:qFormat/>
    <w:uiPriority w:val="0"/>
    <w:pPr>
      <w:widowControl/>
      <w:spacing w:before="360" w:after="360"/>
      <w:jc w:val="left"/>
    </w:pPr>
    <w:rPr>
      <w:kern w:val="0"/>
      <w:sz w:val="20"/>
      <w:szCs w:val="20"/>
    </w:rPr>
  </w:style>
  <w:style w:type="paragraph" w:customStyle="1" w:styleId="609">
    <w:name w:val="xl94"/>
    <w:basedOn w:val="1"/>
    <w:qFormat/>
    <w:uiPriority w:val="0"/>
    <w:pPr>
      <w:widowControl/>
      <w:pBdr>
        <w:right w:val="single" w:color="auto" w:sz="4" w:space="0"/>
      </w:pBdr>
      <w:spacing w:before="100" w:beforeAutospacing="1" w:after="100" w:afterAutospacing="1"/>
      <w:jc w:val="center"/>
    </w:pPr>
    <w:rPr>
      <w:rFonts w:ascii="宋体" w:hAnsi="宋体" w:cs="宋体"/>
      <w:kern w:val="0"/>
      <w:sz w:val="24"/>
    </w:rPr>
  </w:style>
  <w:style w:type="paragraph" w:customStyle="1" w:styleId="610">
    <w:name w:val="xl20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FF0000"/>
      <w:kern w:val="0"/>
      <w:sz w:val="18"/>
      <w:szCs w:val="18"/>
    </w:rPr>
  </w:style>
  <w:style w:type="paragraph" w:customStyle="1" w:styleId="611">
    <w:name w:val="正文(首行缩进）"/>
    <w:basedOn w:val="1"/>
    <w:qFormat/>
    <w:uiPriority w:val="0"/>
    <w:pPr>
      <w:adjustRightInd w:val="0"/>
      <w:snapToGrid w:val="0"/>
      <w:spacing w:line="288" w:lineRule="auto"/>
      <w:ind w:firstLine="200"/>
      <w:jc w:val="left"/>
      <w:textAlignment w:val="baseline"/>
    </w:pPr>
    <w:rPr>
      <w:rFonts w:ascii="宋体" w:hAnsi="宋体"/>
      <w:kern w:val="0"/>
      <w:sz w:val="24"/>
    </w:rPr>
  </w:style>
  <w:style w:type="paragraph" w:customStyle="1" w:styleId="61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13">
    <w:name w:val="表格标题3"/>
    <w:basedOn w:val="459"/>
    <w:qFormat/>
    <w:uiPriority w:val="0"/>
    <w:pPr>
      <w:tabs>
        <w:tab w:val="left" w:pos="570"/>
        <w:tab w:val="left" w:pos="720"/>
        <w:tab w:val="clear" w:pos="1620"/>
      </w:tabs>
      <w:ind w:left="570" w:hanging="570"/>
    </w:pPr>
  </w:style>
  <w:style w:type="paragraph" w:customStyle="1" w:styleId="614">
    <w:name w:val="Char Char Char1 Char"/>
    <w:basedOn w:val="20"/>
    <w:qFormat/>
    <w:uiPriority w:val="0"/>
    <w:pPr>
      <w:adjustRightInd w:val="0"/>
      <w:spacing w:line="436" w:lineRule="exact"/>
      <w:ind w:left="357"/>
      <w:jc w:val="left"/>
      <w:outlineLvl w:val="3"/>
    </w:pPr>
    <w:rPr>
      <w:szCs w:val="20"/>
    </w:rPr>
  </w:style>
  <w:style w:type="paragraph" w:customStyle="1" w:styleId="615">
    <w:name w:val="纯文本1"/>
    <w:basedOn w:val="1"/>
    <w:qFormat/>
    <w:uiPriority w:val="0"/>
    <w:pPr>
      <w:autoSpaceDE w:val="0"/>
      <w:autoSpaceDN w:val="0"/>
      <w:adjustRightInd w:val="0"/>
    </w:pPr>
    <w:rPr>
      <w:rFonts w:hint="eastAsia" w:ascii="宋体" w:hAnsi="宋体" w:cs="宋体"/>
      <w:kern w:val="0"/>
      <w:szCs w:val="20"/>
    </w:rPr>
  </w:style>
  <w:style w:type="paragraph" w:customStyle="1" w:styleId="616">
    <w:name w:val="正文3级"/>
    <w:qFormat/>
    <w:uiPriority w:val="0"/>
    <w:pPr>
      <w:widowControl w:val="0"/>
      <w:tabs>
        <w:tab w:val="left" w:pos="1678"/>
      </w:tabs>
      <w:spacing w:after="60" w:line="400" w:lineRule="exact"/>
      <w:ind w:left="2098" w:hanging="420"/>
      <w:jc w:val="both"/>
    </w:pPr>
    <w:rPr>
      <w:rFonts w:ascii="Times New Roman" w:hAnsi="Times New Roman" w:eastAsia="宋体" w:cs="Times New Roman"/>
      <w:bCs/>
      <w:kern w:val="44"/>
      <w:sz w:val="24"/>
      <w:szCs w:val="44"/>
      <w:lang w:val="en-US" w:eastAsia="zh-CN" w:bidi="ar-SA"/>
    </w:rPr>
  </w:style>
  <w:style w:type="paragraph" w:customStyle="1" w:styleId="617">
    <w:name w:val="xl9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8">
    <w:name w:val="xl34"/>
    <w:basedOn w:val="1"/>
    <w:qFormat/>
    <w:uiPriority w:val="0"/>
    <w:pPr>
      <w:widowControl/>
      <w:pBdr>
        <w:top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19">
    <w:name w:val="xl10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20">
    <w:name w:val="Notes Text List in Table"/>
    <w:qFormat/>
    <w:uiPriority w:val="0"/>
    <w:pPr>
      <w:numPr>
        <w:ilvl w:val="0"/>
        <w:numId w:val="9"/>
      </w:numPr>
      <w:spacing w:before="40" w:after="80" w:line="200" w:lineRule="atLeast"/>
      <w:jc w:val="both"/>
    </w:pPr>
    <w:rPr>
      <w:rFonts w:ascii="Arial" w:hAnsi="Arial" w:eastAsia="楷体_GB2312" w:cs="楷体_GB2312"/>
      <w:sz w:val="18"/>
      <w:szCs w:val="18"/>
      <w:lang w:val="en-US" w:eastAsia="zh-CN" w:bidi="ar-SA"/>
    </w:rPr>
  </w:style>
  <w:style w:type="paragraph" w:customStyle="1" w:styleId="621">
    <w:name w:val="警告"/>
    <w:basedOn w:val="1"/>
    <w:next w:val="120"/>
    <w:qFormat/>
    <w:uiPriority w:val="0"/>
    <w:pPr>
      <w:numPr>
        <w:ilvl w:val="0"/>
        <w:numId w:val="10"/>
      </w:numPr>
      <w:shd w:val="clear" w:color="auto" w:fill="FFD1D1"/>
      <w:spacing w:beforeLines="100" w:afterLines="100"/>
      <w:ind w:left="425" w:hanging="425" w:firstLineChars="200"/>
      <w:jc w:val="left"/>
    </w:pPr>
    <w:rPr>
      <w:rFonts w:ascii="Tahoma" w:hAnsi="Tahoma" w:eastAsia="楷体_GB2312"/>
      <w:color w:val="000000"/>
      <w:sz w:val="28"/>
      <w:szCs w:val="21"/>
    </w:rPr>
  </w:style>
  <w:style w:type="paragraph" w:customStyle="1" w:styleId="622">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23">
    <w:name w:val="标准"/>
    <w:basedOn w:val="1"/>
    <w:qFormat/>
    <w:uiPriority w:val="0"/>
    <w:pPr>
      <w:autoSpaceDE w:val="0"/>
      <w:autoSpaceDN w:val="0"/>
      <w:adjustRightInd w:val="0"/>
      <w:ind w:firstLine="600"/>
      <w:textAlignment w:val="baseline"/>
    </w:pPr>
    <w:rPr>
      <w:kern w:val="0"/>
      <w:sz w:val="28"/>
      <w:szCs w:val="20"/>
    </w:rPr>
  </w:style>
  <w:style w:type="paragraph" w:customStyle="1" w:styleId="624">
    <w:name w:val="xl15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25">
    <w:name w:val="xl1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b/>
      <w:bCs/>
      <w:kern w:val="0"/>
      <w:sz w:val="20"/>
      <w:szCs w:val="20"/>
    </w:rPr>
  </w:style>
  <w:style w:type="paragraph" w:customStyle="1" w:styleId="626">
    <w:name w:val="yd正文"/>
    <w:basedOn w:val="1"/>
    <w:qFormat/>
    <w:uiPriority w:val="0"/>
    <w:pPr>
      <w:widowControl/>
      <w:spacing w:line="360" w:lineRule="auto"/>
      <w:ind w:firstLine="482"/>
    </w:pPr>
    <w:rPr>
      <w:rFonts w:ascii="宋体" w:hAnsi="Arial Unicode MS"/>
      <w:bCs/>
      <w:kern w:val="0"/>
      <w:sz w:val="24"/>
    </w:rPr>
  </w:style>
  <w:style w:type="paragraph" w:customStyle="1" w:styleId="62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28">
    <w:name w:val="样式 标题 1章H11. heading 1标准章Alt+1h1Huvudrubrikh11h12h13h..."/>
    <w:basedOn w:val="1"/>
    <w:qFormat/>
    <w:uiPriority w:val="0"/>
  </w:style>
  <w:style w:type="paragraph" w:customStyle="1" w:styleId="629">
    <w:name w:val="xl2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3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1">
    <w:name w:val="Char1"/>
    <w:basedOn w:val="1"/>
    <w:qFormat/>
    <w:uiPriority w:val="0"/>
  </w:style>
  <w:style w:type="paragraph" w:customStyle="1" w:styleId="632">
    <w:name w:val="xl2054"/>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33">
    <w:name w:val="size12"/>
    <w:basedOn w:val="1"/>
    <w:qFormat/>
    <w:uiPriority w:val="0"/>
    <w:pPr>
      <w:widowControl/>
      <w:spacing w:before="100" w:beforeAutospacing="1" w:after="100" w:afterAutospacing="1" w:line="360" w:lineRule="auto"/>
      <w:jc w:val="left"/>
    </w:pPr>
    <w:rPr>
      <w:color w:val="000000"/>
      <w:kern w:val="0"/>
      <w:sz w:val="20"/>
      <w:szCs w:val="20"/>
    </w:rPr>
  </w:style>
  <w:style w:type="paragraph" w:customStyle="1" w:styleId="634">
    <w:name w:val="表项"/>
    <w:next w:val="635"/>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63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636">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7">
    <w:name w:val="xl2094"/>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638">
    <w:name w:val="xl6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4"/>
    </w:rPr>
  </w:style>
  <w:style w:type="paragraph" w:customStyle="1" w:styleId="639">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640">
    <w:name w:val="xl20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1">
    <w:name w:val="一级无"/>
    <w:basedOn w:val="255"/>
    <w:qFormat/>
    <w:uiPriority w:val="0"/>
    <w:pPr>
      <w:spacing w:beforeLines="0" w:afterLines="0"/>
    </w:pPr>
    <w:rPr>
      <w:rFonts w:ascii="宋体" w:eastAsia="宋体"/>
    </w:rPr>
  </w:style>
  <w:style w:type="paragraph" w:customStyle="1" w:styleId="642">
    <w:name w:val="xl20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43">
    <w:name w:val="text_12_subject"/>
    <w:basedOn w:val="1"/>
    <w:qFormat/>
    <w:uiPriority w:val="0"/>
    <w:pPr>
      <w:widowControl/>
      <w:spacing w:before="100" w:beforeAutospacing="1" w:after="100" w:afterAutospacing="1"/>
      <w:jc w:val="left"/>
    </w:pPr>
    <w:rPr>
      <w:rFonts w:ascii="ˎ̥" w:hAnsi="ˎ̥" w:cs="宋体"/>
      <w:b/>
      <w:bCs/>
      <w:color w:val="006699"/>
      <w:kern w:val="0"/>
      <w:sz w:val="18"/>
      <w:szCs w:val="18"/>
    </w:rPr>
  </w:style>
  <w:style w:type="paragraph" w:customStyle="1" w:styleId="644">
    <w:name w:val="pa-13"/>
    <w:basedOn w:val="1"/>
    <w:qFormat/>
    <w:uiPriority w:val="0"/>
    <w:pPr>
      <w:widowControl/>
      <w:spacing w:line="240" w:lineRule="atLeast"/>
    </w:pPr>
    <w:rPr>
      <w:rFonts w:ascii="宋体" w:hAnsi="宋体" w:cs="宋体"/>
      <w:kern w:val="0"/>
      <w:sz w:val="24"/>
    </w:rPr>
  </w:style>
  <w:style w:type="paragraph" w:customStyle="1" w:styleId="645">
    <w:name w:val="xl36"/>
    <w:basedOn w:val="1"/>
    <w:qFormat/>
    <w:uiPriority w:val="0"/>
    <w:pPr>
      <w:widowControl/>
      <w:pBdr>
        <w:top w:val="single" w:color="auto" w:sz="4" w:space="0"/>
        <w:bottom w:val="single" w:color="auto" w:sz="8"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46">
    <w:name w:val="默认段落字体 Para Char Char Char Char"/>
    <w:basedOn w:val="1"/>
    <w:qFormat/>
    <w:uiPriority w:val="0"/>
    <w:rPr>
      <w:szCs w:val="20"/>
    </w:rPr>
  </w:style>
  <w:style w:type="paragraph" w:customStyle="1" w:styleId="647">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48">
    <w:name w:val="xl7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649">
    <w:name w:val="xl7865"/>
    <w:basedOn w:val="1"/>
    <w:qFormat/>
    <w:uiPriority w:val="0"/>
    <w:pPr>
      <w:widowControl/>
      <w:pBdr>
        <w:top w:val="single" w:color="auto" w:sz="4" w:space="0"/>
        <w:left w:val="single" w:color="auto" w:sz="4" w:space="0"/>
        <w:bottom w:val="single" w:color="auto" w:sz="4" w:space="0"/>
        <w:right w:val="single" w:color="auto" w:sz="4" w:space="0"/>
      </w:pBdr>
      <w:shd w:val="clear" w:color="000000" w:fill="A5A5A5"/>
      <w:spacing w:before="100" w:beforeAutospacing="1" w:after="100" w:afterAutospacing="1"/>
      <w:jc w:val="center"/>
    </w:pPr>
    <w:rPr>
      <w:rFonts w:ascii="仿宋_GB2312" w:hAnsi="宋体" w:eastAsia="仿宋_GB2312" w:cs="宋体"/>
      <w:b/>
      <w:bCs/>
      <w:color w:val="000000"/>
      <w:kern w:val="0"/>
      <w:sz w:val="20"/>
      <w:szCs w:val="20"/>
    </w:rPr>
  </w:style>
  <w:style w:type="paragraph" w:customStyle="1" w:styleId="650">
    <w:name w:val="xl10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1">
    <w:name w:val="三级大纲"/>
    <w:next w:val="127"/>
    <w:qFormat/>
    <w:uiPriority w:val="0"/>
    <w:pPr>
      <w:numPr>
        <w:ilvl w:val="2"/>
        <w:numId w:val="4"/>
      </w:numPr>
      <w:tabs>
        <w:tab w:val="left" w:pos="1260"/>
      </w:tabs>
      <w:ind w:left="1260" w:hanging="420"/>
      <w:outlineLvl w:val="2"/>
    </w:pPr>
    <w:rPr>
      <w:rFonts w:ascii="Calibri" w:hAnsi="Calibri" w:eastAsia="宋体" w:cs="Times New Roman"/>
      <w:b/>
      <w:kern w:val="2"/>
      <w:sz w:val="32"/>
      <w:szCs w:val="22"/>
      <w:lang w:val="en-US" w:eastAsia="zh-CN" w:bidi="ar-SA"/>
    </w:rPr>
  </w:style>
  <w:style w:type="paragraph" w:customStyle="1" w:styleId="652">
    <w:name w:val="模版正文"/>
    <w:basedOn w:val="1"/>
    <w:qFormat/>
    <w:uiPriority w:val="0"/>
    <w:pPr>
      <w:widowControl/>
      <w:adjustRightInd w:val="0"/>
      <w:snapToGrid w:val="0"/>
      <w:spacing w:line="440" w:lineRule="exact"/>
      <w:ind w:firstLine="200" w:firstLineChars="200"/>
      <w:jc w:val="left"/>
    </w:pPr>
    <w:rPr>
      <w:rFonts w:ascii="仿宋" w:hAnsi="仿宋" w:cs="宋体"/>
      <w:sz w:val="28"/>
      <w:szCs w:val="20"/>
    </w:rPr>
  </w:style>
  <w:style w:type="paragraph" w:customStyle="1" w:styleId="653">
    <w:name w:val="五级条标题"/>
    <w:basedOn w:val="517"/>
    <w:next w:val="1"/>
    <w:qFormat/>
    <w:uiPriority w:val="0"/>
    <w:pPr>
      <w:outlineLvl w:val="6"/>
    </w:pPr>
  </w:style>
  <w:style w:type="paragraph" w:customStyle="1" w:styleId="65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5">
    <w:name w:val="xl53"/>
    <w:basedOn w:val="1"/>
    <w:qFormat/>
    <w:uiPriority w:val="0"/>
    <w:pPr>
      <w:widowControl/>
      <w:pBdr>
        <w:left w:val="single" w:color="auto" w:sz="8" w:space="0"/>
        <w:bottom w:val="single" w:color="auto" w:sz="8"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656">
    <w:name w:val="节标题"/>
    <w:basedOn w:val="1"/>
    <w:qFormat/>
    <w:uiPriority w:val="0"/>
    <w:pPr>
      <w:widowControl/>
      <w:spacing w:line="289" w:lineRule="atLeast"/>
      <w:jc w:val="center"/>
      <w:textAlignment w:val="baseline"/>
    </w:pPr>
    <w:rPr>
      <w:color w:val="000000"/>
      <w:kern w:val="0"/>
      <w:sz w:val="28"/>
      <w:szCs w:val="20"/>
    </w:rPr>
  </w:style>
  <w:style w:type="paragraph" w:customStyle="1" w:styleId="657">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658">
    <w:name w:val="样式6"/>
    <w:basedOn w:val="1"/>
    <w:qFormat/>
    <w:uiPriority w:val="0"/>
    <w:pPr>
      <w:widowControl/>
      <w:tabs>
        <w:tab w:val="left" w:pos="1800"/>
      </w:tabs>
      <w:spacing w:beforeLines="50" w:afterLines="50"/>
      <w:ind w:left="1800" w:firstLine="899" w:firstLineChars="428"/>
    </w:pPr>
    <w:rPr>
      <w:kern w:val="0"/>
    </w:rPr>
  </w:style>
  <w:style w:type="paragraph" w:customStyle="1" w:styleId="659">
    <w:name w:val="Char"/>
    <w:basedOn w:val="1"/>
    <w:qFormat/>
    <w:uiPriority w:val="0"/>
    <w:rPr>
      <w:rFonts w:ascii="Tahoma" w:hAnsi="Tahoma" w:cs="仿宋_GB2312"/>
      <w:sz w:val="24"/>
      <w:szCs w:val="28"/>
    </w:rPr>
  </w:style>
  <w:style w:type="paragraph" w:customStyle="1" w:styleId="660">
    <w:name w:val="样式 标题 3h:33H3Kop 3Vl3Level 3 Headh3sect1.2.3Alt+31.1.1..."/>
    <w:basedOn w:val="2"/>
    <w:qFormat/>
    <w:uiPriority w:val="0"/>
    <w:pPr>
      <w:tabs>
        <w:tab w:val="left" w:pos="1800"/>
      </w:tabs>
      <w:spacing w:before="312" w:after="312" w:line="415" w:lineRule="auto"/>
      <w:ind w:left="1800" w:leftChars="0" w:hanging="720"/>
    </w:pPr>
    <w:rPr>
      <w:rFonts w:eastAsia="宋体" w:cs="宋体"/>
      <w:bCs/>
      <w:sz w:val="30"/>
    </w:rPr>
  </w:style>
  <w:style w:type="paragraph" w:customStyle="1" w:styleId="6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662">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63">
    <w:name w:val="表文"/>
    <w:basedOn w:val="1"/>
    <w:qFormat/>
    <w:uiPriority w:val="0"/>
    <w:pPr>
      <w:spacing w:line="300" w:lineRule="auto"/>
      <w:jc w:val="center"/>
      <w:textAlignment w:val="baseline"/>
    </w:pPr>
    <w:rPr>
      <w:kern w:val="0"/>
      <w:szCs w:val="20"/>
    </w:rPr>
  </w:style>
  <w:style w:type="paragraph" w:customStyle="1" w:styleId="664">
    <w:name w:val="xl16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665">
    <w:name w:val="正文1级"/>
    <w:qFormat/>
    <w:uiPriority w:val="0"/>
    <w:pPr>
      <w:widowControl w:val="0"/>
      <w:tabs>
        <w:tab w:val="left" w:pos="420"/>
      </w:tabs>
      <w:spacing w:after="60" w:line="400" w:lineRule="exact"/>
      <w:ind w:left="839" w:hanging="419"/>
      <w:jc w:val="both"/>
    </w:pPr>
    <w:rPr>
      <w:rFonts w:ascii="Times New Roman" w:hAnsi="Times New Roman" w:eastAsia="宋体" w:cs="Times New Roman"/>
      <w:bCs/>
      <w:kern w:val="44"/>
      <w:sz w:val="24"/>
      <w:szCs w:val="44"/>
      <w:lang w:val="en-US" w:eastAsia="zh-CN" w:bidi="ar-SA"/>
    </w:rPr>
  </w:style>
  <w:style w:type="paragraph" w:customStyle="1" w:styleId="666">
    <w:name w:val="xl20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67">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8">
    <w:name w:val="xl208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669">
    <w:name w:val="Char21"/>
    <w:basedOn w:val="1"/>
    <w:qFormat/>
    <w:uiPriority w:val="0"/>
  </w:style>
  <w:style w:type="paragraph" w:customStyle="1" w:styleId="670">
    <w:name w:val="xl2079"/>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仿宋" w:hAnsi="仿宋" w:eastAsia="仿宋" w:cs="宋体"/>
      <w:kern w:val="0"/>
      <w:sz w:val="18"/>
      <w:szCs w:val="18"/>
    </w:rPr>
  </w:style>
  <w:style w:type="paragraph" w:customStyle="1" w:styleId="671">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72">
    <w:name w:val="xl97"/>
    <w:basedOn w:val="1"/>
    <w:qFormat/>
    <w:uiPriority w:val="0"/>
    <w:pPr>
      <w:widowControl/>
      <w:pBdr>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673">
    <w:name w:val="样式 样式 标题 3H3h3h31Heading 3 - old3Heading 3 hidden2hh32Sect... + ..."/>
    <w:basedOn w:val="1"/>
    <w:qFormat/>
    <w:uiPriority w:val="0"/>
    <w:pPr>
      <w:keepNext/>
      <w:keepLines/>
      <w:tabs>
        <w:tab w:val="left" w:pos="1931"/>
      </w:tabs>
      <w:spacing w:before="100" w:beforeAutospacing="1" w:afterLines="100"/>
      <w:ind w:left="1418" w:hanging="567"/>
      <w:outlineLvl w:val="2"/>
    </w:pPr>
    <w:rPr>
      <w:rFonts w:ascii="Arial Unicode MS" w:hAnsi="Arial Unicode MS" w:eastAsia="楷体_GB2312" w:cs="宋体"/>
      <w:b/>
      <w:bCs/>
      <w:sz w:val="30"/>
      <w:szCs w:val="20"/>
    </w:rPr>
  </w:style>
  <w:style w:type="paragraph" w:customStyle="1" w:styleId="674">
    <w:name w:val="xl20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18"/>
      <w:szCs w:val="18"/>
    </w:rPr>
  </w:style>
  <w:style w:type="paragraph" w:customStyle="1" w:styleId="675">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676">
    <w:name w:val="font1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7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678">
    <w:name w:val="xl43"/>
    <w:basedOn w:val="1"/>
    <w:qFormat/>
    <w:uiPriority w:val="0"/>
    <w:pPr>
      <w:widowControl/>
      <w:pBdr>
        <w:top w:val="single" w:color="auto" w:sz="4" w:space="0"/>
        <w:left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67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kern w:val="0"/>
      <w:sz w:val="28"/>
      <w:szCs w:val="28"/>
    </w:rPr>
  </w:style>
  <w:style w:type="paragraph" w:customStyle="1" w:styleId="681">
    <w:name w:val="xl10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682">
    <w:name w:val="xl2053"/>
    <w:basedOn w:val="1"/>
    <w:qFormat/>
    <w:uiPriority w:val="0"/>
    <w:pPr>
      <w:widowControl/>
      <w:pBdr>
        <w:top w:val="double" w:color="auto" w:sz="6"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b/>
      <w:bCs/>
      <w:kern w:val="0"/>
      <w:sz w:val="18"/>
      <w:szCs w:val="18"/>
    </w:rPr>
  </w:style>
  <w:style w:type="paragraph" w:customStyle="1" w:styleId="683">
    <w:name w:val="xl6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kern w:val="0"/>
      <w:sz w:val="28"/>
      <w:szCs w:val="28"/>
    </w:rPr>
  </w:style>
  <w:style w:type="paragraph" w:customStyle="1" w:styleId="684">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68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686">
    <w:name w:val="xl1090"/>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687">
    <w:name w:val="xl20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18"/>
      <w:szCs w:val="18"/>
    </w:rPr>
  </w:style>
  <w:style w:type="paragraph" w:customStyle="1" w:styleId="688">
    <w:name w:val="font12"/>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89">
    <w:name w:val="xl78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90">
    <w:name w:val="样式 标题 3H3h3h31第二层条3Bold Headbh章标题1小标题level_3PIM 3Lev...2"/>
    <w:basedOn w:val="2"/>
    <w:qFormat/>
    <w:uiPriority w:val="0"/>
    <w:pPr>
      <w:tabs>
        <w:tab w:val="left" w:pos="1740"/>
      </w:tabs>
      <w:spacing w:beforeLines="50" w:afterLines="50" w:line="540" w:lineRule="auto"/>
      <w:ind w:left="1740" w:leftChars="0" w:hanging="420"/>
    </w:pPr>
    <w:rPr>
      <w:rFonts w:ascii="宋体" w:hAnsi="宋体" w:eastAsia="黑体" w:cs="宋体"/>
      <w:b w:val="0"/>
      <w:bCs/>
      <w:sz w:val="32"/>
    </w:rPr>
  </w:style>
  <w:style w:type="paragraph" w:customStyle="1" w:styleId="691">
    <w:name w:val="xl2086"/>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692">
    <w:name w:val="xl7876"/>
    <w:basedOn w:val="1"/>
    <w:qFormat/>
    <w:uiPriority w:val="0"/>
    <w:pPr>
      <w:widowControl/>
      <w:spacing w:before="100" w:beforeAutospacing="1" w:after="100" w:afterAutospacing="1"/>
      <w:jc w:val="center"/>
    </w:pPr>
    <w:rPr>
      <w:rFonts w:ascii="宋体" w:hAnsi="宋体" w:cs="宋体"/>
      <w:color w:val="000000"/>
      <w:kern w:val="0"/>
      <w:sz w:val="20"/>
      <w:szCs w:val="20"/>
    </w:rPr>
  </w:style>
  <w:style w:type="paragraph" w:customStyle="1" w:styleId="693">
    <w:name w:val="xl64"/>
    <w:basedOn w:val="1"/>
    <w:qFormat/>
    <w:uiPriority w:val="0"/>
    <w:pPr>
      <w:widowControl/>
      <w:pBdr>
        <w:top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28"/>
      <w:szCs w:val="28"/>
    </w:rPr>
  </w:style>
  <w:style w:type="paragraph" w:customStyle="1" w:styleId="694">
    <w:name w:val="标题1"/>
    <w:basedOn w:val="3"/>
    <w:qFormat/>
    <w:uiPriority w:val="0"/>
    <w:pPr>
      <w:tabs>
        <w:tab w:val="left" w:pos="839"/>
      </w:tabs>
      <w:spacing w:line="360" w:lineRule="auto"/>
      <w:ind w:left="1276" w:hanging="425"/>
    </w:pPr>
    <w:rPr>
      <w:rFonts w:ascii="黑体" w:hAnsi="宋体" w:eastAsia="黑体"/>
      <w:kern w:val="11"/>
      <w:sz w:val="28"/>
    </w:rPr>
  </w:style>
  <w:style w:type="paragraph" w:customStyle="1" w:styleId="695">
    <w:name w:val="CM3"/>
    <w:basedOn w:val="264"/>
    <w:next w:val="264"/>
    <w:qFormat/>
    <w:uiPriority w:val="0"/>
    <w:pPr>
      <w:spacing w:line="626" w:lineRule="atLeast"/>
    </w:pPr>
    <w:rPr>
      <w:rFonts w:ascii=".a..DD.." w:eastAsia=".a..DD.."/>
      <w:color w:val="auto"/>
      <w:szCs w:val="24"/>
    </w:rPr>
  </w:style>
  <w:style w:type="paragraph" w:customStyle="1" w:styleId="696">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697">
    <w:name w:val="xl85"/>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9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24"/>
    </w:rPr>
  </w:style>
  <w:style w:type="paragraph" w:customStyle="1" w:styleId="699">
    <w:name w:val="xl2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pPr>
    <w:rPr>
      <w:rFonts w:ascii="Arial Unicode MS" w:hAnsi="Arial Unicode MS" w:eastAsia="Arial Unicode MS" w:cs="Arial Unicode MS"/>
      <w:kern w:val="0"/>
      <w:sz w:val="28"/>
      <w:szCs w:val="28"/>
    </w:rPr>
  </w:style>
  <w:style w:type="paragraph" w:customStyle="1" w:styleId="700">
    <w:name w:val="xl10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01">
    <w:name w:val="xl148"/>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702">
    <w:name w:val="Block"/>
    <w:basedOn w:val="1"/>
    <w:next w:val="120"/>
    <w:qFormat/>
    <w:uiPriority w:val="0"/>
    <w:pPr>
      <w:tabs>
        <w:tab w:val="left" w:pos="0"/>
      </w:tabs>
    </w:pPr>
    <w:rPr>
      <w:rFonts w:ascii="Arial" w:hAnsi="Arial" w:eastAsia="楷体_GB2312"/>
      <w:color w:val="000080"/>
      <w:sz w:val="28"/>
      <w:szCs w:val="28"/>
    </w:rPr>
  </w:style>
  <w:style w:type="paragraph" w:customStyle="1" w:styleId="703">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0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05">
    <w:name w:val="xl1105"/>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6">
    <w:name w:val="font5"/>
    <w:basedOn w:val="1"/>
    <w:qFormat/>
    <w:uiPriority w:val="0"/>
    <w:pPr>
      <w:widowControl/>
      <w:spacing w:before="100" w:beforeAutospacing="1" w:after="100" w:afterAutospacing="1"/>
      <w:jc w:val="left"/>
    </w:pPr>
    <w:rPr>
      <w:rFonts w:ascii="宋体" w:hAnsi="宋体" w:cs="Arial Unicode MS"/>
      <w:kern w:val="0"/>
      <w:sz w:val="18"/>
      <w:szCs w:val="18"/>
    </w:rPr>
  </w:style>
  <w:style w:type="paragraph" w:customStyle="1" w:styleId="707">
    <w:name w:val="xl10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08">
    <w:name w:val="我的正文格式"/>
    <w:basedOn w:val="1"/>
    <w:next w:val="1"/>
    <w:qFormat/>
    <w:uiPriority w:val="0"/>
    <w:pPr>
      <w:snapToGrid w:val="0"/>
      <w:spacing w:line="288" w:lineRule="auto"/>
      <w:ind w:left="540" w:hanging="540" w:hangingChars="225"/>
    </w:pPr>
    <w:rPr>
      <w:sz w:val="24"/>
    </w:rPr>
  </w:style>
  <w:style w:type="paragraph" w:customStyle="1" w:styleId="709">
    <w:name w:val="Char1 Char Char Char"/>
    <w:basedOn w:val="1"/>
    <w:qFormat/>
    <w:uiPriority w:val="0"/>
    <w:rPr>
      <w:rFonts w:ascii="Tahoma" w:hAnsi="Tahoma"/>
      <w:sz w:val="24"/>
      <w:szCs w:val="20"/>
    </w:rPr>
  </w:style>
  <w:style w:type="paragraph" w:customStyle="1" w:styleId="710">
    <w:name w:val="样式 标题 3H3h3h31第二层条3Bold Headbh章标题1小标题level_3PIM 3Lev..."/>
    <w:basedOn w:val="2"/>
    <w:qFormat/>
    <w:uiPriority w:val="0"/>
    <w:pPr>
      <w:tabs>
        <w:tab w:val="left" w:pos="1931"/>
      </w:tabs>
      <w:spacing w:before="156" w:after="156"/>
      <w:ind w:left="1418" w:leftChars="0" w:hanging="567"/>
    </w:pPr>
    <w:rPr>
      <w:rFonts w:eastAsia="楷体_GB2312" w:cs="宋体"/>
      <w:bCs/>
      <w:sz w:val="44"/>
    </w:rPr>
  </w:style>
  <w:style w:type="paragraph" w:customStyle="1" w:styleId="711">
    <w:name w:val="xl120"/>
    <w:basedOn w:val="1"/>
    <w:qFormat/>
    <w:uiPriority w:val="0"/>
    <w:pPr>
      <w:widowControl/>
      <w:pBdr>
        <w:left w:val="single" w:color="auto" w:sz="4" w:space="0"/>
        <w:right w:val="single" w:color="auto" w:sz="4" w:space="0"/>
      </w:pBdr>
      <w:shd w:val="clear" w:color="auto" w:fill="FFFFFF"/>
      <w:spacing w:before="100" w:beforeAutospacing="1" w:after="100" w:afterAutospacing="1"/>
      <w:jc w:val="left"/>
      <w:textAlignment w:val="top"/>
    </w:pPr>
    <w:rPr>
      <w:rFonts w:ascii="MingLiU" w:hAnsi="MingLiU" w:eastAsia="MingLiU" w:cs="宋体"/>
      <w:kern w:val="0"/>
      <w:sz w:val="24"/>
    </w:rPr>
  </w:style>
  <w:style w:type="paragraph" w:customStyle="1" w:styleId="712">
    <w:name w:val="Bullet 1"/>
    <w:qFormat/>
    <w:uiPriority w:val="0"/>
    <w:pPr>
      <w:widowControl w:val="0"/>
      <w:autoSpaceDE w:val="0"/>
      <w:autoSpaceDN w:val="0"/>
      <w:adjustRightInd w:val="0"/>
      <w:spacing w:line="288" w:lineRule="auto"/>
      <w:ind w:left="1026" w:hanging="425"/>
      <w:textAlignment w:val="baseline"/>
    </w:pPr>
    <w:rPr>
      <w:rFonts w:ascii="楷体" w:hAnsi="Times New Roman" w:eastAsia="楷体" w:cs="Times New Roman"/>
      <w:color w:val="000000"/>
      <w:spacing w:val="20"/>
      <w:sz w:val="24"/>
      <w:lang w:val="en-US" w:eastAsia="zh-CN" w:bidi="ar-SA"/>
    </w:rPr>
  </w:style>
  <w:style w:type="paragraph" w:customStyle="1" w:styleId="71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4">
    <w:name w:val="Item List in Table"/>
    <w:basedOn w:val="1"/>
    <w:qFormat/>
    <w:uiPriority w:val="0"/>
    <w:pPr>
      <w:numPr>
        <w:ilvl w:val="0"/>
        <w:numId w:val="11"/>
      </w:numPr>
      <w:topLinePunct/>
      <w:adjustRightInd w:val="0"/>
      <w:snapToGrid w:val="0"/>
      <w:spacing w:before="80" w:after="80" w:line="240" w:lineRule="atLeast"/>
      <w:jc w:val="left"/>
    </w:pPr>
    <w:rPr>
      <w:rFonts w:ascii="Arial" w:hAnsi="Arial" w:cs="Arial"/>
      <w:kern w:val="0"/>
      <w:szCs w:val="21"/>
    </w:rPr>
  </w:style>
  <w:style w:type="paragraph" w:customStyle="1" w:styleId="715">
    <w:name w:val="xl4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16">
    <w:name w:val="xl10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0"/>
      <w:szCs w:val="20"/>
    </w:rPr>
  </w:style>
  <w:style w:type="paragraph" w:customStyle="1" w:styleId="717">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paragraph" w:customStyle="1" w:styleId="718">
    <w:name w:val="表中小5"/>
    <w:qFormat/>
    <w:uiPriority w:val="0"/>
    <w:pPr>
      <w:jc w:val="center"/>
    </w:pPr>
    <w:rPr>
      <w:rFonts w:ascii="Times New Roman" w:hAnsi="Times New Roman" w:eastAsia="宋体" w:cs="Times New Roman"/>
      <w:color w:val="0000FF"/>
      <w:sz w:val="18"/>
      <w:szCs w:val="18"/>
      <w:lang w:val="en-US" w:eastAsia="zh-CN" w:bidi="ar-SA"/>
    </w:rPr>
  </w:style>
  <w:style w:type="paragraph" w:customStyle="1" w:styleId="719">
    <w:name w:val="xl1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color w:val="FF0000"/>
      <w:kern w:val="0"/>
      <w:sz w:val="20"/>
      <w:szCs w:val="20"/>
    </w:rPr>
  </w:style>
  <w:style w:type="paragraph" w:customStyle="1" w:styleId="720">
    <w:name w:val="xl208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721">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722">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723">
    <w:name w:val="版权所有"/>
    <w:basedOn w:val="1"/>
    <w:qFormat/>
    <w:uiPriority w:val="0"/>
    <w:pPr>
      <w:spacing w:beforeLines="100" w:afterLines="100" w:line="360" w:lineRule="auto"/>
    </w:pPr>
    <w:rPr>
      <w:rFonts w:ascii="Arial" w:hAnsi="Arial" w:eastAsia="黑体"/>
      <w:b/>
      <w:sz w:val="30"/>
      <w:u w:val="single"/>
    </w:rPr>
  </w:style>
  <w:style w:type="paragraph" w:customStyle="1" w:styleId="724">
    <w:name w:val="Paragraphe 3"/>
    <w:qFormat/>
    <w:uiPriority w:val="0"/>
    <w:pPr>
      <w:keepLines/>
      <w:overflowPunct w:val="0"/>
      <w:autoSpaceDE w:val="0"/>
      <w:autoSpaceDN w:val="0"/>
      <w:adjustRightInd w:val="0"/>
      <w:spacing w:before="141"/>
      <w:ind w:left="980"/>
    </w:pPr>
    <w:rPr>
      <w:rFonts w:ascii="Tms Rmn" w:hAnsi="Tms Rmn" w:eastAsia="宋体" w:cs="Times New Roman"/>
      <w:b/>
      <w:color w:val="000000"/>
      <w:sz w:val="24"/>
      <w:u w:val="single"/>
      <w:lang w:val="en-US" w:eastAsia="en-US" w:bidi="ar-SA"/>
    </w:rPr>
  </w:style>
  <w:style w:type="paragraph" w:customStyle="1" w:styleId="725">
    <w:name w:val="表身（中）"/>
    <w:basedOn w:val="635"/>
    <w:qFormat/>
    <w:uiPriority w:val="0"/>
    <w:pPr>
      <w:jc w:val="center"/>
    </w:pPr>
  </w:style>
  <w:style w:type="paragraph" w:customStyle="1" w:styleId="726">
    <w:name w:val="large"/>
    <w:basedOn w:val="1"/>
    <w:qFormat/>
    <w:uiPriority w:val="0"/>
    <w:pPr>
      <w:widowControl/>
      <w:spacing w:before="100" w:beforeAutospacing="1" w:after="100" w:afterAutospacing="1" w:line="360" w:lineRule="atLeast"/>
      <w:ind w:firstLine="400"/>
      <w:jc w:val="left"/>
    </w:pPr>
    <w:rPr>
      <w:rFonts w:ascii="宋体" w:hAnsi="宋体" w:cs="宋体"/>
      <w:color w:val="808080"/>
      <w:kern w:val="0"/>
      <w:sz w:val="24"/>
    </w:rPr>
  </w:style>
  <w:style w:type="paragraph" w:customStyle="1" w:styleId="727">
    <w:name w:val="_Style 20"/>
    <w:basedOn w:val="1"/>
    <w:qFormat/>
    <w:uiPriority w:val="0"/>
    <w:rPr>
      <w:rFonts w:ascii="Tahoma" w:hAnsi="Tahoma"/>
      <w:sz w:val="24"/>
      <w:szCs w:val="20"/>
    </w:rPr>
  </w:style>
  <w:style w:type="paragraph" w:customStyle="1" w:styleId="728">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729">
    <w:name w:val="编号2级"/>
    <w:qFormat/>
    <w:uiPriority w:val="0"/>
    <w:pPr>
      <w:spacing w:afterLines="20" w:line="400" w:lineRule="exact"/>
    </w:pPr>
    <w:rPr>
      <w:rFonts w:ascii="Times New Roman" w:hAnsi="Times New Roman" w:eastAsia="Times New Roman" w:cs="Times New Roman"/>
      <w:kern w:val="2"/>
      <w:sz w:val="24"/>
      <w:szCs w:val="24"/>
      <w:lang w:val="en-US" w:eastAsia="zh-CN" w:bidi="ar-SA"/>
    </w:rPr>
  </w:style>
  <w:style w:type="paragraph" w:customStyle="1" w:styleId="730">
    <w:name w:val="xl209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731">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3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3">
    <w:name w:val="xl47"/>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32"/>
      <w:szCs w:val="32"/>
    </w:rPr>
  </w:style>
  <w:style w:type="paragraph" w:customStyle="1" w:styleId="734">
    <w:name w:val="_Style 56"/>
    <w:basedOn w:val="1"/>
    <w:qFormat/>
    <w:uiPriority w:val="0"/>
    <w:pPr>
      <w:ind w:firstLine="420" w:firstLineChars="200"/>
    </w:pPr>
    <w:rPr>
      <w:rFonts w:ascii="Calibri" w:hAnsi="Calibri"/>
      <w:szCs w:val="22"/>
    </w:rPr>
  </w:style>
  <w:style w:type="paragraph" w:customStyle="1" w:styleId="735">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36">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73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3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39">
    <w:name w:val="样式4"/>
    <w:basedOn w:val="1"/>
    <w:qFormat/>
    <w:uiPriority w:val="0"/>
    <w:pPr>
      <w:tabs>
        <w:tab w:val="left" w:pos="420"/>
      </w:tabs>
      <w:spacing w:line="440" w:lineRule="exact"/>
      <w:ind w:left="420" w:hanging="420"/>
      <w:jc w:val="left"/>
    </w:pPr>
    <w:rPr>
      <w:rFonts w:eastAsia="楷体_GB2312"/>
      <w:b/>
      <w:sz w:val="24"/>
    </w:rPr>
  </w:style>
  <w:style w:type="paragraph" w:customStyle="1" w:styleId="74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2">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743">
    <w:name w:val="xl155"/>
    <w:basedOn w:val="1"/>
    <w:qFormat/>
    <w:uiPriority w:val="0"/>
    <w:pPr>
      <w:widowControl/>
      <w:spacing w:before="100" w:beforeAutospacing="1" w:after="100" w:afterAutospacing="1"/>
      <w:jc w:val="left"/>
    </w:pPr>
    <w:rPr>
      <w:rFonts w:ascii="宋体" w:hAnsi="宋体" w:cs="宋体"/>
      <w:kern w:val="0"/>
      <w:sz w:val="24"/>
    </w:rPr>
  </w:style>
  <w:style w:type="paragraph" w:customStyle="1" w:styleId="744">
    <w:name w:val="表格正文（5号）"/>
    <w:basedOn w:val="1"/>
    <w:qFormat/>
    <w:uiPriority w:val="0"/>
    <w:pPr>
      <w:adjustRightInd w:val="0"/>
      <w:snapToGrid w:val="0"/>
      <w:spacing w:line="264" w:lineRule="auto"/>
      <w:jc w:val="center"/>
      <w:textAlignment w:val="baseline"/>
    </w:pPr>
    <w:rPr>
      <w:snapToGrid w:val="0"/>
      <w:kern w:val="0"/>
      <w:sz w:val="24"/>
      <w:szCs w:val="20"/>
    </w:rPr>
  </w:style>
  <w:style w:type="paragraph" w:customStyle="1" w:styleId="745">
    <w:name w:val="xl10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4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74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748">
    <w:name w:val="样式 首行缩进:  2 字符2 + 居中"/>
    <w:basedOn w:val="657"/>
    <w:qFormat/>
    <w:uiPriority w:val="0"/>
    <w:pPr>
      <w:adjustRightInd/>
      <w:snapToGrid/>
      <w:ind w:firstLine="0" w:firstLineChars="0"/>
      <w:jc w:val="center"/>
    </w:pPr>
    <w:rPr>
      <w:sz w:val="28"/>
      <w:szCs w:val="20"/>
    </w:rPr>
  </w:style>
  <w:style w:type="paragraph" w:customStyle="1" w:styleId="749">
    <w:name w:val="Normal1"/>
    <w:next w:val="1"/>
    <w:qFormat/>
    <w:uiPriority w:val="0"/>
    <w:pPr>
      <w:overflowPunct w:val="0"/>
      <w:autoSpaceDE w:val="0"/>
      <w:autoSpaceDN w:val="0"/>
      <w:adjustRightInd w:val="0"/>
      <w:textAlignment w:val="baseline"/>
    </w:pPr>
    <w:rPr>
      <w:rFonts w:ascii="Times" w:hAnsi="Times" w:eastAsia="宋体" w:cs="Times New Roman"/>
      <w:sz w:val="24"/>
      <w:lang w:val="en-US" w:eastAsia="zh-CN" w:bidi="ar-SA"/>
    </w:rPr>
  </w:style>
  <w:style w:type="paragraph" w:customStyle="1" w:styleId="750">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751">
    <w:name w:val="biaoti1"/>
    <w:basedOn w:val="1"/>
    <w:qFormat/>
    <w:uiPriority w:val="0"/>
    <w:pPr>
      <w:widowControl/>
      <w:spacing w:before="100" w:beforeAutospacing="1" w:after="100" w:afterAutospacing="1"/>
      <w:jc w:val="left"/>
    </w:pPr>
    <w:rPr>
      <w:rFonts w:ascii="宋体" w:hAnsi="宋体" w:cs="宋体"/>
      <w:kern w:val="0"/>
      <w:sz w:val="24"/>
    </w:rPr>
  </w:style>
  <w:style w:type="paragraph" w:customStyle="1" w:styleId="752">
    <w:name w:val="xl10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53">
    <w:name w:val="xl10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54">
    <w:name w:val="±í¸ñÎÄ±¾"/>
    <w:basedOn w:val="1"/>
    <w:qFormat/>
    <w:uiPriority w:val="0"/>
    <w:pPr>
      <w:widowControl/>
      <w:tabs>
        <w:tab w:val="decimal" w:pos="0"/>
      </w:tabs>
      <w:overflowPunct w:val="0"/>
      <w:autoSpaceDE w:val="0"/>
      <w:autoSpaceDN w:val="0"/>
      <w:adjustRightInd w:val="0"/>
      <w:textAlignment w:val="baseline"/>
    </w:pPr>
    <w:rPr>
      <w:kern w:val="0"/>
      <w:sz w:val="24"/>
      <w:szCs w:val="20"/>
    </w:rPr>
  </w:style>
  <w:style w:type="paragraph" w:customStyle="1" w:styleId="755">
    <w:name w:val="样式 标题 1 + 段前: 1 行 段后: 1 行1"/>
    <w:basedOn w:val="3"/>
    <w:qFormat/>
    <w:uiPriority w:val="0"/>
    <w:pPr>
      <w:numPr>
        <w:ilvl w:val="0"/>
        <w:numId w:val="12"/>
      </w:numPr>
      <w:adjustRightInd/>
      <w:snapToGrid w:val="0"/>
      <w:spacing w:beforeLines="100" w:afterLines="100" w:line="360" w:lineRule="auto"/>
      <w:ind w:hanging="432"/>
      <w:jc w:val="both"/>
      <w:textAlignment w:val="auto"/>
    </w:pPr>
    <w:rPr>
      <w:rFonts w:cs="宋体"/>
      <w:bCs/>
    </w:rPr>
  </w:style>
  <w:style w:type="paragraph" w:customStyle="1" w:styleId="756">
    <w:name w:val="样式 标题 3 + 四号 段前: 7.8 磅 段后: 0 磅 行距: 单倍行距"/>
    <w:basedOn w:val="2"/>
    <w:qFormat/>
    <w:uiPriority w:val="0"/>
    <w:pPr>
      <w:tabs>
        <w:tab w:val="left" w:pos="673"/>
      </w:tabs>
      <w:spacing w:before="156" w:after="0"/>
      <w:ind w:left="720" w:hanging="720"/>
    </w:pPr>
    <w:rPr>
      <w:rFonts w:ascii="宋体" w:hAnsi="宋体" w:eastAsia="宋体"/>
      <w:b w:val="0"/>
      <w:sz w:val="28"/>
    </w:rPr>
  </w:style>
  <w:style w:type="paragraph" w:customStyle="1" w:styleId="75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kern w:val="0"/>
      <w:sz w:val="20"/>
      <w:szCs w:val="20"/>
    </w:rPr>
  </w:style>
  <w:style w:type="paragraph" w:customStyle="1" w:styleId="758">
    <w:name w:val="xl96"/>
    <w:basedOn w:val="1"/>
    <w:qFormat/>
    <w:uiPriority w:val="0"/>
    <w:pPr>
      <w:widowControl/>
      <w:pBdr>
        <w:right w:val="single" w:color="auto" w:sz="4" w:space="0"/>
      </w:pBdr>
      <w:shd w:val="clear" w:color="auto" w:fill="FFFF00"/>
      <w:spacing w:before="100" w:beforeAutospacing="1" w:after="100" w:afterAutospacing="1"/>
      <w:jc w:val="center"/>
    </w:pPr>
    <w:rPr>
      <w:rFonts w:ascii="宋体" w:hAnsi="宋体" w:cs="宋体"/>
      <w:kern w:val="0"/>
      <w:sz w:val="24"/>
    </w:rPr>
  </w:style>
  <w:style w:type="paragraph" w:customStyle="1" w:styleId="759">
    <w:name w:val="样式 样式 标题 2 + 段前: 0.5 行 段后: 0.5 行2 + 段前: 0.5 行 段后: 0.5 行"/>
    <w:basedOn w:val="396"/>
    <w:qFormat/>
    <w:uiPriority w:val="0"/>
    <w:rPr>
      <w:b w:val="0"/>
    </w:rPr>
  </w:style>
  <w:style w:type="paragraph" w:customStyle="1" w:styleId="760">
    <w:name w:val="首行缩进"/>
    <w:basedOn w:val="1"/>
    <w:qFormat/>
    <w:uiPriority w:val="0"/>
    <w:pPr>
      <w:spacing w:after="120" w:line="360" w:lineRule="auto"/>
      <w:ind w:firstLine="480" w:firstLineChars="200"/>
    </w:pPr>
    <w:rPr>
      <w:sz w:val="24"/>
      <w:lang w:val="zh-CN"/>
    </w:rPr>
  </w:style>
  <w:style w:type="paragraph" w:customStyle="1" w:styleId="761">
    <w:name w:val="BodyText"/>
    <w:basedOn w:val="1"/>
    <w:qFormat/>
    <w:uiPriority w:val="99"/>
    <w:pPr>
      <w:spacing w:after="120"/>
      <w:textAlignment w:val="baseline"/>
    </w:pPr>
  </w:style>
  <w:style w:type="table" w:customStyle="1" w:styleId="762">
    <w:name w:val="Table Normal"/>
    <w:unhideWhenUsed/>
    <w:qFormat/>
    <w:uiPriority w:val="2"/>
    <w:tblPr>
      <w:tblCellMar>
        <w:top w:w="0" w:type="dxa"/>
        <w:left w:w="0" w:type="dxa"/>
        <w:bottom w:w="0" w:type="dxa"/>
        <w:right w:w="0" w:type="dxa"/>
      </w:tblCellMar>
    </w:tblPr>
  </w:style>
  <w:style w:type="paragraph" w:customStyle="1" w:styleId="76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764">
    <w:name w:val="正文_29_3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765">
    <w:name w:val="font131"/>
    <w:qFormat/>
    <w:uiPriority w:val="0"/>
    <w:rPr>
      <w:rFonts w:hint="eastAsia" w:ascii="宋体" w:hAnsi="宋体" w:eastAsia="宋体" w:cs="宋体"/>
      <w:color w:val="FF0000"/>
      <w:sz w:val="16"/>
      <w:szCs w:val="16"/>
      <w:u w:val="none"/>
    </w:rPr>
  </w:style>
  <w:style w:type="paragraph" w:customStyle="1" w:styleId="766">
    <w:name w:val="正文格式"/>
    <w:basedOn w:val="1"/>
    <w:qFormat/>
    <w:uiPriority w:val="99"/>
    <w:pPr>
      <w:widowControl/>
      <w:adjustRightInd w:val="0"/>
      <w:snapToGrid w:val="0"/>
      <w:spacing w:line="400" w:lineRule="atLeast"/>
      <w:ind w:firstLine="482"/>
      <w:textAlignment w:val="baseline"/>
    </w:pPr>
    <w:rPr>
      <w:kern w:val="0"/>
      <w:sz w:val="24"/>
    </w:rPr>
  </w:style>
  <w:style w:type="character" w:customStyle="1" w:styleId="767">
    <w:name w:val="font101"/>
    <w:basedOn w:val="62"/>
    <w:qFormat/>
    <w:uiPriority w:val="0"/>
    <w:rPr>
      <w:rFonts w:ascii="宋体" w:hAnsi="宋体" w:eastAsia="宋体" w:cs="宋体"/>
      <w:color w:val="000000"/>
      <w:sz w:val="20"/>
      <w:szCs w:val="20"/>
      <w:u w:val="none"/>
    </w:rPr>
  </w:style>
  <w:style w:type="character" w:customStyle="1" w:styleId="768">
    <w:name w:val="font112"/>
    <w:basedOn w:val="62"/>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34473</Words>
  <Characters>36847</Characters>
  <Lines>362</Lines>
  <Paragraphs>102</Paragraphs>
  <TotalTime>4</TotalTime>
  <ScaleCrop>false</ScaleCrop>
  <LinksUpToDate>false</LinksUpToDate>
  <CharactersWithSpaces>38423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2021-11-17T07:29:00Z</dcterms:created>
  <dc:creator>China</dc:creator>
  <cp:lastModifiedBy>十年戎马心孤单</cp:lastModifiedBy>
  <cp:lastPrinted>2022-02-23T03:32:00Z</cp:lastPrinted>
  <dcterms:modified xsi:type="dcterms:W3CDTF">2022-10-28T05:36:35Z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A6DB388E170A4521A6C0EE25564E371C</vt:lpwstr>
  </property>
  <property fmtid="{D5CDD505-2E9C-101B-9397-08002B2CF9AE}" pid="4" name="commondata">
    <vt:lpwstr>eyJoZGlkIjoiNjNlMTIyMGUxMGVjODUwYjk5NzcyMWQyMzBmZmQwNjQifQ==</vt:lpwstr>
  </property>
</Properties>
</file>