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spacing w:line="360" w:lineRule="auto"/>
        <w:jc w:val="both"/>
        <w:rPr>
          <w:rFonts w:hint="eastAsia" w:ascii="宋体" w:hAnsi="宋体" w:eastAsia="宋体" w:cs="宋体"/>
          <w:b/>
          <w:color w:val="auto"/>
          <w:sz w:val="28"/>
          <w:szCs w:val="28"/>
        </w:rPr>
      </w:pPr>
    </w:p>
    <w:p>
      <w:pPr>
        <w:adjustRightInd w:val="0"/>
        <w:snapToGrid w:val="0"/>
        <w:spacing w:line="360" w:lineRule="auto"/>
        <w:jc w:val="center"/>
        <w:rPr>
          <w:rFonts w:hint="eastAsia" w:ascii="宋体" w:hAnsi="宋体" w:eastAsia="宋体" w:cs="宋体"/>
          <w:b/>
          <w:color w:val="auto"/>
          <w:sz w:val="72"/>
          <w:szCs w:val="72"/>
          <w:lang w:eastAsia="zh-CN"/>
        </w:rPr>
      </w:pPr>
      <w:r>
        <w:rPr>
          <w:rFonts w:hint="eastAsia" w:ascii="宋体" w:hAnsi="宋体" w:eastAsia="宋体" w:cs="宋体"/>
          <w:b/>
          <w:color w:val="auto"/>
          <w:sz w:val="72"/>
          <w:szCs w:val="72"/>
          <w:lang w:eastAsia="zh-CN"/>
        </w:rPr>
        <w:t>巴州自然资源统一确权</w:t>
      </w:r>
    </w:p>
    <w:p>
      <w:pPr>
        <w:adjustRightInd w:val="0"/>
        <w:snapToGrid w:val="0"/>
        <w:spacing w:line="360" w:lineRule="auto"/>
        <w:jc w:val="center"/>
        <w:rPr>
          <w:rFonts w:hint="default" w:ascii="宋体" w:hAnsi="宋体" w:eastAsia="宋体" w:cs="宋体"/>
          <w:b/>
          <w:color w:val="auto"/>
          <w:sz w:val="72"/>
          <w:szCs w:val="72"/>
          <w:lang w:val="en-US" w:eastAsia="zh-CN"/>
        </w:rPr>
      </w:pPr>
      <w:r>
        <w:rPr>
          <w:rFonts w:hint="eastAsia" w:ascii="宋体" w:hAnsi="宋体" w:eastAsia="宋体" w:cs="宋体"/>
          <w:b/>
          <w:color w:val="auto"/>
          <w:sz w:val="72"/>
          <w:szCs w:val="72"/>
          <w:lang w:eastAsia="zh-CN"/>
        </w:rPr>
        <w:t>二期项目</w:t>
      </w:r>
      <w:r>
        <w:rPr>
          <w:rFonts w:hint="eastAsia" w:ascii="宋体" w:hAnsi="宋体" w:cs="宋体"/>
          <w:b/>
          <w:color w:val="auto"/>
          <w:sz w:val="72"/>
          <w:szCs w:val="72"/>
          <w:lang w:eastAsia="zh-CN"/>
        </w:rPr>
        <w:t>（</w:t>
      </w:r>
      <w:r>
        <w:rPr>
          <w:rFonts w:hint="eastAsia" w:ascii="宋体" w:hAnsi="宋体" w:cs="宋体"/>
          <w:b/>
          <w:color w:val="auto"/>
          <w:sz w:val="72"/>
          <w:szCs w:val="72"/>
          <w:lang w:val="en-US" w:eastAsia="zh-CN"/>
        </w:rPr>
        <w:t>二次）</w:t>
      </w:r>
    </w:p>
    <w:p>
      <w:pPr>
        <w:adjustRightInd w:val="0"/>
        <w:snapToGrid w:val="0"/>
        <w:spacing w:line="360" w:lineRule="auto"/>
        <w:jc w:val="both"/>
        <w:rPr>
          <w:rFonts w:hint="eastAsia" w:ascii="宋体" w:hAnsi="宋体" w:eastAsia="宋体" w:cs="宋体"/>
          <w:b/>
          <w:color w:val="auto"/>
          <w:sz w:val="56"/>
          <w:szCs w:val="56"/>
        </w:rPr>
      </w:pPr>
    </w:p>
    <w:p>
      <w:pPr>
        <w:adjustRightInd w:val="0"/>
        <w:snapToGrid w:val="0"/>
        <w:spacing w:line="360" w:lineRule="auto"/>
        <w:jc w:val="center"/>
        <w:rPr>
          <w:rFonts w:hint="eastAsia" w:ascii="宋体" w:hAnsi="宋体" w:eastAsia="宋体" w:cs="宋体"/>
          <w:b/>
          <w:color w:val="auto"/>
          <w:sz w:val="56"/>
          <w:szCs w:val="56"/>
        </w:rPr>
      </w:pPr>
    </w:p>
    <w:p>
      <w:pPr>
        <w:adjustRightInd w:val="0"/>
        <w:snapToGrid w:val="0"/>
        <w:spacing w:line="360" w:lineRule="auto"/>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竞争性磋商文件</w:t>
      </w:r>
    </w:p>
    <w:p>
      <w:pPr>
        <w:adjustRightInd w:val="0"/>
        <w:snapToGrid w:val="0"/>
        <w:spacing w:line="360" w:lineRule="auto"/>
        <w:jc w:val="center"/>
        <w:rPr>
          <w:rFonts w:hint="eastAsia" w:ascii="宋体" w:hAnsi="宋体" w:eastAsia="宋体" w:cs="宋体"/>
          <w:b/>
          <w:color w:val="auto"/>
          <w:sz w:val="36"/>
          <w:szCs w:val="36"/>
        </w:rPr>
      </w:pPr>
    </w:p>
    <w:p>
      <w:pPr>
        <w:adjustRightInd w:val="0"/>
        <w:snapToGrid w:val="0"/>
        <w:spacing w:line="360" w:lineRule="auto"/>
        <w:jc w:val="center"/>
        <w:rPr>
          <w:rFonts w:hint="eastAsia" w:ascii="宋体" w:hAnsi="宋体" w:eastAsia="宋体" w:cs="宋体"/>
          <w:b/>
          <w:color w:val="auto"/>
          <w:sz w:val="36"/>
          <w:szCs w:val="36"/>
        </w:rPr>
      </w:pPr>
    </w:p>
    <w:p>
      <w:pPr>
        <w:adjustRightInd w:val="0"/>
        <w:snapToGrid w:val="0"/>
        <w:spacing w:line="360" w:lineRule="auto"/>
        <w:jc w:val="center"/>
        <w:rPr>
          <w:rFonts w:hint="eastAsia" w:ascii="宋体" w:hAnsi="宋体" w:eastAsia="宋体" w:cs="宋体"/>
          <w:b/>
          <w:color w:val="auto"/>
          <w:sz w:val="36"/>
          <w:szCs w:val="36"/>
        </w:rPr>
      </w:pPr>
    </w:p>
    <w:p>
      <w:pPr>
        <w:adjustRightInd w:val="0"/>
        <w:snapToGrid w:val="0"/>
        <w:spacing w:line="360" w:lineRule="auto"/>
        <w:jc w:val="center"/>
        <w:rPr>
          <w:rFonts w:hint="eastAsia" w:ascii="宋体" w:hAnsi="宋体" w:eastAsia="宋体" w:cs="宋体"/>
          <w:b/>
          <w:color w:val="auto"/>
          <w:sz w:val="36"/>
          <w:szCs w:val="36"/>
        </w:rPr>
      </w:pPr>
    </w:p>
    <w:p>
      <w:pPr>
        <w:adjustRightInd w:val="0"/>
        <w:snapToGrid w:val="0"/>
        <w:spacing w:line="360" w:lineRule="auto"/>
        <w:jc w:val="center"/>
        <w:rPr>
          <w:rFonts w:hint="eastAsia" w:ascii="宋体" w:hAnsi="宋体" w:eastAsia="宋体" w:cs="宋体"/>
          <w:color w:val="auto"/>
        </w:rPr>
      </w:pPr>
      <w:r>
        <w:rPr>
          <w:rFonts w:hint="eastAsia" w:ascii="宋体" w:hAnsi="宋体" w:eastAsia="宋体" w:cs="宋体"/>
          <w:b/>
          <w:color w:val="auto"/>
          <w:sz w:val="36"/>
          <w:szCs w:val="36"/>
        </w:rPr>
        <w:t xml:space="preserve">     </w:t>
      </w:r>
    </w:p>
    <w:p>
      <w:pPr>
        <w:keepNext w:val="0"/>
        <w:keepLines w:val="0"/>
        <w:pageBreakBefore w:val="0"/>
        <w:widowControl w:val="0"/>
        <w:kinsoku/>
        <w:wordWrap/>
        <w:overflowPunct/>
        <w:topLinePunct w:val="0"/>
        <w:autoSpaceDE/>
        <w:autoSpaceDN/>
        <w:bidi w:val="0"/>
        <w:adjustRightInd/>
        <w:snapToGrid w:val="0"/>
        <w:spacing w:line="1000" w:lineRule="exact"/>
        <w:textAlignment w:val="auto"/>
        <w:rPr>
          <w:rFonts w:hint="default" w:ascii="宋体" w:hAnsi="宋体" w:eastAsia="宋体" w:cs="宋体"/>
          <w:b/>
          <w:color w:val="auto"/>
          <w:kern w:val="0"/>
          <w:sz w:val="32"/>
          <w:szCs w:val="31"/>
          <w:lang w:val="en-US" w:eastAsia="zh-CN"/>
        </w:rPr>
      </w:pPr>
      <w:r>
        <w:rPr>
          <w:rFonts w:hint="eastAsia" w:ascii="宋体" w:hAnsi="宋体" w:eastAsia="宋体" w:cs="宋体"/>
          <w:b/>
          <w:color w:val="auto"/>
          <w:kern w:val="0"/>
          <w:sz w:val="32"/>
          <w:szCs w:val="31"/>
          <w:lang w:val="zh-CN"/>
        </w:rPr>
        <w:t>招标编号：XJHL-(JC)-2022-0</w:t>
      </w:r>
      <w:r>
        <w:rPr>
          <w:rFonts w:hint="eastAsia" w:ascii="宋体" w:hAnsi="宋体" w:cs="宋体"/>
          <w:b/>
          <w:color w:val="auto"/>
          <w:kern w:val="0"/>
          <w:sz w:val="32"/>
          <w:szCs w:val="31"/>
          <w:lang w:val="en-US" w:eastAsia="zh-CN"/>
        </w:rPr>
        <w:t>10</w:t>
      </w:r>
    </w:p>
    <w:p>
      <w:pPr>
        <w:keepNext w:val="0"/>
        <w:keepLines w:val="0"/>
        <w:pageBreakBefore w:val="0"/>
        <w:widowControl w:val="0"/>
        <w:kinsoku/>
        <w:wordWrap/>
        <w:overflowPunct/>
        <w:topLinePunct w:val="0"/>
        <w:autoSpaceDE/>
        <w:autoSpaceDN/>
        <w:bidi w:val="0"/>
        <w:adjustRightInd/>
        <w:snapToGrid w:val="0"/>
        <w:spacing w:line="1000" w:lineRule="exact"/>
        <w:textAlignment w:val="auto"/>
        <w:rPr>
          <w:rFonts w:hint="eastAsia" w:ascii="宋体" w:hAnsi="宋体" w:eastAsia="宋体" w:cs="宋体"/>
          <w:b/>
          <w:color w:val="auto"/>
          <w:kern w:val="0"/>
          <w:sz w:val="32"/>
          <w:szCs w:val="31"/>
          <w:lang w:val="zh-CN"/>
        </w:rPr>
      </w:pPr>
      <w:r>
        <w:rPr>
          <w:rFonts w:hint="eastAsia" w:ascii="宋体" w:hAnsi="宋体" w:eastAsia="宋体" w:cs="宋体"/>
          <w:b/>
          <w:color w:val="auto"/>
          <w:kern w:val="0"/>
          <w:sz w:val="32"/>
          <w:szCs w:val="31"/>
        </w:rPr>
        <w:t>采购单位</w:t>
      </w:r>
      <w:r>
        <w:rPr>
          <w:rFonts w:hint="eastAsia" w:ascii="宋体" w:hAnsi="宋体" w:eastAsia="宋体" w:cs="宋体"/>
          <w:b/>
          <w:color w:val="auto"/>
          <w:kern w:val="0"/>
          <w:sz w:val="32"/>
          <w:szCs w:val="31"/>
          <w:lang w:val="zh-CN"/>
        </w:rPr>
        <w:t>（盖章）：新疆巴音郭楞蒙古自治州自然资源局</w:t>
      </w:r>
    </w:p>
    <w:p>
      <w:pPr>
        <w:pStyle w:val="3"/>
        <w:rPr>
          <w:rFonts w:hint="eastAsia" w:ascii="宋体" w:hAnsi="宋体" w:eastAsia="宋体" w:cs="宋体"/>
          <w:color w:val="auto"/>
          <w:lang w:val="zh-CN"/>
        </w:rPr>
      </w:pPr>
    </w:p>
    <w:p>
      <w:pPr>
        <w:pStyle w:val="18"/>
        <w:ind w:left="0" w:leftChars="0" w:firstLine="0" w:firstLineChars="0"/>
        <w:jc w:val="left"/>
        <w:rPr>
          <w:rFonts w:hint="eastAsia" w:ascii="宋体" w:hAnsi="宋体" w:eastAsia="宋体" w:cs="宋体"/>
          <w:b/>
          <w:bCs/>
          <w:color w:val="auto"/>
          <w:lang w:eastAsia="zh-CN"/>
        </w:rPr>
      </w:pPr>
      <w:r>
        <w:rPr>
          <w:rFonts w:hint="eastAsia" w:ascii="宋体" w:hAnsi="宋体" w:eastAsia="宋体" w:cs="宋体"/>
          <w:b/>
          <w:color w:val="auto"/>
          <w:kern w:val="0"/>
          <w:sz w:val="32"/>
          <w:szCs w:val="31"/>
          <w:lang w:val="zh-CN"/>
        </w:rPr>
        <w:t>代理机构（盖章）：</w:t>
      </w:r>
      <w:r>
        <w:rPr>
          <w:rFonts w:hint="eastAsia" w:ascii="宋体" w:hAnsi="宋体" w:eastAsia="宋体" w:cs="宋体"/>
          <w:b/>
          <w:color w:val="auto"/>
          <w:kern w:val="0"/>
          <w:sz w:val="32"/>
          <w:szCs w:val="31"/>
          <w:lang w:val="zh-CN" w:eastAsia="zh-CN" w:bidi="ar-SA"/>
        </w:rPr>
        <w:t>新疆鸿澜工程项目管理有限公司</w:t>
      </w:r>
    </w:p>
    <w:p>
      <w:pPr>
        <w:spacing w:line="520" w:lineRule="exact"/>
        <w:jc w:val="both"/>
        <w:rPr>
          <w:rFonts w:hint="eastAsia" w:ascii="宋体" w:hAnsi="宋体" w:eastAsia="宋体" w:cs="宋体"/>
          <w:b/>
          <w:color w:val="auto"/>
          <w:kern w:val="0"/>
          <w:sz w:val="32"/>
          <w:szCs w:val="31"/>
          <w:lang w:val="zh-CN"/>
        </w:rPr>
      </w:pPr>
    </w:p>
    <w:p>
      <w:pPr>
        <w:pStyle w:val="18"/>
        <w:rPr>
          <w:rFonts w:hint="eastAsia" w:ascii="宋体" w:hAnsi="宋体" w:eastAsia="宋体" w:cs="宋体"/>
          <w:color w:val="auto"/>
        </w:rPr>
        <w:sectPr>
          <w:headerReference r:id="rId4" w:type="first"/>
          <w:footerReference r:id="rId6" w:type="first"/>
          <w:headerReference r:id="rId3" w:type="default"/>
          <w:footerReference r:id="rId5" w:type="default"/>
          <w:pgSz w:w="11906" w:h="16838"/>
          <w:pgMar w:top="1418" w:right="1417" w:bottom="1418" w:left="1417"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pPr>
        <w:spacing w:before="0" w:beforeLines="0" w:after="0" w:afterLines="0" w:line="240" w:lineRule="auto"/>
        <w:ind w:left="0" w:leftChars="0" w:right="0" w:rightChars="0" w:firstLine="0" w:firstLineChars="0"/>
        <w:jc w:val="center"/>
        <w:rPr>
          <w:rFonts w:hint="eastAsia" w:ascii="宋体" w:hAnsi="宋体" w:eastAsia="宋体" w:cs="宋体"/>
          <w:b/>
          <w:bCs/>
        </w:rPr>
      </w:pPr>
      <w:bookmarkStart w:id="0" w:name="_Toc8757"/>
      <w:bookmarkStart w:id="1" w:name="_Toc7471"/>
      <w:bookmarkStart w:id="2" w:name="_Toc8184"/>
      <w:bookmarkStart w:id="3" w:name="_Toc24631"/>
      <w:bookmarkStart w:id="4" w:name="_Toc26663"/>
      <w:r>
        <w:rPr>
          <w:rFonts w:hint="eastAsia" w:ascii="宋体" w:hAnsi="宋体" w:eastAsia="宋体" w:cs="宋体"/>
          <w:b/>
          <w:bCs/>
          <w:sz w:val="21"/>
        </w:rPr>
        <w:t>目</w:t>
      </w:r>
      <w:r>
        <w:rPr>
          <w:rFonts w:hint="eastAsia" w:ascii="宋体" w:hAnsi="宋体" w:eastAsia="宋体" w:cs="宋体"/>
          <w:b/>
          <w:bCs/>
          <w:sz w:val="21"/>
          <w:lang w:val="en-US" w:eastAsia="zh-CN"/>
        </w:rPr>
        <w:t xml:space="preserve">  </w:t>
      </w:r>
      <w:r>
        <w:rPr>
          <w:rFonts w:hint="eastAsia" w:ascii="宋体" w:hAnsi="宋体" w:eastAsia="宋体" w:cs="宋体"/>
          <w:b/>
          <w:bCs/>
          <w:sz w:val="21"/>
        </w:rPr>
        <w:t>录</w:t>
      </w:r>
    </w:p>
    <w:p>
      <w:pPr>
        <w:pStyle w:val="12"/>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"1-3" \h \u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_Toc5076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第一章</w:t>
      </w:r>
      <w:r>
        <w:rPr>
          <w:rFonts w:hint="eastAsia" w:ascii="宋体" w:hAnsi="宋体" w:eastAsia="宋体" w:cs="宋体"/>
          <w:b/>
          <w:bCs/>
          <w:sz w:val="28"/>
          <w:szCs w:val="28"/>
          <w:lang w:val="en-US" w:eastAsia="zh-CN"/>
        </w:rPr>
        <w:t xml:space="preserve"> 竞争性磋商公告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_Toc5076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2"/>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_Toc15972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第二章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_Toc15972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6"/>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_Toc2078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总  则</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_Toc2078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6"/>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_Toc29028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二、</w:t>
      </w:r>
      <w:r>
        <w:rPr>
          <w:rFonts w:hint="eastAsia" w:ascii="宋体" w:hAnsi="宋体" w:eastAsia="宋体" w:cs="宋体"/>
          <w:b/>
          <w:bCs/>
          <w:sz w:val="28"/>
          <w:szCs w:val="28"/>
          <w:lang w:eastAsia="zh-CN"/>
        </w:rPr>
        <w:t>竞争性磋商文件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_Toc29028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6"/>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_Toc14881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三、 </w:t>
      </w:r>
      <w:r>
        <w:rPr>
          <w:rFonts w:hint="eastAsia" w:ascii="宋体" w:hAnsi="宋体" w:eastAsia="宋体" w:cs="宋体"/>
          <w:b/>
          <w:bCs/>
          <w:sz w:val="28"/>
          <w:szCs w:val="28"/>
          <w:lang w:val="en-US" w:eastAsia="zh-CN"/>
        </w:rPr>
        <w:t>响应</w:t>
      </w:r>
      <w:r>
        <w:rPr>
          <w:rFonts w:hint="eastAsia" w:ascii="宋体" w:hAnsi="宋体" w:eastAsia="宋体" w:cs="宋体"/>
          <w:b/>
          <w:bCs/>
          <w:sz w:val="28"/>
          <w:szCs w:val="28"/>
        </w:rPr>
        <w:t>文件的编制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_Toc14881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6"/>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_Toc2665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四、 </w:t>
      </w:r>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的</w:t>
      </w:r>
      <w:r>
        <w:rPr>
          <w:rFonts w:hint="eastAsia" w:ascii="宋体" w:hAnsi="宋体" w:eastAsia="宋体" w:cs="宋体"/>
          <w:b/>
          <w:bCs/>
          <w:sz w:val="28"/>
          <w:szCs w:val="28"/>
          <w:lang w:val="en-US" w:eastAsia="zh-CN"/>
        </w:rPr>
        <w:t>提</w:t>
      </w:r>
      <w:r>
        <w:rPr>
          <w:rFonts w:hint="eastAsia" w:ascii="宋体" w:hAnsi="宋体" w:eastAsia="宋体" w:cs="宋体"/>
          <w:b/>
          <w:bCs/>
          <w:sz w:val="28"/>
          <w:szCs w:val="28"/>
        </w:rPr>
        <w:t>交</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19</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6"/>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_Toc12676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五、开   标</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_Toc12676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19</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6"/>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_Toc28173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六、 评标、定标</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_Toc28173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20</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2"/>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_Toc30169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eastAsia="zh-CN"/>
        </w:rPr>
        <w:t>第三章</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lang w:eastAsia="zh-CN"/>
        </w:rPr>
        <w:t>采购内容及技术要求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_Toc30169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pStyle w:val="12"/>
        <w:tabs>
          <w:tab w:val="right" w:leader="dot" w:pos="9072"/>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_Toc28012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第四章 主要</w:t>
      </w:r>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的格式及其内容</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_Toc28012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pPr>
        <w:rPr>
          <w:rFonts w:hint="eastAsia" w:ascii="宋体" w:hAnsi="宋体" w:eastAsia="宋体" w:cs="宋体"/>
          <w:b/>
          <w:bCs/>
          <w:sz w:val="28"/>
          <w:szCs w:val="28"/>
        </w:rPr>
      </w:pPr>
      <w:r>
        <w:rPr>
          <w:rFonts w:hint="eastAsia" w:ascii="宋体" w:hAnsi="宋体" w:eastAsia="宋体" w:cs="宋体"/>
          <w:b/>
          <w:bCs/>
          <w:sz w:val="28"/>
          <w:szCs w:val="28"/>
        </w:rPr>
        <w:fldChar w:fldCharType="end"/>
      </w:r>
    </w:p>
    <w:p>
      <w:pPr>
        <w:bidi w:val="0"/>
        <w:jc w:val="center"/>
        <w:rPr>
          <w:rFonts w:hint="eastAsia" w:ascii="宋体" w:hAnsi="宋体" w:eastAsia="宋体" w:cs="宋体"/>
          <w:b/>
          <w:color w:val="auto"/>
          <w:sz w:val="36"/>
          <w:szCs w:val="36"/>
        </w:rPr>
      </w:pPr>
      <w:r>
        <w:rPr>
          <w:rFonts w:hint="eastAsia" w:ascii="宋体" w:hAnsi="宋体" w:eastAsia="宋体" w:cs="宋体"/>
          <w:bCs/>
          <w:color w:val="auto"/>
          <w:szCs w:val="28"/>
        </w:rPr>
        <w:br w:type="page"/>
      </w:r>
      <w:r>
        <w:rPr>
          <w:rFonts w:hint="eastAsia" w:ascii="宋体" w:hAnsi="宋体" w:eastAsia="宋体" w:cs="宋体"/>
          <w:b/>
          <w:color w:val="auto"/>
          <w:sz w:val="44"/>
          <w:szCs w:val="44"/>
        </w:rPr>
        <w:t>特 别 提 示</w:t>
      </w:r>
      <w:bookmarkEnd w:id="0"/>
      <w:bookmarkEnd w:id="1"/>
      <w:bookmarkEnd w:id="2"/>
      <w:bookmarkEnd w:id="3"/>
      <w:bookmarkEnd w:id="4"/>
    </w:p>
    <w:p>
      <w:pPr>
        <w:bidi w:val="0"/>
        <w:rPr>
          <w:rFonts w:hint="eastAsia" w:ascii="宋体" w:hAnsi="宋体" w:eastAsia="宋体" w:cs="宋体"/>
          <w:b/>
          <w:bCs/>
          <w:color w:val="auto"/>
          <w:sz w:val="28"/>
          <w:szCs w:val="28"/>
        </w:rPr>
      </w:pPr>
      <w:r>
        <w:rPr>
          <w:rFonts w:hint="eastAsia" w:ascii="宋体" w:hAnsi="宋体" w:eastAsia="宋体" w:cs="宋体"/>
          <w:b/>
          <w:bCs/>
          <w:color w:val="auto"/>
          <w:sz w:val="28"/>
          <w:szCs w:val="28"/>
        </w:rPr>
        <w:t>各供应商：</w:t>
      </w:r>
    </w:p>
    <w:p>
      <w:pPr>
        <w:bidi w:val="0"/>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    在参与本次采购项目投标时，请按</w:t>
      </w:r>
      <w:r>
        <w:rPr>
          <w:rFonts w:hint="eastAsia" w:ascii="宋体" w:hAnsi="宋体" w:eastAsia="宋体" w:cs="宋体"/>
          <w:b/>
          <w:bCs/>
          <w:color w:val="auto"/>
          <w:sz w:val="28"/>
          <w:szCs w:val="28"/>
          <w:lang w:eastAsia="zh-CN"/>
        </w:rPr>
        <w:t>竞争性磋商文件</w:t>
      </w:r>
      <w:r>
        <w:rPr>
          <w:rFonts w:hint="eastAsia" w:ascii="宋体" w:hAnsi="宋体" w:eastAsia="宋体" w:cs="宋体"/>
          <w:b/>
          <w:bCs/>
          <w:color w:val="auto"/>
          <w:sz w:val="28"/>
          <w:szCs w:val="28"/>
        </w:rPr>
        <w:t>中规定的可能导致无效投标、废标、黑体字要求的内容逐条响应,若不响应将导致投标失败。</w:t>
      </w:r>
      <w:bookmarkStart w:id="5" w:name="_Toc22470"/>
      <w:bookmarkStart w:id="6" w:name="_Toc30457"/>
      <w:bookmarkStart w:id="7" w:name="_Toc10095"/>
      <w:bookmarkStart w:id="8" w:name="_Toc16329"/>
      <w:bookmarkStart w:id="9" w:name="_Toc3329"/>
    </w:p>
    <w:p>
      <w:pPr>
        <w:bidi w:val="0"/>
        <w:jc w:val="center"/>
        <w:rPr>
          <w:rFonts w:hint="eastAsia" w:ascii="宋体" w:hAnsi="宋体" w:eastAsia="宋体" w:cs="宋体"/>
          <w:b/>
          <w:bCs/>
          <w:color w:val="auto"/>
          <w:sz w:val="32"/>
          <w:szCs w:val="21"/>
        </w:rPr>
        <w:sectPr>
          <w:footerReference r:id="rId7" w:type="default"/>
          <w:pgSz w:w="11906" w:h="16838"/>
          <w:pgMar w:top="1418" w:right="1417" w:bottom="1418" w:left="1417"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bookmarkEnd w:id="5"/>
    <w:bookmarkEnd w:id="6"/>
    <w:bookmarkEnd w:id="7"/>
    <w:bookmarkEnd w:id="8"/>
    <w:bookmarkEnd w:id="9"/>
    <w:p>
      <w:pPr>
        <w:pStyle w:val="5"/>
        <w:numPr>
          <w:ilvl w:val="0"/>
          <w:numId w:val="3"/>
        </w:numPr>
        <w:bidi w:val="0"/>
        <w:rPr>
          <w:rFonts w:hint="eastAsia" w:ascii="宋体" w:hAnsi="宋体" w:eastAsia="宋体" w:cs="宋体"/>
          <w:lang w:val="en-US" w:eastAsia="zh-CN"/>
        </w:rPr>
      </w:pPr>
      <w:bookmarkStart w:id="10" w:name="_Toc5076"/>
      <w:bookmarkStart w:id="11" w:name="_Toc24067"/>
      <w:r>
        <w:rPr>
          <w:rFonts w:hint="eastAsia" w:ascii="宋体" w:hAnsi="宋体" w:eastAsia="宋体" w:cs="宋体"/>
          <w:lang w:val="en-US" w:eastAsia="zh-CN"/>
        </w:rPr>
        <w:t>竞争性磋商公告</w:t>
      </w:r>
      <w:bookmarkEnd w:id="10"/>
      <w:bookmarkEnd w:id="11"/>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项目概况</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Pr>
          <w:p>
            <w:pPr>
              <w:pStyle w:val="17"/>
              <w:keepNext w:val="0"/>
              <w:keepLines w:val="0"/>
              <w:widowControl/>
              <w:suppressLineNumbers w:val="0"/>
              <w:spacing w:before="75" w:beforeAutospacing="0" w:after="75" w:afterAutospacing="0" w:line="360" w:lineRule="auto"/>
              <w:ind w:right="0"/>
              <w:rPr>
                <w:rFonts w:hint="eastAsia" w:ascii="宋体" w:hAnsi="宋体" w:eastAsia="宋体" w:cs="宋体"/>
                <w:i w:val="0"/>
                <w:iCs w:val="0"/>
                <w:caps w:val="0"/>
                <w:color w:val="000000"/>
                <w:spacing w:val="0"/>
                <w:sz w:val="24"/>
                <w:szCs w:val="24"/>
                <w:vertAlign w:val="baseline"/>
              </w:rPr>
            </w:pPr>
            <w:bookmarkStart w:id="12" w:name="_Toc31575"/>
            <w:bookmarkStart w:id="13" w:name="_Toc28183"/>
            <w:bookmarkStart w:id="14" w:name="_Toc21191"/>
            <w:bookmarkStart w:id="15" w:name="_Toc3183"/>
            <w:bookmarkStart w:id="16" w:name="_Toc17188"/>
            <w:r>
              <w:rPr>
                <w:rFonts w:hint="eastAsia" w:ascii="宋体" w:hAnsi="宋体" w:eastAsia="宋体" w:cs="宋体"/>
                <w:i w:val="0"/>
                <w:iCs w:val="0"/>
                <w:caps w:val="0"/>
                <w:color w:val="000000"/>
                <w:spacing w:val="0"/>
                <w:sz w:val="24"/>
                <w:szCs w:val="24"/>
              </w:rPr>
              <w:t>新疆巴音郭楞蒙古自治州自然资源局</w:t>
            </w:r>
            <w:r>
              <w:rPr>
                <w:rFonts w:hint="eastAsia" w:ascii="宋体" w:hAnsi="宋体" w:eastAsia="宋体" w:cs="宋体"/>
                <w:i w:val="0"/>
                <w:iCs w:val="0"/>
                <w:caps w:val="0"/>
                <w:color w:val="000000"/>
                <w:spacing w:val="0"/>
                <w:sz w:val="24"/>
                <w:szCs w:val="24"/>
                <w:lang w:val="en-US" w:eastAsia="zh-CN"/>
              </w:rPr>
              <w:t>对巴州自然资源统一确权二期项目</w:t>
            </w:r>
            <w:r>
              <w:rPr>
                <w:rFonts w:hint="eastAsia" w:cs="宋体"/>
                <w:i w:val="0"/>
                <w:iCs w:val="0"/>
                <w:caps w:val="0"/>
                <w:color w:val="000000"/>
                <w:spacing w:val="0"/>
                <w:sz w:val="24"/>
                <w:szCs w:val="24"/>
                <w:lang w:val="en-US" w:eastAsia="zh-CN"/>
              </w:rPr>
              <w:t>（二次）</w:t>
            </w:r>
            <w:r>
              <w:rPr>
                <w:rFonts w:hint="eastAsia" w:ascii="宋体" w:hAnsi="宋体" w:eastAsia="宋体" w:cs="宋体"/>
                <w:i w:val="0"/>
                <w:iCs w:val="0"/>
                <w:caps w:val="0"/>
                <w:color w:val="000000"/>
                <w:spacing w:val="0"/>
                <w:sz w:val="24"/>
                <w:szCs w:val="24"/>
              </w:rPr>
              <w:t>的潜在供应商应在政采云平台https://www.zcygov.cn/获取采购文件，并于2022年</w:t>
            </w:r>
            <w:r>
              <w:rPr>
                <w:rFonts w:hint="eastAsia" w:cs="宋体"/>
                <w:i w:val="0"/>
                <w:iCs w:val="0"/>
                <w:caps w:val="0"/>
                <w:color w:val="000000"/>
                <w:spacing w:val="0"/>
                <w:sz w:val="24"/>
                <w:szCs w:val="24"/>
                <w:lang w:val="en-US" w:eastAsia="zh-CN"/>
              </w:rPr>
              <w:t>11</w:t>
            </w:r>
            <w:r>
              <w:rPr>
                <w:rFonts w:hint="eastAsia" w:ascii="宋体" w:hAnsi="宋体" w:eastAsia="宋体" w:cs="宋体"/>
                <w:i w:val="0"/>
                <w:iCs w:val="0"/>
                <w:caps w:val="0"/>
                <w:color w:val="000000"/>
                <w:spacing w:val="0"/>
                <w:sz w:val="24"/>
                <w:szCs w:val="24"/>
              </w:rPr>
              <w:t>月</w:t>
            </w:r>
            <w:r>
              <w:rPr>
                <w:rFonts w:hint="eastAsia" w:cs="宋体"/>
                <w:i w:val="0"/>
                <w:iCs w:val="0"/>
                <w:caps w:val="0"/>
                <w:color w:val="000000"/>
                <w:spacing w:val="0"/>
                <w:sz w:val="24"/>
                <w:szCs w:val="24"/>
                <w:lang w:val="en-US" w:eastAsia="zh-CN"/>
              </w:rPr>
              <w:t>10</w:t>
            </w:r>
            <w:r>
              <w:rPr>
                <w:rFonts w:hint="eastAsia" w:ascii="宋体" w:hAnsi="宋体" w:eastAsia="宋体" w:cs="宋体"/>
                <w:i w:val="0"/>
                <w:iCs w:val="0"/>
                <w:caps w:val="0"/>
                <w:color w:val="000000"/>
                <w:spacing w:val="0"/>
                <w:sz w:val="24"/>
                <w:szCs w:val="24"/>
              </w:rPr>
              <w:t>日 1</w:t>
            </w:r>
            <w:r>
              <w:rPr>
                <w:rFonts w:hint="eastAsia" w:ascii="宋体" w:hAnsi="宋体" w:eastAsia="宋体" w:cs="宋体"/>
                <w:i w:val="0"/>
                <w:iCs w:val="0"/>
                <w:caps w:val="0"/>
                <w:color w:val="000000"/>
                <w:spacing w:val="0"/>
                <w:sz w:val="24"/>
                <w:szCs w:val="24"/>
                <w:lang w:val="en-US" w:eastAsia="zh-CN"/>
              </w:rPr>
              <w:t>1</w:t>
            </w:r>
            <w:r>
              <w:rPr>
                <w:rFonts w:hint="eastAsia" w:ascii="宋体" w:hAnsi="宋体" w:eastAsia="宋体" w:cs="宋体"/>
                <w:i w:val="0"/>
                <w:iCs w:val="0"/>
                <w:caps w:val="0"/>
                <w:color w:val="000000"/>
                <w:spacing w:val="0"/>
                <w:sz w:val="24"/>
                <w:szCs w:val="24"/>
              </w:rPr>
              <w:t>:00（北京时间）前提交响应文件。   </w:t>
            </w:r>
          </w:p>
        </w:tc>
      </w:tr>
    </w:tbl>
    <w:p>
      <w:pPr>
        <w:pageBreakBefore w:val="0"/>
        <w:widowControl/>
        <w:kinsoku/>
        <w:wordWrap/>
        <w:topLinePunct w:val="0"/>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一、项目基本情况</w:t>
      </w:r>
    </w:p>
    <w:p>
      <w:pPr>
        <w:pageBreakBefore w:val="0"/>
        <w:widowControl/>
        <w:kinsoku/>
        <w:wordWrap/>
        <w:topLinePunct w:val="0"/>
        <w:bidi w:val="0"/>
        <w:adjustRightInd w:val="0"/>
        <w:snapToGrid w:val="0"/>
        <w:spacing w:line="360" w:lineRule="auto"/>
        <w:ind w:firstLine="484"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项目编号：XJHL-(JC)-2022-0</w:t>
      </w:r>
      <w:r>
        <w:rPr>
          <w:rFonts w:hint="eastAsia" w:ascii="宋体" w:hAnsi="宋体" w:cs="宋体"/>
          <w:color w:val="auto"/>
          <w:sz w:val="24"/>
          <w:szCs w:val="24"/>
          <w:highlight w:val="none"/>
          <w:lang w:val="en-US" w:eastAsia="zh-CN"/>
        </w:rPr>
        <w:t>10</w:t>
      </w:r>
    </w:p>
    <w:p>
      <w:pPr>
        <w:pageBreakBefore w:val="0"/>
        <w:widowControl/>
        <w:kinsoku/>
        <w:wordWrap/>
        <w:topLinePunct w:val="0"/>
        <w:bidi w:val="0"/>
        <w:adjustRightInd w:val="0"/>
        <w:snapToGrid w:val="0"/>
        <w:spacing w:line="360" w:lineRule="auto"/>
        <w:ind w:firstLine="484"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项目名称：巴州自然资源统一确权二期项目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二次）</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采购方式：</w:t>
      </w:r>
      <w:r>
        <w:rPr>
          <w:rFonts w:hint="eastAsia" w:ascii="宋体" w:hAnsi="宋体" w:cs="宋体"/>
          <w:color w:val="auto"/>
          <w:sz w:val="24"/>
          <w:szCs w:val="24"/>
          <w:highlight w:val="none"/>
          <w:lang w:eastAsia="zh-CN"/>
        </w:rPr>
        <w:t>竞争性磋商</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预算金额（元）：15059</w:t>
      </w:r>
      <w:r>
        <w:rPr>
          <w:rFonts w:hint="eastAsia" w:ascii="宋体" w:hAnsi="宋体" w:cs="宋体"/>
          <w:color w:val="auto"/>
          <w:sz w:val="24"/>
          <w:szCs w:val="24"/>
          <w:highlight w:val="none"/>
          <w:lang w:val="en-US" w:eastAsia="zh-CN"/>
        </w:rPr>
        <w:t>00.00</w:t>
      </w:r>
      <w:r>
        <w:rPr>
          <w:rFonts w:hint="eastAsia" w:ascii="宋体" w:hAnsi="宋体" w:eastAsia="宋体" w:cs="宋体"/>
          <w:color w:val="auto"/>
          <w:sz w:val="24"/>
          <w:szCs w:val="24"/>
          <w:highlight w:val="none"/>
        </w:rPr>
        <w:t>元</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最高限价（元）：15059</w:t>
      </w:r>
      <w:r>
        <w:rPr>
          <w:rFonts w:hint="eastAsia" w:ascii="宋体" w:hAnsi="宋体" w:cs="宋体"/>
          <w:color w:val="auto"/>
          <w:sz w:val="24"/>
          <w:szCs w:val="24"/>
          <w:highlight w:val="none"/>
          <w:lang w:val="en-US" w:eastAsia="zh-CN"/>
        </w:rPr>
        <w:t>00.00</w:t>
      </w:r>
      <w:r>
        <w:rPr>
          <w:rFonts w:hint="eastAsia" w:ascii="宋体" w:hAnsi="宋体" w:eastAsia="宋体" w:cs="宋体"/>
          <w:color w:val="auto"/>
          <w:sz w:val="24"/>
          <w:szCs w:val="24"/>
          <w:highlight w:val="none"/>
        </w:rPr>
        <w:t>元</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数量:不限</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采购内容：对米兰河、黄水沟河、煤矿沟、哈满沟、克其克托格腊克沟、包尔图沟、6条河和博斯腾湖、塔里木胡杨自然保护区、巴音布鲁克自然保护区，进行统一确权登记工作。</w:t>
      </w:r>
      <w:r>
        <w:rPr>
          <w:rFonts w:hint="eastAsia" w:ascii="宋体" w:hAnsi="宋体" w:eastAsia="宋体" w:cs="宋体"/>
          <w:color w:val="auto"/>
          <w:sz w:val="24"/>
          <w:szCs w:val="24"/>
          <w:highlight w:val="none"/>
        </w:rPr>
        <w:t>（具体技术要求详见招标文件）</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服务地点：巴音郭楞蒙古自治州</w:t>
      </w:r>
      <w:r>
        <w:rPr>
          <w:rFonts w:hint="eastAsia" w:ascii="宋体" w:hAnsi="宋体" w:eastAsia="宋体" w:cs="宋体"/>
          <w:color w:val="auto"/>
          <w:sz w:val="24"/>
          <w:szCs w:val="24"/>
          <w:highlight w:val="none"/>
        </w:rPr>
        <w:t>。</w:t>
      </w:r>
    </w:p>
    <w:p>
      <w:pPr>
        <w:pageBreakBefore w:val="0"/>
        <w:widowControl/>
        <w:numPr>
          <w:ilvl w:val="0"/>
          <w:numId w:val="0"/>
        </w:numPr>
        <w:kinsoku/>
        <w:wordWrap/>
        <w:overflowPunct/>
        <w:topLinePunct w:val="0"/>
        <w:bidi w:val="0"/>
        <w:adjustRightInd w:val="0"/>
        <w:snapToGrid w:val="0"/>
        <w:spacing w:line="360" w:lineRule="auto"/>
        <w:ind w:firstLine="484" w:firstLineChars="200"/>
        <w:jc w:val="left"/>
        <w:textAlignment w:val="auto"/>
        <w:rPr>
          <w:rFonts w:hint="eastAsia"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服务期限：202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年1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月3</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lang w:eastAsia="zh-CN"/>
        </w:rPr>
        <w:t>日前完成本项目全部工作内容（以最终签订合同为准）。</w:t>
      </w:r>
    </w:p>
    <w:p>
      <w:pPr>
        <w:pageBreakBefore w:val="0"/>
        <w:widowControl/>
        <w:numPr>
          <w:ilvl w:val="0"/>
          <w:numId w:val="0"/>
        </w:numPr>
        <w:kinsoku/>
        <w:wordWrap/>
        <w:overflowPunct/>
        <w:topLinePunct w:val="0"/>
        <w:bidi w:val="0"/>
        <w:adjustRightInd w:val="0"/>
        <w:snapToGrid w:val="0"/>
        <w:spacing w:line="360" w:lineRule="auto"/>
        <w:ind w:firstLine="484" w:firstLineChars="200"/>
        <w:jc w:val="left"/>
        <w:textAlignment w:val="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二、投标人资格要求</w:t>
      </w:r>
    </w:p>
    <w:p>
      <w:pPr>
        <w:pageBreakBefore w:val="0"/>
        <w:widowControl/>
        <w:kinsoku/>
        <w:wordWrap/>
        <w:overflowPunct/>
        <w:topLinePunct w:val="0"/>
        <w:bidi w:val="0"/>
        <w:adjustRightInd w:val="0"/>
        <w:snapToGrid w:val="0"/>
        <w:spacing w:line="360" w:lineRule="auto"/>
        <w:ind w:firstLine="484"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（1）满足《中华人民共和国政府采购法》第二十二条规定并提交承诺书彩色扫描件；</w:t>
      </w:r>
    </w:p>
    <w:p>
      <w:pPr>
        <w:pageBreakBefore w:val="0"/>
        <w:widowControl/>
        <w:kinsoku/>
        <w:wordWrap/>
        <w:overflowPunct/>
        <w:topLinePunct w:val="0"/>
        <w:bidi w:val="0"/>
        <w:adjustRightInd w:val="0"/>
        <w:snapToGrid w:val="0"/>
        <w:spacing w:line="360" w:lineRule="auto"/>
        <w:ind w:firstLine="484"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（2）具有独立法人资格的有效企业法人营业执照或事业单位法人证书；</w:t>
      </w:r>
    </w:p>
    <w:p>
      <w:pPr>
        <w:pageBreakBefore w:val="0"/>
        <w:widowControl/>
        <w:kinsoku/>
        <w:wordWrap/>
        <w:overflowPunct/>
        <w:topLinePunct w:val="0"/>
        <w:bidi w:val="0"/>
        <w:adjustRightInd w:val="0"/>
        <w:snapToGrid w:val="0"/>
        <w:spacing w:line="360" w:lineRule="auto"/>
        <w:ind w:firstLine="484"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（3）具备国家测绘行业行政主管部门颁发的测绘乙级及以上（含乙级）资质</w:t>
      </w:r>
      <w:r>
        <w:rPr>
          <w:rFonts w:hint="eastAsia" w:ascii="宋体" w:hAnsi="宋体" w:cs="宋体"/>
          <w:b/>
          <w:bCs/>
          <w:color w:val="auto"/>
          <w:sz w:val="24"/>
          <w:szCs w:val="24"/>
          <w:highlight w:val="none"/>
          <w:lang w:val="en-US" w:eastAsia="zh-CN"/>
        </w:rPr>
        <w:t>；</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）具有良好的信誉，未被 “信用中国”(www.creditchina.gov.cn) 列入失信被执行人、重大税收违法案件当事人名单，未被 “中国政府采购网”（www.ccgp.gov.cn）列入政府采购严重违法失信行为记录名单</w:t>
      </w:r>
      <w:r>
        <w:rPr>
          <w:rFonts w:hint="eastAsia" w:ascii="宋体" w:hAnsi="宋体" w:cs="宋体"/>
          <w:b/>
          <w:bCs/>
          <w:color w:val="auto"/>
          <w:sz w:val="24"/>
          <w:szCs w:val="24"/>
          <w:highlight w:val="none"/>
          <w:lang w:val="en-US" w:eastAsia="zh-CN"/>
        </w:rPr>
        <w:t>。</w:t>
      </w:r>
    </w:p>
    <w:p>
      <w:pPr>
        <w:pageBreakBefore w:val="0"/>
        <w:widowControl/>
        <w:kinsoku/>
        <w:wordWrap/>
        <w:overflowPunct/>
        <w:topLinePunct w:val="0"/>
        <w:bidi w:val="0"/>
        <w:adjustRightInd w:val="0"/>
        <w:snapToGrid w:val="0"/>
        <w:spacing w:line="360" w:lineRule="auto"/>
        <w:ind w:firstLine="484"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）本项目不接受联合体投标。</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三、</w:t>
      </w:r>
      <w:r>
        <w:rPr>
          <w:rFonts w:hint="eastAsia" w:ascii="宋体" w:hAnsi="宋体" w:eastAsia="宋体" w:cs="宋体"/>
          <w:b/>
          <w:bCs/>
          <w:color w:val="auto"/>
          <w:sz w:val="24"/>
          <w:szCs w:val="24"/>
          <w:highlight w:val="none"/>
        </w:rPr>
        <w:t>获取竞争性磋商文件时间</w:t>
      </w:r>
      <w:r>
        <w:rPr>
          <w:rFonts w:hint="eastAsia" w:ascii="宋体" w:hAnsi="宋体" w:cs="宋体"/>
          <w:b/>
          <w:bCs/>
          <w:color w:val="auto"/>
          <w:sz w:val="24"/>
          <w:szCs w:val="24"/>
          <w:highlight w:val="none"/>
          <w:lang w:eastAsia="zh-CN"/>
        </w:rPr>
        <w:t>及方式</w:t>
      </w:r>
      <w:r>
        <w:rPr>
          <w:rFonts w:hint="eastAsia" w:ascii="宋体" w:hAnsi="宋体" w:eastAsia="宋体" w:cs="宋体"/>
          <w:color w:val="auto"/>
          <w:sz w:val="24"/>
          <w:szCs w:val="24"/>
          <w:highlight w:val="none"/>
        </w:rPr>
        <w:t>：</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lang w:eastAsia="zh-CN"/>
        </w:rPr>
        <w:t>202</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年</w:t>
      </w:r>
      <w:r>
        <w:rPr>
          <w:rFonts w:hint="eastAsia" w:ascii="宋体" w:hAnsi="宋体" w:cs="宋体"/>
          <w:color w:val="auto"/>
          <w:kern w:val="0"/>
          <w:sz w:val="24"/>
          <w:highlight w:val="none"/>
          <w:lang w:val="en-US" w:eastAsia="zh-CN"/>
        </w:rPr>
        <w:t>10</w:t>
      </w:r>
      <w:r>
        <w:rPr>
          <w:rFonts w:hint="eastAsia" w:ascii="宋体" w:hAnsi="宋体" w:eastAsia="宋体" w:cs="宋体"/>
          <w:color w:val="auto"/>
          <w:kern w:val="0"/>
          <w:sz w:val="24"/>
          <w:highlight w:val="none"/>
          <w:lang w:eastAsia="zh-CN"/>
        </w:rPr>
        <w:t>月</w:t>
      </w:r>
      <w:r>
        <w:rPr>
          <w:rFonts w:hint="eastAsia" w:ascii="宋体" w:hAnsi="宋体" w:cs="宋体"/>
          <w:color w:val="auto"/>
          <w:kern w:val="0"/>
          <w:sz w:val="24"/>
          <w:highlight w:val="none"/>
          <w:lang w:val="en-US" w:eastAsia="zh-CN"/>
        </w:rPr>
        <w:t>27</w:t>
      </w:r>
      <w:r>
        <w:rPr>
          <w:rFonts w:hint="eastAsia" w:ascii="宋体" w:hAnsi="宋体" w:eastAsia="宋体" w:cs="宋体"/>
          <w:color w:val="auto"/>
          <w:kern w:val="0"/>
          <w:sz w:val="24"/>
          <w:highlight w:val="none"/>
          <w:lang w:eastAsia="zh-CN"/>
        </w:rPr>
        <w:t>日起至202</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年</w:t>
      </w:r>
      <w:r>
        <w:rPr>
          <w:rFonts w:hint="eastAsia" w:ascii="宋体" w:hAnsi="宋体" w:cs="宋体"/>
          <w:color w:val="auto"/>
          <w:kern w:val="0"/>
          <w:sz w:val="24"/>
          <w:highlight w:val="none"/>
          <w:lang w:val="en-US" w:eastAsia="zh-CN"/>
        </w:rPr>
        <w:t>11</w:t>
      </w:r>
      <w:r>
        <w:rPr>
          <w:rFonts w:hint="eastAsia" w:ascii="宋体" w:hAnsi="宋体" w:eastAsia="宋体" w:cs="宋体"/>
          <w:color w:val="auto"/>
          <w:kern w:val="0"/>
          <w:sz w:val="24"/>
          <w:highlight w:val="none"/>
          <w:lang w:eastAsia="zh-CN"/>
        </w:rPr>
        <w:t>月</w:t>
      </w:r>
      <w:r>
        <w:rPr>
          <w:rFonts w:hint="eastAsia" w:ascii="宋体" w:hAnsi="宋体" w:cs="宋体"/>
          <w:color w:val="auto"/>
          <w:kern w:val="0"/>
          <w:sz w:val="24"/>
          <w:highlight w:val="none"/>
          <w:lang w:val="en-US" w:eastAsia="zh-CN"/>
        </w:rPr>
        <w:t>04</w:t>
      </w:r>
      <w:r>
        <w:rPr>
          <w:rFonts w:hint="eastAsia" w:ascii="宋体" w:hAnsi="宋体" w:eastAsia="宋体" w:cs="宋体"/>
          <w:color w:val="auto"/>
          <w:kern w:val="0"/>
          <w:sz w:val="24"/>
          <w:highlight w:val="none"/>
          <w:lang w:eastAsia="zh-CN"/>
        </w:rPr>
        <w:t>日止</w:t>
      </w:r>
      <w:r>
        <w:rPr>
          <w:rFonts w:hint="eastAsia" w:ascii="宋体" w:hAnsi="宋体" w:eastAsia="宋体" w:cs="宋体"/>
          <w:color w:val="auto"/>
          <w:sz w:val="24"/>
          <w:szCs w:val="24"/>
          <w:highlight w:val="none"/>
        </w:rPr>
        <w:t>。</w:t>
      </w:r>
    </w:p>
    <w:p>
      <w:pPr>
        <w:pStyle w:val="17"/>
        <w:keepNext w:val="0"/>
        <w:keepLines w:val="0"/>
        <w:widowControl/>
        <w:suppressLineNumbers w:val="0"/>
        <w:spacing w:before="75" w:beforeAutospacing="0" w:after="75" w:afterAutospacing="0" w:line="360" w:lineRule="auto"/>
        <w:ind w:left="0" w:right="0" w:firstLine="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报名（发售／获取）地址：</w:t>
      </w:r>
      <w:r>
        <w:rPr>
          <w:rFonts w:hint="eastAsia" w:ascii="宋体" w:hAnsi="宋体" w:eastAsia="宋体" w:cs="宋体"/>
          <w:color w:val="auto"/>
          <w:kern w:val="2"/>
          <w:sz w:val="24"/>
          <w:szCs w:val="24"/>
          <w:highlight w:val="none"/>
          <w:lang w:val="en-US" w:eastAsia="zh-CN" w:bidi="ar-SA"/>
        </w:rPr>
        <w:t>在政采云平台（www.zcygov.cn）在线申请获取磋商文件（进入“项目采购”应用，在获取采购文件菜单中选择项目，申请获取采购文件），过期不予受理。</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11、投标保证金缴纳及确认时间：凡拟参加本次招标项目的供应商，必须在</w:t>
      </w:r>
      <w:r>
        <w:rPr>
          <w:rFonts w:hint="eastAsia" w:ascii="宋体" w:hAnsi="宋体" w:eastAsia="宋体" w:cs="宋体"/>
          <w:b/>
          <w:bCs/>
          <w:color w:val="auto"/>
          <w:kern w:val="0"/>
          <w:sz w:val="24"/>
          <w:highlight w:val="none"/>
          <w:lang w:eastAsia="zh-CN"/>
        </w:rPr>
        <w:t>202</w:t>
      </w:r>
      <w:r>
        <w:rPr>
          <w:rFonts w:hint="eastAsia" w:ascii="宋体" w:hAnsi="宋体" w:cs="宋体"/>
          <w:b/>
          <w:bCs/>
          <w:color w:val="auto"/>
          <w:kern w:val="0"/>
          <w:sz w:val="24"/>
          <w:highlight w:val="none"/>
          <w:lang w:val="en-US" w:eastAsia="zh-CN"/>
        </w:rPr>
        <w:t>2</w:t>
      </w:r>
      <w:r>
        <w:rPr>
          <w:rFonts w:hint="eastAsia" w:ascii="宋体" w:hAnsi="宋体" w:eastAsia="宋体" w:cs="宋体"/>
          <w:b/>
          <w:bCs/>
          <w:color w:val="auto"/>
          <w:kern w:val="0"/>
          <w:sz w:val="24"/>
          <w:highlight w:val="none"/>
          <w:lang w:eastAsia="zh-CN"/>
        </w:rPr>
        <w:t>年</w:t>
      </w:r>
      <w:r>
        <w:rPr>
          <w:rFonts w:hint="eastAsia" w:ascii="宋体" w:hAnsi="宋体" w:cs="宋体"/>
          <w:b/>
          <w:bCs/>
          <w:color w:val="auto"/>
          <w:kern w:val="0"/>
          <w:sz w:val="24"/>
          <w:highlight w:val="none"/>
          <w:lang w:val="en-US" w:eastAsia="zh-CN"/>
        </w:rPr>
        <w:t>11</w:t>
      </w:r>
      <w:r>
        <w:rPr>
          <w:rFonts w:hint="eastAsia" w:ascii="宋体" w:hAnsi="宋体" w:eastAsia="宋体" w:cs="宋体"/>
          <w:b/>
          <w:bCs/>
          <w:color w:val="auto"/>
          <w:kern w:val="0"/>
          <w:sz w:val="24"/>
          <w:highlight w:val="none"/>
          <w:lang w:eastAsia="zh-CN"/>
        </w:rPr>
        <w:t>月</w:t>
      </w:r>
      <w:r>
        <w:rPr>
          <w:rFonts w:hint="eastAsia" w:ascii="宋体" w:hAnsi="宋体" w:cs="宋体"/>
          <w:b/>
          <w:bCs/>
          <w:color w:val="auto"/>
          <w:kern w:val="0"/>
          <w:sz w:val="24"/>
          <w:highlight w:val="none"/>
          <w:lang w:val="en-US" w:eastAsia="zh-CN"/>
        </w:rPr>
        <w:t>10</w:t>
      </w:r>
      <w:r>
        <w:rPr>
          <w:rFonts w:hint="eastAsia" w:ascii="宋体" w:hAnsi="宋体" w:eastAsia="宋体" w:cs="宋体"/>
          <w:b/>
          <w:bCs/>
          <w:color w:val="auto"/>
          <w:kern w:val="0"/>
          <w:sz w:val="24"/>
          <w:highlight w:val="none"/>
          <w:lang w:eastAsia="zh-CN"/>
        </w:rPr>
        <w:t>日11:00时</w:t>
      </w:r>
      <w:r>
        <w:rPr>
          <w:rFonts w:hint="eastAsia" w:ascii="宋体" w:hAnsi="宋体" w:eastAsia="宋体" w:cs="宋体"/>
          <w:color w:val="auto"/>
          <w:sz w:val="24"/>
          <w:szCs w:val="24"/>
          <w:highlight w:val="none"/>
        </w:rPr>
        <w:t>（北京时间）之前将投标保证金汇入指定账户，投标保证金汇款凭证上用途栏应注明本项目</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标准格式：XJHL-(JC)-2022-010投标保证金</w:t>
      </w:r>
      <w:r>
        <w:rPr>
          <w:rFonts w:hint="eastAsia" w:ascii="宋体" w:hAnsi="宋体" w:eastAsia="宋体" w:cs="宋体"/>
          <w:color w:val="auto"/>
          <w:sz w:val="24"/>
          <w:szCs w:val="24"/>
          <w:highlight w:val="none"/>
        </w:rPr>
        <w:t>]。</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12、开标（投标）日期：</w:t>
      </w:r>
      <w:r>
        <w:rPr>
          <w:rFonts w:hint="eastAsia" w:ascii="宋体" w:hAnsi="宋体" w:eastAsia="宋体" w:cs="宋体"/>
          <w:b/>
          <w:bCs/>
          <w:color w:val="auto"/>
          <w:sz w:val="24"/>
          <w:szCs w:val="24"/>
          <w:highlight w:val="none"/>
          <w:lang w:eastAsia="zh-CN"/>
        </w:rPr>
        <w:t>202</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年</w:t>
      </w: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lang w:eastAsia="zh-CN"/>
        </w:rPr>
        <w:t>月</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eastAsia="zh-CN"/>
        </w:rPr>
        <w:t>日11:00时</w:t>
      </w:r>
      <w:r>
        <w:rPr>
          <w:rFonts w:hint="eastAsia" w:ascii="宋体" w:hAnsi="宋体" w:eastAsia="宋体" w:cs="宋体"/>
          <w:b/>
          <w:bCs/>
          <w:color w:val="auto"/>
          <w:sz w:val="24"/>
          <w:szCs w:val="24"/>
          <w:highlight w:val="none"/>
        </w:rPr>
        <w:t>（北京时间）</w:t>
      </w:r>
      <w:r>
        <w:rPr>
          <w:rFonts w:hint="eastAsia" w:ascii="宋体" w:hAnsi="宋体" w:eastAsia="宋体" w:cs="宋体"/>
          <w:color w:val="auto"/>
          <w:sz w:val="24"/>
          <w:szCs w:val="24"/>
          <w:highlight w:val="none"/>
        </w:rPr>
        <w:t>。若逾时，届时其投标将被拒绝。</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13、竞争性磋商文件发售费用：</w:t>
      </w:r>
      <w:r>
        <w:rPr>
          <w:rFonts w:hint="eastAsia" w:ascii="宋体" w:hAnsi="宋体" w:eastAsia="宋体" w:cs="宋体"/>
          <w:color w:val="auto"/>
          <w:sz w:val="24"/>
          <w:szCs w:val="24"/>
          <w:highlight w:val="none"/>
          <w:lang w:eastAsia="zh-CN"/>
        </w:rPr>
        <w:t>免费</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14、开标地点：</w:t>
      </w:r>
      <w:r>
        <w:rPr>
          <w:rFonts w:hint="eastAsia" w:ascii="宋体" w:hAnsi="宋体" w:eastAsia="宋体" w:cs="宋体"/>
          <w:color w:val="auto"/>
          <w:sz w:val="24"/>
          <w:szCs w:val="24"/>
          <w:highlight w:val="none"/>
          <w:lang w:eastAsia="zh-CN"/>
        </w:rPr>
        <w:t>政采云平台</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15、其他事项：</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（1）本项目为电子招投标项目，投标人需要使用CA加密设备，凡参加本项目供应商可通过新疆数字证书认证中心官网（</w:t>
      </w:r>
      <w:r>
        <w:rPr>
          <w:rFonts w:hint="eastAsia" w:ascii="宋体" w:hAnsi="宋体" w:eastAsia="宋体" w:cs="宋体"/>
          <w:b/>
          <w:bCs/>
          <w:color w:val="auto"/>
          <w:kern w:val="2"/>
          <w:sz w:val="24"/>
          <w:szCs w:val="24"/>
          <w:highlight w:val="none"/>
          <w:lang w:val="en-US" w:eastAsia="zh-CN" w:bidi="ar-SA"/>
        </w:rPr>
        <w:fldChar w:fldCharType="begin"/>
      </w:r>
      <w:r>
        <w:rPr>
          <w:rFonts w:hint="eastAsia" w:ascii="宋体" w:hAnsi="宋体" w:eastAsia="宋体" w:cs="宋体"/>
          <w:b/>
          <w:bCs/>
          <w:color w:val="auto"/>
          <w:kern w:val="2"/>
          <w:sz w:val="24"/>
          <w:szCs w:val="24"/>
          <w:highlight w:val="none"/>
          <w:lang w:val="en-US" w:eastAsia="zh-CN" w:bidi="ar-SA"/>
        </w:rPr>
        <w:instrText xml:space="preserve"> HYPERLINK "https://www.xjca.com.cn/%EF%BC%89%E6%88%96%E4%B8%8B%E8%BD%BD%E2%80%9C%E6%96%B0%E7%96%86%E6%94%BF%E5%8A%A1%E9%80%9A%E2%80%9DAPP%E8%87%AA%E8%A1%8C%E8%BF%9B%E8%A1%8C%E7%94%B3%E9%A2%86" \t "_blank" </w:instrText>
      </w:r>
      <w:r>
        <w:rPr>
          <w:rFonts w:hint="eastAsia" w:ascii="宋体" w:hAnsi="宋体" w:eastAsia="宋体" w:cs="宋体"/>
          <w:b/>
          <w:bCs/>
          <w:color w:val="auto"/>
          <w:kern w:val="2"/>
          <w:sz w:val="24"/>
          <w:szCs w:val="24"/>
          <w:highlight w:val="none"/>
          <w:lang w:val="en-US" w:eastAsia="zh-CN" w:bidi="ar-SA"/>
        </w:rPr>
        <w:fldChar w:fldCharType="separate"/>
      </w:r>
      <w:r>
        <w:rPr>
          <w:rFonts w:hint="eastAsia" w:ascii="宋体" w:hAnsi="宋体" w:eastAsia="宋体" w:cs="宋体"/>
          <w:b/>
          <w:bCs/>
          <w:color w:val="auto"/>
          <w:kern w:val="2"/>
          <w:sz w:val="24"/>
          <w:szCs w:val="24"/>
          <w:highlight w:val="none"/>
          <w:lang w:val="en-US" w:eastAsia="zh-CN" w:bidi="ar-SA"/>
        </w:rPr>
        <w:t>https://www.xjca.com.cn/）或下载“新疆政务通”APP自行进行申领</w:t>
      </w:r>
      <w:r>
        <w:rPr>
          <w:rFonts w:hint="eastAsia" w:ascii="宋体" w:hAnsi="宋体" w:eastAsia="宋体" w:cs="宋体"/>
          <w:b/>
          <w:bCs/>
          <w:color w:val="auto"/>
          <w:kern w:val="2"/>
          <w:sz w:val="24"/>
          <w:szCs w:val="24"/>
          <w:highlight w:val="none"/>
          <w:lang w:val="en-US" w:eastAsia="zh-CN" w:bidi="ar-SA"/>
        </w:rPr>
        <w:fldChar w:fldCharType="end"/>
      </w:r>
      <w:r>
        <w:rPr>
          <w:rFonts w:hint="eastAsia" w:ascii="宋体" w:hAnsi="宋体" w:eastAsia="宋体" w:cs="宋体"/>
          <w:b/>
          <w:bCs/>
          <w:color w:val="auto"/>
          <w:kern w:val="2"/>
          <w:sz w:val="24"/>
          <w:szCs w:val="24"/>
          <w:highlight w:val="none"/>
          <w:lang w:val="en-US" w:eastAsia="zh-CN" w:bidi="ar-SA"/>
        </w:rPr>
        <w:t>。如原有兵团或公共资源使用的CA，可与新疆CA联系，申请增加电子证书即可，无需重复申领。新疆CA服务热线0991-2819290。 </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（2）本项目实行网上投标，采用电子响应文件，若供应商参与投标，自行承担投标一切费用。</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（3）各供应商应在开标前应确保成为新疆政府采购网正式注册入库供应商，并完成CA数字证书申领。因未注册入库、未办理CA数字证书等原因造成无法投标或投标失败等后果由供应商自行承担。</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400-881-7190进行咨询。</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（5）各供应商须准备CA数字证书（解密响应文件）、备份文件（BFBS格式）参与投标。</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特别提示：</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1、超过200万元的货物和服务采购项目、超过400万元的工程采购项目中适宜由中小企业提供的，预留该部分采购项目预算总额的40%以上专门面向中小企业采购，其中预留给小微企业的比例不低于60%。</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对于未预留份额专门面向中小企业的采购项目，以及预留份额项目中的非预留部分采购包，采购人、采购代理机构应当对符合规定的小微企业报价给予10%~20%（工程项目为6%~10%）的扣除，用扣除后的价格参加评审。适用招标投标法的政府采购工程建设项目，采用综合评估法但未采用低价优先法计算价格分的，评标时应当在采用原报价进行评分的基础上增加其价格得分的6%~10%作为其价格分。</w:t>
      </w:r>
    </w:p>
    <w:p>
      <w:pPr>
        <w:pStyle w:val="17"/>
        <w:keepNext w:val="0"/>
        <w:keepLines w:val="0"/>
        <w:widowControl/>
        <w:suppressLineNumbers w:val="0"/>
        <w:spacing w:before="75" w:beforeAutospacing="0" w:after="75" w:afterAutospacing="0" w:line="360" w:lineRule="auto"/>
        <w:ind w:left="0" w:right="0"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接受大中型企业与小微企业组成联合体或者允许大中型企业向一家或者多家小微企业分包的采购项目，对于联合协议或者分包意向协议约定小微企业的合同份额占到合同总金额40%以上的，采购人、采购代理机构应当对联合体或者大中型企业的报价给予4%~6%（工程项目为2%~4%）的扣除，用扣除后的价格参加评审。适用招标投标法的政府采购工程建设项目，采用综合评估法但未采用低价优先法计算价格分的，评标时应当在采用原报价进行评分的基础上增加其价格得分的2%~4%作为其价格分。</w:t>
      </w:r>
    </w:p>
    <w:p>
      <w:pPr>
        <w:pageBreakBefore w:val="0"/>
        <w:kinsoku/>
        <w:wordWrap/>
        <w:overflowPunct w:val="0"/>
        <w:topLinePunct w:val="0"/>
        <w:bidi w:val="0"/>
        <w:spacing w:line="360" w:lineRule="auto"/>
        <w:ind w:firstLine="484" w:firstLineChars="200"/>
        <w:textAlignment w:val="auto"/>
        <w:rPr>
          <w:rFonts w:hint="default" w:ascii="宋体" w:hAnsi="宋体" w:eastAsia="宋体" w:cs="宋体"/>
          <w:i w:val="0"/>
          <w:iCs w:val="0"/>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采购单位联系电话：</w:t>
      </w:r>
      <w:r>
        <w:rPr>
          <w:rFonts w:hint="eastAsia" w:ascii="宋体" w:hAnsi="宋体" w:cs="宋体"/>
          <w:color w:val="auto"/>
          <w:sz w:val="24"/>
          <w:szCs w:val="24"/>
          <w:highlight w:val="none"/>
          <w:lang w:val="en-US" w:eastAsia="zh-CN"/>
        </w:rPr>
        <w:t>0996-2262020</w:t>
      </w:r>
    </w:p>
    <w:p>
      <w:pPr>
        <w:pageBreakBefore w:val="0"/>
        <w:widowControl/>
        <w:kinsoku/>
        <w:wordWrap/>
        <w:topLinePunct w:val="0"/>
        <w:bidi w:val="0"/>
        <w:adjustRightInd w:val="0"/>
        <w:snapToGrid w:val="0"/>
        <w:spacing w:line="360" w:lineRule="auto"/>
        <w:ind w:firstLine="484"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如对竞争性磋商文件有疑问，请致电招标代理公司：</w:t>
      </w:r>
      <w:r>
        <w:rPr>
          <w:rFonts w:hint="eastAsia" w:ascii="宋体" w:hAnsi="宋体" w:cs="宋体"/>
          <w:color w:val="auto"/>
          <w:sz w:val="24"/>
          <w:szCs w:val="24"/>
          <w:highlight w:val="none"/>
          <w:lang w:val="en-US" w:eastAsia="zh-CN"/>
        </w:rPr>
        <w:t>13079989995</w:t>
      </w:r>
      <w:r>
        <w:rPr>
          <w:rFonts w:hint="eastAsia" w:ascii="宋体" w:hAnsi="宋体" w:eastAsia="宋体" w:cs="宋体"/>
          <w:color w:val="auto"/>
          <w:sz w:val="24"/>
          <w:szCs w:val="24"/>
          <w:highlight w:val="none"/>
          <w:lang w:val="en-US" w:eastAsia="zh-CN"/>
        </w:rPr>
        <w:t xml:space="preserve"> </w:t>
      </w:r>
    </w:p>
    <w:p>
      <w:pPr>
        <w:pStyle w:val="13"/>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lang w:val="en-US" w:eastAsia="zh-CN"/>
        </w:rPr>
      </w:pPr>
    </w:p>
    <w:p>
      <w:pPr>
        <w:pStyle w:val="13"/>
        <w:ind w:left="0" w:leftChars="0" w:firstLine="0" w:firstLineChars="0"/>
        <w:jc w:val="both"/>
        <w:rPr>
          <w:rFonts w:hint="eastAsia" w:ascii="宋体" w:hAnsi="宋体" w:eastAsia="宋体" w:cs="宋体"/>
          <w:color w:val="auto"/>
          <w:lang w:val="en-US" w:eastAsia="zh-CN"/>
        </w:rPr>
      </w:pPr>
    </w:p>
    <w:p>
      <w:pPr>
        <w:pStyle w:val="15"/>
        <w:pageBreakBefore w:val="0"/>
        <w:kinsoku/>
        <w:wordWrap/>
        <w:topLinePunct w:val="0"/>
        <w:bidi w:val="0"/>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                               </w:t>
      </w:r>
    </w:p>
    <w:p>
      <w:pPr>
        <w:pageBreakBefore w:val="0"/>
        <w:widowControl/>
        <w:kinsoku/>
        <w:wordWrap/>
        <w:topLinePunct w:val="0"/>
        <w:bidi w:val="0"/>
        <w:adjustRightInd w:val="0"/>
        <w:snapToGrid w:val="0"/>
        <w:spacing w:line="360" w:lineRule="auto"/>
        <w:ind w:firstLine="484" w:firstLineChars="200"/>
        <w:jc w:val="righ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新疆鸿澜工程项目管理有限公司</w:t>
      </w:r>
      <w:r>
        <w:rPr>
          <w:rFonts w:hint="eastAsia" w:ascii="宋体" w:hAnsi="宋体" w:eastAsia="宋体" w:cs="宋体"/>
          <w:color w:val="auto"/>
          <w:sz w:val="24"/>
          <w:szCs w:val="24"/>
          <w:highlight w:val="none"/>
        </w:rPr>
        <w:t xml:space="preserve">                             </w:t>
      </w:r>
    </w:p>
    <w:p>
      <w:pPr>
        <w:pageBreakBefore w:val="0"/>
        <w:widowControl/>
        <w:kinsoku/>
        <w:wordWrap/>
        <w:topLinePunct w:val="0"/>
        <w:bidi w:val="0"/>
        <w:adjustRightInd w:val="0"/>
        <w:snapToGrid w:val="0"/>
        <w:spacing w:line="360" w:lineRule="auto"/>
        <w:ind w:firstLine="6534" w:firstLineChars="27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lang w:eastAsia="zh-CN"/>
        </w:rPr>
        <w:t>日</w:t>
      </w:r>
    </w:p>
    <w:p>
      <w:pPr>
        <w:widowControl/>
        <w:adjustRightInd w:val="0"/>
        <w:snapToGrid w:val="0"/>
        <w:spacing w:line="312" w:lineRule="auto"/>
        <w:ind w:firstLine="484" w:firstLineChars="200"/>
        <w:jc w:val="center"/>
        <w:rPr>
          <w:rFonts w:hint="eastAsia" w:ascii="宋体" w:hAnsi="宋体" w:eastAsia="宋体" w:cs="宋体"/>
          <w:color w:val="auto"/>
          <w:kern w:val="2"/>
          <w:sz w:val="24"/>
          <w:szCs w:val="24"/>
          <w:lang w:val="zh-CN" w:eastAsia="zh-CN" w:bidi="ar-SA"/>
        </w:rPr>
      </w:pPr>
    </w:p>
    <w:p>
      <w:pPr>
        <w:pStyle w:val="5"/>
        <w:bidi w:val="0"/>
        <w:jc w:val="both"/>
        <w:rPr>
          <w:rFonts w:hint="eastAsia" w:ascii="宋体" w:hAnsi="宋体" w:eastAsia="宋体" w:cs="宋体"/>
        </w:rPr>
      </w:pPr>
      <w:bookmarkStart w:id="17" w:name="_Toc15972"/>
      <w:bookmarkStart w:id="18" w:name="_Toc2215"/>
    </w:p>
    <w:p>
      <w:pPr>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5"/>
        <w:bidi w:val="0"/>
        <w:jc w:val="center"/>
        <w:rPr>
          <w:rFonts w:hint="eastAsia" w:ascii="宋体" w:hAnsi="宋体" w:eastAsia="宋体" w:cs="宋体"/>
        </w:rPr>
      </w:pPr>
      <w:r>
        <w:rPr>
          <w:rFonts w:hint="eastAsia" w:ascii="宋体" w:hAnsi="宋体" w:eastAsia="宋体" w:cs="宋体"/>
        </w:rPr>
        <w:t>第二章 供应商须知</w:t>
      </w:r>
      <w:bookmarkEnd w:id="12"/>
      <w:bookmarkEnd w:id="13"/>
      <w:bookmarkEnd w:id="14"/>
      <w:bookmarkEnd w:id="15"/>
      <w:bookmarkEnd w:id="17"/>
      <w:bookmarkEnd w:id="18"/>
    </w:p>
    <w:bookmarkEnd w:id="16"/>
    <w:p>
      <w:pPr>
        <w:bidi w:val="0"/>
        <w:jc w:val="center"/>
        <w:rPr>
          <w:rFonts w:hint="eastAsia" w:ascii="宋体" w:hAnsi="宋体" w:eastAsia="宋体" w:cs="宋体"/>
          <w:b/>
          <w:bCs/>
          <w:sz w:val="28"/>
          <w:szCs w:val="28"/>
        </w:rPr>
      </w:pPr>
      <w:bookmarkStart w:id="19" w:name="_Toc14932"/>
      <w:bookmarkStart w:id="20" w:name="_Toc5420"/>
      <w:bookmarkStart w:id="21" w:name="_Toc12824"/>
      <w:r>
        <w:rPr>
          <w:rFonts w:hint="eastAsia" w:ascii="宋体" w:hAnsi="宋体" w:eastAsia="宋体" w:cs="宋体"/>
          <w:b/>
          <w:bCs/>
          <w:sz w:val="28"/>
          <w:szCs w:val="28"/>
          <w:lang w:val="en-US" w:eastAsia="zh-CN"/>
        </w:rPr>
        <w:t>供应商</w:t>
      </w:r>
      <w:r>
        <w:rPr>
          <w:rFonts w:hint="eastAsia" w:ascii="宋体" w:hAnsi="宋体" w:eastAsia="宋体" w:cs="宋体"/>
          <w:b/>
          <w:bCs/>
          <w:sz w:val="28"/>
          <w:szCs w:val="28"/>
        </w:rPr>
        <w:t>须知前附表</w:t>
      </w:r>
      <w:bookmarkEnd w:id="19"/>
      <w:bookmarkEnd w:id="20"/>
      <w:bookmarkEnd w:id="21"/>
    </w:p>
    <w:p>
      <w:pPr>
        <w:widowControl/>
        <w:adjustRightInd w:val="0"/>
        <w:snapToGrid w:val="0"/>
        <w:spacing w:line="312" w:lineRule="auto"/>
        <w:ind w:firstLine="484" w:firstLineChars="200"/>
        <w:jc w:val="left"/>
        <w:rPr>
          <w:rFonts w:hint="eastAsia" w:ascii="宋体" w:hAnsi="宋体" w:eastAsia="宋体" w:cs="宋体"/>
          <w:color w:val="auto"/>
        </w:rPr>
      </w:pPr>
      <w:r>
        <w:rPr>
          <w:rFonts w:hint="eastAsia" w:ascii="宋体" w:hAnsi="宋体" w:eastAsia="宋体" w:cs="宋体"/>
          <w:color w:val="auto"/>
          <w:sz w:val="24"/>
          <w:szCs w:val="24"/>
        </w:rPr>
        <w:t>本表的具体资料是对投标人须知的具体补充和修改，如有矛盾，应以本前附表为准。</w:t>
      </w:r>
    </w:p>
    <w:tbl>
      <w:tblPr>
        <w:tblStyle w:val="19"/>
        <w:tblW w:w="10063" w:type="dxa"/>
        <w:jc w:val="center"/>
        <w:tblLayout w:type="fixed"/>
        <w:tblCellMar>
          <w:top w:w="0" w:type="dxa"/>
          <w:left w:w="108" w:type="dxa"/>
          <w:bottom w:w="0" w:type="dxa"/>
          <w:right w:w="108" w:type="dxa"/>
        </w:tblCellMar>
      </w:tblPr>
      <w:tblGrid>
        <w:gridCol w:w="1109"/>
        <w:gridCol w:w="2008"/>
        <w:gridCol w:w="11"/>
        <w:gridCol w:w="6935"/>
      </w:tblGrid>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编 列 内 容</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名  称：新疆巴音郭楞蒙古自治州自然资源局</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zh-CN"/>
              </w:rPr>
              <w:t>库尔勒市</w:t>
            </w:r>
          </w:p>
          <w:p>
            <w:pPr>
              <w:bidi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cs="宋体"/>
                <w:color w:val="auto"/>
                <w:sz w:val="24"/>
                <w:szCs w:val="24"/>
                <w:lang w:val="en-US" w:eastAsia="zh-CN"/>
              </w:rPr>
              <w:t>0996-2262020</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代理机构</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  称：</w:t>
            </w:r>
            <w:r>
              <w:rPr>
                <w:rFonts w:hint="eastAsia" w:ascii="宋体" w:hAnsi="宋体" w:cs="宋体"/>
                <w:color w:val="auto"/>
                <w:sz w:val="24"/>
                <w:szCs w:val="24"/>
                <w:lang w:eastAsia="zh-CN"/>
              </w:rPr>
              <w:t>新疆鸿澜工程项目管理有限公司</w:t>
            </w:r>
            <w:r>
              <w:rPr>
                <w:rFonts w:hint="eastAsia" w:ascii="宋体" w:hAnsi="宋体" w:eastAsia="宋体" w:cs="宋体"/>
                <w:color w:val="auto"/>
                <w:sz w:val="24"/>
                <w:szCs w:val="24"/>
                <w:lang w:eastAsia="zh-CN"/>
              </w:rPr>
              <w:t> </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 库尔勒市</w:t>
            </w:r>
            <w:r>
              <w:rPr>
                <w:rFonts w:hint="eastAsia" w:ascii="宋体" w:hAnsi="宋体" w:cs="宋体"/>
                <w:color w:val="auto"/>
                <w:sz w:val="24"/>
                <w:szCs w:val="24"/>
                <w:lang w:val="en-US" w:eastAsia="zh-CN"/>
              </w:rPr>
              <w:t>人民东路华誉综合楼A座1201室</w:t>
            </w:r>
            <w:r>
              <w:rPr>
                <w:rFonts w:hint="eastAsia" w:ascii="宋体" w:hAnsi="宋体" w:eastAsia="宋体" w:cs="宋体"/>
                <w:color w:val="auto"/>
                <w:sz w:val="24"/>
                <w:szCs w:val="24"/>
                <w:lang w:val="en-US" w:eastAsia="zh-CN"/>
              </w:rPr>
              <w:t> </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ascii="宋体" w:hAnsi="宋体" w:cs="宋体"/>
                <w:color w:val="auto"/>
                <w:sz w:val="24"/>
                <w:szCs w:val="24"/>
                <w:lang w:val="en-US" w:eastAsia="zh-CN"/>
              </w:rPr>
              <w:t>范</w:t>
            </w:r>
            <w:r>
              <w:rPr>
                <w:rFonts w:hint="eastAsia" w:ascii="宋体" w:hAnsi="宋体" w:cs="宋体"/>
                <w:color w:val="auto"/>
                <w:sz w:val="24"/>
                <w:szCs w:val="24"/>
                <w:lang w:eastAsia="zh-CN"/>
              </w:rPr>
              <w:t>女士</w:t>
            </w:r>
          </w:p>
          <w:p>
            <w:pPr>
              <w:bidi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cs="宋体"/>
                <w:color w:val="auto"/>
                <w:sz w:val="24"/>
                <w:szCs w:val="24"/>
                <w:lang w:val="en-US" w:eastAsia="zh-CN"/>
              </w:rPr>
              <w:t>0996-2257770</w:t>
            </w:r>
          </w:p>
        </w:tc>
      </w:tr>
      <w:tr>
        <w:tblPrEx>
          <w:tblCellMar>
            <w:top w:w="0" w:type="dxa"/>
            <w:left w:w="108" w:type="dxa"/>
            <w:bottom w:w="0" w:type="dxa"/>
            <w:right w:w="108" w:type="dxa"/>
          </w:tblCellMar>
        </w:tblPrEx>
        <w:trPr>
          <w:trHeight w:val="574"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项目名称</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巴州自然资源统一确权二期项目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二次）</w:t>
            </w:r>
          </w:p>
        </w:tc>
      </w:tr>
      <w:tr>
        <w:tblPrEx>
          <w:tblCellMar>
            <w:top w:w="0" w:type="dxa"/>
            <w:left w:w="108" w:type="dxa"/>
            <w:bottom w:w="0" w:type="dxa"/>
            <w:right w:w="108" w:type="dxa"/>
          </w:tblCellMar>
        </w:tblPrEx>
        <w:trPr>
          <w:trHeight w:val="496"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采购需求</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见</w:t>
            </w:r>
            <w:r>
              <w:rPr>
                <w:rFonts w:hint="eastAsia" w:ascii="宋体" w:hAnsi="宋体" w:cs="宋体"/>
                <w:color w:val="auto"/>
                <w:sz w:val="24"/>
                <w:szCs w:val="24"/>
                <w:lang w:eastAsia="zh-CN"/>
              </w:rPr>
              <w:t>磋商</w:t>
            </w:r>
            <w:r>
              <w:rPr>
                <w:rFonts w:hint="eastAsia" w:ascii="宋体" w:hAnsi="宋体" w:eastAsia="宋体" w:cs="宋体"/>
                <w:color w:val="auto"/>
                <w:sz w:val="24"/>
                <w:szCs w:val="24"/>
                <w:lang w:eastAsia="zh-CN"/>
              </w:rPr>
              <w:t>公告</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预算金额</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1505900</w:t>
            </w:r>
            <w:r>
              <w:rPr>
                <w:rFonts w:hint="eastAsia" w:ascii="宋体" w:hAnsi="宋体" w:eastAsia="宋体" w:cs="宋体"/>
                <w:color w:val="auto"/>
                <w:sz w:val="24"/>
                <w:szCs w:val="24"/>
                <w:lang w:val="en-US" w:eastAsia="zh-CN"/>
              </w:rPr>
              <w:t>.00元整</w:t>
            </w:r>
          </w:p>
        </w:tc>
      </w:tr>
      <w:tr>
        <w:tblPrEx>
          <w:tblCellMar>
            <w:top w:w="0" w:type="dxa"/>
            <w:left w:w="108" w:type="dxa"/>
            <w:bottom w:w="0" w:type="dxa"/>
            <w:right w:w="108" w:type="dxa"/>
          </w:tblCellMar>
        </w:tblPrEx>
        <w:trPr>
          <w:trHeight w:val="462"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资金落实情况</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已落实</w:t>
            </w:r>
          </w:p>
        </w:tc>
      </w:tr>
      <w:tr>
        <w:tblPrEx>
          <w:tblCellMar>
            <w:top w:w="0" w:type="dxa"/>
            <w:left w:w="108" w:type="dxa"/>
            <w:bottom w:w="0" w:type="dxa"/>
            <w:right w:w="108" w:type="dxa"/>
          </w:tblCellMar>
        </w:tblPrEx>
        <w:trPr>
          <w:trHeight w:val="434"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招标方式</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竞争性磋商</w:t>
            </w:r>
          </w:p>
        </w:tc>
      </w:tr>
      <w:tr>
        <w:tblPrEx>
          <w:tblCellMar>
            <w:top w:w="0" w:type="dxa"/>
            <w:left w:w="108" w:type="dxa"/>
            <w:bottom w:w="0" w:type="dxa"/>
            <w:right w:w="108" w:type="dxa"/>
          </w:tblCellMar>
        </w:tblPrEx>
        <w:trPr>
          <w:trHeight w:val="48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资金来源</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财政资金</w:t>
            </w:r>
          </w:p>
        </w:tc>
      </w:tr>
      <w:tr>
        <w:tblPrEx>
          <w:tblCellMar>
            <w:top w:w="0" w:type="dxa"/>
            <w:left w:w="108" w:type="dxa"/>
            <w:bottom w:w="0" w:type="dxa"/>
            <w:right w:w="108" w:type="dxa"/>
          </w:tblCellMar>
        </w:tblPrEx>
        <w:trPr>
          <w:trHeight w:val="541"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服务期限</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202</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年1</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月3</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日前完成本项目全部工作内容（以最终签订合同为准）</w:t>
            </w:r>
            <w:r>
              <w:rPr>
                <w:rFonts w:hint="eastAsia" w:ascii="宋体" w:hAnsi="宋体" w:cs="宋体"/>
                <w:color w:val="auto"/>
                <w:sz w:val="24"/>
                <w:szCs w:val="24"/>
                <w:lang w:val="en-US" w:eastAsia="zh-CN"/>
              </w:rPr>
              <w:t>。</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现场踏勘</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lang w:val="en-US" w:eastAsia="zh-CN"/>
              </w:rPr>
            </w:pPr>
            <w:r>
              <w:rPr>
                <w:rFonts w:hint="eastAsia"/>
                <w:lang w:val="en-US" w:eastAsia="zh-CN"/>
              </w:rPr>
              <w:sym w:font="Wingdings" w:char="00FE"/>
            </w:r>
            <w:r>
              <w:rPr>
                <w:rFonts w:hint="eastAsia"/>
                <w:lang w:val="en-US" w:eastAsia="zh-CN"/>
              </w:rPr>
              <w:t>不组织</w:t>
            </w:r>
          </w:p>
          <w:p>
            <w:pPr>
              <w:bidi w:val="0"/>
              <w:spacing w:line="360" w:lineRule="auto"/>
              <w:rPr>
                <w:rFonts w:hint="default" w:eastAsia="宋体"/>
                <w:lang w:val="en-US" w:eastAsia="zh-CN"/>
              </w:rPr>
            </w:pPr>
            <w:r>
              <w:rPr>
                <w:rFonts w:hint="eastAsia"/>
                <w:lang w:val="en-US" w:eastAsia="zh-CN"/>
              </w:rPr>
              <w:sym w:font="Wingdings" w:char="00A8"/>
            </w:r>
            <w:r>
              <w:rPr>
                <w:rFonts w:hint="eastAsia"/>
                <w:lang w:val="en-US" w:eastAsia="zh-CN"/>
              </w:rPr>
              <w:t>组织</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11</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文件有效期</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提交</w:t>
            </w: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文件的截止之日起90天</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12</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是否接受</w:t>
            </w:r>
          </w:p>
          <w:p>
            <w:pPr>
              <w:bidi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联合体投标</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√不接受</w:t>
            </w:r>
          </w:p>
          <w:p>
            <w:pPr>
              <w:bidi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sym w:font="Wingdings" w:char="00A8"/>
            </w:r>
            <w:r>
              <w:rPr>
                <w:rFonts w:hint="eastAsia" w:ascii="宋体" w:hAnsi="宋体" w:eastAsia="宋体" w:cs="宋体"/>
                <w:b w:val="0"/>
                <w:bCs w:val="0"/>
                <w:color w:val="auto"/>
                <w:sz w:val="24"/>
                <w:szCs w:val="24"/>
              </w:rPr>
              <w:t>接受</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13</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w:t>
            </w:r>
          </w:p>
          <w:p>
            <w:pPr>
              <w:bidi w:val="0"/>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响应资格条件</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000000"/>
                <w:lang w:val="en-US"/>
              </w:rPr>
            </w:pPr>
            <w:r>
              <w:rPr>
                <w:rFonts w:hint="eastAsia" w:ascii="宋体" w:hAnsi="宋体" w:eastAsia="宋体" w:cs="宋体"/>
                <w:b/>
                <w:bCs/>
                <w:color w:val="000000"/>
                <w:lang w:val="en-US"/>
              </w:rPr>
              <w:t>（1）-（</w:t>
            </w:r>
            <w:r>
              <w:rPr>
                <w:rFonts w:hint="eastAsia" w:ascii="宋体" w:hAnsi="宋体" w:cs="宋体"/>
                <w:b/>
                <w:bCs/>
                <w:color w:val="000000"/>
                <w:lang w:val="en-US" w:eastAsia="zh-CN"/>
              </w:rPr>
              <w:t>4</w:t>
            </w:r>
            <w:r>
              <w:rPr>
                <w:rFonts w:hint="eastAsia" w:ascii="宋体" w:hAnsi="宋体" w:eastAsia="宋体" w:cs="宋体"/>
                <w:b/>
                <w:bCs/>
                <w:color w:val="000000"/>
                <w:lang w:val="en-US"/>
              </w:rPr>
              <w:t>）为投标报价时资格审查的必备条件，开标时投标人必须逐一关联响应,如果不能提供或有缺项则视为对竞争性磋商文件资格审查内容的不响应，其投标将被拒绝，此内容为采购人审查。注：后续供应商在线制作响应文件时需对资格审查项进行逐一关联响应。</w:t>
            </w:r>
          </w:p>
          <w:p>
            <w:pPr>
              <w:bidi w:val="0"/>
              <w:spacing w:line="360" w:lineRule="auto"/>
              <w:rPr>
                <w:rFonts w:hint="eastAsia" w:ascii="宋体" w:hAnsi="宋体" w:eastAsia="宋体" w:cs="宋体"/>
                <w:b/>
                <w:bCs/>
                <w:color w:val="000000"/>
                <w:lang w:val="en-US"/>
              </w:rPr>
            </w:pPr>
            <w:r>
              <w:rPr>
                <w:rFonts w:hint="eastAsia" w:ascii="宋体" w:hAnsi="宋体" w:eastAsia="宋体" w:cs="宋体"/>
                <w:b/>
                <w:bCs/>
                <w:color w:val="000000"/>
                <w:lang w:val="en-US"/>
              </w:rPr>
              <w:t>（1）满足《中华人民共和国政府采购法》第二十二条规定并提交承诺书彩色扫描件；</w:t>
            </w:r>
          </w:p>
          <w:p>
            <w:pPr>
              <w:bidi w:val="0"/>
              <w:spacing w:line="360" w:lineRule="auto"/>
              <w:rPr>
                <w:rFonts w:hint="eastAsia" w:ascii="宋体" w:hAnsi="宋体" w:eastAsia="宋体" w:cs="宋体"/>
                <w:b/>
                <w:bCs/>
                <w:color w:val="000000"/>
                <w:lang w:val="en-US"/>
              </w:rPr>
            </w:pPr>
            <w:r>
              <w:rPr>
                <w:rFonts w:hint="eastAsia" w:ascii="宋体" w:hAnsi="宋体" w:eastAsia="宋体" w:cs="宋体"/>
                <w:b/>
                <w:bCs/>
                <w:color w:val="000000"/>
                <w:lang w:val="en-US"/>
              </w:rPr>
              <w:t>（2）具有独立法人资格的有效企业法人营业执照或事业单位法人证书；</w:t>
            </w:r>
          </w:p>
          <w:p>
            <w:pPr>
              <w:bidi w:val="0"/>
              <w:spacing w:line="360" w:lineRule="auto"/>
              <w:rPr>
                <w:rFonts w:hint="eastAsia" w:ascii="宋体" w:hAnsi="宋体" w:eastAsia="宋体" w:cs="宋体"/>
                <w:b/>
                <w:bCs/>
                <w:color w:val="000000"/>
                <w:lang w:val="en-US"/>
              </w:rPr>
            </w:pPr>
            <w:r>
              <w:rPr>
                <w:rFonts w:hint="eastAsia" w:ascii="宋体" w:hAnsi="宋体" w:eastAsia="宋体" w:cs="宋体"/>
                <w:b/>
                <w:bCs/>
                <w:color w:val="000000"/>
                <w:lang w:val="en-US"/>
              </w:rPr>
              <w:t>（3）</w:t>
            </w:r>
            <w:r>
              <w:rPr>
                <w:rFonts w:hint="eastAsia" w:ascii="宋体" w:hAnsi="宋体" w:eastAsia="宋体" w:cs="宋体"/>
                <w:b/>
                <w:bCs/>
                <w:color w:val="000000"/>
                <w:highlight w:val="none"/>
                <w:lang w:val="en-US"/>
              </w:rPr>
              <w:t>具备国家测绘行业行政主管部门颁发的测绘乙级及以上（含乙级）资质；</w:t>
            </w:r>
          </w:p>
          <w:p>
            <w:pPr>
              <w:bidi w:val="0"/>
              <w:spacing w:line="360" w:lineRule="auto"/>
              <w:rPr>
                <w:rFonts w:hint="eastAsia" w:ascii="宋体" w:hAnsi="宋体" w:eastAsia="宋体" w:cs="宋体"/>
                <w:color w:val="auto"/>
                <w:lang w:val="en-US"/>
              </w:rPr>
            </w:pPr>
            <w:r>
              <w:rPr>
                <w:rFonts w:hint="eastAsia" w:ascii="宋体" w:hAnsi="宋体" w:eastAsia="宋体" w:cs="宋体"/>
                <w:b/>
                <w:bCs/>
                <w:color w:val="000000"/>
                <w:lang w:val="en-US"/>
              </w:rPr>
              <w:t>（4）具有良好的信誉，未被 “信用中国”(www.creditchina.gov.cn) 列入失信被执行人、重大税收违法案件当事人名单，未被 “中国政府采购网”（www.ccgp.gov.cn）列入政府采购严重违法失信行为记录名单。</w:t>
            </w:r>
          </w:p>
        </w:tc>
      </w:tr>
      <w:tr>
        <w:tblPrEx>
          <w:tblCellMar>
            <w:top w:w="0" w:type="dxa"/>
            <w:left w:w="108" w:type="dxa"/>
            <w:bottom w:w="0" w:type="dxa"/>
            <w:right w:w="108" w:type="dxa"/>
          </w:tblCellMar>
        </w:tblPrEx>
        <w:trPr>
          <w:trHeight w:val="90"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14</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是否允许递交</w:t>
            </w:r>
          </w:p>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备选投标方案</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√不允许</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sym w:font="Wingdings 2" w:char="00A3"/>
            </w:r>
            <w:r>
              <w:rPr>
                <w:rFonts w:hint="eastAsia" w:ascii="宋体" w:hAnsi="宋体" w:eastAsia="宋体" w:cs="宋体"/>
                <w:color w:val="auto"/>
                <w:sz w:val="24"/>
                <w:szCs w:val="24"/>
              </w:rPr>
              <w:t>允许</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15</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竞争性磋商文件领取</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供应商登陆政采云平http://www.zcygov.cn/可下载竞争性磋商文件，如有操作性问题，可与政采云在线客服进行咨询，咨询电话：400-881-7190）。 </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本次招标不提供纸质版竞争性磋商文件。  </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16</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签字和（或）</w:t>
            </w:r>
          </w:p>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盖章要求</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企业公章</w:t>
            </w:r>
            <w:r>
              <w:rPr>
                <w:rFonts w:hint="eastAsia" w:ascii="宋体" w:hAnsi="宋体" w:eastAsia="宋体" w:cs="宋体"/>
                <w:color w:val="auto"/>
                <w:sz w:val="24"/>
                <w:szCs w:val="24"/>
                <w:lang w:eastAsia="zh-CN"/>
              </w:rPr>
              <w:t>、法人章</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企业法定代表人或其委托代理人签字</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szCs w:val="24"/>
                <w:lang w:val="en-US" w:eastAsia="zh-CN"/>
              </w:rPr>
              <w:t>17</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说明</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本</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技术指标是作为功能性说明，不论任何情况，供应商在投标时必须达到或优于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18</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Cs/>
                <w:color w:val="auto"/>
                <w:sz w:val="24"/>
                <w:szCs w:val="24"/>
              </w:rPr>
              <w:t>报价方式</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经磋商确定的最后报价</w:t>
            </w:r>
          </w:p>
        </w:tc>
      </w:tr>
      <w:tr>
        <w:tblPrEx>
          <w:tblCellMar>
            <w:top w:w="0" w:type="dxa"/>
            <w:left w:w="108" w:type="dxa"/>
            <w:bottom w:w="0" w:type="dxa"/>
            <w:right w:w="108" w:type="dxa"/>
          </w:tblCellMar>
        </w:tblPrEx>
        <w:trPr>
          <w:trHeight w:val="448"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19</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评标办法</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综合评分法</w:t>
            </w:r>
          </w:p>
        </w:tc>
      </w:tr>
      <w:tr>
        <w:tblPrEx>
          <w:tblCellMar>
            <w:top w:w="0" w:type="dxa"/>
            <w:left w:w="108" w:type="dxa"/>
            <w:bottom w:w="0" w:type="dxa"/>
            <w:right w:w="108" w:type="dxa"/>
          </w:tblCellMar>
        </w:tblPrEx>
        <w:trPr>
          <w:trHeight w:val="670"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0</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投标保证金</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ind w:left="1410" w:hanging="1210" w:hangingChars="5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投标保证金：</w:t>
            </w:r>
            <w:r>
              <w:rPr>
                <w:rFonts w:hint="eastAsia" w:ascii="宋体" w:hAnsi="宋体" w:cs="宋体"/>
                <w:b/>
                <w:bCs/>
                <w:color w:val="auto"/>
                <w:sz w:val="24"/>
                <w:szCs w:val="24"/>
                <w:lang w:val="en-US" w:eastAsia="zh-CN"/>
              </w:rPr>
              <w:t>叁</w:t>
            </w:r>
            <w:r>
              <w:rPr>
                <w:rFonts w:hint="eastAsia" w:ascii="宋体" w:hAnsi="宋体" w:eastAsia="宋体" w:cs="宋体"/>
                <w:b/>
                <w:bCs/>
                <w:color w:val="auto"/>
                <w:sz w:val="24"/>
                <w:szCs w:val="24"/>
                <w:lang w:val="en-US" w:eastAsia="zh-CN"/>
              </w:rPr>
              <w:t xml:space="preserve">万元整 </w:t>
            </w:r>
          </w:p>
          <w:p>
            <w:pPr>
              <w:bidi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收款单位：</w:t>
            </w:r>
            <w:r>
              <w:rPr>
                <w:rFonts w:hint="eastAsia" w:ascii="宋体" w:hAnsi="宋体" w:cs="宋体"/>
                <w:b/>
                <w:bCs/>
                <w:color w:val="auto"/>
                <w:sz w:val="24"/>
                <w:szCs w:val="24"/>
                <w:lang w:eastAsia="zh-CN"/>
              </w:rPr>
              <w:t>新疆鸿澜工程项目管理有限公司</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开户银行：昆仑银行股份有限公司库尔勒石化大道支行</w:t>
            </w:r>
          </w:p>
          <w:p>
            <w:pPr>
              <w:pStyle w:val="25"/>
              <w:spacing w:line="360" w:lineRule="auto"/>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rPr>
              <w:t>帐    号：88812100687390000010</w:t>
            </w:r>
          </w:p>
          <w:p>
            <w:pPr>
              <w:pStyle w:val="25"/>
              <w:spacing w:line="360" w:lineRule="auto"/>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rPr>
              <w:t>注：投标保证金只针对公对公汇款，个人名义汇款无效。</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必须在20</w:t>
            </w:r>
            <w:r>
              <w:rPr>
                <w:rFonts w:hint="eastAsia" w:ascii="宋体" w:hAnsi="宋体" w:eastAsia="宋体" w:cs="宋体"/>
                <w:b/>
                <w:bCs/>
                <w:color w:val="auto"/>
                <w:sz w:val="24"/>
                <w:szCs w:val="24"/>
                <w:lang w:val="en-US" w:eastAsia="zh-CN"/>
              </w:rPr>
              <w:t>2</w:t>
            </w:r>
            <w:r>
              <w:rPr>
                <w:rFonts w:hint="eastAsia" w:ascii="宋体" w:hAnsi="宋体" w:cs="宋体"/>
                <w:b/>
                <w:bCs/>
                <w:color w:val="auto"/>
                <w:sz w:val="24"/>
                <w:szCs w:val="24"/>
                <w:lang w:val="en-US" w:eastAsia="zh-CN"/>
              </w:rPr>
              <w:t>2</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11</w:t>
            </w:r>
            <w:r>
              <w:rPr>
                <w:rFonts w:hint="eastAsia" w:ascii="宋体" w:hAnsi="宋体" w:eastAsia="宋体" w:cs="宋体"/>
                <w:b/>
                <w:bCs/>
                <w:color w:val="auto"/>
                <w:sz w:val="24"/>
                <w:szCs w:val="24"/>
              </w:rPr>
              <w:t>月</w:t>
            </w:r>
            <w:r>
              <w:rPr>
                <w:rFonts w:hint="eastAsia" w:ascii="宋体" w:hAnsi="宋体" w:cs="宋体"/>
                <w:b/>
                <w:bCs/>
                <w:color w:val="auto"/>
                <w:sz w:val="24"/>
                <w:szCs w:val="24"/>
                <w:lang w:val="en-US" w:eastAsia="zh-CN"/>
              </w:rPr>
              <w:t>10</w:t>
            </w:r>
            <w:r>
              <w:rPr>
                <w:rFonts w:hint="eastAsia" w:ascii="宋体" w:hAnsi="宋体" w:eastAsia="宋体" w:cs="宋体"/>
                <w:b/>
                <w:bCs/>
                <w:color w:val="auto"/>
                <w:sz w:val="24"/>
                <w:szCs w:val="24"/>
              </w:rPr>
              <w:t>日</w:t>
            </w: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00</w:t>
            </w:r>
            <w:r>
              <w:rPr>
                <w:rFonts w:hint="eastAsia" w:ascii="宋体" w:hAnsi="宋体" w:eastAsia="宋体" w:cs="宋体"/>
                <w:b/>
                <w:bCs/>
                <w:color w:val="auto"/>
                <w:sz w:val="24"/>
                <w:szCs w:val="24"/>
              </w:rPr>
              <w:t>时（北京时间）前将投标保证金汇入指定账户并告知我公司确认投标。投标保证金汇款凭证上用途栏应注明本项目[标准格式：新疆巴音郭楞蒙古自治州自然资源局统一确权项目</w:t>
            </w:r>
            <w:r>
              <w:rPr>
                <w:rFonts w:hint="eastAsia" w:ascii="宋体" w:hAnsi="宋体" w:eastAsia="宋体" w:cs="宋体"/>
                <w:b/>
                <w:bCs/>
                <w:color w:val="auto"/>
                <w:sz w:val="24"/>
                <w:szCs w:val="24"/>
                <w:lang w:eastAsia="zh-CN"/>
              </w:rPr>
              <w:t>保证证金</w:t>
            </w:r>
            <w:r>
              <w:rPr>
                <w:rFonts w:hint="eastAsia" w:ascii="宋体" w:hAnsi="宋体" w:eastAsia="宋体" w:cs="宋体"/>
                <w:b/>
                <w:bCs/>
                <w:color w:val="auto"/>
                <w:sz w:val="24"/>
                <w:szCs w:val="24"/>
              </w:rPr>
              <w:t>]。如未按时缴纳投标保证金，投标将被拒绝。</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w:t>
            </w:r>
          </w:p>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(电子加密文件)</w:t>
            </w:r>
          </w:p>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提</w:t>
            </w:r>
            <w:r>
              <w:rPr>
                <w:rFonts w:hint="eastAsia" w:ascii="宋体" w:hAnsi="宋体" w:eastAsia="宋体" w:cs="宋体"/>
                <w:b/>
                <w:bCs/>
                <w:color w:val="auto"/>
                <w:sz w:val="24"/>
                <w:szCs w:val="24"/>
              </w:rPr>
              <w:t>交时间及地点</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提交</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文件截止时间及开标时间：</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202</w:t>
            </w:r>
            <w:r>
              <w:rPr>
                <w:rFonts w:hint="eastAsia" w:ascii="宋体" w:hAnsi="宋体" w:cs="宋体"/>
                <w:b/>
                <w:bCs/>
                <w:color w:val="auto"/>
                <w:sz w:val="24"/>
                <w:szCs w:val="24"/>
                <w:lang w:val="en-US" w:eastAsia="zh-CN"/>
              </w:rPr>
              <w:t>2</w:t>
            </w:r>
            <w:r>
              <w:rPr>
                <w:rFonts w:hint="eastAsia" w:ascii="宋体" w:hAnsi="宋体" w:eastAsia="宋体" w:cs="宋体"/>
                <w:b/>
                <w:bCs/>
                <w:color w:val="auto"/>
                <w:sz w:val="24"/>
                <w:szCs w:val="24"/>
              </w:rPr>
              <w:t>年</w:t>
            </w:r>
            <w:r>
              <w:rPr>
                <w:rFonts w:hint="eastAsia" w:ascii="宋体" w:hAnsi="宋体" w:cs="宋体"/>
                <w:b/>
                <w:bCs/>
                <w:color w:val="auto"/>
                <w:sz w:val="24"/>
                <w:szCs w:val="24"/>
                <w:lang w:val="en-US" w:eastAsia="zh-CN"/>
              </w:rPr>
              <w:t>11</w:t>
            </w:r>
            <w:r>
              <w:rPr>
                <w:rFonts w:hint="eastAsia" w:ascii="宋体" w:hAnsi="宋体" w:eastAsia="宋体" w:cs="宋体"/>
                <w:b/>
                <w:bCs/>
                <w:color w:val="auto"/>
                <w:sz w:val="24"/>
                <w:szCs w:val="24"/>
              </w:rPr>
              <w:t>月</w:t>
            </w:r>
            <w:r>
              <w:rPr>
                <w:rFonts w:hint="eastAsia" w:ascii="宋体" w:hAnsi="宋体" w:cs="宋体"/>
                <w:b/>
                <w:bCs/>
                <w:color w:val="auto"/>
                <w:sz w:val="24"/>
                <w:szCs w:val="24"/>
                <w:lang w:val="en-US" w:eastAsia="zh-CN"/>
              </w:rPr>
              <w:t>10</w:t>
            </w:r>
            <w:r>
              <w:rPr>
                <w:rFonts w:hint="eastAsia" w:ascii="宋体" w:hAnsi="宋体" w:eastAsia="宋体" w:cs="宋体"/>
                <w:b/>
                <w:bCs/>
                <w:color w:val="auto"/>
                <w:sz w:val="24"/>
                <w:szCs w:val="24"/>
              </w:rPr>
              <w:t>日</w:t>
            </w: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时</w:t>
            </w:r>
            <w:r>
              <w:rPr>
                <w:rFonts w:hint="eastAsia" w:ascii="宋体" w:hAnsi="宋体" w:eastAsia="宋体" w:cs="宋体"/>
                <w:b/>
                <w:bCs/>
                <w:color w:val="auto"/>
                <w:sz w:val="24"/>
                <w:szCs w:val="24"/>
                <w:lang w:val="en-US" w:eastAsia="zh-CN"/>
              </w:rPr>
              <w:t>00</w:t>
            </w:r>
            <w:r>
              <w:rPr>
                <w:rFonts w:hint="eastAsia" w:ascii="宋体" w:hAnsi="宋体" w:eastAsia="宋体" w:cs="宋体"/>
                <w:b/>
                <w:bCs/>
                <w:color w:val="auto"/>
                <w:sz w:val="24"/>
                <w:szCs w:val="24"/>
              </w:rPr>
              <w:t>分（北京时间）</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投标地点及开标地点：</w:t>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HYPERLINK "https://www.zcygov.cn"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https://www.zcygov.cn</w:t>
            </w:r>
            <w:r>
              <w:rPr>
                <w:rFonts w:hint="eastAsia" w:ascii="宋体" w:hAnsi="宋体" w:eastAsia="宋体" w:cs="宋体"/>
                <w:b/>
                <w:bCs/>
                <w:color w:val="auto"/>
                <w:sz w:val="24"/>
                <w:szCs w:val="24"/>
              </w:rPr>
              <w:fldChar w:fldCharType="end"/>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文件的份数</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中标后5日内</w:t>
            </w:r>
            <w:r>
              <w:rPr>
                <w:rFonts w:hint="eastAsia" w:ascii="宋体" w:hAnsi="宋体" w:eastAsia="宋体" w:cs="宋体"/>
                <w:b/>
                <w:bCs/>
                <w:color w:val="auto"/>
                <w:sz w:val="24"/>
                <w:szCs w:val="24"/>
              </w:rPr>
              <w:t>投标</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提供纸质版文件一式三份</w:t>
            </w:r>
            <w:r>
              <w:rPr>
                <w:rFonts w:hint="eastAsia" w:ascii="宋体" w:hAnsi="宋体" w:eastAsia="宋体" w:cs="宋体"/>
                <w:b/>
                <w:bCs/>
                <w:color w:val="auto"/>
                <w:sz w:val="24"/>
                <w:szCs w:val="24"/>
                <w:lang w:eastAsia="zh-CN"/>
              </w:rPr>
              <w:t>（与电子版投标文件一致）</w:t>
            </w:r>
            <w:r>
              <w:rPr>
                <w:rFonts w:hint="eastAsia" w:ascii="宋体" w:hAnsi="宋体" w:eastAsia="宋体" w:cs="宋体"/>
                <w:b/>
                <w:bCs/>
                <w:color w:val="auto"/>
                <w:sz w:val="24"/>
                <w:szCs w:val="24"/>
              </w:rPr>
              <w:t>。</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eastAsia="zh-CN"/>
              </w:rPr>
              <w:t>（注：采用不见面方式开标的，开标结束后，所有投标人须将投标文件（须与上传政采云投标文件一致）电子版U盘一份及纸质版正本一份，副本贰分，盖章处按要求盖章或签字，递交至招标代理公司。</w:t>
            </w:r>
          </w:p>
        </w:tc>
      </w:tr>
      <w:tr>
        <w:tblPrEx>
          <w:tblCellMar>
            <w:top w:w="0" w:type="dxa"/>
            <w:left w:w="108" w:type="dxa"/>
            <w:bottom w:w="0" w:type="dxa"/>
            <w:right w:w="108" w:type="dxa"/>
          </w:tblCellMar>
        </w:tblPrEx>
        <w:trPr>
          <w:trHeight w:val="434"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最高限价</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最高限价</w:t>
            </w:r>
            <w:r>
              <w:rPr>
                <w:rFonts w:hint="eastAsia" w:ascii="宋体" w:hAnsi="宋体" w:eastAsia="宋体" w:cs="宋体"/>
                <w:b w:val="0"/>
                <w:bCs w:val="0"/>
                <w:color w:val="auto"/>
                <w:sz w:val="24"/>
                <w:szCs w:val="24"/>
                <w:lang w:eastAsia="zh-CN"/>
              </w:rPr>
              <w:t>：无</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24</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代理服务费</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由中标单位支付，</w:t>
            </w:r>
            <w:r>
              <w:rPr>
                <w:rFonts w:hint="eastAsia" w:ascii="宋体" w:hAnsi="宋体" w:eastAsia="宋体" w:cs="宋体"/>
                <w:b/>
                <w:bCs/>
                <w:color w:val="auto"/>
                <w:sz w:val="24"/>
                <w:szCs w:val="24"/>
              </w:rPr>
              <w:t>收取标准参照国计委计价格[2002]1980号文执行。</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25</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提出质疑的时间</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1、供应商认为采购文件、采购过程、中标或者成交结果使自己的权益受到损害的，可以在知道或者应知其权益受到损害之日起7个工作日内，以书面形式向采购人、采购代理机构提出质疑。</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2、提出质疑的供应商（以下简称质疑供应商）应当是参与所质疑项目采购活动的供应商。</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3、对采购文件提出质疑的，应当在获取采购文件或者采购文件公告期限届满之日起7个工作日内提出。</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4、质疑函应当包括下列内容：</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（一）供应商的姓名或者名称、地址、邮编、联系人及联系电话；</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（二）质疑项目的名称、编号；</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（三）具体、明确的质疑事项和与质疑事项相关的请求；</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（四）事实依据；</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（五）必要的法律依据；</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（六）提出质疑的日期。</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供应商为自然人的，应当由本人签字；供应商为法人或者其他组织的，应当由法定代表人、主要负责人，或者其授权代表签字或者盖章，并加盖公章。</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5、接受质疑函的方式：现场递交纸质版及Word格式电子版质疑文件（一式两份）。</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26</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1.供应商须保证，</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在中华人民共和国境内使用投标设施设备、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损失的，供应商须承担全部赔偿责任。</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2.供应商如欲在项目实施过程中采用自有知识成果，须在</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文件中声明，并提供相关知识产权证明文件。使用该知识成果后，供应商须提供开发接口和开发手册等技术文档。</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27</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政府采购</w:t>
            </w:r>
          </w:p>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政策支持</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促进中小企业发展政策：根据《政府采购促进中小企业发展暂行办法》规定，本项目供应商为小型或微型企业且报价产品为小型或微型企业生产的，将对该报价产品的评标报价给予6%的扣除。供应商和制造商应出具</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文件要求的《中小企业声明函》给予证明，否则评标时不予认可。供应商和制造商应对提交的中小企业声明函的真实性负责，提交的中小企业声明函不真实的，应承担相应的法律责任。</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监狱企业扶持政策：供应商如为监狱企业将视同小型或微型企业，且报价产品为小型或微型企业生产的，将对该产品的评标报价给予6%的扣除。供应商为监狱企业的，应提供由省级以上监狱管理局、戒毒管理局（含新疆生产建设兵团）出具的属于监狱企业的证明文件。供应商应对提交属于监狱企业的证明文件的真实性负责，提交的监狱企业的证明文件不真实的，应承担相应的法律责任。</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3.残疾人福利性单位视同小型、微型企业。不重复享受政策。</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列入财政部会同国务院有关部门发布的节能产品、环境标志产品品目清单，供应商应当提供国家确定的认证机构出具的、处于有效期之内的节能产品、环境标志产品认证证书。</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28</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其他说明</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1.请投标单位提前自学线上开标流程；投标截止时间当天，线上开标环节，</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文件解密时长30分钟，请各投标单位请自带笔记本电脑及CA锁网上进行文件解密以及操作投标事项，请供应商提前调试好在线参标电脑各项配置。</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中采购清单、技术需求等如有偏差，如有疑义请澄清中及时提出；否则视为充分理解</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各项要求。</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3.本次采用政府采购云平台线上招标、投标，请各潜在供应商及时办理CA锁和学习政府采购云平台线上投标相关知识。请在政府采购云平台登录后，进行下载</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。请各供应商获取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后及时关注云平台答疑文件获取栏目。具体相关事宜见政府采购云平台。本项目采用资格后审，请供应商仔细阅读</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和各项要求，制作文件及相关资料过程中，若因供应商资格条件不符、提供资料不全等原因导致</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文件予以退还，责任自负。</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中如有内容冲突的地方，以供应商须知要求为准。</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29</w:t>
            </w:r>
          </w:p>
        </w:tc>
        <w:tc>
          <w:tcPr>
            <w:tcW w:w="2008"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档案资料说明</w:t>
            </w:r>
          </w:p>
        </w:tc>
        <w:tc>
          <w:tcPr>
            <w:tcW w:w="6946"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为了落实政府采购档案管理规定，凡参与本项目的投标供应商需提供纸质版响应文件，正本一份（逐页加盖公章）、副本两份（副本为正本的复印件），使用 A4 规格纸张打印（可以双面打印），装订成册（必须胶装），纸质版响应文件须与解密文件内容一致，以上资料请于开标结束后两日内送达我公司，否则后果自负。</w:t>
            </w:r>
          </w:p>
        </w:tc>
      </w:tr>
      <w:tr>
        <w:tblPrEx>
          <w:tblCellMar>
            <w:top w:w="0" w:type="dxa"/>
            <w:left w:w="108" w:type="dxa"/>
            <w:bottom w:w="0" w:type="dxa"/>
            <w:right w:w="108" w:type="dxa"/>
          </w:tblCellMar>
        </w:tblPrEx>
        <w:trPr>
          <w:trHeight w:val="56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2019" w:type="dxa"/>
            <w:gridSpan w:val="2"/>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备注</w:t>
            </w:r>
          </w:p>
        </w:tc>
        <w:tc>
          <w:tcPr>
            <w:tcW w:w="6935" w:type="dxa"/>
            <w:tcBorders>
              <w:top w:val="single" w:color="auto" w:sz="4" w:space="0"/>
              <w:left w:val="single" w:color="auto" w:sz="4" w:space="0"/>
              <w:bottom w:val="single" w:color="auto" w:sz="4" w:space="0"/>
              <w:right w:val="single" w:color="auto" w:sz="4" w:space="0"/>
            </w:tcBorders>
            <w:noWrap w:val="0"/>
            <w:vAlign w:val="center"/>
          </w:tcPr>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竞争性磋商文件中废标、无效标、投标被拒绝字样的条款，为招标的实质性要求和条件，着重提醒各投标人注意，并认真查看竞争性磋商文件中的每一个条款及要求，因误读竞争性磋商文件而造成的后果，招标人概不负责。</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响应文件中有弄虚作假的内容，其响应文件作废。（如假证书、假业绩、隐瞒不良行为记录、夸大荣誉、使用非本单位在职员工的相关证件及不符合竞争性磋商文件规定的条款等）；在签订合同之前，投标人如发现投标人的响应文件有弄虚作假内容，招标人可拒绝与其签订合同，并将其列入政府采购黑名单库。</w:t>
            </w:r>
          </w:p>
        </w:tc>
      </w:tr>
    </w:tbl>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pStyle w:val="24"/>
        <w:spacing w:line="360" w:lineRule="auto"/>
        <w:jc w:val="center"/>
        <w:rPr>
          <w:rStyle w:val="26"/>
          <w:rFonts w:hint="eastAsia" w:ascii="宋体" w:hAnsi="宋体" w:eastAsia="宋体" w:cs="宋体"/>
          <w:color w:val="auto"/>
          <w:sz w:val="32"/>
          <w:szCs w:val="32"/>
        </w:rPr>
      </w:pPr>
    </w:p>
    <w:p>
      <w:pPr>
        <w:bidi w:val="0"/>
        <w:jc w:val="center"/>
        <w:rPr>
          <w:rFonts w:hint="eastAsia" w:ascii="宋体" w:hAnsi="宋体" w:eastAsia="宋体" w:cs="宋体"/>
          <w:b/>
          <w:bCs/>
          <w:sz w:val="28"/>
          <w:szCs w:val="28"/>
        </w:rPr>
      </w:pPr>
      <w:bookmarkStart w:id="22" w:name="_Toc25716"/>
      <w:r>
        <w:rPr>
          <w:rFonts w:hint="eastAsia" w:ascii="宋体" w:hAnsi="宋体" w:eastAsia="宋体" w:cs="宋体"/>
          <w:b/>
          <w:bCs/>
          <w:sz w:val="28"/>
          <w:szCs w:val="28"/>
          <w:lang w:val="en-US" w:eastAsia="zh-CN"/>
        </w:rPr>
        <w:t>供应商须知正文部分</w:t>
      </w:r>
      <w:bookmarkEnd w:id="22"/>
    </w:p>
    <w:p>
      <w:pPr>
        <w:pStyle w:val="6"/>
        <w:numPr>
          <w:ilvl w:val="0"/>
          <w:numId w:val="0"/>
        </w:numPr>
        <w:bidi w:val="0"/>
        <w:ind w:leftChars="0"/>
        <w:jc w:val="center"/>
        <w:rPr>
          <w:rFonts w:hint="eastAsia" w:ascii="宋体" w:hAnsi="宋体" w:eastAsia="宋体" w:cs="宋体"/>
        </w:rPr>
      </w:pPr>
      <w:bookmarkStart w:id="23" w:name="_Toc27410"/>
      <w:bookmarkStart w:id="24" w:name="_Toc23291"/>
      <w:bookmarkStart w:id="25" w:name="_Toc15356"/>
      <w:bookmarkStart w:id="26" w:name="_Toc19272"/>
      <w:bookmarkStart w:id="27" w:name="_Toc12052"/>
      <w:bookmarkStart w:id="28" w:name="_Toc19026"/>
      <w:bookmarkStart w:id="29" w:name="_Toc21821"/>
      <w:bookmarkStart w:id="30" w:name="_Toc2078"/>
      <w:bookmarkStart w:id="31" w:name="_Toc7140"/>
      <w:bookmarkStart w:id="32" w:name="_Toc6529"/>
      <w:bookmarkStart w:id="33" w:name="_Toc1706"/>
      <w:bookmarkStart w:id="34" w:name="_Toc18439"/>
      <w:r>
        <w:rPr>
          <w:rFonts w:hint="eastAsia" w:ascii="宋体" w:hAnsi="宋体" w:eastAsia="宋体" w:cs="宋体"/>
          <w:lang w:val="en-US" w:eastAsia="zh-CN"/>
        </w:rPr>
        <w:t>一、</w:t>
      </w:r>
      <w:r>
        <w:rPr>
          <w:rFonts w:hint="eastAsia" w:ascii="宋体" w:hAnsi="宋体" w:eastAsia="宋体" w:cs="宋体"/>
        </w:rPr>
        <w:t>总  则</w:t>
      </w:r>
      <w:bookmarkEnd w:id="23"/>
      <w:bookmarkEnd w:id="24"/>
      <w:bookmarkEnd w:id="25"/>
      <w:bookmarkEnd w:id="26"/>
      <w:bookmarkEnd w:id="27"/>
      <w:bookmarkEnd w:id="28"/>
      <w:bookmarkEnd w:id="29"/>
      <w:bookmarkEnd w:id="30"/>
      <w:bookmarkEnd w:id="31"/>
      <w:bookmarkEnd w:id="32"/>
      <w:bookmarkEnd w:id="33"/>
      <w:bookmarkEnd w:id="34"/>
    </w:p>
    <w:p>
      <w:pPr>
        <w:bidi w:val="0"/>
        <w:spacing w:line="360" w:lineRule="auto"/>
        <w:rPr>
          <w:rFonts w:hint="eastAsia" w:ascii="宋体" w:hAnsi="宋体" w:eastAsia="宋体" w:cs="宋体"/>
          <w:b/>
          <w:bCs/>
          <w:color w:val="auto"/>
          <w:sz w:val="24"/>
          <w:szCs w:val="24"/>
        </w:rPr>
      </w:pPr>
      <w:bookmarkStart w:id="35" w:name="_Toc15894"/>
      <w:bookmarkStart w:id="36" w:name="_Toc20661"/>
      <w:bookmarkStart w:id="37" w:name="_Toc2677"/>
      <w:r>
        <w:rPr>
          <w:rFonts w:hint="eastAsia" w:ascii="宋体" w:hAnsi="宋体" w:eastAsia="宋体" w:cs="宋体"/>
          <w:b/>
          <w:bCs/>
          <w:color w:val="auto"/>
          <w:sz w:val="24"/>
          <w:szCs w:val="24"/>
        </w:rPr>
        <w:t>1  合格的供应商</w:t>
      </w:r>
      <w:bookmarkEnd w:id="35"/>
      <w:bookmarkEnd w:id="36"/>
      <w:bookmarkEnd w:id="37"/>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 供应商参加政府采购活动应当具备下列条件：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（一）具有独立承担民事责任的能力；</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（二）具有良好的商业信誉和健全的财务会计制度；</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（三）具有履行合同所必需的设备和专业技术能力；</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（四）有依法缴纳税收和社会保障资金的良好记录；</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（五）参加政府采购活动前三年内，在经营活动中没有重大违法记录；</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（六）法律、行政法规规定的其他条件。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 凡参加投标的供应商必须具有履行本</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规定的有关要求的能力，信誉良好。</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 若采购人员及相关人员与供应商有下列利害关系之一的，应当回避：</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1.3.1 参加采购活动前3年内与供应商存在劳动关系；</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1.3.2 参加采购活动前3年内担任供应商的董事、监事；</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1.3.3 参加采购活动前3年内是供应商的控股股东或者实际控制人；</w:t>
      </w:r>
    </w:p>
    <w:p>
      <w:pPr>
        <w:bidi w:val="0"/>
        <w:spacing w:line="360" w:lineRule="auto"/>
        <w:ind w:firstLine="242" w:firstLineChars="100"/>
        <w:rPr>
          <w:rFonts w:hint="eastAsia" w:ascii="宋体" w:hAnsi="宋体" w:eastAsia="宋体" w:cs="宋体"/>
          <w:color w:val="auto"/>
          <w:sz w:val="24"/>
          <w:szCs w:val="24"/>
        </w:rPr>
      </w:pPr>
      <w:r>
        <w:rPr>
          <w:rFonts w:hint="eastAsia" w:ascii="宋体" w:hAnsi="宋体" w:eastAsia="宋体" w:cs="宋体"/>
          <w:color w:val="auto"/>
          <w:sz w:val="24"/>
          <w:szCs w:val="24"/>
        </w:rPr>
        <w:t>1.3.4 与供应商的法定代表人或者负责人有夫妻、直系血亲、三代以内旁系血亲或者近姻亲关系；</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1.3.5 与供应商有其他可能影响政府采购活动公平、公正进行的关系。</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1.3.6 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 采购人或者采购代理机构有下列情形之一的，属于以不合理的条件对供应商实行差别待遇或者歧视待遇：</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1.4.1 就同一采购项目向供应商提供有差别的项目信息；</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1.4.2 设定的资格、技术、商务条件与采购项目的具体特点和实际需要不相适应或者与合同履行无关；</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1.4.3 采购需求中的技术、服务等要求指向特定供应商、特定产品；</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1.4.4 以特定行政区域或者特定行业的业绩、奖项作为中标</w:t>
      </w:r>
      <w:r>
        <w:rPr>
          <w:rFonts w:hint="eastAsia" w:ascii="宋体" w:hAnsi="宋体" w:eastAsia="宋体" w:cs="宋体"/>
          <w:color w:val="auto"/>
          <w:sz w:val="24"/>
          <w:szCs w:val="24"/>
          <w:lang w:val="en-US" w:eastAsia="zh-CN"/>
        </w:rPr>
        <w:t>和</w:t>
      </w:r>
      <w:r>
        <w:rPr>
          <w:rFonts w:hint="eastAsia" w:ascii="宋体" w:hAnsi="宋体" w:eastAsia="宋体" w:cs="宋体"/>
          <w:color w:val="auto"/>
          <w:sz w:val="24"/>
          <w:szCs w:val="24"/>
        </w:rPr>
        <w:t>成交条件；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1.4.5 对供应商采取不同的资格审查或者评审标准；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1.4.6 限定或者指定特定的专利、商标、品牌或者供应商；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1.4.7 非法限定供应商的所有制形式、组织形式或者所在地；</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1.4.8 以其他不合理条件限制或者排斥潜在供应商。</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 有下列情形之一的，视为供应商串通投标，其投标无效：</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1.5.1不同供应商的响应文件由同一单位或者个人编制；</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1.5.2不同供应商委托同一单位或者个人办理投标事宜；</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1.5.3不同供应商的响应文件载明的项目管理成员或者联系人员为同一人；</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1.5.4不同供应商的响应文件异常一致或者投标报价呈规律性差异；</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1.5.5不同供应商的响应文件相互混装；</w:t>
      </w:r>
    </w:p>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1.5.6不同供应商的投标保证金从同一单位或者个人的账户转出。</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 供应商在本次采购活动中，必须遵循《中华人民共和国政府采购法实施条例》等相关法令、法规的规定。</w:t>
      </w:r>
    </w:p>
    <w:p>
      <w:pPr>
        <w:bidi w:val="0"/>
        <w:spacing w:line="360" w:lineRule="auto"/>
        <w:rPr>
          <w:rFonts w:hint="eastAsia" w:ascii="宋体" w:hAnsi="宋体" w:eastAsia="宋体" w:cs="宋体"/>
          <w:b/>
          <w:bCs/>
          <w:color w:val="auto"/>
          <w:sz w:val="24"/>
          <w:szCs w:val="24"/>
        </w:rPr>
      </w:pPr>
      <w:bookmarkStart w:id="38" w:name="_Toc13508"/>
      <w:bookmarkStart w:id="39" w:name="_Toc21311"/>
      <w:bookmarkStart w:id="40" w:name="_Toc21361"/>
      <w:r>
        <w:rPr>
          <w:rFonts w:hint="eastAsia" w:ascii="宋体" w:hAnsi="宋体" w:eastAsia="宋体" w:cs="宋体"/>
          <w:b/>
          <w:bCs/>
          <w:color w:val="auto"/>
          <w:sz w:val="24"/>
          <w:szCs w:val="24"/>
        </w:rPr>
        <w:t>2  定义</w:t>
      </w:r>
      <w:bookmarkEnd w:id="38"/>
      <w:bookmarkEnd w:id="39"/>
      <w:bookmarkEnd w:id="40"/>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2.1“采购人”系指依法进行政府采购的国家机关、事业单位、团体组织。</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2.2“采购代理机构”系指具备一定条件，经政府有关部门批准而依法拥有政府采购代理资格的社会中介机构。</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2.3“供应商”系指参加政府采购市场的合法供应</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"https://baike.baidu.com/item/%E4%B8%BB%E4%BD%93/2888766" \t "https://baike.baidu.com/item/%E6%94%BF%E5%BA%9C%E9%87%87%E8%B4%AD%E4%BE%9B%E5%BA%94%E5%95%86/_blank"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主体</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，具体是指向采购人提供货物、工程或者服务的法人、其他组织或者</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"https://baike.baidu.com/item/%E8%87%AA%E7%84%B6%E4%BA%BA/1465" \t "https://baike.baidu.com/item/%E6%94%BF%E5%BA%9C%E9%87%87%E8%B4%AD%E4%BE%9B%E5%BA%94%E5%95%86/_blank"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自然人</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2.4</w:t>
      </w:r>
      <w:r>
        <w:rPr>
          <w:rFonts w:hint="eastAsia" w:ascii="宋体" w:hAnsi="宋体" w:eastAsia="宋体" w:cs="宋体"/>
          <w:color w:val="auto"/>
          <w:sz w:val="24"/>
          <w:szCs w:val="24"/>
          <w:lang w:val="en-US" w:eastAsia="zh-CN"/>
        </w:rPr>
        <w:t>“采购”是指以合同方式有偿取得货物、工程或者服务的行为，包括购买、租赁、委托、雇用等。</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2.5“货物”是指各种形态和种类的物品，包括原材料、燃料、设备、产品等。</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2.6“工程”是指建设工程，包括建筑物和构筑物的新建、改建、扩建、装修、拆除、修缮等。</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2.7“服务”是指除货物和工程以外的其他政府采购对象，包括政府自身需要的服务和政府向社会公众提供的公共服务。</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竞争性磋商</w:t>
      </w:r>
      <w:r>
        <w:rPr>
          <w:rFonts w:hint="eastAsia" w:ascii="宋体" w:hAnsi="宋体" w:eastAsia="宋体" w:cs="宋体"/>
          <w:color w:val="auto"/>
          <w:sz w:val="24"/>
          <w:szCs w:val="24"/>
        </w:rPr>
        <w:t>文件”系指由采购人向供应商发出的本采购项目的全部文件（包括修改文件、补充文件、答疑纪要、各种通知和附件等）。</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文件”系指供应商根据</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提交的所有文件。</w:t>
      </w:r>
    </w:p>
    <w:p>
      <w:pPr>
        <w:bidi w:val="0"/>
        <w:spacing w:line="360" w:lineRule="auto"/>
        <w:rPr>
          <w:rFonts w:hint="eastAsia" w:ascii="宋体" w:hAnsi="宋体" w:eastAsia="宋体" w:cs="宋体"/>
          <w:b/>
          <w:bCs/>
          <w:color w:val="auto"/>
          <w:sz w:val="24"/>
          <w:szCs w:val="24"/>
        </w:rPr>
      </w:pPr>
      <w:bookmarkStart w:id="41" w:name="_Toc8374"/>
      <w:bookmarkStart w:id="42" w:name="_Toc9762"/>
      <w:bookmarkStart w:id="43" w:name="_Toc28507"/>
      <w:r>
        <w:rPr>
          <w:rFonts w:hint="eastAsia" w:ascii="宋体" w:hAnsi="宋体" w:eastAsia="宋体" w:cs="宋体"/>
          <w:b/>
          <w:bCs/>
          <w:color w:val="auto"/>
          <w:sz w:val="24"/>
          <w:szCs w:val="24"/>
        </w:rPr>
        <w:t>3  文件费用:无。</w:t>
      </w:r>
      <w:bookmarkEnd w:id="41"/>
      <w:bookmarkEnd w:id="42"/>
      <w:bookmarkEnd w:id="43"/>
    </w:p>
    <w:p>
      <w:pPr>
        <w:bidi w:val="0"/>
        <w:spacing w:line="360" w:lineRule="auto"/>
        <w:rPr>
          <w:rFonts w:hint="eastAsia" w:ascii="宋体" w:hAnsi="宋体" w:eastAsia="宋体" w:cs="宋体"/>
          <w:b/>
          <w:bCs/>
          <w:color w:val="auto"/>
          <w:sz w:val="24"/>
          <w:szCs w:val="24"/>
        </w:rPr>
      </w:pPr>
      <w:bookmarkStart w:id="44" w:name="_Toc26674"/>
      <w:bookmarkStart w:id="45" w:name="_Toc9236"/>
      <w:bookmarkStart w:id="46" w:name="_Toc12273"/>
      <w:r>
        <w:rPr>
          <w:rFonts w:hint="eastAsia" w:ascii="宋体" w:hAnsi="宋体" w:eastAsia="宋体" w:cs="宋体"/>
          <w:b/>
          <w:bCs/>
          <w:color w:val="auto"/>
          <w:sz w:val="24"/>
          <w:szCs w:val="24"/>
        </w:rPr>
        <w:t>4  采购内容</w:t>
      </w:r>
      <w:bookmarkEnd w:id="44"/>
      <w:bookmarkEnd w:id="45"/>
      <w:bookmarkEnd w:id="46"/>
    </w:p>
    <w:p>
      <w:pPr>
        <w:bidi w:val="0"/>
        <w:spacing w:line="360" w:lineRule="auto"/>
        <w:ind w:left="563" w:leftChars="266"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4.1 采购内容</w:t>
      </w:r>
      <w:r>
        <w:rPr>
          <w:rFonts w:hint="eastAsia" w:ascii="宋体" w:hAnsi="宋体" w:eastAsia="宋体" w:cs="宋体"/>
          <w:color w:val="auto"/>
          <w:sz w:val="24"/>
          <w:szCs w:val="24"/>
          <w:lang w:eastAsia="zh-CN"/>
        </w:rPr>
        <w:t>：对米兰河、黄水沟河、煤矿沟、哈满沟、克其克托格腊克沟、包尔图沟、6条河和博斯腾湖、塔里木胡杨自然保护区、巴音布鲁克自然保护区，进行统一确权登记工作</w:t>
      </w:r>
      <w:r>
        <w:rPr>
          <w:rFonts w:hint="eastAsia" w:ascii="宋体" w:hAnsi="宋体" w:eastAsia="宋体" w:cs="宋体"/>
          <w:color w:val="auto"/>
          <w:sz w:val="24"/>
          <w:szCs w:val="24"/>
          <w:lang w:val="en-US" w:eastAsia="zh-CN"/>
        </w:rPr>
        <w:t>。</w:t>
      </w:r>
    </w:p>
    <w:p>
      <w:pPr>
        <w:bidi w:val="0"/>
        <w:spacing w:line="360" w:lineRule="auto"/>
        <w:ind w:left="563" w:leftChars="266"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 </w:t>
      </w:r>
      <w:r>
        <w:rPr>
          <w:rFonts w:hint="eastAsia" w:ascii="宋体" w:hAnsi="宋体" w:eastAsia="宋体" w:cs="宋体"/>
          <w:color w:val="auto"/>
          <w:sz w:val="24"/>
          <w:szCs w:val="24"/>
        </w:rPr>
        <w:t>采购项目</w:t>
      </w:r>
      <w:r>
        <w:rPr>
          <w:rFonts w:hint="eastAsia" w:ascii="宋体" w:hAnsi="宋体" w:cs="宋体"/>
          <w:color w:val="auto"/>
          <w:sz w:val="24"/>
          <w:szCs w:val="24"/>
          <w:lang w:eastAsia="zh-CN"/>
        </w:rPr>
        <w:t>基本服务</w:t>
      </w:r>
      <w:r>
        <w:rPr>
          <w:rFonts w:hint="eastAsia" w:ascii="宋体" w:hAnsi="宋体" w:eastAsia="宋体" w:cs="宋体"/>
          <w:color w:val="auto"/>
          <w:sz w:val="24"/>
          <w:szCs w:val="24"/>
        </w:rPr>
        <w:t>要求详见第三章；</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在采购活动中的标准按国家现行规定（国际标准、国家标准、部标或行业标准）执行。</w:t>
      </w:r>
    </w:p>
    <w:p>
      <w:pPr>
        <w:bidi w:val="0"/>
        <w:spacing w:line="360" w:lineRule="auto"/>
        <w:rPr>
          <w:rFonts w:hint="eastAsia" w:ascii="宋体" w:hAnsi="宋体" w:eastAsia="宋体" w:cs="宋体"/>
          <w:b/>
          <w:bCs/>
          <w:color w:val="auto"/>
          <w:sz w:val="24"/>
          <w:szCs w:val="24"/>
        </w:rPr>
      </w:pPr>
      <w:bookmarkStart w:id="47" w:name="_Toc2891"/>
      <w:bookmarkStart w:id="48" w:name="_Toc13918"/>
      <w:bookmarkStart w:id="49" w:name="_Toc30414"/>
      <w:r>
        <w:rPr>
          <w:rFonts w:hint="eastAsia" w:ascii="宋体" w:hAnsi="宋体" w:eastAsia="宋体" w:cs="宋体"/>
          <w:b/>
          <w:bCs/>
          <w:color w:val="auto"/>
          <w:sz w:val="24"/>
          <w:szCs w:val="24"/>
        </w:rPr>
        <w:t>5  有关说明</w:t>
      </w:r>
      <w:bookmarkEnd w:id="47"/>
      <w:bookmarkEnd w:id="48"/>
      <w:bookmarkEnd w:id="49"/>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规范要求和实际需要的内容，在</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中有漏项，务请在</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文件中指出，并提供解决方案作实质性响应。</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供应商根据招标文件载明的标的采购项目实际情况，拟在中标后将中标项目的非主体、非关键性工作交由他人完成的，应当在投标文件中载明。</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供应商应提供该项目技术支持和服务承诺书。</w:t>
      </w:r>
    </w:p>
    <w:p>
      <w:pPr>
        <w:pStyle w:val="6"/>
        <w:numPr>
          <w:ilvl w:val="0"/>
          <w:numId w:val="0"/>
        </w:numPr>
        <w:bidi w:val="0"/>
        <w:ind w:leftChars="0"/>
        <w:jc w:val="center"/>
        <w:rPr>
          <w:rFonts w:hint="eastAsia" w:ascii="宋体" w:hAnsi="宋体" w:eastAsia="宋体" w:cs="宋体"/>
          <w:lang w:eastAsia="zh-CN"/>
        </w:rPr>
      </w:pPr>
      <w:bookmarkStart w:id="50" w:name="_Toc6626"/>
      <w:bookmarkStart w:id="51" w:name="_Toc18640"/>
      <w:bookmarkStart w:id="52" w:name="_Toc17382"/>
      <w:bookmarkStart w:id="53" w:name="_Toc4128"/>
      <w:bookmarkStart w:id="54" w:name="_Toc29028"/>
      <w:bookmarkStart w:id="55" w:name="_Toc18325"/>
      <w:r>
        <w:rPr>
          <w:rFonts w:hint="eastAsia" w:ascii="宋体" w:hAnsi="宋体" w:eastAsia="宋体" w:cs="宋体"/>
        </w:rPr>
        <w:t>二、</w:t>
      </w:r>
      <w:bookmarkEnd w:id="50"/>
      <w:bookmarkEnd w:id="51"/>
      <w:bookmarkEnd w:id="52"/>
      <w:bookmarkEnd w:id="53"/>
      <w:r>
        <w:rPr>
          <w:rFonts w:hint="eastAsia" w:ascii="宋体" w:hAnsi="宋体" w:eastAsia="宋体" w:cs="宋体"/>
          <w:lang w:eastAsia="zh-CN"/>
        </w:rPr>
        <w:t>竞争性磋商文件</w:t>
      </w:r>
      <w:bookmarkEnd w:id="54"/>
      <w:bookmarkEnd w:id="55"/>
    </w:p>
    <w:p>
      <w:pPr>
        <w:bidi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6  </w:t>
      </w:r>
      <w:r>
        <w:rPr>
          <w:rFonts w:hint="eastAsia" w:ascii="宋体" w:hAnsi="宋体" w:eastAsia="宋体" w:cs="宋体"/>
          <w:b/>
          <w:bCs/>
          <w:color w:val="auto"/>
          <w:sz w:val="24"/>
          <w:szCs w:val="24"/>
          <w:lang w:eastAsia="zh-CN"/>
        </w:rPr>
        <w:t>竞争性磋商文件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6.1 </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用以阐明所需</w:t>
      </w:r>
      <w:r>
        <w:rPr>
          <w:rFonts w:hint="eastAsia" w:ascii="宋体" w:hAnsi="宋体" w:eastAsia="宋体" w:cs="宋体"/>
          <w:color w:val="auto"/>
          <w:sz w:val="24"/>
          <w:szCs w:val="24"/>
          <w:lang w:val="en-US" w:eastAsia="zh-CN"/>
        </w:rPr>
        <w:t>货物、工程或者服务</w:t>
      </w:r>
      <w:r>
        <w:rPr>
          <w:rFonts w:hint="eastAsia" w:ascii="宋体" w:hAnsi="宋体" w:eastAsia="宋体" w:cs="宋体"/>
          <w:color w:val="auto"/>
          <w:sz w:val="24"/>
          <w:szCs w:val="24"/>
        </w:rPr>
        <w:t>采购程序和商务合同主要条款，包括：</w:t>
      </w:r>
    </w:p>
    <w:p>
      <w:pPr>
        <w:bidi w:val="0"/>
        <w:spacing w:line="360" w:lineRule="auto"/>
        <w:ind w:firstLine="484"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第一章 </w:t>
      </w:r>
      <w:r>
        <w:rPr>
          <w:rFonts w:hint="eastAsia" w:ascii="宋体" w:hAnsi="宋体" w:eastAsia="宋体" w:cs="宋体"/>
          <w:b/>
          <w:bCs/>
          <w:color w:val="auto"/>
          <w:sz w:val="24"/>
          <w:szCs w:val="24"/>
          <w:lang w:eastAsia="zh-CN"/>
        </w:rPr>
        <w:t>竞争性磋商公告</w:t>
      </w:r>
    </w:p>
    <w:p>
      <w:pPr>
        <w:bidi w:val="0"/>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第二章 供应商须知</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供应商须知前附表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供应商须知正文部分</w:t>
      </w:r>
    </w:p>
    <w:p>
      <w:pPr>
        <w:bidi w:val="0"/>
        <w:spacing w:line="360" w:lineRule="auto"/>
        <w:ind w:firstLine="484"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第三章 </w:t>
      </w:r>
      <w:r>
        <w:rPr>
          <w:rFonts w:hint="eastAsia" w:ascii="宋体" w:hAnsi="宋体" w:eastAsia="宋体" w:cs="宋体"/>
          <w:b/>
          <w:bCs/>
          <w:color w:val="auto"/>
          <w:sz w:val="24"/>
          <w:szCs w:val="24"/>
          <w:lang w:eastAsia="zh-CN"/>
        </w:rPr>
        <w:t>采购内容及技术要求</w:t>
      </w:r>
    </w:p>
    <w:p>
      <w:pPr>
        <w:bidi w:val="0"/>
        <w:spacing w:line="360" w:lineRule="auto"/>
        <w:ind w:firstLine="484"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第四章</w:t>
      </w:r>
      <w:r>
        <w:rPr>
          <w:rFonts w:hint="eastAsia" w:ascii="宋体" w:hAnsi="宋体" w:eastAsia="宋体" w:cs="宋体"/>
          <w:b/>
          <w:bCs/>
          <w:color w:val="auto"/>
          <w:sz w:val="24"/>
          <w:szCs w:val="24"/>
        </w:rPr>
        <w:t xml:space="preserve"> 合同</w:t>
      </w:r>
      <w:r>
        <w:rPr>
          <w:rFonts w:hint="eastAsia" w:ascii="宋体" w:hAnsi="宋体" w:eastAsia="宋体" w:cs="宋体"/>
          <w:b/>
          <w:bCs/>
          <w:color w:val="auto"/>
          <w:sz w:val="24"/>
          <w:szCs w:val="24"/>
          <w:lang w:eastAsia="zh-CN"/>
        </w:rPr>
        <w:t>条款</w:t>
      </w:r>
    </w:p>
    <w:p>
      <w:pPr>
        <w:bidi w:val="0"/>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第五章</w:t>
      </w:r>
      <w:r>
        <w:rPr>
          <w:rFonts w:hint="eastAsia" w:ascii="宋体" w:hAnsi="宋体" w:eastAsia="宋体" w:cs="宋体"/>
          <w:b/>
          <w:bCs/>
          <w:color w:val="auto"/>
          <w:sz w:val="24"/>
          <w:szCs w:val="24"/>
        </w:rPr>
        <w:t xml:space="preserve"> 主要</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 xml:space="preserve">文件的格式及其内容  </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（1）投标函；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（2）法定代表人资格证明及授权委托书；</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（3）报价一览表；</w:t>
      </w:r>
    </w:p>
    <w:p>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（4）采购内容及技术要求；</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（5）反商业贿赂承诺书；</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（6）商务条款偏离表；</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（7）近</w:t>
      </w:r>
      <w:r>
        <w:rPr>
          <w:rFonts w:hint="eastAsia" w:ascii="宋体" w:hAnsi="宋体" w:cs="宋体"/>
          <w:color w:val="auto"/>
          <w:sz w:val="24"/>
          <w:szCs w:val="24"/>
          <w:lang w:eastAsia="zh-CN"/>
        </w:rPr>
        <w:t>五</w:t>
      </w:r>
      <w:r>
        <w:rPr>
          <w:rFonts w:hint="eastAsia" w:ascii="宋体" w:hAnsi="宋体" w:eastAsia="宋体" w:cs="宋体"/>
          <w:color w:val="auto"/>
          <w:sz w:val="24"/>
          <w:szCs w:val="24"/>
        </w:rPr>
        <w:t>年同类项目业绩表；</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（8）拟派项目负责人简历表及拟投入本项目的主要成员表；</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（9）关于资格的声明函；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（10）技术参数偏离表；</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（11）技术支持及服务承诺书；</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（12）中小企业声明函；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（13）监狱企业声明函（监狱企业适用）；</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（14）残疾人福利性单位声明函；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（15）项目实施方案</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（16）质量管理体系与措施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（17）项目进度计划与措施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（18）技术服务及保证措施</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（19）安全、保密及文明施工</w:t>
      </w:r>
    </w:p>
    <w:p>
      <w:pPr>
        <w:pStyle w:val="2"/>
        <w:ind w:left="0" w:leftChars="0" w:firstLine="0" w:firstLineChars="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20</w:t>
      </w:r>
      <w:r>
        <w:rPr>
          <w:rFonts w:hint="eastAsia" w:ascii="宋体" w:hAnsi="宋体" w:cs="宋体"/>
          <w:color w:val="auto"/>
          <w:sz w:val="24"/>
          <w:szCs w:val="24"/>
          <w:lang w:eastAsia="zh-CN"/>
        </w:rPr>
        <w:t>）成果质量保证措施</w:t>
      </w:r>
    </w:p>
    <w:p>
      <w:pPr>
        <w:pStyle w:val="2"/>
        <w:ind w:left="0" w:leftChars="0" w:firstLine="0" w:firstLineChars="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21</w:t>
      </w:r>
      <w:r>
        <w:rPr>
          <w:rFonts w:hint="eastAsia" w:ascii="宋体" w:hAnsi="宋体" w:cs="宋体"/>
          <w:color w:val="auto"/>
          <w:sz w:val="24"/>
          <w:szCs w:val="24"/>
          <w:lang w:eastAsia="zh-CN"/>
        </w:rPr>
        <w:t>）计划用于本项目的仪器设备</w:t>
      </w:r>
    </w:p>
    <w:p>
      <w:pPr>
        <w:pStyle w:val="2"/>
        <w:ind w:left="0" w:leftChars="0" w:firstLine="0" w:firstLineChars="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22</w:t>
      </w:r>
      <w:r>
        <w:rPr>
          <w:rFonts w:hint="eastAsia" w:ascii="宋体" w:hAnsi="宋体" w:cs="宋体"/>
          <w:color w:val="auto"/>
          <w:sz w:val="24"/>
          <w:szCs w:val="24"/>
          <w:lang w:eastAsia="zh-CN"/>
        </w:rPr>
        <w:t>）售后服务体系</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）要求提供的其它材料以及供应商认为需要提交的材料。</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供应商应认真阅读</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中所有的事项、格式、条款和规范等要求。如果没有按照</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要求提交全部资料或者</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文件没有对</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做出实质性响应，其</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文件可能被拒绝。</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  </w:t>
      </w:r>
      <w:r>
        <w:rPr>
          <w:rFonts w:hint="eastAsia" w:ascii="宋体" w:hAnsi="宋体" w:eastAsia="宋体" w:cs="宋体"/>
          <w:b/>
          <w:bCs/>
          <w:color w:val="auto"/>
          <w:sz w:val="24"/>
          <w:szCs w:val="24"/>
          <w:lang w:eastAsia="zh-CN"/>
        </w:rPr>
        <w:t>竞争性磋商文件</w:t>
      </w:r>
      <w:r>
        <w:rPr>
          <w:rFonts w:hint="eastAsia" w:ascii="宋体" w:hAnsi="宋体" w:eastAsia="宋体" w:cs="宋体"/>
          <w:b/>
          <w:bCs/>
          <w:color w:val="auto"/>
          <w:sz w:val="24"/>
          <w:szCs w:val="24"/>
        </w:rPr>
        <w:t>的澄清</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 采购人或者采购代理机构可以对已发出的</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资格预审文件、投标邀请书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进行必要的澄清或者修改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但不得改变采购标的和资格条件。澄清或者修改应当在原公告发布媒体上发布澄清公告。澄清或者修改的内容为</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资格预审文件、投标邀请书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的组成部分。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澄清或者修改的内容可能影响</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文件编制的，采购人或者采购代理机构应当在投标截止时间至少</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日前，以书面形式通知所有获取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的潜在供应商；不足</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日的，采购人或者采购代理机构可顺延提交</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文件的截止时间。</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8  </w:t>
      </w:r>
      <w:r>
        <w:rPr>
          <w:rFonts w:hint="eastAsia" w:ascii="宋体" w:hAnsi="宋体" w:eastAsia="宋体" w:cs="宋体"/>
          <w:b/>
          <w:bCs/>
          <w:color w:val="auto"/>
          <w:sz w:val="24"/>
          <w:szCs w:val="24"/>
          <w:lang w:eastAsia="zh-CN"/>
        </w:rPr>
        <w:t>竞争性磋商文件</w:t>
      </w:r>
      <w:r>
        <w:rPr>
          <w:rFonts w:hint="eastAsia" w:ascii="宋体" w:hAnsi="宋体" w:eastAsia="宋体" w:cs="宋体"/>
          <w:b/>
          <w:bCs/>
          <w:color w:val="auto"/>
          <w:sz w:val="24"/>
          <w:szCs w:val="24"/>
        </w:rPr>
        <w:t>的修改</w:t>
      </w:r>
    </w:p>
    <w:p>
      <w:pPr>
        <w:bidi w:val="0"/>
        <w:spacing w:line="360" w:lineRule="auto"/>
        <w:ind w:firstLine="484" w:firstLineChars="200"/>
        <w:rPr>
          <w:rFonts w:hint="eastAsia" w:ascii="宋体" w:hAnsi="宋体" w:eastAsia="宋体" w:cs="宋体"/>
          <w:color w:val="auto"/>
          <w:sz w:val="24"/>
          <w:szCs w:val="24"/>
        </w:rPr>
      </w:pPr>
      <w:bookmarkStart w:id="56" w:name="_Toc4140"/>
      <w:bookmarkStart w:id="57" w:name="_Toc8777"/>
      <w:bookmarkStart w:id="58" w:name="_Toc4805"/>
      <w:bookmarkStart w:id="59" w:name="_Toc29841"/>
      <w:bookmarkStart w:id="60" w:name="_Toc7406"/>
      <w:bookmarkStart w:id="61" w:name="_Toc13169"/>
      <w:r>
        <w:rPr>
          <w:rFonts w:hint="eastAsia" w:ascii="宋体" w:hAnsi="宋体" w:eastAsia="宋体" w:cs="宋体"/>
          <w:color w:val="auto"/>
          <w:sz w:val="24"/>
          <w:szCs w:val="24"/>
        </w:rPr>
        <w:t>8.1 采购人可以视采购具体情况，延长投标截止时间和开标时间，但至少应当在</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要求提交</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文件的截止时间3日前，将变更时间书面通知所有</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收受人，并在财政部门指定的政府采购信息发布媒体上发布变更公告。</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8.2 </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的修改将以书面通知所有</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收受人，并对供应商具有约束力。</w:t>
      </w:r>
    </w:p>
    <w:p>
      <w:pPr>
        <w:pStyle w:val="6"/>
        <w:numPr>
          <w:ilvl w:val="0"/>
          <w:numId w:val="0"/>
        </w:numPr>
        <w:bidi w:val="0"/>
        <w:ind w:leftChars="0"/>
        <w:jc w:val="center"/>
        <w:rPr>
          <w:rFonts w:hint="eastAsia" w:ascii="宋体" w:hAnsi="宋体" w:eastAsia="宋体" w:cs="宋体"/>
        </w:rPr>
      </w:pPr>
      <w:bookmarkStart w:id="62" w:name="_Toc5967"/>
      <w:bookmarkStart w:id="63" w:name="_Toc26361"/>
      <w:bookmarkStart w:id="64" w:name="_Toc3540"/>
      <w:bookmarkStart w:id="65" w:name="_Toc14881"/>
      <w:bookmarkStart w:id="66" w:name="_Toc32526"/>
      <w:bookmarkStart w:id="67" w:name="_Toc13096"/>
      <w:r>
        <w:rPr>
          <w:rFonts w:hint="eastAsia" w:ascii="宋体" w:hAnsi="宋体" w:eastAsia="宋体" w:cs="宋体"/>
        </w:rPr>
        <w:t xml:space="preserve">三、 </w:t>
      </w:r>
      <w:bookmarkEnd w:id="56"/>
      <w:bookmarkEnd w:id="57"/>
      <w:bookmarkEnd w:id="58"/>
      <w:bookmarkEnd w:id="59"/>
      <w:bookmarkEnd w:id="60"/>
      <w:bookmarkEnd w:id="61"/>
      <w:r>
        <w:rPr>
          <w:rFonts w:hint="eastAsia" w:ascii="宋体" w:hAnsi="宋体" w:eastAsia="宋体" w:cs="宋体"/>
          <w:lang w:val="en-US" w:eastAsia="zh-CN"/>
        </w:rPr>
        <w:t>响应</w:t>
      </w:r>
      <w:r>
        <w:rPr>
          <w:rFonts w:hint="eastAsia" w:ascii="宋体" w:hAnsi="宋体" w:eastAsia="宋体" w:cs="宋体"/>
        </w:rPr>
        <w:t>文件的编制</w:t>
      </w:r>
      <w:bookmarkEnd w:id="62"/>
      <w:bookmarkEnd w:id="63"/>
      <w:bookmarkEnd w:id="64"/>
      <w:bookmarkEnd w:id="65"/>
      <w:bookmarkEnd w:id="66"/>
      <w:bookmarkEnd w:id="67"/>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9  </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文件的编写</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9.1 供应商应仔细阅读</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,了解</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的要求。在充分理解</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、技术规范及标准、项目采购需求、合同文本（主要内容）后编制</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9.2 投标供应商编制电子</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文件可参考《政府采购项目电子交易管理操作指南-供应商》，在政采云《帮助文档》下载。</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9.3 </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文件中需要分别对资格审查要求、符合性审查要求、开标一览表、</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逐一关联响应。</w:t>
      </w:r>
    </w:p>
    <w:p>
      <w:pPr>
        <w:bidi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10  </w:t>
      </w:r>
      <w:r>
        <w:rPr>
          <w:rFonts w:hint="eastAsia" w:ascii="宋体" w:hAnsi="宋体" w:eastAsia="宋体" w:cs="宋体"/>
          <w:b/>
          <w:bCs/>
          <w:color w:val="auto"/>
          <w:sz w:val="28"/>
          <w:szCs w:val="28"/>
          <w:lang w:eastAsia="zh-CN"/>
        </w:rPr>
        <w:t>响应文件</w:t>
      </w:r>
      <w:r>
        <w:rPr>
          <w:rFonts w:hint="eastAsia" w:ascii="宋体" w:hAnsi="宋体" w:eastAsia="宋体" w:cs="宋体"/>
          <w:b/>
          <w:bCs/>
          <w:color w:val="auto"/>
          <w:sz w:val="28"/>
          <w:szCs w:val="28"/>
        </w:rPr>
        <w:t>的语言及计量单位</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10.1 </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以及供应商和采购人及采购代理机构就有关采购活动的所有文件和来往函件，应以中文书写。供应商可以提交用其他语言（原文）打印的资料，但必须翻译成中文，当原文和译文（中文）之间存有差异和/或矛盾时，以中文为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中所使用的计量单位除</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中有特殊规定外，一律使用法定计量单位。</w:t>
      </w:r>
    </w:p>
    <w:p>
      <w:pPr>
        <w:bidi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11  </w:t>
      </w:r>
      <w:r>
        <w:rPr>
          <w:rFonts w:hint="eastAsia" w:ascii="宋体" w:hAnsi="宋体" w:eastAsia="宋体" w:cs="宋体"/>
          <w:b/>
          <w:bCs/>
          <w:color w:val="auto"/>
          <w:sz w:val="28"/>
          <w:szCs w:val="28"/>
          <w:lang w:eastAsia="zh-CN"/>
        </w:rPr>
        <w:t>响应文件</w:t>
      </w:r>
      <w:r>
        <w:rPr>
          <w:rFonts w:hint="eastAsia" w:ascii="宋体" w:hAnsi="宋体" w:eastAsia="宋体" w:cs="宋体"/>
          <w:b/>
          <w:bCs/>
          <w:color w:val="auto"/>
          <w:sz w:val="28"/>
          <w:szCs w:val="28"/>
        </w:rPr>
        <w:t>构成</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供应商编写的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应按下列顺序及内容提供:</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（1）投标函；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（2）法定代表人资格证明及授权委托书；</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（3）报价一览表；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（4）采购内容及技术要求；</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（5）反商业贿赂承诺书；</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（6）商务条款偏离表；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（7）近</w:t>
      </w:r>
      <w:r>
        <w:rPr>
          <w:rFonts w:hint="eastAsia" w:ascii="宋体" w:hAnsi="宋体" w:cs="宋体"/>
          <w:b/>
          <w:bCs/>
          <w:color w:val="auto"/>
          <w:sz w:val="24"/>
          <w:szCs w:val="24"/>
          <w:lang w:eastAsia="zh-CN"/>
        </w:rPr>
        <w:t>五</w:t>
      </w:r>
      <w:r>
        <w:rPr>
          <w:rFonts w:hint="eastAsia" w:ascii="宋体" w:hAnsi="宋体" w:eastAsia="宋体" w:cs="宋体"/>
          <w:b/>
          <w:bCs/>
          <w:color w:val="auto"/>
          <w:sz w:val="24"/>
          <w:szCs w:val="24"/>
        </w:rPr>
        <w:t>年同类项目业绩表；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（8）拟派项目负责人简历表及拟投入本项目的主要成员表；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（9）关于资格的声明函；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（10）技术参数偏离表；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（11）技术支持及服务承诺书；</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（12）中小企业声明函；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（13）监狱企业声明函（监狱企业适用）；</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（14）残疾人福利性单位声明函；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（15）项目实施方案</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（16）质量管理体系与措施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（17）项目进度计划与措施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（18）技术服务及保证措施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（19）安全、保密及文明施工</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（20）成果质量保证措施</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（21）计划用于本项目的仪器设备</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（22）售后服务体系</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（23）要求提供的其它材料以及供应商认为需要提交的材料。</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  </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的格式</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12.1 </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附件及</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各章节提供了一部分用于编制</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时必要的格式，供应商应按此格式编制</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12.2 </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中未提供格式的部分由供应商自行编制。</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13  投标报价</w:t>
      </w:r>
    </w:p>
    <w:p>
      <w:pPr>
        <w:bidi w:val="0"/>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13.1 除本</w:t>
      </w:r>
      <w:r>
        <w:rPr>
          <w:rFonts w:hint="eastAsia" w:ascii="宋体" w:hAnsi="宋体" w:eastAsia="宋体" w:cs="宋体"/>
          <w:b/>
          <w:bCs/>
          <w:color w:val="auto"/>
          <w:sz w:val="24"/>
          <w:szCs w:val="24"/>
          <w:lang w:eastAsia="zh-CN"/>
        </w:rPr>
        <w:t>竞争性磋商文件</w:t>
      </w:r>
      <w:r>
        <w:rPr>
          <w:rFonts w:hint="eastAsia" w:ascii="宋体" w:hAnsi="宋体" w:eastAsia="宋体" w:cs="宋体"/>
          <w:b/>
          <w:bCs/>
          <w:color w:val="auto"/>
          <w:sz w:val="24"/>
          <w:szCs w:val="24"/>
        </w:rPr>
        <w:t>另有规定外，供应商应按</w:t>
      </w:r>
      <w:r>
        <w:rPr>
          <w:rFonts w:hint="eastAsia" w:ascii="宋体" w:hAnsi="宋体" w:eastAsia="宋体" w:cs="宋体"/>
          <w:b/>
          <w:bCs/>
          <w:color w:val="auto"/>
          <w:sz w:val="24"/>
          <w:szCs w:val="24"/>
          <w:lang w:eastAsia="zh-CN"/>
        </w:rPr>
        <w:t>竞争性磋商文件</w:t>
      </w:r>
      <w:r>
        <w:rPr>
          <w:rFonts w:hint="eastAsia" w:ascii="宋体" w:hAnsi="宋体" w:eastAsia="宋体" w:cs="宋体"/>
          <w:b/>
          <w:bCs/>
          <w:color w:val="auto"/>
          <w:sz w:val="24"/>
          <w:szCs w:val="24"/>
        </w:rPr>
        <w:t>所附相应的投标一览表格式标明</w:t>
      </w:r>
      <w:r>
        <w:rPr>
          <w:rFonts w:hint="eastAsia" w:ascii="宋体" w:hAnsi="宋体" w:eastAsia="宋体" w:cs="宋体"/>
          <w:b/>
          <w:bCs/>
          <w:color w:val="auto"/>
          <w:sz w:val="24"/>
          <w:szCs w:val="24"/>
          <w:lang w:val="en-US" w:eastAsia="zh-CN"/>
        </w:rPr>
        <w:t>投标报</w:t>
      </w:r>
      <w:r>
        <w:rPr>
          <w:rFonts w:hint="eastAsia" w:ascii="宋体" w:hAnsi="宋体" w:eastAsia="宋体" w:cs="宋体"/>
          <w:b/>
          <w:bCs/>
          <w:color w:val="auto"/>
          <w:sz w:val="24"/>
          <w:szCs w:val="24"/>
        </w:rPr>
        <w:t>价等内容。报价以人民币报价。</w:t>
      </w:r>
    </w:p>
    <w:p>
      <w:pPr>
        <w:bidi w:val="0"/>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13.2 任何有选择性的报价将不予接受。</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13.3 供应商须充分注意并重视第三章“</w:t>
      </w:r>
      <w:r>
        <w:rPr>
          <w:rFonts w:hint="eastAsia" w:ascii="宋体" w:hAnsi="宋体" w:eastAsia="宋体" w:cs="宋体"/>
          <w:color w:val="auto"/>
          <w:sz w:val="24"/>
          <w:szCs w:val="24"/>
          <w:lang w:eastAsia="zh-CN"/>
        </w:rPr>
        <w:t>技术要求</w:t>
      </w:r>
      <w:r>
        <w:rPr>
          <w:rFonts w:hint="eastAsia" w:ascii="宋体" w:hAnsi="宋体" w:eastAsia="宋体" w:cs="宋体"/>
          <w:color w:val="auto"/>
          <w:sz w:val="24"/>
          <w:szCs w:val="24"/>
        </w:rPr>
        <w:t>”的内容，并严格按该章的有关内容做出实质性响应。</w:t>
      </w:r>
    </w:p>
    <w:p>
      <w:pPr>
        <w:bidi w:val="0"/>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13.4 供应商可按</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第三章“</w:t>
      </w:r>
      <w:r>
        <w:rPr>
          <w:rFonts w:hint="eastAsia" w:ascii="宋体" w:hAnsi="宋体" w:eastAsia="宋体" w:cs="宋体"/>
          <w:color w:val="auto"/>
          <w:sz w:val="24"/>
          <w:szCs w:val="24"/>
          <w:lang w:eastAsia="zh-CN"/>
        </w:rPr>
        <w:t>技术要求</w:t>
      </w:r>
      <w:r>
        <w:rPr>
          <w:rFonts w:hint="eastAsia" w:ascii="宋体" w:hAnsi="宋体" w:eastAsia="宋体" w:cs="宋体"/>
          <w:color w:val="auto"/>
          <w:sz w:val="24"/>
          <w:szCs w:val="24"/>
        </w:rPr>
        <w:t>”的内容</w:t>
      </w:r>
      <w:r>
        <w:rPr>
          <w:rFonts w:hint="eastAsia" w:ascii="宋体" w:hAnsi="宋体" w:eastAsia="宋体" w:cs="宋体"/>
          <w:color w:val="auto"/>
          <w:sz w:val="24"/>
          <w:szCs w:val="24"/>
          <w:lang w:val="en-US" w:eastAsia="zh-CN"/>
        </w:rPr>
        <w:t>进行</w:t>
      </w:r>
      <w:r>
        <w:rPr>
          <w:rFonts w:hint="eastAsia" w:ascii="宋体" w:hAnsi="宋体" w:eastAsia="宋体" w:cs="宋体"/>
          <w:color w:val="auto"/>
          <w:sz w:val="24"/>
          <w:szCs w:val="24"/>
        </w:rPr>
        <w:t>报价，投标报价</w:t>
      </w:r>
      <w:r>
        <w:rPr>
          <w:rFonts w:hint="eastAsia" w:ascii="宋体" w:hAnsi="宋体" w:eastAsia="宋体" w:cs="宋体"/>
          <w:color w:val="auto"/>
          <w:sz w:val="24"/>
          <w:szCs w:val="24"/>
          <w:lang w:val="en-US" w:eastAsia="zh-CN"/>
        </w:rPr>
        <w:t>应</w:t>
      </w:r>
      <w:r>
        <w:rPr>
          <w:rFonts w:hint="eastAsia" w:ascii="宋体" w:hAnsi="宋体" w:eastAsia="宋体" w:cs="宋体"/>
          <w:color w:val="auto"/>
          <w:sz w:val="24"/>
          <w:szCs w:val="24"/>
        </w:rPr>
        <w:t>包</w:t>
      </w:r>
      <w:r>
        <w:rPr>
          <w:rFonts w:hint="eastAsia" w:ascii="宋体" w:hAnsi="宋体" w:eastAsia="宋体" w:cs="宋体"/>
          <w:color w:val="auto"/>
          <w:sz w:val="24"/>
          <w:szCs w:val="24"/>
          <w:lang w:val="en-US" w:eastAsia="zh-CN"/>
        </w:rPr>
        <w:t>含</w:t>
      </w:r>
      <w:r>
        <w:rPr>
          <w:rFonts w:hint="eastAsia" w:ascii="宋体" w:hAnsi="宋体" w:eastAsia="宋体" w:cs="宋体"/>
          <w:color w:val="auto"/>
          <w:sz w:val="24"/>
          <w:szCs w:val="24"/>
        </w:rPr>
        <w:t>税金及本</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所</w:t>
      </w:r>
      <w:r>
        <w:rPr>
          <w:rFonts w:hint="eastAsia" w:ascii="宋体" w:hAnsi="宋体" w:eastAsia="宋体" w:cs="宋体"/>
          <w:color w:val="auto"/>
          <w:sz w:val="24"/>
          <w:szCs w:val="24"/>
          <w:lang w:val="en-US" w:eastAsia="zh-CN"/>
        </w:rPr>
        <w:t>产生</w:t>
      </w:r>
      <w:r>
        <w:rPr>
          <w:rFonts w:hint="eastAsia" w:ascii="宋体" w:hAnsi="宋体" w:eastAsia="宋体" w:cs="宋体"/>
          <w:color w:val="auto"/>
          <w:sz w:val="24"/>
          <w:szCs w:val="24"/>
        </w:rPr>
        <w:t>的全部费用，</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13.5</w:t>
      </w:r>
      <w:r>
        <w:rPr>
          <w:rFonts w:hint="eastAsia" w:ascii="宋体" w:hAnsi="宋体" w:eastAsia="宋体" w:cs="宋体"/>
          <w:color w:val="auto"/>
          <w:sz w:val="24"/>
          <w:szCs w:val="24"/>
        </w:rPr>
        <w:t xml:space="preserve"> 供应商的报价在中标后的合同实施期间应保持不变，即不因市场价格或政策性价格的调整而增减。</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14  证明供应商合格</w:t>
      </w:r>
      <w:r>
        <w:rPr>
          <w:rFonts w:hint="eastAsia" w:ascii="宋体" w:hAnsi="宋体" w:eastAsia="宋体" w:cs="宋体"/>
          <w:b/>
          <w:bCs/>
          <w:color w:val="auto"/>
          <w:sz w:val="24"/>
          <w:szCs w:val="24"/>
          <w:lang w:val="en-US" w:eastAsia="zh-CN"/>
        </w:rPr>
        <w:t>的</w:t>
      </w:r>
      <w:r>
        <w:rPr>
          <w:rFonts w:hint="eastAsia" w:ascii="宋体" w:hAnsi="宋体" w:eastAsia="宋体" w:cs="宋体"/>
          <w:b/>
          <w:bCs/>
          <w:color w:val="auto"/>
          <w:sz w:val="24"/>
          <w:szCs w:val="24"/>
        </w:rPr>
        <w:t>资格</w:t>
      </w:r>
      <w:r>
        <w:rPr>
          <w:rFonts w:hint="eastAsia" w:ascii="宋体" w:hAnsi="宋体" w:eastAsia="宋体" w:cs="宋体"/>
          <w:b/>
          <w:bCs/>
          <w:color w:val="auto"/>
          <w:sz w:val="24"/>
          <w:szCs w:val="24"/>
          <w:lang w:val="en-US" w:eastAsia="zh-CN"/>
        </w:rPr>
        <w:t>证明</w:t>
      </w:r>
      <w:r>
        <w:rPr>
          <w:rFonts w:hint="eastAsia" w:ascii="宋体" w:hAnsi="宋体" w:eastAsia="宋体" w:cs="宋体"/>
          <w:b/>
          <w:bCs/>
          <w:color w:val="auto"/>
          <w:sz w:val="24"/>
          <w:szCs w:val="24"/>
        </w:rPr>
        <w:t>文件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按照供应商须知前附表规定，供应商应提交</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所要求的资格证明文件。</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15  证明符合</w:t>
      </w:r>
      <w:r>
        <w:rPr>
          <w:rFonts w:hint="eastAsia" w:ascii="宋体" w:hAnsi="宋体" w:eastAsia="宋体" w:cs="宋体"/>
          <w:b/>
          <w:bCs/>
          <w:color w:val="auto"/>
          <w:sz w:val="24"/>
          <w:szCs w:val="24"/>
          <w:lang w:eastAsia="zh-CN"/>
        </w:rPr>
        <w:t>竞争性磋商文件</w:t>
      </w:r>
      <w:r>
        <w:rPr>
          <w:rFonts w:hint="eastAsia" w:ascii="宋体" w:hAnsi="宋体" w:eastAsia="宋体" w:cs="宋体"/>
          <w:b/>
          <w:bCs/>
          <w:color w:val="auto"/>
          <w:sz w:val="24"/>
          <w:szCs w:val="24"/>
        </w:rPr>
        <w:t>规定的文件</w:t>
      </w:r>
    </w:p>
    <w:p>
      <w:pPr>
        <w:bidi w:val="0"/>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供应商应逐条对</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要求的</w:t>
      </w:r>
      <w:r>
        <w:rPr>
          <w:rFonts w:hint="eastAsia" w:ascii="宋体" w:hAnsi="宋体" w:eastAsia="宋体" w:cs="宋体"/>
          <w:color w:val="auto"/>
          <w:sz w:val="24"/>
          <w:szCs w:val="24"/>
          <w:lang w:val="en-US" w:eastAsia="zh-CN"/>
        </w:rPr>
        <w:t>内容</w:t>
      </w:r>
      <w:r>
        <w:rPr>
          <w:rFonts w:hint="eastAsia" w:ascii="宋体" w:hAnsi="宋体" w:eastAsia="宋体" w:cs="宋体"/>
          <w:color w:val="auto"/>
          <w:sz w:val="24"/>
          <w:szCs w:val="24"/>
        </w:rPr>
        <w:t>做出实质性</w:t>
      </w:r>
      <w:r>
        <w:rPr>
          <w:rFonts w:hint="eastAsia" w:ascii="宋体" w:hAnsi="宋体" w:eastAsia="宋体" w:cs="宋体"/>
          <w:color w:val="auto"/>
          <w:sz w:val="24"/>
          <w:szCs w:val="24"/>
          <w:lang w:val="en-US" w:eastAsia="zh-CN"/>
        </w:rPr>
        <w:t>响</w:t>
      </w:r>
      <w:r>
        <w:rPr>
          <w:rFonts w:hint="eastAsia" w:ascii="宋体" w:hAnsi="宋体" w:eastAsia="宋体" w:cs="宋体"/>
          <w:color w:val="auto"/>
          <w:sz w:val="24"/>
          <w:szCs w:val="24"/>
        </w:rPr>
        <w:t>应，认真填写</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所附的“商务条款偏离表”、“技术规格偏离表”。</w:t>
      </w:r>
      <w:r>
        <w:rPr>
          <w:rFonts w:hint="eastAsia" w:ascii="宋体" w:hAnsi="宋体" w:eastAsia="宋体" w:cs="宋体"/>
          <w:b/>
          <w:bCs/>
          <w:color w:val="auto"/>
          <w:sz w:val="24"/>
          <w:szCs w:val="24"/>
        </w:rPr>
        <w:t>若有偏离,请将具体偏离条款在“偏离”一栏中详细说明</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若无偏离</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请在“偏离”一栏中标注“无”字样。如不填写将视为不响应</w:t>
      </w:r>
      <w:r>
        <w:rPr>
          <w:rFonts w:hint="eastAsia" w:ascii="宋体" w:hAnsi="宋体" w:eastAsia="宋体" w:cs="宋体"/>
          <w:b/>
          <w:bCs/>
          <w:color w:val="auto"/>
          <w:sz w:val="24"/>
          <w:szCs w:val="24"/>
          <w:lang w:eastAsia="zh-CN"/>
        </w:rPr>
        <w:t>竞争性磋商文件</w:t>
      </w:r>
      <w:r>
        <w:rPr>
          <w:rFonts w:hint="eastAsia" w:ascii="宋体" w:hAnsi="宋体" w:eastAsia="宋体" w:cs="宋体"/>
          <w:b/>
          <w:bCs/>
          <w:color w:val="auto"/>
          <w:sz w:val="24"/>
          <w:szCs w:val="24"/>
        </w:rPr>
        <w:t>要求。</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16  电子</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的有效期</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有效期</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提交</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的截止之日起90天。</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16.2 在特殊情况下, 在原</w:t>
      </w:r>
      <w:r>
        <w:rPr>
          <w:rFonts w:hint="eastAsia" w:ascii="宋体" w:hAnsi="宋体" w:eastAsia="宋体" w:cs="宋体"/>
          <w:color w:val="auto"/>
          <w:sz w:val="24"/>
          <w:szCs w:val="24"/>
          <w:lang w:val="en-US" w:eastAsia="zh-CN"/>
        </w:rPr>
        <w:t>响应文件</w:t>
      </w:r>
      <w:r>
        <w:rPr>
          <w:rFonts w:hint="eastAsia" w:ascii="宋体" w:hAnsi="宋体" w:eastAsia="宋体" w:cs="宋体"/>
          <w:color w:val="auto"/>
          <w:sz w:val="24"/>
          <w:szCs w:val="24"/>
        </w:rPr>
        <w:t>有效期届满之前，采购人可与供应商协商延长</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的有效期，并经供应商确认。</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17  电子</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的</w:t>
      </w:r>
      <w:r>
        <w:rPr>
          <w:rFonts w:hint="eastAsia" w:ascii="宋体" w:hAnsi="宋体" w:eastAsia="宋体" w:cs="宋体"/>
          <w:b/>
          <w:bCs/>
          <w:color w:val="auto"/>
          <w:sz w:val="24"/>
          <w:szCs w:val="24"/>
          <w:lang w:val="en-US" w:eastAsia="zh-CN"/>
        </w:rPr>
        <w:t>格式</w:t>
      </w:r>
      <w:r>
        <w:rPr>
          <w:rFonts w:hint="eastAsia" w:ascii="宋体" w:hAnsi="宋体" w:eastAsia="宋体" w:cs="宋体"/>
          <w:b/>
          <w:bCs/>
          <w:color w:val="auto"/>
          <w:sz w:val="24"/>
          <w:szCs w:val="24"/>
        </w:rPr>
        <w:t>要求及签署</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17.1 </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格式</w:t>
      </w:r>
      <w:r>
        <w:rPr>
          <w:rFonts w:hint="eastAsia" w:ascii="宋体" w:hAnsi="宋体" w:eastAsia="宋体" w:cs="宋体"/>
          <w:color w:val="auto"/>
          <w:sz w:val="24"/>
          <w:szCs w:val="24"/>
        </w:rPr>
        <w:t>应清楚工整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未实质性响应</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、字迹潦草、表达不清、未按要求填写或可能导致非唯一理解的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将按无效投标处理。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应由供应商法</w:t>
      </w:r>
      <w:r>
        <w:rPr>
          <w:rFonts w:hint="eastAsia" w:ascii="宋体" w:hAnsi="宋体" w:eastAsia="宋体" w:cs="宋体"/>
          <w:color w:val="auto"/>
          <w:sz w:val="24"/>
          <w:szCs w:val="24"/>
          <w:lang w:val="en-US" w:eastAsia="zh-CN"/>
        </w:rPr>
        <w:t>定代表人</w:t>
      </w:r>
      <w:r>
        <w:rPr>
          <w:rFonts w:hint="eastAsia" w:ascii="宋体" w:hAnsi="宋体" w:eastAsia="宋体" w:cs="宋体"/>
          <w:color w:val="auto"/>
          <w:sz w:val="24"/>
          <w:szCs w:val="24"/>
        </w:rPr>
        <w:t>或委托代理人在规定签章处逐一签署及加盖供应商的公章。</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18  投标保证金</w:t>
      </w:r>
    </w:p>
    <w:p>
      <w:pPr>
        <w:bidi w:val="0"/>
        <w:spacing w:line="360" w:lineRule="auto"/>
        <w:ind w:firstLine="484" w:firstLineChars="200"/>
        <w:rPr>
          <w:rFonts w:hint="eastAsia"/>
        </w:rPr>
      </w:pPr>
      <w:r>
        <w:rPr>
          <w:rFonts w:hint="eastAsia" w:ascii="宋体" w:hAnsi="宋体" w:eastAsia="宋体" w:cs="宋体"/>
          <w:color w:val="auto"/>
          <w:sz w:val="24"/>
          <w:szCs w:val="24"/>
        </w:rPr>
        <w:t>18.1 各供应商必须在投标截止时间前</w:t>
      </w:r>
      <w:r>
        <w:rPr>
          <w:rFonts w:hint="eastAsia" w:ascii="宋体" w:hAnsi="宋体" w:eastAsia="宋体" w:cs="宋体"/>
          <w:color w:val="auto"/>
          <w:sz w:val="24"/>
          <w:szCs w:val="24"/>
          <w:lang w:val="en-US" w:eastAsia="zh-CN"/>
        </w:rPr>
        <w:t>提</w:t>
      </w:r>
      <w:r>
        <w:rPr>
          <w:rFonts w:hint="eastAsia" w:ascii="宋体" w:hAnsi="宋体" w:eastAsia="宋体" w:cs="宋体"/>
          <w:color w:val="auto"/>
          <w:sz w:val="24"/>
          <w:szCs w:val="24"/>
        </w:rPr>
        <w:t>交。</w:t>
      </w:r>
    </w:p>
    <w:p>
      <w:pPr>
        <w:keepNext w:val="0"/>
        <w:keepLines w:val="0"/>
        <w:pageBreakBefore w:val="0"/>
        <w:widowControl/>
        <w:kinsoku/>
        <w:wordWrap/>
        <w:overflowPunct/>
        <w:topLinePunct w:val="0"/>
        <w:autoSpaceDE/>
        <w:autoSpaceDN/>
        <w:bidi w:val="0"/>
        <w:adjustRightInd w:val="0"/>
        <w:snapToGrid w:val="0"/>
        <w:spacing w:line="360" w:lineRule="auto"/>
        <w:ind w:firstLine="484" w:firstLineChars="200"/>
        <w:jc w:val="left"/>
        <w:textAlignment w:val="auto"/>
        <w:rPr>
          <w:rFonts w:hint="eastAsia" w:ascii="宋体" w:hAnsi="宋体" w:eastAsia="宋体" w:cs="宋体"/>
          <w:color w:val="auto"/>
        </w:rPr>
      </w:pPr>
      <w:r>
        <w:rPr>
          <w:rFonts w:hint="eastAsia" w:ascii="宋体" w:hAnsi="宋体" w:eastAsia="宋体" w:cs="宋体"/>
          <w:b/>
          <w:bCs/>
          <w:color w:val="auto"/>
          <w:sz w:val="24"/>
          <w:szCs w:val="24"/>
          <w:lang w:eastAsia="zh-CN"/>
        </w:rPr>
        <w:t>退保证金时间：（各单位交付退保证金申请后</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lang w:eastAsia="zh-CN"/>
        </w:rPr>
        <w:t>邮寄以收到日期为准）</w:t>
      </w:r>
      <w:r>
        <w:rPr>
          <w:rFonts w:hint="eastAsia" w:ascii="宋体" w:hAnsi="宋体" w:eastAsia="宋体" w:cs="宋体"/>
          <w:b/>
          <w:bCs/>
          <w:color w:val="auto"/>
          <w:sz w:val="24"/>
          <w:szCs w:val="24"/>
          <w:lang w:val="en-US" w:eastAsia="zh-CN"/>
        </w:rPr>
        <w:t>1、未中标单位在我公司收到相关手续后5个工作日内办理；2、</w:t>
      </w:r>
      <w:r>
        <w:rPr>
          <w:rFonts w:hint="eastAsia" w:ascii="宋体" w:hAnsi="宋体" w:eastAsia="宋体" w:cs="宋体"/>
          <w:b/>
          <w:bCs/>
          <w:color w:val="auto"/>
          <w:sz w:val="24"/>
          <w:szCs w:val="24"/>
          <w:lang w:eastAsia="zh-CN"/>
        </w:rPr>
        <w:t>中标单位将签订合同复印件或扫描件交付我公司后</w:t>
      </w:r>
      <w:r>
        <w:rPr>
          <w:rFonts w:hint="eastAsia" w:ascii="宋体" w:hAnsi="宋体" w:eastAsia="宋体" w:cs="宋体"/>
          <w:b/>
          <w:bCs/>
          <w:color w:val="auto"/>
          <w:sz w:val="24"/>
          <w:szCs w:val="24"/>
          <w:lang w:val="en-US" w:eastAsia="zh-CN"/>
        </w:rPr>
        <w:t>5个工作日内</w:t>
      </w:r>
      <w:r>
        <w:rPr>
          <w:rFonts w:hint="eastAsia" w:ascii="宋体" w:hAnsi="宋体" w:eastAsia="宋体" w:cs="宋体"/>
          <w:b/>
          <w:bCs/>
          <w:color w:val="auto"/>
          <w:sz w:val="24"/>
          <w:szCs w:val="24"/>
          <w:lang w:eastAsia="zh-CN"/>
        </w:rPr>
        <w:t>办理</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 xml:space="preserve"> </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18.2 投标保证金用于保护本次招标免受供应商的违规、违约行为而引起的风险。</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18.3 发生以下情况投标保证金不予退还：</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18.3.1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如果供应商在投标有效期内撤回</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18.3.2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中标供应商有下列情形之一的，投标保证金不予退还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情节严重的，由</w:t>
      </w:r>
      <w:r>
        <w:rPr>
          <w:rFonts w:hint="eastAsia" w:ascii="宋体" w:hAnsi="宋体" w:eastAsia="宋体" w:cs="宋体"/>
          <w:color w:val="auto"/>
          <w:sz w:val="24"/>
          <w:szCs w:val="24"/>
          <w:lang w:val="en-US" w:eastAsia="zh-CN"/>
        </w:rPr>
        <w:t>财政</w:t>
      </w:r>
      <w:r>
        <w:rPr>
          <w:rFonts w:hint="eastAsia" w:ascii="宋体" w:hAnsi="宋体" w:eastAsia="宋体" w:cs="宋体"/>
          <w:color w:val="auto"/>
          <w:sz w:val="24"/>
          <w:szCs w:val="24"/>
        </w:rPr>
        <w:t>部门将其列入不良行为记录名单，在一至三年内禁止参加政府采购活动，并予以通报：</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中标后无正当理由不与采购人签订合同的；</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（二）未经采购人同意将中标项目转让给他人，或者将中标项目分包给他人的；</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（三）拒绝履行合同义务的。</w:t>
      </w:r>
    </w:p>
    <w:p>
      <w:pPr>
        <w:bidi w:val="0"/>
        <w:spacing w:line="360" w:lineRule="auto"/>
        <w:ind w:firstLine="484" w:firstLineChars="200"/>
        <w:rPr>
          <w:rFonts w:hint="eastAsia" w:ascii="宋体" w:hAnsi="宋体" w:eastAsia="宋体" w:cs="宋体"/>
          <w:color w:val="auto"/>
          <w:sz w:val="28"/>
          <w:szCs w:val="28"/>
        </w:rPr>
      </w:pPr>
      <w:r>
        <w:rPr>
          <w:rFonts w:hint="eastAsia" w:ascii="宋体" w:hAnsi="宋体" w:eastAsia="宋体" w:cs="宋体"/>
          <w:color w:val="auto"/>
          <w:sz w:val="24"/>
          <w:szCs w:val="24"/>
        </w:rPr>
        <w:t>18.3.3 如果中标供应商放弃中标项目的，无正当理由不与采购人签订合同的，在签订合同时向采购人提出附加条件或者更改合同实质性内容的，或者拒不提交所要求的履约保证金的</w:t>
      </w:r>
      <w:r>
        <w:rPr>
          <w:rFonts w:hint="eastAsia" w:ascii="宋体" w:hAnsi="宋体" w:eastAsia="宋体" w:cs="宋体"/>
          <w:color w:val="auto"/>
          <w:sz w:val="28"/>
          <w:szCs w:val="28"/>
        </w:rPr>
        <w:t>。</w:t>
      </w:r>
      <w:bookmarkStart w:id="68" w:name="_Toc167"/>
      <w:bookmarkStart w:id="69" w:name="_Toc20192"/>
      <w:bookmarkStart w:id="70" w:name="_Toc5423"/>
    </w:p>
    <w:p>
      <w:pPr>
        <w:pStyle w:val="6"/>
        <w:numPr>
          <w:ilvl w:val="0"/>
          <w:numId w:val="0"/>
        </w:numPr>
        <w:bidi w:val="0"/>
        <w:ind w:leftChars="0"/>
        <w:jc w:val="center"/>
        <w:rPr>
          <w:rFonts w:hint="eastAsia" w:ascii="宋体" w:hAnsi="宋体" w:eastAsia="宋体" w:cs="宋体"/>
        </w:rPr>
      </w:pPr>
      <w:bookmarkStart w:id="71" w:name="_Toc2665"/>
      <w:bookmarkStart w:id="72" w:name="_Toc15133"/>
      <w:bookmarkStart w:id="73" w:name="_Toc19171"/>
      <w:bookmarkStart w:id="74" w:name="_Toc10478"/>
      <w:bookmarkStart w:id="75" w:name="_Toc20072"/>
      <w:bookmarkStart w:id="76" w:name="_Toc28814"/>
      <w:bookmarkStart w:id="77" w:name="_Toc13957"/>
      <w:bookmarkStart w:id="78" w:name="_Toc30175"/>
      <w:bookmarkStart w:id="79" w:name="_Toc5633"/>
      <w:r>
        <w:rPr>
          <w:rFonts w:hint="eastAsia" w:ascii="宋体" w:hAnsi="宋体" w:eastAsia="宋体" w:cs="宋体"/>
        </w:rPr>
        <w:t xml:space="preserve">四、 </w:t>
      </w:r>
      <w:r>
        <w:rPr>
          <w:rFonts w:hint="eastAsia" w:ascii="宋体" w:hAnsi="宋体" w:eastAsia="宋体" w:cs="宋体"/>
          <w:lang w:eastAsia="zh-CN"/>
        </w:rPr>
        <w:t>响应文件</w:t>
      </w:r>
      <w:r>
        <w:rPr>
          <w:rFonts w:hint="eastAsia" w:ascii="宋体" w:hAnsi="宋体" w:eastAsia="宋体" w:cs="宋体"/>
        </w:rPr>
        <w:t>的</w:t>
      </w:r>
      <w:r>
        <w:rPr>
          <w:rFonts w:hint="eastAsia" w:ascii="宋体" w:hAnsi="宋体" w:eastAsia="宋体" w:cs="宋体"/>
          <w:lang w:val="en-US" w:eastAsia="zh-CN"/>
        </w:rPr>
        <w:t>提</w:t>
      </w:r>
      <w:r>
        <w:rPr>
          <w:rFonts w:hint="eastAsia" w:ascii="宋体" w:hAnsi="宋体" w:eastAsia="宋体" w:cs="宋体"/>
        </w:rPr>
        <w:t>交</w:t>
      </w:r>
      <w:bookmarkEnd w:id="68"/>
      <w:bookmarkEnd w:id="69"/>
      <w:bookmarkEnd w:id="70"/>
      <w:bookmarkEnd w:id="71"/>
      <w:bookmarkEnd w:id="72"/>
      <w:bookmarkEnd w:id="73"/>
      <w:bookmarkEnd w:id="74"/>
      <w:bookmarkEnd w:id="75"/>
      <w:bookmarkEnd w:id="76"/>
      <w:bookmarkEnd w:id="77"/>
      <w:bookmarkEnd w:id="78"/>
      <w:bookmarkEnd w:id="79"/>
    </w:p>
    <w:p>
      <w:pPr>
        <w:bidi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19  </w:t>
      </w:r>
      <w:r>
        <w:rPr>
          <w:rFonts w:hint="eastAsia" w:ascii="宋体" w:hAnsi="宋体" w:eastAsia="宋体" w:cs="宋体"/>
          <w:b/>
          <w:bCs/>
          <w:color w:val="auto"/>
          <w:sz w:val="28"/>
          <w:szCs w:val="28"/>
          <w:lang w:eastAsia="zh-CN"/>
        </w:rPr>
        <w:t>响应文件</w:t>
      </w:r>
      <w:r>
        <w:rPr>
          <w:rFonts w:hint="eastAsia" w:ascii="宋体" w:hAnsi="宋体" w:eastAsia="宋体" w:cs="宋体"/>
          <w:b/>
          <w:bCs/>
          <w:color w:val="auto"/>
          <w:sz w:val="28"/>
          <w:szCs w:val="28"/>
        </w:rPr>
        <w:t>的</w:t>
      </w:r>
      <w:r>
        <w:rPr>
          <w:rFonts w:hint="eastAsia" w:ascii="宋体" w:hAnsi="宋体" w:eastAsia="宋体" w:cs="宋体"/>
          <w:b/>
          <w:bCs/>
          <w:color w:val="auto"/>
          <w:sz w:val="28"/>
          <w:szCs w:val="28"/>
          <w:lang w:val="en-US" w:eastAsia="zh-CN"/>
        </w:rPr>
        <w:t>提</w:t>
      </w:r>
      <w:r>
        <w:rPr>
          <w:rFonts w:hint="eastAsia" w:ascii="宋体" w:hAnsi="宋体" w:eastAsia="宋体" w:cs="宋体"/>
          <w:b/>
          <w:bCs/>
          <w:color w:val="auto"/>
          <w:sz w:val="28"/>
          <w:szCs w:val="28"/>
        </w:rPr>
        <w:t>交详见供应商须知。</w:t>
      </w:r>
    </w:p>
    <w:p>
      <w:pPr>
        <w:bidi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20  </w:t>
      </w:r>
      <w:r>
        <w:rPr>
          <w:rFonts w:hint="eastAsia" w:ascii="宋体" w:hAnsi="宋体" w:eastAsia="宋体" w:cs="宋体"/>
          <w:b/>
          <w:bCs/>
          <w:color w:val="auto"/>
          <w:sz w:val="28"/>
          <w:szCs w:val="28"/>
          <w:lang w:eastAsia="zh-CN"/>
        </w:rPr>
        <w:t>响应文件</w:t>
      </w:r>
      <w:r>
        <w:rPr>
          <w:rFonts w:hint="eastAsia" w:ascii="宋体" w:hAnsi="宋体" w:eastAsia="宋体" w:cs="宋体"/>
          <w:b/>
          <w:bCs/>
          <w:color w:val="auto"/>
          <w:sz w:val="28"/>
          <w:szCs w:val="28"/>
          <w:lang w:val="en-US" w:eastAsia="zh-CN"/>
        </w:rPr>
        <w:t>提</w:t>
      </w:r>
      <w:r>
        <w:rPr>
          <w:rFonts w:hint="eastAsia" w:ascii="宋体" w:hAnsi="宋体" w:eastAsia="宋体" w:cs="宋体"/>
          <w:b/>
          <w:bCs/>
          <w:color w:val="auto"/>
          <w:sz w:val="28"/>
          <w:szCs w:val="28"/>
        </w:rPr>
        <w:t>交的截止时间</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20.1 供应商必须在</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要求提交</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的截止时间前</w:t>
      </w:r>
      <w:r>
        <w:rPr>
          <w:rFonts w:hint="eastAsia" w:ascii="宋体" w:hAnsi="宋体" w:eastAsia="宋体" w:cs="宋体"/>
          <w:color w:val="auto"/>
          <w:sz w:val="24"/>
          <w:szCs w:val="24"/>
          <w:lang w:val="en-US" w:eastAsia="zh-CN"/>
        </w:rPr>
        <w:t>提</w:t>
      </w:r>
      <w:r>
        <w:rPr>
          <w:rFonts w:hint="eastAsia" w:ascii="宋体" w:hAnsi="宋体" w:eastAsia="宋体" w:cs="宋体"/>
          <w:color w:val="auto"/>
          <w:sz w:val="24"/>
          <w:szCs w:val="24"/>
        </w:rPr>
        <w:t>交。</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 在</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要求提交</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的截止时间之后上传的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，为无效</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，采购人将不予接收。</w:t>
      </w:r>
    </w:p>
    <w:p>
      <w:pPr>
        <w:bidi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21  </w:t>
      </w:r>
      <w:r>
        <w:rPr>
          <w:rFonts w:hint="eastAsia" w:ascii="宋体" w:hAnsi="宋体" w:eastAsia="宋体" w:cs="宋体"/>
          <w:b/>
          <w:bCs/>
          <w:color w:val="auto"/>
          <w:sz w:val="28"/>
          <w:szCs w:val="28"/>
          <w:lang w:eastAsia="zh-CN"/>
        </w:rPr>
        <w:t>响应文件</w:t>
      </w:r>
      <w:r>
        <w:rPr>
          <w:rFonts w:hint="eastAsia" w:ascii="宋体" w:hAnsi="宋体" w:eastAsia="宋体" w:cs="宋体"/>
          <w:b/>
          <w:bCs/>
          <w:color w:val="auto"/>
          <w:sz w:val="28"/>
          <w:szCs w:val="28"/>
        </w:rPr>
        <w:t>的修改和撤回</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 供应商在投标截止时间前，可以对所</w:t>
      </w:r>
      <w:r>
        <w:rPr>
          <w:rFonts w:hint="eastAsia" w:ascii="宋体" w:hAnsi="宋体" w:eastAsia="宋体" w:cs="宋体"/>
          <w:color w:val="auto"/>
          <w:sz w:val="24"/>
          <w:szCs w:val="24"/>
          <w:lang w:val="en-US" w:eastAsia="zh-CN"/>
        </w:rPr>
        <w:t>提</w:t>
      </w:r>
      <w:r>
        <w:rPr>
          <w:rFonts w:hint="eastAsia" w:ascii="宋体" w:hAnsi="宋体" w:eastAsia="宋体" w:cs="宋体"/>
          <w:color w:val="auto"/>
          <w:sz w:val="24"/>
          <w:szCs w:val="24"/>
        </w:rPr>
        <w:t>交的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进行补充、修改或者撤回。补充、修改的内容应当按</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要求签署、盖章，并作为</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的组成部分。供应商对其</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进行的修改或撤回应在</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规定的投标截止时间前送达。</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21.2 供应商根据</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载明采购项目的实际情况，拟在中标后将中标项目的非主体、非关键性工作交由他人完成的，应当在</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中载明。</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21.3 投标截止时间后不得修改</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21.4 供应商不得在投标有效期</w:t>
      </w:r>
      <w:r>
        <w:rPr>
          <w:rFonts w:hint="eastAsia" w:ascii="宋体" w:hAnsi="宋体" w:eastAsia="宋体" w:cs="宋体"/>
          <w:color w:val="auto"/>
          <w:sz w:val="24"/>
          <w:szCs w:val="24"/>
          <w:lang w:val="en-US" w:eastAsia="zh-CN"/>
        </w:rPr>
        <w:t>内</w:t>
      </w:r>
      <w:r>
        <w:rPr>
          <w:rFonts w:hint="eastAsia" w:ascii="宋体" w:hAnsi="宋体" w:eastAsia="宋体" w:cs="宋体"/>
          <w:color w:val="auto"/>
          <w:sz w:val="24"/>
          <w:szCs w:val="24"/>
        </w:rPr>
        <w:t>撤销</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，否则采购人将不予退还其投标保证金。</w:t>
      </w:r>
      <w:bookmarkStart w:id="80" w:name="_Toc14795"/>
      <w:bookmarkStart w:id="81" w:name="_Toc10256"/>
      <w:bookmarkStart w:id="82" w:name="_Toc26952"/>
    </w:p>
    <w:p>
      <w:pPr>
        <w:pStyle w:val="6"/>
        <w:numPr>
          <w:ilvl w:val="0"/>
          <w:numId w:val="0"/>
        </w:numPr>
        <w:bidi w:val="0"/>
        <w:ind w:leftChars="0"/>
        <w:jc w:val="center"/>
        <w:rPr>
          <w:rFonts w:hint="eastAsia" w:ascii="宋体" w:hAnsi="宋体" w:eastAsia="宋体" w:cs="宋体"/>
        </w:rPr>
      </w:pPr>
      <w:bookmarkStart w:id="83" w:name="_Toc25534"/>
      <w:bookmarkStart w:id="84" w:name="_Toc12676"/>
      <w:bookmarkStart w:id="85" w:name="_Toc24323"/>
      <w:bookmarkStart w:id="86" w:name="_Toc30259"/>
      <w:bookmarkStart w:id="87" w:name="_Toc11186"/>
      <w:bookmarkStart w:id="88" w:name="_Toc18848"/>
      <w:bookmarkStart w:id="89" w:name="_Toc18583"/>
      <w:bookmarkStart w:id="90" w:name="_Toc21719"/>
      <w:bookmarkStart w:id="91" w:name="_Toc8730"/>
      <w:r>
        <w:rPr>
          <w:rFonts w:hint="eastAsia" w:ascii="宋体" w:hAnsi="宋体" w:eastAsia="宋体" w:cs="宋体"/>
        </w:rPr>
        <w:t>五、开   标</w:t>
      </w:r>
      <w:bookmarkEnd w:id="80"/>
      <w:bookmarkEnd w:id="81"/>
      <w:bookmarkEnd w:id="82"/>
      <w:bookmarkEnd w:id="83"/>
      <w:bookmarkEnd w:id="84"/>
      <w:bookmarkEnd w:id="85"/>
      <w:bookmarkEnd w:id="86"/>
      <w:bookmarkEnd w:id="87"/>
      <w:bookmarkEnd w:id="88"/>
      <w:bookmarkEnd w:id="89"/>
      <w:bookmarkEnd w:id="90"/>
      <w:bookmarkEnd w:id="91"/>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22  开标</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22.1 开标</w:t>
      </w:r>
      <w:r>
        <w:rPr>
          <w:rFonts w:hint="eastAsia" w:ascii="宋体" w:hAnsi="宋体" w:eastAsia="宋体" w:cs="宋体"/>
          <w:color w:val="auto"/>
          <w:sz w:val="24"/>
          <w:szCs w:val="24"/>
          <w:lang w:val="en-US" w:eastAsia="zh-CN"/>
        </w:rPr>
        <w:t>时间</w:t>
      </w:r>
      <w:r>
        <w:rPr>
          <w:rFonts w:hint="eastAsia" w:ascii="宋体" w:hAnsi="宋体" w:eastAsia="宋体" w:cs="宋体"/>
          <w:color w:val="auto"/>
          <w:sz w:val="24"/>
          <w:szCs w:val="24"/>
        </w:rPr>
        <w:t>为</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提交</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截止时间；开标地点为</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中预先确定的地点。</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22.2 采购代理机构主持，采购人和有关方面代表参加。投标供应商不足3家的，不得开标。</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22.3 开标方式：电子开评标</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22.3.1开标时间到达后，主持人</w:t>
      </w:r>
      <w:r>
        <w:rPr>
          <w:rFonts w:hint="eastAsia" w:ascii="宋体" w:hAnsi="宋体" w:eastAsia="宋体" w:cs="宋体"/>
          <w:color w:val="auto"/>
          <w:sz w:val="24"/>
          <w:szCs w:val="24"/>
          <w:lang w:val="en-US" w:eastAsia="zh-CN"/>
        </w:rPr>
        <w:t>开启解密标书后，供应商点击【CA解密】进行解密，超过解密时限，默认供应商自动放弃。解密成功的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的可继续进行开标。</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22.3.2 若</w:t>
      </w:r>
      <w:r>
        <w:rPr>
          <w:rFonts w:hint="eastAsia" w:ascii="宋体" w:hAnsi="宋体" w:eastAsia="宋体" w:cs="宋体"/>
          <w:color w:val="auto"/>
          <w:sz w:val="24"/>
          <w:szCs w:val="24"/>
          <w:lang w:val="en-US" w:eastAsia="zh-CN"/>
        </w:rPr>
        <w:t>提交</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家数少于三家或者开标后成功解密的家数少于三家的，将终止该</w:t>
      </w:r>
      <w:r>
        <w:rPr>
          <w:rFonts w:hint="eastAsia" w:ascii="宋体" w:hAnsi="宋体" w:eastAsia="宋体" w:cs="宋体"/>
          <w:color w:val="auto"/>
          <w:sz w:val="24"/>
          <w:szCs w:val="24"/>
          <w:lang w:val="en-US" w:eastAsia="zh-CN"/>
        </w:rPr>
        <w:t>项目（标项）</w:t>
      </w:r>
      <w:r>
        <w:rPr>
          <w:rFonts w:hint="eastAsia" w:ascii="宋体" w:hAnsi="宋体" w:eastAsia="宋体" w:cs="宋体"/>
          <w:color w:val="auto"/>
          <w:sz w:val="24"/>
          <w:szCs w:val="24"/>
        </w:rPr>
        <w:t xml:space="preserve">的开标。 </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22.4 </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报价出现前后不一致的，除</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另有规定外，按照下列规定修正：</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22.4.1</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中开标一览表（报价</w:t>
      </w:r>
      <w:r>
        <w:rPr>
          <w:rFonts w:hint="eastAsia" w:ascii="宋体" w:hAnsi="宋体" w:eastAsia="宋体" w:cs="宋体"/>
          <w:color w:val="auto"/>
          <w:sz w:val="24"/>
          <w:szCs w:val="24"/>
          <w:lang w:val="en-US" w:eastAsia="zh-CN"/>
        </w:rPr>
        <w:t>一览</w:t>
      </w:r>
      <w:r>
        <w:rPr>
          <w:rFonts w:hint="eastAsia" w:ascii="宋体" w:hAnsi="宋体" w:eastAsia="宋体" w:cs="宋体"/>
          <w:color w:val="auto"/>
          <w:sz w:val="24"/>
          <w:szCs w:val="24"/>
        </w:rPr>
        <w:t>表）内容与</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中相应内容不一致的，以开标一览表（报价</w:t>
      </w:r>
      <w:r>
        <w:rPr>
          <w:rFonts w:hint="eastAsia" w:ascii="宋体" w:hAnsi="宋体" w:eastAsia="宋体" w:cs="宋体"/>
          <w:color w:val="auto"/>
          <w:sz w:val="24"/>
          <w:szCs w:val="24"/>
          <w:lang w:val="en-US" w:eastAsia="zh-CN"/>
        </w:rPr>
        <w:t>一览</w:t>
      </w:r>
      <w:r>
        <w:rPr>
          <w:rFonts w:hint="eastAsia" w:ascii="宋体" w:hAnsi="宋体" w:eastAsia="宋体" w:cs="宋体"/>
          <w:color w:val="auto"/>
          <w:sz w:val="24"/>
          <w:szCs w:val="24"/>
        </w:rPr>
        <w:t>表）为准；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22.4.2</w:t>
      </w:r>
      <w:r>
        <w:rPr>
          <w:rFonts w:hint="eastAsia" w:ascii="宋体" w:hAnsi="宋体" w:eastAsia="宋体" w:cs="宋体"/>
          <w:color w:val="auto"/>
          <w:sz w:val="24"/>
          <w:szCs w:val="24"/>
        </w:rPr>
        <w:t>大写金额和小写金额不一致的，以大写金额为准；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22.4.3</w:t>
      </w:r>
      <w:r>
        <w:rPr>
          <w:rFonts w:hint="eastAsia" w:ascii="宋体" w:hAnsi="宋体" w:eastAsia="宋体" w:cs="宋体"/>
          <w:color w:val="auto"/>
          <w:sz w:val="24"/>
          <w:szCs w:val="24"/>
        </w:rPr>
        <w:t>单价金额小数点或者百分比有明显错位的，以开标一览表（报价</w:t>
      </w:r>
      <w:r>
        <w:rPr>
          <w:rFonts w:hint="eastAsia" w:ascii="宋体" w:hAnsi="宋体" w:eastAsia="宋体" w:cs="宋体"/>
          <w:color w:val="auto"/>
          <w:sz w:val="24"/>
          <w:szCs w:val="24"/>
          <w:lang w:val="en-US" w:eastAsia="zh-CN"/>
        </w:rPr>
        <w:t>一览</w:t>
      </w:r>
      <w:r>
        <w:rPr>
          <w:rFonts w:hint="eastAsia" w:ascii="宋体" w:hAnsi="宋体" w:eastAsia="宋体" w:cs="宋体"/>
          <w:color w:val="auto"/>
          <w:sz w:val="24"/>
          <w:szCs w:val="24"/>
        </w:rPr>
        <w:t>表）的总价为准，并修改单价；</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22.4.4</w:t>
      </w:r>
      <w:r>
        <w:rPr>
          <w:rFonts w:hint="eastAsia" w:ascii="宋体" w:hAnsi="宋体" w:eastAsia="宋体" w:cs="宋体"/>
          <w:color w:val="auto"/>
          <w:sz w:val="24"/>
          <w:szCs w:val="24"/>
        </w:rPr>
        <w:t>总价金额与按单价汇总金额不一致的，以单价金额计算结果为准。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22.4.5</w:t>
      </w:r>
      <w:r>
        <w:rPr>
          <w:rFonts w:hint="eastAsia" w:ascii="宋体" w:hAnsi="宋体" w:eastAsia="宋体" w:cs="宋体"/>
          <w:color w:val="auto"/>
          <w:sz w:val="24"/>
          <w:szCs w:val="24"/>
        </w:rPr>
        <w:t>对不同文字文本</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的解释发生异议的，以中文文本为准。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22.5 对未按照本</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要求进行投标及资格审查不合格的供应商，其</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将按无效投标处理。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22.6 供应商之间不得相互串通投标报价，不得妨碍其他供应商的公平竞争，不得损害采购人或者其他供应商的合法权益。</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22.7 供应商不得向采购人、</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成员行贿或者采取其他不正当手段谋取中标。</w:t>
      </w:r>
    </w:p>
    <w:p>
      <w:pPr>
        <w:pStyle w:val="6"/>
        <w:numPr>
          <w:ilvl w:val="0"/>
          <w:numId w:val="0"/>
        </w:numPr>
        <w:bidi w:val="0"/>
        <w:ind w:leftChars="0"/>
        <w:jc w:val="center"/>
        <w:rPr>
          <w:rFonts w:hint="eastAsia" w:ascii="宋体" w:hAnsi="宋体" w:eastAsia="宋体" w:cs="宋体"/>
        </w:rPr>
      </w:pPr>
      <w:bookmarkStart w:id="92" w:name="_Toc6415"/>
      <w:bookmarkStart w:id="93" w:name="_Toc32611"/>
      <w:bookmarkStart w:id="94" w:name="_Toc29037"/>
      <w:bookmarkStart w:id="95" w:name="_Toc24841"/>
      <w:bookmarkStart w:id="96" w:name="_Toc27665"/>
      <w:bookmarkStart w:id="97" w:name="_Toc16195"/>
      <w:bookmarkStart w:id="98" w:name="_Toc17564"/>
      <w:bookmarkStart w:id="99" w:name="_Toc12203"/>
      <w:bookmarkStart w:id="100" w:name="_Toc4557"/>
      <w:bookmarkStart w:id="101" w:name="_Toc10859"/>
      <w:bookmarkStart w:id="102" w:name="_Toc28173"/>
      <w:bookmarkStart w:id="103" w:name="_Toc16901"/>
      <w:r>
        <w:rPr>
          <w:rFonts w:hint="eastAsia" w:ascii="宋体" w:hAnsi="宋体" w:eastAsia="宋体" w:cs="宋体"/>
        </w:rPr>
        <w:t>六、 评标、定标</w:t>
      </w:r>
      <w:bookmarkEnd w:id="92"/>
      <w:bookmarkEnd w:id="93"/>
      <w:bookmarkEnd w:id="94"/>
      <w:bookmarkEnd w:id="95"/>
      <w:bookmarkEnd w:id="96"/>
      <w:bookmarkEnd w:id="97"/>
      <w:bookmarkEnd w:id="98"/>
      <w:bookmarkEnd w:id="99"/>
      <w:bookmarkEnd w:id="100"/>
      <w:bookmarkEnd w:id="101"/>
      <w:bookmarkEnd w:id="102"/>
      <w:bookmarkEnd w:id="103"/>
    </w:p>
    <w:p>
      <w:pPr>
        <w:bidi w:val="0"/>
        <w:spacing w:line="360" w:lineRule="auto"/>
        <w:rPr>
          <w:rFonts w:hint="eastAsia" w:ascii="宋体" w:hAnsi="宋体" w:eastAsia="宋体" w:cs="宋体"/>
          <w:b/>
          <w:bCs/>
          <w:color w:val="auto"/>
          <w:sz w:val="28"/>
          <w:szCs w:val="28"/>
        </w:rPr>
      </w:pPr>
      <w:bookmarkStart w:id="104" w:name="OLE_LINK1"/>
      <w:r>
        <w:rPr>
          <w:rFonts w:hint="eastAsia" w:ascii="宋体" w:hAnsi="宋体" w:eastAsia="宋体" w:cs="宋体"/>
          <w:b/>
          <w:bCs/>
          <w:color w:val="auto"/>
          <w:sz w:val="28"/>
          <w:szCs w:val="28"/>
        </w:rPr>
        <w:t>23  评标</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23.1</w:t>
      </w:r>
      <w:r>
        <w:rPr>
          <w:rFonts w:hint="eastAsia" w:ascii="宋体" w:hAnsi="宋体" w:eastAsia="宋体" w:cs="宋体"/>
          <w:color w:val="auto"/>
          <w:sz w:val="24"/>
          <w:szCs w:val="24"/>
          <w:lang w:eastAsia="zh-CN"/>
        </w:rPr>
        <w:t>磋商小组</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23.1.1 磋商小组由采购人代表和评审专家组成，成员人数应当为</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人以上单数，其中评审专家不得少于成员总数的三分之二。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23.1.2 </w:t>
      </w:r>
      <w:r>
        <w:rPr>
          <w:rFonts w:hint="eastAsia" w:ascii="宋体" w:hAnsi="宋体" w:eastAsia="宋体" w:cs="宋体"/>
          <w:color w:val="auto"/>
          <w:sz w:val="24"/>
          <w:szCs w:val="24"/>
          <w:lang w:eastAsia="zh-CN"/>
        </w:rPr>
        <w:t>评审专家对本单位的采购项目只能作为采购人代表参与评标。</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23.1.</w:t>
      </w: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采购人就</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征询过意见的专家，不得再作为评</w:t>
      </w:r>
      <w:r>
        <w:rPr>
          <w:rFonts w:hint="eastAsia" w:ascii="宋体" w:hAnsi="宋体" w:eastAsia="宋体" w:cs="宋体"/>
          <w:color w:val="auto"/>
          <w:sz w:val="24"/>
          <w:szCs w:val="24"/>
          <w:lang w:val="en-US" w:eastAsia="zh-CN"/>
        </w:rPr>
        <w:t>审</w:t>
      </w:r>
      <w:r>
        <w:rPr>
          <w:rFonts w:hint="eastAsia" w:ascii="宋体" w:hAnsi="宋体" w:eastAsia="宋体" w:cs="宋体"/>
          <w:color w:val="auto"/>
          <w:sz w:val="24"/>
          <w:szCs w:val="24"/>
        </w:rPr>
        <w:t>专家参加评标。采购代理机构工作人员不得参加由本机构代理的政府采购项目的评标。</w:t>
      </w:r>
    </w:p>
    <w:p>
      <w:pPr>
        <w:bidi w:val="0"/>
        <w:spacing w:line="360" w:lineRule="auto"/>
        <w:ind w:firstLine="564" w:firstLineChars="200"/>
        <w:rPr>
          <w:rFonts w:hint="eastAsia" w:ascii="宋体" w:hAnsi="宋体" w:eastAsia="宋体" w:cs="宋体"/>
          <w:color w:val="auto"/>
          <w:sz w:val="28"/>
          <w:szCs w:val="28"/>
        </w:rPr>
      </w:pPr>
      <w:r>
        <w:rPr>
          <w:rFonts w:hint="eastAsia" w:ascii="宋体" w:hAnsi="宋体" w:eastAsia="宋体" w:cs="宋体"/>
          <w:b/>
          <w:bCs/>
          <w:color w:val="auto"/>
          <w:sz w:val="28"/>
          <w:szCs w:val="28"/>
        </w:rPr>
        <w:t>23.1.</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 xml:space="preserve"> 采购人委托代表参加</w:t>
      </w:r>
      <w:r>
        <w:rPr>
          <w:rFonts w:hint="eastAsia" w:ascii="宋体" w:hAnsi="宋体" w:eastAsia="宋体" w:cs="宋体"/>
          <w:b/>
          <w:bCs/>
          <w:color w:val="auto"/>
          <w:sz w:val="28"/>
          <w:szCs w:val="28"/>
          <w:lang w:val="en-US" w:eastAsia="zh-CN"/>
        </w:rPr>
        <w:t>评审的</w:t>
      </w:r>
      <w:r>
        <w:rPr>
          <w:rFonts w:hint="eastAsia" w:ascii="宋体" w:hAnsi="宋体" w:eastAsia="宋体" w:cs="宋体"/>
          <w:b/>
          <w:bCs/>
          <w:color w:val="auto"/>
          <w:sz w:val="28"/>
          <w:szCs w:val="28"/>
        </w:rPr>
        <w:t>，向采购代理机构出具授权</w:t>
      </w:r>
      <w:r>
        <w:rPr>
          <w:rFonts w:hint="eastAsia" w:ascii="宋体" w:hAnsi="宋体" w:eastAsia="宋体" w:cs="宋体"/>
          <w:b/>
          <w:bCs/>
          <w:color w:val="auto"/>
          <w:sz w:val="28"/>
          <w:szCs w:val="28"/>
          <w:lang w:val="en-US" w:eastAsia="zh-CN"/>
        </w:rPr>
        <w:t>函</w:t>
      </w:r>
      <w:r>
        <w:rPr>
          <w:rFonts w:hint="eastAsia" w:ascii="宋体" w:hAnsi="宋体" w:eastAsia="宋体" w:cs="宋体"/>
          <w:b/>
          <w:bCs/>
          <w:color w:val="auto"/>
          <w:sz w:val="28"/>
          <w:szCs w:val="28"/>
        </w:rPr>
        <w:t>，采购人代表不得担任</w:t>
      </w:r>
      <w:r>
        <w:rPr>
          <w:rFonts w:hint="eastAsia" w:ascii="宋体" w:hAnsi="宋体" w:eastAsia="宋体" w:cs="宋体"/>
          <w:b/>
          <w:bCs/>
          <w:color w:val="auto"/>
          <w:sz w:val="28"/>
          <w:szCs w:val="28"/>
          <w:lang w:eastAsia="zh-CN"/>
        </w:rPr>
        <w:t>磋商小组</w:t>
      </w:r>
      <w:r>
        <w:rPr>
          <w:rFonts w:hint="eastAsia" w:ascii="宋体" w:hAnsi="宋体" w:eastAsia="宋体" w:cs="宋体"/>
          <w:b/>
          <w:bCs/>
          <w:color w:val="auto"/>
          <w:sz w:val="28"/>
          <w:szCs w:val="28"/>
          <w:lang w:val="en-US" w:eastAsia="zh-CN"/>
        </w:rPr>
        <w:t>组长</w:t>
      </w:r>
      <w:r>
        <w:rPr>
          <w:rFonts w:hint="eastAsia" w:ascii="宋体" w:hAnsi="宋体" w:eastAsia="宋体" w:cs="宋体"/>
          <w:b/>
          <w:bCs/>
          <w:color w:val="auto"/>
          <w:sz w:val="28"/>
          <w:szCs w:val="28"/>
        </w:rPr>
        <w:t>。</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23.1.5 评审专家</w:t>
      </w:r>
      <w:r>
        <w:rPr>
          <w:rFonts w:hint="eastAsia" w:ascii="宋体" w:hAnsi="宋体" w:eastAsia="宋体" w:cs="宋体"/>
          <w:color w:val="auto"/>
          <w:sz w:val="24"/>
          <w:szCs w:val="24"/>
        </w:rPr>
        <w:t>由</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代理在政采云评审专家库中，通过随机方式抽取</w:t>
      </w:r>
      <w:r>
        <w:rPr>
          <w:rFonts w:hint="eastAsia" w:ascii="宋体" w:hAnsi="宋体" w:eastAsia="宋体" w:cs="宋体"/>
          <w:color w:val="auto"/>
          <w:sz w:val="24"/>
          <w:szCs w:val="24"/>
          <w:lang w:eastAsia="zh-CN"/>
        </w:rPr>
        <w:t>，磋商小组成员名单在评标结果公告前应当保密。</w:t>
      </w:r>
      <w:r>
        <w:rPr>
          <w:rFonts w:hint="eastAsia" w:ascii="宋体" w:hAnsi="宋体" w:eastAsia="宋体" w:cs="宋体"/>
          <w:color w:val="auto"/>
          <w:sz w:val="24"/>
          <w:szCs w:val="24"/>
        </w:rPr>
        <w:t xml:space="preserve"> </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4"/>
        </w:rPr>
        <w:t>成员应认真执行相关法规规定，同时维护采购人与供应商的合法权益。</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23.1.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 评标的依据为</w:t>
      </w:r>
      <w:r>
        <w:rPr>
          <w:rFonts w:hint="eastAsia" w:ascii="宋体" w:hAnsi="宋体" w:eastAsia="宋体" w:cs="宋体"/>
          <w:color w:val="auto"/>
          <w:sz w:val="24"/>
          <w:szCs w:val="24"/>
          <w:lang w:val="en-US" w:eastAsia="zh-CN"/>
        </w:rPr>
        <w:t>竞争性磋商</w:t>
      </w:r>
      <w:r>
        <w:rPr>
          <w:rFonts w:hint="eastAsia" w:ascii="宋体" w:hAnsi="宋体" w:eastAsia="宋体" w:cs="宋体"/>
          <w:color w:val="auto"/>
          <w:sz w:val="24"/>
          <w:szCs w:val="24"/>
        </w:rPr>
        <w:t>文件和</w:t>
      </w:r>
      <w:r>
        <w:rPr>
          <w:rFonts w:hint="eastAsia" w:ascii="宋体" w:hAnsi="宋体" w:eastAsia="宋体" w:cs="宋体"/>
          <w:color w:val="auto"/>
          <w:sz w:val="24"/>
          <w:szCs w:val="24"/>
          <w:lang w:eastAsia="zh-CN"/>
        </w:rPr>
        <w:t>响应文件。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23.1.6 评标中</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成员若发生意见分歧，通过书面表决形式，以少数服从多数为原则决定。</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23.2 评标纪律</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23.2.1 </w:t>
      </w:r>
      <w:r>
        <w:rPr>
          <w:rFonts w:hint="eastAsia" w:ascii="宋体" w:hAnsi="宋体" w:eastAsia="宋体" w:cs="宋体"/>
          <w:color w:val="auto"/>
          <w:sz w:val="24"/>
          <w:szCs w:val="24"/>
        </w:rPr>
        <w:t>要严格遵守评审时间，主动出具身份证明，遵守评审工作纪律和评审回避的相关规定。</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23.2.2 </w:t>
      </w:r>
      <w:r>
        <w:rPr>
          <w:rFonts w:hint="eastAsia" w:ascii="宋体" w:hAnsi="宋体" w:eastAsia="宋体" w:cs="宋体"/>
          <w:color w:val="auto"/>
          <w:sz w:val="24"/>
          <w:szCs w:val="24"/>
        </w:rPr>
        <w:t>在评审工作开始前，将手机等通讯工具或相关电子设备交由采购人或采购代理机构统一保管，拒不上交的，采购人或采购代理机构可以拒绝其参加评审工作并向财政部门报告。</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23.2.3 </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成员和评审工作有关人员不得干预或者影响正常评审工作，不得明示或者暗示其倾向性、引导性意见，不得修改或细化采购文件确定的评审程序、评审方法、评审因素和评审标准，不得接受供应商主动提出的澄清和解释，不得征询采购人代表的倾向性意见，不得协商评分，不得记录、复制或带走任何评审资料。</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23.2.4 </w:t>
      </w:r>
      <w:r>
        <w:rPr>
          <w:rFonts w:hint="eastAsia" w:ascii="宋体" w:hAnsi="宋体" w:eastAsia="宋体" w:cs="宋体"/>
          <w:color w:val="auto"/>
          <w:sz w:val="24"/>
          <w:szCs w:val="24"/>
        </w:rPr>
        <w:t>评审结果汇总完成后，采购人、采购代理机构和</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均不得修改评审结果或者要求重新评审，但资格性检查认定错误、分值汇总计算错误、分项评分超出评分标准范围、客观分评分不一致、经</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一致认定评分畸高、畸低的情形除外。出现上述除外情形的，</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应当现场修改评审结果，并在评审报告中明确记载。</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23.3 </w:t>
      </w:r>
      <w:r>
        <w:rPr>
          <w:rFonts w:hint="eastAsia" w:ascii="宋体" w:hAnsi="宋体" w:eastAsia="宋体" w:cs="宋体"/>
          <w:color w:val="auto"/>
          <w:sz w:val="24"/>
          <w:szCs w:val="24"/>
          <w:lang w:val="en-US" w:eastAsia="zh-CN"/>
        </w:rPr>
        <w:t>磋商小组负责具体评标事务，并独立履行下列职责：</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23.3.1 审查、评价响应文件是否符合竞争性磋商文件的商务、技术等实质性要求；</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23.3.2 要求供应商对响应文件有关事项作出澄清或者说明；</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23.3.3 对响应文件进行比较和评价；</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23.3.4 确定中标候选人名单，以及根据采购人委托直接确定中标人；</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23.3.5 向采购人、采购代理机构或者有关部门报告评标中发现的违法行为。</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 磋商小组成员应当履行下列义务： </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23.4.1 遵纪守法，客观、公正、廉洁地履行职责；</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23.4.2 按照竞争性磋商文件规定的评标方法和评标标准进行评标，对评审意见承担个人责任；</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23.4.3 对评标过程和结果，以及供应商的商业秘密保密；</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23.4.4 参与评标报告的起草；</w:t>
      </w:r>
    </w:p>
    <w:p>
      <w:pPr>
        <w:bidi w:val="0"/>
        <w:spacing w:line="360" w:lineRule="auto"/>
        <w:ind w:firstLine="484"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23.4.5 配合财政部门的投诉处理工作；</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23.4.6 配合采购人答复投标供应商提出的质疑。</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24  评标原则</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24.1 评审专家应当严格遵守评审工作纪律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按照客观、公正、审慎的原则，根据磋商文件规定的评审程序、评审方法和评审标准进行独立评审。未实质性响应磋商文件的响应文件按无效响应处理，评审专家应当告知提交响应文件的供应商。磋商文件内容违反国家有关强制性规定的，磋商小组应当停止评审并向采购人或者采购代理机构说明情况。</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24.2 评审专家应当在评审报告上签字,对自己的评审意见承担法律责任。对需要共同认定的事项存在争议的,按照少数服从多数的原则做出结论。对评审报告有异议的,应当在评审报告上签署不同意见并说明理由,否则视为同意评审报告。</w:t>
      </w:r>
    </w:p>
    <w:p>
      <w:pPr>
        <w:pStyle w:val="24"/>
        <w:spacing w:line="360" w:lineRule="auto"/>
        <w:jc w:val="both"/>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25 详细评审 </w:t>
      </w:r>
    </w:p>
    <w:p>
      <w:pPr>
        <w:tabs>
          <w:tab w:val="left" w:pos="567"/>
        </w:tabs>
        <w:snapToGrid w:val="0"/>
        <w:spacing w:line="360" w:lineRule="auto"/>
        <w:ind w:firstLine="564"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25.1 首次报价</w:t>
      </w:r>
    </w:p>
    <w:p>
      <w:pPr>
        <w:tabs>
          <w:tab w:val="left" w:pos="567"/>
        </w:tabs>
        <w:snapToGrid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供应商的首次报价于提交首次响应文件截止时间开启，本环节由采购代理机构主持，采购人和有关方面代表参加。</w:t>
      </w:r>
    </w:p>
    <w:p>
      <w:pPr>
        <w:tabs>
          <w:tab w:val="left" w:pos="567"/>
        </w:tabs>
        <w:snapToGrid w:val="0"/>
        <w:spacing w:line="360" w:lineRule="auto"/>
        <w:ind w:firstLine="484"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25.</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 xml:space="preserve"> 评审方法：综合评分法。</w:t>
      </w:r>
    </w:p>
    <w:p>
      <w:pPr>
        <w:tabs>
          <w:tab w:val="left" w:pos="567"/>
        </w:tabs>
        <w:snapToGrid w:val="0"/>
        <w:spacing w:line="360" w:lineRule="auto"/>
        <w:ind w:firstLine="484" w:firstLineChars="200"/>
        <w:rPr>
          <w:rFonts w:hint="eastAsia" w:ascii="宋体" w:hAnsi="宋体" w:eastAsia="宋体" w:cs="宋体"/>
          <w:color w:val="auto"/>
          <w:sz w:val="24"/>
          <w:szCs w:val="24"/>
          <w:lang w:eastAsia="zh-TW"/>
        </w:rPr>
      </w:pPr>
      <w:r>
        <w:rPr>
          <w:rFonts w:hint="eastAsia" w:ascii="宋体" w:hAnsi="宋体" w:eastAsia="宋体" w:cs="宋体"/>
          <w:b/>
          <w:color w:val="auto"/>
          <w:sz w:val="24"/>
          <w:szCs w:val="24"/>
        </w:rPr>
        <w:t>25.</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 xml:space="preserve"> 评审程序</w:t>
      </w:r>
    </w:p>
    <w:p>
      <w:pPr>
        <w:tabs>
          <w:tab w:val="left" w:pos="567"/>
        </w:tabs>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25.</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.1 磋商小组确认磋商文件</w:t>
      </w:r>
    </w:p>
    <w:p>
      <w:pPr>
        <w:tabs>
          <w:tab w:val="left" w:pos="567"/>
        </w:tabs>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25.3.2 </w:t>
      </w:r>
      <w:r>
        <w:rPr>
          <w:rFonts w:hint="eastAsia" w:ascii="宋体" w:hAnsi="宋体" w:eastAsia="宋体" w:cs="宋体"/>
          <w:bCs/>
          <w:color w:val="auto"/>
          <w:sz w:val="24"/>
          <w:szCs w:val="24"/>
        </w:rPr>
        <w:t>资格性</w:t>
      </w:r>
      <w:r>
        <w:rPr>
          <w:rFonts w:hint="eastAsia" w:ascii="宋体" w:hAnsi="宋体" w:eastAsia="宋体" w:cs="宋体"/>
          <w:bCs/>
          <w:color w:val="auto"/>
          <w:sz w:val="24"/>
          <w:szCs w:val="24"/>
          <w:lang w:eastAsia="zh-CN"/>
        </w:rPr>
        <w:t>和符合性</w:t>
      </w:r>
      <w:r>
        <w:rPr>
          <w:rFonts w:hint="eastAsia" w:ascii="宋体" w:hAnsi="宋体" w:eastAsia="宋体" w:cs="宋体"/>
          <w:bCs/>
          <w:color w:val="auto"/>
          <w:sz w:val="24"/>
          <w:szCs w:val="24"/>
        </w:rPr>
        <w:t>审查</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磋商小组对每个供应商的响应文件进行资格</w:t>
      </w:r>
      <w:r>
        <w:rPr>
          <w:rFonts w:hint="eastAsia" w:ascii="宋体" w:hAnsi="宋体" w:eastAsia="宋体" w:cs="宋体"/>
          <w:bCs/>
          <w:color w:val="auto"/>
          <w:sz w:val="24"/>
          <w:szCs w:val="24"/>
          <w:lang w:eastAsia="zh-CN"/>
        </w:rPr>
        <w:t>和</w:t>
      </w:r>
      <w:r>
        <w:rPr>
          <w:rFonts w:hint="eastAsia" w:ascii="宋体" w:hAnsi="宋体" w:eastAsia="宋体" w:cs="宋体"/>
          <w:bCs/>
          <w:color w:val="auto"/>
          <w:sz w:val="24"/>
          <w:szCs w:val="24"/>
        </w:rPr>
        <w:t>符合性审查。资格</w:t>
      </w:r>
      <w:r>
        <w:rPr>
          <w:rFonts w:hint="eastAsia" w:ascii="宋体" w:hAnsi="宋体" w:eastAsia="宋体" w:cs="宋体"/>
          <w:bCs/>
          <w:color w:val="auto"/>
          <w:sz w:val="24"/>
          <w:szCs w:val="24"/>
          <w:lang w:eastAsia="zh-CN"/>
        </w:rPr>
        <w:t>性审查</w:t>
      </w:r>
      <w:r>
        <w:rPr>
          <w:rFonts w:hint="eastAsia" w:ascii="宋体" w:hAnsi="宋体" w:eastAsia="宋体" w:cs="宋体"/>
          <w:bCs/>
          <w:color w:val="auto"/>
          <w:sz w:val="24"/>
          <w:szCs w:val="24"/>
        </w:rPr>
        <w:t>、符合性审查是审查响应文件是否对磋商文件的资格及实质性条款作出响应。对资格</w:t>
      </w:r>
      <w:r>
        <w:rPr>
          <w:rFonts w:hint="eastAsia" w:ascii="宋体" w:hAnsi="宋体" w:eastAsia="宋体" w:cs="宋体"/>
          <w:bCs/>
          <w:color w:val="auto"/>
          <w:sz w:val="24"/>
          <w:szCs w:val="24"/>
          <w:lang w:eastAsia="zh-CN"/>
        </w:rPr>
        <w:t>和</w:t>
      </w:r>
      <w:r>
        <w:rPr>
          <w:rFonts w:hint="eastAsia" w:ascii="宋体" w:hAnsi="宋体" w:eastAsia="宋体" w:cs="宋体"/>
          <w:bCs/>
          <w:color w:val="auto"/>
          <w:sz w:val="24"/>
          <w:szCs w:val="24"/>
        </w:rPr>
        <w:t>符合性审查不通过的供应商，其响应文件作无效处理。</w:t>
      </w:r>
    </w:p>
    <w:p>
      <w:pPr>
        <w:tabs>
          <w:tab w:val="left" w:pos="567"/>
        </w:tabs>
        <w:snapToGrid w:val="0"/>
        <w:spacing w:line="360" w:lineRule="auto"/>
        <w:ind w:firstLine="484"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25.</w:t>
      </w:r>
      <w:r>
        <w:rPr>
          <w:rFonts w:hint="eastAsia" w:ascii="宋体" w:hAnsi="宋体" w:eastAsia="宋体" w:cs="宋体"/>
          <w:b/>
          <w:bCs w:val="0"/>
          <w:color w:val="auto"/>
          <w:sz w:val="24"/>
          <w:szCs w:val="24"/>
          <w:lang w:val="en-US" w:eastAsia="zh-CN"/>
        </w:rPr>
        <w:t>4</w:t>
      </w:r>
      <w:r>
        <w:rPr>
          <w:rFonts w:hint="eastAsia" w:ascii="宋体" w:hAnsi="宋体" w:eastAsia="宋体" w:cs="宋体"/>
          <w:b/>
          <w:bCs w:val="0"/>
          <w:color w:val="auto"/>
          <w:sz w:val="24"/>
          <w:szCs w:val="24"/>
        </w:rPr>
        <w:t xml:space="preserve"> 磋商</w:t>
      </w:r>
    </w:p>
    <w:p>
      <w:pPr>
        <w:snapToGrid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25.4.1 </w:t>
      </w:r>
      <w:r>
        <w:rPr>
          <w:rFonts w:hint="eastAsia" w:ascii="宋体" w:hAnsi="宋体" w:eastAsia="宋体" w:cs="宋体"/>
          <w:color w:val="auto"/>
          <w:sz w:val="24"/>
          <w:szCs w:val="24"/>
        </w:rPr>
        <w:t>磋商小组与每个供应商分别进行磋商，本次磋商采用</w:t>
      </w:r>
      <w:r>
        <w:rPr>
          <w:rFonts w:hint="eastAsia" w:ascii="宋体" w:hAnsi="宋体" w:eastAsia="宋体" w:cs="宋体"/>
          <w:color w:val="auto"/>
          <w:sz w:val="24"/>
          <w:szCs w:val="24"/>
          <w:lang w:eastAsia="zh-CN"/>
        </w:rPr>
        <w:t>多</w:t>
      </w:r>
      <w:r>
        <w:rPr>
          <w:rFonts w:hint="eastAsia" w:ascii="宋体" w:hAnsi="宋体" w:eastAsia="宋体" w:cs="宋体"/>
          <w:color w:val="auto"/>
          <w:sz w:val="24"/>
          <w:szCs w:val="24"/>
        </w:rPr>
        <w:t>轮磋商，</w:t>
      </w:r>
      <w:r>
        <w:rPr>
          <w:rFonts w:hint="eastAsia" w:ascii="宋体" w:hAnsi="宋体" w:eastAsia="宋体" w:cs="宋体"/>
          <w:color w:val="auto"/>
          <w:sz w:val="24"/>
          <w:szCs w:val="24"/>
          <w:lang w:eastAsia="zh-CN"/>
        </w:rPr>
        <w:t>多次</w:t>
      </w:r>
      <w:r>
        <w:rPr>
          <w:rFonts w:hint="eastAsia" w:ascii="宋体" w:hAnsi="宋体" w:eastAsia="宋体" w:cs="宋体"/>
          <w:color w:val="auto"/>
          <w:sz w:val="24"/>
          <w:szCs w:val="24"/>
        </w:rPr>
        <w:t>报价形式进行。</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25.</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 xml:space="preserve"> 磋商文件未发生实质性变动的：</w:t>
      </w:r>
    </w:p>
    <w:p>
      <w:pPr>
        <w:snapToGrid w:val="0"/>
        <w:spacing w:line="360" w:lineRule="auto"/>
        <w:ind w:firstLine="484"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磋商小组没有对磋商文件作实质性变动增加新的需求，后一轮报价不得高于前一轮报价，否则将按响应无效处理。</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25.</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 xml:space="preserve">3 </w:t>
      </w:r>
      <w:r>
        <w:rPr>
          <w:rFonts w:hint="eastAsia" w:ascii="宋体" w:hAnsi="宋体" w:eastAsia="宋体" w:cs="宋体"/>
          <w:bCs/>
          <w:color w:val="auto"/>
          <w:sz w:val="24"/>
          <w:szCs w:val="24"/>
        </w:rPr>
        <w:t>磋商文件发生实质性变动的：</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（1）书面通知变更内容</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实质性变动的内容，经采购人代表确认后，由磋商小组在政采云平台在线询标（谈判）--新增询标函方式通知所有供应商。对磋商文件作出的实质性变动是磋商文件的有效组成部分。</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（2）磋商</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磋商小组集中与接受磋商文件变更的每个供应商分别进行询标。磋商的内容主要是对响应文件的澄清、修正、补充、确认等。不接受磋商文件变更的供应商，视为自动退出磋商，其响应文件作无效处理。</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（3）重新提交响应文件（含报价）</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当按照磋商文件的变动情况和磋商小组的要求重新提交响应文件（指磋商结束后，在规定时间内填写《询标函》，在该文件上注明最后报价及有关承诺，并提交）。最终报价时间视磋商进程由磋商小组决定。《询标函》是响应文件的有效组成部分，须由供应商签章。</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若供应商未按《询标函》的要求对相关问题进行响应的，视为非实质性响应磋商文件。</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除非在磋商中磋商小组调整或修改采购需求内容，否则采购人不接受高于前面轮次磋商报价的最终报价。</w:t>
      </w:r>
    </w:p>
    <w:p>
      <w:pPr>
        <w:snapToGrid w:val="0"/>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25.</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 xml:space="preserve"> 综合评分法评审步骤</w:t>
      </w:r>
    </w:p>
    <w:p>
      <w:pPr>
        <w:snapToGrid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经磋商确定最终采购需求和提交最后</w:t>
      </w:r>
      <w:r>
        <w:rPr>
          <w:rFonts w:hint="eastAsia" w:ascii="宋体" w:hAnsi="宋体" w:eastAsia="宋体" w:cs="宋体"/>
          <w:color w:val="auto"/>
          <w:sz w:val="24"/>
          <w:szCs w:val="24"/>
        </w:rPr>
        <w:t>报价的供应商后，由磋商小组采用综合评分法对提交最后报价的供应商的响应文件和最后报价进行综合评分。</w:t>
      </w:r>
      <w:r>
        <w:rPr>
          <w:rFonts w:hint="eastAsia" w:ascii="宋体" w:hAnsi="宋体" w:eastAsia="宋体" w:cs="宋体"/>
          <w:b/>
          <w:color w:val="auto"/>
          <w:sz w:val="24"/>
          <w:szCs w:val="24"/>
        </w:rPr>
        <w:t>先进行资格性审查</w:t>
      </w:r>
      <w:r>
        <w:rPr>
          <w:rFonts w:hint="eastAsia" w:ascii="宋体" w:hAnsi="宋体" w:eastAsia="宋体" w:cs="宋体"/>
          <w:b/>
          <w:color w:val="auto"/>
          <w:sz w:val="24"/>
          <w:szCs w:val="24"/>
          <w:lang w:eastAsia="zh-CN"/>
        </w:rPr>
        <w:t>和</w:t>
      </w:r>
      <w:r>
        <w:rPr>
          <w:rFonts w:hint="eastAsia" w:ascii="宋体" w:hAnsi="宋体" w:eastAsia="宋体" w:cs="宋体"/>
          <w:b/>
          <w:color w:val="auto"/>
          <w:sz w:val="24"/>
          <w:szCs w:val="24"/>
        </w:rPr>
        <w:t>符合性审查，再进行技术、商务及价格的详细评审。</w:t>
      </w:r>
      <w:r>
        <w:rPr>
          <w:rFonts w:hint="eastAsia" w:ascii="宋体" w:hAnsi="宋体" w:eastAsia="宋体" w:cs="宋体"/>
          <w:color w:val="auto"/>
          <w:sz w:val="24"/>
          <w:szCs w:val="24"/>
        </w:rPr>
        <w:t>只有通过资格、符合性审查的供应商才能进入下一步的详细评审。</w:t>
      </w:r>
    </w:p>
    <w:p>
      <w:pPr>
        <w:numPr>
          <w:ilvl w:val="1"/>
          <w:numId w:val="4"/>
        </w:numPr>
        <w:spacing w:line="360" w:lineRule="auto"/>
        <w:ind w:left="748" w:hanging="28"/>
        <w:rPr>
          <w:rFonts w:hint="eastAsia" w:ascii="宋体" w:hAnsi="宋体" w:eastAsia="宋体" w:cs="宋体"/>
          <w:color w:val="auto"/>
          <w:sz w:val="24"/>
          <w:szCs w:val="24"/>
        </w:rPr>
      </w:pPr>
      <w:r>
        <w:rPr>
          <w:rFonts w:hint="eastAsia" w:ascii="宋体" w:hAnsi="宋体" w:eastAsia="宋体" w:cs="宋体"/>
          <w:color w:val="auto"/>
          <w:sz w:val="24"/>
          <w:szCs w:val="24"/>
        </w:rPr>
        <w:t>资格</w:t>
      </w:r>
      <w:r>
        <w:rPr>
          <w:rFonts w:hint="eastAsia" w:ascii="宋体" w:hAnsi="宋体" w:eastAsia="宋体" w:cs="宋体"/>
          <w:color w:val="auto"/>
          <w:sz w:val="24"/>
          <w:szCs w:val="24"/>
          <w:lang w:eastAsia="zh-CN"/>
        </w:rPr>
        <w:t>性</w:t>
      </w:r>
      <w:r>
        <w:rPr>
          <w:rFonts w:hint="eastAsia" w:ascii="宋体" w:hAnsi="宋体" w:eastAsia="宋体" w:cs="宋体"/>
          <w:color w:val="auto"/>
          <w:sz w:val="24"/>
          <w:szCs w:val="24"/>
        </w:rPr>
        <w:t>审查表（详见附表一）</w:t>
      </w:r>
    </w:p>
    <w:p>
      <w:pPr>
        <w:numPr>
          <w:ilvl w:val="1"/>
          <w:numId w:val="4"/>
        </w:numPr>
        <w:spacing w:line="360" w:lineRule="auto"/>
        <w:ind w:left="748" w:hanging="28"/>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符合性</w:t>
      </w:r>
      <w:r>
        <w:rPr>
          <w:rFonts w:hint="eastAsia" w:ascii="宋体" w:hAnsi="宋体" w:eastAsia="宋体" w:cs="宋体"/>
          <w:color w:val="auto"/>
          <w:sz w:val="24"/>
          <w:szCs w:val="24"/>
        </w:rPr>
        <w:t>审查表（详见附表</w:t>
      </w: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w:t>
      </w:r>
    </w:p>
    <w:p>
      <w:pPr>
        <w:numPr>
          <w:ilvl w:val="1"/>
          <w:numId w:val="4"/>
        </w:numPr>
        <w:spacing w:line="360" w:lineRule="auto"/>
        <w:ind w:left="748" w:hanging="28"/>
        <w:rPr>
          <w:rFonts w:hint="eastAsia" w:ascii="宋体" w:hAnsi="宋体" w:eastAsia="宋体" w:cs="宋体"/>
          <w:color w:val="auto"/>
          <w:sz w:val="24"/>
          <w:szCs w:val="24"/>
        </w:rPr>
      </w:pPr>
      <w:r>
        <w:rPr>
          <w:rFonts w:hint="eastAsia" w:ascii="宋体" w:hAnsi="宋体" w:eastAsia="宋体" w:cs="宋体"/>
          <w:color w:val="auto"/>
          <w:sz w:val="24"/>
          <w:szCs w:val="24"/>
        </w:rPr>
        <w:t>商务、技术评审表（详见附表</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w:t>
      </w:r>
    </w:p>
    <w:p>
      <w:pPr>
        <w:numPr>
          <w:ilvl w:val="1"/>
          <w:numId w:val="4"/>
        </w:numPr>
        <w:spacing w:line="360" w:lineRule="auto"/>
        <w:ind w:left="748" w:hanging="28"/>
        <w:rPr>
          <w:rFonts w:hint="eastAsia" w:ascii="宋体" w:hAnsi="宋体" w:eastAsia="宋体" w:cs="宋体"/>
          <w:color w:val="auto"/>
          <w:sz w:val="24"/>
          <w:szCs w:val="24"/>
        </w:rPr>
      </w:pPr>
      <w:r>
        <w:rPr>
          <w:rFonts w:hint="eastAsia" w:ascii="宋体" w:hAnsi="宋体" w:eastAsia="宋体" w:cs="宋体"/>
          <w:color w:val="auto"/>
          <w:sz w:val="24"/>
          <w:szCs w:val="24"/>
        </w:rPr>
        <w:t>价格评审</w:t>
      </w:r>
    </w:p>
    <w:p>
      <w:pPr>
        <w:snapToGrid w:val="0"/>
        <w:spacing w:line="360" w:lineRule="auto"/>
        <w:ind w:firstLine="484"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磋商小组按磋商文件中规定的评审方法和标准，对资格、符合性审查合格的响应文件进行商务和技术评估，综合比较与评价。技术、商务、价格部分分值分配如下：</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1"/>
        <w:gridCol w:w="2515"/>
        <w:gridCol w:w="1850"/>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721" w:type="dxa"/>
            <w:noWrap w:val="0"/>
            <w:vAlign w:val="center"/>
          </w:tcPr>
          <w:p>
            <w:pPr>
              <w:autoSpaceDE w:val="0"/>
              <w:autoSpaceDN w:val="0"/>
              <w:adjustRightInd w:val="0"/>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评分项目</w:t>
            </w:r>
          </w:p>
        </w:tc>
        <w:tc>
          <w:tcPr>
            <w:tcW w:w="2515" w:type="dxa"/>
            <w:noWrap w:val="0"/>
            <w:vAlign w:val="center"/>
          </w:tcPr>
          <w:p>
            <w:pPr>
              <w:autoSpaceDE w:val="0"/>
              <w:autoSpaceDN w:val="0"/>
              <w:adjustRightInd w:val="0"/>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商务、技术评分</w:t>
            </w:r>
          </w:p>
        </w:tc>
        <w:tc>
          <w:tcPr>
            <w:tcW w:w="1850" w:type="dxa"/>
            <w:noWrap w:val="0"/>
            <w:vAlign w:val="center"/>
          </w:tcPr>
          <w:p>
            <w:pPr>
              <w:autoSpaceDE w:val="0"/>
              <w:autoSpaceDN w:val="0"/>
              <w:adjustRightInd w:val="0"/>
              <w:ind w:left="35" w:leftChars="-51" w:hanging="143" w:hangingChars="51"/>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价格评分</w:t>
            </w:r>
          </w:p>
        </w:tc>
        <w:tc>
          <w:tcPr>
            <w:tcW w:w="1600" w:type="dxa"/>
            <w:noWrap w:val="0"/>
            <w:vAlign w:val="center"/>
          </w:tcPr>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合  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721" w:type="dxa"/>
            <w:noWrap w:val="0"/>
            <w:vAlign w:val="center"/>
          </w:tcPr>
          <w:p>
            <w:pPr>
              <w:autoSpaceDE w:val="0"/>
              <w:autoSpaceDN w:val="0"/>
              <w:adjustRightInd w:val="0"/>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分值</w:t>
            </w:r>
          </w:p>
        </w:tc>
        <w:tc>
          <w:tcPr>
            <w:tcW w:w="2515" w:type="dxa"/>
            <w:noWrap w:val="0"/>
            <w:vAlign w:val="center"/>
          </w:tcPr>
          <w:p>
            <w:pPr>
              <w:autoSpaceDE w:val="0"/>
              <w:autoSpaceDN w:val="0"/>
              <w:adjustRightInd w:val="0"/>
              <w:jc w:val="center"/>
              <w:rPr>
                <w:rFonts w:hint="eastAsia" w:ascii="宋体" w:hAnsi="宋体" w:eastAsia="宋体" w:cs="宋体"/>
                <w:b/>
                <w:color w:val="auto"/>
                <w:kern w:val="0"/>
                <w:sz w:val="28"/>
                <w:szCs w:val="28"/>
              </w:rPr>
            </w:pPr>
            <w:r>
              <w:rPr>
                <w:rFonts w:hint="eastAsia" w:ascii="宋体" w:hAnsi="宋体" w:cs="宋体"/>
                <w:b/>
                <w:color w:val="auto"/>
                <w:kern w:val="0"/>
                <w:sz w:val="28"/>
                <w:szCs w:val="28"/>
                <w:lang w:val="en-US" w:eastAsia="zh-CN"/>
              </w:rPr>
              <w:t>9</w:t>
            </w:r>
            <w:r>
              <w:rPr>
                <w:rFonts w:hint="eastAsia" w:ascii="宋体" w:hAnsi="宋体" w:eastAsia="宋体" w:cs="宋体"/>
                <w:b/>
                <w:color w:val="auto"/>
                <w:kern w:val="0"/>
                <w:sz w:val="28"/>
                <w:szCs w:val="28"/>
                <w:lang w:val="en-US" w:eastAsia="zh-CN"/>
              </w:rPr>
              <w:t>0</w:t>
            </w:r>
            <w:r>
              <w:rPr>
                <w:rFonts w:hint="eastAsia" w:ascii="宋体" w:hAnsi="宋体" w:eastAsia="宋体" w:cs="宋体"/>
                <w:b/>
                <w:color w:val="auto"/>
                <w:kern w:val="0"/>
                <w:sz w:val="28"/>
                <w:szCs w:val="28"/>
              </w:rPr>
              <w:t>分</w:t>
            </w:r>
          </w:p>
        </w:tc>
        <w:tc>
          <w:tcPr>
            <w:tcW w:w="1850" w:type="dxa"/>
            <w:noWrap w:val="0"/>
            <w:vAlign w:val="center"/>
          </w:tcPr>
          <w:p>
            <w:pPr>
              <w:autoSpaceDE w:val="0"/>
              <w:autoSpaceDN w:val="0"/>
              <w:adjustRightInd w:val="0"/>
              <w:jc w:val="center"/>
              <w:rPr>
                <w:rFonts w:hint="eastAsia" w:ascii="宋体" w:hAnsi="宋体" w:eastAsia="宋体" w:cs="宋体"/>
                <w:b/>
                <w:color w:val="auto"/>
                <w:kern w:val="0"/>
                <w:sz w:val="28"/>
                <w:szCs w:val="28"/>
              </w:rPr>
            </w:pPr>
            <w:r>
              <w:rPr>
                <w:rFonts w:hint="eastAsia" w:ascii="宋体" w:hAnsi="宋体" w:cs="宋体"/>
                <w:b/>
                <w:color w:val="auto"/>
                <w:kern w:val="0"/>
                <w:sz w:val="28"/>
                <w:szCs w:val="28"/>
                <w:lang w:val="en-US" w:eastAsia="zh-CN"/>
              </w:rPr>
              <w:t>1</w:t>
            </w:r>
            <w:r>
              <w:rPr>
                <w:rFonts w:hint="eastAsia" w:ascii="宋体" w:hAnsi="宋体" w:eastAsia="宋体" w:cs="宋体"/>
                <w:b/>
                <w:color w:val="auto"/>
                <w:kern w:val="0"/>
                <w:sz w:val="28"/>
                <w:szCs w:val="28"/>
                <w:lang w:val="en-US" w:eastAsia="zh-CN"/>
              </w:rPr>
              <w:t>0</w:t>
            </w:r>
            <w:r>
              <w:rPr>
                <w:rFonts w:hint="eastAsia" w:ascii="宋体" w:hAnsi="宋体" w:eastAsia="宋体" w:cs="宋体"/>
                <w:b/>
                <w:color w:val="auto"/>
                <w:kern w:val="0"/>
                <w:sz w:val="28"/>
                <w:szCs w:val="28"/>
              </w:rPr>
              <w:t>分</w:t>
            </w:r>
          </w:p>
        </w:tc>
        <w:tc>
          <w:tcPr>
            <w:tcW w:w="1600" w:type="dxa"/>
            <w:noWrap w:val="0"/>
            <w:vAlign w:val="center"/>
          </w:tcPr>
          <w:p>
            <w:pPr>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100分</w:t>
            </w:r>
          </w:p>
        </w:tc>
      </w:tr>
    </w:tbl>
    <w:p>
      <w:pPr>
        <w:snapToGrid w:val="0"/>
        <w:spacing w:line="360"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具体打分标准如下：</w:t>
      </w:r>
    </w:p>
    <w:p>
      <w:pPr>
        <w:snapToGrid w:val="0"/>
        <w:spacing w:line="360" w:lineRule="auto"/>
        <w:ind w:firstLine="564"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eastAsia="宋体" w:cs="宋体"/>
          <w:b/>
          <w:bCs/>
          <w:color w:val="auto"/>
          <w:sz w:val="28"/>
          <w:szCs w:val="28"/>
        </w:rPr>
        <w:t>商务、技术评分</w:t>
      </w:r>
    </w:p>
    <w:p>
      <w:pPr>
        <w:snapToGrid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磋商小组分别对各供应商的商务、技术响应文件中的各项内容进行评议比较，详细对比其商务、技术方案等各种因素方面是否满足磋商文件的要求。在商务、技术评审表的相应项各自记名打分。</w:t>
      </w:r>
    </w:p>
    <w:p>
      <w:pPr>
        <w:snapToGrid w:val="0"/>
        <w:spacing w:line="360" w:lineRule="auto"/>
        <w:ind w:firstLine="564"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（2）商务、技术得分统计</w:t>
      </w:r>
    </w:p>
    <w:p>
      <w:pPr>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将所有磋商小组的商务、技术评分的算术平均值即为每个有效供应商的技术得分（四舍五入后，精确到0.01）。</w:t>
      </w:r>
    </w:p>
    <w:p>
      <w:pPr>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（3）价格核准和评分</w:t>
      </w:r>
    </w:p>
    <w:p>
      <w:pPr>
        <w:pStyle w:val="27"/>
        <w:snapToGrid w:val="0"/>
        <w:spacing w:line="360" w:lineRule="auto"/>
        <w:ind w:firstLine="562"/>
        <w:rPr>
          <w:rFonts w:hint="eastAsia" w:ascii="宋体" w:hAnsi="宋体" w:eastAsia="宋体" w:cs="宋体"/>
          <w:b/>
          <w:color w:val="auto"/>
          <w:sz w:val="24"/>
          <w:szCs w:val="24"/>
        </w:rPr>
      </w:pPr>
      <w:r>
        <w:rPr>
          <w:rFonts w:hint="eastAsia" w:ascii="宋体" w:hAnsi="宋体" w:eastAsia="宋体" w:cs="宋体"/>
          <w:b/>
          <w:color w:val="auto"/>
          <w:sz w:val="24"/>
          <w:szCs w:val="24"/>
        </w:rPr>
        <w:t>A、价格的核准</w:t>
      </w:r>
    </w:p>
    <w:p>
      <w:pPr>
        <w:snapToGrid w:val="0"/>
        <w:spacing w:line="360" w:lineRule="auto"/>
        <w:ind w:firstLine="473" w:firstLineChars="196"/>
        <w:rPr>
          <w:rFonts w:hint="eastAsia" w:ascii="宋体" w:hAnsi="宋体" w:eastAsia="宋体" w:cs="宋体"/>
          <w:color w:val="auto"/>
          <w:sz w:val="24"/>
          <w:szCs w:val="24"/>
        </w:rPr>
      </w:pPr>
      <w:r>
        <w:rPr>
          <w:rFonts w:hint="eastAsia" w:ascii="宋体" w:hAnsi="宋体" w:eastAsia="宋体" w:cs="宋体"/>
          <w:color w:val="auto"/>
          <w:sz w:val="24"/>
          <w:szCs w:val="24"/>
        </w:rPr>
        <w:t>供应商不得以低于成本的报价竞争。如果磋商小组发现供应商的报价明显低于其他供应商的，使得其报价可能低于其个别成本的，将要求该供应商作书面说明并提供相关证明材料。供应商不能合理说明或不能提供相关证明材料的，磋商小组将认定该供应商以低于成本报价竞争，其响应文件作无效处理。</w:t>
      </w:r>
    </w:p>
    <w:p>
      <w:pPr>
        <w:snapToGrid w:val="0"/>
        <w:spacing w:line="360" w:lineRule="auto"/>
        <w:ind w:firstLine="473" w:firstLineChars="196"/>
        <w:rPr>
          <w:rFonts w:hint="eastAsia" w:ascii="宋体" w:hAnsi="宋体" w:eastAsia="宋体" w:cs="宋体"/>
          <w:color w:val="auto"/>
          <w:sz w:val="24"/>
          <w:szCs w:val="24"/>
        </w:rPr>
      </w:pPr>
      <w:r>
        <w:rPr>
          <w:rFonts w:hint="eastAsia" w:ascii="宋体" w:hAnsi="宋体" w:eastAsia="宋体" w:cs="宋体"/>
          <w:color w:val="auto"/>
          <w:sz w:val="24"/>
          <w:szCs w:val="24"/>
        </w:rPr>
        <w:t>磋商小组先对入围供应商的最后报价进行复核，审查其是否有计算上的错误，修正错误的原则如下</w:t>
      </w:r>
    </w:p>
    <w:p>
      <w:pPr>
        <w:snapToGrid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snapToGrid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按上述修正错误的方法调整后的最后报价，对供应商具有约束力。如果供应商不接受修正后的价格，则其响应文件作无效处理。</w:t>
      </w:r>
    </w:p>
    <w:p>
      <w:pPr>
        <w:pStyle w:val="27"/>
        <w:tabs>
          <w:tab w:val="left" w:pos="426"/>
        </w:tabs>
        <w:snapToGrid w:val="0"/>
        <w:spacing w:line="360" w:lineRule="auto"/>
        <w:ind w:left="-2" w:leftChars="-1" w:firstLine="427" w:firstLineChars="177"/>
        <w:rPr>
          <w:rFonts w:hint="eastAsia" w:ascii="宋体" w:hAnsi="宋体" w:eastAsia="宋体" w:cs="宋体"/>
          <w:b/>
          <w:color w:val="auto"/>
          <w:sz w:val="24"/>
          <w:szCs w:val="24"/>
        </w:rPr>
      </w:pPr>
      <w:r>
        <w:rPr>
          <w:rFonts w:hint="eastAsia" w:ascii="宋体" w:hAnsi="宋体" w:eastAsia="宋体" w:cs="宋体"/>
          <w:b/>
          <w:color w:val="auto"/>
          <w:sz w:val="24"/>
          <w:szCs w:val="24"/>
        </w:rPr>
        <w:t>B、政策价格扣除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1）小型和微型企业产品价格扣除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a）根据财务部、工业和信息化部印发的《政府采购促进中小企业发展暂行办法》（财库[2011]181号）的规定，对小型和微型企业产品的价格给予6%的扣除，联合体一方为小型、微型企业且小型、微型企业协议合同金额占联合体协议合同总金额30%以上的对联合体总金额扣除2%，用扣除后的价格参与评审；报价产品中仅有部分小型和微型企业产品的，则按所投小型和微型企业产品的价格予以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b)《政府采购促进中小企业发展暂行办法》所称中小企业（含中型、小型、微型企业，下同）应当同时符合以下条件：</w:t>
      </w:r>
    </w:p>
    <w:p>
      <w:pPr>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①符合中小企业划分标准；</w:t>
      </w:r>
    </w:p>
    <w:p>
      <w:pPr>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②提供本企业制造的货物、承担的工程或者服务，或者提供其他中小企业制造的货物。本项所称货物不包括使用大型企业注册商标的货物。</w:t>
      </w:r>
    </w:p>
    <w:p>
      <w:pPr>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中小企业划分标准以《工业和信息化部、国家统计局、国家发展和改革委员会、财政部关于印发中小企业划型标准的通知》（工信部联企业[2011]300号）规定的划分标准为准。小型、微型企业提供中型企业制造的货物的，视同为中型企业。</w:t>
      </w:r>
    </w:p>
    <w:p>
      <w:pPr>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③参加政府采购活动的中小企业应当提供《中小企业声明函》</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2）监狱企业产品价格扣除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a）监狱企业视同小型、微型企业，按上述1.的a)条款享受评审中价格扣除。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c）监狱企业参加政府采购活动时，应当提供由省级以上监狱管理局、戒毒管理局（含新疆生产建设兵团）出具的属于监狱企业的证明文件，否则不予认可。</w:t>
      </w:r>
    </w:p>
    <w:p>
      <w:pPr>
        <w:tabs>
          <w:tab w:val="left" w:pos="1050"/>
        </w:tabs>
        <w:spacing w:line="360" w:lineRule="auto"/>
        <w:ind w:firstLine="484" w:firstLineChars="200"/>
        <w:rPr>
          <w:rFonts w:hint="eastAsia" w:ascii="宋体" w:hAnsi="宋体" w:eastAsia="宋体" w:cs="宋体"/>
          <w:b/>
          <w:bCs/>
          <w:color w:val="auto"/>
          <w:sz w:val="24"/>
          <w:szCs w:val="24"/>
        </w:rPr>
      </w:pPr>
      <w:r>
        <w:rPr>
          <w:rFonts w:hint="eastAsia" w:ascii="宋体" w:hAnsi="宋体" w:eastAsia="宋体" w:cs="宋体"/>
          <w:bCs/>
          <w:color w:val="auto"/>
          <w:sz w:val="24"/>
          <w:szCs w:val="24"/>
        </w:rPr>
        <w:t>3）残疾人福利性单位产品价格扣除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a）残疾人福利性单位视同小型、微型企业，按上述1.的a)条款享受评审中价格扣除。</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供应商提供的《残疾人福利性单位声明函》与事实不符的，依照《政府采购法》第七十七条第一款的规定追究法律责任。</w:t>
      </w:r>
    </w:p>
    <w:p>
      <w:pPr>
        <w:tabs>
          <w:tab w:val="left" w:pos="1050"/>
        </w:tabs>
        <w:spacing w:line="360" w:lineRule="auto"/>
        <w:ind w:firstLine="484"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4）供应商同时为小型、微型企业、监狱企业和残疾人福利性单位任两种或以上情况的，评审中只享受一次价格扣除。不重复进行价格扣除。</w:t>
      </w:r>
    </w:p>
    <w:p>
      <w:pPr>
        <w:pStyle w:val="27"/>
        <w:snapToGrid w:val="0"/>
        <w:spacing w:line="360" w:lineRule="auto"/>
        <w:ind w:firstLine="562"/>
        <w:rPr>
          <w:rFonts w:hint="eastAsia" w:ascii="宋体" w:hAnsi="宋体" w:eastAsia="宋体" w:cs="宋体"/>
          <w:b/>
          <w:color w:val="auto"/>
          <w:sz w:val="24"/>
          <w:szCs w:val="24"/>
        </w:rPr>
      </w:pPr>
      <w:r>
        <w:rPr>
          <w:rFonts w:hint="eastAsia" w:ascii="宋体" w:hAnsi="宋体" w:eastAsia="宋体" w:cs="宋体"/>
          <w:b/>
          <w:color w:val="auto"/>
          <w:sz w:val="24"/>
          <w:szCs w:val="24"/>
        </w:rPr>
        <w:t>C、价格评分</w:t>
      </w:r>
    </w:p>
    <w:p>
      <w:pPr>
        <w:snapToGrid w:val="0"/>
        <w:spacing w:line="360" w:lineRule="auto"/>
        <w:ind w:firstLine="473" w:firstLineChars="196"/>
        <w:rPr>
          <w:rFonts w:hint="eastAsia" w:ascii="宋体" w:hAnsi="宋体" w:eastAsia="宋体" w:cs="宋体"/>
          <w:color w:val="auto"/>
          <w:sz w:val="24"/>
          <w:szCs w:val="24"/>
        </w:rPr>
      </w:pPr>
      <w:r>
        <w:rPr>
          <w:rFonts w:hint="eastAsia" w:ascii="宋体" w:hAnsi="宋体" w:eastAsia="宋体" w:cs="宋体"/>
          <w:color w:val="auto"/>
          <w:sz w:val="24"/>
          <w:szCs w:val="24"/>
        </w:rPr>
        <w:t>磋商小组对入围的供应商的最后价格进行修正及价格扣除得出评审价。综合评分法中的价格分统一采用低价优先法计算，即满足磋商文件要求（通过资格、符合性审查）且价格最低的有效最后报价（指修正后的价格，下同）为磋商基准价，其价格分为满分。其他供应商的价格分统一按照下列公式计算：</w:t>
      </w:r>
    </w:p>
    <w:p>
      <w:pPr>
        <w:snapToGrid w:val="0"/>
        <w:spacing w:line="360" w:lineRule="auto"/>
        <w:ind w:firstLine="484"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磋商报价得分＝（磋商基准价／最终磋商报价）x 分值。</w:t>
      </w:r>
    </w:p>
    <w:p>
      <w:pPr>
        <w:bidi w:val="0"/>
        <w:rPr>
          <w:rFonts w:hint="eastAsia" w:ascii="宋体" w:hAnsi="宋体" w:eastAsia="宋体" w:cs="宋体"/>
        </w:rPr>
      </w:pPr>
    </w:p>
    <w:p>
      <w:pPr>
        <w:bidi w:val="0"/>
        <w:rPr>
          <w:rFonts w:hint="eastAsia" w:ascii="宋体" w:hAnsi="宋体" w:eastAsia="宋体" w:cs="宋体"/>
          <w:b/>
          <w:bCs/>
          <w:sz w:val="28"/>
          <w:szCs w:val="28"/>
        </w:rPr>
      </w:pPr>
      <w:r>
        <w:rPr>
          <w:rFonts w:hint="eastAsia" w:ascii="宋体" w:hAnsi="宋体" w:eastAsia="宋体" w:cs="宋体"/>
          <w:b/>
          <w:bCs/>
          <w:sz w:val="28"/>
          <w:szCs w:val="28"/>
        </w:rPr>
        <w:t>附表一：</w:t>
      </w:r>
    </w:p>
    <w:p>
      <w:pPr>
        <w:bidi w:val="0"/>
        <w:rPr>
          <w:rFonts w:hint="eastAsia" w:ascii="宋体" w:hAnsi="宋体" w:eastAsia="宋体" w:cs="宋体"/>
        </w:rPr>
      </w:pPr>
    </w:p>
    <w:p>
      <w:pPr>
        <w:bidi w:val="0"/>
        <w:jc w:val="center"/>
        <w:rPr>
          <w:rFonts w:hint="eastAsia" w:ascii="宋体" w:hAnsi="宋体" w:eastAsia="宋体" w:cs="宋体"/>
          <w:sz w:val="28"/>
          <w:szCs w:val="28"/>
        </w:rPr>
      </w:pPr>
      <w:r>
        <w:rPr>
          <w:rFonts w:hint="eastAsia" w:ascii="宋体" w:hAnsi="宋体" w:eastAsia="宋体" w:cs="宋体"/>
          <w:sz w:val="28"/>
          <w:szCs w:val="28"/>
        </w:rPr>
        <w:t>资格性审查表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7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4"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7553" w:type="dxa"/>
            <w:noWrap w:val="0"/>
            <w:vAlign w:val="center"/>
          </w:tcPr>
          <w:p>
            <w:pPr>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资格性审查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54"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553" w:type="dxa"/>
            <w:noWrap w:val="0"/>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具有独立法人资格的有效企业法人营业执照或事业单位法人证书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54"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553" w:type="dxa"/>
            <w:noWrap w:val="0"/>
            <w:vAlign w:val="center"/>
          </w:tcPr>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法人授权委托书原件及被授权人《居民身份证》原件</w:t>
            </w:r>
            <w:r>
              <w:rPr>
                <w:rFonts w:hint="eastAsia" w:ascii="宋体" w:hAnsi="宋体" w:eastAsia="宋体" w:cs="宋体"/>
                <w:color w:val="auto"/>
                <w:sz w:val="24"/>
                <w:szCs w:val="24"/>
                <w:lang w:eastAsia="zh-CN"/>
              </w:rPr>
              <w:t>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54" w:type="dxa"/>
            <w:noWrap w:val="0"/>
            <w:vAlign w:val="center"/>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7553" w:type="dxa"/>
            <w:noWrap w:val="0"/>
            <w:vAlign w:val="center"/>
          </w:tcPr>
          <w:p>
            <w:pP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提供</w:t>
            </w:r>
            <w:r>
              <w:rPr>
                <w:rFonts w:hint="eastAsia" w:ascii="宋体" w:hAnsi="宋体" w:eastAsia="宋体" w:cs="宋体"/>
                <w:color w:val="auto"/>
                <w:sz w:val="24"/>
                <w:szCs w:val="24"/>
              </w:rPr>
              <w:t>国家测绘行业行政主管部门颁发的乙级及以上测绘资质</w:t>
            </w:r>
            <w:r>
              <w:rPr>
                <w:rFonts w:hint="eastAsia" w:ascii="宋体" w:hAnsi="宋体" w:cs="宋体"/>
                <w:color w:val="auto"/>
                <w:sz w:val="24"/>
                <w:szCs w:val="24"/>
                <w:lang w:eastAsia="zh-CN"/>
              </w:rPr>
              <w:t>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54" w:type="dxa"/>
            <w:noWrap w:val="0"/>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p>
        </w:tc>
        <w:tc>
          <w:tcPr>
            <w:tcW w:w="7553" w:type="dxa"/>
            <w:noWrap w:val="0"/>
            <w:vAlign w:val="center"/>
          </w:tcPr>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投标保证金缴纳凭证（银行回单）加盖公章</w:t>
            </w:r>
            <w:r>
              <w:rPr>
                <w:rFonts w:hint="eastAsia" w:ascii="宋体" w:hAnsi="宋体" w:eastAsia="宋体" w:cs="宋体"/>
                <w:color w:val="auto"/>
                <w:sz w:val="24"/>
                <w:szCs w:val="24"/>
                <w:lang w:eastAsia="zh-CN"/>
              </w:rPr>
              <w:t>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54" w:type="dxa"/>
            <w:noWrap w:val="0"/>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5</w:t>
            </w:r>
          </w:p>
        </w:tc>
        <w:tc>
          <w:tcPr>
            <w:tcW w:w="7553" w:type="dxa"/>
            <w:noWrap w:val="0"/>
            <w:vAlign w:val="center"/>
          </w:tcPr>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投标人未被“信用中国”网站（www.creditchina.gov.cn）、中国政府采购网（www.ccgp.gov.cn）列入失信被执行人、重大税收违法案件当事人名单、政府采购严重违法失信行为记录名单。</w:t>
            </w:r>
          </w:p>
        </w:tc>
      </w:tr>
    </w:tbl>
    <w:p>
      <w:pPr>
        <w:ind w:firstLine="564" w:firstLineChars="200"/>
        <w:jc w:val="both"/>
        <w:rPr>
          <w:rFonts w:hint="eastAsia" w:ascii="宋体" w:hAnsi="宋体" w:eastAsia="宋体" w:cs="宋体"/>
          <w:b/>
          <w:color w:val="auto"/>
          <w:sz w:val="28"/>
          <w:szCs w:val="28"/>
        </w:rPr>
      </w:pPr>
      <w:bookmarkStart w:id="105" w:name="_Toc13173"/>
      <w:bookmarkStart w:id="106" w:name="_Toc6957"/>
      <w:bookmarkStart w:id="107" w:name="_Toc26085"/>
      <w:r>
        <w:rPr>
          <w:rFonts w:hint="eastAsia" w:ascii="宋体" w:hAnsi="宋体" w:eastAsia="宋体" w:cs="宋体"/>
          <w:b/>
          <w:color w:val="auto"/>
          <w:sz w:val="28"/>
          <w:szCs w:val="28"/>
        </w:rPr>
        <w:t>备注：如有一项未通过，</w:t>
      </w:r>
      <w:r>
        <w:rPr>
          <w:rFonts w:hint="eastAsia" w:ascii="宋体" w:hAnsi="宋体" w:eastAsia="宋体" w:cs="宋体"/>
          <w:b/>
          <w:color w:val="auto"/>
          <w:sz w:val="28"/>
          <w:szCs w:val="28"/>
          <w:lang w:eastAsia="zh-CN"/>
        </w:rPr>
        <w:t>磋商小组</w:t>
      </w:r>
      <w:r>
        <w:rPr>
          <w:rFonts w:hint="eastAsia" w:ascii="宋体" w:hAnsi="宋体" w:eastAsia="宋体" w:cs="宋体"/>
          <w:b/>
          <w:color w:val="auto"/>
          <w:sz w:val="28"/>
          <w:szCs w:val="28"/>
        </w:rPr>
        <w:t>将认定整个</w:t>
      </w:r>
      <w:r>
        <w:rPr>
          <w:rFonts w:hint="eastAsia" w:ascii="宋体" w:hAnsi="宋体" w:eastAsia="宋体" w:cs="宋体"/>
          <w:b/>
          <w:color w:val="auto"/>
          <w:sz w:val="28"/>
          <w:szCs w:val="28"/>
          <w:lang w:val="en-US" w:eastAsia="zh-CN"/>
        </w:rPr>
        <w:t>响应</w:t>
      </w:r>
      <w:r>
        <w:rPr>
          <w:rFonts w:hint="eastAsia" w:ascii="宋体" w:hAnsi="宋体" w:eastAsia="宋体" w:cs="宋体"/>
          <w:b/>
          <w:color w:val="auto"/>
          <w:sz w:val="28"/>
          <w:szCs w:val="28"/>
        </w:rPr>
        <w:t>文件未响应</w:t>
      </w:r>
      <w:r>
        <w:rPr>
          <w:rFonts w:hint="eastAsia" w:ascii="宋体" w:hAnsi="宋体" w:eastAsia="宋体" w:cs="宋体"/>
          <w:b/>
          <w:color w:val="auto"/>
          <w:sz w:val="28"/>
          <w:szCs w:val="28"/>
          <w:lang w:val="en-US" w:eastAsia="zh-CN"/>
        </w:rPr>
        <w:t>竞争性磋商</w:t>
      </w:r>
      <w:r>
        <w:rPr>
          <w:rFonts w:hint="eastAsia" w:ascii="宋体" w:hAnsi="宋体" w:eastAsia="宋体" w:cs="宋体"/>
          <w:b/>
          <w:color w:val="auto"/>
          <w:sz w:val="28"/>
          <w:szCs w:val="28"/>
        </w:rPr>
        <w:t>文件而予以废标处理。</w:t>
      </w:r>
    </w:p>
    <w:p>
      <w:pPr>
        <w:bidi w:val="0"/>
        <w:rPr>
          <w:rFonts w:hint="eastAsia" w:ascii="宋体" w:hAnsi="宋体" w:eastAsia="宋体" w:cs="宋体"/>
        </w:rPr>
      </w:pPr>
    </w:p>
    <w:p>
      <w:pPr>
        <w:pStyle w:val="13"/>
        <w:rPr>
          <w:rFonts w:hint="eastAsia" w:ascii="宋体" w:hAnsi="宋体" w:eastAsia="宋体" w:cs="宋体"/>
        </w:rPr>
      </w:pPr>
    </w:p>
    <w:p>
      <w:pPr>
        <w:rPr>
          <w:rFonts w:hint="eastAsia" w:ascii="宋体" w:hAnsi="宋体" w:eastAsia="宋体" w:cs="宋体"/>
        </w:rPr>
      </w:pPr>
    </w:p>
    <w:p>
      <w:pPr>
        <w:bidi w:val="0"/>
        <w:rPr>
          <w:rFonts w:hint="eastAsia" w:ascii="宋体" w:hAnsi="宋体" w:eastAsia="宋体" w:cs="宋体"/>
          <w:b/>
          <w:bCs/>
          <w:sz w:val="28"/>
          <w:szCs w:val="28"/>
        </w:rPr>
      </w:pPr>
      <w:r>
        <w:rPr>
          <w:rFonts w:hint="eastAsia" w:ascii="宋体" w:hAnsi="宋体" w:eastAsia="宋体" w:cs="宋体"/>
          <w:b/>
          <w:bCs/>
          <w:sz w:val="28"/>
          <w:szCs w:val="28"/>
        </w:rPr>
        <w:t>附表</w:t>
      </w:r>
      <w:r>
        <w:rPr>
          <w:rFonts w:hint="eastAsia" w:ascii="宋体" w:hAnsi="宋体" w:eastAsia="宋体" w:cs="宋体"/>
          <w:b/>
          <w:bCs/>
          <w:sz w:val="28"/>
          <w:szCs w:val="28"/>
          <w:lang w:eastAsia="zh-CN"/>
        </w:rPr>
        <w:t>二</w:t>
      </w:r>
      <w:r>
        <w:rPr>
          <w:rFonts w:hint="eastAsia" w:ascii="宋体" w:hAnsi="宋体" w:eastAsia="宋体" w:cs="宋体"/>
          <w:b/>
          <w:bCs/>
          <w:sz w:val="28"/>
          <w:szCs w:val="28"/>
        </w:rPr>
        <w:t>：</w:t>
      </w:r>
    </w:p>
    <w:p>
      <w:pPr>
        <w:bidi w:val="0"/>
        <w:jc w:val="center"/>
        <w:rPr>
          <w:rFonts w:hint="eastAsia" w:ascii="宋体" w:hAnsi="宋体" w:eastAsia="宋体" w:cs="宋体"/>
          <w:b/>
          <w:bCs/>
          <w:sz w:val="28"/>
          <w:szCs w:val="28"/>
        </w:rPr>
      </w:pPr>
      <w:r>
        <w:rPr>
          <w:rFonts w:hint="eastAsia" w:ascii="宋体" w:hAnsi="宋体" w:eastAsia="宋体" w:cs="宋体"/>
          <w:b/>
          <w:bCs/>
          <w:sz w:val="28"/>
          <w:szCs w:val="28"/>
          <w:lang w:eastAsia="zh-CN"/>
        </w:rPr>
        <w:t>符合性审查表</w:t>
      </w:r>
    </w:p>
    <w:tbl>
      <w:tblPr>
        <w:tblStyle w:val="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6"/>
        <w:gridCol w:w="5782"/>
        <w:gridCol w:w="901"/>
        <w:gridCol w:w="17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7"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序号</w:t>
            </w:r>
          </w:p>
        </w:tc>
        <w:tc>
          <w:tcPr>
            <w:tcW w:w="578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招标人要求</w:t>
            </w:r>
          </w:p>
        </w:tc>
        <w:tc>
          <w:tcPr>
            <w:tcW w:w="90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是否响应</w:t>
            </w:r>
          </w:p>
        </w:tc>
        <w:tc>
          <w:tcPr>
            <w:tcW w:w="174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情况说明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578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响应文件是否有投标单位法定代表人或其授权代表签字（章）和加盖投标单位公章；</w:t>
            </w:r>
          </w:p>
        </w:tc>
        <w:tc>
          <w:tcPr>
            <w:tcW w:w="90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c>
          <w:tcPr>
            <w:tcW w:w="174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578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zh-CN"/>
              </w:rPr>
              <w:t>售后服务承诺</w:t>
            </w:r>
          </w:p>
        </w:tc>
        <w:tc>
          <w:tcPr>
            <w:tcW w:w="90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c>
          <w:tcPr>
            <w:tcW w:w="174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578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left"/>
              <w:rPr>
                <w:rFonts w:hint="eastAsia" w:ascii="宋体" w:hAnsi="宋体" w:eastAsia="宋体" w:cs="宋体"/>
                <w:color w:val="auto"/>
                <w:sz w:val="24"/>
                <w:szCs w:val="24"/>
                <w:lang w:val="zh-CN"/>
              </w:rPr>
            </w:pPr>
            <w:r>
              <w:rPr>
                <w:rFonts w:hint="eastAsia" w:ascii="宋体" w:hAnsi="宋体" w:cs="宋体"/>
                <w:color w:val="auto"/>
                <w:sz w:val="24"/>
                <w:szCs w:val="24"/>
                <w:lang w:val="zh-CN"/>
              </w:rPr>
              <w:t>服务期限</w:t>
            </w:r>
            <w:r>
              <w:rPr>
                <w:rFonts w:hint="eastAsia" w:ascii="宋体" w:hAnsi="宋体" w:eastAsia="宋体" w:cs="宋体"/>
                <w:color w:val="auto"/>
                <w:sz w:val="24"/>
                <w:szCs w:val="24"/>
                <w:lang w:val="zh-CN"/>
              </w:rPr>
              <w:t>是否符合招标文件和采购人要求</w:t>
            </w:r>
          </w:p>
        </w:tc>
        <w:tc>
          <w:tcPr>
            <w:tcW w:w="90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c>
          <w:tcPr>
            <w:tcW w:w="174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578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zh-CN"/>
              </w:rPr>
              <w:t>投标报价未超出预算价</w:t>
            </w:r>
          </w:p>
        </w:tc>
        <w:tc>
          <w:tcPr>
            <w:tcW w:w="90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c>
          <w:tcPr>
            <w:tcW w:w="174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578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无法律、法规、规章和招标文件禁止的其他情况</w:t>
            </w:r>
          </w:p>
        </w:tc>
        <w:tc>
          <w:tcPr>
            <w:tcW w:w="90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c>
          <w:tcPr>
            <w:tcW w:w="174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12" w:lineRule="auto"/>
              <w:ind w:firstLine="484" w:firstLineChars="200"/>
              <w:jc w:val="left"/>
              <w:rPr>
                <w:rFonts w:hint="eastAsia" w:ascii="宋体" w:hAnsi="宋体" w:eastAsia="宋体" w:cs="宋体"/>
                <w:color w:val="auto"/>
                <w:sz w:val="24"/>
                <w:szCs w:val="24"/>
              </w:rPr>
            </w:pPr>
          </w:p>
        </w:tc>
      </w:tr>
    </w:tbl>
    <w:p>
      <w:pPr>
        <w:ind w:firstLine="564" w:firstLineChars="200"/>
        <w:jc w:val="both"/>
        <w:rPr>
          <w:rFonts w:hint="eastAsia" w:ascii="宋体" w:hAnsi="宋体" w:eastAsia="宋体" w:cs="宋体"/>
          <w:b/>
          <w:color w:val="auto"/>
          <w:sz w:val="28"/>
          <w:szCs w:val="28"/>
        </w:rPr>
      </w:pPr>
      <w:r>
        <w:rPr>
          <w:rFonts w:hint="eastAsia" w:ascii="宋体" w:hAnsi="宋体" w:eastAsia="宋体" w:cs="宋体"/>
          <w:b/>
          <w:color w:val="auto"/>
          <w:sz w:val="28"/>
          <w:szCs w:val="28"/>
        </w:rPr>
        <w:t>备注：如有一项未通过，</w:t>
      </w:r>
      <w:r>
        <w:rPr>
          <w:rFonts w:hint="eastAsia" w:ascii="宋体" w:hAnsi="宋体" w:eastAsia="宋体" w:cs="宋体"/>
          <w:b/>
          <w:color w:val="auto"/>
          <w:sz w:val="28"/>
          <w:szCs w:val="28"/>
          <w:lang w:eastAsia="zh-CN"/>
        </w:rPr>
        <w:t>磋商小组</w:t>
      </w:r>
      <w:r>
        <w:rPr>
          <w:rFonts w:hint="eastAsia" w:ascii="宋体" w:hAnsi="宋体" w:eastAsia="宋体" w:cs="宋体"/>
          <w:b/>
          <w:color w:val="auto"/>
          <w:sz w:val="28"/>
          <w:szCs w:val="28"/>
        </w:rPr>
        <w:t>将认定整个</w:t>
      </w:r>
      <w:r>
        <w:rPr>
          <w:rFonts w:hint="eastAsia" w:ascii="宋体" w:hAnsi="宋体" w:eastAsia="宋体" w:cs="宋体"/>
          <w:b/>
          <w:color w:val="auto"/>
          <w:sz w:val="28"/>
          <w:szCs w:val="28"/>
          <w:lang w:val="en-US" w:eastAsia="zh-CN"/>
        </w:rPr>
        <w:t>响应</w:t>
      </w:r>
      <w:r>
        <w:rPr>
          <w:rFonts w:hint="eastAsia" w:ascii="宋体" w:hAnsi="宋体" w:eastAsia="宋体" w:cs="宋体"/>
          <w:b/>
          <w:color w:val="auto"/>
          <w:sz w:val="28"/>
          <w:szCs w:val="28"/>
        </w:rPr>
        <w:t>文件未响应</w:t>
      </w:r>
      <w:r>
        <w:rPr>
          <w:rFonts w:hint="eastAsia" w:ascii="宋体" w:hAnsi="宋体" w:eastAsia="宋体" w:cs="宋体"/>
          <w:b/>
          <w:color w:val="auto"/>
          <w:sz w:val="28"/>
          <w:szCs w:val="28"/>
          <w:lang w:val="en-US" w:eastAsia="zh-CN"/>
        </w:rPr>
        <w:t>竞争性磋商</w:t>
      </w:r>
      <w:r>
        <w:rPr>
          <w:rFonts w:hint="eastAsia" w:ascii="宋体" w:hAnsi="宋体" w:eastAsia="宋体" w:cs="宋体"/>
          <w:b/>
          <w:color w:val="auto"/>
          <w:sz w:val="28"/>
          <w:szCs w:val="28"/>
        </w:rPr>
        <w:t>文件而予以废标处理。</w:t>
      </w:r>
    </w:p>
    <w:p>
      <w:pPr>
        <w:jc w:val="center"/>
        <w:rPr>
          <w:rFonts w:hint="eastAsia" w:ascii="宋体" w:hAnsi="宋体" w:eastAsia="宋体" w:cs="宋体"/>
          <w:b/>
          <w:color w:val="auto"/>
          <w:sz w:val="28"/>
          <w:szCs w:val="28"/>
        </w:rPr>
      </w:pPr>
    </w:p>
    <w:p>
      <w:pP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r>
      <w:r>
        <w:rPr>
          <w:rFonts w:hint="eastAsia" w:ascii="宋体" w:hAnsi="宋体" w:eastAsia="宋体" w:cs="宋体"/>
          <w:b/>
          <w:bCs/>
          <w:color w:val="auto"/>
          <w:sz w:val="28"/>
          <w:szCs w:val="28"/>
        </w:rPr>
        <w:t>附表</w:t>
      </w:r>
      <w:r>
        <w:rPr>
          <w:rFonts w:hint="eastAsia" w:ascii="宋体" w:hAnsi="宋体" w:eastAsia="宋体" w:cs="宋体"/>
          <w:b/>
          <w:bCs/>
          <w:color w:val="auto"/>
          <w:sz w:val="28"/>
          <w:szCs w:val="28"/>
          <w:lang w:eastAsia="zh-CN"/>
        </w:rPr>
        <w:t>三</w:t>
      </w:r>
      <w:r>
        <w:rPr>
          <w:rFonts w:hint="eastAsia" w:ascii="宋体" w:hAnsi="宋体" w:eastAsia="宋体" w:cs="宋体"/>
          <w:b/>
          <w:bCs/>
          <w:color w:val="auto"/>
          <w:sz w:val="28"/>
          <w:szCs w:val="28"/>
        </w:rPr>
        <w:t>：</w:t>
      </w:r>
    </w:p>
    <w:p>
      <w:pPr>
        <w:bidi w:val="0"/>
        <w:rPr>
          <w:rFonts w:hint="eastAsia" w:ascii="宋体" w:hAnsi="宋体" w:eastAsia="宋体" w:cs="宋体"/>
        </w:rPr>
      </w:pPr>
      <w:r>
        <w:rPr>
          <w:rFonts w:hint="eastAsia" w:ascii="宋体" w:hAnsi="宋体" w:eastAsia="宋体" w:cs="宋体"/>
        </w:rPr>
        <w:t>详细评审标准：</w:t>
      </w:r>
    </w:p>
    <w:bookmarkEnd w:id="105"/>
    <w:bookmarkEnd w:id="106"/>
    <w:bookmarkEnd w:id="107"/>
    <w:tbl>
      <w:tblPr>
        <w:tblStyle w:val="19"/>
        <w:tblW w:w="9294"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7"/>
        <w:gridCol w:w="1414"/>
        <w:gridCol w:w="796"/>
        <w:gridCol w:w="1373"/>
        <w:gridCol w:w="4104"/>
        <w:gridCol w:w="10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71" w:type="dxa"/>
            <w:gridSpan w:val="2"/>
            <w:tcBorders>
              <w:top w:val="single" w:color="auto" w:sz="4" w:space="0"/>
              <w:bottom w:val="single" w:color="auto" w:sz="4" w:space="0"/>
              <w:right w:val="single" w:color="auto" w:sz="4" w:space="0"/>
            </w:tcBorders>
            <w:noWrap w:val="0"/>
            <w:vAlign w:val="center"/>
          </w:tcPr>
          <w:p>
            <w:pPr>
              <w:spacing w:line="44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169"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条款内容</w:t>
            </w:r>
          </w:p>
        </w:tc>
        <w:tc>
          <w:tcPr>
            <w:tcW w:w="5154"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71" w:type="dxa"/>
            <w:gridSpan w:val="2"/>
            <w:tcBorders>
              <w:bottom w:val="single" w:color="auto" w:sz="4" w:space="0"/>
              <w:right w:val="single" w:color="auto" w:sz="4" w:space="0"/>
            </w:tcBorders>
            <w:noWrap w:val="0"/>
            <w:vAlign w:val="center"/>
          </w:tcPr>
          <w:p>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2.2.1</w:t>
            </w:r>
          </w:p>
        </w:tc>
        <w:tc>
          <w:tcPr>
            <w:tcW w:w="2169"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分值构成</w:t>
            </w:r>
          </w:p>
          <w:p>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(总分100分)</w:t>
            </w:r>
          </w:p>
        </w:tc>
        <w:tc>
          <w:tcPr>
            <w:tcW w:w="5154"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技术、商务部分</w:t>
            </w:r>
            <w:r>
              <w:rPr>
                <w:rFonts w:hint="eastAsia" w:ascii="宋体" w:hAnsi="宋体" w:eastAsia="宋体" w:cs="宋体"/>
                <w:color w:val="auto"/>
                <w:sz w:val="24"/>
                <w:szCs w:val="24"/>
              </w:rPr>
              <w:t>：</w:t>
            </w:r>
            <w:r>
              <w:rPr>
                <w:rFonts w:hint="eastAsia" w:ascii="宋体" w:hAnsi="宋体" w:cs="宋体"/>
                <w:color w:val="auto"/>
                <w:sz w:val="24"/>
                <w:szCs w:val="24"/>
                <w:u w:val="single"/>
                <w:lang w:val="en-US" w:eastAsia="zh-CN"/>
              </w:rPr>
              <w:t>9</w:t>
            </w:r>
            <w:r>
              <w:rPr>
                <w:rFonts w:hint="eastAsia" w:ascii="宋体" w:hAnsi="宋体" w:eastAsia="宋体" w:cs="宋体"/>
                <w:color w:val="auto"/>
                <w:sz w:val="24"/>
                <w:szCs w:val="24"/>
                <w:u w:val="single"/>
              </w:rPr>
              <w:t>0</w:t>
            </w:r>
            <w:r>
              <w:rPr>
                <w:rFonts w:hint="eastAsia" w:ascii="宋体" w:hAnsi="宋体" w:eastAsia="宋体" w:cs="宋体"/>
                <w:color w:val="auto"/>
                <w:sz w:val="24"/>
                <w:szCs w:val="24"/>
              </w:rPr>
              <w:t>分</w:t>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ascii="宋体" w:hAnsi="宋体" w:cs="宋体"/>
                <w:color w:val="auto"/>
                <w:sz w:val="24"/>
                <w:szCs w:val="24"/>
                <w:u w:val="single"/>
                <w:lang w:val="en-US" w:eastAsia="zh-CN"/>
              </w:rPr>
              <w:t>1</w:t>
            </w:r>
            <w:r>
              <w:rPr>
                <w:rFonts w:hint="eastAsia" w:ascii="宋体" w:hAnsi="宋体" w:eastAsia="宋体" w:cs="宋体"/>
                <w:color w:val="auto"/>
                <w:sz w:val="24"/>
                <w:szCs w:val="24"/>
                <w:u w:val="single"/>
              </w:rPr>
              <w:t>0</w:t>
            </w:r>
            <w:r>
              <w:rPr>
                <w:rFonts w:hint="eastAsia" w:ascii="宋体" w:hAnsi="宋体" w:eastAsia="宋体" w:cs="宋体"/>
                <w:color w:val="auto"/>
                <w:sz w:val="24"/>
                <w:szCs w:val="24"/>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71" w:type="dxa"/>
            <w:gridSpan w:val="2"/>
            <w:tcBorders>
              <w:top w:val="single" w:color="auto" w:sz="4" w:space="0"/>
              <w:bottom w:val="single" w:color="auto" w:sz="4" w:space="0"/>
              <w:right w:val="single" w:color="auto" w:sz="4" w:space="0"/>
            </w:tcBorders>
            <w:noWrap w:val="0"/>
            <w:vAlign w:val="center"/>
          </w:tcPr>
          <w:p>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2.2.2</w:t>
            </w:r>
          </w:p>
        </w:tc>
        <w:tc>
          <w:tcPr>
            <w:tcW w:w="2169"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投标报价得分计算</w:t>
            </w:r>
          </w:p>
        </w:tc>
        <w:tc>
          <w:tcPr>
            <w:tcW w:w="5154" w:type="dxa"/>
            <w:gridSpan w:val="2"/>
            <w:tcBorders>
              <w:top w:val="single" w:color="auto" w:sz="4" w:space="0"/>
              <w:left w:val="single" w:color="auto" w:sz="4" w:space="0"/>
              <w:bottom w:val="single" w:color="auto" w:sz="4" w:space="0"/>
              <w:right w:val="single" w:color="auto" w:sz="4" w:space="0"/>
            </w:tcBorders>
            <w:noWrap w:val="0"/>
            <w:vAlign w:val="center"/>
          </w:tcPr>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评标基准价 =有效投标报价的最低值，有效投标报价等于基准值的得满分，投标报价得分= （评标基准价/投标报价）×</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0。有效投标报价为通过初步审查的投标人报价；</w:t>
            </w:r>
          </w:p>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zh-CN" w:eastAsia="zh-CN" w:bidi="ar-SA"/>
              </w:rPr>
              <w:t>价格扣除办法:对于非专门面向中小企业的项目,对小型和微型企业(或联合体各方均为小型、微型企业的,残疾人福利性单位、监狱企业视为小微企业)产品的价格给予 6%的扣除,用扣除后的价格参与价格的评审。</w:t>
            </w:r>
            <w:r>
              <w:rPr>
                <w:rFonts w:hint="eastAsia" w:ascii="宋体" w:hAnsi="宋体" w:eastAsia="宋体" w:cs="宋体"/>
                <w:color w:val="auto"/>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1971" w:type="dxa"/>
            <w:gridSpan w:val="2"/>
            <w:vMerge w:val="restart"/>
            <w:tcBorders>
              <w:top w:val="single" w:color="auto" w:sz="4" w:space="0"/>
              <w:right w:val="single" w:color="auto" w:sz="4" w:space="0"/>
            </w:tcBorders>
            <w:noWrap w:val="0"/>
            <w:vAlign w:val="center"/>
          </w:tcPr>
          <w:p>
            <w:pP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中小型企业</w:t>
            </w:r>
          </w:p>
        </w:tc>
        <w:tc>
          <w:tcPr>
            <w:tcW w:w="732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根据工信部等部委发布的《关于印发中小企业划型标准规定的通知》（工信部联企业〔2011〕300号），按照本次采购标的所属行业的划型标准，符合条件的中小微企业须提供《中小企业声明函》。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971" w:type="dxa"/>
            <w:gridSpan w:val="2"/>
            <w:vMerge w:val="continue"/>
            <w:tcBorders>
              <w:right w:val="single" w:color="auto" w:sz="4" w:space="0"/>
            </w:tcBorders>
            <w:noWrap w:val="0"/>
            <w:vAlign w:val="center"/>
          </w:tcPr>
          <w:p>
            <w:pPr>
              <w:spacing w:line="440" w:lineRule="exact"/>
              <w:jc w:val="center"/>
              <w:rPr>
                <w:rFonts w:hint="eastAsia" w:ascii="宋体" w:hAnsi="宋体" w:eastAsia="宋体" w:cs="宋体"/>
                <w:color w:val="auto"/>
                <w:sz w:val="24"/>
                <w:szCs w:val="24"/>
              </w:rPr>
            </w:pPr>
          </w:p>
        </w:tc>
        <w:tc>
          <w:tcPr>
            <w:tcW w:w="732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根据财政部发布的《政府采购促进中小企业发展暂行办法》（财库〔2020〕46号）规定，评标时应当在采用原报价进行评分的基础上增加其价格得分的</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%作为其价格分。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1971" w:type="dxa"/>
            <w:gridSpan w:val="2"/>
            <w:vMerge w:val="continue"/>
            <w:tcBorders>
              <w:bottom w:val="single" w:color="auto" w:sz="4" w:space="0"/>
              <w:right w:val="single" w:color="auto" w:sz="4" w:space="0"/>
            </w:tcBorders>
            <w:noWrap w:val="0"/>
            <w:vAlign w:val="center"/>
          </w:tcPr>
          <w:p>
            <w:pPr>
              <w:spacing w:line="440" w:lineRule="exact"/>
              <w:jc w:val="center"/>
              <w:rPr>
                <w:rFonts w:hint="eastAsia" w:ascii="宋体" w:hAnsi="宋体" w:eastAsia="宋体" w:cs="宋体"/>
                <w:color w:val="auto"/>
                <w:sz w:val="24"/>
                <w:szCs w:val="24"/>
              </w:rPr>
            </w:pPr>
          </w:p>
        </w:tc>
        <w:tc>
          <w:tcPr>
            <w:tcW w:w="732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小、微企业只有提供本企业制造的货物、承担的工程或者服务，或者提供其他小、微企业制造的货物，享受投标货物的价格折扣；</w:t>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小型、微型企业提供中型企业制造的货物或使用大型企业注册商标货物的，视同为中型企业。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1971" w:type="dxa"/>
            <w:gridSpan w:val="2"/>
            <w:tcBorders>
              <w:top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监狱型企业</w:t>
            </w:r>
          </w:p>
        </w:tc>
        <w:tc>
          <w:tcPr>
            <w:tcW w:w="732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根据财库〔2014〕68号《财政部司法部关于政府采购支持监狱企业发展有关问题的通知》提供声明函，视同小型、微型企业。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71" w:type="dxa"/>
            <w:gridSpan w:val="2"/>
            <w:tcBorders>
              <w:top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福利型企业</w:t>
            </w:r>
          </w:p>
        </w:tc>
        <w:tc>
          <w:tcPr>
            <w:tcW w:w="7323"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根据财库〔2017〕141号《财政部民政部中国残疾人联合会关于促进残疾人就业政府采购政策的通知》，符合享受政府采购支持政策的残疾人福利性单位条件且提供《残疾人福利性单位声明函》的残疾人福利性单位，视同小型、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项目及权重</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满分</w:t>
            </w:r>
          </w:p>
          <w:p>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分值</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评  分  标  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0</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在所有的有效投标报价中，以最低投标报价为基准价，其价格分为满分。其他供应商的报价分统一按下列公式计算：投标报价得分=(评标基准价／投标报价)×价格权值（</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%）×10（四舍五入后保留小数点后两位）。</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项目实施方案</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20</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根据投标人提供的</w:t>
            </w:r>
            <w:r>
              <w:rPr>
                <w:rFonts w:hint="eastAsia" w:ascii="宋体" w:hAnsi="宋体" w:eastAsia="宋体" w:cs="宋体"/>
                <w:color w:val="auto"/>
                <w:sz w:val="24"/>
                <w:szCs w:val="24"/>
                <w:lang w:eastAsia="zh-CN"/>
              </w:rPr>
              <w:t>项目技术</w:t>
            </w:r>
            <w:r>
              <w:rPr>
                <w:rFonts w:hint="eastAsia" w:ascii="宋体" w:hAnsi="宋体" w:eastAsia="宋体" w:cs="宋体"/>
                <w:color w:val="auto"/>
                <w:sz w:val="24"/>
                <w:szCs w:val="24"/>
              </w:rPr>
              <w:t>方案</w:t>
            </w:r>
            <w:r>
              <w:rPr>
                <w:rFonts w:hint="eastAsia" w:ascii="宋体" w:hAnsi="宋体" w:eastAsia="宋体" w:cs="宋体"/>
                <w:color w:val="auto"/>
                <w:sz w:val="24"/>
                <w:szCs w:val="24"/>
                <w:lang w:eastAsia="zh-CN"/>
              </w:rPr>
              <w:t>，要求对整体方案描述功能及实现方式详细、先进，可操作性强</w:t>
            </w:r>
            <w:r>
              <w:rPr>
                <w:rFonts w:hint="eastAsia" w:ascii="宋体" w:hAnsi="宋体" w:eastAsia="宋体" w:cs="宋体"/>
                <w:color w:val="auto"/>
                <w:sz w:val="24"/>
                <w:szCs w:val="24"/>
              </w:rPr>
              <w:t>得</w:t>
            </w:r>
            <w:r>
              <w:rPr>
                <w:rFonts w:hint="eastAsia" w:ascii="宋体" w:hAnsi="宋体" w:cs="宋体"/>
                <w:color w:val="auto"/>
                <w:sz w:val="24"/>
                <w:szCs w:val="24"/>
                <w:lang w:val="en-US" w:eastAsia="zh-CN"/>
              </w:rPr>
              <w:t>15-20</w:t>
            </w:r>
            <w:r>
              <w:rPr>
                <w:rFonts w:hint="eastAsia" w:ascii="宋体" w:hAnsi="宋体" w:eastAsia="宋体" w:cs="宋体"/>
                <w:color w:val="auto"/>
                <w:sz w:val="24"/>
                <w:szCs w:val="24"/>
              </w:rPr>
              <w:t>分；方案较详细，可操作性强得</w:t>
            </w:r>
            <w:r>
              <w:rPr>
                <w:rFonts w:hint="eastAsia" w:ascii="宋体" w:hAnsi="宋体" w:cs="宋体"/>
                <w:color w:val="auto"/>
                <w:sz w:val="24"/>
                <w:szCs w:val="24"/>
                <w:lang w:val="en-US" w:eastAsia="zh-CN"/>
              </w:rPr>
              <w:t>7-14</w:t>
            </w:r>
            <w:r>
              <w:rPr>
                <w:rFonts w:hint="eastAsia" w:ascii="宋体" w:hAnsi="宋体" w:eastAsia="宋体" w:cs="宋体"/>
                <w:color w:val="auto"/>
                <w:sz w:val="24"/>
                <w:szCs w:val="24"/>
              </w:rPr>
              <w:t>分；方案及可操作性较差得</w:t>
            </w:r>
            <w:r>
              <w:rPr>
                <w:rFonts w:hint="eastAsia" w:ascii="宋体" w:hAnsi="宋体" w:cs="宋体"/>
                <w:color w:val="auto"/>
                <w:sz w:val="24"/>
                <w:szCs w:val="24"/>
                <w:lang w:val="en-US" w:eastAsia="zh-CN"/>
              </w:rPr>
              <w:t>1-6</w:t>
            </w:r>
            <w:r>
              <w:rPr>
                <w:rFonts w:hint="eastAsia" w:ascii="宋体" w:hAnsi="宋体" w:eastAsia="宋体" w:cs="宋体"/>
                <w:color w:val="auto"/>
                <w:sz w:val="24"/>
                <w:szCs w:val="24"/>
              </w:rPr>
              <w:t>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质量管理体系与措施</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val="en-US"/>
              </w:rPr>
            </w:pPr>
            <w:r>
              <w:rPr>
                <w:rFonts w:hint="eastAsia" w:ascii="宋体" w:hAnsi="宋体" w:cs="宋体"/>
                <w:color w:val="auto"/>
                <w:sz w:val="24"/>
                <w:szCs w:val="24"/>
                <w:lang w:val="en-US" w:eastAsia="zh-CN"/>
              </w:rPr>
              <w:t>5</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投标人质量管理体系与措施</w:t>
            </w:r>
            <w:r>
              <w:rPr>
                <w:rFonts w:hint="eastAsia" w:ascii="宋体" w:hAnsi="宋体" w:eastAsia="宋体" w:cs="宋体"/>
                <w:color w:val="auto"/>
                <w:sz w:val="24"/>
                <w:szCs w:val="24"/>
                <w:lang w:val="en-US" w:eastAsia="zh-CN"/>
              </w:rPr>
              <w:t>科学合理得</w:t>
            </w:r>
            <w:r>
              <w:rPr>
                <w:rFonts w:hint="eastAsia" w:ascii="宋体" w:hAnsi="宋体" w:cs="宋体"/>
                <w:color w:val="auto"/>
                <w:sz w:val="24"/>
                <w:szCs w:val="24"/>
                <w:lang w:val="en-US" w:eastAsia="zh-CN"/>
              </w:rPr>
              <w:t>4-5分；较合理得2-3分；合理性较差的</w:t>
            </w:r>
            <w:r>
              <w:rPr>
                <w:rFonts w:hint="eastAsia" w:ascii="宋体" w:hAnsi="宋体" w:eastAsia="宋体" w:cs="宋体"/>
                <w:color w:val="auto"/>
                <w:sz w:val="24"/>
                <w:szCs w:val="24"/>
                <w:lang w:val="en-US" w:eastAsia="zh-CN"/>
              </w:rPr>
              <w:t>得</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技术服务及保证措施</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投标人</w:t>
            </w:r>
            <w:r>
              <w:rPr>
                <w:rFonts w:hint="eastAsia" w:ascii="宋体" w:hAnsi="宋体" w:eastAsia="宋体" w:cs="宋体"/>
                <w:color w:val="auto"/>
                <w:sz w:val="24"/>
                <w:szCs w:val="24"/>
                <w:lang w:eastAsia="zh-CN"/>
              </w:rPr>
              <w:t>针对本项目技术服务及保证措施，措施明确、先进，可操作性强的得</w:t>
            </w:r>
            <w:r>
              <w:rPr>
                <w:rFonts w:hint="eastAsia" w:ascii="宋体" w:hAnsi="宋体" w:eastAsia="宋体" w:cs="宋体"/>
                <w:color w:val="auto"/>
                <w:sz w:val="24"/>
                <w:szCs w:val="24"/>
                <w:lang w:val="en-US" w:eastAsia="zh-CN"/>
              </w:rPr>
              <w:t>7-10分；措施较明确，可操作性一般的得3-6分；措施及可操作性较差的得1-2分。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类似项目业绩</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14</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近五年完成类似</w:t>
            </w:r>
            <w:r>
              <w:rPr>
                <w:rFonts w:hint="eastAsia" w:ascii="宋体" w:hAnsi="宋体" w:cs="宋体"/>
                <w:color w:val="auto"/>
                <w:sz w:val="24"/>
                <w:szCs w:val="24"/>
                <w:lang w:eastAsia="zh-CN"/>
              </w:rPr>
              <w:t>相关</w:t>
            </w:r>
            <w:r>
              <w:rPr>
                <w:rFonts w:hint="eastAsia" w:ascii="宋体" w:hAnsi="宋体" w:eastAsia="宋体" w:cs="宋体"/>
                <w:color w:val="auto"/>
                <w:sz w:val="24"/>
                <w:szCs w:val="24"/>
              </w:rPr>
              <w:t>业绩</w:t>
            </w:r>
            <w:r>
              <w:rPr>
                <w:rFonts w:hint="eastAsia" w:ascii="宋体" w:hAnsi="宋体" w:cs="宋体"/>
                <w:color w:val="auto"/>
                <w:sz w:val="24"/>
                <w:szCs w:val="24"/>
                <w:lang w:eastAsia="zh-CN"/>
              </w:rPr>
              <w:t>，</w:t>
            </w:r>
            <w:r>
              <w:rPr>
                <w:rFonts w:hint="eastAsia" w:ascii="宋体" w:hAnsi="宋体" w:eastAsia="宋体" w:cs="宋体"/>
                <w:color w:val="auto"/>
                <w:sz w:val="24"/>
                <w:szCs w:val="24"/>
              </w:rPr>
              <w:t>每提供1</w:t>
            </w:r>
            <w:r>
              <w:rPr>
                <w:rFonts w:hint="eastAsia" w:ascii="宋体" w:hAnsi="宋体" w:cs="宋体"/>
                <w:color w:val="auto"/>
                <w:sz w:val="24"/>
                <w:szCs w:val="24"/>
                <w:lang w:eastAsia="zh-CN"/>
              </w:rPr>
              <w:t>份</w:t>
            </w:r>
            <w:r>
              <w:rPr>
                <w:rFonts w:hint="eastAsia" w:ascii="宋体" w:hAnsi="宋体" w:eastAsia="宋体" w:cs="宋体"/>
                <w:color w:val="auto"/>
                <w:sz w:val="24"/>
                <w:szCs w:val="24"/>
              </w:rPr>
              <w:t>加2分，最</w:t>
            </w:r>
            <w:r>
              <w:rPr>
                <w:rFonts w:hint="eastAsia" w:ascii="宋体" w:hAnsi="宋体" w:cs="宋体"/>
                <w:color w:val="auto"/>
                <w:sz w:val="24"/>
                <w:szCs w:val="24"/>
                <w:lang w:eastAsia="zh-CN"/>
              </w:rPr>
              <w:t>高得</w:t>
            </w:r>
            <w:r>
              <w:rPr>
                <w:rFonts w:hint="eastAsia" w:ascii="宋体" w:hAnsi="宋体" w:eastAsia="宋体" w:cs="宋体"/>
                <w:color w:val="auto"/>
                <w:sz w:val="24"/>
                <w:szCs w:val="24"/>
              </w:rPr>
              <w:t>14分。</w:t>
            </w:r>
          </w:p>
          <w:p>
            <w:pPr>
              <w:spacing w:line="4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rPr>
              <w:t>证明材料可为：合同协议书</w:t>
            </w:r>
            <w:r>
              <w:rPr>
                <w:rFonts w:hint="eastAsia" w:ascii="宋体" w:hAnsi="宋体" w:cs="宋体"/>
                <w:color w:val="auto"/>
                <w:sz w:val="24"/>
                <w:szCs w:val="24"/>
                <w:lang w:eastAsia="zh-CN"/>
              </w:rPr>
              <w:t>或</w:t>
            </w:r>
            <w:r>
              <w:rPr>
                <w:rFonts w:hint="eastAsia" w:ascii="宋体" w:hAnsi="宋体" w:eastAsia="宋体" w:cs="宋体"/>
                <w:color w:val="auto"/>
                <w:sz w:val="24"/>
                <w:szCs w:val="24"/>
              </w:rPr>
              <w:t>中标（成交）通知书</w:t>
            </w:r>
            <w:r>
              <w:rPr>
                <w:rFonts w:hint="eastAsia" w:ascii="宋体" w:hAnsi="宋体" w:cs="宋体"/>
                <w:color w:val="auto"/>
                <w:sz w:val="24"/>
                <w:szCs w:val="24"/>
                <w:lang w:eastAsia="zh-CN"/>
              </w:rPr>
              <w:t>或</w:t>
            </w:r>
            <w:r>
              <w:rPr>
                <w:rFonts w:hint="eastAsia" w:ascii="宋体" w:hAnsi="宋体" w:eastAsia="宋体" w:cs="宋体"/>
                <w:color w:val="auto"/>
                <w:sz w:val="24"/>
                <w:szCs w:val="24"/>
              </w:rPr>
              <w:t>由项目业主出具的对投标申请人履行合同的证明文件等文件</w:t>
            </w:r>
            <w:r>
              <w:rPr>
                <w:rFonts w:hint="eastAsia" w:ascii="宋体" w:hAnsi="宋体" w:cs="宋体"/>
                <w:color w:val="auto"/>
                <w:sz w:val="24"/>
                <w:szCs w:val="24"/>
                <w:lang w:eastAsia="zh-CN"/>
              </w:rPr>
              <w:t>）</w:t>
            </w:r>
            <w:r>
              <w:rPr>
                <w:rFonts w:hint="eastAsia" w:ascii="宋体" w:hAnsi="宋体" w:eastAsia="宋体" w:cs="宋体"/>
                <w:color w:val="auto"/>
                <w:sz w:val="24"/>
                <w:szCs w:val="24"/>
              </w:rPr>
              <w:t>。未提供业绩证明材料的不得分。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安全、保密及文明施工</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根据投标人</w:t>
            </w:r>
            <w:r>
              <w:rPr>
                <w:rFonts w:hint="eastAsia" w:ascii="宋体" w:hAnsi="宋体" w:cs="宋体"/>
                <w:color w:val="auto"/>
                <w:sz w:val="24"/>
                <w:szCs w:val="24"/>
                <w:lang w:val="en-US" w:eastAsia="zh-CN"/>
              </w:rPr>
              <w:t>针对本项目的</w:t>
            </w:r>
            <w:r>
              <w:rPr>
                <w:rFonts w:hint="eastAsia" w:ascii="宋体" w:hAnsi="宋体" w:eastAsia="宋体" w:cs="宋体"/>
                <w:color w:val="auto"/>
                <w:sz w:val="24"/>
                <w:szCs w:val="24"/>
                <w:lang w:eastAsia="zh-CN"/>
              </w:rPr>
              <w:t>安全、保密及文明施工，</w:t>
            </w:r>
            <w:r>
              <w:rPr>
                <w:rFonts w:hint="eastAsia" w:ascii="宋体" w:hAnsi="宋体" w:eastAsia="宋体" w:cs="宋体"/>
                <w:color w:val="auto"/>
                <w:sz w:val="24"/>
                <w:szCs w:val="24"/>
                <w:lang w:val="en-US" w:eastAsia="zh-CN"/>
              </w:rPr>
              <w:t>科学合理得</w:t>
            </w:r>
            <w:r>
              <w:rPr>
                <w:rFonts w:hint="eastAsia" w:ascii="宋体" w:hAnsi="宋体" w:cs="宋体"/>
                <w:color w:val="auto"/>
                <w:sz w:val="24"/>
                <w:szCs w:val="24"/>
                <w:lang w:val="en-US" w:eastAsia="zh-CN"/>
              </w:rPr>
              <w:t>6-8</w:t>
            </w:r>
            <w:r>
              <w:rPr>
                <w:rFonts w:hint="eastAsia" w:ascii="宋体" w:hAnsi="宋体" w:eastAsia="宋体" w:cs="宋体"/>
                <w:color w:val="auto"/>
                <w:sz w:val="24"/>
                <w:szCs w:val="24"/>
                <w:lang w:val="en-US" w:eastAsia="zh-CN"/>
              </w:rPr>
              <w:t>分；较合理得</w:t>
            </w:r>
            <w:r>
              <w:rPr>
                <w:rFonts w:hint="eastAsia" w:ascii="宋体" w:hAnsi="宋体" w:cs="宋体"/>
                <w:color w:val="auto"/>
                <w:sz w:val="24"/>
                <w:szCs w:val="24"/>
                <w:lang w:val="en-US" w:eastAsia="zh-CN"/>
              </w:rPr>
              <w:t>3-5</w:t>
            </w:r>
            <w:r>
              <w:rPr>
                <w:rFonts w:hint="eastAsia" w:ascii="宋体" w:hAnsi="宋体" w:eastAsia="宋体" w:cs="宋体"/>
                <w:color w:val="auto"/>
                <w:sz w:val="24"/>
                <w:szCs w:val="24"/>
                <w:lang w:val="en-US" w:eastAsia="zh-CN"/>
              </w:rPr>
              <w:t>分；合理性较差的得1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r>
              <w:rPr>
                <w:rFonts w:hint="eastAsia" w:ascii="宋体" w:hAnsi="宋体" w:cs="宋体"/>
                <w:color w:val="auto"/>
                <w:sz w:val="24"/>
                <w:szCs w:val="24"/>
                <w:lang w:val="en-US" w:eastAsia="zh-CN"/>
              </w:rPr>
              <w:t>.</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成果质量保证措施</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根据投标人针对本项目</w:t>
            </w:r>
            <w:r>
              <w:rPr>
                <w:rFonts w:hint="eastAsia" w:ascii="宋体" w:hAnsi="宋体" w:eastAsia="宋体" w:cs="宋体"/>
                <w:color w:val="auto"/>
                <w:sz w:val="24"/>
                <w:szCs w:val="24"/>
                <w:lang w:eastAsia="zh-CN"/>
              </w:rPr>
              <w:t>成果质量保证措施</w:t>
            </w:r>
            <w:r>
              <w:rPr>
                <w:rFonts w:hint="eastAsia" w:ascii="宋体" w:hAnsi="宋体" w:eastAsia="宋体" w:cs="宋体"/>
                <w:color w:val="auto"/>
                <w:sz w:val="24"/>
                <w:szCs w:val="24"/>
                <w:lang w:val="en-US"/>
              </w:rPr>
              <w:t>，措施明确、先进，可操作性强的得</w:t>
            </w:r>
            <w:r>
              <w:rPr>
                <w:rFonts w:hint="eastAsia" w:ascii="宋体" w:hAnsi="宋体" w:cs="宋体"/>
                <w:color w:val="auto"/>
                <w:sz w:val="24"/>
                <w:szCs w:val="24"/>
                <w:lang w:val="en-US" w:eastAsia="zh-CN"/>
              </w:rPr>
              <w:t>8-10</w:t>
            </w:r>
            <w:r>
              <w:rPr>
                <w:rFonts w:hint="eastAsia" w:ascii="宋体" w:hAnsi="宋体" w:eastAsia="宋体" w:cs="宋体"/>
                <w:color w:val="auto"/>
                <w:sz w:val="24"/>
                <w:szCs w:val="24"/>
                <w:lang w:val="en-US"/>
              </w:rPr>
              <w:t>分；措施较明确，可操作性一般的得</w:t>
            </w:r>
            <w:r>
              <w:rPr>
                <w:rFonts w:hint="eastAsia" w:ascii="宋体" w:hAnsi="宋体" w:cs="宋体"/>
                <w:color w:val="auto"/>
                <w:sz w:val="24"/>
                <w:szCs w:val="24"/>
                <w:lang w:val="en-US" w:eastAsia="zh-CN"/>
              </w:rPr>
              <w:t>4-7</w:t>
            </w:r>
            <w:r>
              <w:rPr>
                <w:rFonts w:hint="eastAsia" w:ascii="宋体" w:hAnsi="宋体" w:eastAsia="宋体" w:cs="宋体"/>
                <w:color w:val="auto"/>
                <w:sz w:val="24"/>
                <w:szCs w:val="24"/>
                <w:lang w:val="en-US"/>
              </w:rPr>
              <w:t>分；措施及可操作性较差的得1-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rPr>
              <w:t>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计划用于本项目的仪器设备</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rPr>
              <w:t>根据投标人</w:t>
            </w:r>
            <w:r>
              <w:rPr>
                <w:rFonts w:hint="eastAsia" w:ascii="宋体" w:hAnsi="宋体" w:eastAsia="宋体" w:cs="宋体"/>
                <w:color w:val="auto"/>
                <w:sz w:val="24"/>
                <w:szCs w:val="24"/>
                <w:lang w:eastAsia="zh-CN"/>
              </w:rPr>
              <w:t>计划投入本项目的仪器设备，充足、配备合理的得</w:t>
            </w:r>
            <w:r>
              <w:rPr>
                <w:rFonts w:hint="eastAsia" w:ascii="宋体" w:hAnsi="宋体" w:eastAsia="宋体" w:cs="宋体"/>
                <w:color w:val="auto"/>
                <w:sz w:val="24"/>
                <w:szCs w:val="24"/>
                <w:lang w:val="en-US" w:eastAsia="zh-CN"/>
              </w:rPr>
              <w:t>6-8分；较充足、配备较合理的得3-5分；不够充分、配备合理性欠缺的得1-2分。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售后服务体系</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w:t>
            </w:r>
            <w:r>
              <w:rPr>
                <w:rFonts w:hint="eastAsia" w:ascii="宋体" w:hAnsi="宋体" w:cs="宋体"/>
                <w:color w:val="auto"/>
                <w:sz w:val="24"/>
                <w:szCs w:val="24"/>
                <w:lang w:val="en-US" w:eastAsia="zh-CN"/>
              </w:rPr>
              <w:t>投标人所提供的</w:t>
            </w:r>
            <w:r>
              <w:rPr>
                <w:rFonts w:hint="eastAsia" w:ascii="宋体" w:hAnsi="宋体" w:eastAsia="宋体" w:cs="宋体"/>
                <w:color w:val="auto"/>
                <w:sz w:val="24"/>
                <w:szCs w:val="24"/>
                <w:lang w:val="en-US" w:eastAsia="zh-CN"/>
              </w:rPr>
              <w:t>售后服务承诺完善性，售后机构、服务体系完备性；综合打分0-8分。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人员安排计划</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tabs>
                <w:tab w:val="left" w:pos="412"/>
              </w:tabs>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除项目经理和技术负责人外，每提供一项测绘类（以职称证为准）高级职称证书得1分，每提供一项测绘类中级职称证书得0.5分，最高得5分；(以相关人员养老保险对账单及资格证或合格通知为准)。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5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1</w:t>
            </w:r>
          </w:p>
        </w:tc>
        <w:tc>
          <w:tcPr>
            <w:tcW w:w="14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标函质量</w:t>
            </w:r>
          </w:p>
        </w:tc>
        <w:tc>
          <w:tcPr>
            <w:tcW w:w="79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5477"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响应文件有目录和页码、完全响应磋商文件中规定的制作装订要求且按照编制顺序制作完整的得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分；基本响应的得</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分；响应文件无目录、无页码或目录、页码编号不符合档案管理要求、未响应磋商文件规定的得0分。</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Cs w:val="21"/>
              </w:rPr>
            </w:pPr>
          </w:p>
        </w:tc>
      </w:tr>
    </w:tbl>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 供应商在评标过程中，所进行的力图影响评标结果的不符合招标规则的活动，可能导致其被取消中标资格。</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 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有重大偏离的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将被拒绝。</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 xml:space="preserve">  中标供应商的确认</w:t>
      </w:r>
    </w:p>
    <w:bookmarkEnd w:id="104"/>
    <w:p>
      <w:pPr>
        <w:bidi w:val="0"/>
        <w:spacing w:line="360" w:lineRule="auto"/>
        <w:ind w:firstLine="484" w:firstLineChars="200"/>
        <w:rPr>
          <w:rFonts w:hint="eastAsia" w:ascii="宋体" w:hAnsi="宋体" w:eastAsia="宋体" w:cs="宋体"/>
          <w:color w:val="auto"/>
          <w:sz w:val="24"/>
          <w:szCs w:val="24"/>
        </w:rPr>
      </w:pPr>
      <w:bookmarkStart w:id="108" w:name="_Toc18253"/>
      <w:bookmarkStart w:id="109" w:name="_Toc20139"/>
      <w:bookmarkStart w:id="110" w:name="_Toc9748"/>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推荐得分最高的为第一中标候选人。采购人应当接受</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推荐的中标候选人，不得在</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推荐的中标候选人之外确定中标人。</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无义务向供应商进行任何有关评标的解释工作。</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 采购人应当确定排名第一的中标候选人为中标供应商。排名第一的中标候选人放弃中标、因不可抗力提出不能履行合同，或者</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规定应当提交履约保证金而在规定的期限内未能提交的，采购人可以确定排名第二的中标候选人为中标供应商。</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 在确定中标供应商前，采购人不得与投标供应商就投标价格、投标方案等实质性内容进行谈判。</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 xml:space="preserve"> 中标通知</w:t>
      </w:r>
    </w:p>
    <w:p>
      <w:pPr>
        <w:bidi w:val="0"/>
        <w:spacing w:line="360" w:lineRule="auto"/>
        <w:ind w:firstLine="484" w:firstLineChars="200"/>
        <w:rPr>
          <w:rFonts w:hint="eastAsia" w:ascii="宋体" w:hAnsi="宋体" w:eastAsia="宋体" w:cs="宋体"/>
          <w:color w:val="auto"/>
          <w:sz w:val="24"/>
          <w:szCs w:val="24"/>
          <w:highlight w:val="none"/>
          <w:lang w:eastAsia="zh-CN"/>
        </w:rPr>
      </w:pPr>
      <w:bookmarkStart w:id="111" w:name="_Toc3169"/>
      <w:bookmarkStart w:id="112" w:name="_Toc16205"/>
      <w:bookmarkStart w:id="113" w:name="_Toc13637"/>
      <w:bookmarkStart w:id="114" w:name="_Toc30172"/>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采购人或者采购代理机构应当自中标供应商确定之日起2个工作日内，发出中标通知书，并在省级以上人民政府财政部门指定的媒体上公告中标结果</w:t>
      </w:r>
      <w:r>
        <w:rPr>
          <w:rFonts w:hint="eastAsia" w:ascii="宋体" w:hAnsi="宋体" w:eastAsia="宋体" w:cs="宋体"/>
          <w:color w:val="auto"/>
          <w:sz w:val="24"/>
          <w:szCs w:val="24"/>
          <w:highlight w:val="none"/>
          <w:lang w:eastAsia="zh-CN"/>
        </w:rPr>
        <w:t>。</w:t>
      </w:r>
    </w:p>
    <w:p>
      <w:pPr>
        <w:bidi w:val="0"/>
        <w:spacing w:line="360" w:lineRule="auto"/>
        <w:ind w:firstLine="484"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.2</w:t>
      </w:r>
      <w:r>
        <w:rPr>
          <w:rFonts w:hint="eastAsia" w:ascii="宋体" w:hAnsi="宋体" w:eastAsia="宋体" w:cs="宋体"/>
          <w:b/>
          <w:bCs/>
          <w:color w:val="auto"/>
          <w:sz w:val="24"/>
          <w:szCs w:val="24"/>
          <w:highlight w:val="none"/>
        </w:rPr>
        <w:t xml:space="preserve"> </w:t>
      </w:r>
      <w:bookmarkEnd w:id="111"/>
      <w:bookmarkEnd w:id="112"/>
      <w:bookmarkEnd w:id="113"/>
      <w:bookmarkEnd w:id="114"/>
      <w:r>
        <w:rPr>
          <w:rFonts w:hint="eastAsia" w:ascii="宋体" w:hAnsi="宋体" w:eastAsia="宋体" w:cs="宋体"/>
          <w:color w:val="auto"/>
          <w:sz w:val="24"/>
          <w:szCs w:val="24"/>
          <w:highlight w:val="none"/>
        </w:rPr>
        <w:t>中标通知书对采购人和中标供应商均具有法律效力。中标通知书发出后，采购人改变中标结果的，或者中标供应商放弃中标项目的，应当依法承担法律责任。</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 xml:space="preserve">  拒绝投标的权力</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采购人有权在定标前拒绝任何有不正当行为或扰乱正常采购工作的供应商，由此对供应商造成的损失不负任何责任，同时对此也不做任何解释。</w:t>
      </w:r>
    </w:p>
    <w:p>
      <w:pPr>
        <w:bidi w:val="0"/>
        <w:spacing w:line="360" w:lineRule="auto"/>
        <w:jc w:val="center"/>
        <w:rPr>
          <w:rFonts w:hint="eastAsia" w:ascii="宋体" w:hAnsi="宋体" w:eastAsia="宋体" w:cs="宋体"/>
          <w:b/>
          <w:bCs/>
          <w:color w:val="auto"/>
          <w:sz w:val="24"/>
          <w:szCs w:val="24"/>
        </w:rPr>
      </w:pPr>
    </w:p>
    <w:p>
      <w:pPr>
        <w:bidi w:val="0"/>
        <w:spacing w:line="360" w:lineRule="auto"/>
        <w:jc w:val="center"/>
        <w:rPr>
          <w:rFonts w:hint="eastAsia" w:ascii="宋体" w:hAnsi="宋体" w:eastAsia="宋体" w:cs="宋体"/>
          <w:b/>
          <w:bCs/>
          <w:color w:val="auto"/>
          <w:sz w:val="24"/>
          <w:szCs w:val="24"/>
        </w:rPr>
      </w:pPr>
    </w:p>
    <w:p>
      <w:pPr>
        <w:bidi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七、 授予合同</w:t>
      </w:r>
      <w:bookmarkEnd w:id="108"/>
      <w:bookmarkEnd w:id="109"/>
      <w:bookmarkEnd w:id="110"/>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29</w:t>
      </w:r>
      <w:r>
        <w:rPr>
          <w:rFonts w:hint="eastAsia" w:ascii="宋体" w:hAnsi="宋体" w:eastAsia="宋体" w:cs="宋体"/>
          <w:b/>
          <w:bCs/>
          <w:color w:val="auto"/>
          <w:sz w:val="24"/>
          <w:szCs w:val="24"/>
        </w:rPr>
        <w:t xml:space="preserve">  签订商务合同</w:t>
      </w:r>
    </w:p>
    <w:p>
      <w:pPr>
        <w:bidi w:val="0"/>
        <w:spacing w:line="360" w:lineRule="auto"/>
        <w:ind w:firstLine="484"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29</w:t>
      </w:r>
      <w:r>
        <w:rPr>
          <w:rFonts w:hint="eastAsia" w:ascii="宋体" w:hAnsi="宋体" w:eastAsia="宋体" w:cs="宋体"/>
          <w:color w:val="auto"/>
          <w:sz w:val="24"/>
          <w:szCs w:val="24"/>
        </w:rPr>
        <w:t>.1</w:t>
      </w:r>
      <w:r>
        <w:rPr>
          <w:rFonts w:hint="eastAsia" w:ascii="宋体" w:hAnsi="宋体" w:eastAsia="宋体" w:cs="宋体"/>
          <w:color w:val="auto"/>
          <w:sz w:val="24"/>
          <w:szCs w:val="24"/>
          <w:highlight w:val="none"/>
        </w:rPr>
        <w:t xml:space="preserve"> 采购人与中标供应商应当在中标通知书发出之日起30日内，按照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确定的事项签订政府采购合同。</w:t>
      </w:r>
    </w:p>
    <w:p>
      <w:pPr>
        <w:bidi w:val="0"/>
        <w:spacing w:line="360" w:lineRule="auto"/>
        <w:ind w:firstLine="484"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 中标合同不得转让。</w:t>
      </w:r>
      <w:r>
        <w:rPr>
          <w:rFonts w:hint="eastAsia" w:ascii="宋体" w:hAnsi="宋体" w:eastAsia="宋体" w:cs="宋体"/>
          <w:color w:val="auto"/>
          <w:sz w:val="24"/>
          <w:szCs w:val="24"/>
          <w:highlight w:val="none"/>
          <w:lang w:val="en-US" w:eastAsia="zh-CN"/>
        </w:rPr>
        <w:t>经采购人同意，中标供应商可以依法采取分包方式履行合同。政府采购合同分包履</w:t>
      </w:r>
      <w:bookmarkStart w:id="249" w:name="_GoBack"/>
      <w:bookmarkEnd w:id="249"/>
      <w:r>
        <w:rPr>
          <w:rFonts w:hint="eastAsia" w:ascii="宋体" w:hAnsi="宋体" w:eastAsia="宋体" w:cs="宋体"/>
          <w:color w:val="auto"/>
          <w:sz w:val="24"/>
          <w:szCs w:val="24"/>
          <w:highlight w:val="none"/>
          <w:lang w:val="en-US" w:eastAsia="zh-CN"/>
        </w:rPr>
        <w:t>行的，中标供应商就采购项目和分包项目向采购人负责，分包供应商就分包项目承担责任。</w:t>
      </w:r>
    </w:p>
    <w:p>
      <w:pPr>
        <w:bidi w:val="0"/>
        <w:spacing w:line="360" w:lineRule="auto"/>
        <w:ind w:firstLine="484"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rPr>
        <w:t>要求中标或者成交供应商提交履约保证金的，供应商应当以支票、汇票、本票或者金融机构、担保机构出具的保函等非现金形式提交。履约保证金的数额不得超过政府采购合同金额的10%。</w:t>
      </w:r>
    </w:p>
    <w:p>
      <w:pPr>
        <w:bidi w:val="0"/>
        <w:spacing w:line="360" w:lineRule="auto"/>
        <w:ind w:firstLine="484"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.4 中标供应商拒绝与采购人签订合同的，采购人可以按照评审报告推荐的中标候选人名单排序，确定下一候选人为中标供应商，也可以重新开展政府采购活动。</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29</w:t>
      </w:r>
      <w:r>
        <w:rPr>
          <w:rFonts w:hint="eastAsia" w:ascii="宋体" w:hAnsi="宋体" w:eastAsia="宋体" w:cs="宋体"/>
          <w:color w:val="auto"/>
          <w:sz w:val="24"/>
          <w:szCs w:val="24"/>
        </w:rPr>
        <w:t>.5 政府采购合同的双方当事人不得擅自变更、中止或者终止合同。</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政府采购合同继续履行将损害国家利益和社会公共利益的，双方当事人应当变更、中止或者终止合同。有过错的一方应当承担赔偿责任，双方都有过错的，各自承担相应的责任。</w:t>
      </w:r>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w:t>
      </w:r>
      <w:r>
        <w:rPr>
          <w:rFonts w:hint="eastAsia" w:ascii="宋体" w:hAnsi="宋体" w:eastAsia="宋体" w:cs="宋体"/>
          <w:b/>
          <w:bCs/>
          <w:color w:val="auto"/>
          <w:sz w:val="24"/>
          <w:szCs w:val="24"/>
          <w:lang w:val="en-US" w:eastAsia="zh-CN"/>
        </w:rPr>
        <w:t>0</w:t>
      </w:r>
      <w:r>
        <w:rPr>
          <w:rFonts w:hint="eastAsia" w:ascii="宋体" w:hAnsi="宋体" w:eastAsia="宋体" w:cs="宋体"/>
          <w:b/>
          <w:bCs/>
          <w:color w:val="auto"/>
          <w:sz w:val="24"/>
          <w:szCs w:val="24"/>
        </w:rPr>
        <w:t xml:space="preserve">  商务合同的组成</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 下列文件均为商务合同不可分割的组成部分：</w:t>
      </w:r>
    </w:p>
    <w:p>
      <w:pPr>
        <w:bidi w:val="0"/>
        <w:spacing w:line="360" w:lineRule="auto"/>
        <w:ind w:firstLine="484" w:firstLineChars="200"/>
        <w:rPr>
          <w:rFonts w:hint="eastAsia" w:ascii="宋体" w:hAnsi="宋体" w:eastAsia="宋体" w:cs="宋体"/>
          <w:color w:val="auto"/>
          <w:sz w:val="28"/>
          <w:szCs w:val="28"/>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.1.1 中标通知书；</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.1.2 中标供应商的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.1.3 供应商澄清、说明或补正文件；</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 xml:space="preserve">.1.4 </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w:t>
      </w:r>
    </w:p>
    <w:p>
      <w:pPr>
        <w:bidi w:val="0"/>
        <w:spacing w:line="360" w:lineRule="auto"/>
        <w:jc w:val="center"/>
        <w:rPr>
          <w:rFonts w:hint="eastAsia" w:ascii="宋体" w:hAnsi="宋体" w:eastAsia="宋体" w:cs="宋体"/>
          <w:b/>
          <w:bCs/>
          <w:color w:val="auto"/>
          <w:sz w:val="24"/>
          <w:szCs w:val="24"/>
        </w:rPr>
      </w:pPr>
      <w:bookmarkStart w:id="115" w:name="_Toc26655"/>
      <w:bookmarkStart w:id="116" w:name="_Toc24734"/>
      <w:bookmarkStart w:id="117" w:name="_Toc26147"/>
      <w:bookmarkStart w:id="118" w:name="_Toc23890"/>
      <w:bookmarkStart w:id="119" w:name="_Toc17298"/>
      <w:bookmarkStart w:id="120" w:name="_Toc9177"/>
      <w:bookmarkStart w:id="121" w:name="_Toc7458"/>
      <w:bookmarkStart w:id="122" w:name="_Toc10488"/>
      <w:bookmarkStart w:id="123" w:name="_Toc21514"/>
      <w:bookmarkStart w:id="124" w:name="_Toc3090"/>
      <w:r>
        <w:rPr>
          <w:rFonts w:hint="eastAsia" w:ascii="宋体" w:hAnsi="宋体" w:eastAsia="宋体" w:cs="宋体"/>
          <w:b/>
          <w:bCs/>
          <w:color w:val="auto"/>
          <w:sz w:val="24"/>
          <w:szCs w:val="24"/>
        </w:rPr>
        <w:t>八、</w:t>
      </w:r>
      <w:bookmarkEnd w:id="115"/>
      <w:bookmarkEnd w:id="116"/>
      <w:bookmarkEnd w:id="117"/>
      <w:bookmarkEnd w:id="118"/>
      <w:bookmarkEnd w:id="119"/>
      <w:bookmarkEnd w:id="120"/>
      <w:bookmarkEnd w:id="121"/>
      <w:bookmarkEnd w:id="122"/>
      <w:bookmarkEnd w:id="123"/>
      <w:bookmarkEnd w:id="124"/>
      <w:r>
        <w:rPr>
          <w:rFonts w:hint="eastAsia" w:ascii="宋体" w:hAnsi="宋体" w:eastAsia="宋体" w:cs="宋体"/>
          <w:b/>
          <w:bCs/>
          <w:color w:val="auto"/>
          <w:sz w:val="24"/>
          <w:szCs w:val="24"/>
        </w:rPr>
        <w:t>采购人更改货物、工程或者服务的权利</w:t>
      </w:r>
    </w:p>
    <w:p>
      <w:pPr>
        <w:bidi w:val="0"/>
        <w:spacing w:line="360" w:lineRule="auto"/>
        <w:jc w:val="both"/>
        <w:rPr>
          <w:rFonts w:hint="eastAsia" w:ascii="宋体" w:hAnsi="宋体" w:eastAsia="宋体" w:cs="宋体"/>
          <w:b w:val="0"/>
          <w:bCs w:val="0"/>
          <w:color w:val="auto"/>
          <w:sz w:val="24"/>
          <w:szCs w:val="24"/>
        </w:rPr>
      </w:pPr>
      <w:bookmarkStart w:id="125" w:name="_Toc16744"/>
      <w:bookmarkStart w:id="126" w:name="_Toc23616"/>
      <w:bookmarkStart w:id="127" w:name="_Toc31555"/>
      <w:bookmarkStart w:id="128" w:name="_Toc27177"/>
      <w:bookmarkStart w:id="129" w:name="_Toc13025"/>
      <w:bookmarkStart w:id="130" w:name="_Toc31334"/>
      <w:bookmarkStart w:id="131" w:name="_Toc31453"/>
      <w:bookmarkStart w:id="132" w:name="_Toc13678"/>
      <w:bookmarkStart w:id="133" w:name="_Toc23715"/>
      <w:bookmarkStart w:id="134" w:name="_Toc2769"/>
      <w:r>
        <w:rPr>
          <w:rFonts w:hint="eastAsia" w:ascii="宋体" w:hAnsi="宋体" w:eastAsia="宋体" w:cs="宋体"/>
          <w:b w:val="0"/>
          <w:bCs w:val="0"/>
          <w:color w:val="auto"/>
          <w:sz w:val="24"/>
          <w:szCs w:val="24"/>
          <w:lang w:val="en-US" w:eastAsia="zh-CN"/>
        </w:rPr>
        <w:t xml:space="preserve">31  </w:t>
      </w:r>
      <w:r>
        <w:rPr>
          <w:rFonts w:hint="eastAsia" w:ascii="宋体" w:hAnsi="宋体" w:eastAsia="宋体" w:cs="宋体"/>
          <w:b w:val="0"/>
          <w:bCs w:val="0"/>
          <w:color w:val="auto"/>
          <w:sz w:val="24"/>
          <w:szCs w:val="24"/>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pPr>
        <w:bidi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九、其他事项</w:t>
      </w:r>
      <w:bookmarkEnd w:id="125"/>
      <w:bookmarkEnd w:id="126"/>
      <w:bookmarkEnd w:id="127"/>
      <w:bookmarkEnd w:id="128"/>
      <w:bookmarkEnd w:id="129"/>
      <w:bookmarkEnd w:id="130"/>
      <w:bookmarkEnd w:id="131"/>
      <w:bookmarkEnd w:id="132"/>
      <w:bookmarkEnd w:id="133"/>
      <w:bookmarkEnd w:id="134"/>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采购代理服务费</w:t>
      </w:r>
    </w:p>
    <w:p>
      <w:pPr>
        <w:bidi w:val="0"/>
        <w:spacing w:line="360" w:lineRule="auto"/>
        <w:ind w:firstLine="484" w:firstLineChars="200"/>
        <w:rPr>
          <w:rFonts w:hint="eastAsia" w:ascii="宋体" w:hAnsi="宋体" w:eastAsia="宋体" w:cs="宋体"/>
          <w:b w:val="0"/>
          <w:bCs w:val="0"/>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w:t>
      </w:r>
      <w:r>
        <w:rPr>
          <w:rFonts w:hint="eastAsia" w:ascii="宋体" w:hAnsi="宋体" w:eastAsia="宋体" w:cs="宋体"/>
          <w:b w:val="0"/>
          <w:bCs w:val="0"/>
          <w:color w:val="auto"/>
          <w:sz w:val="24"/>
          <w:szCs w:val="24"/>
          <w:lang w:val="en-US" w:eastAsia="zh-CN"/>
        </w:rPr>
        <w:t>由中标单位支付，</w:t>
      </w:r>
      <w:r>
        <w:rPr>
          <w:rFonts w:hint="eastAsia" w:ascii="宋体" w:hAnsi="宋体" w:eastAsia="宋体" w:cs="宋体"/>
          <w:b w:val="0"/>
          <w:bCs w:val="0"/>
          <w:color w:val="auto"/>
          <w:sz w:val="24"/>
          <w:szCs w:val="24"/>
        </w:rPr>
        <w:t>收取标准参照国计委计价格[2002]1980号文执行。</w:t>
      </w:r>
    </w:p>
    <w:p>
      <w:pPr>
        <w:bidi w:val="0"/>
        <w:spacing w:line="360" w:lineRule="auto"/>
        <w:ind w:firstLine="484"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 采购代理服务费的计算基数是</w:t>
      </w:r>
      <w:r>
        <w:rPr>
          <w:rFonts w:hint="eastAsia" w:ascii="宋体" w:hAnsi="宋体" w:eastAsia="宋体" w:cs="宋体"/>
          <w:b/>
          <w:bCs/>
          <w:color w:val="auto"/>
          <w:sz w:val="24"/>
          <w:szCs w:val="24"/>
          <w:u w:val="single"/>
        </w:rPr>
        <w:t>中标通知书中载明的中标总金额</w:t>
      </w:r>
      <w:r>
        <w:rPr>
          <w:rFonts w:hint="eastAsia" w:ascii="宋体" w:hAnsi="宋体" w:eastAsia="宋体" w:cs="宋体"/>
          <w:color w:val="auto"/>
          <w:sz w:val="24"/>
          <w:szCs w:val="24"/>
        </w:rPr>
        <w:t>。</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本</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是根据《中华人民共和国政府采购法》、《中华人民共和国政府采购法实施条例》的规定编制，解释权属</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参与本次采购的供应商应当有商务、技术人员对</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提出的商务、技术问题进行答疑。</w:t>
      </w:r>
      <w:bookmarkStart w:id="135" w:name="_Toc19116"/>
      <w:bookmarkStart w:id="136" w:name="_Toc5864"/>
      <w:bookmarkStart w:id="137" w:name="_Toc20823315"/>
      <w:bookmarkStart w:id="138" w:name="_Toc513029243"/>
      <w:bookmarkStart w:id="139" w:name="_Toc22740"/>
      <w:bookmarkStart w:id="140" w:name="_Toc21863"/>
      <w:bookmarkStart w:id="141" w:name="_Toc27564"/>
      <w:bookmarkStart w:id="142" w:name="_Toc16938559"/>
    </w:p>
    <w:p>
      <w:pPr>
        <w:pStyle w:val="13"/>
        <w:rPr>
          <w:rFonts w:hint="eastAsia" w:ascii="宋体" w:hAnsi="宋体" w:eastAsia="宋体" w:cs="宋体"/>
          <w:color w:val="auto"/>
          <w:sz w:val="24"/>
          <w:szCs w:val="24"/>
        </w:rPr>
        <w:sectPr>
          <w:headerReference r:id="rId9" w:type="first"/>
          <w:footerReference r:id="rId11" w:type="first"/>
          <w:headerReference r:id="rId8" w:type="default"/>
          <w:footerReference r:id="rId10" w:type="default"/>
          <w:pgSz w:w="11906" w:h="16838"/>
          <w:pgMar w:top="1417" w:right="1417" w:bottom="1417" w:left="1417" w:header="851" w:footer="850" w:gutter="0"/>
          <w:pgNumType w:fmt="decimal"/>
          <w:cols w:space="720" w:num="1"/>
          <w:titlePg/>
          <w:docGrid w:type="linesAndChars" w:linePitch="312" w:charSpace="530"/>
        </w:sectPr>
      </w:pPr>
    </w:p>
    <w:p>
      <w:pPr>
        <w:pStyle w:val="5"/>
        <w:numPr>
          <w:ilvl w:val="0"/>
          <w:numId w:val="0"/>
        </w:numPr>
        <w:bidi w:val="0"/>
        <w:jc w:val="center"/>
        <w:rPr>
          <w:rStyle w:val="28"/>
          <w:rFonts w:hint="eastAsia" w:ascii="宋体" w:hAnsi="宋体" w:eastAsia="宋体" w:cs="宋体"/>
          <w:b/>
          <w:bCs/>
          <w:color w:val="auto"/>
          <w:sz w:val="32"/>
          <w:szCs w:val="32"/>
          <w:lang w:eastAsia="zh-CN"/>
        </w:rPr>
      </w:pPr>
      <w:bookmarkStart w:id="143" w:name="_Toc30169"/>
      <w:bookmarkStart w:id="144" w:name="_Toc9376"/>
      <w:r>
        <w:rPr>
          <w:rStyle w:val="28"/>
          <w:rFonts w:hint="eastAsia" w:ascii="宋体" w:hAnsi="宋体" w:eastAsia="宋体" w:cs="宋体"/>
          <w:b/>
          <w:bCs/>
          <w:color w:val="auto"/>
          <w:sz w:val="32"/>
          <w:szCs w:val="32"/>
          <w:lang w:eastAsia="zh-CN"/>
        </w:rPr>
        <w:t>第三章</w:t>
      </w:r>
      <w:r>
        <w:rPr>
          <w:rStyle w:val="28"/>
          <w:rFonts w:hint="eastAsia" w:ascii="宋体" w:hAnsi="宋体" w:eastAsia="宋体" w:cs="宋体"/>
          <w:b/>
          <w:bCs/>
          <w:color w:val="auto"/>
          <w:sz w:val="32"/>
          <w:szCs w:val="32"/>
          <w:lang w:val="en-US" w:eastAsia="zh-CN"/>
        </w:rPr>
        <w:t xml:space="preserve"> </w:t>
      </w:r>
      <w:r>
        <w:rPr>
          <w:rStyle w:val="28"/>
          <w:rFonts w:hint="eastAsia" w:ascii="宋体" w:hAnsi="宋体" w:eastAsia="宋体" w:cs="宋体"/>
          <w:b/>
          <w:bCs/>
          <w:color w:val="auto"/>
          <w:sz w:val="32"/>
          <w:szCs w:val="32"/>
          <w:lang w:eastAsia="zh-CN"/>
        </w:rPr>
        <w:t>采购内容及技术要求</w:t>
      </w:r>
      <w:bookmarkEnd w:id="135"/>
      <w:bookmarkEnd w:id="136"/>
      <w:bookmarkEnd w:id="137"/>
      <w:bookmarkEnd w:id="138"/>
      <w:bookmarkEnd w:id="139"/>
      <w:bookmarkEnd w:id="140"/>
      <w:bookmarkEnd w:id="141"/>
      <w:bookmarkEnd w:id="142"/>
      <w:bookmarkEnd w:id="143"/>
      <w:bookmarkEnd w:id="144"/>
      <w:bookmarkStart w:id="145" w:name="_Toc24433"/>
      <w:bookmarkStart w:id="146" w:name="_Toc28012"/>
      <w:bookmarkStart w:id="147" w:name="_Toc20911"/>
      <w:bookmarkStart w:id="148" w:name="_Toc28246"/>
      <w:bookmarkStart w:id="149" w:name="_Toc32575"/>
      <w:bookmarkStart w:id="150" w:name="_Toc16706"/>
      <w:bookmarkStart w:id="151" w:name="_Toc16272"/>
    </w:p>
    <w:p>
      <w:pPr>
        <w:pStyle w:val="23"/>
        <w:ind w:firstLine="708" w:firstLineChars="300"/>
        <w:rPr>
          <w:rFonts w:hint="eastAsia"/>
          <w:lang w:eastAsia="zh-CN"/>
        </w:rPr>
      </w:pPr>
      <w:r>
        <w:rPr>
          <w:rFonts w:hint="eastAsia"/>
          <w:lang w:eastAsia="zh-CN"/>
        </w:rPr>
        <w:t>对米兰河、黄水沟河、煤矿沟、哈满沟、克其克托格腊克沟、包尔图沟、6条河和博斯腾湖、塔里木胡杨自然保护区、巴音布鲁克自然保护区，进行统一确权登记工作。</w:t>
      </w:r>
    </w:p>
    <w:p>
      <w:pPr>
        <w:rPr>
          <w:rFonts w:hint="eastAsia"/>
          <w:lang w:eastAsia="zh-CN"/>
        </w:rPr>
      </w:pPr>
      <w:r>
        <w:rPr>
          <w:rFonts w:hint="eastAsia"/>
          <w:lang w:eastAsia="zh-CN"/>
        </w:rPr>
        <w:br w:type="page"/>
      </w:r>
    </w:p>
    <w:p>
      <w:pPr>
        <w:pStyle w:val="23"/>
        <w:ind w:firstLine="708" w:firstLineChars="300"/>
        <w:rPr>
          <w:rFonts w:hint="eastAsia"/>
          <w:lang w:eastAsia="zh-CN"/>
        </w:rPr>
      </w:pPr>
    </w:p>
    <w:p>
      <w:pPr>
        <w:rPr>
          <w:rFonts w:hint="eastAsia"/>
        </w:rPr>
      </w:pPr>
    </w:p>
    <w:p>
      <w:pPr>
        <w:pStyle w:val="5"/>
        <w:numPr>
          <w:ilvl w:val="0"/>
          <w:numId w:val="5"/>
        </w:numPr>
        <w:bidi w:val="0"/>
        <w:rPr>
          <w:rStyle w:val="28"/>
          <w:rFonts w:hint="eastAsia" w:ascii="宋体" w:hAnsi="宋体" w:eastAsia="宋体" w:cs="宋体"/>
          <w:b/>
          <w:bCs/>
          <w:color w:val="auto"/>
          <w:sz w:val="32"/>
          <w:szCs w:val="32"/>
        </w:rPr>
      </w:pPr>
      <w:r>
        <w:rPr>
          <w:rStyle w:val="28"/>
          <w:rFonts w:hint="eastAsia" w:ascii="宋体" w:hAnsi="宋体" w:eastAsia="宋体" w:cs="宋体"/>
          <w:b/>
          <w:bCs/>
          <w:color w:val="auto"/>
          <w:sz w:val="32"/>
          <w:szCs w:val="32"/>
        </w:rPr>
        <w:t>主要</w:t>
      </w:r>
      <w:r>
        <w:rPr>
          <w:rStyle w:val="28"/>
          <w:rFonts w:hint="eastAsia" w:ascii="宋体" w:hAnsi="宋体" w:eastAsia="宋体" w:cs="宋体"/>
          <w:b/>
          <w:bCs/>
          <w:color w:val="auto"/>
          <w:sz w:val="32"/>
          <w:szCs w:val="32"/>
          <w:lang w:eastAsia="zh-CN"/>
        </w:rPr>
        <w:t>响应文件</w:t>
      </w:r>
      <w:r>
        <w:rPr>
          <w:rStyle w:val="28"/>
          <w:rFonts w:hint="eastAsia" w:ascii="宋体" w:hAnsi="宋体" w:eastAsia="宋体" w:cs="宋体"/>
          <w:b/>
          <w:bCs/>
          <w:color w:val="auto"/>
          <w:sz w:val="32"/>
          <w:szCs w:val="32"/>
        </w:rPr>
        <w:t>的格式及其内容</w:t>
      </w:r>
      <w:bookmarkEnd w:id="145"/>
      <w:bookmarkEnd w:id="146"/>
    </w:p>
    <w:p>
      <w:pPr>
        <w:bidi w:val="0"/>
        <w:jc w:val="center"/>
        <w:rPr>
          <w:rFonts w:hint="eastAsia" w:ascii="宋体" w:hAnsi="宋体" w:eastAsia="宋体" w:cs="宋体"/>
          <w:sz w:val="72"/>
          <w:szCs w:val="72"/>
          <w:lang w:eastAsia="zh-CN"/>
        </w:rPr>
      </w:pPr>
    </w:p>
    <w:p>
      <w:pPr>
        <w:bidi w:val="0"/>
        <w:jc w:val="center"/>
        <w:rPr>
          <w:rFonts w:hint="eastAsia" w:ascii="宋体" w:hAnsi="宋体" w:eastAsia="宋体" w:cs="宋体"/>
          <w:sz w:val="72"/>
          <w:szCs w:val="72"/>
          <w:lang w:eastAsia="zh-CN"/>
        </w:rPr>
      </w:pPr>
      <w:r>
        <w:rPr>
          <w:rFonts w:hint="eastAsia" w:ascii="宋体" w:hAnsi="宋体" w:eastAsia="宋体" w:cs="宋体"/>
          <w:sz w:val="72"/>
          <w:szCs w:val="72"/>
          <w:lang w:eastAsia="zh-CN"/>
        </w:rPr>
        <w:t>响应文件</w:t>
      </w:r>
    </w:p>
    <w:p>
      <w:pPr>
        <w:pStyle w:val="13"/>
        <w:rPr>
          <w:rFonts w:hint="eastAsia" w:ascii="宋体" w:hAnsi="宋体" w:eastAsia="宋体" w:cs="宋体"/>
          <w:sz w:val="72"/>
          <w:szCs w:val="72"/>
          <w:lang w:eastAsia="zh-CN"/>
        </w:rPr>
      </w:pPr>
    </w:p>
    <w:p>
      <w:pPr>
        <w:rPr>
          <w:rFonts w:hint="eastAsia" w:ascii="宋体" w:hAnsi="宋体" w:eastAsia="宋体" w:cs="宋体"/>
          <w:sz w:val="72"/>
          <w:szCs w:val="72"/>
          <w:lang w:eastAsia="zh-CN"/>
        </w:rPr>
      </w:pPr>
    </w:p>
    <w:p>
      <w:pPr>
        <w:pStyle w:val="13"/>
        <w:rPr>
          <w:rFonts w:hint="eastAsia"/>
          <w:lang w:eastAsia="zh-CN"/>
        </w:rPr>
      </w:pPr>
    </w:p>
    <w:p>
      <w:pPr>
        <w:pStyle w:val="13"/>
        <w:numPr>
          <w:ilvl w:val="0"/>
          <w:numId w:val="0"/>
        </w:numPr>
        <w:wordWrap w:val="0"/>
        <w:spacing w:after="60"/>
        <w:jc w:val="center"/>
        <w:rPr>
          <w:rFonts w:hint="eastAsia" w:ascii="宋体" w:hAnsi="宋体" w:eastAsia="宋体" w:cs="宋体"/>
          <w:lang w:val="en-US" w:eastAsia="zh-CN"/>
        </w:rPr>
      </w:pPr>
    </w:p>
    <w:p>
      <w:pPr>
        <w:rPr>
          <w:rFonts w:hint="eastAsia" w:ascii="宋体" w:hAnsi="宋体" w:eastAsia="宋体" w:cs="宋体"/>
          <w:lang w:val="en-US" w:eastAsia="zh-CN"/>
        </w:rPr>
      </w:pPr>
    </w:p>
    <w:bookmarkEnd w:id="147"/>
    <w:bookmarkEnd w:id="148"/>
    <w:bookmarkEnd w:id="149"/>
    <w:bookmarkEnd w:id="150"/>
    <w:bookmarkEnd w:id="151"/>
    <w:p>
      <w:pPr>
        <w:bidi w:val="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项目名称： 新疆巴音郭楞蒙古自治州自然资源局统一确权项目</w:t>
      </w:r>
    </w:p>
    <w:p>
      <w:pPr>
        <w:bidi w:val="0"/>
        <w:rPr>
          <w:rFonts w:hint="eastAsia" w:ascii="宋体" w:hAnsi="宋体" w:eastAsia="宋体" w:cs="宋体"/>
          <w:sz w:val="32"/>
          <w:szCs w:val="32"/>
          <w:lang w:eastAsia="zh-CN"/>
        </w:rPr>
      </w:pPr>
      <w:r>
        <w:rPr>
          <w:rFonts w:hint="eastAsia" w:ascii="宋体" w:hAnsi="宋体" w:eastAsia="宋体" w:cs="宋体"/>
          <w:sz w:val="32"/>
          <w:szCs w:val="32"/>
          <w:lang w:val="en-US" w:eastAsia="zh-CN"/>
        </w:rPr>
        <w:t>目项目编号：XJHL-(JZXCS)-2021-02</w:t>
      </w:r>
    </w:p>
    <w:p>
      <w:pPr>
        <w:pStyle w:val="18"/>
        <w:rPr>
          <w:rFonts w:hint="eastAsia" w:ascii="宋体" w:hAnsi="宋体" w:eastAsia="宋体" w:cs="宋体"/>
          <w:color w:val="auto"/>
          <w:lang w:val="en-US" w:eastAsia="zh-CN"/>
        </w:rPr>
      </w:pPr>
    </w:p>
    <w:p>
      <w:pPr>
        <w:pStyle w:val="24"/>
        <w:spacing w:line="360" w:lineRule="auto"/>
        <w:jc w:val="center"/>
        <w:rPr>
          <w:rFonts w:hint="eastAsia" w:ascii="宋体" w:hAnsi="宋体" w:eastAsia="宋体" w:cs="宋体"/>
          <w:b/>
          <w:bCs/>
          <w:color w:val="auto"/>
          <w:sz w:val="32"/>
          <w:szCs w:val="32"/>
          <w:lang w:val="en-US" w:eastAsia="zh-CN"/>
        </w:rPr>
      </w:pPr>
    </w:p>
    <w:p>
      <w:pPr>
        <w:pStyle w:val="24"/>
        <w:spacing w:line="480" w:lineRule="exact"/>
        <w:jc w:val="both"/>
        <w:rPr>
          <w:rFonts w:hint="eastAsia" w:ascii="宋体" w:hAnsi="宋体" w:eastAsia="宋体" w:cs="宋体"/>
          <w:color w:val="auto"/>
          <w:sz w:val="28"/>
          <w:szCs w:val="28"/>
        </w:rPr>
      </w:pPr>
    </w:p>
    <w:p>
      <w:pPr>
        <w:pStyle w:val="24"/>
        <w:spacing w:line="480" w:lineRule="exact"/>
        <w:ind w:firstLine="567"/>
        <w:jc w:val="both"/>
        <w:rPr>
          <w:rFonts w:hint="eastAsia" w:ascii="宋体" w:hAnsi="宋体" w:eastAsia="宋体" w:cs="宋体"/>
          <w:color w:val="auto"/>
          <w:sz w:val="28"/>
          <w:szCs w:val="28"/>
        </w:rPr>
      </w:pPr>
    </w:p>
    <w:p>
      <w:pPr>
        <w:pStyle w:val="24"/>
        <w:spacing w:line="480" w:lineRule="exact"/>
        <w:ind w:firstLine="567"/>
        <w:jc w:val="both"/>
        <w:rPr>
          <w:rFonts w:hint="eastAsia" w:ascii="宋体" w:hAnsi="宋体" w:eastAsia="宋体" w:cs="宋体"/>
          <w:color w:val="auto"/>
          <w:sz w:val="28"/>
          <w:szCs w:val="28"/>
        </w:rPr>
      </w:pPr>
    </w:p>
    <w:p>
      <w:pPr>
        <w:pStyle w:val="24"/>
        <w:spacing w:line="480" w:lineRule="exact"/>
        <w:jc w:val="both"/>
        <w:rPr>
          <w:rFonts w:hint="eastAsia" w:ascii="宋体" w:hAnsi="宋体" w:eastAsia="宋体" w:cs="宋体"/>
          <w:color w:val="auto"/>
          <w:sz w:val="28"/>
          <w:szCs w:val="28"/>
        </w:rPr>
      </w:pPr>
    </w:p>
    <w:p>
      <w:pPr>
        <w:bidi w:val="0"/>
        <w:rPr>
          <w:rFonts w:hint="eastAsia" w:ascii="宋体" w:hAnsi="宋体" w:eastAsia="宋体" w:cs="宋体"/>
        </w:rPr>
      </w:pPr>
      <w:bookmarkStart w:id="152" w:name="_Toc10223"/>
      <w:bookmarkStart w:id="153" w:name="_Toc29140"/>
      <w:r>
        <w:rPr>
          <w:rFonts w:hint="eastAsia" w:ascii="宋体" w:hAnsi="宋体" w:eastAsia="宋体" w:cs="宋体"/>
        </w:rPr>
        <w:t>供应商名称（盖章）：</w:t>
      </w:r>
    </w:p>
    <w:p>
      <w:pPr>
        <w:pStyle w:val="24"/>
        <w:spacing w:line="360" w:lineRule="auto"/>
        <w:ind w:firstLine="567"/>
        <w:jc w:val="both"/>
        <w:rPr>
          <w:rFonts w:hint="eastAsia" w:ascii="宋体" w:hAnsi="宋体" w:eastAsia="宋体" w:cs="宋体"/>
          <w:b/>
          <w:bCs/>
          <w:color w:val="auto"/>
          <w:sz w:val="32"/>
          <w:szCs w:val="32"/>
        </w:rPr>
      </w:pPr>
    </w:p>
    <w:p>
      <w:pPr>
        <w:bidi w:val="0"/>
        <w:rPr>
          <w:rFonts w:hint="eastAsia" w:ascii="宋体" w:hAnsi="宋体" w:eastAsia="宋体" w:cs="宋体"/>
        </w:rPr>
      </w:pPr>
      <w:r>
        <w:rPr>
          <w:rFonts w:hint="eastAsia" w:ascii="宋体" w:hAnsi="宋体" w:eastAsia="宋体" w:cs="宋体"/>
        </w:rPr>
        <w:t>法定代表人或委托代理人（签字或盖章）：</w:t>
      </w:r>
    </w:p>
    <w:p>
      <w:pPr>
        <w:pStyle w:val="24"/>
        <w:spacing w:line="360" w:lineRule="auto"/>
        <w:ind w:firstLine="567"/>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                                </w:t>
      </w:r>
    </w:p>
    <w:p>
      <w:pPr>
        <w:bidi w:val="0"/>
        <w:rPr>
          <w:rFonts w:hint="eastAsia" w:ascii="宋体" w:hAnsi="宋体" w:eastAsia="宋体" w:cs="宋体"/>
        </w:rPr>
      </w:pPr>
      <w:r>
        <w:rPr>
          <w:rFonts w:hint="eastAsia" w:ascii="宋体" w:hAnsi="宋体" w:eastAsia="宋体" w:cs="宋体"/>
        </w:rPr>
        <w:t>日期：     年   月   日</w:t>
      </w:r>
      <w:bookmarkStart w:id="154" w:name="_Toc6629"/>
    </w:p>
    <w:p>
      <w:pPr>
        <w:pStyle w:val="13"/>
        <w:rPr>
          <w:rFonts w:hint="eastAsia" w:ascii="宋体" w:hAnsi="宋体" w:eastAsia="宋体" w:cs="宋体"/>
        </w:rPr>
      </w:pPr>
    </w:p>
    <w:p>
      <w:pPr>
        <w:rPr>
          <w:rFonts w:hint="eastAsia" w:ascii="宋体" w:hAnsi="宋体" w:eastAsia="宋体" w:cs="宋体"/>
        </w:rPr>
      </w:pPr>
    </w:p>
    <w:p>
      <w:pPr>
        <w:pStyle w:val="13"/>
        <w:rPr>
          <w:rFonts w:hint="eastAsia" w:ascii="宋体" w:hAnsi="宋体" w:eastAsia="宋体" w:cs="宋体"/>
        </w:rPr>
      </w:pPr>
    </w:p>
    <w:p>
      <w:pPr>
        <w:pStyle w:val="24"/>
        <w:spacing w:line="360" w:lineRule="auto"/>
        <w:jc w:val="both"/>
        <w:rPr>
          <w:rFonts w:hint="eastAsia" w:ascii="宋体" w:hAnsi="宋体" w:eastAsia="宋体" w:cs="宋体"/>
          <w:b/>
          <w:bCs/>
          <w:color w:val="auto"/>
          <w:sz w:val="32"/>
          <w:szCs w:val="32"/>
        </w:rPr>
      </w:pPr>
    </w:p>
    <w:p>
      <w:pPr>
        <w:bidi w:val="0"/>
        <w:rPr>
          <w:rFonts w:hint="eastAsia" w:ascii="宋体" w:hAnsi="宋体" w:eastAsia="宋体" w:cs="宋体"/>
          <w:b/>
          <w:bCs/>
          <w:lang w:val="en-US" w:eastAsia="zh-CN"/>
        </w:rPr>
      </w:pPr>
      <w:r>
        <w:rPr>
          <w:rFonts w:hint="eastAsia" w:ascii="宋体" w:hAnsi="宋体" w:eastAsia="宋体" w:cs="宋体"/>
          <w:b/>
          <w:bCs/>
          <w:lang w:val="en-US" w:eastAsia="zh-CN"/>
        </w:rPr>
        <w:t>附件1</w:t>
      </w:r>
      <w:bookmarkEnd w:id="152"/>
      <w:bookmarkEnd w:id="153"/>
      <w:r>
        <w:rPr>
          <w:rFonts w:hint="eastAsia" w:ascii="宋体" w:hAnsi="宋体" w:eastAsia="宋体" w:cs="宋体"/>
          <w:b/>
          <w:bCs/>
          <w:lang w:val="en-US" w:eastAsia="zh-CN"/>
        </w:rPr>
        <w:t>:</w:t>
      </w:r>
      <w:bookmarkEnd w:id="154"/>
    </w:p>
    <w:p>
      <w:pPr>
        <w:bidi w:val="0"/>
        <w:jc w:val="center"/>
        <w:rPr>
          <w:rFonts w:hint="eastAsia" w:ascii="宋体" w:hAnsi="宋体" w:eastAsia="宋体" w:cs="宋体"/>
          <w:lang w:val="en-US" w:eastAsia="zh-CN"/>
        </w:rPr>
      </w:pPr>
      <w:bookmarkStart w:id="155" w:name="_Toc18361"/>
      <w:r>
        <w:rPr>
          <w:rFonts w:hint="eastAsia" w:ascii="宋体" w:hAnsi="宋体" w:eastAsia="宋体" w:cs="宋体"/>
          <w:lang w:val="en-US" w:eastAsia="zh-CN"/>
        </w:rPr>
        <w:t>投 标 函</w:t>
      </w:r>
      <w:bookmarkEnd w:id="155"/>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zh-CN"/>
        </w:rPr>
        <w:t>致：</w:t>
      </w:r>
      <w:r>
        <w:rPr>
          <w:rFonts w:hint="eastAsia" w:ascii="宋体" w:hAnsi="宋体" w:cs="宋体"/>
          <w:color w:val="auto"/>
          <w:sz w:val="24"/>
          <w:szCs w:val="24"/>
          <w:u w:val="none"/>
          <w:lang w:val="zh-CN"/>
        </w:rPr>
        <w:t>新疆鸿澜工程项目管理有限公司</w:t>
      </w:r>
      <w:r>
        <w:rPr>
          <w:rFonts w:hint="eastAsia" w:ascii="宋体" w:hAnsi="宋体" w:eastAsia="宋体" w:cs="宋体"/>
          <w:color w:val="auto"/>
          <w:sz w:val="24"/>
          <w:szCs w:val="24"/>
          <w:u w:val="none"/>
          <w:lang w:val="zh-CN"/>
        </w:rPr>
        <w:t> </w:t>
      </w:r>
      <w:r>
        <w:rPr>
          <w:rFonts w:hint="eastAsia" w:ascii="宋体" w:hAnsi="宋体" w:eastAsia="宋体" w:cs="宋体"/>
          <w:color w:val="auto"/>
          <w:sz w:val="24"/>
          <w:szCs w:val="24"/>
          <w:u w:val="non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我公司收到</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，经认真研究，我们决定参加本项目投标。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按照</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中的一切要求，我方完全接受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的规定和要求</w:t>
      </w:r>
      <w:r>
        <w:rPr>
          <w:rFonts w:hint="eastAsia" w:ascii="宋体" w:hAnsi="宋体" w:eastAsia="宋体" w:cs="宋体"/>
          <w:color w:val="auto"/>
          <w:sz w:val="24"/>
          <w:szCs w:val="24"/>
          <w:lang w:eastAsia="zh-CN"/>
        </w:rPr>
        <w:t>愿</w:t>
      </w:r>
      <w:r>
        <w:rPr>
          <w:rFonts w:hint="eastAsia" w:ascii="宋体" w:hAnsi="宋体" w:eastAsia="宋体" w:cs="宋体"/>
          <w:color w:val="auto"/>
          <w:sz w:val="24"/>
          <w:szCs w:val="24"/>
        </w:rPr>
        <w:t>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服务期限</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rPr>
        <w:t>完成上述项目的所有工作。</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如果我们的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被接受，我们将履行</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中规定的每一项要求，按期、按质、按量完成交货和完工任务。</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我们同意按</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的规定，本</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的有效期为投标截止时间后</w:t>
      </w:r>
      <w:r>
        <w:rPr>
          <w:rFonts w:hint="eastAsia" w:ascii="宋体" w:hAnsi="宋体" w:eastAsia="宋体" w:cs="宋体"/>
          <w:color w:val="auto"/>
          <w:sz w:val="24"/>
          <w:szCs w:val="24"/>
          <w:u w:val="single"/>
        </w:rPr>
        <w:t xml:space="preserve"> 90 </w:t>
      </w:r>
      <w:r>
        <w:rPr>
          <w:rFonts w:hint="eastAsia" w:ascii="宋体" w:hAnsi="宋体" w:eastAsia="宋体" w:cs="宋体"/>
          <w:color w:val="auto"/>
          <w:sz w:val="24"/>
          <w:szCs w:val="24"/>
        </w:rPr>
        <w:t>天。</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我们愿意提供采购人在</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中要求的所有资料。</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我们认为采购人有选择或拒绝任何供应商中标的权力。我们理解，最低报价不是中标的唯一条件。</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我们愿按合同法履行自己的全部责任。</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我方愿意遵守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中规定的收费标准，承付采购代理服务费。</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该项投标在投标截止时间后的投标有效期内保持有效，不作任何更改和变动。</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我们同意按</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规定，交纳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）的投标保证金。</w:t>
      </w:r>
    </w:p>
    <w:p>
      <w:pPr>
        <w:keepNext w:val="0"/>
        <w:keepLines w:val="0"/>
        <w:pageBreakBefore w:val="0"/>
        <w:widowControl w:val="0"/>
        <w:kinsoku/>
        <w:wordWrap/>
        <w:overflowPunct/>
        <w:topLinePunct w:val="0"/>
        <w:autoSpaceDE/>
        <w:autoSpaceDN/>
        <w:bidi w:val="0"/>
        <w:adjustRightInd/>
        <w:snapToGrid/>
        <w:spacing w:line="24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所有有关本</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的函电，请按下列地址联系：</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传    真：</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p>
      <w:pPr>
        <w:bidi w:val="0"/>
        <w:rPr>
          <w:rFonts w:hint="eastAsia" w:ascii="宋体" w:hAnsi="宋体" w:eastAsia="宋体" w:cs="宋体"/>
          <w:color w:val="auto"/>
          <w:sz w:val="24"/>
          <w:szCs w:val="24"/>
        </w:rPr>
      </w:pPr>
    </w:p>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供应商名称（盖章）：</w:t>
      </w:r>
    </w:p>
    <w:p>
      <w:pPr>
        <w:bidi w:val="0"/>
        <w:rPr>
          <w:rFonts w:hint="eastAsia" w:ascii="宋体" w:hAnsi="宋体" w:eastAsia="宋体" w:cs="宋体"/>
          <w:color w:val="auto"/>
          <w:sz w:val="24"/>
          <w:szCs w:val="24"/>
        </w:rPr>
      </w:pPr>
    </w:p>
    <w:p>
      <w:pPr>
        <w:bidi w:val="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法定代表人或委托代理人（签字或盖章）：</w:t>
      </w:r>
    </w:p>
    <w:p>
      <w:pPr>
        <w:bidi w:val="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bidi w:val="0"/>
        <w:jc w:val="righ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日期：     年   月   日</w:t>
      </w:r>
    </w:p>
    <w:p>
      <w:pPr>
        <w:bidi w:val="0"/>
        <w:rPr>
          <w:rFonts w:hint="eastAsia" w:ascii="宋体" w:hAnsi="宋体" w:eastAsia="宋体" w:cs="宋体"/>
          <w:b/>
          <w:bCs/>
          <w:color w:val="auto"/>
          <w:kern w:val="2"/>
          <w:sz w:val="32"/>
          <w:szCs w:val="21"/>
          <w:lang w:val="en-US" w:eastAsia="zh-CN"/>
        </w:rPr>
      </w:pPr>
      <w:bookmarkStart w:id="156" w:name="_Toc4872"/>
      <w:bookmarkStart w:id="157" w:name="_Toc4412"/>
      <w:bookmarkStart w:id="158" w:name="_Toc18057"/>
      <w:r>
        <w:rPr>
          <w:rFonts w:hint="eastAsia" w:ascii="宋体" w:hAnsi="宋体" w:eastAsia="宋体" w:cs="宋体"/>
          <w:b/>
          <w:bCs/>
          <w:color w:val="auto"/>
          <w:kern w:val="2"/>
          <w:sz w:val="24"/>
          <w:szCs w:val="24"/>
          <w:lang w:val="en-US" w:eastAsia="zh-CN"/>
        </w:rPr>
        <w:br w:type="page"/>
      </w:r>
      <w:r>
        <w:rPr>
          <w:rFonts w:hint="eastAsia" w:ascii="宋体" w:hAnsi="宋体" w:eastAsia="宋体" w:cs="宋体"/>
          <w:b/>
          <w:bCs/>
          <w:color w:val="auto"/>
          <w:kern w:val="2"/>
          <w:sz w:val="32"/>
          <w:szCs w:val="32"/>
          <w:lang w:val="en-US" w:eastAsia="zh-CN"/>
        </w:rPr>
        <w:t>附件2</w:t>
      </w:r>
      <w:bookmarkEnd w:id="156"/>
      <w:bookmarkEnd w:id="157"/>
      <w:r>
        <w:rPr>
          <w:rFonts w:hint="eastAsia" w:ascii="宋体" w:hAnsi="宋体" w:eastAsia="宋体" w:cs="宋体"/>
          <w:b/>
          <w:color w:val="auto"/>
          <w:sz w:val="32"/>
          <w:szCs w:val="32"/>
          <w:lang w:val="en-US" w:eastAsia="zh-CN"/>
        </w:rPr>
        <w:t>:</w:t>
      </w:r>
      <w:bookmarkEnd w:id="158"/>
    </w:p>
    <w:p>
      <w:pPr>
        <w:bidi w:val="0"/>
        <w:jc w:val="center"/>
        <w:rPr>
          <w:rFonts w:hint="eastAsia" w:ascii="宋体" w:hAnsi="宋体" w:eastAsia="宋体" w:cs="宋体"/>
          <w:b/>
          <w:bCs/>
          <w:color w:val="auto"/>
          <w:kern w:val="2"/>
          <w:sz w:val="32"/>
          <w:szCs w:val="21"/>
          <w:lang w:val="en-US" w:eastAsia="zh-CN"/>
        </w:rPr>
      </w:pPr>
      <w:bookmarkStart w:id="159" w:name="_Toc8165"/>
      <w:r>
        <w:rPr>
          <w:rFonts w:hint="eastAsia" w:ascii="宋体" w:hAnsi="宋体" w:eastAsia="宋体" w:cs="宋体"/>
          <w:b/>
          <w:bCs/>
          <w:color w:val="auto"/>
          <w:kern w:val="2"/>
          <w:sz w:val="32"/>
          <w:szCs w:val="21"/>
          <w:lang w:val="en-US" w:eastAsia="zh-CN"/>
        </w:rPr>
        <w:t>法定代表人</w:t>
      </w:r>
      <w:bookmarkEnd w:id="159"/>
      <w:r>
        <w:rPr>
          <w:rFonts w:hint="eastAsia" w:ascii="宋体" w:hAnsi="宋体" w:eastAsia="宋体" w:cs="宋体"/>
          <w:b/>
          <w:bCs/>
          <w:color w:val="auto"/>
          <w:kern w:val="0"/>
          <w:sz w:val="30"/>
          <w:szCs w:val="30"/>
        </w:rPr>
        <w:t>身份证明书</w:t>
      </w:r>
    </w:p>
    <w:p>
      <w:pPr>
        <w:bidi w:val="0"/>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none"/>
        </w:rPr>
        <w:t xml:space="preserve">                                            </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姓    名：        性别：      年龄：       职务：                            </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的法定代表人。</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3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3402"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法定代表人身份证（正面）</w:t>
            </w:r>
          </w:p>
        </w:tc>
        <w:tc>
          <w:tcPr>
            <w:tcW w:w="3439"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val="en-US" w:eastAsia="zh-CN"/>
              </w:rPr>
              <w:t>定代表人身份证（背面）</w:t>
            </w:r>
          </w:p>
        </w:tc>
      </w:tr>
    </w:tbl>
    <w:p>
      <w:pPr>
        <w:pStyle w:val="14"/>
        <w:spacing w:line="312" w:lineRule="auto"/>
        <w:ind w:left="0" w:firstLine="0" w:firstLineChars="0"/>
        <w:rPr>
          <w:rFonts w:hint="eastAsia" w:ascii="宋体" w:hAnsi="宋体" w:eastAsia="宋体" w:cs="宋体"/>
          <w:color w:val="auto"/>
          <w:sz w:val="24"/>
          <w:szCs w:val="24"/>
        </w:rPr>
      </w:pPr>
    </w:p>
    <w:p>
      <w:pPr>
        <w:pStyle w:val="14"/>
        <w:spacing w:line="312" w:lineRule="auto"/>
        <w:ind w:left="0" w:firstLine="0" w:firstLineChars="0"/>
        <w:rPr>
          <w:rFonts w:hint="eastAsia" w:ascii="宋体" w:hAnsi="宋体" w:eastAsia="宋体" w:cs="宋体"/>
          <w:color w:val="auto"/>
          <w:sz w:val="24"/>
          <w:szCs w:val="24"/>
        </w:rPr>
      </w:pPr>
    </w:p>
    <w:p>
      <w:pPr>
        <w:pStyle w:val="14"/>
        <w:spacing w:line="312" w:lineRule="auto"/>
        <w:ind w:left="0" w:firstLine="0" w:firstLineChars="0"/>
        <w:rPr>
          <w:rFonts w:hint="eastAsia" w:ascii="宋体" w:hAnsi="宋体" w:eastAsia="宋体" w:cs="宋体"/>
          <w:color w:val="auto"/>
          <w:sz w:val="24"/>
          <w:szCs w:val="24"/>
        </w:rPr>
      </w:pPr>
    </w:p>
    <w:p>
      <w:pPr>
        <w:pStyle w:val="14"/>
        <w:spacing w:line="312" w:lineRule="auto"/>
        <w:ind w:left="0" w:firstLine="0" w:firstLineChars="0"/>
        <w:rPr>
          <w:rFonts w:hint="eastAsia" w:ascii="宋体" w:hAnsi="宋体" w:eastAsia="宋体" w:cs="宋体"/>
          <w:color w:val="auto"/>
          <w:sz w:val="24"/>
          <w:szCs w:val="24"/>
        </w:rPr>
      </w:pPr>
    </w:p>
    <w:p>
      <w:pPr>
        <w:pStyle w:val="14"/>
        <w:spacing w:line="312" w:lineRule="auto"/>
        <w:ind w:left="0" w:firstLine="0" w:firstLineChars="0"/>
        <w:rPr>
          <w:rFonts w:hint="eastAsia" w:ascii="宋体" w:hAnsi="宋体" w:eastAsia="宋体" w:cs="宋体"/>
          <w:color w:val="auto"/>
          <w:sz w:val="24"/>
          <w:szCs w:val="24"/>
        </w:rPr>
      </w:pPr>
    </w:p>
    <w:p>
      <w:pPr>
        <w:pStyle w:val="9"/>
        <w:ind w:left="838" w:firstLine="484"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供应商名称（盖章）：</w:t>
      </w:r>
    </w:p>
    <w:p>
      <w:pPr>
        <w:pStyle w:val="9"/>
        <w:ind w:left="838" w:firstLine="484" w:firstLineChars="200"/>
        <w:jc w:val="right"/>
        <w:rPr>
          <w:rFonts w:hint="eastAsia" w:ascii="宋体" w:hAnsi="宋体" w:eastAsia="宋体" w:cs="宋体"/>
          <w:bCs/>
          <w:color w:val="auto"/>
          <w:sz w:val="24"/>
          <w:szCs w:val="24"/>
        </w:rPr>
      </w:pPr>
    </w:p>
    <w:p>
      <w:pPr>
        <w:pStyle w:val="24"/>
        <w:wordWrap w:val="0"/>
        <w:spacing w:line="360" w:lineRule="auto"/>
        <w:ind w:firstLine="56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pStyle w:val="24"/>
        <w:wordWrap w:val="0"/>
        <w:spacing w:line="360" w:lineRule="auto"/>
        <w:ind w:firstLine="567"/>
        <w:jc w:val="righ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日期：     年   月   日</w:t>
      </w:r>
    </w:p>
    <w:p>
      <w:pPr>
        <w:pStyle w:val="30"/>
        <w:spacing w:line="312" w:lineRule="auto"/>
        <w:jc w:val="right"/>
        <w:rPr>
          <w:rFonts w:hint="eastAsia" w:ascii="宋体" w:hAnsi="宋体" w:eastAsia="宋体" w:cs="宋体"/>
          <w:color w:val="auto"/>
          <w:sz w:val="24"/>
          <w:szCs w:val="24"/>
        </w:rPr>
      </w:pPr>
    </w:p>
    <w:p>
      <w:pPr>
        <w:bidi w:val="0"/>
        <w:jc w:val="center"/>
        <w:rPr>
          <w:rFonts w:hint="eastAsia" w:ascii="宋体" w:hAnsi="宋体" w:eastAsia="宋体" w:cs="宋体"/>
          <w:color w:val="auto"/>
          <w:sz w:val="30"/>
          <w:szCs w:val="30"/>
          <w:lang w:val="en-US" w:eastAsia="zh-CN"/>
        </w:rPr>
      </w:pPr>
      <w:bookmarkStart w:id="160" w:name="_Toc1629"/>
      <w:r>
        <w:rPr>
          <w:rStyle w:val="28"/>
          <w:rFonts w:hint="eastAsia" w:ascii="宋体" w:hAnsi="宋体" w:eastAsia="宋体" w:cs="宋体"/>
          <w:color w:val="auto"/>
          <w:sz w:val="32"/>
          <w:szCs w:val="28"/>
          <w:lang w:val="en-US" w:eastAsia="zh-CN"/>
        </w:rPr>
        <w:br w:type="page"/>
      </w:r>
      <w:bookmarkStart w:id="161" w:name="_Toc29989"/>
      <w:bookmarkStart w:id="162" w:name="_Toc17467"/>
      <w:r>
        <w:rPr>
          <w:rStyle w:val="28"/>
          <w:rFonts w:hint="eastAsia" w:ascii="宋体" w:hAnsi="宋体" w:eastAsia="宋体" w:cs="宋体"/>
          <w:color w:val="auto"/>
          <w:sz w:val="32"/>
          <w:szCs w:val="28"/>
          <w:lang w:val="en-US" w:eastAsia="zh-CN"/>
        </w:rPr>
        <w:t>授权委托书</w:t>
      </w:r>
      <w:bookmarkEnd w:id="160"/>
      <w:bookmarkEnd w:id="161"/>
      <w:bookmarkEnd w:id="162"/>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（姓名）</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的法定代表人，现授权委托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的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（姓名、身份证号）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我</w:t>
      </w:r>
      <w:r>
        <w:rPr>
          <w:rFonts w:hint="eastAsia" w:ascii="宋体" w:hAnsi="宋体" w:eastAsia="宋体" w:cs="宋体"/>
          <w:color w:val="auto"/>
          <w:sz w:val="24"/>
          <w:szCs w:val="24"/>
          <w:lang w:val="en-US" w:eastAsia="zh-CN"/>
        </w:rPr>
        <w:t>公司</w:t>
      </w:r>
      <w:r>
        <w:rPr>
          <w:rFonts w:hint="eastAsia" w:ascii="宋体" w:hAnsi="宋体" w:eastAsia="宋体" w:cs="宋体"/>
          <w:color w:val="auto"/>
          <w:sz w:val="24"/>
          <w:szCs w:val="24"/>
        </w:rPr>
        <w:t>代理人，以本</w:t>
      </w:r>
      <w:r>
        <w:rPr>
          <w:rFonts w:hint="eastAsia" w:ascii="宋体" w:hAnsi="宋体" w:eastAsia="宋体" w:cs="宋体"/>
          <w:color w:val="auto"/>
          <w:sz w:val="24"/>
          <w:szCs w:val="24"/>
          <w:lang w:val="en-US" w:eastAsia="zh-CN"/>
        </w:rPr>
        <w:t>公司</w:t>
      </w:r>
      <w:r>
        <w:rPr>
          <w:rFonts w:hint="eastAsia" w:ascii="宋体" w:hAnsi="宋体" w:eastAsia="宋体" w:cs="宋体"/>
          <w:color w:val="auto"/>
          <w:sz w:val="24"/>
          <w:szCs w:val="24"/>
        </w:rPr>
        <w:t>的名义参加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的投标活动。</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代理人在处理投标的过程中所签署的一切文件和处理与之有关的一切事务，我均予以承认。</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授权期限:</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2022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08</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15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2022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12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31</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bookmarkStart w:id="163" w:name="_Toc23318"/>
      <w:bookmarkStart w:id="164" w:name="_Toc6017"/>
      <w:r>
        <w:rPr>
          <w:rFonts w:hint="eastAsia" w:ascii="宋体" w:hAnsi="宋体" w:eastAsia="宋体" w:cs="宋体"/>
          <w:color w:val="auto"/>
          <w:sz w:val="24"/>
          <w:szCs w:val="24"/>
        </w:rPr>
        <w:t>委托代理人无转委权。特此委托。</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            性  别：</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身份证号码：            电  话：</w:t>
      </w:r>
    </w:p>
    <w:p>
      <w:pPr>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部  门：                职  务：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402"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法定代表人身份证（正面）</w:t>
            </w:r>
          </w:p>
        </w:tc>
        <w:tc>
          <w:tcPr>
            <w:tcW w:w="3402"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402"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委托代理人身份证（正面）</w:t>
            </w:r>
          </w:p>
        </w:tc>
        <w:tc>
          <w:tcPr>
            <w:tcW w:w="3402"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委托代理人身份证（背面）</w:t>
            </w:r>
          </w:p>
        </w:tc>
      </w:tr>
    </w:tbl>
    <w:p>
      <w:pPr>
        <w:bidi w:val="0"/>
        <w:spacing w:line="60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供应商名称（盖章）：</w:t>
      </w:r>
    </w:p>
    <w:p>
      <w:pPr>
        <w:bidi w:val="0"/>
        <w:spacing w:line="60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法定代表人（签字或盖章）：</w:t>
      </w:r>
    </w:p>
    <w:p>
      <w:pPr>
        <w:bidi w:val="0"/>
        <w:spacing w:line="60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委托代理人（签字或盖章）：</w:t>
      </w:r>
    </w:p>
    <w:p>
      <w:pPr>
        <w:bidi w:val="0"/>
        <w:spacing w:line="60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bookmarkStart w:id="165" w:name="_Toc24450"/>
    </w:p>
    <w:p>
      <w:pPr>
        <w:bidi w:val="0"/>
        <w:rPr>
          <w:rStyle w:val="28"/>
          <w:rFonts w:hint="eastAsia" w:ascii="宋体" w:hAnsi="宋体" w:eastAsia="宋体" w:cs="宋体"/>
          <w:color w:val="auto"/>
          <w:szCs w:val="28"/>
          <w:lang w:val="en-US" w:eastAsia="zh-CN"/>
        </w:rPr>
      </w:pPr>
      <w:r>
        <w:rPr>
          <w:rFonts w:hint="eastAsia" w:ascii="宋体" w:hAnsi="宋体" w:eastAsia="宋体" w:cs="宋体"/>
          <w:color w:val="auto"/>
          <w:sz w:val="28"/>
          <w:szCs w:val="28"/>
        </w:rPr>
        <w:br w:type="page"/>
      </w:r>
      <w:bookmarkStart w:id="166" w:name="_Toc23108"/>
      <w:bookmarkStart w:id="167" w:name="_Toc2020"/>
      <w:r>
        <w:rPr>
          <w:rStyle w:val="28"/>
          <w:rFonts w:hint="eastAsia" w:ascii="宋体" w:hAnsi="宋体" w:eastAsia="宋体" w:cs="宋体"/>
          <w:b/>
          <w:bCs/>
          <w:color w:val="auto"/>
          <w:szCs w:val="28"/>
          <w:lang w:val="en-US" w:eastAsia="zh-CN"/>
        </w:rPr>
        <w:t>附件3</w:t>
      </w:r>
      <w:bookmarkEnd w:id="163"/>
      <w:bookmarkEnd w:id="164"/>
      <w:bookmarkEnd w:id="166"/>
      <w:bookmarkEnd w:id="167"/>
      <w:r>
        <w:rPr>
          <w:rFonts w:hint="eastAsia" w:ascii="宋体" w:hAnsi="宋体" w:eastAsia="宋体" w:cs="宋体"/>
          <w:b/>
          <w:bCs/>
          <w:color w:val="auto"/>
          <w:szCs w:val="28"/>
          <w:lang w:val="en-US" w:eastAsia="zh-CN"/>
        </w:rPr>
        <w:t>:</w:t>
      </w:r>
      <w:bookmarkEnd w:id="165"/>
    </w:p>
    <w:p>
      <w:pPr>
        <w:bidi w:val="0"/>
        <w:jc w:val="center"/>
        <w:rPr>
          <w:rStyle w:val="28"/>
          <w:rFonts w:hint="eastAsia" w:ascii="宋体" w:hAnsi="宋体" w:eastAsia="宋体" w:cs="宋体"/>
          <w:color w:val="auto"/>
          <w:sz w:val="32"/>
          <w:szCs w:val="28"/>
          <w:lang w:val="en-US" w:eastAsia="zh-CN"/>
        </w:rPr>
      </w:pPr>
      <w:bookmarkStart w:id="168" w:name="_Toc16855"/>
      <w:bookmarkStart w:id="169" w:name="_Toc3617"/>
      <w:bookmarkStart w:id="170" w:name="_Toc8853"/>
      <w:r>
        <w:rPr>
          <w:rStyle w:val="28"/>
          <w:rFonts w:hint="eastAsia" w:ascii="宋体" w:hAnsi="宋体" w:eastAsia="宋体" w:cs="宋体"/>
          <w:color w:val="auto"/>
          <w:sz w:val="32"/>
          <w:szCs w:val="28"/>
          <w:lang w:val="en-US" w:eastAsia="zh-CN"/>
        </w:rPr>
        <w:t>报价一览表</w:t>
      </w:r>
      <w:bookmarkEnd w:id="168"/>
    </w:p>
    <w:bookmarkEnd w:id="169"/>
    <w:bookmarkEnd w:id="170"/>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6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1998" w:type="dxa"/>
            <w:tcBorders>
              <w:bottom w:val="single" w:color="auto" w:sz="4" w:space="0"/>
            </w:tcBorders>
            <w:noWrap w:val="0"/>
            <w:vAlign w:val="center"/>
          </w:tcPr>
          <w:p>
            <w:pPr>
              <w:bidi w:val="0"/>
              <w:jc w:val="center"/>
              <w:rPr>
                <w:rFonts w:hint="eastAsia" w:ascii="宋体" w:hAnsi="宋体" w:eastAsia="宋体" w:cs="宋体"/>
                <w:color w:val="auto"/>
                <w:sz w:val="24"/>
                <w:szCs w:val="24"/>
              </w:rPr>
            </w:pPr>
            <w:bookmarkStart w:id="171" w:name="_Toc3980"/>
            <w:bookmarkStart w:id="172" w:name="_Toc14063"/>
            <w:r>
              <w:rPr>
                <w:rFonts w:hint="eastAsia" w:ascii="宋体" w:hAnsi="宋体" w:eastAsia="宋体" w:cs="宋体"/>
                <w:color w:val="auto"/>
                <w:sz w:val="24"/>
                <w:szCs w:val="24"/>
              </w:rPr>
              <w:t>供应商名称</w:t>
            </w:r>
          </w:p>
        </w:tc>
        <w:tc>
          <w:tcPr>
            <w:tcW w:w="6493" w:type="dxa"/>
            <w:tcBorders>
              <w:bottom w:val="single" w:color="auto" w:sz="4" w:space="0"/>
            </w:tcBorders>
            <w:noWrap w:val="0"/>
            <w:vAlign w:val="center"/>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1998" w:type="dxa"/>
            <w:tcBorders>
              <w:bottom w:val="single" w:color="auto" w:sz="4" w:space="0"/>
            </w:tcBorders>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493" w:type="dxa"/>
            <w:tcBorders>
              <w:bottom w:val="single" w:color="auto" w:sz="4" w:space="0"/>
            </w:tcBorders>
            <w:noWrap w:val="0"/>
            <w:vAlign w:val="center"/>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1998"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eastAsia="zh-CN"/>
              </w:rPr>
              <w:t>总</w:t>
            </w:r>
            <w:r>
              <w:rPr>
                <w:rFonts w:hint="eastAsia" w:ascii="宋体" w:hAnsi="宋体" w:eastAsia="宋体" w:cs="宋体"/>
                <w:color w:val="auto"/>
                <w:sz w:val="24"/>
                <w:szCs w:val="24"/>
              </w:rPr>
              <w:t>报价</w:t>
            </w:r>
          </w:p>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（元）</w:t>
            </w:r>
          </w:p>
        </w:tc>
        <w:tc>
          <w:tcPr>
            <w:tcW w:w="6493" w:type="dxa"/>
            <w:noWrap w:val="0"/>
            <w:vAlign w:val="center"/>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小写：</w:t>
            </w:r>
          </w:p>
          <w:p>
            <w:pPr>
              <w:bidi w:val="0"/>
              <w:rPr>
                <w:rFonts w:hint="eastAsia" w:ascii="宋体" w:hAnsi="宋体" w:eastAsia="宋体" w:cs="宋体"/>
                <w:color w:val="auto"/>
                <w:sz w:val="24"/>
                <w:szCs w:val="24"/>
              </w:rPr>
            </w:pPr>
            <w:r>
              <w:rPr>
                <w:rFonts w:hint="eastAsia" w:ascii="宋体" w:hAnsi="宋体" w:eastAsia="宋体" w:cs="宋体"/>
                <w:color w:val="auto"/>
                <w:sz w:val="24"/>
                <w:szCs w:val="24"/>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1998" w:type="dxa"/>
            <w:noWrap w:val="0"/>
            <w:vAlign w:val="center"/>
          </w:tcPr>
          <w:p>
            <w:pPr>
              <w:bidi w:val="0"/>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服务期限</w:t>
            </w:r>
          </w:p>
        </w:tc>
        <w:tc>
          <w:tcPr>
            <w:tcW w:w="6493" w:type="dxa"/>
            <w:noWrap w:val="0"/>
            <w:vAlign w:val="center"/>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1998" w:type="dxa"/>
            <w:noWrap w:val="0"/>
            <w:vAlign w:val="center"/>
          </w:tcPr>
          <w:p>
            <w:pPr>
              <w:bidi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tc>
        <w:tc>
          <w:tcPr>
            <w:tcW w:w="6493" w:type="dxa"/>
            <w:noWrap w:val="0"/>
            <w:vAlign w:val="center"/>
          </w:tcPr>
          <w:p>
            <w:pPr>
              <w:bidi w:val="0"/>
              <w:rPr>
                <w:rFonts w:hint="eastAsia" w:ascii="宋体" w:hAnsi="宋体" w:eastAsia="宋体" w:cs="宋体"/>
                <w:color w:val="auto"/>
                <w:sz w:val="24"/>
                <w:szCs w:val="24"/>
              </w:rPr>
            </w:pPr>
          </w:p>
        </w:tc>
      </w:tr>
    </w:tbl>
    <w:p>
      <w:pPr>
        <w:jc w:val="left"/>
        <w:rPr>
          <w:rFonts w:hint="eastAsia" w:ascii="宋体" w:hAnsi="宋体" w:eastAsia="宋体" w:cs="宋体"/>
          <w:b/>
          <w:bCs/>
          <w:color w:val="auto"/>
          <w:sz w:val="24"/>
          <w:szCs w:val="24"/>
        </w:rPr>
      </w:pPr>
    </w:p>
    <w:p>
      <w:pPr>
        <w:bidi w:val="0"/>
        <w:spacing w:line="600" w:lineRule="auto"/>
        <w:jc w:val="center"/>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供应商名称（盖章）：</w:t>
      </w:r>
    </w:p>
    <w:p>
      <w:pPr>
        <w:bidi w:val="0"/>
        <w:spacing w:line="60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法定代表人或委托代理人（签字或盖章）：</w:t>
      </w:r>
    </w:p>
    <w:p>
      <w:pPr>
        <w:bidi w:val="0"/>
        <w:spacing w:line="60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pPr>
        <w:pStyle w:val="7"/>
        <w:ind w:firstLine="0"/>
        <w:jc w:val="right"/>
        <w:rPr>
          <w:rFonts w:hint="eastAsia" w:ascii="宋体" w:hAnsi="宋体" w:eastAsia="宋体" w:cs="宋体"/>
          <w:color w:val="auto"/>
          <w:sz w:val="24"/>
          <w:szCs w:val="24"/>
        </w:rPr>
      </w:pPr>
    </w:p>
    <w:bookmarkEnd w:id="171"/>
    <w:bookmarkEnd w:id="172"/>
    <w:p>
      <w:pPr>
        <w:bidi w:val="0"/>
        <w:spacing w:line="600" w:lineRule="auto"/>
        <w:jc w:val="both"/>
        <w:rPr>
          <w:rFonts w:hint="eastAsia" w:ascii="宋体" w:hAnsi="宋体" w:eastAsia="宋体" w:cs="宋体"/>
          <w:color w:val="auto"/>
          <w:sz w:val="24"/>
          <w:szCs w:val="24"/>
        </w:rPr>
      </w:pPr>
      <w:bookmarkStart w:id="173" w:name="_Toc22472"/>
      <w:bookmarkStart w:id="174" w:name="_Toc8623"/>
      <w:bookmarkStart w:id="175" w:name="_Toc10628"/>
      <w:bookmarkStart w:id="176" w:name="_Toc21598"/>
      <w:bookmarkStart w:id="177" w:name="_Toc7675"/>
    </w:p>
    <w:p>
      <w:pPr>
        <w:pStyle w:val="7"/>
        <w:ind w:firstLine="0"/>
        <w:jc w:val="right"/>
        <w:rPr>
          <w:rFonts w:hint="eastAsia" w:ascii="宋体" w:hAnsi="宋体" w:eastAsia="宋体" w:cs="宋体"/>
          <w:color w:val="auto"/>
          <w:sz w:val="28"/>
          <w:szCs w:val="28"/>
        </w:rPr>
      </w:pPr>
    </w:p>
    <w:p>
      <w:pPr>
        <w:pStyle w:val="6"/>
        <w:keepNext w:val="0"/>
        <w:numPr>
          <w:ilvl w:val="0"/>
          <w:numId w:val="0"/>
        </w:numPr>
        <w:jc w:val="left"/>
        <w:outlineLvl w:val="9"/>
        <w:rPr>
          <w:rFonts w:hint="eastAsia" w:ascii="宋体" w:hAnsi="宋体" w:eastAsia="宋体" w:cs="宋体"/>
          <w:color w:val="auto"/>
          <w:sz w:val="28"/>
          <w:szCs w:val="28"/>
        </w:rPr>
        <w:sectPr>
          <w:footerReference r:id="rId13" w:type="first"/>
          <w:footerReference r:id="rId12" w:type="default"/>
          <w:pgSz w:w="11906" w:h="16838"/>
          <w:pgMar w:top="1417" w:right="1417" w:bottom="1417" w:left="1417" w:header="851" w:footer="850" w:gutter="0"/>
          <w:pgNumType w:fmt="decimal"/>
          <w:cols w:space="720" w:num="1"/>
          <w:titlePg/>
          <w:docGrid w:type="linesAndChars" w:linePitch="312" w:charSpace="530"/>
        </w:sectPr>
      </w:pPr>
    </w:p>
    <w:bookmarkEnd w:id="173"/>
    <w:bookmarkEnd w:id="174"/>
    <w:bookmarkEnd w:id="175"/>
    <w:p>
      <w:pPr>
        <w:bidi w:val="0"/>
        <w:rPr>
          <w:rStyle w:val="28"/>
          <w:rFonts w:hint="eastAsia" w:ascii="宋体" w:hAnsi="宋体" w:eastAsia="宋体" w:cs="宋体"/>
          <w:color w:val="auto"/>
          <w:sz w:val="32"/>
          <w:szCs w:val="28"/>
          <w:lang w:val="en-US" w:eastAsia="zh-CN"/>
        </w:rPr>
      </w:pPr>
      <w:bookmarkStart w:id="178" w:name="_Toc3317"/>
      <w:bookmarkStart w:id="179" w:name="_Toc30133"/>
      <w:bookmarkStart w:id="180" w:name="_Toc24465"/>
      <w:bookmarkStart w:id="181" w:name="_Toc1805"/>
      <w:bookmarkStart w:id="182" w:name="_Toc10159"/>
      <w:r>
        <w:rPr>
          <w:rStyle w:val="28"/>
          <w:rFonts w:hint="eastAsia" w:ascii="宋体" w:hAnsi="宋体" w:eastAsia="宋体" w:cs="宋体"/>
          <w:color w:val="auto"/>
          <w:sz w:val="32"/>
          <w:szCs w:val="28"/>
          <w:lang w:val="en-US" w:eastAsia="zh-CN"/>
        </w:rPr>
        <w:t>附件4:</w:t>
      </w:r>
      <w:bookmarkEnd w:id="178"/>
      <w:bookmarkEnd w:id="179"/>
      <w:bookmarkEnd w:id="180"/>
      <w:r>
        <w:rPr>
          <w:rStyle w:val="28"/>
          <w:rFonts w:hint="eastAsia" w:ascii="宋体" w:hAnsi="宋体" w:eastAsia="宋体" w:cs="宋体"/>
          <w:color w:val="auto"/>
          <w:sz w:val="32"/>
          <w:szCs w:val="28"/>
          <w:lang w:val="en-US" w:eastAsia="zh-CN"/>
        </w:rPr>
        <w:t>采购内容及技术要求</w:t>
      </w:r>
    </w:p>
    <w:bookmarkEnd w:id="181"/>
    <w:bookmarkEnd w:id="182"/>
    <w:p>
      <w:pPr>
        <w:pStyle w:val="18"/>
        <w:tabs>
          <w:tab w:val="left" w:pos="615"/>
        </w:tabs>
        <w:ind w:firstLine="0" w:firstLineChars="0"/>
        <w:rPr>
          <w:rFonts w:hint="eastAsia" w:ascii="宋体" w:hAnsi="宋体" w:eastAsia="宋体" w:cs="宋体"/>
          <w:color w:val="auto"/>
          <w:kern w:val="2"/>
          <w:sz w:val="21"/>
          <w:szCs w:val="21"/>
        </w:rPr>
      </w:pPr>
    </w:p>
    <w:p>
      <w:pPr>
        <w:rPr>
          <w:rStyle w:val="28"/>
          <w:rFonts w:hint="eastAsia" w:ascii="宋体" w:hAnsi="宋体" w:eastAsia="宋体" w:cs="宋体"/>
          <w:color w:val="auto"/>
          <w:sz w:val="32"/>
          <w:szCs w:val="28"/>
          <w:lang w:val="en-US" w:eastAsia="zh-CN"/>
        </w:rPr>
      </w:pPr>
    </w:p>
    <w:p>
      <w:pPr>
        <w:pStyle w:val="33"/>
        <w:widowControl w:val="0"/>
        <w:numPr>
          <w:ilvl w:val="0"/>
          <w:numId w:val="0"/>
        </w:numPr>
        <w:spacing w:line="360" w:lineRule="auto"/>
        <w:jc w:val="both"/>
        <w:rPr>
          <w:rFonts w:hint="eastAsia" w:ascii="宋体" w:hAnsi="宋体" w:eastAsia="宋体" w:cs="宋体"/>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44" w:firstLineChars="200"/>
        <w:jc w:val="center"/>
        <w:textAlignment w:val="auto"/>
        <w:rPr>
          <w:rStyle w:val="28"/>
          <w:rFonts w:hint="eastAsia" w:ascii="宋体" w:hAnsi="宋体" w:eastAsia="宋体" w:cs="宋体"/>
          <w:b/>
          <w:color w:val="auto"/>
          <w:kern w:val="2"/>
          <w:sz w:val="32"/>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644" w:firstLineChars="200"/>
        <w:jc w:val="center"/>
        <w:textAlignment w:val="auto"/>
        <w:rPr>
          <w:rStyle w:val="28"/>
          <w:rFonts w:hint="eastAsia" w:ascii="宋体" w:hAnsi="宋体" w:eastAsia="宋体" w:cs="宋体"/>
          <w:b/>
          <w:color w:val="auto"/>
          <w:kern w:val="2"/>
          <w:sz w:val="32"/>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644" w:firstLineChars="200"/>
        <w:jc w:val="center"/>
        <w:textAlignment w:val="auto"/>
        <w:rPr>
          <w:rStyle w:val="28"/>
          <w:rFonts w:hint="eastAsia" w:ascii="宋体" w:hAnsi="宋体" w:eastAsia="宋体" w:cs="宋体"/>
          <w:b/>
          <w:color w:val="auto"/>
          <w:kern w:val="2"/>
          <w:sz w:val="32"/>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644" w:firstLineChars="200"/>
        <w:jc w:val="center"/>
        <w:textAlignment w:val="auto"/>
        <w:rPr>
          <w:rStyle w:val="28"/>
          <w:rFonts w:hint="eastAsia" w:ascii="宋体" w:hAnsi="宋体" w:eastAsia="宋体" w:cs="宋体"/>
          <w:b/>
          <w:color w:val="auto"/>
          <w:kern w:val="2"/>
          <w:sz w:val="32"/>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644" w:firstLineChars="200"/>
        <w:jc w:val="center"/>
        <w:textAlignment w:val="auto"/>
        <w:rPr>
          <w:rStyle w:val="28"/>
          <w:rFonts w:hint="eastAsia" w:ascii="宋体" w:hAnsi="宋体" w:eastAsia="宋体" w:cs="宋体"/>
          <w:b/>
          <w:color w:val="auto"/>
          <w:kern w:val="2"/>
          <w:sz w:val="32"/>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8"/>
          <w:rFonts w:hint="eastAsia" w:ascii="宋体" w:hAnsi="宋体" w:eastAsia="宋体" w:cs="宋体"/>
          <w:b/>
          <w:color w:val="auto"/>
          <w:kern w:val="2"/>
          <w:sz w:val="32"/>
          <w:szCs w:val="28"/>
          <w:lang w:val="en-US" w:eastAsia="zh-CN" w:bidi="ar-SA"/>
        </w:rPr>
      </w:pPr>
    </w:p>
    <w:p>
      <w:pPr>
        <w:pStyle w:val="25"/>
        <w:rPr>
          <w:rStyle w:val="28"/>
          <w:rFonts w:hint="eastAsia" w:ascii="宋体" w:hAnsi="宋体" w:eastAsia="宋体" w:cs="宋体"/>
          <w:b/>
          <w:color w:val="auto"/>
          <w:kern w:val="2"/>
          <w:sz w:val="32"/>
          <w:szCs w:val="28"/>
          <w:lang w:val="en-US" w:eastAsia="zh-CN" w:bidi="ar-SA"/>
        </w:rPr>
      </w:pPr>
    </w:p>
    <w:p>
      <w:pPr>
        <w:pStyle w:val="25"/>
        <w:rPr>
          <w:rStyle w:val="28"/>
          <w:rFonts w:hint="eastAsia" w:ascii="宋体" w:hAnsi="宋体" w:eastAsia="宋体" w:cs="宋体"/>
          <w:b/>
          <w:color w:val="auto"/>
          <w:kern w:val="2"/>
          <w:sz w:val="32"/>
          <w:szCs w:val="28"/>
          <w:lang w:val="en-US" w:eastAsia="zh-CN" w:bidi="ar-SA"/>
        </w:rPr>
      </w:pPr>
    </w:p>
    <w:p>
      <w:pPr>
        <w:pStyle w:val="25"/>
        <w:rPr>
          <w:rStyle w:val="28"/>
          <w:rFonts w:hint="eastAsia" w:ascii="宋体" w:hAnsi="宋体" w:eastAsia="宋体" w:cs="宋体"/>
          <w:b/>
          <w:color w:val="auto"/>
          <w:kern w:val="2"/>
          <w:sz w:val="32"/>
          <w:szCs w:val="28"/>
          <w:lang w:val="en-US" w:eastAsia="zh-CN" w:bidi="ar-SA"/>
        </w:rPr>
      </w:pPr>
    </w:p>
    <w:p>
      <w:pPr>
        <w:pStyle w:val="25"/>
        <w:rPr>
          <w:rStyle w:val="28"/>
          <w:rFonts w:hint="eastAsia" w:ascii="宋体" w:hAnsi="宋体" w:eastAsia="宋体" w:cs="宋体"/>
          <w:b/>
          <w:color w:val="auto"/>
          <w:kern w:val="2"/>
          <w:sz w:val="32"/>
          <w:szCs w:val="28"/>
          <w:lang w:val="en-US" w:eastAsia="zh-CN" w:bidi="ar-SA"/>
        </w:rPr>
      </w:pPr>
    </w:p>
    <w:p>
      <w:pPr>
        <w:pStyle w:val="25"/>
        <w:rPr>
          <w:rStyle w:val="28"/>
          <w:rFonts w:hint="eastAsia" w:ascii="宋体" w:hAnsi="宋体" w:eastAsia="宋体" w:cs="宋体"/>
          <w:b/>
          <w:color w:val="auto"/>
          <w:kern w:val="2"/>
          <w:sz w:val="32"/>
          <w:szCs w:val="28"/>
          <w:lang w:val="en-US" w:eastAsia="zh-CN" w:bidi="ar-SA"/>
        </w:rPr>
      </w:pPr>
    </w:p>
    <w:p>
      <w:pPr>
        <w:bidi w:val="0"/>
        <w:spacing w:line="600" w:lineRule="auto"/>
        <w:jc w:val="both"/>
        <w:rPr>
          <w:rStyle w:val="28"/>
          <w:rFonts w:hint="eastAsia" w:ascii="宋体" w:hAnsi="宋体" w:eastAsia="宋体" w:cs="宋体"/>
          <w:b/>
          <w:bCs/>
          <w:color w:val="auto"/>
          <w:sz w:val="32"/>
          <w:szCs w:val="28"/>
          <w:lang w:val="en-US" w:eastAsia="zh-CN"/>
        </w:rPr>
      </w:pPr>
    </w:p>
    <w:p>
      <w:pPr>
        <w:bidi w:val="0"/>
        <w:spacing w:line="600" w:lineRule="auto"/>
        <w:jc w:val="both"/>
        <w:rPr>
          <w:rStyle w:val="28"/>
          <w:rFonts w:hint="eastAsia" w:ascii="宋体" w:hAnsi="宋体" w:eastAsia="宋体" w:cs="宋体"/>
          <w:b/>
          <w:bCs/>
          <w:color w:val="auto"/>
          <w:sz w:val="32"/>
          <w:szCs w:val="28"/>
          <w:lang w:val="en-US" w:eastAsia="zh-CN"/>
        </w:rPr>
      </w:pPr>
    </w:p>
    <w:p>
      <w:pPr>
        <w:bidi w:val="0"/>
        <w:spacing w:line="600" w:lineRule="auto"/>
        <w:jc w:val="both"/>
        <w:rPr>
          <w:rStyle w:val="28"/>
          <w:rFonts w:hint="eastAsia" w:ascii="宋体" w:hAnsi="宋体" w:eastAsia="宋体" w:cs="宋体"/>
          <w:b/>
          <w:bCs/>
          <w:color w:val="auto"/>
          <w:sz w:val="32"/>
          <w:szCs w:val="28"/>
          <w:lang w:val="en-US" w:eastAsia="zh-CN"/>
        </w:rPr>
      </w:pPr>
    </w:p>
    <w:p>
      <w:pPr>
        <w:bidi w:val="0"/>
        <w:spacing w:line="600" w:lineRule="auto"/>
        <w:jc w:val="both"/>
        <w:rPr>
          <w:rStyle w:val="28"/>
          <w:rFonts w:hint="eastAsia" w:ascii="宋体" w:hAnsi="宋体" w:eastAsia="宋体" w:cs="宋体"/>
          <w:b/>
          <w:bCs/>
          <w:color w:val="auto"/>
          <w:sz w:val="32"/>
          <w:szCs w:val="28"/>
          <w:lang w:val="en-US" w:eastAsia="zh-CN"/>
        </w:rPr>
      </w:pPr>
    </w:p>
    <w:p>
      <w:pPr>
        <w:bidi w:val="0"/>
        <w:spacing w:line="600" w:lineRule="auto"/>
        <w:jc w:val="both"/>
        <w:rPr>
          <w:rStyle w:val="28"/>
          <w:rFonts w:hint="eastAsia" w:ascii="宋体" w:hAnsi="宋体" w:eastAsia="宋体" w:cs="宋体"/>
          <w:b/>
          <w:bCs/>
          <w:color w:val="auto"/>
          <w:sz w:val="32"/>
          <w:szCs w:val="28"/>
          <w:lang w:val="en-US" w:eastAsia="zh-CN"/>
        </w:rPr>
      </w:pPr>
    </w:p>
    <w:p>
      <w:pPr>
        <w:bidi w:val="0"/>
        <w:spacing w:line="600" w:lineRule="auto"/>
        <w:jc w:val="both"/>
        <w:rPr>
          <w:rStyle w:val="28"/>
          <w:rFonts w:hint="eastAsia" w:ascii="宋体" w:hAnsi="宋体" w:eastAsia="宋体" w:cs="宋体"/>
          <w:b/>
          <w:bCs/>
          <w:color w:val="auto"/>
          <w:sz w:val="32"/>
          <w:szCs w:val="28"/>
          <w:lang w:val="en-US" w:eastAsia="zh-CN"/>
        </w:rPr>
      </w:pPr>
    </w:p>
    <w:p>
      <w:pPr>
        <w:bidi w:val="0"/>
        <w:spacing w:line="600" w:lineRule="auto"/>
        <w:jc w:val="both"/>
        <w:rPr>
          <w:rStyle w:val="28"/>
          <w:rFonts w:hint="eastAsia" w:ascii="宋体" w:hAnsi="宋体" w:eastAsia="宋体" w:cs="宋体"/>
          <w:b/>
          <w:bCs/>
          <w:color w:val="auto"/>
          <w:sz w:val="32"/>
          <w:szCs w:val="28"/>
          <w:lang w:val="en-US" w:eastAsia="zh-CN"/>
        </w:rPr>
      </w:pPr>
      <w:bookmarkStart w:id="183" w:name="_Toc17995"/>
      <w:bookmarkStart w:id="184" w:name="_Toc25648"/>
      <w:r>
        <w:rPr>
          <w:rStyle w:val="28"/>
          <w:rFonts w:hint="eastAsia" w:ascii="宋体" w:hAnsi="宋体" w:eastAsia="宋体" w:cs="宋体"/>
          <w:b/>
          <w:bCs/>
          <w:color w:val="auto"/>
          <w:sz w:val="32"/>
          <w:szCs w:val="28"/>
          <w:lang w:val="en-US" w:eastAsia="zh-CN"/>
        </w:rPr>
        <w:t>附件5:</w:t>
      </w:r>
    </w:p>
    <w:bookmarkEnd w:id="183"/>
    <w:bookmarkEnd w:id="184"/>
    <w:p>
      <w:pPr>
        <w:keepNext w:val="0"/>
        <w:keepLines w:val="0"/>
        <w:pageBreakBefore w:val="0"/>
        <w:widowControl w:val="0"/>
        <w:kinsoku/>
        <w:wordWrap/>
        <w:overflowPunct/>
        <w:topLinePunct w:val="0"/>
        <w:autoSpaceDE/>
        <w:autoSpaceDN/>
        <w:bidi w:val="0"/>
        <w:adjustRightInd/>
        <w:snapToGrid/>
        <w:spacing w:line="360" w:lineRule="auto"/>
        <w:ind w:firstLine="644" w:firstLineChars="200"/>
        <w:jc w:val="center"/>
        <w:textAlignment w:val="auto"/>
        <w:rPr>
          <w:rStyle w:val="28"/>
          <w:rFonts w:hint="eastAsia" w:ascii="宋体" w:hAnsi="宋体" w:eastAsia="宋体" w:cs="宋体"/>
          <w:b/>
          <w:color w:val="auto"/>
          <w:kern w:val="2"/>
          <w:sz w:val="32"/>
          <w:szCs w:val="28"/>
          <w:lang w:val="en-US" w:eastAsia="zh-CN" w:bidi="ar-SA"/>
        </w:rPr>
      </w:pPr>
    </w:p>
    <w:p>
      <w:pPr>
        <w:bidi w:val="0"/>
        <w:rPr>
          <w:rFonts w:hint="eastAsia" w:ascii="宋体" w:hAnsi="宋体" w:eastAsia="宋体" w:cs="宋体"/>
          <w:b/>
          <w:color w:val="auto"/>
          <w:spacing w:val="20"/>
          <w:kern w:val="0"/>
          <w:sz w:val="24"/>
          <w:szCs w:val="24"/>
        </w:rPr>
      </w:pPr>
      <w:bookmarkStart w:id="185" w:name="_Toc6250"/>
      <w:bookmarkStart w:id="186" w:name="_Toc9408"/>
      <w:r>
        <w:rPr>
          <w:rStyle w:val="28"/>
          <w:rFonts w:hint="eastAsia" w:ascii="宋体" w:hAnsi="宋体" w:eastAsia="宋体" w:cs="宋体"/>
          <w:b/>
          <w:color w:val="auto"/>
          <w:kern w:val="2"/>
          <w:sz w:val="32"/>
          <w:szCs w:val="28"/>
          <w:lang w:val="en-US" w:eastAsia="zh-CN" w:bidi="ar-SA"/>
        </w:rPr>
        <w:t>投标方（投标方）反商业贿赂承诺书</w:t>
      </w:r>
      <w:bookmarkEnd w:id="185"/>
      <w:bookmarkEnd w:id="186"/>
    </w:p>
    <w:p>
      <w:pPr>
        <w:keepNext w:val="0"/>
        <w:keepLines w:val="0"/>
        <w:pageBreakBefore w:val="0"/>
        <w:widowControl w:val="0"/>
        <w:kinsoku/>
        <w:wordWrap/>
        <w:overflowPunct/>
        <w:topLinePunct w:val="0"/>
        <w:autoSpaceDE/>
        <w:autoSpaceDN/>
        <w:bidi w:val="0"/>
        <w:adjustRightInd/>
        <w:snapToGrid/>
        <w:spacing w:line="480" w:lineRule="auto"/>
        <w:ind w:firstLine="564" w:firstLineChars="200"/>
        <w:textAlignment w:val="auto"/>
        <w:rPr>
          <w:rFonts w:hint="eastAsia" w:ascii="宋体" w:hAnsi="宋体" w:eastAsia="宋体" w:cs="宋体"/>
          <w:color w:val="auto"/>
          <w:spacing w:val="20"/>
          <w:kern w:val="0"/>
          <w:sz w:val="24"/>
          <w:szCs w:val="24"/>
        </w:rPr>
      </w:pPr>
      <w:r>
        <w:rPr>
          <w:rFonts w:hint="eastAsia" w:ascii="宋体" w:hAnsi="宋体" w:eastAsia="宋体" w:cs="宋体"/>
          <w:color w:val="auto"/>
          <w:spacing w:val="20"/>
          <w:kern w:val="0"/>
          <w:sz w:val="24"/>
          <w:szCs w:val="24"/>
        </w:rPr>
        <w:t>我公司承诺在</w:t>
      </w:r>
      <w:r>
        <w:rPr>
          <w:rFonts w:hint="eastAsia" w:ascii="宋体" w:hAnsi="宋体" w:eastAsia="宋体" w:cs="宋体"/>
          <w:color w:val="auto"/>
          <w:spacing w:val="20"/>
          <w:kern w:val="0"/>
          <w:sz w:val="24"/>
          <w:szCs w:val="24"/>
          <w:u w:val="single"/>
        </w:rPr>
        <w:t>（项目编号，项目名称：）</w:t>
      </w:r>
      <w:r>
        <w:rPr>
          <w:rFonts w:hint="eastAsia" w:ascii="宋体" w:hAnsi="宋体" w:eastAsia="宋体" w:cs="宋体"/>
          <w:color w:val="auto"/>
          <w:spacing w:val="20"/>
          <w:kern w:val="0"/>
          <w:sz w:val="24"/>
          <w:szCs w:val="24"/>
        </w:rPr>
        <w:t>招标活动中，不给予国家工作人员以及中介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pPr>
        <w:keepNext w:val="0"/>
        <w:keepLines w:val="0"/>
        <w:pageBreakBefore w:val="0"/>
        <w:widowControl w:val="0"/>
        <w:kinsoku/>
        <w:wordWrap/>
        <w:overflowPunct/>
        <w:topLinePunct w:val="0"/>
        <w:autoSpaceDE/>
        <w:autoSpaceDN/>
        <w:bidi w:val="0"/>
        <w:adjustRightInd/>
        <w:snapToGrid/>
        <w:spacing w:line="480" w:lineRule="auto"/>
        <w:ind w:firstLine="564" w:firstLineChars="200"/>
        <w:textAlignment w:val="auto"/>
        <w:rPr>
          <w:rFonts w:hint="eastAsia" w:ascii="宋体" w:hAnsi="宋体" w:eastAsia="宋体" w:cs="宋体"/>
          <w:color w:val="auto"/>
          <w:spacing w:val="20"/>
          <w:kern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564" w:firstLineChars="200"/>
        <w:textAlignment w:val="auto"/>
        <w:rPr>
          <w:rFonts w:hint="eastAsia" w:ascii="宋体" w:hAnsi="宋体" w:eastAsia="宋体" w:cs="宋体"/>
          <w:color w:val="auto"/>
          <w:spacing w:val="20"/>
          <w:kern w:val="0"/>
          <w:sz w:val="24"/>
          <w:szCs w:val="24"/>
        </w:rPr>
      </w:pPr>
      <w:r>
        <w:rPr>
          <w:rFonts w:hint="eastAsia" w:ascii="宋体" w:hAnsi="宋体" w:eastAsia="宋体" w:cs="宋体"/>
          <w:color w:val="auto"/>
          <w:spacing w:val="20"/>
          <w:kern w:val="0"/>
          <w:sz w:val="24"/>
          <w:szCs w:val="24"/>
        </w:rPr>
        <w:t>公司法人代表签字：</w:t>
      </w:r>
    </w:p>
    <w:p>
      <w:pPr>
        <w:keepNext w:val="0"/>
        <w:keepLines w:val="0"/>
        <w:pageBreakBefore w:val="0"/>
        <w:widowControl w:val="0"/>
        <w:kinsoku/>
        <w:wordWrap/>
        <w:overflowPunct/>
        <w:topLinePunct w:val="0"/>
        <w:autoSpaceDE/>
        <w:autoSpaceDN/>
        <w:bidi w:val="0"/>
        <w:adjustRightInd/>
        <w:snapToGrid/>
        <w:spacing w:line="480" w:lineRule="auto"/>
        <w:ind w:firstLine="564" w:firstLineChars="200"/>
        <w:textAlignment w:val="auto"/>
        <w:rPr>
          <w:rFonts w:hint="eastAsia" w:ascii="宋体" w:hAnsi="宋体" w:eastAsia="宋体" w:cs="宋体"/>
          <w:color w:val="auto"/>
          <w:spacing w:val="20"/>
          <w:kern w:val="0"/>
          <w:sz w:val="24"/>
          <w:szCs w:val="24"/>
        </w:rPr>
      </w:pPr>
      <w:r>
        <w:rPr>
          <w:rFonts w:hint="eastAsia" w:ascii="宋体" w:hAnsi="宋体" w:eastAsia="宋体" w:cs="宋体"/>
          <w:color w:val="auto"/>
          <w:spacing w:val="20"/>
          <w:kern w:val="0"/>
          <w:sz w:val="24"/>
          <w:szCs w:val="24"/>
        </w:rPr>
        <w:t>法人授权代表签字：</w:t>
      </w:r>
    </w:p>
    <w:p>
      <w:pPr>
        <w:keepNext w:val="0"/>
        <w:keepLines w:val="0"/>
        <w:pageBreakBefore w:val="0"/>
        <w:widowControl w:val="0"/>
        <w:kinsoku/>
        <w:wordWrap/>
        <w:overflowPunct/>
        <w:topLinePunct w:val="0"/>
        <w:autoSpaceDE/>
        <w:autoSpaceDN/>
        <w:bidi w:val="0"/>
        <w:adjustRightInd/>
        <w:snapToGrid/>
        <w:spacing w:line="480" w:lineRule="auto"/>
        <w:ind w:firstLine="564" w:firstLineChars="200"/>
        <w:textAlignment w:val="auto"/>
        <w:rPr>
          <w:rFonts w:hint="eastAsia" w:ascii="宋体" w:hAnsi="宋体" w:eastAsia="宋体" w:cs="宋体"/>
          <w:color w:val="auto"/>
          <w:spacing w:val="20"/>
          <w:kern w:val="0"/>
          <w:sz w:val="24"/>
          <w:szCs w:val="24"/>
        </w:rPr>
      </w:pPr>
      <w:r>
        <w:rPr>
          <w:rFonts w:hint="eastAsia" w:ascii="宋体" w:hAnsi="宋体" w:eastAsia="宋体" w:cs="宋体"/>
          <w:color w:val="auto"/>
          <w:spacing w:val="20"/>
          <w:kern w:val="0"/>
          <w:sz w:val="24"/>
          <w:szCs w:val="24"/>
        </w:rPr>
        <w:t>项目经办人签字：</w:t>
      </w:r>
    </w:p>
    <w:p>
      <w:pPr>
        <w:keepNext w:val="0"/>
        <w:keepLines w:val="0"/>
        <w:pageBreakBefore w:val="0"/>
        <w:widowControl w:val="0"/>
        <w:kinsoku/>
        <w:wordWrap/>
        <w:overflowPunct/>
        <w:topLinePunct w:val="0"/>
        <w:autoSpaceDE/>
        <w:autoSpaceDN/>
        <w:bidi w:val="0"/>
        <w:adjustRightInd/>
        <w:snapToGrid/>
        <w:spacing w:line="480" w:lineRule="auto"/>
        <w:ind w:firstLine="564" w:firstLineChars="200"/>
        <w:textAlignment w:val="auto"/>
        <w:rPr>
          <w:rFonts w:hint="eastAsia" w:ascii="宋体" w:hAnsi="宋体" w:eastAsia="宋体" w:cs="宋体"/>
          <w:color w:val="auto"/>
          <w:spacing w:val="20"/>
          <w:sz w:val="24"/>
          <w:szCs w:val="24"/>
        </w:rPr>
      </w:pPr>
      <w:r>
        <w:rPr>
          <w:rFonts w:hint="eastAsia" w:ascii="宋体" w:hAnsi="宋体" w:eastAsia="宋体" w:cs="宋体"/>
          <w:bCs/>
          <w:color w:val="auto"/>
          <w:spacing w:val="20"/>
          <w:kern w:val="0"/>
          <w:sz w:val="24"/>
          <w:szCs w:val="24"/>
        </w:rPr>
        <w:t xml:space="preserve">承诺日期：20  年   </w:t>
      </w:r>
      <w:r>
        <w:rPr>
          <w:rFonts w:hint="eastAsia" w:ascii="宋体" w:hAnsi="宋体" w:eastAsia="宋体" w:cs="宋体"/>
          <w:color w:val="auto"/>
          <w:spacing w:val="20"/>
          <w:kern w:val="0"/>
          <w:sz w:val="24"/>
          <w:szCs w:val="24"/>
        </w:rPr>
        <w:t>月   日</w:t>
      </w:r>
    </w:p>
    <w:bookmarkEnd w:id="176"/>
    <w:bookmarkEnd w:id="177"/>
    <w:p>
      <w:pPr>
        <w:keepNext w:val="0"/>
        <w:keepLines w:val="0"/>
        <w:pageBreakBefore w:val="0"/>
        <w:widowControl w:val="0"/>
        <w:kinsoku/>
        <w:wordWrap w:val="0"/>
        <w:overflowPunct/>
        <w:topLinePunct w:val="0"/>
        <w:autoSpaceDE/>
        <w:autoSpaceDN/>
        <w:bidi w:val="0"/>
        <w:adjustRightInd/>
        <w:snapToGrid/>
        <w:spacing w:line="480" w:lineRule="auto"/>
        <w:jc w:val="right"/>
        <w:textAlignment w:val="auto"/>
        <w:rPr>
          <w:rFonts w:hint="eastAsia" w:ascii="宋体" w:hAnsi="宋体" w:eastAsia="宋体" w:cs="宋体"/>
          <w:color w:val="auto"/>
          <w:sz w:val="24"/>
          <w:szCs w:val="24"/>
          <w:lang w:val="en-US" w:eastAsia="zh-CN"/>
        </w:rPr>
        <w:sectPr>
          <w:pgSz w:w="11906" w:h="16838"/>
          <w:pgMar w:top="1417" w:right="1417" w:bottom="1417" w:left="1417" w:header="851" w:footer="850" w:gutter="0"/>
          <w:pgNumType w:fmt="decimal"/>
          <w:cols w:space="720" w:num="1"/>
          <w:titlePg/>
          <w:docGrid w:type="linesAndChars" w:linePitch="312" w:charSpace="530"/>
        </w:sectPr>
      </w:pPr>
      <w:bookmarkStart w:id="187" w:name="_Toc22473"/>
      <w:bookmarkStart w:id="188" w:name="_Toc5939"/>
      <w:bookmarkStart w:id="189" w:name="_Toc15866"/>
    </w:p>
    <w:bookmarkEnd w:id="187"/>
    <w:bookmarkEnd w:id="188"/>
    <w:bookmarkEnd w:id="189"/>
    <w:p>
      <w:pPr>
        <w:bidi w:val="0"/>
        <w:spacing w:line="600" w:lineRule="auto"/>
        <w:rPr>
          <w:rStyle w:val="28"/>
          <w:rFonts w:hint="eastAsia" w:ascii="宋体" w:hAnsi="宋体" w:eastAsia="宋体" w:cs="宋体"/>
          <w:color w:val="auto"/>
          <w:sz w:val="32"/>
          <w:szCs w:val="28"/>
          <w:lang w:val="en-US" w:eastAsia="zh-CN"/>
        </w:rPr>
      </w:pPr>
      <w:bookmarkStart w:id="190" w:name="_Toc3096"/>
      <w:bookmarkStart w:id="191" w:name="_Toc12584"/>
      <w:bookmarkStart w:id="192" w:name="_Toc4526"/>
      <w:bookmarkStart w:id="193" w:name="_Toc13267"/>
      <w:bookmarkStart w:id="194" w:name="_Toc6467"/>
      <w:r>
        <w:rPr>
          <w:rStyle w:val="28"/>
          <w:rFonts w:hint="eastAsia" w:ascii="宋体" w:hAnsi="宋体" w:eastAsia="宋体" w:cs="宋体"/>
          <w:b/>
          <w:bCs/>
          <w:color w:val="auto"/>
          <w:sz w:val="32"/>
          <w:szCs w:val="28"/>
          <w:lang w:val="en-US" w:eastAsia="zh-CN"/>
        </w:rPr>
        <w:t>附件6:</w:t>
      </w:r>
    </w:p>
    <w:bookmarkEnd w:id="190"/>
    <w:bookmarkEnd w:id="191"/>
    <w:p>
      <w:pPr>
        <w:bidi w:val="0"/>
        <w:jc w:val="center"/>
        <w:rPr>
          <w:rStyle w:val="28"/>
          <w:rFonts w:hint="eastAsia" w:ascii="宋体" w:hAnsi="宋体" w:eastAsia="宋体" w:cs="宋体"/>
          <w:color w:val="auto"/>
          <w:sz w:val="32"/>
          <w:szCs w:val="28"/>
          <w:lang w:val="en-US" w:eastAsia="zh-CN"/>
        </w:rPr>
      </w:pPr>
      <w:bookmarkStart w:id="195" w:name="_Toc2085"/>
      <w:bookmarkStart w:id="196" w:name="_Toc11979"/>
      <w:r>
        <w:rPr>
          <w:rStyle w:val="28"/>
          <w:rFonts w:hint="eastAsia" w:ascii="宋体" w:hAnsi="宋体" w:eastAsia="宋体" w:cs="宋体"/>
          <w:color w:val="auto"/>
          <w:sz w:val="32"/>
          <w:szCs w:val="28"/>
          <w:lang w:val="en-US" w:eastAsia="zh-CN"/>
        </w:rPr>
        <w:t>商务条款偏离表</w:t>
      </w:r>
      <w:bookmarkEnd w:id="192"/>
      <w:bookmarkEnd w:id="193"/>
      <w:bookmarkEnd w:id="194"/>
    </w:p>
    <w:bookmarkEnd w:id="195"/>
    <w:bookmarkEnd w:id="196"/>
    <w:p>
      <w:pPr>
        <w:pStyle w:val="24"/>
        <w:spacing w:line="480" w:lineRule="exact"/>
        <w:ind w:firstLine="103" w:firstLineChars="43"/>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项目名称：</w:t>
      </w:r>
      <w:r>
        <w:rPr>
          <w:rFonts w:hint="eastAsia" w:ascii="宋体" w:hAnsi="宋体" w:eastAsia="宋体" w:cs="宋体"/>
          <w:color w:val="auto"/>
          <w:kern w:val="2"/>
          <w:sz w:val="24"/>
          <w:szCs w:val="24"/>
          <w:lang w:val="en-US" w:eastAsia="zh-CN" w:bidi="ar-SA"/>
        </w:rPr>
        <w:t xml:space="preserve"> 　</w:t>
      </w:r>
      <w:r>
        <w:rPr>
          <w:rFonts w:hint="eastAsia" w:ascii="宋体" w:hAnsi="宋体" w:eastAsia="宋体" w:cs="宋体"/>
          <w:color w:val="auto"/>
          <w:sz w:val="24"/>
          <w:szCs w:val="24"/>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2749"/>
        <w:gridCol w:w="3287"/>
        <w:gridCol w:w="3177"/>
        <w:gridCol w:w="2015"/>
        <w:gridCol w:w="1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749"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条目号</w:t>
            </w:r>
          </w:p>
        </w:tc>
        <w:tc>
          <w:tcPr>
            <w:tcW w:w="3287"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的商务条款</w:t>
            </w:r>
          </w:p>
        </w:tc>
        <w:tc>
          <w:tcPr>
            <w:tcW w:w="3177"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的商务条款</w:t>
            </w:r>
          </w:p>
        </w:tc>
        <w:tc>
          <w:tcPr>
            <w:tcW w:w="2015"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w:t>
            </w:r>
          </w:p>
        </w:tc>
        <w:tc>
          <w:tcPr>
            <w:tcW w:w="1639"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top"/>
          </w:tcPr>
          <w:p>
            <w:pPr>
              <w:bidi w:val="0"/>
              <w:rPr>
                <w:rFonts w:hint="eastAsia" w:ascii="宋体" w:hAnsi="宋体" w:eastAsia="宋体" w:cs="宋体"/>
                <w:color w:val="auto"/>
                <w:sz w:val="24"/>
                <w:szCs w:val="24"/>
              </w:rPr>
            </w:pPr>
          </w:p>
        </w:tc>
        <w:tc>
          <w:tcPr>
            <w:tcW w:w="2749" w:type="dxa"/>
            <w:noWrap w:val="0"/>
            <w:vAlign w:val="top"/>
          </w:tcPr>
          <w:p>
            <w:pPr>
              <w:bidi w:val="0"/>
              <w:rPr>
                <w:rFonts w:hint="eastAsia" w:ascii="宋体" w:hAnsi="宋体" w:eastAsia="宋体" w:cs="宋体"/>
                <w:color w:val="auto"/>
                <w:sz w:val="24"/>
                <w:szCs w:val="24"/>
              </w:rPr>
            </w:pPr>
          </w:p>
        </w:tc>
        <w:tc>
          <w:tcPr>
            <w:tcW w:w="3287" w:type="dxa"/>
            <w:noWrap w:val="0"/>
            <w:vAlign w:val="top"/>
          </w:tcPr>
          <w:p>
            <w:pPr>
              <w:bidi w:val="0"/>
              <w:rPr>
                <w:rFonts w:hint="eastAsia" w:ascii="宋体" w:hAnsi="宋体" w:eastAsia="宋体" w:cs="宋体"/>
                <w:color w:val="auto"/>
                <w:sz w:val="24"/>
                <w:szCs w:val="24"/>
              </w:rPr>
            </w:pPr>
          </w:p>
        </w:tc>
        <w:tc>
          <w:tcPr>
            <w:tcW w:w="3177" w:type="dxa"/>
            <w:noWrap w:val="0"/>
            <w:vAlign w:val="top"/>
          </w:tcPr>
          <w:p>
            <w:pPr>
              <w:bidi w:val="0"/>
              <w:rPr>
                <w:rFonts w:hint="eastAsia" w:ascii="宋体" w:hAnsi="宋体" w:eastAsia="宋体" w:cs="宋体"/>
                <w:color w:val="auto"/>
                <w:sz w:val="24"/>
                <w:szCs w:val="24"/>
              </w:rPr>
            </w:pPr>
          </w:p>
        </w:tc>
        <w:tc>
          <w:tcPr>
            <w:tcW w:w="2015" w:type="dxa"/>
            <w:noWrap w:val="0"/>
            <w:vAlign w:val="top"/>
          </w:tcPr>
          <w:p>
            <w:pPr>
              <w:bidi w:val="0"/>
              <w:rPr>
                <w:rFonts w:hint="eastAsia" w:ascii="宋体" w:hAnsi="宋体" w:eastAsia="宋体" w:cs="宋体"/>
                <w:color w:val="auto"/>
                <w:sz w:val="24"/>
                <w:szCs w:val="24"/>
              </w:rPr>
            </w:pPr>
          </w:p>
        </w:tc>
        <w:tc>
          <w:tcPr>
            <w:tcW w:w="1639" w:type="dxa"/>
            <w:noWrap w:val="0"/>
            <w:vAlign w:val="top"/>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top"/>
          </w:tcPr>
          <w:p>
            <w:pPr>
              <w:bidi w:val="0"/>
              <w:rPr>
                <w:rFonts w:hint="eastAsia" w:ascii="宋体" w:hAnsi="宋体" w:eastAsia="宋体" w:cs="宋体"/>
                <w:color w:val="auto"/>
                <w:sz w:val="24"/>
                <w:szCs w:val="24"/>
              </w:rPr>
            </w:pPr>
          </w:p>
        </w:tc>
        <w:tc>
          <w:tcPr>
            <w:tcW w:w="2749" w:type="dxa"/>
            <w:noWrap w:val="0"/>
            <w:vAlign w:val="top"/>
          </w:tcPr>
          <w:p>
            <w:pPr>
              <w:bidi w:val="0"/>
              <w:rPr>
                <w:rFonts w:hint="eastAsia" w:ascii="宋体" w:hAnsi="宋体" w:eastAsia="宋体" w:cs="宋体"/>
                <w:color w:val="auto"/>
                <w:sz w:val="24"/>
                <w:szCs w:val="24"/>
              </w:rPr>
            </w:pPr>
          </w:p>
        </w:tc>
        <w:tc>
          <w:tcPr>
            <w:tcW w:w="3287" w:type="dxa"/>
            <w:noWrap w:val="0"/>
            <w:vAlign w:val="top"/>
          </w:tcPr>
          <w:p>
            <w:pPr>
              <w:bidi w:val="0"/>
              <w:rPr>
                <w:rFonts w:hint="eastAsia" w:ascii="宋体" w:hAnsi="宋体" w:eastAsia="宋体" w:cs="宋体"/>
                <w:color w:val="auto"/>
                <w:sz w:val="24"/>
                <w:szCs w:val="24"/>
              </w:rPr>
            </w:pPr>
          </w:p>
        </w:tc>
        <w:tc>
          <w:tcPr>
            <w:tcW w:w="3177" w:type="dxa"/>
            <w:noWrap w:val="0"/>
            <w:vAlign w:val="top"/>
          </w:tcPr>
          <w:p>
            <w:pPr>
              <w:bidi w:val="0"/>
              <w:rPr>
                <w:rFonts w:hint="eastAsia" w:ascii="宋体" w:hAnsi="宋体" w:eastAsia="宋体" w:cs="宋体"/>
                <w:color w:val="auto"/>
                <w:sz w:val="24"/>
                <w:szCs w:val="24"/>
              </w:rPr>
            </w:pPr>
          </w:p>
        </w:tc>
        <w:tc>
          <w:tcPr>
            <w:tcW w:w="2015" w:type="dxa"/>
            <w:noWrap w:val="0"/>
            <w:vAlign w:val="top"/>
          </w:tcPr>
          <w:p>
            <w:pPr>
              <w:bidi w:val="0"/>
              <w:rPr>
                <w:rFonts w:hint="eastAsia" w:ascii="宋体" w:hAnsi="宋体" w:eastAsia="宋体" w:cs="宋体"/>
                <w:color w:val="auto"/>
                <w:sz w:val="24"/>
                <w:szCs w:val="24"/>
              </w:rPr>
            </w:pPr>
          </w:p>
        </w:tc>
        <w:tc>
          <w:tcPr>
            <w:tcW w:w="1639" w:type="dxa"/>
            <w:noWrap w:val="0"/>
            <w:vAlign w:val="top"/>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top"/>
          </w:tcPr>
          <w:p>
            <w:pPr>
              <w:bidi w:val="0"/>
              <w:rPr>
                <w:rFonts w:hint="eastAsia" w:ascii="宋体" w:hAnsi="宋体" w:eastAsia="宋体" w:cs="宋体"/>
                <w:color w:val="auto"/>
                <w:sz w:val="24"/>
                <w:szCs w:val="24"/>
              </w:rPr>
            </w:pPr>
          </w:p>
        </w:tc>
        <w:tc>
          <w:tcPr>
            <w:tcW w:w="2749" w:type="dxa"/>
            <w:noWrap w:val="0"/>
            <w:vAlign w:val="top"/>
          </w:tcPr>
          <w:p>
            <w:pPr>
              <w:bidi w:val="0"/>
              <w:rPr>
                <w:rFonts w:hint="eastAsia" w:ascii="宋体" w:hAnsi="宋体" w:eastAsia="宋体" w:cs="宋体"/>
                <w:color w:val="auto"/>
                <w:sz w:val="24"/>
                <w:szCs w:val="24"/>
              </w:rPr>
            </w:pPr>
          </w:p>
        </w:tc>
        <w:tc>
          <w:tcPr>
            <w:tcW w:w="3287" w:type="dxa"/>
            <w:noWrap w:val="0"/>
            <w:vAlign w:val="top"/>
          </w:tcPr>
          <w:p>
            <w:pPr>
              <w:bidi w:val="0"/>
              <w:rPr>
                <w:rFonts w:hint="eastAsia" w:ascii="宋体" w:hAnsi="宋体" w:eastAsia="宋体" w:cs="宋体"/>
                <w:color w:val="auto"/>
                <w:sz w:val="24"/>
                <w:szCs w:val="24"/>
              </w:rPr>
            </w:pPr>
          </w:p>
        </w:tc>
        <w:tc>
          <w:tcPr>
            <w:tcW w:w="3177" w:type="dxa"/>
            <w:noWrap w:val="0"/>
            <w:vAlign w:val="top"/>
          </w:tcPr>
          <w:p>
            <w:pPr>
              <w:bidi w:val="0"/>
              <w:rPr>
                <w:rFonts w:hint="eastAsia" w:ascii="宋体" w:hAnsi="宋体" w:eastAsia="宋体" w:cs="宋体"/>
                <w:color w:val="auto"/>
                <w:sz w:val="24"/>
                <w:szCs w:val="24"/>
              </w:rPr>
            </w:pPr>
          </w:p>
        </w:tc>
        <w:tc>
          <w:tcPr>
            <w:tcW w:w="2015" w:type="dxa"/>
            <w:noWrap w:val="0"/>
            <w:vAlign w:val="top"/>
          </w:tcPr>
          <w:p>
            <w:pPr>
              <w:bidi w:val="0"/>
              <w:rPr>
                <w:rFonts w:hint="eastAsia" w:ascii="宋体" w:hAnsi="宋体" w:eastAsia="宋体" w:cs="宋体"/>
                <w:color w:val="auto"/>
                <w:sz w:val="24"/>
                <w:szCs w:val="24"/>
              </w:rPr>
            </w:pPr>
          </w:p>
        </w:tc>
        <w:tc>
          <w:tcPr>
            <w:tcW w:w="1639" w:type="dxa"/>
            <w:noWrap w:val="0"/>
            <w:vAlign w:val="top"/>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top"/>
          </w:tcPr>
          <w:p>
            <w:pPr>
              <w:bidi w:val="0"/>
              <w:rPr>
                <w:rFonts w:hint="eastAsia" w:ascii="宋体" w:hAnsi="宋体" w:eastAsia="宋体" w:cs="宋体"/>
                <w:color w:val="auto"/>
                <w:sz w:val="24"/>
                <w:szCs w:val="24"/>
              </w:rPr>
            </w:pPr>
          </w:p>
        </w:tc>
        <w:tc>
          <w:tcPr>
            <w:tcW w:w="2749" w:type="dxa"/>
            <w:noWrap w:val="0"/>
            <w:vAlign w:val="top"/>
          </w:tcPr>
          <w:p>
            <w:pPr>
              <w:bidi w:val="0"/>
              <w:rPr>
                <w:rFonts w:hint="eastAsia" w:ascii="宋体" w:hAnsi="宋体" w:eastAsia="宋体" w:cs="宋体"/>
                <w:color w:val="auto"/>
                <w:sz w:val="24"/>
                <w:szCs w:val="24"/>
              </w:rPr>
            </w:pPr>
          </w:p>
        </w:tc>
        <w:tc>
          <w:tcPr>
            <w:tcW w:w="3287" w:type="dxa"/>
            <w:noWrap w:val="0"/>
            <w:vAlign w:val="top"/>
          </w:tcPr>
          <w:p>
            <w:pPr>
              <w:bidi w:val="0"/>
              <w:rPr>
                <w:rFonts w:hint="eastAsia" w:ascii="宋体" w:hAnsi="宋体" w:eastAsia="宋体" w:cs="宋体"/>
                <w:color w:val="auto"/>
                <w:sz w:val="24"/>
                <w:szCs w:val="24"/>
              </w:rPr>
            </w:pPr>
          </w:p>
        </w:tc>
        <w:tc>
          <w:tcPr>
            <w:tcW w:w="3177" w:type="dxa"/>
            <w:noWrap w:val="0"/>
            <w:vAlign w:val="top"/>
          </w:tcPr>
          <w:p>
            <w:pPr>
              <w:bidi w:val="0"/>
              <w:rPr>
                <w:rFonts w:hint="eastAsia" w:ascii="宋体" w:hAnsi="宋体" w:eastAsia="宋体" w:cs="宋体"/>
                <w:color w:val="auto"/>
                <w:sz w:val="24"/>
                <w:szCs w:val="24"/>
              </w:rPr>
            </w:pPr>
          </w:p>
        </w:tc>
        <w:tc>
          <w:tcPr>
            <w:tcW w:w="2015" w:type="dxa"/>
            <w:noWrap w:val="0"/>
            <w:vAlign w:val="top"/>
          </w:tcPr>
          <w:p>
            <w:pPr>
              <w:bidi w:val="0"/>
              <w:rPr>
                <w:rFonts w:hint="eastAsia" w:ascii="宋体" w:hAnsi="宋体" w:eastAsia="宋体" w:cs="宋体"/>
                <w:color w:val="auto"/>
                <w:sz w:val="24"/>
                <w:szCs w:val="24"/>
              </w:rPr>
            </w:pPr>
          </w:p>
        </w:tc>
        <w:tc>
          <w:tcPr>
            <w:tcW w:w="1639" w:type="dxa"/>
            <w:noWrap w:val="0"/>
            <w:vAlign w:val="top"/>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top"/>
          </w:tcPr>
          <w:p>
            <w:pPr>
              <w:bidi w:val="0"/>
              <w:rPr>
                <w:rFonts w:hint="eastAsia" w:ascii="宋体" w:hAnsi="宋体" w:eastAsia="宋体" w:cs="宋体"/>
                <w:color w:val="auto"/>
                <w:sz w:val="24"/>
                <w:szCs w:val="24"/>
              </w:rPr>
            </w:pPr>
          </w:p>
        </w:tc>
        <w:tc>
          <w:tcPr>
            <w:tcW w:w="2749" w:type="dxa"/>
            <w:noWrap w:val="0"/>
            <w:vAlign w:val="top"/>
          </w:tcPr>
          <w:p>
            <w:pPr>
              <w:bidi w:val="0"/>
              <w:rPr>
                <w:rFonts w:hint="eastAsia" w:ascii="宋体" w:hAnsi="宋体" w:eastAsia="宋体" w:cs="宋体"/>
                <w:color w:val="auto"/>
                <w:sz w:val="24"/>
                <w:szCs w:val="24"/>
              </w:rPr>
            </w:pPr>
          </w:p>
        </w:tc>
        <w:tc>
          <w:tcPr>
            <w:tcW w:w="3287" w:type="dxa"/>
            <w:noWrap w:val="0"/>
            <w:vAlign w:val="top"/>
          </w:tcPr>
          <w:p>
            <w:pPr>
              <w:bidi w:val="0"/>
              <w:rPr>
                <w:rFonts w:hint="eastAsia" w:ascii="宋体" w:hAnsi="宋体" w:eastAsia="宋体" w:cs="宋体"/>
                <w:color w:val="auto"/>
                <w:sz w:val="24"/>
                <w:szCs w:val="24"/>
              </w:rPr>
            </w:pPr>
          </w:p>
        </w:tc>
        <w:tc>
          <w:tcPr>
            <w:tcW w:w="3177" w:type="dxa"/>
            <w:noWrap w:val="0"/>
            <w:vAlign w:val="top"/>
          </w:tcPr>
          <w:p>
            <w:pPr>
              <w:bidi w:val="0"/>
              <w:rPr>
                <w:rFonts w:hint="eastAsia" w:ascii="宋体" w:hAnsi="宋体" w:eastAsia="宋体" w:cs="宋体"/>
                <w:color w:val="auto"/>
                <w:sz w:val="24"/>
                <w:szCs w:val="24"/>
              </w:rPr>
            </w:pPr>
          </w:p>
        </w:tc>
        <w:tc>
          <w:tcPr>
            <w:tcW w:w="2015" w:type="dxa"/>
            <w:noWrap w:val="0"/>
            <w:vAlign w:val="top"/>
          </w:tcPr>
          <w:p>
            <w:pPr>
              <w:bidi w:val="0"/>
              <w:rPr>
                <w:rFonts w:hint="eastAsia" w:ascii="宋体" w:hAnsi="宋体" w:eastAsia="宋体" w:cs="宋体"/>
                <w:color w:val="auto"/>
                <w:sz w:val="24"/>
                <w:szCs w:val="24"/>
              </w:rPr>
            </w:pPr>
          </w:p>
        </w:tc>
        <w:tc>
          <w:tcPr>
            <w:tcW w:w="1639" w:type="dxa"/>
            <w:noWrap w:val="0"/>
            <w:vAlign w:val="top"/>
          </w:tcPr>
          <w:p>
            <w:pPr>
              <w:bidi w:val="0"/>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top"/>
          </w:tcPr>
          <w:p>
            <w:pPr>
              <w:bidi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749" w:type="dxa"/>
            <w:noWrap w:val="0"/>
            <w:vAlign w:val="top"/>
          </w:tcPr>
          <w:p>
            <w:pPr>
              <w:bidi w:val="0"/>
              <w:rPr>
                <w:rFonts w:hint="eastAsia" w:ascii="宋体" w:hAnsi="宋体" w:eastAsia="宋体" w:cs="宋体"/>
                <w:color w:val="auto"/>
                <w:sz w:val="24"/>
                <w:szCs w:val="24"/>
              </w:rPr>
            </w:pPr>
          </w:p>
        </w:tc>
        <w:tc>
          <w:tcPr>
            <w:tcW w:w="3287" w:type="dxa"/>
            <w:noWrap w:val="0"/>
            <w:vAlign w:val="top"/>
          </w:tcPr>
          <w:p>
            <w:pPr>
              <w:bidi w:val="0"/>
              <w:rPr>
                <w:rFonts w:hint="eastAsia" w:ascii="宋体" w:hAnsi="宋体" w:eastAsia="宋体" w:cs="宋体"/>
                <w:color w:val="auto"/>
                <w:sz w:val="24"/>
                <w:szCs w:val="24"/>
              </w:rPr>
            </w:pPr>
          </w:p>
        </w:tc>
        <w:tc>
          <w:tcPr>
            <w:tcW w:w="3177" w:type="dxa"/>
            <w:noWrap w:val="0"/>
            <w:vAlign w:val="top"/>
          </w:tcPr>
          <w:p>
            <w:pPr>
              <w:bidi w:val="0"/>
              <w:rPr>
                <w:rFonts w:hint="eastAsia" w:ascii="宋体" w:hAnsi="宋体" w:eastAsia="宋体" w:cs="宋体"/>
                <w:color w:val="auto"/>
                <w:sz w:val="24"/>
                <w:szCs w:val="24"/>
              </w:rPr>
            </w:pPr>
          </w:p>
        </w:tc>
        <w:tc>
          <w:tcPr>
            <w:tcW w:w="2015" w:type="dxa"/>
            <w:noWrap w:val="0"/>
            <w:vAlign w:val="top"/>
          </w:tcPr>
          <w:p>
            <w:pPr>
              <w:bidi w:val="0"/>
              <w:rPr>
                <w:rFonts w:hint="eastAsia" w:ascii="宋体" w:hAnsi="宋体" w:eastAsia="宋体" w:cs="宋体"/>
                <w:color w:val="auto"/>
                <w:sz w:val="24"/>
                <w:szCs w:val="24"/>
              </w:rPr>
            </w:pPr>
          </w:p>
        </w:tc>
        <w:tc>
          <w:tcPr>
            <w:tcW w:w="1639" w:type="dxa"/>
            <w:noWrap w:val="0"/>
            <w:vAlign w:val="top"/>
          </w:tcPr>
          <w:p>
            <w:pPr>
              <w:bidi w:val="0"/>
              <w:rPr>
                <w:rFonts w:hint="eastAsia" w:ascii="宋体" w:hAnsi="宋体" w:eastAsia="宋体" w:cs="宋体"/>
                <w:color w:val="auto"/>
                <w:sz w:val="24"/>
                <w:szCs w:val="24"/>
              </w:rPr>
            </w:pPr>
          </w:p>
        </w:tc>
      </w:tr>
    </w:tbl>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注:若有偏离,请将具体偏离条款在“偏离”一栏中详细说明;若无偏离,请在“偏离”一栏中标注“无”字样。</w:t>
      </w:r>
    </w:p>
    <w:p>
      <w:pPr>
        <w:bidi w:val="0"/>
        <w:spacing w:line="60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供应商名称（盖章）：</w:t>
      </w:r>
    </w:p>
    <w:p>
      <w:pPr>
        <w:bidi w:val="0"/>
        <w:spacing w:line="60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法定代表人或委托代理人（签字或盖章）：</w:t>
      </w:r>
    </w:p>
    <w:p>
      <w:pPr>
        <w:bidi w:val="0"/>
        <w:spacing w:line="600" w:lineRule="auto"/>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bookmarkStart w:id="197" w:name="_Toc2824"/>
      <w:bookmarkStart w:id="198" w:name="_Toc28375"/>
      <w:bookmarkStart w:id="199" w:name="_Toc5781"/>
    </w:p>
    <w:p>
      <w:pPr>
        <w:bidi w:val="0"/>
        <w:rPr>
          <w:rStyle w:val="28"/>
          <w:rFonts w:hint="eastAsia" w:ascii="宋体" w:hAnsi="宋体" w:eastAsia="宋体" w:cs="宋体"/>
          <w:color w:val="auto"/>
          <w:sz w:val="32"/>
          <w:szCs w:val="28"/>
          <w:lang w:val="en-US" w:eastAsia="zh-CN"/>
        </w:rPr>
      </w:pPr>
      <w:r>
        <w:rPr>
          <w:rFonts w:hint="eastAsia" w:ascii="宋体" w:hAnsi="宋体" w:eastAsia="宋体" w:cs="宋体"/>
          <w:color w:val="auto"/>
          <w:sz w:val="28"/>
          <w:szCs w:val="28"/>
        </w:rPr>
        <w:br w:type="page"/>
      </w:r>
      <w:bookmarkEnd w:id="197"/>
      <w:bookmarkEnd w:id="198"/>
      <w:bookmarkEnd w:id="199"/>
      <w:bookmarkStart w:id="200" w:name="_Toc16059"/>
      <w:bookmarkStart w:id="201" w:name="_Toc13875"/>
      <w:r>
        <w:rPr>
          <w:rStyle w:val="28"/>
          <w:rFonts w:hint="eastAsia" w:ascii="宋体" w:hAnsi="宋体" w:eastAsia="宋体" w:cs="宋体"/>
          <w:color w:val="auto"/>
          <w:sz w:val="32"/>
          <w:szCs w:val="28"/>
          <w:lang w:val="en-US" w:eastAsia="zh-CN"/>
        </w:rPr>
        <w:t>附件7:</w:t>
      </w:r>
    </w:p>
    <w:bookmarkEnd w:id="200"/>
    <w:bookmarkEnd w:id="201"/>
    <w:p>
      <w:pPr>
        <w:bidi w:val="0"/>
        <w:spacing w:line="600" w:lineRule="auto"/>
        <w:rPr>
          <w:rStyle w:val="28"/>
          <w:rFonts w:hint="eastAsia" w:ascii="宋体" w:hAnsi="宋体" w:eastAsia="宋体" w:cs="宋体"/>
          <w:color w:val="auto"/>
          <w:sz w:val="32"/>
          <w:szCs w:val="28"/>
          <w:lang w:val="en-US" w:eastAsia="zh-CN"/>
        </w:rPr>
      </w:pPr>
    </w:p>
    <w:p>
      <w:pPr>
        <w:bidi w:val="0"/>
        <w:jc w:val="center"/>
        <w:rPr>
          <w:rStyle w:val="28"/>
          <w:rFonts w:hint="eastAsia" w:ascii="宋体" w:hAnsi="宋体" w:eastAsia="宋体" w:cs="宋体"/>
          <w:color w:val="auto"/>
          <w:sz w:val="32"/>
          <w:szCs w:val="28"/>
          <w:lang w:val="en-US" w:eastAsia="zh-CN"/>
        </w:rPr>
      </w:pPr>
      <w:bookmarkStart w:id="202" w:name="_Toc8532"/>
      <w:bookmarkStart w:id="203" w:name="_Toc28929"/>
      <w:bookmarkStart w:id="204" w:name="_Toc8429"/>
      <w:bookmarkStart w:id="205" w:name="_Toc4883"/>
      <w:bookmarkStart w:id="206" w:name="_Toc23576"/>
      <w:r>
        <w:rPr>
          <w:rStyle w:val="28"/>
          <w:rFonts w:hint="eastAsia" w:ascii="宋体" w:hAnsi="宋体" w:eastAsia="宋体" w:cs="宋体"/>
          <w:color w:val="auto"/>
          <w:sz w:val="32"/>
          <w:szCs w:val="28"/>
          <w:lang w:val="en-US" w:eastAsia="zh-CN"/>
        </w:rPr>
        <w:t>技术参数偏离表</w:t>
      </w:r>
      <w:bookmarkEnd w:id="202"/>
      <w:bookmarkEnd w:id="203"/>
      <w:bookmarkEnd w:id="204"/>
    </w:p>
    <w:bookmarkEnd w:id="205"/>
    <w:bookmarkEnd w:id="206"/>
    <w:p>
      <w:pPr>
        <w:pStyle w:val="24"/>
        <w:spacing w:line="480" w:lineRule="exact"/>
        <w:ind w:firstLine="484"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项目名称：</w:t>
      </w:r>
      <w:r>
        <w:rPr>
          <w:rFonts w:hint="eastAsia" w:ascii="宋体" w:hAnsi="宋体" w:eastAsia="宋体" w:cs="宋体"/>
          <w:color w:val="auto"/>
          <w:sz w:val="24"/>
          <w:szCs w:val="24"/>
        </w:rPr>
        <w:t xml:space="preserve">　　　　　　　　　　　　                                                        </w:t>
      </w:r>
    </w:p>
    <w:tbl>
      <w:tblPr>
        <w:tblStyle w:val="19"/>
        <w:tblW w:w="0" w:type="auto"/>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4067"/>
        <w:gridCol w:w="2909"/>
        <w:gridCol w:w="2055"/>
        <w:gridCol w:w="1986"/>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67"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4067"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条目号</w:t>
            </w:r>
          </w:p>
        </w:tc>
        <w:tc>
          <w:tcPr>
            <w:tcW w:w="2909"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招标规格</w:t>
            </w:r>
          </w:p>
        </w:tc>
        <w:tc>
          <w:tcPr>
            <w:tcW w:w="2055"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投标规格</w:t>
            </w:r>
          </w:p>
        </w:tc>
        <w:tc>
          <w:tcPr>
            <w:tcW w:w="1986"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w:t>
            </w:r>
          </w:p>
        </w:tc>
        <w:tc>
          <w:tcPr>
            <w:tcW w:w="1700" w:type="dxa"/>
            <w:noWrap w:val="0"/>
            <w:vAlign w:val="center"/>
          </w:tcPr>
          <w:p>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67" w:type="dxa"/>
            <w:noWrap w:val="0"/>
            <w:vAlign w:val="top"/>
          </w:tcPr>
          <w:p>
            <w:pPr>
              <w:pStyle w:val="24"/>
              <w:spacing w:line="480" w:lineRule="exact"/>
              <w:rPr>
                <w:rFonts w:hint="eastAsia" w:ascii="宋体" w:hAnsi="宋体" w:eastAsia="宋体" w:cs="宋体"/>
                <w:color w:val="auto"/>
                <w:sz w:val="24"/>
                <w:szCs w:val="24"/>
              </w:rPr>
            </w:pPr>
          </w:p>
        </w:tc>
        <w:tc>
          <w:tcPr>
            <w:tcW w:w="4067" w:type="dxa"/>
            <w:noWrap w:val="0"/>
            <w:vAlign w:val="top"/>
          </w:tcPr>
          <w:p>
            <w:pPr>
              <w:pStyle w:val="24"/>
              <w:spacing w:line="480" w:lineRule="exact"/>
              <w:rPr>
                <w:rFonts w:hint="eastAsia" w:ascii="宋体" w:hAnsi="宋体" w:eastAsia="宋体" w:cs="宋体"/>
                <w:color w:val="auto"/>
                <w:sz w:val="24"/>
                <w:szCs w:val="24"/>
              </w:rPr>
            </w:pPr>
          </w:p>
        </w:tc>
        <w:tc>
          <w:tcPr>
            <w:tcW w:w="2909" w:type="dxa"/>
            <w:noWrap w:val="0"/>
            <w:vAlign w:val="top"/>
          </w:tcPr>
          <w:p>
            <w:pPr>
              <w:spacing w:line="480" w:lineRule="exact"/>
              <w:jc w:val="left"/>
              <w:rPr>
                <w:rFonts w:hint="eastAsia" w:ascii="宋体" w:hAnsi="宋体" w:eastAsia="宋体" w:cs="宋体"/>
                <w:color w:val="auto"/>
                <w:kern w:val="0"/>
                <w:sz w:val="24"/>
                <w:szCs w:val="24"/>
              </w:rPr>
            </w:pPr>
          </w:p>
          <w:p>
            <w:pPr>
              <w:pStyle w:val="24"/>
              <w:spacing w:line="480" w:lineRule="exact"/>
              <w:rPr>
                <w:rFonts w:hint="eastAsia" w:ascii="宋体" w:hAnsi="宋体" w:eastAsia="宋体" w:cs="宋体"/>
                <w:color w:val="auto"/>
                <w:sz w:val="24"/>
                <w:szCs w:val="24"/>
              </w:rPr>
            </w:pPr>
          </w:p>
        </w:tc>
        <w:tc>
          <w:tcPr>
            <w:tcW w:w="2055" w:type="dxa"/>
            <w:noWrap w:val="0"/>
            <w:vAlign w:val="top"/>
          </w:tcPr>
          <w:p>
            <w:pPr>
              <w:pStyle w:val="24"/>
              <w:spacing w:line="480" w:lineRule="exact"/>
              <w:rPr>
                <w:rFonts w:hint="eastAsia" w:ascii="宋体" w:hAnsi="宋体" w:eastAsia="宋体" w:cs="宋体"/>
                <w:color w:val="auto"/>
                <w:sz w:val="24"/>
                <w:szCs w:val="24"/>
              </w:rPr>
            </w:pPr>
          </w:p>
        </w:tc>
        <w:tc>
          <w:tcPr>
            <w:tcW w:w="1986" w:type="dxa"/>
            <w:noWrap w:val="0"/>
            <w:vAlign w:val="top"/>
          </w:tcPr>
          <w:p>
            <w:pPr>
              <w:pStyle w:val="24"/>
              <w:spacing w:line="480" w:lineRule="exact"/>
              <w:rPr>
                <w:rFonts w:hint="eastAsia" w:ascii="宋体" w:hAnsi="宋体" w:eastAsia="宋体" w:cs="宋体"/>
                <w:color w:val="auto"/>
                <w:sz w:val="24"/>
                <w:szCs w:val="24"/>
              </w:rPr>
            </w:pPr>
          </w:p>
        </w:tc>
        <w:tc>
          <w:tcPr>
            <w:tcW w:w="1700" w:type="dxa"/>
            <w:noWrap w:val="0"/>
            <w:vAlign w:val="top"/>
          </w:tcPr>
          <w:p>
            <w:pPr>
              <w:pStyle w:val="24"/>
              <w:spacing w:line="480" w:lineRule="exac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67" w:type="dxa"/>
            <w:noWrap w:val="0"/>
            <w:vAlign w:val="top"/>
          </w:tcPr>
          <w:p>
            <w:pPr>
              <w:pStyle w:val="24"/>
              <w:spacing w:line="480" w:lineRule="exact"/>
              <w:rPr>
                <w:rFonts w:hint="eastAsia" w:ascii="宋体" w:hAnsi="宋体" w:eastAsia="宋体" w:cs="宋体"/>
                <w:color w:val="auto"/>
                <w:sz w:val="24"/>
                <w:szCs w:val="24"/>
              </w:rPr>
            </w:pPr>
          </w:p>
        </w:tc>
        <w:tc>
          <w:tcPr>
            <w:tcW w:w="4067" w:type="dxa"/>
            <w:noWrap w:val="0"/>
            <w:vAlign w:val="top"/>
          </w:tcPr>
          <w:p>
            <w:pPr>
              <w:pStyle w:val="24"/>
              <w:spacing w:line="480" w:lineRule="exact"/>
              <w:rPr>
                <w:rFonts w:hint="eastAsia" w:ascii="宋体" w:hAnsi="宋体" w:eastAsia="宋体" w:cs="宋体"/>
                <w:color w:val="auto"/>
                <w:sz w:val="24"/>
                <w:szCs w:val="24"/>
              </w:rPr>
            </w:pPr>
          </w:p>
        </w:tc>
        <w:tc>
          <w:tcPr>
            <w:tcW w:w="2909" w:type="dxa"/>
            <w:noWrap w:val="0"/>
            <w:vAlign w:val="top"/>
          </w:tcPr>
          <w:p>
            <w:pPr>
              <w:spacing w:line="480" w:lineRule="exact"/>
              <w:jc w:val="left"/>
              <w:rPr>
                <w:rFonts w:hint="eastAsia" w:ascii="宋体" w:hAnsi="宋体" w:eastAsia="宋体" w:cs="宋体"/>
                <w:color w:val="auto"/>
                <w:kern w:val="0"/>
                <w:sz w:val="24"/>
                <w:szCs w:val="24"/>
              </w:rPr>
            </w:pPr>
          </w:p>
          <w:p>
            <w:pPr>
              <w:pStyle w:val="24"/>
              <w:spacing w:line="480" w:lineRule="exact"/>
              <w:rPr>
                <w:rFonts w:hint="eastAsia" w:ascii="宋体" w:hAnsi="宋体" w:eastAsia="宋体" w:cs="宋体"/>
                <w:color w:val="auto"/>
                <w:sz w:val="24"/>
                <w:szCs w:val="24"/>
              </w:rPr>
            </w:pPr>
          </w:p>
        </w:tc>
        <w:tc>
          <w:tcPr>
            <w:tcW w:w="2055" w:type="dxa"/>
            <w:noWrap w:val="0"/>
            <w:vAlign w:val="top"/>
          </w:tcPr>
          <w:p>
            <w:pPr>
              <w:pStyle w:val="24"/>
              <w:spacing w:line="480" w:lineRule="exact"/>
              <w:rPr>
                <w:rFonts w:hint="eastAsia" w:ascii="宋体" w:hAnsi="宋体" w:eastAsia="宋体" w:cs="宋体"/>
                <w:color w:val="auto"/>
                <w:sz w:val="24"/>
                <w:szCs w:val="24"/>
              </w:rPr>
            </w:pPr>
          </w:p>
        </w:tc>
        <w:tc>
          <w:tcPr>
            <w:tcW w:w="1986" w:type="dxa"/>
            <w:noWrap w:val="0"/>
            <w:vAlign w:val="top"/>
          </w:tcPr>
          <w:p>
            <w:pPr>
              <w:pStyle w:val="24"/>
              <w:spacing w:line="480" w:lineRule="exact"/>
              <w:rPr>
                <w:rFonts w:hint="eastAsia" w:ascii="宋体" w:hAnsi="宋体" w:eastAsia="宋体" w:cs="宋体"/>
                <w:color w:val="auto"/>
                <w:sz w:val="24"/>
                <w:szCs w:val="24"/>
              </w:rPr>
            </w:pPr>
          </w:p>
        </w:tc>
        <w:tc>
          <w:tcPr>
            <w:tcW w:w="1700" w:type="dxa"/>
            <w:noWrap w:val="0"/>
            <w:vAlign w:val="top"/>
          </w:tcPr>
          <w:p>
            <w:pPr>
              <w:pStyle w:val="24"/>
              <w:spacing w:line="480" w:lineRule="exac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67" w:type="dxa"/>
            <w:noWrap w:val="0"/>
            <w:vAlign w:val="top"/>
          </w:tcPr>
          <w:p>
            <w:pPr>
              <w:pStyle w:val="24"/>
              <w:spacing w:line="480" w:lineRule="exact"/>
              <w:rPr>
                <w:rFonts w:hint="eastAsia" w:ascii="宋体" w:hAnsi="宋体" w:eastAsia="宋体" w:cs="宋体"/>
                <w:color w:val="auto"/>
                <w:sz w:val="24"/>
                <w:szCs w:val="24"/>
              </w:rPr>
            </w:pPr>
          </w:p>
        </w:tc>
        <w:tc>
          <w:tcPr>
            <w:tcW w:w="4067" w:type="dxa"/>
            <w:noWrap w:val="0"/>
            <w:vAlign w:val="top"/>
          </w:tcPr>
          <w:p>
            <w:pPr>
              <w:pStyle w:val="24"/>
              <w:spacing w:line="480" w:lineRule="exact"/>
              <w:rPr>
                <w:rFonts w:hint="eastAsia" w:ascii="宋体" w:hAnsi="宋体" w:eastAsia="宋体" w:cs="宋体"/>
                <w:color w:val="auto"/>
                <w:sz w:val="24"/>
                <w:szCs w:val="24"/>
              </w:rPr>
            </w:pPr>
          </w:p>
        </w:tc>
        <w:tc>
          <w:tcPr>
            <w:tcW w:w="2909" w:type="dxa"/>
            <w:noWrap w:val="0"/>
            <w:vAlign w:val="top"/>
          </w:tcPr>
          <w:p>
            <w:pPr>
              <w:spacing w:line="480" w:lineRule="exact"/>
              <w:jc w:val="left"/>
              <w:rPr>
                <w:rFonts w:hint="eastAsia" w:ascii="宋体" w:hAnsi="宋体" w:eastAsia="宋体" w:cs="宋体"/>
                <w:color w:val="auto"/>
                <w:kern w:val="0"/>
                <w:sz w:val="24"/>
                <w:szCs w:val="24"/>
              </w:rPr>
            </w:pPr>
          </w:p>
          <w:p>
            <w:pPr>
              <w:pStyle w:val="24"/>
              <w:spacing w:line="480" w:lineRule="exact"/>
              <w:rPr>
                <w:rFonts w:hint="eastAsia" w:ascii="宋体" w:hAnsi="宋体" w:eastAsia="宋体" w:cs="宋体"/>
                <w:color w:val="auto"/>
                <w:sz w:val="24"/>
                <w:szCs w:val="24"/>
              </w:rPr>
            </w:pPr>
          </w:p>
        </w:tc>
        <w:tc>
          <w:tcPr>
            <w:tcW w:w="2055" w:type="dxa"/>
            <w:noWrap w:val="0"/>
            <w:vAlign w:val="top"/>
          </w:tcPr>
          <w:p>
            <w:pPr>
              <w:pStyle w:val="24"/>
              <w:spacing w:line="480" w:lineRule="exact"/>
              <w:rPr>
                <w:rFonts w:hint="eastAsia" w:ascii="宋体" w:hAnsi="宋体" w:eastAsia="宋体" w:cs="宋体"/>
                <w:color w:val="auto"/>
                <w:sz w:val="24"/>
                <w:szCs w:val="24"/>
              </w:rPr>
            </w:pPr>
          </w:p>
        </w:tc>
        <w:tc>
          <w:tcPr>
            <w:tcW w:w="1986" w:type="dxa"/>
            <w:noWrap w:val="0"/>
            <w:vAlign w:val="top"/>
          </w:tcPr>
          <w:p>
            <w:pPr>
              <w:pStyle w:val="24"/>
              <w:spacing w:line="480" w:lineRule="exact"/>
              <w:rPr>
                <w:rFonts w:hint="eastAsia" w:ascii="宋体" w:hAnsi="宋体" w:eastAsia="宋体" w:cs="宋体"/>
                <w:color w:val="auto"/>
                <w:sz w:val="24"/>
                <w:szCs w:val="24"/>
              </w:rPr>
            </w:pPr>
          </w:p>
        </w:tc>
        <w:tc>
          <w:tcPr>
            <w:tcW w:w="1700" w:type="dxa"/>
            <w:noWrap w:val="0"/>
            <w:vAlign w:val="top"/>
          </w:tcPr>
          <w:p>
            <w:pPr>
              <w:pStyle w:val="24"/>
              <w:spacing w:line="480" w:lineRule="exact"/>
              <w:rPr>
                <w:rFonts w:hint="eastAsia" w:ascii="宋体" w:hAnsi="宋体" w:eastAsia="宋体" w:cs="宋体"/>
                <w:color w:val="auto"/>
                <w:sz w:val="24"/>
                <w:szCs w:val="24"/>
              </w:rPr>
            </w:pPr>
          </w:p>
        </w:tc>
      </w:tr>
    </w:tbl>
    <w:p>
      <w:pPr>
        <w:bidi w:val="0"/>
        <w:spacing w:line="360" w:lineRule="auto"/>
        <w:rPr>
          <w:rFonts w:hint="eastAsia" w:ascii="宋体" w:hAnsi="宋体" w:eastAsia="宋体" w:cs="宋体"/>
          <w:color w:val="auto"/>
          <w:sz w:val="24"/>
          <w:szCs w:val="24"/>
        </w:rPr>
      </w:pPr>
      <w:bookmarkStart w:id="207" w:name="_Toc19858"/>
      <w:bookmarkStart w:id="208" w:name="_Toc32067"/>
      <w:r>
        <w:rPr>
          <w:rFonts w:hint="eastAsia" w:ascii="宋体" w:hAnsi="宋体" w:eastAsia="宋体" w:cs="宋体"/>
          <w:color w:val="auto"/>
          <w:sz w:val="24"/>
          <w:szCs w:val="24"/>
        </w:rPr>
        <w:t>注:若有偏离,请将具体偏离条款在“偏离”一栏中详细说明;若无偏离,请在“偏离”一栏中标注“无”字样。</w:t>
      </w:r>
    </w:p>
    <w:p>
      <w:pPr>
        <w:bidi w:val="0"/>
        <w:spacing w:line="60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供应商名称（盖章）：</w:t>
      </w:r>
    </w:p>
    <w:p>
      <w:pPr>
        <w:bidi w:val="0"/>
        <w:spacing w:line="60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法定代表人或委托代理人（签字或盖章）：</w:t>
      </w:r>
    </w:p>
    <w:p>
      <w:pPr>
        <w:bidi w:val="0"/>
        <w:jc w:val="center"/>
        <w:rPr>
          <w:rFonts w:hint="eastAsia" w:ascii="宋体" w:hAnsi="宋体" w:eastAsia="宋体" w:cs="宋体"/>
        </w:rPr>
        <w:sectPr>
          <w:headerReference r:id="rId15" w:type="first"/>
          <w:footerReference r:id="rId17" w:type="first"/>
          <w:headerReference r:id="rId14" w:type="default"/>
          <w:footerReference r:id="rId16" w:type="default"/>
          <w:pgSz w:w="16838" w:h="11906" w:orient="landscape"/>
          <w:pgMar w:top="1417" w:right="1417" w:bottom="1418" w:left="1417" w:header="851" w:footer="850" w:gutter="0"/>
          <w:pgNumType w:fmt="decimal"/>
          <w:cols w:space="720" w:num="1"/>
          <w:titlePg/>
          <w:docGrid w:type="linesAndChars" w:linePitch="312" w:charSpace="530"/>
        </w:sectPr>
      </w:pPr>
      <w:r>
        <w:rPr>
          <w:rFonts w:hint="eastAsia" w:ascii="宋体" w:hAnsi="宋体" w:eastAsia="宋体" w:cs="宋体"/>
        </w:rPr>
        <w:t>日期：     年   月   日</w:t>
      </w:r>
      <w:bookmarkEnd w:id="207"/>
      <w:bookmarkEnd w:id="208"/>
      <w:bookmarkStart w:id="209" w:name="_Toc10091"/>
      <w:bookmarkStart w:id="210" w:name="_Toc24389"/>
      <w:bookmarkStart w:id="211" w:name="_Toc6379"/>
    </w:p>
    <w:bookmarkEnd w:id="209"/>
    <w:bookmarkEnd w:id="210"/>
    <w:bookmarkEnd w:id="211"/>
    <w:p>
      <w:pPr>
        <w:spacing w:line="500" w:lineRule="exact"/>
        <w:jc w:val="both"/>
        <w:rPr>
          <w:rStyle w:val="28"/>
          <w:rFonts w:hint="eastAsia" w:ascii="宋体" w:hAnsi="宋体" w:eastAsia="宋体" w:cs="宋体"/>
          <w:color w:val="auto"/>
          <w:sz w:val="32"/>
          <w:szCs w:val="28"/>
          <w:lang w:val="en-US" w:eastAsia="zh-CN"/>
        </w:rPr>
      </w:pPr>
      <w:bookmarkStart w:id="212" w:name="_Toc28034"/>
      <w:bookmarkStart w:id="213" w:name="_Toc22063"/>
      <w:bookmarkStart w:id="214" w:name="_Toc25331"/>
      <w:bookmarkStart w:id="215" w:name="_Toc7717"/>
      <w:bookmarkStart w:id="216" w:name="_Toc12578"/>
      <w:r>
        <w:rPr>
          <w:rStyle w:val="28"/>
          <w:rFonts w:hint="eastAsia" w:ascii="宋体" w:hAnsi="宋体" w:eastAsia="宋体" w:cs="宋体"/>
          <w:b/>
          <w:bCs/>
          <w:color w:val="auto"/>
          <w:sz w:val="32"/>
          <w:szCs w:val="28"/>
          <w:lang w:val="en-US" w:eastAsia="zh-CN"/>
        </w:rPr>
        <w:t>附件8:</w:t>
      </w:r>
    </w:p>
    <w:bookmarkEnd w:id="212"/>
    <w:bookmarkEnd w:id="213"/>
    <w:p>
      <w:pPr>
        <w:bidi w:val="0"/>
        <w:rPr>
          <w:rStyle w:val="28"/>
          <w:rFonts w:hint="eastAsia" w:ascii="宋体" w:hAnsi="宋体" w:eastAsia="宋体" w:cs="宋体"/>
          <w:color w:val="auto"/>
          <w:sz w:val="24"/>
          <w:szCs w:val="24"/>
          <w:lang w:val="en-US" w:eastAsia="zh-CN"/>
        </w:rPr>
      </w:pPr>
    </w:p>
    <w:p>
      <w:pPr>
        <w:bidi w:val="0"/>
        <w:jc w:val="center"/>
        <w:rPr>
          <w:rStyle w:val="28"/>
          <w:rFonts w:hint="eastAsia" w:ascii="宋体" w:hAnsi="宋体" w:eastAsia="宋体" w:cs="宋体"/>
          <w:color w:val="auto"/>
          <w:sz w:val="24"/>
          <w:szCs w:val="24"/>
          <w:lang w:val="en-US" w:eastAsia="zh-CN"/>
        </w:rPr>
      </w:pPr>
      <w:bookmarkStart w:id="217" w:name="_Toc27646"/>
      <w:bookmarkStart w:id="218" w:name="_Toc28874"/>
      <w:r>
        <w:rPr>
          <w:rStyle w:val="28"/>
          <w:rFonts w:hint="eastAsia" w:ascii="宋体" w:hAnsi="宋体" w:eastAsia="宋体" w:cs="宋体"/>
          <w:color w:val="auto"/>
          <w:sz w:val="24"/>
          <w:szCs w:val="24"/>
          <w:lang w:val="en-US" w:eastAsia="zh-CN"/>
        </w:rPr>
        <w:t>近</w:t>
      </w:r>
      <w:r>
        <w:rPr>
          <w:rStyle w:val="28"/>
          <w:rFonts w:hint="eastAsia" w:ascii="宋体" w:hAnsi="宋体" w:cs="宋体"/>
          <w:color w:val="auto"/>
          <w:sz w:val="24"/>
          <w:szCs w:val="24"/>
          <w:lang w:val="en-US" w:eastAsia="zh-CN"/>
        </w:rPr>
        <w:t>五</w:t>
      </w:r>
      <w:r>
        <w:rPr>
          <w:rStyle w:val="28"/>
          <w:rFonts w:hint="eastAsia" w:ascii="宋体" w:hAnsi="宋体" w:eastAsia="宋体" w:cs="宋体"/>
          <w:color w:val="auto"/>
          <w:sz w:val="24"/>
          <w:szCs w:val="24"/>
          <w:lang w:val="en-US" w:eastAsia="zh-CN"/>
        </w:rPr>
        <w:t>年同类项目业绩表</w:t>
      </w:r>
      <w:bookmarkEnd w:id="214"/>
      <w:bookmarkEnd w:id="215"/>
      <w:bookmarkEnd w:id="216"/>
    </w:p>
    <w:bookmarkEnd w:id="217"/>
    <w:bookmarkEnd w:id="218"/>
    <w:tbl>
      <w:tblPr>
        <w:tblStyle w:val="19"/>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60"/>
        <w:gridCol w:w="1850"/>
        <w:gridCol w:w="1804"/>
        <w:gridCol w:w="1394"/>
        <w:gridCol w:w="1800"/>
        <w:gridCol w:w="16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bottom w:val="single" w:color="auto" w:sz="4" w:space="0"/>
            </w:tcBorders>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序号</w:t>
            </w:r>
          </w:p>
        </w:tc>
        <w:tc>
          <w:tcPr>
            <w:tcW w:w="1850" w:type="dxa"/>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w:t>
            </w:r>
          </w:p>
        </w:tc>
        <w:tc>
          <w:tcPr>
            <w:tcW w:w="1804" w:type="dxa"/>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完成时间</w:t>
            </w:r>
          </w:p>
        </w:tc>
        <w:tc>
          <w:tcPr>
            <w:tcW w:w="1394" w:type="dxa"/>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合同金额</w:t>
            </w:r>
          </w:p>
        </w:tc>
        <w:tc>
          <w:tcPr>
            <w:tcW w:w="1800" w:type="dxa"/>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采购人名称</w:t>
            </w: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bottom w:val="single" w:color="auto" w:sz="4" w:space="0"/>
            </w:tcBorders>
            <w:noWrap w:val="0"/>
            <w:vAlign w:val="center"/>
          </w:tcPr>
          <w:p>
            <w:pPr>
              <w:jc w:val="center"/>
              <w:rPr>
                <w:rFonts w:hint="eastAsia" w:ascii="宋体" w:hAnsi="宋体" w:eastAsia="宋体" w:cs="宋体"/>
                <w:bCs/>
                <w:color w:val="auto"/>
                <w:sz w:val="24"/>
                <w:szCs w:val="24"/>
              </w:rPr>
            </w:pPr>
          </w:p>
        </w:tc>
        <w:tc>
          <w:tcPr>
            <w:tcW w:w="1850" w:type="dxa"/>
            <w:noWrap w:val="0"/>
            <w:vAlign w:val="center"/>
          </w:tcPr>
          <w:p>
            <w:pPr>
              <w:jc w:val="center"/>
              <w:rPr>
                <w:rFonts w:hint="eastAsia" w:ascii="宋体" w:hAnsi="宋体" w:eastAsia="宋体" w:cs="宋体"/>
                <w:bCs/>
                <w:color w:val="auto"/>
                <w:sz w:val="24"/>
                <w:szCs w:val="24"/>
              </w:rPr>
            </w:pPr>
          </w:p>
        </w:tc>
        <w:tc>
          <w:tcPr>
            <w:tcW w:w="1804" w:type="dxa"/>
            <w:noWrap w:val="0"/>
            <w:vAlign w:val="center"/>
          </w:tcPr>
          <w:p>
            <w:pPr>
              <w:jc w:val="center"/>
              <w:rPr>
                <w:rFonts w:hint="eastAsia" w:ascii="宋体" w:hAnsi="宋体" w:eastAsia="宋体" w:cs="宋体"/>
                <w:bCs/>
                <w:color w:val="auto"/>
                <w:sz w:val="24"/>
                <w:szCs w:val="24"/>
              </w:rPr>
            </w:pPr>
          </w:p>
        </w:tc>
        <w:tc>
          <w:tcPr>
            <w:tcW w:w="1394" w:type="dxa"/>
            <w:noWrap w:val="0"/>
            <w:vAlign w:val="center"/>
          </w:tcPr>
          <w:p>
            <w:pPr>
              <w:jc w:val="center"/>
              <w:rPr>
                <w:rFonts w:hint="eastAsia" w:ascii="宋体" w:hAnsi="宋体" w:eastAsia="宋体" w:cs="宋体"/>
                <w:bCs/>
                <w:color w:val="auto"/>
                <w:sz w:val="24"/>
                <w:szCs w:val="24"/>
              </w:rPr>
            </w:pPr>
          </w:p>
        </w:tc>
        <w:tc>
          <w:tcPr>
            <w:tcW w:w="1800" w:type="dxa"/>
            <w:noWrap w:val="0"/>
            <w:vAlign w:val="center"/>
          </w:tcPr>
          <w:p>
            <w:pPr>
              <w:jc w:val="center"/>
              <w:rPr>
                <w:rFonts w:hint="eastAsia" w:ascii="宋体" w:hAnsi="宋体" w:eastAsia="宋体" w:cs="宋体"/>
                <w:bCs/>
                <w:color w:val="auto"/>
                <w:sz w:val="24"/>
                <w:szCs w:val="24"/>
              </w:rPr>
            </w:pP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bottom w:val="single" w:color="auto" w:sz="4" w:space="0"/>
            </w:tcBorders>
            <w:noWrap w:val="0"/>
            <w:vAlign w:val="center"/>
          </w:tcPr>
          <w:p>
            <w:pPr>
              <w:jc w:val="center"/>
              <w:rPr>
                <w:rFonts w:hint="eastAsia" w:ascii="宋体" w:hAnsi="宋体" w:eastAsia="宋体" w:cs="宋体"/>
                <w:bCs/>
                <w:color w:val="auto"/>
                <w:sz w:val="24"/>
                <w:szCs w:val="24"/>
              </w:rPr>
            </w:pPr>
          </w:p>
        </w:tc>
        <w:tc>
          <w:tcPr>
            <w:tcW w:w="1850" w:type="dxa"/>
            <w:noWrap w:val="0"/>
            <w:vAlign w:val="center"/>
          </w:tcPr>
          <w:p>
            <w:pPr>
              <w:jc w:val="center"/>
              <w:rPr>
                <w:rFonts w:hint="eastAsia" w:ascii="宋体" w:hAnsi="宋体" w:eastAsia="宋体" w:cs="宋体"/>
                <w:bCs/>
                <w:color w:val="auto"/>
                <w:sz w:val="24"/>
                <w:szCs w:val="24"/>
              </w:rPr>
            </w:pPr>
          </w:p>
        </w:tc>
        <w:tc>
          <w:tcPr>
            <w:tcW w:w="1804" w:type="dxa"/>
            <w:noWrap w:val="0"/>
            <w:vAlign w:val="center"/>
          </w:tcPr>
          <w:p>
            <w:pPr>
              <w:jc w:val="center"/>
              <w:rPr>
                <w:rFonts w:hint="eastAsia" w:ascii="宋体" w:hAnsi="宋体" w:eastAsia="宋体" w:cs="宋体"/>
                <w:bCs/>
                <w:color w:val="auto"/>
                <w:sz w:val="24"/>
                <w:szCs w:val="24"/>
              </w:rPr>
            </w:pPr>
          </w:p>
        </w:tc>
        <w:tc>
          <w:tcPr>
            <w:tcW w:w="1394" w:type="dxa"/>
            <w:noWrap w:val="0"/>
            <w:vAlign w:val="center"/>
          </w:tcPr>
          <w:p>
            <w:pPr>
              <w:jc w:val="center"/>
              <w:rPr>
                <w:rFonts w:hint="eastAsia" w:ascii="宋体" w:hAnsi="宋体" w:eastAsia="宋体" w:cs="宋体"/>
                <w:bCs/>
                <w:color w:val="auto"/>
                <w:sz w:val="24"/>
                <w:szCs w:val="24"/>
              </w:rPr>
            </w:pPr>
          </w:p>
        </w:tc>
        <w:tc>
          <w:tcPr>
            <w:tcW w:w="1800" w:type="dxa"/>
            <w:noWrap w:val="0"/>
            <w:vAlign w:val="center"/>
          </w:tcPr>
          <w:p>
            <w:pPr>
              <w:jc w:val="center"/>
              <w:rPr>
                <w:rFonts w:hint="eastAsia" w:ascii="宋体" w:hAnsi="宋体" w:eastAsia="宋体" w:cs="宋体"/>
                <w:bCs/>
                <w:color w:val="auto"/>
                <w:sz w:val="24"/>
                <w:szCs w:val="24"/>
              </w:rPr>
            </w:pP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bottom w:val="single" w:color="auto" w:sz="4" w:space="0"/>
            </w:tcBorders>
            <w:noWrap w:val="0"/>
            <w:vAlign w:val="center"/>
          </w:tcPr>
          <w:p>
            <w:pPr>
              <w:jc w:val="center"/>
              <w:rPr>
                <w:rFonts w:hint="eastAsia" w:ascii="宋体" w:hAnsi="宋体" w:eastAsia="宋体" w:cs="宋体"/>
                <w:bCs/>
                <w:color w:val="auto"/>
                <w:sz w:val="24"/>
                <w:szCs w:val="24"/>
              </w:rPr>
            </w:pPr>
          </w:p>
        </w:tc>
        <w:tc>
          <w:tcPr>
            <w:tcW w:w="1850" w:type="dxa"/>
            <w:noWrap w:val="0"/>
            <w:vAlign w:val="center"/>
          </w:tcPr>
          <w:p>
            <w:pPr>
              <w:jc w:val="center"/>
              <w:rPr>
                <w:rFonts w:hint="eastAsia" w:ascii="宋体" w:hAnsi="宋体" w:eastAsia="宋体" w:cs="宋体"/>
                <w:bCs/>
                <w:color w:val="auto"/>
                <w:sz w:val="24"/>
                <w:szCs w:val="24"/>
              </w:rPr>
            </w:pPr>
          </w:p>
        </w:tc>
        <w:tc>
          <w:tcPr>
            <w:tcW w:w="1804" w:type="dxa"/>
            <w:noWrap w:val="0"/>
            <w:vAlign w:val="center"/>
          </w:tcPr>
          <w:p>
            <w:pPr>
              <w:jc w:val="center"/>
              <w:rPr>
                <w:rFonts w:hint="eastAsia" w:ascii="宋体" w:hAnsi="宋体" w:eastAsia="宋体" w:cs="宋体"/>
                <w:bCs/>
                <w:color w:val="auto"/>
                <w:sz w:val="24"/>
                <w:szCs w:val="24"/>
              </w:rPr>
            </w:pPr>
          </w:p>
        </w:tc>
        <w:tc>
          <w:tcPr>
            <w:tcW w:w="1394" w:type="dxa"/>
            <w:noWrap w:val="0"/>
            <w:vAlign w:val="center"/>
          </w:tcPr>
          <w:p>
            <w:pPr>
              <w:jc w:val="center"/>
              <w:rPr>
                <w:rFonts w:hint="eastAsia" w:ascii="宋体" w:hAnsi="宋体" w:eastAsia="宋体" w:cs="宋体"/>
                <w:bCs/>
                <w:color w:val="auto"/>
                <w:sz w:val="24"/>
                <w:szCs w:val="24"/>
              </w:rPr>
            </w:pPr>
          </w:p>
        </w:tc>
        <w:tc>
          <w:tcPr>
            <w:tcW w:w="1800" w:type="dxa"/>
            <w:noWrap w:val="0"/>
            <w:vAlign w:val="center"/>
          </w:tcPr>
          <w:p>
            <w:pPr>
              <w:jc w:val="center"/>
              <w:rPr>
                <w:rFonts w:hint="eastAsia" w:ascii="宋体" w:hAnsi="宋体" w:eastAsia="宋体" w:cs="宋体"/>
                <w:bCs/>
                <w:color w:val="auto"/>
                <w:sz w:val="24"/>
                <w:szCs w:val="24"/>
              </w:rPr>
            </w:pP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bottom w:val="single" w:color="auto" w:sz="4" w:space="0"/>
            </w:tcBorders>
            <w:noWrap w:val="0"/>
            <w:vAlign w:val="center"/>
          </w:tcPr>
          <w:p>
            <w:pPr>
              <w:jc w:val="center"/>
              <w:rPr>
                <w:rFonts w:hint="eastAsia" w:ascii="宋体" w:hAnsi="宋体" w:eastAsia="宋体" w:cs="宋体"/>
                <w:bCs/>
                <w:color w:val="auto"/>
                <w:sz w:val="24"/>
                <w:szCs w:val="24"/>
              </w:rPr>
            </w:pPr>
          </w:p>
        </w:tc>
        <w:tc>
          <w:tcPr>
            <w:tcW w:w="1850" w:type="dxa"/>
            <w:noWrap w:val="0"/>
            <w:vAlign w:val="center"/>
          </w:tcPr>
          <w:p>
            <w:pPr>
              <w:jc w:val="center"/>
              <w:rPr>
                <w:rFonts w:hint="eastAsia" w:ascii="宋体" w:hAnsi="宋体" w:eastAsia="宋体" w:cs="宋体"/>
                <w:bCs/>
                <w:color w:val="auto"/>
                <w:sz w:val="24"/>
                <w:szCs w:val="24"/>
              </w:rPr>
            </w:pPr>
          </w:p>
        </w:tc>
        <w:tc>
          <w:tcPr>
            <w:tcW w:w="1804" w:type="dxa"/>
            <w:noWrap w:val="0"/>
            <w:vAlign w:val="center"/>
          </w:tcPr>
          <w:p>
            <w:pPr>
              <w:jc w:val="center"/>
              <w:rPr>
                <w:rFonts w:hint="eastAsia" w:ascii="宋体" w:hAnsi="宋体" w:eastAsia="宋体" w:cs="宋体"/>
                <w:bCs/>
                <w:color w:val="auto"/>
                <w:sz w:val="24"/>
                <w:szCs w:val="24"/>
              </w:rPr>
            </w:pPr>
          </w:p>
        </w:tc>
        <w:tc>
          <w:tcPr>
            <w:tcW w:w="1394" w:type="dxa"/>
            <w:noWrap w:val="0"/>
            <w:vAlign w:val="center"/>
          </w:tcPr>
          <w:p>
            <w:pPr>
              <w:jc w:val="center"/>
              <w:rPr>
                <w:rFonts w:hint="eastAsia" w:ascii="宋体" w:hAnsi="宋体" w:eastAsia="宋体" w:cs="宋体"/>
                <w:bCs/>
                <w:color w:val="auto"/>
                <w:sz w:val="24"/>
                <w:szCs w:val="24"/>
              </w:rPr>
            </w:pPr>
          </w:p>
        </w:tc>
        <w:tc>
          <w:tcPr>
            <w:tcW w:w="1800" w:type="dxa"/>
            <w:noWrap w:val="0"/>
            <w:vAlign w:val="center"/>
          </w:tcPr>
          <w:p>
            <w:pPr>
              <w:jc w:val="center"/>
              <w:rPr>
                <w:rFonts w:hint="eastAsia" w:ascii="宋体" w:hAnsi="宋体" w:eastAsia="宋体" w:cs="宋体"/>
                <w:bCs/>
                <w:color w:val="auto"/>
                <w:sz w:val="24"/>
                <w:szCs w:val="24"/>
              </w:rPr>
            </w:pP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bottom w:val="single" w:color="auto" w:sz="4" w:space="0"/>
            </w:tcBorders>
            <w:noWrap w:val="0"/>
            <w:vAlign w:val="center"/>
          </w:tcPr>
          <w:p>
            <w:pPr>
              <w:jc w:val="center"/>
              <w:rPr>
                <w:rFonts w:hint="eastAsia" w:ascii="宋体" w:hAnsi="宋体" w:eastAsia="宋体" w:cs="宋体"/>
                <w:bCs/>
                <w:color w:val="auto"/>
                <w:sz w:val="24"/>
                <w:szCs w:val="24"/>
              </w:rPr>
            </w:pPr>
          </w:p>
        </w:tc>
        <w:tc>
          <w:tcPr>
            <w:tcW w:w="1850" w:type="dxa"/>
            <w:noWrap w:val="0"/>
            <w:vAlign w:val="center"/>
          </w:tcPr>
          <w:p>
            <w:pPr>
              <w:jc w:val="center"/>
              <w:rPr>
                <w:rFonts w:hint="eastAsia" w:ascii="宋体" w:hAnsi="宋体" w:eastAsia="宋体" w:cs="宋体"/>
                <w:bCs/>
                <w:color w:val="auto"/>
                <w:sz w:val="24"/>
                <w:szCs w:val="24"/>
              </w:rPr>
            </w:pPr>
          </w:p>
        </w:tc>
        <w:tc>
          <w:tcPr>
            <w:tcW w:w="1804" w:type="dxa"/>
            <w:noWrap w:val="0"/>
            <w:vAlign w:val="center"/>
          </w:tcPr>
          <w:p>
            <w:pPr>
              <w:jc w:val="center"/>
              <w:rPr>
                <w:rFonts w:hint="eastAsia" w:ascii="宋体" w:hAnsi="宋体" w:eastAsia="宋体" w:cs="宋体"/>
                <w:bCs/>
                <w:color w:val="auto"/>
                <w:sz w:val="24"/>
                <w:szCs w:val="24"/>
              </w:rPr>
            </w:pPr>
          </w:p>
        </w:tc>
        <w:tc>
          <w:tcPr>
            <w:tcW w:w="1394" w:type="dxa"/>
            <w:noWrap w:val="0"/>
            <w:vAlign w:val="center"/>
          </w:tcPr>
          <w:p>
            <w:pPr>
              <w:jc w:val="center"/>
              <w:rPr>
                <w:rFonts w:hint="eastAsia" w:ascii="宋体" w:hAnsi="宋体" w:eastAsia="宋体" w:cs="宋体"/>
                <w:bCs/>
                <w:color w:val="auto"/>
                <w:sz w:val="24"/>
                <w:szCs w:val="24"/>
              </w:rPr>
            </w:pPr>
          </w:p>
        </w:tc>
        <w:tc>
          <w:tcPr>
            <w:tcW w:w="1800" w:type="dxa"/>
            <w:noWrap w:val="0"/>
            <w:vAlign w:val="center"/>
          </w:tcPr>
          <w:p>
            <w:pPr>
              <w:jc w:val="center"/>
              <w:rPr>
                <w:rFonts w:hint="eastAsia" w:ascii="宋体" w:hAnsi="宋体" w:eastAsia="宋体" w:cs="宋体"/>
                <w:bCs/>
                <w:color w:val="auto"/>
                <w:sz w:val="24"/>
                <w:szCs w:val="24"/>
              </w:rPr>
            </w:pP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860" w:type="dxa"/>
            <w:tcBorders>
              <w:top w:val="single" w:color="auto" w:sz="4" w:space="0"/>
            </w:tcBorders>
            <w:noWrap w:val="0"/>
            <w:vAlign w:val="center"/>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w:t>
            </w:r>
          </w:p>
        </w:tc>
        <w:tc>
          <w:tcPr>
            <w:tcW w:w="1850" w:type="dxa"/>
            <w:noWrap w:val="0"/>
            <w:vAlign w:val="center"/>
          </w:tcPr>
          <w:p>
            <w:pPr>
              <w:jc w:val="center"/>
              <w:rPr>
                <w:rFonts w:hint="eastAsia" w:ascii="宋体" w:hAnsi="宋体" w:eastAsia="宋体" w:cs="宋体"/>
                <w:bCs/>
                <w:color w:val="auto"/>
                <w:sz w:val="24"/>
                <w:szCs w:val="24"/>
              </w:rPr>
            </w:pPr>
          </w:p>
        </w:tc>
        <w:tc>
          <w:tcPr>
            <w:tcW w:w="1804" w:type="dxa"/>
            <w:noWrap w:val="0"/>
            <w:vAlign w:val="center"/>
          </w:tcPr>
          <w:p>
            <w:pPr>
              <w:jc w:val="center"/>
              <w:rPr>
                <w:rFonts w:hint="eastAsia" w:ascii="宋体" w:hAnsi="宋体" w:eastAsia="宋体" w:cs="宋体"/>
                <w:bCs/>
                <w:color w:val="auto"/>
                <w:sz w:val="24"/>
                <w:szCs w:val="24"/>
              </w:rPr>
            </w:pPr>
          </w:p>
        </w:tc>
        <w:tc>
          <w:tcPr>
            <w:tcW w:w="1394" w:type="dxa"/>
            <w:noWrap w:val="0"/>
            <w:vAlign w:val="center"/>
          </w:tcPr>
          <w:p>
            <w:pPr>
              <w:jc w:val="center"/>
              <w:rPr>
                <w:rFonts w:hint="eastAsia" w:ascii="宋体" w:hAnsi="宋体" w:eastAsia="宋体" w:cs="宋体"/>
                <w:bCs/>
                <w:color w:val="auto"/>
                <w:sz w:val="24"/>
                <w:szCs w:val="24"/>
              </w:rPr>
            </w:pPr>
          </w:p>
        </w:tc>
        <w:tc>
          <w:tcPr>
            <w:tcW w:w="1800" w:type="dxa"/>
            <w:noWrap w:val="0"/>
            <w:vAlign w:val="center"/>
          </w:tcPr>
          <w:p>
            <w:pPr>
              <w:jc w:val="center"/>
              <w:rPr>
                <w:rFonts w:hint="eastAsia" w:ascii="宋体" w:hAnsi="宋体" w:eastAsia="宋体" w:cs="宋体"/>
                <w:bCs/>
                <w:color w:val="auto"/>
                <w:sz w:val="24"/>
                <w:szCs w:val="24"/>
              </w:rPr>
            </w:pPr>
          </w:p>
        </w:tc>
        <w:tc>
          <w:tcPr>
            <w:tcW w:w="1696" w:type="dxa"/>
            <w:tcBorders>
              <w:left w:val="single" w:color="auto" w:sz="4" w:space="0"/>
            </w:tcBorders>
            <w:noWrap w:val="0"/>
            <w:vAlign w:val="center"/>
          </w:tcPr>
          <w:p>
            <w:pPr>
              <w:jc w:val="center"/>
              <w:rPr>
                <w:rFonts w:hint="eastAsia" w:ascii="宋体" w:hAnsi="宋体" w:eastAsia="宋体" w:cs="宋体"/>
                <w:bCs/>
                <w:color w:val="auto"/>
                <w:sz w:val="24"/>
                <w:szCs w:val="24"/>
              </w:rPr>
            </w:pPr>
          </w:p>
        </w:tc>
      </w:tr>
    </w:tbl>
    <w:p>
      <w:pPr>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注：1、所提供的业绩应提供合同协议书、中标（成交）通知书、由项目业主出具的对投标申请人履行合同的证明文件等文件</w:t>
      </w:r>
      <w:r>
        <w:rPr>
          <w:rFonts w:hint="eastAsia" w:ascii="宋体" w:hAnsi="宋体" w:cs="宋体"/>
          <w:color w:val="auto"/>
          <w:sz w:val="24"/>
          <w:szCs w:val="24"/>
          <w:lang w:eastAsia="zh-CN"/>
        </w:rPr>
        <w:t>。</w:t>
      </w:r>
    </w:p>
    <w:p>
      <w:pPr>
        <w:spacing w:line="500" w:lineRule="exact"/>
        <w:rPr>
          <w:rFonts w:hint="eastAsia" w:ascii="宋体" w:hAnsi="宋体" w:eastAsia="宋体" w:cs="宋体"/>
          <w:b/>
          <w:bCs/>
          <w:color w:val="auto"/>
          <w:sz w:val="24"/>
          <w:szCs w:val="24"/>
        </w:rPr>
      </w:pPr>
    </w:p>
    <w:p>
      <w:pPr>
        <w:spacing w:line="500" w:lineRule="exact"/>
        <w:rPr>
          <w:rFonts w:hint="eastAsia" w:ascii="宋体" w:hAnsi="宋体" w:eastAsia="宋体" w:cs="宋体"/>
          <w:b/>
          <w:bCs/>
          <w:color w:val="auto"/>
          <w:sz w:val="24"/>
          <w:szCs w:val="24"/>
        </w:rPr>
      </w:pPr>
    </w:p>
    <w:p>
      <w:pPr>
        <w:pStyle w:val="9"/>
        <w:ind w:firstLine="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供应商名称（盖章）：</w:t>
      </w:r>
    </w:p>
    <w:p>
      <w:pPr>
        <w:pStyle w:val="9"/>
        <w:ind w:left="838" w:firstLine="484" w:firstLineChars="200"/>
        <w:jc w:val="right"/>
        <w:rPr>
          <w:rFonts w:hint="eastAsia" w:ascii="宋体" w:hAnsi="宋体" w:eastAsia="宋体" w:cs="宋体"/>
          <w:bCs/>
          <w:color w:val="auto"/>
          <w:sz w:val="24"/>
          <w:szCs w:val="24"/>
        </w:rPr>
      </w:pPr>
    </w:p>
    <w:p>
      <w:pPr>
        <w:pStyle w:val="9"/>
        <w:ind w:left="838" w:firstLine="484" w:firstLineChars="200"/>
        <w:jc w:val="righ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法定代表人或委托代理人（签字或盖章）：</w:t>
      </w:r>
    </w:p>
    <w:p>
      <w:pPr>
        <w:pStyle w:val="24"/>
        <w:wordWrap w:val="0"/>
        <w:spacing w:line="360" w:lineRule="auto"/>
        <w:ind w:firstLine="56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spacing w:line="500" w:lineRule="exact"/>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年   月   日</w:t>
      </w:r>
      <w:bookmarkStart w:id="219" w:name="_Toc13500"/>
      <w:bookmarkStart w:id="220" w:name="_Toc27572"/>
      <w:bookmarkStart w:id="221" w:name="_Toc597"/>
    </w:p>
    <w:p>
      <w:pPr>
        <w:spacing w:line="360" w:lineRule="auto"/>
        <w:jc w:val="both"/>
        <w:rPr>
          <w:rStyle w:val="28"/>
          <w:rFonts w:hint="eastAsia" w:ascii="宋体" w:hAnsi="宋体" w:eastAsia="宋体" w:cs="宋体"/>
          <w:color w:val="auto"/>
          <w:sz w:val="32"/>
          <w:szCs w:val="28"/>
          <w:lang w:val="en-US" w:eastAsia="zh-CN"/>
        </w:rPr>
      </w:pPr>
      <w:r>
        <w:rPr>
          <w:rFonts w:hint="eastAsia" w:ascii="宋体" w:hAnsi="宋体" w:eastAsia="宋体" w:cs="宋体"/>
          <w:color w:val="auto"/>
          <w:sz w:val="28"/>
          <w:szCs w:val="28"/>
        </w:rPr>
        <w:br w:type="page"/>
      </w:r>
      <w:bookmarkEnd w:id="219"/>
      <w:bookmarkEnd w:id="220"/>
      <w:bookmarkEnd w:id="221"/>
      <w:bookmarkStart w:id="222" w:name="_Toc19100"/>
      <w:bookmarkStart w:id="223" w:name="_Toc25033"/>
      <w:r>
        <w:rPr>
          <w:rStyle w:val="28"/>
          <w:rFonts w:hint="eastAsia" w:ascii="宋体" w:hAnsi="宋体" w:eastAsia="宋体" w:cs="宋体"/>
          <w:b/>
          <w:bCs/>
          <w:color w:val="auto"/>
          <w:sz w:val="32"/>
          <w:szCs w:val="28"/>
          <w:lang w:val="en-US" w:eastAsia="zh-CN"/>
        </w:rPr>
        <w:t>附件9:</w:t>
      </w:r>
    </w:p>
    <w:bookmarkEnd w:id="222"/>
    <w:bookmarkEnd w:id="223"/>
    <w:p>
      <w:pPr>
        <w:spacing w:line="500" w:lineRule="exact"/>
        <w:jc w:val="both"/>
        <w:rPr>
          <w:rStyle w:val="28"/>
          <w:rFonts w:hint="eastAsia" w:ascii="宋体" w:hAnsi="宋体" w:eastAsia="宋体" w:cs="宋体"/>
          <w:color w:val="auto"/>
          <w:sz w:val="32"/>
          <w:szCs w:val="28"/>
          <w:lang w:val="en-US" w:eastAsia="zh-CN"/>
        </w:rPr>
      </w:pPr>
    </w:p>
    <w:p>
      <w:pPr>
        <w:bidi w:val="0"/>
        <w:jc w:val="center"/>
        <w:rPr>
          <w:rStyle w:val="28"/>
          <w:rFonts w:hint="eastAsia" w:ascii="宋体" w:hAnsi="宋体" w:eastAsia="宋体" w:cs="宋体"/>
          <w:color w:val="auto"/>
          <w:sz w:val="24"/>
          <w:szCs w:val="24"/>
          <w:lang w:val="en-US" w:eastAsia="zh-CN"/>
        </w:rPr>
      </w:pPr>
      <w:bookmarkStart w:id="224" w:name="_Toc15132"/>
      <w:bookmarkStart w:id="225" w:name="_Toc4298"/>
      <w:bookmarkStart w:id="226" w:name="_Toc31243"/>
      <w:bookmarkStart w:id="227" w:name="_Toc22079"/>
      <w:r>
        <w:rPr>
          <w:rStyle w:val="28"/>
          <w:rFonts w:hint="eastAsia" w:ascii="宋体" w:hAnsi="宋体" w:eastAsia="宋体" w:cs="宋体"/>
          <w:color w:val="auto"/>
          <w:sz w:val="24"/>
          <w:szCs w:val="24"/>
          <w:lang w:val="en-US" w:eastAsia="zh-CN"/>
        </w:rPr>
        <w:t>拟派项目</w:t>
      </w:r>
      <w:r>
        <w:rPr>
          <w:rStyle w:val="28"/>
          <w:rFonts w:hint="eastAsia" w:ascii="宋体" w:hAnsi="宋体" w:cs="宋体"/>
          <w:color w:val="auto"/>
          <w:sz w:val="24"/>
          <w:szCs w:val="24"/>
          <w:lang w:val="en-US" w:eastAsia="zh-CN"/>
        </w:rPr>
        <w:t>人员</w:t>
      </w:r>
      <w:r>
        <w:rPr>
          <w:rStyle w:val="28"/>
          <w:rFonts w:hint="eastAsia" w:ascii="宋体" w:hAnsi="宋体" w:eastAsia="宋体" w:cs="宋体"/>
          <w:color w:val="auto"/>
          <w:sz w:val="24"/>
          <w:szCs w:val="24"/>
          <w:lang w:val="en-US" w:eastAsia="zh-CN"/>
        </w:rPr>
        <w:t>简历表</w:t>
      </w:r>
      <w:bookmarkEnd w:id="224"/>
      <w:bookmarkEnd w:id="225"/>
    </w:p>
    <w:bookmarkEnd w:id="226"/>
    <w:bookmarkEnd w:id="227"/>
    <w:p>
      <w:pPr>
        <w:numPr>
          <w:ilvl w:val="0"/>
          <w:numId w:val="6"/>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项目</w:t>
      </w:r>
      <w:r>
        <w:rPr>
          <w:rFonts w:hint="eastAsia" w:ascii="宋体" w:hAnsi="宋体" w:cs="宋体"/>
          <w:b/>
          <w:color w:val="auto"/>
          <w:sz w:val="24"/>
          <w:szCs w:val="24"/>
          <w:lang w:eastAsia="zh-CN"/>
        </w:rPr>
        <w:t>经理及项目技术负责人</w:t>
      </w:r>
      <w:r>
        <w:rPr>
          <w:rFonts w:hint="eastAsia" w:ascii="宋体" w:hAnsi="宋体" w:eastAsia="宋体" w:cs="宋体"/>
          <w:b/>
          <w:color w:val="auto"/>
          <w:sz w:val="24"/>
          <w:szCs w:val="24"/>
        </w:rPr>
        <w:t>简历表</w:t>
      </w:r>
    </w:p>
    <w:tbl>
      <w:tblPr>
        <w:tblStyle w:val="19"/>
        <w:tblW w:w="0" w:type="auto"/>
        <w:jc w:val="center"/>
        <w:tblLayout w:type="fixed"/>
        <w:tblCellMar>
          <w:top w:w="0" w:type="dxa"/>
          <w:left w:w="108" w:type="dxa"/>
          <w:bottom w:w="0" w:type="dxa"/>
          <w:right w:w="108" w:type="dxa"/>
        </w:tblCellMar>
      </w:tblPr>
      <w:tblGrid>
        <w:gridCol w:w="1285"/>
        <w:gridCol w:w="2422"/>
        <w:gridCol w:w="1005"/>
        <w:gridCol w:w="1072"/>
        <w:gridCol w:w="1715"/>
        <w:gridCol w:w="2355"/>
      </w:tblGrid>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2422"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100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年龄</w:t>
            </w:r>
          </w:p>
        </w:tc>
        <w:tc>
          <w:tcPr>
            <w:tcW w:w="1072"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171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身份证号码</w:t>
            </w: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4499" w:type="dxa"/>
            <w:gridSpan w:val="3"/>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171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专     业</w:t>
            </w: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学位</w:t>
            </w:r>
          </w:p>
        </w:tc>
        <w:tc>
          <w:tcPr>
            <w:tcW w:w="2422"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100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1072"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171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现所在机构或部门</w:t>
            </w:r>
          </w:p>
        </w:tc>
        <w:tc>
          <w:tcPr>
            <w:tcW w:w="4499" w:type="dxa"/>
            <w:gridSpan w:val="3"/>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1715"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服务时间</w:t>
            </w: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pPr>
              <w:spacing w:line="360" w:lineRule="auto"/>
              <w:rPr>
                <w:rFonts w:hint="eastAsia" w:ascii="宋体" w:hAnsi="宋体" w:eastAsia="宋体" w:cs="宋体"/>
                <w:color w:val="auto"/>
                <w:sz w:val="24"/>
                <w:szCs w:val="24"/>
              </w:rPr>
            </w:pP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主要经历</w:t>
            </w:r>
          </w:p>
          <w:p>
            <w:pPr>
              <w:spacing w:line="360" w:lineRule="auto"/>
              <w:rPr>
                <w:rFonts w:hint="eastAsia" w:ascii="宋体" w:hAnsi="宋体" w:eastAsia="宋体" w:cs="宋体"/>
                <w:color w:val="auto"/>
                <w:sz w:val="24"/>
                <w:szCs w:val="24"/>
              </w:rPr>
            </w:pPr>
          </w:p>
        </w:tc>
        <w:tc>
          <w:tcPr>
            <w:tcW w:w="8569" w:type="dxa"/>
            <w:gridSpan w:val="5"/>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日期</w:t>
            </w:r>
          </w:p>
        </w:tc>
        <w:tc>
          <w:tcPr>
            <w:tcW w:w="342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参加过的项目名称</w:t>
            </w:r>
          </w:p>
        </w:tc>
        <w:tc>
          <w:tcPr>
            <w:tcW w:w="278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担任何职务</w:t>
            </w: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342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278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342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278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r>
        <w:tblPrEx>
          <w:tblCellMar>
            <w:top w:w="0" w:type="dxa"/>
            <w:left w:w="108" w:type="dxa"/>
            <w:bottom w:w="0" w:type="dxa"/>
            <w:right w:w="108" w:type="dxa"/>
          </w:tblCellMar>
        </w:tblPrEx>
        <w:trPr>
          <w:jc w:val="center"/>
        </w:trPr>
        <w:tc>
          <w:tcPr>
            <w:tcW w:w="128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342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2787" w:type="dxa"/>
            <w:gridSpan w:val="2"/>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c>
          <w:tcPr>
            <w:tcW w:w="2355"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int="eastAsia" w:ascii="宋体" w:hAnsi="宋体" w:eastAsia="宋体" w:cs="宋体"/>
                <w:color w:val="auto"/>
                <w:sz w:val="24"/>
                <w:szCs w:val="24"/>
              </w:rPr>
            </w:pPr>
          </w:p>
        </w:tc>
      </w:tr>
    </w:tbl>
    <w:p>
      <w:pPr>
        <w:autoSpaceDE w:val="0"/>
        <w:autoSpaceDN w:val="0"/>
        <w:adjustRightInd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2、拟投入本项目的主要成员表</w:t>
      </w:r>
    </w:p>
    <w:tbl>
      <w:tblPr>
        <w:tblStyle w:val="19"/>
        <w:tblW w:w="10117"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1330"/>
        <w:gridCol w:w="2040"/>
        <w:gridCol w:w="1939"/>
        <w:gridCol w:w="1799"/>
        <w:gridCol w:w="2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00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3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20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性别</w:t>
            </w:r>
          </w:p>
        </w:tc>
        <w:tc>
          <w:tcPr>
            <w:tcW w:w="193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岗位</w:t>
            </w:r>
          </w:p>
        </w:tc>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从事该岗位时间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00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33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4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93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79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06"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100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33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4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93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79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06"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00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33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4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93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79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06"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00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w:t>
            </w:r>
          </w:p>
        </w:tc>
        <w:tc>
          <w:tcPr>
            <w:tcW w:w="133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4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93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1799"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c>
          <w:tcPr>
            <w:tcW w:w="2006"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auto"/>
                <w:sz w:val="24"/>
              </w:rPr>
            </w:pPr>
          </w:p>
        </w:tc>
      </w:tr>
    </w:tbl>
    <w:p>
      <w:pPr>
        <w:rPr>
          <w:rFonts w:hint="eastAsia" w:ascii="宋体" w:hAnsi="宋体" w:eastAsia="宋体" w:cs="宋体"/>
          <w:color w:val="auto"/>
          <w:lang w:val="en-US" w:eastAsia="zh-CN"/>
        </w:rPr>
      </w:pPr>
    </w:p>
    <w:p>
      <w:pPr>
        <w:keepNext w:val="0"/>
        <w:keepLines w:val="0"/>
        <w:pageBreakBefore w:val="0"/>
        <w:widowControl w:val="0"/>
        <w:overflowPunct/>
        <w:bidi w:val="0"/>
        <w:spacing w:line="360" w:lineRule="auto"/>
        <w:jc w:val="left"/>
        <w:rPr>
          <w:rStyle w:val="26"/>
          <w:rFonts w:hint="eastAsia" w:ascii="宋体" w:hAnsi="宋体" w:eastAsia="宋体" w:cs="宋体"/>
          <w:b/>
          <w:color w:val="auto"/>
          <w:sz w:val="24"/>
          <w:szCs w:val="24"/>
          <w:lang w:val="en-US" w:eastAsia="zh-CN" w:bidi="ar-SA"/>
        </w:rPr>
      </w:pPr>
      <w:bookmarkStart w:id="228" w:name="_Toc23652"/>
      <w:bookmarkStart w:id="229" w:name="_Toc25963"/>
      <w:bookmarkStart w:id="230" w:name="_Toc27273"/>
      <w:r>
        <w:rPr>
          <w:rStyle w:val="26"/>
          <w:rFonts w:hint="eastAsia" w:ascii="宋体" w:hAnsi="宋体" w:eastAsia="宋体" w:cs="宋体"/>
          <w:b/>
          <w:color w:val="auto"/>
          <w:sz w:val="24"/>
          <w:szCs w:val="24"/>
          <w:lang w:val="en-US" w:eastAsia="zh-CN" w:bidi="ar-SA"/>
        </w:rPr>
        <w:t>附人员养老保险对账单及资格证或合格通知为准。</w:t>
      </w:r>
    </w:p>
    <w:bookmarkEnd w:id="228"/>
    <w:bookmarkEnd w:id="229"/>
    <w:bookmarkEnd w:id="230"/>
    <w:p>
      <w:pPr>
        <w:pStyle w:val="9"/>
        <w:ind w:firstLine="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p>
    <w:p>
      <w:pPr>
        <w:pStyle w:val="9"/>
        <w:ind w:firstLine="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供应商名称（盖章）：</w:t>
      </w:r>
    </w:p>
    <w:p>
      <w:pPr>
        <w:pStyle w:val="9"/>
        <w:ind w:firstLine="4747" w:firstLineChars="1962"/>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法定代表人或委托代理人（签字或盖章）：</w:t>
      </w:r>
    </w:p>
    <w:p>
      <w:pPr>
        <w:pStyle w:val="24"/>
        <w:wordWrap/>
        <w:spacing w:line="360" w:lineRule="auto"/>
        <w:ind w:firstLine="567"/>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日期：     年   月   日</w:t>
      </w:r>
      <w:bookmarkStart w:id="231" w:name="_Toc6788"/>
      <w:bookmarkStart w:id="232" w:name="_Toc26982"/>
      <w:bookmarkStart w:id="233" w:name="_Toc4287"/>
    </w:p>
    <w:p>
      <w:pPr>
        <w:spacing w:line="600" w:lineRule="auto"/>
        <w:jc w:val="both"/>
        <w:rPr>
          <w:rStyle w:val="28"/>
          <w:rFonts w:hint="eastAsia" w:ascii="宋体" w:hAnsi="宋体" w:eastAsia="宋体" w:cs="宋体"/>
          <w:color w:val="auto"/>
          <w:sz w:val="32"/>
          <w:szCs w:val="28"/>
          <w:lang w:val="en-US" w:eastAsia="zh-CN"/>
        </w:rPr>
      </w:pPr>
      <w:r>
        <w:rPr>
          <w:rFonts w:hint="eastAsia" w:ascii="宋体" w:hAnsi="宋体" w:eastAsia="宋体" w:cs="宋体"/>
          <w:color w:val="auto"/>
          <w:sz w:val="28"/>
          <w:szCs w:val="28"/>
        </w:rPr>
        <w:br w:type="page"/>
      </w:r>
      <w:bookmarkEnd w:id="231"/>
      <w:bookmarkEnd w:id="232"/>
      <w:bookmarkEnd w:id="233"/>
      <w:bookmarkStart w:id="234" w:name="_Toc23509"/>
      <w:bookmarkStart w:id="235" w:name="_Toc9841"/>
      <w:r>
        <w:rPr>
          <w:rStyle w:val="28"/>
          <w:rFonts w:hint="eastAsia" w:ascii="宋体" w:hAnsi="宋体" w:eastAsia="宋体" w:cs="宋体"/>
          <w:b/>
          <w:bCs/>
          <w:color w:val="auto"/>
          <w:sz w:val="32"/>
          <w:szCs w:val="28"/>
          <w:lang w:val="en-US" w:eastAsia="zh-CN"/>
        </w:rPr>
        <w:t>附件10:</w:t>
      </w:r>
    </w:p>
    <w:bookmarkEnd w:id="234"/>
    <w:bookmarkEnd w:id="235"/>
    <w:p>
      <w:pPr>
        <w:keepNext w:val="0"/>
        <w:keepLines w:val="0"/>
        <w:pageBreakBefore w:val="0"/>
        <w:widowControl w:val="0"/>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b/>
          <w:bCs w:val="0"/>
          <w:color w:val="auto"/>
          <w:sz w:val="24"/>
          <w:szCs w:val="24"/>
        </w:rPr>
      </w:pPr>
      <w:bookmarkStart w:id="236" w:name="_Toc2493"/>
      <w:bookmarkStart w:id="237" w:name="_Toc13542"/>
      <w:bookmarkStart w:id="238" w:name="_Toc7251"/>
      <w:r>
        <w:rPr>
          <w:rFonts w:hint="eastAsia" w:ascii="宋体" w:hAnsi="宋体" w:eastAsia="宋体" w:cs="宋体"/>
          <w:b/>
          <w:bCs w:val="0"/>
          <w:color w:val="auto"/>
          <w:sz w:val="24"/>
          <w:szCs w:val="24"/>
        </w:rPr>
        <w:t>关于资格的声明函</w:t>
      </w:r>
    </w:p>
    <w:p>
      <w:pPr>
        <w:pStyle w:val="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新疆鸿澜工程项目管理有限公司 </w:t>
      </w:r>
      <w:r>
        <w:rPr>
          <w:rFonts w:hint="eastAsia" w:ascii="宋体" w:hAnsi="宋体" w:eastAsia="宋体" w:cs="宋体"/>
          <w:color w:val="auto"/>
          <w:sz w:val="24"/>
          <w:szCs w:val="24"/>
        </w:rPr>
        <w:t>：</w:t>
      </w:r>
    </w:p>
    <w:p>
      <w:pPr>
        <w:pStyle w:val="8"/>
        <w:keepNext w:val="0"/>
        <w:keepLines w:val="0"/>
        <w:pageBreakBefore w:val="0"/>
        <w:widowControl w:val="0"/>
        <w:kinsoku/>
        <w:wordWrap/>
        <w:overflowPunct/>
        <w:topLinePunct w:val="0"/>
        <w:autoSpaceDE/>
        <w:autoSpaceDN/>
        <w:bidi w:val="0"/>
        <w:adjustRightInd/>
        <w:snapToGrid/>
        <w:spacing w:line="360" w:lineRule="auto"/>
        <w:ind w:left="319" w:firstLine="968" w:firstLineChars="4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关于贵方20</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日第</w:t>
      </w:r>
      <w:r>
        <w:rPr>
          <w:rFonts w:hint="eastAsia" w:ascii="宋体" w:hAnsi="宋体" w:eastAsia="宋体" w:cs="宋体"/>
          <w:color w:val="auto"/>
          <w:sz w:val="24"/>
          <w:szCs w:val="24"/>
          <w:u w:val="single"/>
        </w:rPr>
        <w:t xml:space="preserve">  （项目编号） </w:t>
      </w:r>
      <w:r>
        <w:rPr>
          <w:rFonts w:hint="eastAsia" w:ascii="宋体" w:hAnsi="宋体" w:eastAsia="宋体" w:cs="宋体"/>
          <w:color w:val="auto"/>
          <w:sz w:val="24"/>
          <w:szCs w:val="24"/>
        </w:rPr>
        <w:t>磋商公告关于</w:t>
      </w:r>
      <w:r>
        <w:rPr>
          <w:rFonts w:hint="eastAsia" w:ascii="宋体" w:hAnsi="宋体" w:eastAsia="宋体" w:cs="宋体"/>
          <w:color w:val="auto"/>
          <w:kern w:val="0"/>
          <w:sz w:val="24"/>
          <w:szCs w:val="24"/>
          <w:u w:val="single"/>
        </w:rPr>
        <w:t>（项目名称）</w:t>
      </w:r>
      <w:r>
        <w:rPr>
          <w:rFonts w:hint="eastAsia" w:ascii="宋体" w:hAnsi="宋体" w:eastAsia="宋体" w:cs="宋体"/>
          <w:color w:val="auto"/>
          <w:sz w:val="24"/>
          <w:szCs w:val="24"/>
        </w:rPr>
        <w:t>的采购项目，本签字人愿意参加响应，并有能力提供</w:t>
      </w:r>
      <w:r>
        <w:rPr>
          <w:rFonts w:hint="eastAsia" w:ascii="宋体" w:hAnsi="宋体" w:eastAsia="宋体" w:cs="宋体"/>
          <w:color w:val="auto"/>
          <w:kern w:val="0"/>
          <w:sz w:val="24"/>
          <w:szCs w:val="24"/>
          <w:u w:val="single"/>
        </w:rPr>
        <w:t>（项目名称）</w:t>
      </w:r>
      <w:r>
        <w:rPr>
          <w:rFonts w:hint="eastAsia" w:ascii="宋体" w:hAnsi="宋体" w:eastAsia="宋体" w:cs="宋体"/>
          <w:color w:val="auto"/>
          <w:sz w:val="24"/>
          <w:szCs w:val="24"/>
        </w:rPr>
        <w:t>项目中的相关服务，并保证所提交的所有文件和说明是真实和准确的。</w:t>
      </w:r>
    </w:p>
    <w:p>
      <w:pPr>
        <w:pStyle w:val="8"/>
        <w:keepNext w:val="0"/>
        <w:keepLines w:val="0"/>
        <w:pageBreakBefore w:val="0"/>
        <w:widowControl w:val="0"/>
        <w:kinsoku/>
        <w:wordWrap/>
        <w:overflowPunct/>
        <w:topLinePunct w:val="0"/>
        <w:autoSpaceDE/>
        <w:autoSpaceDN/>
        <w:bidi w:val="0"/>
        <w:adjustRightInd/>
        <w:snapToGrid/>
        <w:spacing w:line="360" w:lineRule="auto"/>
        <w:ind w:left="319" w:firstLine="575"/>
        <w:textAlignment w:val="auto"/>
        <w:rPr>
          <w:rFonts w:hint="eastAsia" w:ascii="宋体" w:hAnsi="宋体" w:eastAsia="宋体" w:cs="宋体"/>
          <w:color w:val="auto"/>
          <w:sz w:val="24"/>
          <w:szCs w:val="24"/>
        </w:rPr>
      </w:pPr>
    </w:p>
    <w:p>
      <w:pPr>
        <w:pStyle w:val="8"/>
        <w:keepNext w:val="0"/>
        <w:keepLines w:val="0"/>
        <w:pageBreakBefore w:val="0"/>
        <w:widowControl w:val="0"/>
        <w:kinsoku/>
        <w:wordWrap/>
        <w:overflowPunct/>
        <w:topLinePunct w:val="0"/>
        <w:autoSpaceDE/>
        <w:autoSpaceDN/>
        <w:bidi w:val="0"/>
        <w:adjustRightInd/>
        <w:snapToGrid/>
        <w:spacing w:line="480" w:lineRule="auto"/>
        <w:ind w:left="319" w:firstLine="575"/>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供应商名称        　</w:t>
      </w:r>
      <w:r>
        <w:rPr>
          <w:rFonts w:hint="eastAsia" w:ascii="宋体" w:hAnsi="宋体" w:eastAsia="宋体" w:cs="宋体"/>
          <w:color w:val="auto"/>
          <w:sz w:val="24"/>
          <w:szCs w:val="24"/>
        </w:rPr>
        <w:t>　签字人姓名、职务：</w:t>
      </w:r>
      <w:r>
        <w:rPr>
          <w:rFonts w:hint="eastAsia" w:ascii="宋体" w:hAnsi="宋体" w:eastAsia="宋体" w:cs="宋体"/>
          <w:color w:val="auto"/>
          <w:sz w:val="24"/>
          <w:szCs w:val="24"/>
          <w:u w:val="single"/>
        </w:rPr>
        <w:t xml:space="preserve">（代理（被授权人）签字或盖章）               </w:t>
      </w:r>
    </w:p>
    <w:p>
      <w:pPr>
        <w:pStyle w:val="8"/>
        <w:keepNext w:val="0"/>
        <w:keepLines w:val="0"/>
        <w:pageBreakBefore w:val="0"/>
        <w:widowControl w:val="0"/>
        <w:kinsoku/>
        <w:wordWrap/>
        <w:overflowPunct/>
        <w:topLinePunct w:val="0"/>
        <w:autoSpaceDE/>
        <w:autoSpaceDN/>
        <w:bidi w:val="0"/>
        <w:adjustRightInd/>
        <w:snapToGrid/>
        <w:spacing w:line="480" w:lineRule="auto"/>
        <w:ind w:left="319" w:firstLine="575"/>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　授权签署本资格文件人：</w:t>
      </w:r>
      <w:r>
        <w:rPr>
          <w:rFonts w:hint="eastAsia" w:ascii="宋体" w:hAnsi="宋体" w:eastAsia="宋体" w:cs="宋体"/>
          <w:color w:val="auto"/>
          <w:sz w:val="24"/>
          <w:szCs w:val="24"/>
          <w:u w:val="single"/>
        </w:rPr>
        <w:t xml:space="preserve">（法人签字或盖章）  </w:t>
      </w:r>
    </w:p>
    <w:p>
      <w:pPr>
        <w:pStyle w:val="8"/>
        <w:keepNext w:val="0"/>
        <w:keepLines w:val="0"/>
        <w:pageBreakBefore w:val="0"/>
        <w:widowControl w:val="0"/>
        <w:kinsoku/>
        <w:wordWrap/>
        <w:overflowPunct/>
        <w:topLinePunct w:val="0"/>
        <w:autoSpaceDE/>
        <w:autoSpaceDN/>
        <w:bidi w:val="0"/>
        <w:adjustRightInd/>
        <w:snapToGrid/>
        <w:spacing w:line="480" w:lineRule="auto"/>
        <w:ind w:left="319" w:firstLine="5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w:t>
      </w:r>
    </w:p>
    <w:p>
      <w:pPr>
        <w:pStyle w:val="8"/>
        <w:keepNext w:val="0"/>
        <w:keepLines w:val="0"/>
        <w:pageBreakBefore w:val="0"/>
        <w:widowControl w:val="0"/>
        <w:kinsoku/>
        <w:wordWrap/>
        <w:overflowPunct/>
        <w:topLinePunct w:val="0"/>
        <w:autoSpaceDE/>
        <w:autoSpaceDN/>
        <w:bidi w:val="0"/>
        <w:adjustRightInd/>
        <w:snapToGrid/>
        <w:spacing w:line="480" w:lineRule="auto"/>
        <w:ind w:left="319" w:firstLine="575"/>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　电话：</w:t>
      </w:r>
      <w:r>
        <w:rPr>
          <w:rFonts w:hint="eastAsia" w:ascii="宋体" w:hAnsi="宋体" w:eastAsia="宋体" w:cs="宋体"/>
          <w:color w:val="auto"/>
          <w:sz w:val="24"/>
          <w:szCs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firstLine="6292" w:firstLineChars="26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（单位公章）</w:t>
      </w:r>
    </w:p>
    <w:p>
      <w:pPr>
        <w:bidi w:val="0"/>
        <w:rPr>
          <w:rFonts w:hint="eastAsia" w:ascii="宋体" w:hAnsi="宋体" w:eastAsia="宋体" w:cs="宋体"/>
          <w:color w:val="auto"/>
          <w:sz w:val="24"/>
          <w:szCs w:val="24"/>
        </w:rPr>
      </w:pPr>
      <w:r>
        <w:rPr>
          <w:rFonts w:hint="eastAsia" w:ascii="宋体" w:hAnsi="宋体" w:eastAsia="宋体" w:cs="宋体"/>
          <w:color w:val="auto"/>
          <w:sz w:val="24"/>
          <w:szCs w:val="24"/>
        </w:rPr>
        <w:t>20</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rPr>
      </w:pPr>
    </w:p>
    <w:p>
      <w:pPr>
        <w:spacing w:line="600" w:lineRule="auto"/>
        <w:jc w:val="both"/>
        <w:rPr>
          <w:rFonts w:hint="eastAsia" w:ascii="宋体" w:hAnsi="宋体" w:eastAsia="宋体" w:cs="宋体"/>
          <w:color w:val="auto"/>
          <w:sz w:val="32"/>
          <w:szCs w:val="32"/>
          <w:lang w:val="en-US" w:eastAsia="zh-CN"/>
        </w:rPr>
      </w:pPr>
      <w:r>
        <w:rPr>
          <w:rFonts w:hint="eastAsia" w:ascii="宋体" w:hAnsi="宋体" w:eastAsia="宋体" w:cs="宋体"/>
          <w:color w:val="auto"/>
          <w:sz w:val="24"/>
          <w:szCs w:val="24"/>
        </w:rPr>
        <w:br w:type="page"/>
      </w:r>
      <w:bookmarkEnd w:id="236"/>
      <w:bookmarkEnd w:id="237"/>
      <w:bookmarkEnd w:id="238"/>
      <w:bookmarkStart w:id="239" w:name="_Toc13510"/>
      <w:bookmarkStart w:id="240" w:name="_Toc23785"/>
      <w:r>
        <w:rPr>
          <w:rStyle w:val="28"/>
          <w:rFonts w:hint="eastAsia" w:ascii="宋体" w:hAnsi="宋体" w:eastAsia="宋体" w:cs="宋体"/>
          <w:b/>
          <w:bCs/>
          <w:color w:val="auto"/>
          <w:sz w:val="32"/>
          <w:szCs w:val="32"/>
          <w:lang w:val="en-US" w:eastAsia="zh-CN"/>
        </w:rPr>
        <w:t>附件11:</w:t>
      </w:r>
      <w:bookmarkEnd w:id="239"/>
      <w:bookmarkEnd w:id="240"/>
    </w:p>
    <w:p>
      <w:pPr>
        <w:bidi w:val="0"/>
        <w:jc w:val="center"/>
        <w:rPr>
          <w:rFonts w:hint="eastAsia" w:ascii="宋体" w:hAnsi="宋体" w:eastAsia="宋体" w:cs="宋体"/>
          <w:b/>
          <w:bCs/>
          <w:lang w:val="en-US" w:eastAsia="zh-CN"/>
        </w:rPr>
      </w:pPr>
      <w:bookmarkStart w:id="241" w:name="_Toc12421"/>
      <w:bookmarkStart w:id="242" w:name="_Toc12791"/>
      <w:bookmarkStart w:id="243" w:name="_Toc28079"/>
      <w:r>
        <w:rPr>
          <w:rFonts w:hint="eastAsia" w:ascii="宋体" w:hAnsi="宋体" w:eastAsia="宋体" w:cs="宋体"/>
          <w:b/>
          <w:bCs/>
          <w:lang w:val="en-US" w:eastAsia="zh-CN"/>
        </w:rPr>
        <w:t>中小企业声明函</w:t>
      </w:r>
    </w:p>
    <w:p>
      <w:pPr>
        <w:keepNext w:val="0"/>
        <w:keepLines w:val="0"/>
        <w:pageBreakBefore w:val="0"/>
        <w:widowControl w:val="0"/>
        <w:kinsoku/>
        <w:wordWrap/>
        <w:overflowPunct/>
        <w:topLinePunct w:val="0"/>
        <w:autoSpaceDE/>
        <w:autoSpaceDN/>
        <w:bidi w:val="0"/>
        <w:adjustRightInd/>
        <w:snapToGrid/>
        <w:spacing w:line="360" w:lineRule="auto"/>
        <w:ind w:firstLine="726" w:firstLineChars="3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联合体）郑重声明，根据《政府采购促进中小企业发展管理办法》（财库）（2020）46号）的规定，本公司（联合体）参加（单位名称）的（项目名称）采购活动，提供的货物全部由符合政策的中小企业制造。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1.（标的名称），属于（采购文件中明确的所属行业）行业；制造商为（企业名称），从业人员      人，营业收入为        万元，资产总额为     万元，属于（中型企业、小型企业、微型企业）；</w:t>
      </w:r>
    </w:p>
    <w:p>
      <w:pPr>
        <w:spacing w:line="60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以上企业，不属于大企业的分支机构，不存在控股股东为大企业的情形，也不存下与大企业的负责分为同一份的情形。</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本企业对上述声明内容的真实性负责。如有虚假，将依法承担相应责任。</w:t>
      </w:r>
    </w:p>
    <w:p>
      <w:pPr>
        <w:spacing w:line="600" w:lineRule="auto"/>
        <w:jc w:val="both"/>
        <w:rPr>
          <w:rFonts w:hint="eastAsia" w:ascii="宋体" w:hAnsi="宋体" w:eastAsia="宋体" w:cs="宋体"/>
          <w:color w:val="auto"/>
          <w:sz w:val="24"/>
          <w:szCs w:val="24"/>
          <w:lang w:val="en-US" w:eastAsia="zh-CN"/>
        </w:rPr>
      </w:pPr>
    </w:p>
    <w:p>
      <w:pPr>
        <w:spacing w:line="60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企业名称（盖章）：</w:t>
      </w:r>
    </w:p>
    <w:p>
      <w:pPr>
        <w:spacing w:line="60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日期：</w:t>
      </w:r>
    </w:p>
    <w:p>
      <w:pPr>
        <w:spacing w:line="60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从业人员、营业收入、资产总额填报上一年度数据，无上一年度数据的新成立企业可不填报。 </w:t>
      </w:r>
    </w:p>
    <w:p>
      <w:pPr>
        <w:spacing w:line="600" w:lineRule="auto"/>
        <w:jc w:val="both"/>
        <w:rPr>
          <w:rFonts w:hint="eastAsia" w:ascii="宋体" w:hAnsi="宋体" w:eastAsia="宋体" w:cs="宋体"/>
          <w:color w:val="auto"/>
          <w:sz w:val="32"/>
          <w:szCs w:val="32"/>
          <w:lang w:val="en-US" w:eastAsia="zh-CN"/>
        </w:rPr>
      </w:pPr>
      <w:r>
        <w:rPr>
          <w:rFonts w:hint="eastAsia" w:ascii="宋体" w:hAnsi="宋体" w:eastAsia="宋体" w:cs="宋体"/>
          <w:color w:val="auto"/>
          <w:sz w:val="24"/>
          <w:szCs w:val="24"/>
        </w:rPr>
        <w:br w:type="page"/>
      </w:r>
      <w:bookmarkEnd w:id="241"/>
      <w:bookmarkEnd w:id="242"/>
      <w:bookmarkEnd w:id="243"/>
      <w:bookmarkStart w:id="244" w:name="_Toc29943"/>
      <w:bookmarkStart w:id="245" w:name="_Toc841"/>
      <w:r>
        <w:rPr>
          <w:rStyle w:val="28"/>
          <w:rFonts w:hint="eastAsia" w:ascii="宋体" w:hAnsi="宋体" w:eastAsia="宋体" w:cs="宋体"/>
          <w:b/>
          <w:bCs/>
          <w:color w:val="auto"/>
          <w:sz w:val="32"/>
          <w:szCs w:val="28"/>
          <w:lang w:val="en-US" w:eastAsia="zh-CN"/>
        </w:rPr>
        <w:t>附件12:</w:t>
      </w:r>
      <w:bookmarkEnd w:id="244"/>
      <w:bookmarkEnd w:id="245"/>
    </w:p>
    <w:p>
      <w:pPr>
        <w:bidi w:val="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监狱企业声明函</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（监狱企业适用）</w:t>
      </w:r>
    </w:p>
    <w:p>
      <w:pPr>
        <w:spacing w:line="600" w:lineRule="auto"/>
        <w:ind w:firstLine="484"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本公司郑重声明，根据《关于政府采购支持监狱企业发展有关问题的通知》（财库[2014]68号）的规定，本公司为监狱企业。</w:t>
      </w:r>
    </w:p>
    <w:p>
      <w:pPr>
        <w:spacing w:line="600" w:lineRule="auto"/>
        <w:ind w:firstLine="484"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本公司参加______单位的______项目采购活动，采购活动提供本企业（制造的货物，由本企业承担工程、提供服务）。</w:t>
      </w:r>
    </w:p>
    <w:p>
      <w:pPr>
        <w:spacing w:line="60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本条所称货物不包括使用大型企业注册商标的货物和服务。</w:t>
      </w:r>
    </w:p>
    <w:p>
      <w:pPr>
        <w:spacing w:line="60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本公司对上述声明的真实性负责。如有虚假，将依法承担相应责任。</w:t>
      </w:r>
    </w:p>
    <w:p>
      <w:pPr>
        <w:spacing w:line="600" w:lineRule="auto"/>
        <w:jc w:val="both"/>
        <w:rPr>
          <w:rFonts w:hint="eastAsia" w:ascii="宋体" w:hAnsi="宋体" w:eastAsia="宋体" w:cs="宋体"/>
          <w:color w:val="auto"/>
          <w:sz w:val="24"/>
          <w:szCs w:val="24"/>
        </w:rPr>
      </w:pPr>
    </w:p>
    <w:p>
      <w:pPr>
        <w:spacing w:line="60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企业名称（盖公章）：</w:t>
      </w:r>
    </w:p>
    <w:p>
      <w:pPr>
        <w:spacing w:line="60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法定代表人或其授权代表(签字)：</w:t>
      </w:r>
      <w:r>
        <w:rPr>
          <w:rFonts w:hint="eastAsia" w:ascii="宋体" w:hAnsi="宋体" w:eastAsia="宋体" w:cs="宋体"/>
          <w:color w:val="auto"/>
          <w:sz w:val="24"/>
          <w:szCs w:val="24"/>
          <w:lang w:val="en-US" w:eastAsia="zh-CN"/>
        </w:rPr>
        <w:t xml:space="preserve">   </w:t>
      </w:r>
    </w:p>
    <w:p>
      <w:pPr>
        <w:spacing w:line="600" w:lineRule="auto"/>
        <w:ind w:firstLine="3872" w:firstLineChars="1600"/>
        <w:jc w:val="both"/>
        <w:rPr>
          <w:rFonts w:hint="eastAsia" w:ascii="宋体" w:hAnsi="宋体" w:eastAsia="宋体" w:cs="宋体"/>
          <w:color w:val="auto"/>
          <w:sz w:val="24"/>
          <w:szCs w:val="24"/>
        </w:rPr>
      </w:pPr>
      <w:r>
        <w:rPr>
          <w:rFonts w:hint="eastAsia" w:ascii="宋体" w:hAnsi="宋体" w:eastAsia="宋体" w:cs="宋体"/>
          <w:color w:val="auto"/>
          <w:sz w:val="24"/>
          <w:szCs w:val="24"/>
        </w:rPr>
        <w:t>日期：</w:t>
      </w:r>
    </w:p>
    <w:p>
      <w:pPr>
        <w:spacing w:line="600" w:lineRule="auto"/>
        <w:jc w:val="both"/>
        <w:rPr>
          <w:rStyle w:val="28"/>
          <w:rFonts w:hint="eastAsia" w:ascii="宋体" w:hAnsi="宋体" w:eastAsia="宋体" w:cs="宋体"/>
          <w:b/>
          <w:bCs/>
          <w:color w:val="auto"/>
          <w:sz w:val="32"/>
          <w:szCs w:val="28"/>
          <w:lang w:val="en-US" w:eastAsia="zh-CN"/>
        </w:rPr>
      </w:pPr>
    </w:p>
    <w:p>
      <w:pPr>
        <w:spacing w:line="600" w:lineRule="auto"/>
        <w:jc w:val="both"/>
        <w:rPr>
          <w:rStyle w:val="28"/>
          <w:rFonts w:hint="eastAsia" w:ascii="宋体" w:hAnsi="宋体" w:eastAsia="宋体" w:cs="宋体"/>
          <w:b/>
          <w:bCs/>
          <w:color w:val="auto"/>
          <w:sz w:val="32"/>
          <w:szCs w:val="28"/>
          <w:lang w:val="en-US" w:eastAsia="zh-CN"/>
        </w:rPr>
      </w:pPr>
    </w:p>
    <w:p>
      <w:pPr>
        <w:spacing w:line="600" w:lineRule="auto"/>
        <w:jc w:val="both"/>
        <w:rPr>
          <w:rStyle w:val="28"/>
          <w:rFonts w:hint="eastAsia" w:ascii="宋体" w:hAnsi="宋体" w:eastAsia="宋体" w:cs="宋体"/>
          <w:b/>
          <w:bCs/>
          <w:color w:val="auto"/>
          <w:sz w:val="32"/>
          <w:szCs w:val="28"/>
          <w:lang w:val="en-US" w:eastAsia="zh-CN"/>
        </w:rPr>
      </w:pPr>
    </w:p>
    <w:p>
      <w:pPr>
        <w:spacing w:line="600" w:lineRule="auto"/>
        <w:jc w:val="both"/>
        <w:rPr>
          <w:rStyle w:val="28"/>
          <w:rFonts w:hint="eastAsia" w:ascii="宋体" w:hAnsi="宋体" w:eastAsia="宋体" w:cs="宋体"/>
          <w:b/>
          <w:bCs/>
          <w:color w:val="auto"/>
          <w:sz w:val="32"/>
          <w:szCs w:val="28"/>
          <w:lang w:val="en-US" w:eastAsia="zh-CN"/>
        </w:rPr>
      </w:pPr>
    </w:p>
    <w:p>
      <w:pPr>
        <w:spacing w:line="600" w:lineRule="auto"/>
        <w:jc w:val="both"/>
        <w:rPr>
          <w:rStyle w:val="28"/>
          <w:rFonts w:hint="eastAsia" w:ascii="宋体" w:hAnsi="宋体" w:eastAsia="宋体" w:cs="宋体"/>
          <w:b/>
          <w:bCs/>
          <w:color w:val="auto"/>
          <w:sz w:val="32"/>
          <w:szCs w:val="28"/>
          <w:lang w:val="en-US" w:eastAsia="zh-CN"/>
        </w:rPr>
      </w:pPr>
    </w:p>
    <w:p>
      <w:pPr>
        <w:pStyle w:val="33"/>
        <w:numPr>
          <w:ilvl w:val="0"/>
          <w:numId w:val="0"/>
        </w:numPr>
        <w:ind w:leftChars="0"/>
        <w:rPr>
          <w:rFonts w:hint="eastAsia" w:ascii="宋体" w:hAnsi="宋体" w:eastAsia="宋体" w:cs="宋体"/>
          <w:color w:val="auto"/>
          <w:lang w:val="en-US" w:eastAsia="zh-CN"/>
        </w:rPr>
      </w:pPr>
    </w:p>
    <w:p>
      <w:pPr>
        <w:spacing w:line="600" w:lineRule="auto"/>
        <w:jc w:val="both"/>
        <w:rPr>
          <w:rStyle w:val="28"/>
          <w:rFonts w:hint="eastAsia" w:ascii="宋体" w:hAnsi="宋体" w:eastAsia="宋体" w:cs="宋体"/>
          <w:b/>
          <w:bCs/>
          <w:color w:val="auto"/>
          <w:sz w:val="32"/>
          <w:szCs w:val="28"/>
          <w:lang w:val="en-US" w:eastAsia="zh-CN"/>
        </w:rPr>
      </w:pPr>
      <w:bookmarkStart w:id="246" w:name="_Toc28444"/>
      <w:bookmarkStart w:id="247" w:name="_Toc2155"/>
      <w:r>
        <w:rPr>
          <w:rStyle w:val="28"/>
          <w:rFonts w:hint="eastAsia" w:ascii="宋体" w:hAnsi="宋体" w:eastAsia="宋体" w:cs="宋体"/>
          <w:b/>
          <w:bCs/>
          <w:color w:val="auto"/>
          <w:sz w:val="32"/>
          <w:szCs w:val="28"/>
          <w:lang w:val="en-US" w:eastAsia="zh-CN"/>
        </w:rPr>
        <w:t>附件13:</w:t>
      </w:r>
      <w:bookmarkEnd w:id="246"/>
      <w:bookmarkEnd w:id="247"/>
    </w:p>
    <w:p>
      <w:pPr>
        <w:bidi w:val="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残疾人福利性单位声明函</w:t>
      </w:r>
    </w:p>
    <w:p>
      <w:pPr>
        <w:spacing w:line="600" w:lineRule="auto"/>
        <w:ind w:firstLine="726" w:firstLineChars="300"/>
        <w:jc w:val="both"/>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60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pPr>
        <w:spacing w:line="60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40" w:firstLineChars="20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单位名称（盖章）：</w:t>
      </w:r>
    </w:p>
    <w:p>
      <w:pPr>
        <w:keepNext w:val="0"/>
        <w:keepLines w:val="0"/>
        <w:pageBreakBefore w:val="0"/>
        <w:widowControl w:val="0"/>
        <w:kinsoku/>
        <w:wordWrap/>
        <w:overflowPunct/>
        <w:topLinePunct w:val="0"/>
        <w:autoSpaceDE/>
        <w:autoSpaceDN/>
        <w:bidi w:val="0"/>
        <w:adjustRightInd/>
        <w:snapToGrid/>
        <w:spacing w:line="360" w:lineRule="auto"/>
        <w:ind w:firstLine="4840" w:firstLineChars="20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日  期</w:t>
      </w:r>
      <w:r>
        <w:rPr>
          <w:rFonts w:hint="eastAsia" w:ascii="宋体" w:hAnsi="宋体" w:eastAsia="宋体" w:cs="宋体"/>
          <w:color w:val="auto"/>
          <w:sz w:val="24"/>
          <w:szCs w:val="24"/>
          <w:lang w:eastAsia="zh-CN"/>
        </w:rPr>
        <w:t>：</w:t>
      </w:r>
    </w:p>
    <w:p>
      <w:pPr>
        <w:spacing w:line="600" w:lineRule="auto"/>
        <w:jc w:val="both"/>
        <w:rPr>
          <w:rStyle w:val="28"/>
          <w:rFonts w:hint="eastAsia" w:ascii="宋体" w:hAnsi="宋体" w:eastAsia="宋体" w:cs="宋体"/>
          <w:b/>
          <w:color w:val="auto"/>
          <w:sz w:val="24"/>
          <w:szCs w:val="24"/>
          <w:lang w:val="en-US" w:eastAsia="zh-CN"/>
        </w:rPr>
      </w:pPr>
    </w:p>
    <w:p>
      <w:pPr>
        <w:spacing w:line="600" w:lineRule="auto"/>
        <w:jc w:val="both"/>
        <w:rPr>
          <w:rFonts w:hint="eastAsia" w:ascii="宋体" w:hAnsi="宋体" w:eastAsia="宋体" w:cs="宋体"/>
          <w:color w:val="auto"/>
          <w:sz w:val="28"/>
          <w:szCs w:val="28"/>
        </w:rPr>
      </w:pPr>
    </w:p>
    <w:p>
      <w:pPr>
        <w:spacing w:line="600" w:lineRule="auto"/>
        <w:jc w:val="both"/>
        <w:rPr>
          <w:rFonts w:hint="eastAsia" w:ascii="宋体" w:hAnsi="宋体" w:eastAsia="宋体" w:cs="宋体"/>
          <w:color w:val="auto"/>
          <w:sz w:val="28"/>
          <w:szCs w:val="28"/>
        </w:rPr>
      </w:pPr>
    </w:p>
    <w:p>
      <w:pPr>
        <w:spacing w:line="600" w:lineRule="auto"/>
        <w:jc w:val="both"/>
        <w:rPr>
          <w:rFonts w:hint="eastAsia" w:ascii="宋体" w:hAnsi="宋体" w:eastAsia="宋体" w:cs="宋体"/>
          <w:color w:val="auto"/>
          <w:sz w:val="28"/>
          <w:szCs w:val="28"/>
        </w:rPr>
      </w:pPr>
    </w:p>
    <w:p>
      <w:pPr>
        <w:spacing w:line="600" w:lineRule="auto"/>
        <w:jc w:val="both"/>
        <w:rPr>
          <w:rFonts w:hint="eastAsia" w:ascii="宋体" w:hAnsi="宋体" w:eastAsia="宋体" w:cs="宋体"/>
          <w:color w:val="auto"/>
          <w:sz w:val="28"/>
          <w:szCs w:val="28"/>
          <w:lang w:val="en-US" w:eastAsia="zh-CN"/>
        </w:rPr>
      </w:pPr>
    </w:p>
    <w:p>
      <w:pPr>
        <w:pStyle w:val="13"/>
        <w:rPr>
          <w:rFonts w:hint="eastAsia" w:ascii="宋体" w:hAnsi="宋体" w:eastAsia="宋体" w:cs="宋体"/>
          <w:lang w:val="en-US" w:eastAsia="zh-CN"/>
        </w:rPr>
      </w:pPr>
    </w:p>
    <w:p>
      <w:pPr>
        <w:spacing w:line="600" w:lineRule="auto"/>
        <w:jc w:val="both"/>
        <w:rPr>
          <w:rFonts w:hint="eastAsia" w:ascii="宋体" w:hAnsi="宋体" w:eastAsia="宋体" w:cs="宋体"/>
          <w:b/>
          <w:color w:val="auto"/>
          <w:kern w:val="2"/>
          <w:sz w:val="24"/>
          <w:szCs w:val="24"/>
          <w:lang w:val="en-US" w:eastAsia="zh-CN" w:bidi="ar-SA"/>
        </w:rPr>
      </w:pPr>
    </w:p>
    <w:p>
      <w:pPr>
        <w:spacing w:line="600" w:lineRule="auto"/>
        <w:jc w:val="both"/>
        <w:rPr>
          <w:rFonts w:hint="eastAsia" w:ascii="宋体" w:hAnsi="宋体" w:eastAsia="宋体" w:cs="宋体"/>
          <w:b/>
          <w:color w:val="auto"/>
          <w:kern w:val="2"/>
          <w:sz w:val="24"/>
          <w:szCs w:val="24"/>
          <w:lang w:val="en-US" w:eastAsia="zh-CN" w:bidi="ar-SA"/>
        </w:rPr>
      </w:pP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附件14：项目实施方案</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附件15: 质量管理体系与措施；</w:t>
      </w:r>
      <w:bookmarkStart w:id="248" w:name="_Toc5206"/>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附件16: 项目进度计划与措施；</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附件17:技术服务及保证措施；</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附件18:安全、保密及文明施工；</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附件19:成果质量保证措施</w:t>
      </w:r>
      <w:r>
        <w:rPr>
          <w:rFonts w:hint="eastAsia" w:ascii="宋体" w:hAnsi="宋体" w:cs="宋体"/>
          <w:b/>
          <w:color w:val="auto"/>
          <w:kern w:val="2"/>
          <w:sz w:val="24"/>
          <w:szCs w:val="24"/>
          <w:lang w:val="en-US" w:eastAsia="zh-CN" w:bidi="ar-SA"/>
        </w:rPr>
        <w:t>；</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附件20:计划用于本项目的仪器设备；</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附件21：售后服务体系；</w:t>
      </w:r>
    </w:p>
    <w:p>
      <w:pPr>
        <w:spacing w:line="60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附件22:</w:t>
      </w:r>
      <w:bookmarkEnd w:id="248"/>
      <w:r>
        <w:rPr>
          <w:rFonts w:hint="eastAsia" w:ascii="宋体" w:hAnsi="宋体" w:eastAsia="宋体" w:cs="宋体"/>
          <w:b/>
          <w:color w:val="auto"/>
          <w:kern w:val="2"/>
          <w:sz w:val="24"/>
          <w:szCs w:val="24"/>
          <w:lang w:val="en-US" w:eastAsia="zh-CN" w:bidi="ar-SA"/>
        </w:rPr>
        <w:t>要求提供的其它材料以及供应商认为需要提交的材料（以上格式自拟）。</w:t>
      </w:r>
    </w:p>
    <w:p>
      <w:pPr>
        <w:pStyle w:val="15"/>
        <w:keepNext w:val="0"/>
        <w:keepLines w:val="0"/>
        <w:pageBreakBefore w:val="0"/>
        <w:widowControl w:val="0"/>
        <w:kinsoku/>
        <w:wordWrap/>
        <w:overflowPunct/>
        <w:topLinePunct w:val="0"/>
        <w:autoSpaceDE/>
        <w:autoSpaceDN/>
        <w:bidi w:val="0"/>
        <w:adjustRightInd/>
        <w:spacing w:line="480" w:lineRule="auto"/>
        <w:ind w:firstLine="484" w:firstLineChars="200"/>
        <w:jc w:val="left"/>
        <w:textAlignment w:val="auto"/>
        <w:rPr>
          <w:rFonts w:hint="eastAsia" w:ascii="宋体" w:hAnsi="宋体" w:eastAsia="宋体" w:cs="宋体"/>
          <w:b/>
          <w:color w:val="auto"/>
          <w:kern w:val="2"/>
          <w:sz w:val="24"/>
          <w:szCs w:val="24"/>
          <w:lang w:val="en-US" w:eastAsia="zh-CN" w:bidi="ar-SA"/>
        </w:rPr>
      </w:pPr>
    </w:p>
    <w:p>
      <w:pPr>
        <w:pStyle w:val="15"/>
        <w:spacing w:line="480" w:lineRule="exact"/>
        <w:ind w:firstLine="484" w:firstLineChars="200"/>
        <w:rPr>
          <w:rFonts w:hint="eastAsia" w:ascii="宋体" w:hAnsi="宋体" w:eastAsia="宋体" w:cs="宋体"/>
          <w:b/>
          <w:bCs w:val="0"/>
          <w:color w:val="auto"/>
          <w:sz w:val="24"/>
          <w:szCs w:val="24"/>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pPr>
        <w:pStyle w:val="6"/>
        <w:keepNext w:val="0"/>
        <w:numPr>
          <w:ilvl w:val="0"/>
          <w:numId w:val="0"/>
        </w:numPr>
        <w:jc w:val="left"/>
        <w:outlineLvl w:val="9"/>
        <w:rPr>
          <w:rStyle w:val="28"/>
          <w:rFonts w:hint="eastAsia" w:ascii="宋体" w:hAnsi="宋体" w:eastAsia="宋体" w:cs="宋体"/>
          <w:b/>
          <w:color w:val="auto"/>
          <w:sz w:val="32"/>
          <w:szCs w:val="28"/>
          <w:lang w:val="en-US" w:eastAsia="zh-CN"/>
        </w:rPr>
      </w:pPr>
    </w:p>
    <w:p/>
    <w:sectPr>
      <w:headerReference r:id="rId19" w:type="first"/>
      <w:footerReference r:id="rId21" w:type="first"/>
      <w:headerReference r:id="rId18" w:type="default"/>
      <w:footerReference r:id="rId20" w:type="default"/>
      <w:pgSz w:w="11906" w:h="16838"/>
      <w:pgMar w:top="1417" w:right="1418" w:bottom="1417" w:left="1134" w:header="851" w:footer="850" w:gutter="0"/>
      <w:pgNumType w:fmt="decimal"/>
      <w:cols w:space="720" w:num="1"/>
      <w:titlePg/>
      <w:docGrid w:type="linesAndChars" w:linePitch="312" w:charSpace="5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6120" w:firstLineChars="3400"/>
      <w:rPr>
        <w:rFonts w:hint="default"/>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6120" w:firstLineChars="3400"/>
      <w:rPr>
        <w:rFonts w:hint="default"/>
        <w:lang w:val="en-US"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hint="eastAsia" w:eastAsia="宋体"/>
        <w:lang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hint="eastAsia" w:eastAsia="宋体"/>
        <w:lang w:eastAsia="zh-C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thinThickSmallGap" w:color="auto" w:sz="12" w:space="1"/>
      </w:pBdr>
      <w:jc w:val="both"/>
      <w:rPr>
        <w:rFonts w:hint="default" w:eastAsia="宋体"/>
        <w:sz w:val="21"/>
        <w:szCs w:val="22"/>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C35879"/>
    <w:multiLevelType w:val="singleLevel"/>
    <w:tmpl w:val="CEC35879"/>
    <w:lvl w:ilvl="0" w:tentative="0">
      <w:start w:val="4"/>
      <w:numFmt w:val="chineseCounting"/>
      <w:suff w:val="space"/>
      <w:lvlText w:val="第%1章"/>
      <w:lvlJc w:val="left"/>
      <w:rPr>
        <w:rFonts w:hint="eastAsia"/>
      </w:rPr>
    </w:lvl>
  </w:abstractNum>
  <w:abstractNum w:abstractNumId="1">
    <w:nsid w:val="00000003"/>
    <w:multiLevelType w:val="singleLevel"/>
    <w:tmpl w:val="00000003"/>
    <w:lvl w:ilvl="0" w:tentative="0">
      <w:start w:val="1"/>
      <w:numFmt w:val="upperLetter"/>
      <w:pStyle w:val="6"/>
      <w:lvlText w:val="%1."/>
      <w:lvlJc w:val="left"/>
      <w:pPr>
        <w:tabs>
          <w:tab w:val="left" w:pos="330"/>
        </w:tabs>
        <w:ind w:left="330" w:hanging="330"/>
      </w:pPr>
    </w:lvl>
  </w:abstractNum>
  <w:abstractNum w:abstractNumId="2">
    <w:nsid w:val="0000000F"/>
    <w:multiLevelType w:val="multilevel"/>
    <w:tmpl w:val="0000000F"/>
    <w:lvl w:ilvl="0" w:tentative="0">
      <w:start w:val="1"/>
      <w:numFmt w:val="decimal"/>
      <w:pStyle w:val="33"/>
      <w:lvlText w:val="%1、"/>
      <w:lvlJc w:val="left"/>
      <w:pPr>
        <w:ind w:left="900" w:hanging="420"/>
      </w:pPr>
      <w:rPr>
        <w:color w:val="auto"/>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13"/>
    <w:multiLevelType w:val="multilevel"/>
    <w:tmpl w:val="00000013"/>
    <w:lvl w:ilvl="0" w:tentative="0">
      <w:start w:val="1"/>
      <w:numFmt w:val="decimal"/>
      <w:lvlText w:val="（%1）"/>
      <w:lvlJc w:val="left"/>
      <w:pPr>
        <w:tabs>
          <w:tab w:val="left" w:pos="1080"/>
        </w:tabs>
        <w:ind w:left="1080" w:hanging="1080"/>
      </w:pPr>
    </w:lvl>
    <w:lvl w:ilvl="1" w:tentative="0">
      <w:start w:val="1"/>
      <w:numFmt w:val="bullet"/>
      <w:lvlText w:val=""/>
      <w:lvlJc w:val="left"/>
      <w:pPr>
        <w:tabs>
          <w:tab w:val="left" w:pos="600"/>
        </w:tabs>
        <w:ind w:left="600" w:hanging="420"/>
      </w:pPr>
      <w:rPr>
        <w:rFonts w:hint="default" w:ascii="Wingdings" w:hAnsi="Wingdings"/>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16A98E5"/>
    <w:multiLevelType w:val="singleLevel"/>
    <w:tmpl w:val="516A98E5"/>
    <w:lvl w:ilvl="0" w:tentative="0">
      <w:start w:val="1"/>
      <w:numFmt w:val="chineseCounting"/>
      <w:suff w:val="space"/>
      <w:lvlText w:val="第%1章"/>
      <w:lvlJc w:val="left"/>
      <w:rPr>
        <w:rFonts w:hint="eastAsia"/>
      </w:rPr>
    </w:lvl>
  </w:abstractNum>
  <w:abstractNum w:abstractNumId="5">
    <w:nsid w:val="673700A6"/>
    <w:multiLevelType w:val="multilevel"/>
    <w:tmpl w:val="673700A6"/>
    <w:lvl w:ilvl="0" w:tentative="0">
      <w:start w:val="1"/>
      <w:numFmt w:val="decimal"/>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4"/>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lYmQyNDUzMGYxYWIxNjRiZjk1NzE3MDAwNmE1MzIifQ=="/>
  </w:docVars>
  <w:rsids>
    <w:rsidRoot w:val="4F4C6CDE"/>
    <w:rsid w:val="00303842"/>
    <w:rsid w:val="059B24B4"/>
    <w:rsid w:val="0D353133"/>
    <w:rsid w:val="0E4A4228"/>
    <w:rsid w:val="10F20633"/>
    <w:rsid w:val="171E28E6"/>
    <w:rsid w:val="2BF93B20"/>
    <w:rsid w:val="30952DF4"/>
    <w:rsid w:val="32841682"/>
    <w:rsid w:val="3308045F"/>
    <w:rsid w:val="336C5E4E"/>
    <w:rsid w:val="3A4E590C"/>
    <w:rsid w:val="430D5439"/>
    <w:rsid w:val="439D454D"/>
    <w:rsid w:val="49F70BF1"/>
    <w:rsid w:val="4BD67F24"/>
    <w:rsid w:val="4F4C6CDE"/>
    <w:rsid w:val="4F86002C"/>
    <w:rsid w:val="53A615FD"/>
    <w:rsid w:val="558772CD"/>
    <w:rsid w:val="573B2E37"/>
    <w:rsid w:val="5E053485"/>
    <w:rsid w:val="60564992"/>
    <w:rsid w:val="60912F1C"/>
    <w:rsid w:val="63A30F40"/>
    <w:rsid w:val="63EF5D46"/>
    <w:rsid w:val="64E934B4"/>
    <w:rsid w:val="69C97333"/>
    <w:rsid w:val="6C24452B"/>
    <w:rsid w:val="6E4751CE"/>
    <w:rsid w:val="71213793"/>
    <w:rsid w:val="73137F9A"/>
    <w:rsid w:val="765C57B4"/>
    <w:rsid w:val="7C076A1C"/>
    <w:rsid w:val="7CB83561"/>
    <w:rsid w:val="7DE63FDD"/>
    <w:rsid w:val="7FBE2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5">
    <w:name w:val="heading 1"/>
    <w:basedOn w:val="1"/>
    <w:next w:val="1"/>
    <w:link w:val="28"/>
    <w:qFormat/>
    <w:uiPriority w:val="0"/>
    <w:pPr>
      <w:keepNext/>
      <w:jc w:val="center"/>
      <w:outlineLvl w:val="0"/>
    </w:pPr>
    <w:rPr>
      <w:rFonts w:ascii="仿宋_GB2312" w:hAnsi="仿宋_GB2312" w:eastAsia="宋体"/>
      <w:b/>
      <w:kern w:val="0"/>
      <w:sz w:val="28"/>
    </w:rPr>
  </w:style>
  <w:style w:type="paragraph" w:styleId="6">
    <w:name w:val="heading 2"/>
    <w:basedOn w:val="1"/>
    <w:next w:val="1"/>
    <w:qFormat/>
    <w:uiPriority w:val="99"/>
    <w:pPr>
      <w:keepNext/>
      <w:numPr>
        <w:ilvl w:val="0"/>
        <w:numId w:val="1"/>
      </w:numPr>
      <w:tabs>
        <w:tab w:val="left" w:pos="420"/>
        <w:tab w:val="clear" w:pos="330"/>
      </w:tabs>
      <w:spacing w:line="360" w:lineRule="auto"/>
      <w:outlineLvl w:val="1"/>
    </w:pPr>
    <w:rPr>
      <w:b/>
      <w:sz w:val="24"/>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0"/>
    <w:pPr>
      <w:ind w:firstLine="420" w:firstLineChars="100"/>
    </w:pPr>
  </w:style>
  <w:style w:type="paragraph" w:styleId="3">
    <w:name w:val="Body Text"/>
    <w:basedOn w:val="1"/>
    <w:next w:val="4"/>
    <w:qFormat/>
    <w:uiPriority w:val="0"/>
    <w:pPr>
      <w:spacing w:after="120" w:afterLines="0"/>
    </w:pPr>
  </w:style>
  <w:style w:type="paragraph" w:styleId="4">
    <w:name w:val="Body Text 2"/>
    <w:basedOn w:val="1"/>
    <w:unhideWhenUsed/>
    <w:qFormat/>
    <w:uiPriority w:val="0"/>
    <w:pPr>
      <w:spacing w:after="120" w:line="480" w:lineRule="auto"/>
    </w:pPr>
  </w:style>
  <w:style w:type="paragraph" w:styleId="7">
    <w:name w:val="Normal Indent"/>
    <w:basedOn w:val="1"/>
    <w:next w:val="1"/>
    <w:qFormat/>
    <w:uiPriority w:val="0"/>
    <w:pPr>
      <w:ind w:firstLine="420"/>
    </w:pPr>
  </w:style>
  <w:style w:type="paragraph" w:styleId="8">
    <w:name w:val="Body Text Indent"/>
    <w:basedOn w:val="1"/>
    <w:qFormat/>
    <w:uiPriority w:val="0"/>
    <w:pPr>
      <w:spacing w:line="800" w:lineRule="exact"/>
      <w:ind w:left="315" w:leftChars="150" w:firstLine="664" w:firstLineChars="237"/>
    </w:pPr>
    <w:rPr>
      <w:rFonts w:ascii="仿宋_GB2312" w:eastAsia="仿宋_GB2312"/>
      <w:sz w:val="28"/>
    </w:rPr>
  </w:style>
  <w:style w:type="paragraph" w:styleId="9">
    <w:name w:val="Body Text Indent 2"/>
    <w:basedOn w:val="1"/>
    <w:qFormat/>
    <w:uiPriority w:val="0"/>
    <w:pPr>
      <w:spacing w:line="360" w:lineRule="auto"/>
      <w:ind w:firstLine="555"/>
    </w:pPr>
    <w:rPr>
      <w:rFonts w:ascii="仿宋_GB2312" w:eastAsia="仿宋_GB2312"/>
      <w:sz w:val="28"/>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rPr>
  </w:style>
  <w:style w:type="paragraph" w:styleId="12">
    <w:name w:val="toc 1"/>
    <w:basedOn w:val="1"/>
    <w:next w:val="1"/>
    <w:qFormat/>
    <w:uiPriority w:val="0"/>
  </w:style>
  <w:style w:type="paragraph" w:styleId="13">
    <w:name w:val="Subtitle"/>
    <w:next w:val="1"/>
    <w:qFormat/>
    <w:uiPriority w:val="0"/>
    <w:pPr>
      <w:wordWrap w:val="0"/>
      <w:spacing w:after="60"/>
      <w:ind w:left="1024" w:firstLine="18"/>
      <w:jc w:val="center"/>
    </w:pPr>
    <w:rPr>
      <w:rFonts w:ascii="Calibri" w:hAnsi="Calibri" w:eastAsia="宋体" w:cs="Times New Roman"/>
      <w:sz w:val="21"/>
      <w:szCs w:val="22"/>
      <w:lang w:val="en-US" w:eastAsia="zh-CN" w:bidi="ar-SA"/>
    </w:rPr>
  </w:style>
  <w:style w:type="paragraph" w:styleId="14">
    <w:name w:val="List"/>
    <w:basedOn w:val="1"/>
    <w:qFormat/>
    <w:uiPriority w:val="0"/>
    <w:pPr>
      <w:keepNext w:val="0"/>
      <w:keepLines w:val="0"/>
      <w:widowControl w:val="0"/>
      <w:suppressLineNumbers w:val="0"/>
      <w:spacing w:before="0" w:beforeAutospacing="0" w:after="0" w:afterAutospacing="0"/>
      <w:ind w:left="200" w:right="0" w:hanging="200" w:hangingChars="200"/>
      <w:contextualSpacing/>
      <w:jc w:val="both"/>
    </w:pPr>
    <w:rPr>
      <w:rFonts w:hint="default" w:ascii="Calibri" w:hAnsi="Calibri" w:eastAsia="宋体" w:cs="Times New Roman"/>
      <w:kern w:val="2"/>
      <w:sz w:val="21"/>
      <w:szCs w:val="24"/>
      <w:lang w:val="en-US" w:eastAsia="zh-CN" w:bidi="ar"/>
    </w:rPr>
  </w:style>
  <w:style w:type="paragraph" w:styleId="15">
    <w:name w:val="footnote text"/>
    <w:basedOn w:val="1"/>
    <w:qFormat/>
    <w:uiPriority w:val="0"/>
    <w:pPr>
      <w:snapToGrid w:val="0"/>
      <w:jc w:val="left"/>
    </w:pPr>
    <w:rPr>
      <w:rFonts w:eastAsia="楷体_GB2312"/>
      <w:sz w:val="18"/>
      <w:szCs w:val="18"/>
    </w:rPr>
  </w:style>
  <w:style w:type="paragraph" w:styleId="16">
    <w:name w:val="toc 2"/>
    <w:basedOn w:val="1"/>
    <w:next w:val="1"/>
    <w:qFormat/>
    <w:uiPriority w:val="0"/>
    <w:pPr>
      <w:ind w:left="420" w:leftChars="200"/>
    </w:pPr>
  </w:style>
  <w:style w:type="paragraph" w:styleId="17">
    <w:name w:val="Normal (Web)"/>
    <w:basedOn w:val="1"/>
    <w:qFormat/>
    <w:uiPriority w:val="0"/>
    <w:pPr>
      <w:widowControl/>
      <w:jc w:val="left"/>
    </w:pPr>
    <w:rPr>
      <w:rFonts w:ascii="宋体" w:hAnsi="宋体" w:cs="宋体"/>
      <w:kern w:val="0"/>
      <w:sz w:val="24"/>
      <w:szCs w:val="24"/>
    </w:rPr>
  </w:style>
  <w:style w:type="paragraph" w:styleId="18">
    <w:name w:val="Body Text First Indent 2"/>
    <w:basedOn w:val="8"/>
    <w:qFormat/>
    <w:uiPriority w:val="0"/>
    <w:pPr>
      <w:spacing w:after="0" w:line="360" w:lineRule="auto"/>
      <w:ind w:firstLine="200" w:firstLineChars="2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paragraph" w:customStyle="1" w:styleId="23">
    <w:name w:val="Style1"/>
    <w:basedOn w:val="1"/>
    <w:qFormat/>
    <w:uiPriority w:val="0"/>
    <w:pPr>
      <w:widowControl/>
      <w:tabs>
        <w:tab w:val="left" w:pos="-720"/>
      </w:tabs>
      <w:spacing w:after="120"/>
    </w:pPr>
    <w:rPr>
      <w:spacing w:val="-3"/>
      <w:kern w:val="0"/>
      <w:sz w:val="24"/>
      <w:lang w:val="en-AU" w:eastAsia="en-US"/>
    </w:rPr>
  </w:style>
  <w:style w:type="paragraph" w:customStyle="1" w:styleId="24">
    <w:name w:val="Default Tex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25">
    <w:name w:val="_Style 3"/>
    <w:basedOn w:val="1"/>
    <w:qFormat/>
    <w:uiPriority w:val="99"/>
    <w:pPr>
      <w:autoSpaceDE w:val="0"/>
      <w:autoSpaceDN w:val="0"/>
      <w:spacing w:line="360" w:lineRule="auto"/>
      <w:ind w:firstLine="420" w:firstLineChars="200"/>
      <w:jc w:val="left"/>
    </w:pPr>
    <w:rPr>
      <w:rFonts w:cs="Times New Roman"/>
      <w:color w:val="auto"/>
      <w:kern w:val="0"/>
      <w:sz w:val="24"/>
      <w:szCs w:val="21"/>
      <w:lang w:val="zh-CN"/>
    </w:rPr>
  </w:style>
  <w:style w:type="character" w:customStyle="1" w:styleId="26">
    <w:name w:val="标题 2 字符"/>
    <w:qFormat/>
    <w:uiPriority w:val="99"/>
    <w:rPr>
      <w:b/>
      <w:kern w:val="2"/>
      <w:sz w:val="24"/>
      <w:szCs w:val="24"/>
    </w:rPr>
  </w:style>
  <w:style w:type="paragraph" w:styleId="27">
    <w:name w:val="List Paragraph"/>
    <w:basedOn w:val="1"/>
    <w:qFormat/>
    <w:uiPriority w:val="0"/>
    <w:pPr>
      <w:ind w:firstLine="420" w:firstLineChars="200"/>
    </w:pPr>
    <w:rPr>
      <w:szCs w:val="24"/>
    </w:rPr>
  </w:style>
  <w:style w:type="character" w:customStyle="1" w:styleId="28">
    <w:name w:val="标题 1 Char"/>
    <w:link w:val="5"/>
    <w:qFormat/>
    <w:uiPriority w:val="0"/>
    <w:rPr>
      <w:rFonts w:ascii="仿宋_GB2312" w:hAnsi="仿宋_GB2312" w:eastAsia="宋体"/>
      <w:b/>
      <w:kern w:val="0"/>
      <w:sz w:val="28"/>
    </w:rPr>
  </w:style>
  <w:style w:type="character" w:customStyle="1" w:styleId="29">
    <w:name w:val="font112"/>
    <w:basedOn w:val="21"/>
    <w:qFormat/>
    <w:uiPriority w:val="0"/>
    <w:rPr>
      <w:rFonts w:ascii="Wingdings 2" w:hAnsi="Wingdings 2" w:eastAsia="Wingdings 2" w:cs="Wingdings 2"/>
      <w:color w:val="000000"/>
      <w:sz w:val="18"/>
      <w:szCs w:val="18"/>
      <w:u w:val="none"/>
    </w:rPr>
  </w:style>
  <w:style w:type="paragraph" w:customStyle="1" w:styleId="30">
    <w:name w:val="缺省文本"/>
    <w:qFormat/>
    <w:uiPriority w:val="0"/>
    <w:pPr>
      <w:widowControl w:val="0"/>
      <w:autoSpaceDE w:val="0"/>
      <w:autoSpaceDN w:val="0"/>
      <w:adjustRightInd w:val="0"/>
    </w:pPr>
    <w:rPr>
      <w:rFonts w:ascii="Calibri" w:hAnsi="Calibri" w:eastAsia="宋体" w:cs="Times New Roman"/>
      <w:color w:val="000000"/>
      <w:szCs w:val="24"/>
      <w:lang w:val="en-US" w:eastAsia="zh-CN" w:bidi="ar-SA"/>
    </w:rPr>
  </w:style>
  <w:style w:type="character" w:customStyle="1" w:styleId="31">
    <w:name w:val="font141"/>
    <w:basedOn w:val="21"/>
    <w:qFormat/>
    <w:uiPriority w:val="0"/>
    <w:rPr>
      <w:rFonts w:ascii="Wingdings" w:hAnsi="Wingdings" w:cs="Wingdings"/>
      <w:color w:val="000000"/>
      <w:sz w:val="18"/>
      <w:szCs w:val="18"/>
      <w:u w:val="none"/>
    </w:rPr>
  </w:style>
  <w:style w:type="character" w:customStyle="1" w:styleId="32">
    <w:name w:val="font151"/>
    <w:basedOn w:val="21"/>
    <w:qFormat/>
    <w:uiPriority w:val="0"/>
    <w:rPr>
      <w:rFonts w:ascii="Calibri" w:hAnsi="Calibri" w:cs="Calibri"/>
      <w:color w:val="000000"/>
      <w:sz w:val="18"/>
      <w:szCs w:val="18"/>
      <w:u w:val="none"/>
    </w:rPr>
  </w:style>
  <w:style w:type="paragraph" w:customStyle="1" w:styleId="33">
    <w:name w:val="Char"/>
    <w:basedOn w:val="1"/>
    <w:qFormat/>
    <w:uiPriority w:val="0"/>
    <w:pPr>
      <w:numPr>
        <w:ilvl w:val="0"/>
        <w:numId w:val="2"/>
      </w:numPr>
      <w:spacing w:line="360" w:lineRule="auto"/>
      <w:ind w:left="0" w:firstLine="0"/>
    </w:pPr>
    <w:rPr>
      <w:rFonts w:ascii="新宋体" w:hAnsi="新宋体" w:eastAsia="新宋体"/>
      <w:b/>
      <w:sz w:val="24"/>
      <w:szCs w:val="24"/>
    </w:rPr>
  </w:style>
  <w:style w:type="paragraph" w:customStyle="1" w:styleId="34">
    <w:name w:val="中文正文、"/>
    <w:basedOn w:val="1"/>
    <w:qFormat/>
    <w:uiPriority w:val="0"/>
    <w:pPr>
      <w:spacing w:line="360" w:lineRule="auto"/>
      <w:ind w:firstLine="420" w:firstLineChars="200"/>
      <w:jc w:val="left"/>
    </w:pPr>
    <w:rPr>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21173</Words>
  <Characters>22635</Characters>
  <Lines>0</Lines>
  <Paragraphs>0</Paragraphs>
  <TotalTime>13</TotalTime>
  <ScaleCrop>false</ScaleCrop>
  <LinksUpToDate>false</LinksUpToDate>
  <CharactersWithSpaces>24131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2021-12-02T07:07:00Z</dcterms:created>
  <dc:creator>Administrator</dc:creator>
  <cp:lastModifiedBy>小饭团</cp:lastModifiedBy>
  <cp:lastPrinted>2021-12-10T03:37:00Z</cp:lastPrinted>
  <dcterms:modified xsi:type="dcterms:W3CDTF">2022-10-27T08:33:04Z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464B8E4B444C4F7387823EA7E23449BE</vt:lpwstr>
  </property>
</Properties>
</file>