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spacing w:line="360" w:lineRule="auto"/>
        <w:jc w:val="center"/>
        <w:rPr>
          <w:rFonts w:hint="eastAsia" w:ascii="宋体" w:hAnsi="宋体" w:cs="宋体"/>
          <w:b/>
          <w:bCs/>
          <w:color w:val="auto"/>
          <w:sz w:val="52"/>
          <w:szCs w:val="52"/>
          <w:highlight w:val="none"/>
        </w:rPr>
      </w:pPr>
    </w:p>
    <w:p>
      <w:pPr>
        <w:pStyle w:val="22"/>
        <w:tabs>
          <w:tab w:val="left" w:pos="7952"/>
        </w:tabs>
        <w:spacing w:line="360" w:lineRule="auto"/>
        <w:jc w:val="center"/>
        <w:rPr>
          <w:rFonts w:hint="eastAsia" w:ascii="宋体" w:hAnsi="宋体" w:eastAsia="宋体" w:cs="宋体"/>
          <w:b/>
          <w:bCs/>
          <w:color w:val="auto"/>
          <w:sz w:val="44"/>
          <w:szCs w:val="44"/>
          <w:highlight w:val="none"/>
          <w:lang w:val="en-US" w:eastAsia="zh-CN"/>
        </w:rPr>
      </w:pPr>
      <w:r>
        <w:rPr>
          <w:rFonts w:hint="eastAsia" w:ascii="宋体" w:hAnsi="宋体" w:cs="宋体"/>
          <w:b/>
          <w:bCs/>
          <w:color w:val="auto"/>
          <w:sz w:val="44"/>
          <w:szCs w:val="44"/>
          <w:highlight w:val="none"/>
          <w:lang w:eastAsia="zh-CN"/>
        </w:rPr>
        <w:t>轮台县农业农村局2021年人居环境整治建设项目（一期）工程结算审查</w:t>
      </w:r>
    </w:p>
    <w:p>
      <w:pPr>
        <w:pStyle w:val="22"/>
        <w:spacing w:line="360" w:lineRule="auto"/>
        <w:jc w:val="center"/>
        <w:rPr>
          <w:rFonts w:hint="eastAsia" w:ascii="宋体" w:hAnsi="宋体" w:cs="宋体"/>
          <w:b/>
          <w:bCs/>
          <w:color w:val="auto"/>
          <w:sz w:val="52"/>
          <w:szCs w:val="52"/>
          <w:highlight w:val="none"/>
        </w:rPr>
      </w:pPr>
      <w:r>
        <w:rPr>
          <w:rFonts w:hint="eastAsia" w:ascii="宋体" w:hAnsi="宋体" w:cs="宋体"/>
          <w:b/>
          <w:bCs/>
          <w:color w:val="auto"/>
          <w:sz w:val="52"/>
          <w:szCs w:val="52"/>
          <w:highlight w:val="none"/>
        </w:rPr>
        <w:t xml:space="preserve"> </w:t>
      </w:r>
    </w:p>
    <w:p>
      <w:pPr>
        <w:pStyle w:val="22"/>
        <w:tabs>
          <w:tab w:val="left" w:pos="7952"/>
        </w:tabs>
        <w:spacing w:line="360" w:lineRule="auto"/>
        <w:rPr>
          <w:rFonts w:hint="eastAsia" w:ascii="宋体" w:hAnsi="宋体" w:cs="宋体"/>
          <w:b/>
          <w:bCs/>
          <w:color w:val="auto"/>
          <w:highlight w:val="none"/>
        </w:rPr>
      </w:pPr>
      <w:r>
        <w:rPr>
          <w:rFonts w:hint="eastAsia" w:ascii="宋体" w:hAnsi="宋体" w:cs="宋体"/>
          <w:b/>
          <w:bCs/>
          <w:color w:val="auto"/>
          <w:highlight w:val="none"/>
        </w:rPr>
        <w:tab/>
      </w:r>
    </w:p>
    <w:p>
      <w:pPr>
        <w:pStyle w:val="22"/>
        <w:tabs>
          <w:tab w:val="left" w:pos="7952"/>
        </w:tabs>
        <w:spacing w:line="360" w:lineRule="auto"/>
        <w:rPr>
          <w:rFonts w:hint="eastAsia" w:ascii="宋体" w:hAnsi="宋体" w:cs="宋体"/>
          <w:b/>
          <w:bCs/>
          <w:color w:val="auto"/>
          <w:highlight w:val="none"/>
        </w:rPr>
      </w:pPr>
    </w:p>
    <w:p>
      <w:pPr>
        <w:pStyle w:val="22"/>
        <w:tabs>
          <w:tab w:val="left" w:pos="7952"/>
        </w:tabs>
        <w:spacing w:line="360" w:lineRule="auto"/>
        <w:rPr>
          <w:rFonts w:hint="eastAsia" w:ascii="宋体" w:hAnsi="宋体" w:cs="宋体"/>
          <w:b/>
          <w:bCs/>
          <w:color w:val="auto"/>
          <w:highlight w:val="none"/>
        </w:rPr>
      </w:pPr>
    </w:p>
    <w:p>
      <w:pPr>
        <w:pStyle w:val="22"/>
        <w:spacing w:line="360" w:lineRule="auto"/>
        <w:jc w:val="center"/>
        <w:rPr>
          <w:rFonts w:hint="eastAsia" w:ascii="宋体" w:hAnsi="宋体" w:cs="宋体"/>
          <w:b/>
          <w:bCs/>
          <w:color w:val="auto"/>
          <w:highlight w:val="none"/>
        </w:rPr>
      </w:pPr>
    </w:p>
    <w:p>
      <w:pPr>
        <w:pStyle w:val="22"/>
        <w:spacing w:line="360" w:lineRule="auto"/>
        <w:jc w:val="center"/>
        <w:rPr>
          <w:rFonts w:hint="eastAsia" w:ascii="宋体" w:hAnsi="宋体" w:cs="宋体"/>
          <w:b/>
          <w:bCs/>
          <w:color w:val="auto"/>
          <w:highlight w:val="none"/>
        </w:rPr>
      </w:pPr>
    </w:p>
    <w:p>
      <w:pPr>
        <w:pStyle w:val="22"/>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竞争性磋商文件</w:t>
      </w:r>
    </w:p>
    <w:p>
      <w:pPr>
        <w:pStyle w:val="22"/>
        <w:spacing w:line="360" w:lineRule="auto"/>
        <w:jc w:val="center"/>
        <w:rPr>
          <w:rFonts w:hint="eastAsia" w:ascii="宋体" w:hAnsi="宋体" w:cs="宋体"/>
          <w:b/>
          <w:bCs/>
          <w:color w:val="auto"/>
          <w:sz w:val="36"/>
          <w:szCs w:val="36"/>
          <w:highlight w:val="none"/>
        </w:rPr>
      </w:pPr>
    </w:p>
    <w:p>
      <w:pPr>
        <w:pStyle w:val="22"/>
        <w:spacing w:line="360" w:lineRule="auto"/>
        <w:jc w:val="center"/>
        <w:rPr>
          <w:rFonts w:hint="eastAsia" w:ascii="宋体" w:hAnsi="宋体" w:cs="宋体"/>
          <w:b/>
          <w:bCs/>
          <w:color w:val="auto"/>
          <w:sz w:val="32"/>
          <w:szCs w:val="32"/>
          <w:highlight w:val="none"/>
        </w:rPr>
      </w:pPr>
    </w:p>
    <w:p>
      <w:pPr>
        <w:pStyle w:val="22"/>
        <w:spacing w:line="360" w:lineRule="auto"/>
        <w:jc w:val="both"/>
        <w:rPr>
          <w:rFonts w:hint="eastAsia" w:ascii="宋体" w:hAnsi="宋体" w:cs="宋体"/>
          <w:b/>
          <w:bCs/>
          <w:color w:val="auto"/>
          <w:sz w:val="32"/>
          <w:szCs w:val="32"/>
          <w:highlight w:val="none"/>
        </w:rPr>
      </w:pPr>
    </w:p>
    <w:p>
      <w:pPr>
        <w:pStyle w:val="22"/>
        <w:spacing w:line="360" w:lineRule="auto"/>
        <w:jc w:val="center"/>
        <w:rPr>
          <w:rFonts w:hint="eastAsia" w:ascii="宋体" w:hAnsi="宋体" w:cs="宋体"/>
          <w:b/>
          <w:bCs/>
          <w:color w:val="auto"/>
          <w:sz w:val="32"/>
          <w:szCs w:val="32"/>
          <w:highlight w:val="none"/>
        </w:rPr>
      </w:pPr>
    </w:p>
    <w:p>
      <w:pPr>
        <w:pStyle w:val="8"/>
        <w:spacing w:line="360" w:lineRule="auto"/>
        <w:ind w:firstLine="643" w:firstLineChars="200"/>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采购人：轮台县农业农村局</w:t>
      </w:r>
    </w:p>
    <w:p>
      <w:pPr>
        <w:pStyle w:val="8"/>
        <w:spacing w:line="360" w:lineRule="auto"/>
        <w:ind w:firstLine="643" w:firstLineChars="200"/>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rPr>
        <w:t>采购编号：</w:t>
      </w:r>
      <w:r>
        <w:rPr>
          <w:rFonts w:hint="eastAsia" w:ascii="宋体" w:hAnsi="宋体" w:cs="宋体"/>
          <w:b/>
          <w:color w:val="auto"/>
          <w:sz w:val="32"/>
          <w:szCs w:val="32"/>
          <w:highlight w:val="none"/>
          <w:lang w:val="en-US" w:eastAsia="zh-CN"/>
        </w:rPr>
        <w:t>XJAHZFCG-2022-012</w:t>
      </w:r>
    </w:p>
    <w:p>
      <w:pPr>
        <w:pStyle w:val="8"/>
        <w:spacing w:line="360" w:lineRule="auto"/>
        <w:ind w:firstLine="643" w:firstLineChars="200"/>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采购代理机构：新疆安航工程项目管理有限公司</w:t>
      </w:r>
    </w:p>
    <w:p>
      <w:pPr>
        <w:pStyle w:val="8"/>
        <w:spacing w:line="360" w:lineRule="auto"/>
        <w:ind w:firstLine="643" w:firstLineChars="200"/>
        <w:rPr>
          <w:rFonts w:hint="eastAsia" w:ascii="宋体" w:hAnsi="宋体" w:cs="宋体"/>
          <w:b/>
          <w:color w:val="auto"/>
          <w:sz w:val="32"/>
          <w:szCs w:val="32"/>
          <w:highlight w:val="none"/>
        </w:rPr>
      </w:pPr>
    </w:p>
    <w:p>
      <w:pPr>
        <w:spacing w:line="520" w:lineRule="exact"/>
        <w:jc w:val="center"/>
        <w:rPr>
          <w:rFonts w:hint="eastAsia" w:ascii="宋体" w:hAnsi="宋体" w:cs="宋体"/>
          <w:b/>
          <w:color w:val="auto"/>
          <w:sz w:val="32"/>
          <w:szCs w:val="32"/>
          <w:highlight w:val="none"/>
        </w:rPr>
      </w:pPr>
    </w:p>
    <w:p>
      <w:pPr>
        <w:spacing w:line="5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日期： 二○二二年</w:t>
      </w:r>
      <w:r>
        <w:rPr>
          <w:rFonts w:hint="eastAsia" w:ascii="宋体" w:hAnsi="宋体" w:cs="宋体"/>
          <w:b/>
          <w:color w:val="auto"/>
          <w:sz w:val="32"/>
          <w:szCs w:val="32"/>
          <w:highlight w:val="none"/>
          <w:lang w:val="en-US" w:eastAsia="zh-CN"/>
        </w:rPr>
        <w:t>十</w:t>
      </w:r>
      <w:r>
        <w:rPr>
          <w:rFonts w:hint="eastAsia" w:ascii="宋体" w:hAnsi="宋体" w:cs="宋体"/>
          <w:b/>
          <w:color w:val="auto"/>
          <w:sz w:val="32"/>
          <w:szCs w:val="32"/>
          <w:highlight w:val="none"/>
        </w:rPr>
        <w:t>月</w:t>
      </w:r>
    </w:p>
    <w:p>
      <w:pPr>
        <w:spacing w:line="520" w:lineRule="exact"/>
        <w:jc w:val="center"/>
        <w:rPr>
          <w:rFonts w:hint="eastAsia" w:ascii="宋体" w:hAnsi="宋体" w:cs="宋体"/>
          <w:b/>
          <w:color w:val="auto"/>
          <w:sz w:val="32"/>
          <w:szCs w:val="32"/>
          <w:highlight w:val="none"/>
        </w:rPr>
      </w:pPr>
    </w:p>
    <w:p>
      <w:pPr>
        <w:pStyle w:val="2"/>
        <w:rPr>
          <w:rFonts w:hint="eastAsia" w:ascii="宋体" w:hAnsi="宋体" w:cs="宋体"/>
          <w:b/>
          <w:color w:val="auto"/>
          <w:sz w:val="32"/>
          <w:szCs w:val="32"/>
          <w:highlight w:val="none"/>
        </w:rPr>
      </w:pPr>
    </w:p>
    <w:p>
      <w:pPr>
        <w:rPr>
          <w:rFonts w:hint="eastAsia"/>
        </w:rPr>
      </w:pPr>
    </w:p>
    <w:p>
      <w:pPr>
        <w:spacing w:line="520" w:lineRule="exact"/>
        <w:jc w:val="center"/>
        <w:rPr>
          <w:rFonts w:hint="eastAsia" w:ascii="宋体" w:hAnsi="宋体" w:cs="宋体"/>
          <w:b/>
          <w:bCs/>
          <w:color w:val="auto"/>
          <w:kern w:val="0"/>
          <w:sz w:val="44"/>
          <w:szCs w:val="44"/>
          <w:highlight w:val="none"/>
        </w:rPr>
      </w:pPr>
      <w:r>
        <w:rPr>
          <w:rFonts w:hint="eastAsia" w:ascii="宋体" w:hAnsi="宋体" w:cs="宋体"/>
          <w:b/>
          <w:bCs/>
          <w:color w:val="auto"/>
          <w:kern w:val="0"/>
          <w:sz w:val="44"/>
          <w:szCs w:val="44"/>
          <w:highlight w:val="none"/>
        </w:rPr>
        <w:t>目 录</w:t>
      </w:r>
    </w:p>
    <w:p>
      <w:pPr>
        <w:pStyle w:val="13"/>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TOC \o "1-2" \h \u </w:instrText>
      </w:r>
      <w:r>
        <w:rPr>
          <w:rFonts w:hint="eastAsia" w:ascii="宋体" w:hAnsi="宋体" w:cs="宋体"/>
          <w:b/>
          <w:bCs/>
          <w:color w:val="auto"/>
          <w:sz w:val="28"/>
          <w:szCs w:val="28"/>
          <w:highlight w:val="none"/>
        </w:rPr>
        <w:fldChar w:fldCharType="separate"/>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_Toc30457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28"/>
          <w:highlight w:val="none"/>
        </w:rPr>
        <w:t xml:space="preserve">第一章 </w:t>
      </w:r>
      <w:r>
        <w:rPr>
          <w:rStyle w:val="21"/>
          <w:rFonts w:hint="default" w:ascii="宋体" w:hAnsi="宋体" w:eastAsia="宋体" w:cs="宋体"/>
          <w:b/>
          <w:bCs/>
          <w:color w:val="auto"/>
          <w:sz w:val="28"/>
          <w:szCs w:val="28"/>
          <w:highlight w:val="none"/>
        </w:rPr>
        <w:t>竞争性磋商公告</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_Toc30457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1</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3"/>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_Toc17188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4"/>
          <w:highlight w:val="none"/>
        </w:rPr>
        <w:t>第二章 供应商须知</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_Toc17188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1</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3"/>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_Toc20444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4"/>
          <w:highlight w:val="none"/>
        </w:rPr>
        <w:t>第三章 服务标准及要求</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_Toc20444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27</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3"/>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_Toc19116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4"/>
          <w:highlight w:val="none"/>
        </w:rPr>
        <w:t>第四章 合同范本</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_Toc19116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28</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3"/>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_Toc32575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4"/>
          <w:highlight w:val="none"/>
        </w:rPr>
        <w:t>第五章 主要响应文件的格式及其内容</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_Toc32575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29</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3"/>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_Toc6629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28"/>
          <w:highlight w:val="none"/>
        </w:rPr>
        <w:t>附件1</w:t>
      </w:r>
      <w:r>
        <w:rPr>
          <w:rFonts w:hint="eastAsia" w:ascii="宋体" w:hAnsi="宋体" w:cs="宋体"/>
          <w:b/>
          <w:color w:val="auto"/>
          <w:sz w:val="28"/>
          <w:szCs w:val="40"/>
          <w:highlight w:val="none"/>
        </w:rPr>
        <w:t>:</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_Toc18361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28"/>
          <w:highlight w:val="none"/>
        </w:rPr>
        <w:t>投 标 函</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_Toc18361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51</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3"/>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_Toc18057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28"/>
          <w:highlight w:val="none"/>
        </w:rPr>
        <w:t>附件2</w:t>
      </w:r>
      <w:r>
        <w:rPr>
          <w:rFonts w:hint="eastAsia" w:ascii="宋体" w:hAnsi="宋体" w:cs="宋体"/>
          <w:b/>
          <w:color w:val="auto"/>
          <w:sz w:val="28"/>
          <w:szCs w:val="40"/>
          <w:highlight w:val="none"/>
        </w:rPr>
        <w:t>:</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_Toc8165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28"/>
          <w:highlight w:val="none"/>
        </w:rPr>
        <w:t>法定代表人资格证明</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_Toc8165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52</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8"/>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_Toc1629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授权委托书</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_Toc1629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53</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8"/>
        <w:tabs>
          <w:tab w:val="right" w:leader="dot" w:pos="9072"/>
        </w:tabs>
        <w:spacing w:line="500" w:lineRule="exact"/>
        <w:outlineLvl w:val="0"/>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_Toc24450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附件3:</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_Toc16855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报价一览表</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_Toc1629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53</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8"/>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_Toc10628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附件4:</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_Toc13575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供应商概况表</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_Toc13575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55</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8"/>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_Toc24396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附件5:</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_Toc21508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无重大违法记录的书面声明</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_Toc21508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56</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8"/>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_Toc19830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附件6:</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_Toc958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企业202</w:t>
      </w:r>
      <w:r>
        <w:rPr>
          <w:rFonts w:hint="eastAsia" w:ascii="宋体" w:hAnsi="宋体" w:cs="宋体"/>
          <w:b/>
          <w:color w:val="auto"/>
          <w:sz w:val="28"/>
          <w:szCs w:val="40"/>
          <w:highlight w:val="none"/>
          <w:lang w:val="en-US" w:eastAsia="zh-CN"/>
        </w:rPr>
        <w:t>1</w:t>
      </w:r>
      <w:r>
        <w:rPr>
          <w:rFonts w:hint="eastAsia" w:ascii="宋体" w:hAnsi="宋体" w:cs="宋体"/>
          <w:b/>
          <w:color w:val="auto"/>
          <w:sz w:val="28"/>
          <w:szCs w:val="40"/>
          <w:highlight w:val="none"/>
        </w:rPr>
        <w:t>年财务审计报告</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_Toc958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57</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8"/>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_Toc15551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附件7:</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_Toc29474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“重法纪、讲诚信”承诺书</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_Toc29474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58</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8"/>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_Toc3317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附件8:</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_Toc9462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反商业贿赂承诺书</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_Toc9462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60</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8"/>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_Toc5939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附件9:</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_Toc4526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商务条款偏离表</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_Toc4526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61</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8"/>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_Toc28375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附件10:</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_Toc28929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技术规格偏离表</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_Toc28929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62</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8"/>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_Toc24389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附件11:</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_Toc12578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近三年同类项目业绩表................................7</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t>5</w:t>
      </w:r>
    </w:p>
    <w:p>
      <w:pPr>
        <w:pStyle w:val="18"/>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_Toc13500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附件12:</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_Toc4298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拟派项目负责人简历表</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_Toc4298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64</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8"/>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_Toc4287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附件13:</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_Toc14959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拟派本项目技术人员配置情况表</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_Toc14959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65</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8"/>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_Toc13542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附件14:</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_Toc19593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技术支持及服务承诺书</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_Toc19593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66</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8"/>
        <w:tabs>
          <w:tab w:val="right" w:leader="dot" w:pos="9072"/>
        </w:tabs>
        <w:spacing w:line="500" w:lineRule="exact"/>
        <w:rPr>
          <w:rFonts w:hint="eastAsia" w:ascii="宋体" w:hAnsi="宋体" w:cs="宋体"/>
          <w:b/>
          <w:color w:val="auto"/>
          <w:sz w:val="28"/>
          <w:szCs w:val="40"/>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_Toc12421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附件15:</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_Toc19155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服务方案</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_Toc1629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53</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8"/>
        <w:tabs>
          <w:tab w:val="right" w:leader="dot" w:pos="9072"/>
        </w:tabs>
        <w:spacing w:line="500" w:lineRule="exact"/>
        <w:rPr>
          <w:rFonts w:hint="eastAsia" w:ascii="宋体" w:hAnsi="宋体" w:cs="宋体"/>
          <w:b/>
          <w:color w:val="auto"/>
          <w:sz w:val="28"/>
          <w:szCs w:val="40"/>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_Toc5206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附件16:不参与围标串标承诺书</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_Toc1629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53</w:t>
      </w:r>
      <w:r>
        <w:rPr>
          <w:rFonts w:hint="eastAsia" w:ascii="宋体" w:hAnsi="宋体" w:cs="宋体"/>
          <w:b/>
          <w:color w:val="auto"/>
          <w:sz w:val="28"/>
          <w:szCs w:val="24"/>
          <w:highlight w:val="none"/>
        </w:rPr>
        <w:fldChar w:fldCharType="end"/>
      </w:r>
    </w:p>
    <w:p>
      <w:pPr>
        <w:pStyle w:val="18"/>
        <w:tabs>
          <w:tab w:val="right" w:leader="dot" w:pos="9072"/>
        </w:tabs>
        <w:spacing w:line="500" w:lineRule="exact"/>
        <w:rPr>
          <w:rFonts w:hint="eastAsia" w:ascii="宋体" w:hAnsi="宋体" w:cs="宋体"/>
          <w:color w:val="auto"/>
          <w:highlight w:val="none"/>
        </w:rPr>
      </w:pPr>
      <w:r>
        <w:rPr>
          <w:rFonts w:hint="eastAsia" w:ascii="宋体" w:hAnsi="宋体" w:cs="宋体"/>
          <w:b/>
          <w:color w:val="auto"/>
          <w:sz w:val="28"/>
          <w:szCs w:val="28"/>
          <w:highlight w:val="none"/>
        </w:rPr>
        <w:t>附件17要求提供的其它材料以及供应商认为需要提交的材料</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_Toc1629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53</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spacing w:line="360" w:lineRule="auto"/>
        <w:jc w:val="center"/>
        <w:rPr>
          <w:rFonts w:hint="eastAsia" w:ascii="宋体" w:hAnsi="宋体" w:cs="宋体"/>
          <w:bCs/>
          <w:color w:val="auto"/>
          <w:szCs w:val="28"/>
          <w:highlight w:val="none"/>
        </w:rPr>
      </w:pPr>
      <w:r>
        <w:rPr>
          <w:rFonts w:hint="eastAsia" w:ascii="宋体" w:hAnsi="宋体" w:cs="宋体"/>
          <w:bCs/>
          <w:color w:val="auto"/>
          <w:szCs w:val="28"/>
          <w:highlight w:val="none"/>
        </w:rPr>
        <w:fldChar w:fldCharType="end"/>
      </w:r>
      <w:r>
        <w:rPr>
          <w:rFonts w:hint="eastAsia" w:ascii="宋体" w:hAnsi="宋体" w:cs="宋体"/>
          <w:b/>
          <w:color w:val="auto"/>
          <w:sz w:val="32"/>
          <w:szCs w:val="32"/>
          <w:highlight w:val="none"/>
        </w:rPr>
        <w:br w:type="page"/>
      </w:r>
      <w:bookmarkStart w:id="0" w:name="_Toc26663"/>
      <w:bookmarkStart w:id="1" w:name="_Toc8757"/>
      <w:bookmarkStart w:id="2" w:name="_Toc7471"/>
      <w:bookmarkStart w:id="3" w:name="_Toc8184"/>
      <w:bookmarkStart w:id="4" w:name="_Toc24631"/>
    </w:p>
    <w:p>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44"/>
          <w:szCs w:val="44"/>
          <w:highlight w:val="none"/>
        </w:rPr>
        <w:t>特 别 提 示</w:t>
      </w:r>
    </w:p>
    <w:p>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各供应商：</w:t>
      </w:r>
    </w:p>
    <w:p>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    在参与本次采购项目投标时，请按竞争性磋商文件中规定的可能导致无效投标、废标、黑体字要求的内容逐条响应,若不响应将导致投标失败。</w:t>
      </w:r>
    </w:p>
    <w:bookmarkEnd w:id="0"/>
    <w:bookmarkEnd w:id="1"/>
    <w:bookmarkEnd w:id="2"/>
    <w:bookmarkEnd w:id="3"/>
    <w:bookmarkEnd w:id="4"/>
    <w:p>
      <w:pPr>
        <w:rPr>
          <w:rFonts w:hint="eastAsia" w:ascii="宋体" w:hAnsi="宋体" w:cs="宋体"/>
          <w:b/>
          <w:bCs/>
          <w:color w:val="auto"/>
          <w:sz w:val="32"/>
          <w:szCs w:val="21"/>
          <w:highlight w:val="none"/>
        </w:rPr>
        <w:sectPr>
          <w:headerReference r:id="rId4" w:type="first"/>
          <w:footerReference r:id="rId6" w:type="first"/>
          <w:headerReference r:id="rId3" w:type="default"/>
          <w:footerReference r:id="rId5" w:type="default"/>
          <w:pgSz w:w="11906" w:h="16838"/>
          <w:pgMar w:top="1418" w:right="1417" w:bottom="1418" w:left="1417" w:header="851" w:footer="992" w:gutter="0"/>
          <w:pgNumType w:start="1"/>
          <w:cols w:space="720" w:num="1"/>
          <w:docGrid w:type="lines" w:linePitch="312" w:charSpace="0"/>
        </w:sectPr>
      </w:pPr>
      <w:bookmarkStart w:id="5" w:name="_Toc3329"/>
      <w:bookmarkStart w:id="6" w:name="_Toc10095"/>
      <w:bookmarkStart w:id="7" w:name="_Toc16329"/>
      <w:bookmarkStart w:id="8" w:name="_Toc22470"/>
      <w:bookmarkStart w:id="9" w:name="_Toc30457"/>
    </w:p>
    <w:p>
      <w:pPr>
        <w:jc w:val="center"/>
        <w:rPr>
          <w:rFonts w:ascii="宋体" w:hAnsi="宋体" w:cs="宋体"/>
          <w:b/>
          <w:bCs/>
          <w:color w:val="auto"/>
          <w:sz w:val="32"/>
          <w:szCs w:val="21"/>
          <w:highlight w:val="none"/>
        </w:rPr>
      </w:pPr>
      <w:r>
        <w:rPr>
          <w:rFonts w:hint="eastAsia" w:ascii="宋体" w:hAnsi="宋体" w:cs="宋体"/>
          <w:b/>
          <w:bCs/>
          <w:color w:val="auto"/>
          <w:sz w:val="36"/>
          <w:szCs w:val="22"/>
          <w:highlight w:val="none"/>
        </w:rPr>
        <w:t xml:space="preserve">第一章 </w:t>
      </w:r>
      <w:bookmarkEnd w:id="5"/>
      <w:bookmarkEnd w:id="6"/>
      <w:bookmarkEnd w:id="7"/>
      <w:bookmarkEnd w:id="8"/>
      <w:bookmarkEnd w:id="9"/>
      <w:r>
        <w:rPr>
          <w:rFonts w:hint="eastAsia" w:ascii="宋体" w:hAnsi="宋体" w:cs="宋体"/>
          <w:b/>
          <w:bCs/>
          <w:color w:val="auto"/>
          <w:sz w:val="36"/>
          <w:szCs w:val="22"/>
          <w:highlight w:val="none"/>
        </w:rPr>
        <w:t>竞争性磋商公告</w:t>
      </w:r>
      <w:bookmarkStart w:id="10" w:name="_Toc21191"/>
      <w:bookmarkStart w:id="11" w:name="_Toc31575"/>
      <w:bookmarkStart w:id="12" w:name="_Toc3183"/>
      <w:bookmarkStart w:id="13" w:name="_Toc28183"/>
      <w:bookmarkStart w:id="14" w:name="_Toc17188"/>
    </w:p>
    <w:p>
      <w:pPr>
        <w:pStyle w:val="7"/>
        <w:widowControl w:val="0"/>
        <w:spacing w:line="360" w:lineRule="auto"/>
        <w:ind w:firstLine="484" w:firstLineChars="200"/>
        <w:rPr>
          <w:color w:val="auto"/>
          <w:sz w:val="24"/>
          <w:szCs w:val="24"/>
          <w:highlight w:val="none"/>
        </w:rPr>
      </w:pPr>
      <w:r>
        <w:rPr>
          <w:rFonts w:hint="eastAsia"/>
          <w:color w:val="auto"/>
          <w:sz w:val="24"/>
          <w:szCs w:val="24"/>
          <w:highlight w:val="none"/>
        </w:rPr>
        <w:t>受轮台县农业农村局的委托，新疆安航工程项目管理有限公司现对轮台县农业农村局2021年人居环境整治建设项目（一期）工程结算审查以竞争性磋商的方式组织采购，欢迎符合条件的供应商参加投标。</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一、项目基本情况</w:t>
      </w:r>
    </w:p>
    <w:p>
      <w:pPr>
        <w:pStyle w:val="7"/>
        <w:widowControl w:val="0"/>
        <w:spacing w:line="360" w:lineRule="auto"/>
        <w:ind w:left="1773" w:leftChars="266" w:hanging="1210" w:hangingChars="500"/>
        <w:rPr>
          <w:rFonts w:hint="eastAsia"/>
          <w:color w:val="auto"/>
          <w:sz w:val="24"/>
          <w:szCs w:val="24"/>
          <w:highlight w:val="none"/>
        </w:rPr>
      </w:pPr>
      <w:r>
        <w:rPr>
          <w:rFonts w:hint="eastAsia"/>
          <w:color w:val="auto"/>
          <w:sz w:val="24"/>
          <w:szCs w:val="24"/>
          <w:highlight w:val="none"/>
        </w:rPr>
        <w:t>项目名称：</w:t>
      </w:r>
      <w:r>
        <w:rPr>
          <w:rFonts w:hint="eastAsia"/>
          <w:color w:val="auto"/>
          <w:sz w:val="24"/>
          <w:szCs w:val="24"/>
          <w:highlight w:val="none"/>
          <w:lang w:eastAsia="zh-CN"/>
        </w:rPr>
        <w:t>轮台县农业农村局2021年人居环境整治建设项目（一期）工程结算审查</w:t>
      </w:r>
    </w:p>
    <w:p>
      <w:pPr>
        <w:pStyle w:val="7"/>
        <w:widowControl w:val="0"/>
        <w:spacing w:line="360" w:lineRule="auto"/>
        <w:ind w:firstLine="484" w:firstLineChars="200"/>
        <w:rPr>
          <w:rFonts w:hint="eastAsia"/>
          <w:color w:val="auto"/>
          <w:sz w:val="24"/>
          <w:szCs w:val="24"/>
          <w:highlight w:val="none"/>
        </w:rPr>
      </w:pPr>
      <w:r>
        <w:rPr>
          <w:rFonts w:hint="eastAsia"/>
          <w:color w:val="auto"/>
          <w:sz w:val="24"/>
          <w:szCs w:val="24"/>
          <w:highlight w:val="none"/>
        </w:rPr>
        <w:t>建设地址：轮台县</w:t>
      </w:r>
    </w:p>
    <w:p>
      <w:pPr>
        <w:pStyle w:val="7"/>
        <w:widowControl w:val="0"/>
        <w:spacing w:line="360" w:lineRule="auto"/>
        <w:ind w:firstLine="484" w:firstLineChars="200"/>
        <w:rPr>
          <w:color w:val="auto"/>
          <w:sz w:val="24"/>
          <w:szCs w:val="24"/>
          <w:highlight w:val="none"/>
        </w:rPr>
      </w:pPr>
      <w:r>
        <w:rPr>
          <w:rFonts w:hint="eastAsia"/>
          <w:color w:val="auto"/>
          <w:sz w:val="24"/>
          <w:szCs w:val="24"/>
          <w:highlight w:val="none"/>
        </w:rPr>
        <w:t>预算金额：</w:t>
      </w:r>
      <w:r>
        <w:rPr>
          <w:rFonts w:hint="eastAsia"/>
          <w:color w:val="auto"/>
          <w:sz w:val="24"/>
          <w:szCs w:val="24"/>
          <w:highlight w:val="none"/>
          <w:lang w:val="en-US" w:eastAsia="zh-CN"/>
        </w:rPr>
        <w:t>76</w:t>
      </w:r>
      <w:r>
        <w:rPr>
          <w:rFonts w:hint="eastAsia"/>
          <w:color w:val="auto"/>
          <w:sz w:val="24"/>
          <w:szCs w:val="24"/>
          <w:highlight w:val="none"/>
        </w:rPr>
        <w:t>万元</w:t>
      </w:r>
    </w:p>
    <w:p>
      <w:pPr>
        <w:pStyle w:val="7"/>
        <w:widowControl w:val="0"/>
        <w:spacing w:line="360" w:lineRule="auto"/>
        <w:ind w:left="1773" w:leftChars="266" w:hanging="1210" w:hangingChars="500"/>
        <w:rPr>
          <w:rFonts w:hint="eastAsia" w:eastAsia="宋体"/>
          <w:color w:val="auto"/>
          <w:sz w:val="24"/>
          <w:szCs w:val="24"/>
          <w:highlight w:val="none"/>
          <w:lang w:eastAsia="zh-CN"/>
        </w:rPr>
      </w:pPr>
      <w:r>
        <w:rPr>
          <w:rFonts w:hint="eastAsia"/>
          <w:color w:val="auto"/>
          <w:sz w:val="24"/>
          <w:szCs w:val="24"/>
          <w:highlight w:val="none"/>
        </w:rPr>
        <w:t>服务内容：依据发承包合同，进行工程量价调整，确定工程结算金额。</w:t>
      </w:r>
    </w:p>
    <w:p>
      <w:pPr>
        <w:spacing w:line="360" w:lineRule="auto"/>
        <w:ind w:firstLine="484" w:firstLineChars="200"/>
        <w:rPr>
          <w:color w:val="auto"/>
          <w:sz w:val="24"/>
          <w:szCs w:val="24"/>
          <w:highlight w:val="none"/>
        </w:rPr>
      </w:pPr>
      <w:r>
        <w:rPr>
          <w:rFonts w:hint="eastAsia"/>
          <w:color w:val="auto"/>
          <w:sz w:val="24"/>
          <w:szCs w:val="24"/>
          <w:highlight w:val="none"/>
        </w:rPr>
        <w:t>服务周期：</w:t>
      </w:r>
      <w:r>
        <w:rPr>
          <w:rFonts w:hint="eastAsia" w:ascii="宋体" w:hAnsi="宋体" w:cs="宋体"/>
          <w:color w:val="auto"/>
          <w:sz w:val="24"/>
          <w:szCs w:val="24"/>
          <w:highlight w:val="none"/>
        </w:rPr>
        <w:t>自签订合同之日开始实施，</w:t>
      </w:r>
      <w:r>
        <w:rPr>
          <w:rFonts w:hint="eastAsia" w:ascii="宋体" w:hAnsi="宋体" w:cs="宋体"/>
          <w:color w:val="auto"/>
          <w:sz w:val="24"/>
          <w:szCs w:val="24"/>
          <w:highlight w:val="none"/>
          <w:lang w:val="en-US" w:eastAsia="zh-CN"/>
        </w:rPr>
        <w:t>120个工作日内</w:t>
      </w:r>
      <w:r>
        <w:rPr>
          <w:rFonts w:hint="eastAsia" w:ascii="宋体" w:hAnsi="宋体" w:cs="宋体"/>
          <w:color w:val="auto"/>
          <w:sz w:val="24"/>
          <w:szCs w:val="24"/>
          <w:highlight w:val="none"/>
        </w:rPr>
        <w:t>。</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二、申请人的资格要求：</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z w:val="24"/>
          <w:szCs w:val="24"/>
          <w:highlight w:val="none"/>
        </w:rPr>
        <w:t>（1）符合《中华人民共和国政府采购法》第二十二条的相关规定；</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z w:val="24"/>
          <w:szCs w:val="24"/>
          <w:highlight w:val="none"/>
        </w:rPr>
        <w:t>（2）有效的营业执照；三年内无违法违规等不良记录；具有良好的社会和商业信誉及履约能力；</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（3）具有履行合同所必须的设备和专业技术能力；</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z w:val="24"/>
          <w:szCs w:val="24"/>
          <w:highlight w:val="none"/>
        </w:rPr>
        <w:t>（4）供应商须具有良好的信誉，未被 “信用中国”、 “中国政府采购网”列入失信被执行人、重大税收违法案件当事人名单、政府采购严重违法失信行为记录名单（时间设置为投标截止日前20天内）；</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z w:val="24"/>
          <w:szCs w:val="24"/>
          <w:highlight w:val="none"/>
        </w:rPr>
        <w:t>（5）单位负责人为同一人或者存在直接控股、管理关系的不同供应商，不得参加同一合同项下的政府采购活动； </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z w:val="24"/>
          <w:szCs w:val="24"/>
          <w:highlight w:val="none"/>
        </w:rPr>
        <w:t>（6）符合国家有关法律法规的规定；</w:t>
      </w:r>
    </w:p>
    <w:p>
      <w:pPr>
        <w:spacing w:line="360" w:lineRule="auto"/>
        <w:ind w:firstLine="484" w:firstLineChars="200"/>
        <w:rPr>
          <w:color w:val="auto"/>
          <w:sz w:val="24"/>
          <w:szCs w:val="24"/>
          <w:highlight w:val="none"/>
        </w:rPr>
      </w:pPr>
      <w:r>
        <w:rPr>
          <w:rFonts w:hint="eastAsia" w:ascii="宋体" w:hAnsi="宋体" w:cs="宋体"/>
          <w:color w:val="auto"/>
          <w:sz w:val="24"/>
          <w:szCs w:val="24"/>
          <w:highlight w:val="none"/>
        </w:rPr>
        <w:t>（7）为充分保证完善的售后服务，本项目不接受联合体投标。</w:t>
      </w:r>
    </w:p>
    <w:p>
      <w:pPr>
        <w:spacing w:line="360" w:lineRule="auto"/>
        <w:ind w:firstLine="242" w:firstLineChars="100"/>
        <w:rPr>
          <w:rFonts w:ascii="宋体" w:hAnsi="宋体" w:cs="宋体"/>
          <w:color w:val="auto"/>
          <w:sz w:val="24"/>
          <w:szCs w:val="24"/>
          <w:highlight w:val="none"/>
        </w:rPr>
      </w:pPr>
      <w:r>
        <w:rPr>
          <w:rFonts w:hint="eastAsia" w:ascii="宋体" w:hAnsi="宋体" w:cs="宋体"/>
          <w:color w:val="auto"/>
          <w:sz w:val="24"/>
          <w:szCs w:val="24"/>
          <w:highlight w:val="none"/>
        </w:rPr>
        <w:t>三、获取竞争性磋商文件</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获取采购文件方式：供应商登陆政采云平台在线申请获取采购文件（进入“项目采购”应用，在获取采购文件菜单中选择项目，申请获取采购文件）。</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同时将以下资质证明材料上传至新疆政府采购网上报名：</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1、营业执照副本扫描件；</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2、法人授权委托书原件或具有同等法律效力的证明材料及被授权人《居民身份证》。</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3、通过“信用中国”、“中国政府采购网”渠道查询的加盖公章的主体信用记录网页截图。</w:t>
      </w:r>
    </w:p>
    <w:p>
      <w:pPr>
        <w:spacing w:line="360" w:lineRule="auto"/>
        <w:ind w:firstLine="484" w:firstLineChars="200"/>
        <w:rPr>
          <w:rFonts w:hint="eastAsia"/>
          <w:color w:val="auto"/>
          <w:sz w:val="24"/>
          <w:szCs w:val="24"/>
          <w:highlight w:val="none"/>
        </w:rPr>
      </w:pPr>
      <w:r>
        <w:rPr>
          <w:rFonts w:hint="eastAsia" w:ascii="宋体" w:hAnsi="宋体" w:cs="宋体"/>
          <w:color w:val="auto"/>
          <w:sz w:val="24"/>
          <w:szCs w:val="24"/>
          <w:highlight w:val="none"/>
        </w:rPr>
        <w:t>投标保证金缴纳及确认时间：凡拟参加本次招标项目的供应商，必须在2022年</w:t>
      </w:r>
      <w:r>
        <w:rPr>
          <w:rFonts w:hint="eastAsia" w:ascii="宋体" w:hAnsi="宋体" w:cs="宋体"/>
          <w:color w:val="auto"/>
          <w:sz w:val="24"/>
          <w:szCs w:val="24"/>
          <w:highlight w:val="none"/>
          <w:lang w:val="en-US" w:eastAsia="zh-CN"/>
        </w:rPr>
        <w:t>10月19日16:00</w:t>
      </w:r>
      <w:r>
        <w:rPr>
          <w:rFonts w:hint="eastAsia" w:ascii="宋体" w:hAnsi="宋体" w:cs="宋体"/>
          <w:color w:val="auto"/>
          <w:sz w:val="24"/>
          <w:szCs w:val="24"/>
          <w:highlight w:val="none"/>
        </w:rPr>
        <w:t>时（北京时间）前将投标保证金汇入指定账户。投标保证金汇款凭证上用途栏应注明本项目招标项目名称[标准格式：轮台县农业农村局2021年人居环境整治建设项目（一期）工程结算审查或采购编号：</w:t>
      </w:r>
      <w:r>
        <w:rPr>
          <w:rFonts w:hint="eastAsia" w:ascii="宋体" w:hAnsi="宋体" w:cs="宋体"/>
          <w:color w:val="auto"/>
          <w:sz w:val="24"/>
          <w:szCs w:val="24"/>
          <w:highlight w:val="none"/>
          <w:lang w:val="en-US" w:eastAsia="zh-CN"/>
        </w:rPr>
        <w:t>XJAHZFCG-2022-012</w:t>
      </w:r>
      <w:r>
        <w:rPr>
          <w:rFonts w:hint="eastAsia" w:ascii="宋体" w:hAnsi="宋体" w:cs="宋体"/>
          <w:color w:val="auto"/>
          <w:sz w:val="24"/>
          <w:szCs w:val="24"/>
          <w:highlight w:val="none"/>
        </w:rPr>
        <w:t>。否则，届时其投标将被拒绝。</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z w:val="24"/>
          <w:szCs w:val="24"/>
          <w:highlight w:val="none"/>
        </w:rPr>
        <w:t>售价：0元</w:t>
      </w:r>
    </w:p>
    <w:p>
      <w:pPr>
        <w:autoSpaceDE w:val="0"/>
        <w:autoSpaceDN w:val="0"/>
        <w:adjustRightInd w:val="0"/>
        <w:snapToGrid w:val="0"/>
        <w:spacing w:line="500" w:lineRule="exact"/>
        <w:rPr>
          <w:rFonts w:hint="eastAsia" w:ascii="宋体" w:hAnsi="宋体" w:cs="宋体"/>
          <w:color w:val="auto"/>
          <w:kern w:val="0"/>
          <w:sz w:val="24"/>
          <w:szCs w:val="24"/>
          <w:highlight w:val="none"/>
        </w:rPr>
      </w:pPr>
      <w:bookmarkStart w:id="15" w:name="_Toc35393793"/>
      <w:bookmarkStart w:id="16" w:name="_Toc28359005"/>
      <w:bookmarkStart w:id="17" w:name="_Toc35393624"/>
      <w:bookmarkStart w:id="18" w:name="_Toc28359082"/>
      <w:r>
        <w:rPr>
          <w:rFonts w:hint="eastAsia" w:ascii="宋体" w:hAnsi="宋体" w:cs="宋体"/>
          <w:color w:val="auto"/>
          <w:sz w:val="24"/>
          <w:szCs w:val="24"/>
          <w:highlight w:val="none"/>
        </w:rPr>
        <w:t>四、</w:t>
      </w:r>
      <w:bookmarkEnd w:id="15"/>
      <w:bookmarkEnd w:id="16"/>
      <w:bookmarkEnd w:id="17"/>
      <w:bookmarkEnd w:id="18"/>
      <w:r>
        <w:rPr>
          <w:rFonts w:hint="eastAsia" w:ascii="宋体" w:hAnsi="宋体" w:cs="宋体"/>
          <w:color w:val="auto"/>
          <w:kern w:val="0"/>
          <w:sz w:val="24"/>
          <w:szCs w:val="24"/>
          <w:highlight w:val="none"/>
        </w:rPr>
        <w:t>取获招标文件时间：20</w:t>
      </w:r>
      <w:r>
        <w:rPr>
          <w:rFonts w:hint="eastAsia" w:cs="宋体"/>
          <w:color w:val="auto"/>
          <w:kern w:val="0"/>
          <w:sz w:val="24"/>
          <w:szCs w:val="24"/>
          <w:highlight w:val="none"/>
        </w:rPr>
        <w:t>22</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09</w:t>
      </w:r>
      <w:r>
        <w:rPr>
          <w:rFonts w:hint="eastAsia" w:ascii="宋体" w:hAnsi="宋体" w:cs="宋体"/>
          <w:color w:val="auto"/>
          <w:kern w:val="0"/>
          <w:sz w:val="24"/>
          <w:szCs w:val="24"/>
          <w:highlight w:val="none"/>
        </w:rPr>
        <w:t>日起至</w:t>
      </w:r>
      <w:r>
        <w:rPr>
          <w:rFonts w:hint="eastAsia" w:cs="宋体"/>
          <w:color w:val="auto"/>
          <w:kern w:val="0"/>
          <w:sz w:val="24"/>
          <w:szCs w:val="24"/>
          <w:highlight w:val="none"/>
        </w:rPr>
        <w:t xml:space="preserve"> </w:t>
      </w:r>
      <w:r>
        <w:rPr>
          <w:rFonts w:hint="eastAsia" w:ascii="宋体" w:hAnsi="宋体" w:cs="宋体"/>
          <w:color w:val="auto"/>
          <w:kern w:val="0"/>
          <w:sz w:val="24"/>
          <w:szCs w:val="24"/>
          <w:highlight w:val="none"/>
        </w:rPr>
        <w:t>202</w:t>
      </w:r>
      <w:r>
        <w:rPr>
          <w:rFonts w:hint="eastAsia" w:cs="宋体"/>
          <w:color w:val="auto"/>
          <w:kern w:val="0"/>
          <w:sz w:val="24"/>
          <w:szCs w:val="24"/>
          <w:highlight w:val="none"/>
        </w:rPr>
        <w:t>2</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14</w:t>
      </w:r>
      <w:r>
        <w:rPr>
          <w:rFonts w:hint="eastAsia" w:ascii="宋体" w:hAnsi="宋体" w:cs="宋体"/>
          <w:color w:val="auto"/>
          <w:kern w:val="0"/>
          <w:sz w:val="24"/>
          <w:szCs w:val="24"/>
          <w:highlight w:val="none"/>
        </w:rPr>
        <w:t>日止。（工作日10：00-</w:t>
      </w:r>
      <w:r>
        <w:rPr>
          <w:rFonts w:hint="eastAsia" w:ascii="宋体" w:hAnsi="宋体" w:cs="宋体"/>
          <w:color w:val="auto"/>
          <w:kern w:val="0"/>
          <w:sz w:val="24"/>
          <w:szCs w:val="24"/>
          <w:highlight w:val="none"/>
          <w:lang w:val="en-US" w:eastAsia="zh-CN"/>
        </w:rPr>
        <w:t>14:00</w:t>
      </w:r>
      <w:r>
        <w:rPr>
          <w:rFonts w:hint="eastAsia" w:ascii="宋体" w:hAnsi="宋体" w:cs="宋体"/>
          <w:color w:val="auto"/>
          <w:kern w:val="0"/>
          <w:sz w:val="24"/>
          <w:szCs w:val="24"/>
          <w:highlight w:val="none"/>
        </w:rPr>
        <w:t>，16：00-</w:t>
      </w:r>
      <w:r>
        <w:rPr>
          <w:rFonts w:hint="eastAsia" w:ascii="宋体" w:hAnsi="宋体" w:cs="宋体"/>
          <w:color w:val="auto"/>
          <w:kern w:val="0"/>
          <w:sz w:val="24"/>
          <w:szCs w:val="24"/>
          <w:highlight w:val="none"/>
          <w:lang w:val="en-US" w:eastAsia="zh-CN"/>
        </w:rPr>
        <w:t>20</w:t>
      </w:r>
      <w:r>
        <w:rPr>
          <w:rFonts w:hint="eastAsia" w:ascii="宋体" w:hAnsi="宋体" w:cs="宋体"/>
          <w:color w:val="auto"/>
          <w:kern w:val="0"/>
          <w:sz w:val="24"/>
          <w:szCs w:val="24"/>
          <w:highlight w:val="none"/>
        </w:rPr>
        <w:t>：00）</w:t>
      </w:r>
    </w:p>
    <w:p>
      <w:pPr>
        <w:autoSpaceDE w:val="0"/>
        <w:autoSpaceDN w:val="0"/>
        <w:adjustRightInd w:val="0"/>
        <w:snapToGrid w:val="0"/>
        <w:spacing w:line="500" w:lineRule="exact"/>
        <w:ind w:firstLine="484"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投标文件递交截止时间及开标时间：</w:t>
      </w:r>
      <w:r>
        <w:rPr>
          <w:rFonts w:hint="eastAsia" w:ascii="宋体" w:hAnsi="宋体" w:cs="宋体"/>
          <w:color w:val="auto"/>
          <w:kern w:val="0"/>
          <w:sz w:val="24"/>
          <w:szCs w:val="24"/>
          <w:highlight w:val="none"/>
          <w:lang w:eastAsia="zh-CN"/>
        </w:rPr>
        <w:t>2022年10月</w:t>
      </w:r>
      <w:r>
        <w:rPr>
          <w:rFonts w:hint="eastAsia" w:ascii="宋体" w:hAnsi="宋体" w:cs="宋体"/>
          <w:color w:val="auto"/>
          <w:kern w:val="0"/>
          <w:sz w:val="24"/>
          <w:szCs w:val="24"/>
          <w:highlight w:val="none"/>
          <w:lang w:val="en-US" w:eastAsia="zh-CN"/>
        </w:rPr>
        <w:t>19</w:t>
      </w:r>
      <w:r>
        <w:rPr>
          <w:rFonts w:hint="eastAsia" w:ascii="宋体" w:hAnsi="宋体" w:cs="宋体"/>
          <w:color w:val="auto"/>
          <w:kern w:val="0"/>
          <w:sz w:val="24"/>
          <w:szCs w:val="24"/>
          <w:highlight w:val="none"/>
          <w:lang w:eastAsia="zh-CN"/>
        </w:rPr>
        <w:t>日</w:t>
      </w:r>
      <w:r>
        <w:rPr>
          <w:rFonts w:hint="eastAsia" w:ascii="宋体" w:hAnsi="宋体" w:cs="宋体"/>
          <w:color w:val="auto"/>
          <w:kern w:val="0"/>
          <w:sz w:val="24"/>
          <w:szCs w:val="24"/>
          <w:highlight w:val="none"/>
          <w:lang w:val="en-US" w:eastAsia="zh-CN"/>
        </w:rPr>
        <w:t>上午16</w:t>
      </w:r>
      <w:r>
        <w:rPr>
          <w:rFonts w:hint="eastAsia" w:ascii="宋体" w:hAnsi="宋体" w:cs="宋体"/>
          <w:color w:val="auto"/>
          <w:kern w:val="0"/>
          <w:sz w:val="24"/>
          <w:szCs w:val="24"/>
          <w:highlight w:val="none"/>
        </w:rPr>
        <w:t>时00分(北京时间)，若逾期，届时其投标将被拒绝。</w:t>
      </w:r>
    </w:p>
    <w:p>
      <w:pPr>
        <w:numPr>
          <w:ilvl w:val="0"/>
          <w:numId w:val="4"/>
        </w:numPr>
        <w:spacing w:line="360" w:lineRule="auto"/>
        <w:rPr>
          <w:rFonts w:ascii="宋体" w:hAnsi="宋体" w:cs="宋体"/>
          <w:color w:val="auto"/>
          <w:sz w:val="24"/>
          <w:szCs w:val="24"/>
          <w:highlight w:val="none"/>
        </w:rPr>
      </w:pPr>
      <w:r>
        <w:rPr>
          <w:rFonts w:hint="eastAsia" w:ascii="宋体" w:hAnsi="宋体" w:cs="宋体"/>
          <w:color w:val="auto"/>
          <w:kern w:val="0"/>
          <w:sz w:val="24"/>
          <w:szCs w:val="24"/>
          <w:highlight w:val="none"/>
        </w:rPr>
        <w:t>开标地点：轮台县农业农村局三楼会议室。</w:t>
      </w:r>
    </w:p>
    <w:p>
      <w:pPr>
        <w:numPr>
          <w:ilvl w:val="0"/>
          <w:numId w:val="4"/>
        </w:num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公告期限 </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z w:val="24"/>
          <w:szCs w:val="24"/>
          <w:highlight w:val="none"/>
        </w:rPr>
        <w:t>自本公告发布之日起5个工作日。</w:t>
      </w:r>
    </w:p>
    <w:p>
      <w:pPr>
        <w:spacing w:line="360" w:lineRule="auto"/>
        <w:ind w:firstLine="363"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六、相关信息发布：本次招标公告新疆政府采购网（http://www.ccgp.gov.cn/）。</w:t>
      </w:r>
    </w:p>
    <w:p>
      <w:pPr>
        <w:spacing w:line="360" w:lineRule="auto"/>
        <w:ind w:firstLine="242" w:firstLineChars="100"/>
        <w:rPr>
          <w:rFonts w:ascii="宋体" w:hAnsi="宋体" w:cs="宋体"/>
          <w:color w:val="auto"/>
          <w:sz w:val="24"/>
          <w:szCs w:val="24"/>
          <w:highlight w:val="none"/>
        </w:rPr>
      </w:pPr>
      <w:r>
        <w:rPr>
          <w:rFonts w:hint="eastAsia" w:ascii="宋体" w:hAnsi="宋体" w:cs="宋体"/>
          <w:color w:val="auto"/>
          <w:sz w:val="24"/>
          <w:szCs w:val="24"/>
          <w:highlight w:val="none"/>
        </w:rPr>
        <w:t>七、方式联系</w:t>
      </w:r>
    </w:p>
    <w:p>
      <w:pPr>
        <w:adjustRightInd w:val="0"/>
        <w:snapToGrid w:val="0"/>
        <w:spacing w:line="360" w:lineRule="auto"/>
        <w:ind w:firstLine="484"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1.采购人信息                    </w:t>
      </w:r>
    </w:p>
    <w:p>
      <w:pPr>
        <w:pStyle w:val="15"/>
        <w:adjustRightInd w:val="0"/>
        <w:snapToGrid w:val="0"/>
        <w:spacing w:line="360" w:lineRule="auto"/>
        <w:ind w:left="563" w:leftChars="266"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名 称：轮台县农业农村局        </w:t>
      </w:r>
    </w:p>
    <w:p>
      <w:pPr>
        <w:pStyle w:val="15"/>
        <w:adjustRightInd w:val="0"/>
        <w:snapToGrid w:val="0"/>
        <w:spacing w:line="360" w:lineRule="auto"/>
        <w:ind w:left="0" w:firstLine="484"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联系人： 司马义</w:t>
      </w:r>
    </w:p>
    <w:p>
      <w:pPr>
        <w:pStyle w:val="15"/>
        <w:adjustRightInd w:val="0"/>
        <w:snapToGrid w:val="0"/>
        <w:spacing w:line="360" w:lineRule="auto"/>
        <w:ind w:left="0" w:firstLine="484" w:firstLineChars="200"/>
        <w:jc w:val="left"/>
        <w:rPr>
          <w:rStyle w:val="23"/>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rPr>
        <w:t xml:space="preserve">联系电话 ：15899014333          </w:t>
      </w:r>
    </w:p>
    <w:p>
      <w:pPr>
        <w:adjustRightInd w:val="0"/>
        <w:snapToGrid w:val="0"/>
        <w:spacing w:line="360" w:lineRule="auto"/>
        <w:ind w:firstLine="484" w:firstLineChars="200"/>
        <w:jc w:val="left"/>
        <w:rPr>
          <w:rFonts w:hint="eastAsia" w:ascii="宋体" w:hAnsi="宋体" w:cs="宋体"/>
          <w:color w:val="auto"/>
          <w:sz w:val="24"/>
          <w:szCs w:val="24"/>
          <w:highlight w:val="none"/>
        </w:rPr>
      </w:pPr>
    </w:p>
    <w:p>
      <w:pPr>
        <w:adjustRightInd w:val="0"/>
        <w:snapToGrid w:val="0"/>
        <w:spacing w:line="360" w:lineRule="auto"/>
        <w:ind w:firstLine="484"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2.采购代理机构信息</w:t>
      </w:r>
    </w:p>
    <w:p>
      <w:pPr>
        <w:pStyle w:val="15"/>
        <w:adjustRightInd w:val="0"/>
        <w:snapToGrid w:val="0"/>
        <w:spacing w:line="360" w:lineRule="auto"/>
        <w:ind w:left="563" w:leftChars="266"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名 称：新疆安航工程项目管理有限公司</w:t>
      </w:r>
    </w:p>
    <w:p>
      <w:pPr>
        <w:pStyle w:val="15"/>
        <w:adjustRightInd w:val="0"/>
        <w:snapToGrid w:val="0"/>
        <w:spacing w:line="360" w:lineRule="auto"/>
        <w:ind w:left="0" w:firstLine="484"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联系人：赵彩霞</w:t>
      </w:r>
    </w:p>
    <w:p>
      <w:pPr>
        <w:pStyle w:val="15"/>
        <w:adjustRightInd w:val="0"/>
        <w:snapToGrid w:val="0"/>
        <w:spacing w:line="360" w:lineRule="auto"/>
        <w:ind w:left="0" w:firstLine="484" w:firstLineChars="200"/>
        <w:jc w:val="center"/>
        <w:rPr>
          <w:rStyle w:val="23"/>
          <w:rFonts w:hint="eastAsia" w:ascii="宋体" w:hAnsi="宋体" w:eastAsia="宋体" w:cs="宋体"/>
          <w:b/>
          <w:bCs/>
          <w:color w:val="auto"/>
          <w:sz w:val="32"/>
          <w:szCs w:val="32"/>
          <w:highlight w:val="none"/>
        </w:rPr>
      </w:pPr>
      <w:r>
        <w:rPr>
          <w:rFonts w:hint="eastAsia" w:ascii="宋体" w:hAnsi="宋体" w:cs="宋体"/>
          <w:color w:val="auto"/>
          <w:sz w:val="24"/>
          <w:szCs w:val="24"/>
          <w:highlight w:val="none"/>
        </w:rPr>
        <w:t xml:space="preserve">联系电话：13667522055  </w:t>
      </w:r>
      <w:r>
        <w:rPr>
          <w:rStyle w:val="23"/>
          <w:rFonts w:hint="eastAsia" w:ascii="宋体" w:hAnsi="宋体" w:eastAsia="宋体" w:cs="宋体"/>
          <w:b/>
          <w:bCs/>
          <w:color w:val="auto"/>
          <w:sz w:val="24"/>
          <w:szCs w:val="24"/>
          <w:highlight w:val="none"/>
        </w:rPr>
        <w:br w:type="page"/>
      </w:r>
      <w:r>
        <w:rPr>
          <w:rStyle w:val="23"/>
          <w:rFonts w:hint="eastAsia" w:ascii="宋体" w:hAnsi="宋体" w:eastAsia="宋体" w:cs="宋体"/>
          <w:b/>
          <w:bCs/>
          <w:color w:val="auto"/>
          <w:sz w:val="32"/>
          <w:szCs w:val="32"/>
          <w:highlight w:val="none"/>
        </w:rPr>
        <w:t>第二章 供应商须知</w:t>
      </w:r>
      <w:bookmarkEnd w:id="10"/>
      <w:bookmarkEnd w:id="11"/>
      <w:bookmarkEnd w:id="12"/>
      <w:bookmarkEnd w:id="13"/>
      <w:r>
        <w:rPr>
          <w:rStyle w:val="23"/>
          <w:rFonts w:hint="eastAsia" w:ascii="宋体" w:hAnsi="宋体" w:eastAsia="宋体" w:cs="宋体"/>
          <w:b/>
          <w:bCs/>
          <w:color w:val="auto"/>
          <w:sz w:val="32"/>
          <w:szCs w:val="32"/>
          <w:highlight w:val="none"/>
        </w:rPr>
        <w:t>前附表</w:t>
      </w:r>
    </w:p>
    <w:p>
      <w:pPr>
        <w:pStyle w:val="9"/>
        <w:ind w:left="850"/>
        <w:rPr>
          <w:rFonts w:hint="eastAsia"/>
          <w:color w:val="auto"/>
          <w:highlight w:val="none"/>
        </w:rPr>
      </w:pPr>
    </w:p>
    <w:bookmarkEnd w:id="14"/>
    <w:tbl>
      <w:tblPr>
        <w:tblStyle w:val="19"/>
        <w:tblW w:w="10295" w:type="dxa"/>
        <w:jc w:val="center"/>
        <w:tblLayout w:type="fixed"/>
        <w:tblCellMar>
          <w:top w:w="0" w:type="dxa"/>
          <w:left w:w="108" w:type="dxa"/>
          <w:bottom w:w="0" w:type="dxa"/>
          <w:right w:w="108" w:type="dxa"/>
        </w:tblCellMar>
      </w:tblPr>
      <w:tblGrid>
        <w:gridCol w:w="1080"/>
        <w:gridCol w:w="2005"/>
        <w:gridCol w:w="7210"/>
      </w:tblGrid>
      <w:tr>
        <w:tblPrEx>
          <w:tblCellMar>
            <w:top w:w="0" w:type="dxa"/>
            <w:left w:w="108" w:type="dxa"/>
            <w:bottom w:w="0" w:type="dxa"/>
            <w:right w:w="108" w:type="dxa"/>
          </w:tblCellMar>
        </w:tblPrEx>
        <w:trPr>
          <w:trHeight w:val="38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条款号</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b/>
                <w:bCs/>
                <w:color w:val="auto"/>
                <w:sz w:val="24"/>
                <w:szCs w:val="24"/>
                <w:highlight w:val="none"/>
              </w:rPr>
              <w:t>条款名称</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编  列  内  容</w:t>
            </w:r>
          </w:p>
        </w:tc>
      </w:tr>
      <w:tr>
        <w:tblPrEx>
          <w:tblCellMar>
            <w:top w:w="0" w:type="dxa"/>
            <w:left w:w="108" w:type="dxa"/>
            <w:bottom w:w="0" w:type="dxa"/>
            <w:right w:w="108" w:type="dxa"/>
          </w:tblCellMar>
        </w:tblPrEx>
        <w:trPr>
          <w:trHeight w:val="1266"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采购人</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名称：轮台县农业农村局</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地址：轮台县</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联系人： 司马义</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联系方式： 15899014333</w:t>
            </w:r>
          </w:p>
        </w:tc>
      </w:tr>
      <w:tr>
        <w:tblPrEx>
          <w:tblCellMar>
            <w:top w:w="0" w:type="dxa"/>
            <w:left w:w="108" w:type="dxa"/>
            <w:bottom w:w="0" w:type="dxa"/>
            <w:right w:w="108" w:type="dxa"/>
          </w:tblCellMar>
        </w:tblPrEx>
        <w:trPr>
          <w:trHeight w:val="75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采购代理机构</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名称：新疆安航工程项目管理有限公司</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 xml:space="preserve">地址：库尔勒市豪景大厦 </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联系人：</w:t>
            </w:r>
            <w:r>
              <w:rPr>
                <w:rFonts w:hint="eastAsia" w:ascii="黑体" w:hAnsi="黑体" w:eastAsia="黑体" w:cs="黑体"/>
                <w:b w:val="0"/>
                <w:bCs w:val="0"/>
                <w:color w:val="auto"/>
                <w:sz w:val="24"/>
                <w:szCs w:val="24"/>
                <w:highlight w:val="none"/>
                <w:lang w:eastAsia="zh-CN"/>
              </w:rPr>
              <w:t>张硕</w:t>
            </w:r>
            <w:r>
              <w:rPr>
                <w:rFonts w:hint="eastAsia" w:ascii="黑体" w:hAnsi="黑体" w:eastAsia="黑体" w:cs="黑体"/>
                <w:b w:val="0"/>
                <w:bCs w:val="0"/>
                <w:color w:val="auto"/>
                <w:sz w:val="24"/>
                <w:szCs w:val="24"/>
                <w:highlight w:val="none"/>
              </w:rPr>
              <w:t xml:space="preserve">   </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联系方式：13667522055</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项目名称</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val="0"/>
                <w:color w:val="auto"/>
                <w:sz w:val="24"/>
                <w:szCs w:val="24"/>
                <w:highlight w:val="none"/>
                <w:lang w:eastAsia="zh-CN"/>
              </w:rPr>
            </w:pPr>
            <w:r>
              <w:rPr>
                <w:rFonts w:hint="eastAsia" w:ascii="黑体" w:hAnsi="黑体" w:eastAsia="黑体" w:cs="黑体"/>
                <w:b w:val="0"/>
                <w:bCs w:val="0"/>
                <w:color w:val="auto"/>
                <w:sz w:val="24"/>
                <w:szCs w:val="24"/>
                <w:highlight w:val="none"/>
                <w:lang w:eastAsia="zh-CN"/>
              </w:rPr>
              <w:t>轮台县农业农村局2021年人居环境整治建设项目（一期）工程结算审查</w:t>
            </w:r>
          </w:p>
        </w:tc>
      </w:tr>
      <w:tr>
        <w:tblPrEx>
          <w:tblCellMar>
            <w:top w:w="0" w:type="dxa"/>
            <w:left w:w="108" w:type="dxa"/>
            <w:bottom w:w="0" w:type="dxa"/>
            <w:right w:w="108" w:type="dxa"/>
          </w:tblCellMar>
        </w:tblPrEx>
        <w:trPr>
          <w:trHeight w:val="396"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项目地点</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轮台县</w:t>
            </w:r>
          </w:p>
        </w:tc>
      </w:tr>
      <w:tr>
        <w:tblPrEx>
          <w:tblCellMar>
            <w:top w:w="0" w:type="dxa"/>
            <w:left w:w="108" w:type="dxa"/>
            <w:bottom w:w="0" w:type="dxa"/>
            <w:right w:w="108" w:type="dxa"/>
          </w:tblCellMar>
        </w:tblPrEx>
        <w:trPr>
          <w:trHeight w:val="618"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资金来源</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预算金额：</w:t>
            </w:r>
            <w:r>
              <w:rPr>
                <w:rFonts w:hint="eastAsia" w:ascii="黑体" w:hAnsi="黑体" w:eastAsia="黑体" w:cs="黑体"/>
                <w:b w:val="0"/>
                <w:bCs w:val="0"/>
                <w:color w:val="auto"/>
                <w:sz w:val="24"/>
                <w:szCs w:val="24"/>
                <w:highlight w:val="none"/>
                <w:lang w:val="en-US" w:eastAsia="zh-CN"/>
              </w:rPr>
              <w:t>76</w:t>
            </w:r>
            <w:r>
              <w:rPr>
                <w:rFonts w:hint="eastAsia" w:ascii="黑体" w:hAnsi="黑体" w:eastAsia="黑体" w:cs="黑体"/>
                <w:b w:val="0"/>
                <w:bCs w:val="0"/>
                <w:color w:val="auto"/>
                <w:sz w:val="24"/>
                <w:szCs w:val="24"/>
                <w:highlight w:val="none"/>
              </w:rPr>
              <w:t>万元</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资金来源：财政资金</w:t>
            </w:r>
          </w:p>
        </w:tc>
      </w:tr>
      <w:tr>
        <w:tblPrEx>
          <w:tblCellMar>
            <w:top w:w="0" w:type="dxa"/>
            <w:left w:w="108" w:type="dxa"/>
            <w:bottom w:w="0" w:type="dxa"/>
            <w:right w:w="108" w:type="dxa"/>
          </w:tblCellMar>
        </w:tblPrEx>
        <w:trPr>
          <w:trHeight w:val="356"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出资比例</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100%</w:t>
            </w:r>
          </w:p>
        </w:tc>
      </w:tr>
      <w:tr>
        <w:tblPrEx>
          <w:tblCellMar>
            <w:top w:w="0" w:type="dxa"/>
            <w:left w:w="108" w:type="dxa"/>
            <w:bottom w:w="0" w:type="dxa"/>
            <w:right w:w="108" w:type="dxa"/>
          </w:tblCellMar>
        </w:tblPrEx>
        <w:trPr>
          <w:trHeight w:val="30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资金落实情况</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已落实</w:t>
            </w:r>
          </w:p>
        </w:tc>
      </w:tr>
      <w:tr>
        <w:tblPrEx>
          <w:tblCellMar>
            <w:top w:w="0" w:type="dxa"/>
            <w:left w:w="108" w:type="dxa"/>
            <w:bottom w:w="0" w:type="dxa"/>
            <w:right w:w="108" w:type="dxa"/>
          </w:tblCellMar>
        </w:tblPrEx>
        <w:trPr>
          <w:trHeight w:val="569"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服务</w:t>
            </w:r>
            <w:r>
              <w:rPr>
                <w:rFonts w:hint="eastAsia" w:ascii="宋体" w:hAnsi="宋体" w:cs="宋体"/>
                <w:b/>
                <w:bCs/>
                <w:color w:val="auto"/>
                <w:sz w:val="24"/>
                <w:szCs w:val="24"/>
                <w:highlight w:val="none"/>
              </w:rPr>
              <w:t>内容</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黑体" w:hAnsi="黑体" w:eastAsia="黑体" w:cs="黑体"/>
                <w:b w:val="0"/>
                <w:bCs w:val="0"/>
                <w:color w:val="auto"/>
                <w:sz w:val="24"/>
                <w:szCs w:val="24"/>
                <w:highlight w:val="none"/>
                <w:lang w:eastAsia="zh-CN"/>
              </w:rPr>
            </w:pPr>
            <w:r>
              <w:rPr>
                <w:rFonts w:hint="eastAsia" w:ascii="黑体" w:hAnsi="黑体" w:eastAsia="黑体" w:cs="黑体"/>
                <w:b w:val="0"/>
                <w:bCs w:val="0"/>
                <w:color w:val="auto"/>
                <w:sz w:val="24"/>
                <w:szCs w:val="24"/>
                <w:highlight w:val="none"/>
                <w:lang w:eastAsia="zh-CN"/>
              </w:rPr>
              <w:t>依据发承包合同，进行工程量价调整，确定工程结算金额</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服务期限</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自签订合同之日开始实施，</w:t>
            </w:r>
            <w:r>
              <w:rPr>
                <w:rFonts w:hint="eastAsia" w:ascii="黑体" w:hAnsi="黑体" w:eastAsia="黑体" w:cs="黑体"/>
                <w:b w:val="0"/>
                <w:bCs w:val="0"/>
                <w:color w:val="auto"/>
                <w:sz w:val="24"/>
                <w:szCs w:val="24"/>
                <w:highlight w:val="none"/>
                <w:lang w:val="en-US" w:eastAsia="zh-CN"/>
              </w:rPr>
              <w:t>120个工作日内</w:t>
            </w:r>
            <w:r>
              <w:rPr>
                <w:rFonts w:hint="eastAsia" w:ascii="黑体" w:hAnsi="黑体" w:eastAsia="黑体" w:cs="黑体"/>
                <w:b w:val="0"/>
                <w:bCs w:val="0"/>
                <w:color w:val="auto"/>
                <w:sz w:val="24"/>
                <w:szCs w:val="24"/>
                <w:highlight w:val="none"/>
              </w:rPr>
              <w:t>。</w:t>
            </w:r>
          </w:p>
        </w:tc>
      </w:tr>
      <w:tr>
        <w:tblPrEx>
          <w:tblCellMar>
            <w:top w:w="0" w:type="dxa"/>
            <w:left w:w="108" w:type="dxa"/>
            <w:bottom w:w="0" w:type="dxa"/>
            <w:right w:w="108" w:type="dxa"/>
          </w:tblCellMar>
        </w:tblPrEx>
        <w:trPr>
          <w:trHeight w:val="369"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质量要求</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合格</w:t>
            </w:r>
          </w:p>
        </w:tc>
      </w:tr>
      <w:tr>
        <w:tblPrEx>
          <w:tblCellMar>
            <w:top w:w="0" w:type="dxa"/>
            <w:left w:w="108" w:type="dxa"/>
            <w:bottom w:w="0" w:type="dxa"/>
            <w:right w:w="108" w:type="dxa"/>
          </w:tblCellMar>
        </w:tblPrEx>
        <w:trPr>
          <w:trHeight w:val="38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付款方式</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以合同签订内容为准</w:t>
            </w:r>
          </w:p>
        </w:tc>
      </w:tr>
      <w:tr>
        <w:tblPrEx>
          <w:tblCellMar>
            <w:top w:w="0" w:type="dxa"/>
            <w:left w:w="108" w:type="dxa"/>
            <w:bottom w:w="0" w:type="dxa"/>
            <w:right w:w="108" w:type="dxa"/>
          </w:tblCellMar>
        </w:tblPrEx>
        <w:trPr>
          <w:trHeight w:val="356"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13</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履约保证金</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line="240" w:lineRule="auto"/>
              <w:ind w:firstLine="0"/>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无</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14</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现场踏勘</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sym w:font="Wingdings" w:char="00FE"/>
            </w:r>
            <w:r>
              <w:rPr>
                <w:rFonts w:hint="eastAsia" w:ascii="黑体" w:hAnsi="黑体" w:eastAsia="黑体" w:cs="黑体"/>
                <w:b w:val="0"/>
                <w:bCs w:val="0"/>
                <w:color w:val="auto"/>
                <w:sz w:val="24"/>
                <w:szCs w:val="24"/>
                <w:highlight w:val="none"/>
              </w:rPr>
              <w:t>不组织</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sym w:font="Wingdings" w:char="00A8"/>
            </w:r>
            <w:r>
              <w:rPr>
                <w:rFonts w:hint="eastAsia" w:ascii="黑体" w:hAnsi="黑体" w:eastAsia="黑体" w:cs="黑体"/>
                <w:b w:val="0"/>
                <w:bCs w:val="0"/>
                <w:color w:val="auto"/>
                <w:sz w:val="24"/>
                <w:szCs w:val="24"/>
                <w:highlight w:val="none"/>
              </w:rPr>
              <w:t>组织</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响应文件</w:t>
            </w:r>
          </w:p>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有效期</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提交响应文件的截止之日起90天</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16</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报价</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lang w:val="zh-CN"/>
              </w:rPr>
              <w:t>报价包含本合同承揽事项所需的一切</w:t>
            </w:r>
            <w:r>
              <w:rPr>
                <w:rFonts w:hint="eastAsia" w:ascii="黑体" w:hAnsi="黑体" w:eastAsia="黑体" w:cs="黑体"/>
                <w:b w:val="0"/>
                <w:bCs w:val="0"/>
                <w:color w:val="auto"/>
                <w:sz w:val="24"/>
                <w:szCs w:val="24"/>
                <w:highlight w:val="none"/>
              </w:rPr>
              <w:t>费用</w:t>
            </w:r>
            <w:r>
              <w:rPr>
                <w:rFonts w:hint="eastAsia" w:ascii="黑体" w:hAnsi="黑体" w:eastAsia="黑体" w:cs="黑体"/>
                <w:b w:val="0"/>
                <w:bCs w:val="0"/>
                <w:color w:val="auto"/>
                <w:sz w:val="24"/>
                <w:szCs w:val="24"/>
                <w:highlight w:val="none"/>
                <w:lang w:val="zh-CN"/>
              </w:rPr>
              <w:t>（人工费、材料费、差旅费、设备费和其他费用以及本项目产生的所有税费）</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17</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color w:val="auto"/>
                <w:sz w:val="28"/>
                <w:szCs w:val="28"/>
                <w:highlight w:val="none"/>
              </w:rPr>
            </w:pPr>
            <w:r>
              <w:rPr>
                <w:rFonts w:hint="eastAsia" w:ascii="宋体" w:hAnsi="宋体" w:cs="宋体"/>
                <w:b/>
                <w:bCs/>
                <w:color w:val="auto"/>
                <w:sz w:val="24"/>
                <w:szCs w:val="24"/>
                <w:highlight w:val="none"/>
              </w:rPr>
              <w:t>低于成本价不正当 竞争预防措施 （实质性要求）</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评标委员会认为投标人的报价明显低于其他通过符 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 xml:space="preserve">投标人书面说明应当签字确认或者加盖公章，否则无 效。书面说明的签字确认，投标人为法人的，由其法定代表人/主要负责人或者授权代表签字确认；投标人为其他组织的，由其主要负责人或者授权代表签字确认；投标人为自然人的，由其本人或者授权代表签字确认。 </w:t>
            </w:r>
          </w:p>
          <w:p>
            <w:pPr>
              <w:adjustRightInd w:val="0"/>
              <w:snapToGrid w:val="0"/>
              <w:spacing w:line="240" w:lineRule="auto"/>
              <w:rPr>
                <w:rFonts w:hint="eastAsia" w:ascii="黑体" w:hAnsi="黑体" w:eastAsia="黑体" w:cs="黑体"/>
                <w:b w:val="0"/>
                <w:bCs w:val="0"/>
                <w:color w:val="auto"/>
                <w:sz w:val="24"/>
                <w:szCs w:val="24"/>
                <w:highlight w:val="none"/>
                <w:lang w:val="zh-CN"/>
              </w:rPr>
            </w:pPr>
            <w:r>
              <w:rPr>
                <w:rFonts w:hint="eastAsia" w:ascii="黑体" w:hAnsi="黑体" w:eastAsia="黑体" w:cs="黑体"/>
                <w:b w:val="0"/>
                <w:bCs w:val="0"/>
                <w:color w:val="auto"/>
                <w:sz w:val="24"/>
                <w:szCs w:val="24"/>
                <w:highlight w:val="none"/>
              </w:rPr>
              <w:t>投标人提供书面说明后，评标委员会应当结合采购项 目采购需求、专业实际情况、投标人财务状况报告、与其 他投标人比较情况等就投标人书面说明进行审查评价。投 标人拒绝或者变相拒绝提供有效书面说明或者书面说明不能证明其报价合理性的，评标委员会应当将其投标文件作 为无效处理。</w:t>
            </w:r>
          </w:p>
        </w:tc>
      </w:tr>
      <w:tr>
        <w:tblPrEx>
          <w:tblCellMar>
            <w:top w:w="0" w:type="dxa"/>
            <w:left w:w="108" w:type="dxa"/>
            <w:bottom w:w="0" w:type="dxa"/>
            <w:right w:w="108" w:type="dxa"/>
          </w:tblCellMar>
        </w:tblPrEx>
        <w:trPr>
          <w:trHeight w:val="1702"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18</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报价方式</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numPr>
                <w:ilvl w:val="0"/>
                <w:numId w:val="5"/>
              </w:numPr>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本次竞争性磋商采用两轮报价评定成交方式；</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第一轮磋商结束后</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所有合格的供应商按照要求做出最终一轮报价，时间为30分钟，若供应商在规定的时间内未按要求对最终一轮做出报价的，视为放弃本次投标，为无效供应商。</w:t>
            </w:r>
          </w:p>
        </w:tc>
      </w:tr>
      <w:tr>
        <w:tblPrEx>
          <w:tblCellMar>
            <w:top w:w="0" w:type="dxa"/>
            <w:left w:w="108" w:type="dxa"/>
            <w:bottom w:w="0" w:type="dxa"/>
            <w:right w:w="108" w:type="dxa"/>
          </w:tblCellMar>
        </w:tblPrEx>
        <w:trPr>
          <w:trHeight w:val="9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19</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是否接受</w:t>
            </w:r>
          </w:p>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联合体投标</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sym w:font="Wingdings" w:char="00FE"/>
            </w:r>
            <w:r>
              <w:rPr>
                <w:rFonts w:hint="eastAsia" w:ascii="黑体" w:hAnsi="黑体" w:eastAsia="黑体" w:cs="黑体"/>
                <w:b w:val="0"/>
                <w:bCs w:val="0"/>
                <w:color w:val="auto"/>
                <w:sz w:val="24"/>
                <w:szCs w:val="24"/>
                <w:highlight w:val="none"/>
              </w:rPr>
              <w:t>不接受</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sym w:font="Wingdings" w:char="00A8"/>
            </w:r>
            <w:r>
              <w:rPr>
                <w:rFonts w:hint="eastAsia" w:ascii="黑体" w:hAnsi="黑体" w:eastAsia="黑体" w:cs="黑体"/>
                <w:b w:val="0"/>
                <w:bCs w:val="0"/>
                <w:color w:val="auto"/>
                <w:sz w:val="24"/>
                <w:szCs w:val="24"/>
                <w:highlight w:val="none"/>
              </w:rPr>
              <w:t>接受</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20</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开标前准备</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1、本项目实行网上投标，采用电子投标文件。若供应商参与投标，自行承担投标一切费用。</w:t>
            </w:r>
          </w:p>
          <w:p>
            <w:pPr>
              <w:spacing w:line="240" w:lineRule="auto"/>
              <w:jc w:val="left"/>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2、各供应商应在开标前确保成为新疆维吾尔自治区政府采购网正式注册入库供应商，并完成CA数字证书申领。因未注册入库、未办理CA数字证书等原因造成无法投标或投标失败等后果由供应商自行承担。</w:t>
            </w:r>
          </w:p>
          <w:p>
            <w:pPr>
              <w:spacing w:line="240" w:lineRule="auto"/>
              <w:jc w:val="left"/>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240" w:lineRule="auto"/>
              <w:jc w:val="left"/>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投标供应商应当在投标截止时间前，将生成的“电子加密投标文件”上传递交至“政府采购云平台”。投标截止时间以后上传递交的投标文件将被“政府采购云平台”拒收。</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21</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供应商</w:t>
            </w:r>
          </w:p>
          <w:p>
            <w:pPr>
              <w:adjustRightInd w:val="0"/>
              <w:snapToGrid w:val="0"/>
              <w:spacing w:line="240" w:lineRule="auto"/>
              <w:jc w:val="center"/>
              <w:rPr>
                <w:rFonts w:hint="eastAsia" w:ascii="宋体" w:hAnsi="宋体" w:cs="宋体"/>
                <w:color w:val="auto"/>
                <w:sz w:val="24"/>
                <w:szCs w:val="24"/>
                <w:highlight w:val="none"/>
              </w:rPr>
            </w:pPr>
            <w:r>
              <w:rPr>
                <w:rFonts w:hint="eastAsia" w:ascii="宋体" w:hAnsi="宋体" w:cs="宋体"/>
                <w:b/>
                <w:bCs/>
                <w:color w:val="auto"/>
                <w:sz w:val="24"/>
                <w:szCs w:val="24"/>
                <w:highlight w:val="none"/>
              </w:rPr>
              <w:t>资格条件</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本项目基本资格要求：</w:t>
            </w:r>
          </w:p>
          <w:p>
            <w:pPr>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（1）具有有效的企业法人营业执照，且营业范围满足本项目需求；</w:t>
            </w:r>
          </w:p>
          <w:p>
            <w:pPr>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（2）法定代表人身份证或授权委托书及代理人身份证；</w:t>
            </w:r>
          </w:p>
          <w:p>
            <w:pPr>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（3）未被“信用中国”（www.creditchina.gov.cn）、中国政府采购网（www.ccgp.gov.cn）列入失信被执行人、重大税收违法案件当事人名单、政府采购严重违法失信行为记录名单；</w:t>
            </w:r>
          </w:p>
          <w:p>
            <w:pPr>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（4）依法注册、具有合法资格，并在法律上、财务上与采购人和采购代理机构不发生关系；</w:t>
            </w:r>
          </w:p>
          <w:p>
            <w:pPr>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（5）单位负责人为同一人或者存在直接控股、管理关系的不同供应商，不得参加同一合同项下的政府采购活动； </w:t>
            </w:r>
          </w:p>
          <w:p>
            <w:pPr>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（6）符合国家有关法律法规的规定；</w:t>
            </w:r>
          </w:p>
          <w:p>
            <w:pPr>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（7）为充分保证完善的售后服务，本项目不接受联合体投标</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22</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招标文件获取方式</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供应商登陆政采云平台https://www.zcygov.cn/在线申请获取采购文件（进入“项目采购”应用，在获取采购文件菜单中选择项目，申请获取采购文件）。</w:t>
            </w:r>
          </w:p>
        </w:tc>
      </w:tr>
      <w:tr>
        <w:tblPrEx>
          <w:tblCellMar>
            <w:top w:w="0" w:type="dxa"/>
            <w:left w:w="108" w:type="dxa"/>
            <w:bottom w:w="0" w:type="dxa"/>
            <w:right w:w="108" w:type="dxa"/>
          </w:tblCellMar>
        </w:tblPrEx>
        <w:trPr>
          <w:trHeight w:val="718"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23</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投标文件递交</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numPr>
                <w:ilvl w:val="0"/>
                <w:numId w:val="6"/>
              </w:numPr>
              <w:overflowPunct w:val="0"/>
              <w:spacing w:line="240" w:lineRule="auto"/>
              <w:jc w:val="left"/>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电子投标文件递交：投标人应于</w:t>
            </w:r>
            <w:r>
              <w:rPr>
                <w:rFonts w:hint="eastAsia" w:ascii="黑体" w:hAnsi="黑体" w:eastAsia="黑体" w:cs="黑体"/>
                <w:b w:val="0"/>
                <w:bCs w:val="0"/>
                <w:color w:val="auto"/>
                <w:sz w:val="24"/>
                <w:szCs w:val="24"/>
                <w:highlight w:val="none"/>
                <w:lang w:val="en-US" w:eastAsia="zh-CN"/>
              </w:rPr>
              <w:t>2022年10月19日16:00</w:t>
            </w:r>
            <w:r>
              <w:rPr>
                <w:rFonts w:hint="eastAsia" w:ascii="黑体" w:hAnsi="黑体" w:eastAsia="黑体" w:cs="黑体"/>
                <w:b w:val="0"/>
                <w:bCs w:val="0"/>
                <w:color w:val="auto"/>
                <w:sz w:val="24"/>
                <w:szCs w:val="24"/>
                <w:highlight w:val="none"/>
              </w:rPr>
              <w:t>时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（2）投标现场无需递交投标文件，中标单位公示完之后需提供：</w:t>
            </w:r>
          </w:p>
          <w:p>
            <w:pPr>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纸质版投标文件：正本一份、副本</w:t>
            </w:r>
            <w:r>
              <w:rPr>
                <w:rFonts w:hint="eastAsia" w:ascii="黑体" w:hAnsi="黑体" w:eastAsia="黑体" w:cs="黑体"/>
                <w:b w:val="0"/>
                <w:bCs w:val="0"/>
                <w:color w:val="auto"/>
                <w:sz w:val="24"/>
                <w:szCs w:val="24"/>
                <w:highlight w:val="none"/>
                <w:lang w:val="en-US" w:eastAsia="zh-CN"/>
              </w:rPr>
              <w:t>叁</w:t>
            </w:r>
            <w:r>
              <w:rPr>
                <w:rFonts w:hint="eastAsia" w:ascii="黑体" w:hAnsi="黑体" w:eastAsia="黑体" w:cs="黑体"/>
                <w:b w:val="0"/>
                <w:bCs w:val="0"/>
                <w:color w:val="auto"/>
                <w:sz w:val="24"/>
                <w:szCs w:val="24"/>
                <w:highlight w:val="none"/>
              </w:rPr>
              <w:t>份。</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投标文件电子版：以光盘为介质的投标文件电子版4份。</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24</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投标文件解密时间</w:t>
            </w:r>
          </w:p>
          <w:p>
            <w:pPr>
              <w:adjustRightInd w:val="0"/>
              <w:snapToGrid w:val="0"/>
              <w:spacing w:line="240" w:lineRule="auto"/>
              <w:jc w:val="center"/>
              <w:rPr>
                <w:rFonts w:hint="eastAsia" w:ascii="宋体" w:hAnsi="宋体" w:cs="宋体"/>
                <w:b/>
                <w:bCs/>
                <w:color w:val="auto"/>
                <w:sz w:val="24"/>
                <w:szCs w:val="24"/>
                <w:highlight w:val="none"/>
              </w:rPr>
            </w:pP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投标文件解密时间为30分钟，供应商可以登录“政采云”平台，用“项目采购-开标评标”功能进行解密投标文件。若供应商在招标代理现场规定的时间内未按时解密的，视为投标文件撤回。</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25</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是否允许递交</w:t>
            </w:r>
          </w:p>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备选投标方案</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sym w:font="Wingdings" w:char="00FE"/>
            </w:r>
            <w:r>
              <w:rPr>
                <w:rFonts w:hint="eastAsia" w:ascii="黑体" w:hAnsi="黑体" w:eastAsia="黑体" w:cs="黑体"/>
                <w:b w:val="0"/>
                <w:bCs w:val="0"/>
                <w:color w:val="auto"/>
                <w:sz w:val="24"/>
                <w:szCs w:val="24"/>
                <w:highlight w:val="none"/>
              </w:rPr>
              <w:t>不允许</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sym w:font="Wingdings" w:char="00A8"/>
            </w:r>
            <w:r>
              <w:rPr>
                <w:rFonts w:hint="eastAsia" w:ascii="黑体" w:hAnsi="黑体" w:eastAsia="黑体" w:cs="黑体"/>
                <w:b w:val="0"/>
                <w:bCs w:val="0"/>
                <w:color w:val="auto"/>
                <w:sz w:val="24"/>
                <w:szCs w:val="24"/>
                <w:highlight w:val="none"/>
              </w:rPr>
              <w:t>允许</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26</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签字和（或）</w:t>
            </w:r>
          </w:p>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盖章要求</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招标文件指定的投标文件里应该加盖企业公章、法人章的和企业法定代表人或其委托代理人签字的，必须履行，否则视为无效文件。</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27</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说明</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本竞争性磋商文件技术指标是作为功能性说明，不论任何情况，供应商在投标时必须达到或优于竞争性磋商文件要求。</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28</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评标办法</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综合评分法</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29</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投标保证金</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投标保证金金额：</w:t>
            </w:r>
            <w:r>
              <w:rPr>
                <w:rFonts w:hint="eastAsia" w:ascii="黑体" w:hAnsi="黑体" w:eastAsia="黑体" w:cs="黑体"/>
                <w:b w:val="0"/>
                <w:bCs w:val="0"/>
                <w:color w:val="auto"/>
                <w:sz w:val="24"/>
                <w:szCs w:val="24"/>
                <w:highlight w:val="none"/>
                <w:lang w:val="en-US" w:eastAsia="zh-CN"/>
              </w:rPr>
              <w:t>15000</w:t>
            </w:r>
            <w:r>
              <w:rPr>
                <w:rFonts w:hint="eastAsia" w:ascii="黑体" w:hAnsi="黑体" w:eastAsia="黑体" w:cs="黑体"/>
                <w:b w:val="0"/>
                <w:bCs w:val="0"/>
                <w:color w:val="auto"/>
                <w:sz w:val="24"/>
                <w:szCs w:val="24"/>
                <w:highlight w:val="none"/>
              </w:rPr>
              <w:t>元（贰万</w:t>
            </w:r>
            <w:r>
              <w:rPr>
                <w:rFonts w:hint="eastAsia" w:ascii="黑体" w:hAnsi="黑体" w:eastAsia="黑体" w:cs="黑体"/>
                <w:b w:val="0"/>
                <w:bCs w:val="0"/>
                <w:color w:val="auto"/>
                <w:sz w:val="24"/>
                <w:szCs w:val="24"/>
                <w:highlight w:val="none"/>
                <w:lang w:eastAsia="zh-CN"/>
              </w:rPr>
              <w:t>伍仟</w:t>
            </w:r>
            <w:r>
              <w:rPr>
                <w:rFonts w:hint="eastAsia" w:ascii="黑体" w:hAnsi="黑体" w:eastAsia="黑体" w:cs="黑体"/>
                <w:b w:val="0"/>
                <w:bCs w:val="0"/>
                <w:color w:val="auto"/>
                <w:sz w:val="24"/>
                <w:szCs w:val="24"/>
                <w:highlight w:val="none"/>
              </w:rPr>
              <w:t>元整）</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投标保证金的形式：由供应商以支票、汇票、本票、保函</w:t>
            </w:r>
            <w:r>
              <w:rPr>
                <w:rFonts w:hint="eastAsia" w:ascii="黑体" w:hAnsi="黑体" w:eastAsia="黑体" w:cs="黑体"/>
                <w:b w:val="0"/>
                <w:bCs w:val="0"/>
                <w:color w:val="auto"/>
                <w:sz w:val="24"/>
                <w:szCs w:val="24"/>
                <w:highlight w:val="none"/>
                <w:lang w:eastAsia="zh-CN"/>
              </w:rPr>
              <w:t>、对公转账</w:t>
            </w:r>
            <w:r>
              <w:rPr>
                <w:rFonts w:hint="eastAsia" w:ascii="黑体" w:hAnsi="黑体" w:eastAsia="黑体" w:cs="黑体"/>
                <w:b w:val="0"/>
                <w:bCs w:val="0"/>
                <w:color w:val="auto"/>
                <w:sz w:val="24"/>
                <w:szCs w:val="24"/>
                <w:highlight w:val="none"/>
              </w:rPr>
              <w:t>等非现金形式缴纳或提交保证金。</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采购代理机构的开户银行及账号如下：</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开户单位：新疆安航工程项目管理有限公司巴州分公司</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开户银行：中国工商银行股份有限公司轮台支行，</w:t>
            </w:r>
          </w:p>
          <w:p>
            <w:pPr>
              <w:adjustRightInd w:val="0"/>
              <w:snapToGrid w:val="0"/>
              <w:spacing w:line="240" w:lineRule="auto"/>
              <w:rPr>
                <w:rFonts w:hint="eastAsia" w:ascii="黑体" w:hAnsi="黑体" w:eastAsia="黑体" w:cs="黑体"/>
                <w:b w:val="0"/>
                <w:bCs w:val="0"/>
                <w:color w:val="auto"/>
                <w:sz w:val="24"/>
                <w:szCs w:val="24"/>
                <w:highlight w:val="none"/>
                <w:u w:val="single"/>
              </w:rPr>
            </w:pPr>
            <w:r>
              <w:rPr>
                <w:rFonts w:hint="eastAsia" w:ascii="黑体" w:hAnsi="黑体" w:eastAsia="黑体" w:cs="黑体"/>
                <w:b w:val="0"/>
                <w:bCs w:val="0"/>
                <w:color w:val="auto"/>
                <w:sz w:val="24"/>
                <w:szCs w:val="24"/>
                <w:highlight w:val="none"/>
              </w:rPr>
              <w:t>提交投标保证金账号为：</w:t>
            </w:r>
            <w:r>
              <w:rPr>
                <w:rFonts w:hint="eastAsia" w:ascii="黑体" w:hAnsi="黑体" w:eastAsia="黑体" w:cs="黑体"/>
                <w:b w:val="0"/>
                <w:bCs w:val="0"/>
                <w:color w:val="auto"/>
                <w:sz w:val="24"/>
                <w:szCs w:val="24"/>
                <w:highlight w:val="none"/>
                <w:u w:val="single"/>
              </w:rPr>
              <w:t>3010 0271 0920 0110 770</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投标保证金的递交截止时间同开标时间（以银行记录确认到账为准）。未按以上要求递交投标保证金及提供保证金交纳凭证或收据的视为无效，采购人将拒绝其投标。</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投标保证金格式：</w:t>
            </w:r>
            <w:r>
              <w:rPr>
                <w:rFonts w:hint="eastAsia" w:ascii="黑体" w:hAnsi="黑体" w:eastAsia="黑体" w:cs="黑体"/>
                <w:color w:val="auto"/>
                <w:sz w:val="24"/>
                <w:szCs w:val="24"/>
                <w:highlight w:val="none"/>
                <w:lang w:eastAsia="zh-CN"/>
              </w:rPr>
              <w:t>轮台县农业农村局2021年人居环境整治建设项目（一期）工程结算审查</w:t>
            </w:r>
          </w:p>
        </w:tc>
      </w:tr>
      <w:tr>
        <w:tblPrEx>
          <w:tblCellMar>
            <w:top w:w="0" w:type="dxa"/>
            <w:left w:w="108" w:type="dxa"/>
            <w:bottom w:w="0" w:type="dxa"/>
            <w:right w:w="108" w:type="dxa"/>
          </w:tblCellMar>
        </w:tblPrEx>
        <w:trPr>
          <w:trHeight w:val="1274"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30</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投标文件</w:t>
            </w:r>
          </w:p>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递交截止时间（开标时间）及地点</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时间：2022年</w:t>
            </w:r>
            <w:r>
              <w:rPr>
                <w:rFonts w:hint="eastAsia" w:ascii="黑体" w:hAnsi="黑体" w:eastAsia="黑体" w:cs="黑体"/>
                <w:b w:val="0"/>
                <w:bCs w:val="0"/>
                <w:color w:val="auto"/>
                <w:sz w:val="24"/>
                <w:szCs w:val="24"/>
                <w:highlight w:val="none"/>
                <w:lang w:val="en-US" w:eastAsia="zh-CN"/>
              </w:rPr>
              <w:t>10月19</w:t>
            </w:r>
            <w:bookmarkStart w:id="835" w:name="_GoBack"/>
            <w:bookmarkEnd w:id="835"/>
            <w:r>
              <w:rPr>
                <w:rFonts w:hint="eastAsia" w:ascii="黑体" w:hAnsi="黑体" w:eastAsia="黑体" w:cs="黑体"/>
                <w:b w:val="0"/>
                <w:bCs w:val="0"/>
                <w:color w:val="auto"/>
                <w:sz w:val="24"/>
                <w:szCs w:val="24"/>
                <w:highlight w:val="none"/>
                <w:lang w:val="en-US" w:eastAsia="zh-CN"/>
              </w:rPr>
              <w:t>日</w:t>
            </w:r>
            <w:r>
              <w:rPr>
                <w:rFonts w:hint="eastAsia" w:ascii="黑体" w:hAnsi="黑体" w:eastAsia="黑体" w:cs="黑体"/>
                <w:b w:val="0"/>
                <w:bCs w:val="0"/>
                <w:color w:val="auto"/>
                <w:sz w:val="24"/>
                <w:szCs w:val="24"/>
                <w:highlight w:val="none"/>
              </w:rPr>
              <w:t>1</w:t>
            </w:r>
            <w:r>
              <w:rPr>
                <w:rFonts w:hint="eastAsia" w:ascii="黑体" w:hAnsi="黑体" w:eastAsia="黑体" w:cs="黑体"/>
                <w:b w:val="0"/>
                <w:bCs w:val="0"/>
                <w:color w:val="auto"/>
                <w:sz w:val="24"/>
                <w:szCs w:val="24"/>
                <w:highlight w:val="none"/>
                <w:lang w:val="en-US" w:eastAsia="zh-CN"/>
              </w:rPr>
              <w:t>6</w:t>
            </w:r>
            <w:r>
              <w:rPr>
                <w:rFonts w:hint="eastAsia" w:ascii="黑体" w:hAnsi="黑体" w:eastAsia="黑体" w:cs="黑体"/>
                <w:b w:val="0"/>
                <w:bCs w:val="0"/>
                <w:color w:val="auto"/>
                <w:sz w:val="24"/>
                <w:szCs w:val="24"/>
                <w:highlight w:val="none"/>
              </w:rPr>
              <w:t>时00分</w:t>
            </w:r>
          </w:p>
          <w:p>
            <w:pPr>
              <w:adjustRightInd w:val="0"/>
              <w:snapToGrid w:val="0"/>
              <w:spacing w:line="240" w:lineRule="auto"/>
              <w:rPr>
                <w:rFonts w:hint="eastAsia" w:ascii="黑体" w:hAnsi="黑体" w:eastAsia="黑体" w:cs="黑体"/>
                <w:b w:val="0"/>
                <w:bCs w:val="0"/>
                <w:color w:val="auto"/>
                <w:highlight w:val="none"/>
                <w:lang w:eastAsia="zh-CN"/>
              </w:rPr>
            </w:pPr>
            <w:r>
              <w:rPr>
                <w:rFonts w:hint="eastAsia" w:ascii="黑体" w:hAnsi="黑体" w:eastAsia="黑体" w:cs="黑体"/>
                <w:b w:val="0"/>
                <w:bCs w:val="0"/>
                <w:color w:val="auto"/>
                <w:sz w:val="24"/>
                <w:szCs w:val="24"/>
                <w:highlight w:val="none"/>
              </w:rPr>
              <w:t>地点：</w:t>
            </w:r>
            <w:r>
              <w:rPr>
                <w:rFonts w:hint="eastAsia" w:ascii="黑体" w:hAnsi="黑体" w:eastAsia="黑体" w:cs="黑体"/>
                <w:b w:val="0"/>
                <w:bCs w:val="0"/>
                <w:color w:val="auto"/>
                <w:sz w:val="24"/>
                <w:szCs w:val="24"/>
                <w:highlight w:val="none"/>
                <w:lang w:eastAsia="zh-CN"/>
              </w:rPr>
              <w:t>轮台县农业农村局三楼会议室</w:t>
            </w:r>
          </w:p>
        </w:tc>
      </w:tr>
      <w:tr>
        <w:tblPrEx>
          <w:tblCellMar>
            <w:top w:w="0" w:type="dxa"/>
            <w:left w:w="108" w:type="dxa"/>
            <w:bottom w:w="0" w:type="dxa"/>
            <w:right w:w="108" w:type="dxa"/>
          </w:tblCellMar>
        </w:tblPrEx>
        <w:trPr>
          <w:trHeight w:val="448"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31</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最高限价</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pacing w:val="1"/>
                <w:sz w:val="24"/>
                <w:szCs w:val="24"/>
                <w:highlight w:val="none"/>
              </w:rPr>
              <w:t>最高限价：</w:t>
            </w:r>
            <w:r>
              <w:rPr>
                <w:rFonts w:hint="eastAsia" w:ascii="黑体" w:hAnsi="黑体" w:eastAsia="黑体" w:cs="黑体"/>
                <w:b w:val="0"/>
                <w:bCs w:val="0"/>
                <w:color w:val="auto"/>
                <w:spacing w:val="1"/>
                <w:sz w:val="24"/>
                <w:szCs w:val="24"/>
                <w:highlight w:val="none"/>
                <w:lang w:val="en-US" w:eastAsia="zh-CN"/>
              </w:rPr>
              <w:t>76</w:t>
            </w:r>
            <w:r>
              <w:rPr>
                <w:rFonts w:hint="eastAsia" w:ascii="黑体" w:hAnsi="黑体" w:eastAsia="黑体" w:cs="黑体"/>
                <w:b w:val="0"/>
                <w:bCs w:val="0"/>
                <w:color w:val="auto"/>
                <w:spacing w:val="1"/>
                <w:sz w:val="24"/>
                <w:szCs w:val="24"/>
                <w:highlight w:val="none"/>
              </w:rPr>
              <w:t xml:space="preserve">万元    </w:t>
            </w:r>
            <w:r>
              <w:rPr>
                <w:rFonts w:hint="eastAsia" w:ascii="黑体" w:hAnsi="黑体" w:eastAsia="黑体" w:cs="黑体"/>
                <w:b w:val="0"/>
                <w:bCs w:val="0"/>
                <w:color w:val="auto"/>
                <w:sz w:val="24"/>
                <w:szCs w:val="24"/>
                <w:highlight w:val="none"/>
              </w:rPr>
              <w:t xml:space="preserve">  </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(报价不得等于或高于最高限价金额，否则将按无效投标处理)</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32</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代理服务费和场地费</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由中标（成交）单位支付，代理服务费收取标准参照国计委计价格[2002]1980号文执行。</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33</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提出质疑的时间</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1、对竞争性磋商文件提出质疑的，应当在获取竞争性磋商文件或者竞争性磋商公告期限届满之日起7个工作日内提出。</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2、供应商认为竞争性磋商文件、采购过程、中标或者成交结果使自己的权益受到损害的，可以在知道或者应知其权益受到损害之日起7个工作日内，以书面形式向采购人、采购代理机构提出质疑。</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34</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备注</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1、竞争性磋商文件中所有偏离表，若有偏离,请将具体偏离条款在“偏离”一栏中详细说明；若无偏离，请在“偏离”一栏中标注“无”字样。如不填写将视为不响应竞争性磋商文件要求；</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2、本次招标各供应商投标时以人民币报价。</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35</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解释权</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构成本竞争性磋商文件的各个组成文件应互为解释，互为说明；如有不明确或不一致，构成合同文件组成内容，以合同文件约定内容为准，且以专用合同条款约定的合同文件优先顺序解释；除竞争性磋商文件中有特别规定外，仅适用于招标投标阶段的规定，按竞争性磋商公告、供应商须知、服务标准及要求、响应文件格式的先后顺序解释；同一组成文件中就同一事项的规定或约定不一致的，以编排顺序在后者为准；同一组成文件不同版本之间有不一致的，以形成时间在后者为准。按本款前述规定仍不形成结论的，由采购人负责解释。</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36</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知识产权</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1.供应商须保证，采购人在中华人民共和国境内使用投标设施设备、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如因此导致采购人损失的，供应商须承担全部赔偿责任。</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2.供应商如欲在项目实施过程中采用自有知识成果，须在响应文件中声明，并提供相关知识产权证明文件。使用该知识成果后，供应商须提供开发接口和开发手册等技术文档。</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37</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政府采购</w:t>
            </w:r>
          </w:p>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政策支持</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1.促进中小企业发展政策：根据《政府采购促进中小企业发展暂行办法》规定，本项目供应商为小型或微型企业且报价产品为小型或微型企业生产的，将对该报价产品的评标报价给予6%的扣除。供应商和制造商应出具响应文件要求的《中小企业声明函》给予证明，否则评标时不予认可。供应商和制造商应对提交的中小企业声明函的真实性负责，提交的中小企业声明函不真实的，应承担相应的法律责任。</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2.监狱企业扶持政策：供应商如为监狱企业将视同小型或微型企业，且报价产品为小型或微型企业生产的，将对该产品的评标报价给予6%的扣除。供应商为监狱企业的，应提供由省级以上监狱管理局、戒毒管理局（含新疆生产建设兵团）出具的属于监狱企业的证明文件。供应商应对提交属于监狱企业的证明文件的真实性负责，提交的监狱企业的证明文件不真实的，应承担相应的法律责任。</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3.残疾人福利性单位视同小型、微型企业。不重复享受政策。</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列入财政部会同国务院有关部门发布的节能产品、环境标志产品品目服务标准及要求，供应商应当提供国家确定的认证机构出具的、处于有效期之内的节能产品、环境标志产品认证证书。</w:t>
            </w:r>
          </w:p>
        </w:tc>
      </w:tr>
      <w:tr>
        <w:tblPrEx>
          <w:tblCellMar>
            <w:top w:w="0" w:type="dxa"/>
            <w:left w:w="108" w:type="dxa"/>
            <w:bottom w:w="0" w:type="dxa"/>
            <w:right w:w="108" w:type="dxa"/>
          </w:tblCellMar>
        </w:tblPrEx>
        <w:trPr>
          <w:trHeight w:val="31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38</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专家组成</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pStyle w:val="17"/>
              <w:adjustRightIn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招标采购单位依法组建专家小组共__</w:t>
            </w:r>
            <w:r>
              <w:rPr>
                <w:rFonts w:hint="eastAsia" w:ascii="黑体" w:hAnsi="黑体" w:eastAsia="黑体" w:cs="黑体"/>
                <w:b w:val="0"/>
                <w:bCs w:val="0"/>
                <w:color w:val="auto"/>
                <w:sz w:val="24"/>
                <w:szCs w:val="24"/>
                <w:highlight w:val="none"/>
                <w:u w:val="single"/>
              </w:rPr>
              <w:t xml:space="preserve">5 </w:t>
            </w:r>
            <w:r>
              <w:rPr>
                <w:rFonts w:hint="eastAsia" w:ascii="黑体" w:hAnsi="黑体" w:eastAsia="黑体" w:cs="黑体"/>
                <w:b w:val="0"/>
                <w:bCs w:val="0"/>
                <w:color w:val="auto"/>
                <w:sz w:val="24"/>
                <w:szCs w:val="24"/>
                <w:highlight w:val="none"/>
              </w:rPr>
              <w:t>人组成，其中采购人代表  1  人和政采云评标专家库中抽取专家评委</w:t>
            </w:r>
            <w:r>
              <w:rPr>
                <w:rFonts w:hint="eastAsia" w:ascii="黑体" w:hAnsi="黑体" w:eastAsia="黑体" w:cs="黑体"/>
                <w:b w:val="0"/>
                <w:bCs w:val="0"/>
                <w:color w:val="auto"/>
                <w:sz w:val="24"/>
                <w:szCs w:val="24"/>
                <w:highlight w:val="none"/>
                <w:u w:val="single"/>
              </w:rPr>
              <w:t xml:space="preserve"> 4 </w:t>
            </w:r>
            <w:r>
              <w:rPr>
                <w:rFonts w:hint="eastAsia" w:ascii="黑体" w:hAnsi="黑体" w:eastAsia="黑体" w:cs="黑体"/>
                <w:b w:val="0"/>
                <w:bCs w:val="0"/>
                <w:color w:val="auto"/>
                <w:sz w:val="24"/>
                <w:szCs w:val="24"/>
                <w:highlight w:val="none"/>
              </w:rPr>
              <w:t>人。</w:t>
            </w:r>
          </w:p>
          <w:p>
            <w:pPr>
              <w:pStyle w:val="17"/>
              <w:adjustRightIn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小组确定方式：从巴州政府采购专家库中随机抽取确定。</w:t>
            </w:r>
          </w:p>
        </w:tc>
      </w:tr>
    </w:tbl>
    <w:p>
      <w:pPr>
        <w:pStyle w:val="22"/>
        <w:spacing w:line="360" w:lineRule="auto"/>
        <w:jc w:val="center"/>
        <w:rPr>
          <w:rStyle w:val="25"/>
          <w:rFonts w:hint="eastAsia" w:ascii="宋体" w:hAnsi="宋体" w:cs="宋体"/>
          <w:color w:val="auto"/>
          <w:sz w:val="28"/>
          <w:szCs w:val="28"/>
          <w:highlight w:val="none"/>
        </w:rPr>
      </w:pPr>
      <w:r>
        <w:rPr>
          <w:rStyle w:val="24"/>
          <w:rFonts w:hint="eastAsia" w:ascii="宋体" w:hAnsi="宋体" w:cs="宋体"/>
          <w:color w:val="auto"/>
          <w:highlight w:val="none"/>
        </w:rPr>
        <w:br w:type="page"/>
      </w:r>
      <w:r>
        <w:rPr>
          <w:rStyle w:val="24"/>
          <w:rFonts w:hint="eastAsia" w:ascii="宋体" w:hAnsi="宋体" w:cs="宋体"/>
          <w:color w:val="auto"/>
          <w:sz w:val="32"/>
          <w:szCs w:val="32"/>
          <w:highlight w:val="none"/>
        </w:rPr>
        <w:t>供应商须知正文部分</w:t>
      </w:r>
    </w:p>
    <w:p>
      <w:pPr>
        <w:numPr>
          <w:ilvl w:val="0"/>
          <w:numId w:val="7"/>
        </w:numPr>
        <w:jc w:val="center"/>
        <w:rPr>
          <w:rFonts w:hint="eastAsia" w:ascii="宋体" w:hAnsi="宋体" w:cs="宋体"/>
          <w:b/>
          <w:bCs/>
          <w:color w:val="auto"/>
          <w:sz w:val="28"/>
          <w:szCs w:val="28"/>
          <w:highlight w:val="none"/>
        </w:rPr>
      </w:pPr>
      <w:bookmarkStart w:id="19" w:name="_Toc12052"/>
      <w:bookmarkStart w:id="20" w:name="_Toc15356"/>
      <w:bookmarkStart w:id="21" w:name="_Toc6529"/>
      <w:bookmarkStart w:id="22" w:name="_Toc1706"/>
      <w:bookmarkStart w:id="23" w:name="_Toc23291"/>
      <w:bookmarkStart w:id="24" w:name="_Toc21821"/>
      <w:bookmarkStart w:id="25" w:name="_Toc7140"/>
      <w:bookmarkStart w:id="26" w:name="_Toc27410"/>
      <w:bookmarkStart w:id="27" w:name="_Toc19272"/>
      <w:bookmarkStart w:id="28" w:name="_Toc18439"/>
      <w:r>
        <w:rPr>
          <w:rFonts w:hint="eastAsia" w:ascii="宋体" w:hAnsi="宋体" w:cs="宋体"/>
          <w:b/>
          <w:bCs/>
          <w:color w:val="auto"/>
          <w:sz w:val="28"/>
          <w:szCs w:val="28"/>
          <w:highlight w:val="none"/>
        </w:rPr>
        <w:t>总  则</w:t>
      </w:r>
      <w:bookmarkEnd w:id="19"/>
      <w:bookmarkEnd w:id="20"/>
      <w:bookmarkEnd w:id="21"/>
      <w:bookmarkEnd w:id="22"/>
      <w:bookmarkEnd w:id="23"/>
      <w:bookmarkEnd w:id="24"/>
      <w:bookmarkEnd w:id="25"/>
      <w:bookmarkEnd w:id="26"/>
      <w:bookmarkEnd w:id="27"/>
      <w:bookmarkEnd w:id="28"/>
    </w:p>
    <w:p>
      <w:pPr>
        <w:spacing w:line="360" w:lineRule="auto"/>
        <w:rPr>
          <w:rFonts w:hint="eastAsia" w:ascii="宋体" w:hAnsi="宋体" w:cs="宋体"/>
          <w:b/>
          <w:bCs/>
          <w:color w:val="auto"/>
          <w:sz w:val="28"/>
          <w:szCs w:val="28"/>
          <w:highlight w:val="none"/>
        </w:rPr>
      </w:pPr>
      <w:bookmarkStart w:id="29" w:name="_Toc15894"/>
      <w:bookmarkStart w:id="30" w:name="_Toc20661"/>
      <w:bookmarkStart w:id="31" w:name="_Toc2677"/>
      <w:r>
        <w:rPr>
          <w:rFonts w:hint="eastAsia" w:ascii="宋体" w:hAnsi="宋体" w:cs="宋体"/>
          <w:b/>
          <w:bCs/>
          <w:color w:val="auto"/>
          <w:sz w:val="28"/>
          <w:szCs w:val="28"/>
          <w:highlight w:val="none"/>
        </w:rPr>
        <w:t>1  合格的供应商</w:t>
      </w:r>
      <w:bookmarkEnd w:id="29"/>
      <w:bookmarkEnd w:id="30"/>
      <w:bookmarkEnd w:id="31"/>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 供应商参加政府采购活动应当具备下列条件：</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（一）具有独立承担民事责任的能力；</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（二）具有履行合同所必需的设备和专业技术能力；</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（三）有依法缴纳税收和社会保障资金的良好记录；</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（四）参加政府采购活动前三年内，在经营活动中没有重大违法记录；</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（五）法律、行政法规规定的其他条件。</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 凡参加投标的供应商必须具有履行本竞争性磋商文件规定的有关要求的能力，信誉良好。</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 若采购人员及相关人员与供应商有下列利害关系之一的，应当回避：</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1.3.1 参加采购活动前3年内与供应商存在劳动关系；</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1.3.2 参加采购活动前3年内担任供应商的董事、监事；</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1.3.3 参加采购活动前3年内是供应商的控股股东或者实际控制人；</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1.3.4 与供应商的法定代表人或者负责人有夫妻、直系血亲、三代以内旁系血亲或者近姻亲关系；</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1.3.5 与供应商有其他可能影响政府采购活动公平、公正进行的关系。</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1.3.6 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 采购人或者采购代理机构有下列情形之一的，属于以不合理的条件对供应商实行差别待遇或者歧视待遇：</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1.4.1 就同一采购项目向供应商提供有差别的项目信息；</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1.4.2 设定的资格、技术、商务条件与采购项目的具体特点和实际需要不相适应或者与合同履行无关；</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1.4.3 采购需求中的技术、服务等要求指向特定供应商、特定产品；</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1.4.4 以特定行政区域或者特定行业的业绩、奖项作为中标和成交条件；</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1.4.5 对供应商采取不同的资格审查或者评审标准；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1.4.6 限定或者指定特定的专利、商标、品牌或者供应商；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1.4.7 非法限定供应商的所有制形式、组织形式或者所在地；</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1.4.8 以其他不合理条件限制或者排斥潜在供应商。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 有下列情形之一的，视为供应商串通投标，其投标无效：</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1.5.1不同供应商的响应文件由同一单位或者个人编制；</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1.5.2不同供应商委托同一单位或者个人办理投标事宜；</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1.5.3不同供应商的响应文件载明的项目管理成员或者联系人员为同一人；</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1.5.4不同供应商的响应文件异常一致或者报价呈规律性差异；</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1.5.5不同供应商的响应文件相互混装；</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1.5.6不同供应商的投标保证金从同一单位或者个人的账户转出。</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 供应商在本次采购活动中，必须遵循《中华人民共和国政府采购法实施条例》等相关法令、法规的规定。</w:t>
      </w:r>
    </w:p>
    <w:p>
      <w:pPr>
        <w:spacing w:line="360" w:lineRule="auto"/>
        <w:rPr>
          <w:rFonts w:hint="eastAsia" w:ascii="宋体" w:hAnsi="宋体" w:cs="宋体"/>
          <w:b/>
          <w:bCs/>
          <w:color w:val="auto"/>
          <w:sz w:val="28"/>
          <w:szCs w:val="28"/>
          <w:highlight w:val="none"/>
        </w:rPr>
      </w:pPr>
      <w:bookmarkStart w:id="32" w:name="_Toc21361"/>
      <w:bookmarkStart w:id="33" w:name="_Toc13508"/>
      <w:bookmarkStart w:id="34" w:name="_Toc21311"/>
      <w:r>
        <w:rPr>
          <w:rFonts w:hint="eastAsia" w:ascii="宋体" w:hAnsi="宋体" w:cs="宋体"/>
          <w:b/>
          <w:bCs/>
          <w:color w:val="auto"/>
          <w:sz w:val="28"/>
          <w:szCs w:val="28"/>
          <w:highlight w:val="none"/>
        </w:rPr>
        <w:t>2  定义</w:t>
      </w:r>
      <w:bookmarkEnd w:id="32"/>
      <w:bookmarkEnd w:id="33"/>
      <w:bookmarkEnd w:id="34"/>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2.1“采购人”系指依法进行政府采购的国家机关、事业单位、团体组织。</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2.2“采购代理机构”系指具备一定条件，经政府有关部门批准而依法拥有政府采购代理资格的社会中介机构。</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2.3“供应商”系指参加政府采购市场的合法供应</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"https://baike.baidu.com/item/%E4%B8%BB%E4%BD%93/2888766" \t "https://baike.baidu.com/item/%E6%94%BF%E5%BA%9C%E9%87%87%E8%B4%AD%E4%BE%9B%E5%BA%94%E5%95%86/_blank"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主体</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，具体是指向采购人提供货物、工程或者服务的法人、其他组织或者</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"https://baike.baidu.com/item/%E8%87%AA%E7%84%B6%E4%BA%BA/1465" \t "https://baike.baidu.com/item/%E6%94%BF%E5%BA%9C%E9%87%87%E8%B4%AD%E4%BE%9B%E5%BA%94%E5%95%86/_blank"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自然人</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2.4“采购”是指以合同方式有偿取得服务、货物和工程的行为，包括购买、租赁、委托、雇用等。</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“服务”是指除货物和工程以外的其他政府采购对象，包括政府自身需要的服务和政府向社会公众提供的公共服务。</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 “竞争性磋商文件”系指由采购人向供应商发出的本采购项目的全部文件（包括修改文件、补充文件、答疑纪要、各种通知和附件等）。</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2.6 “响应文件”系指供应商根据竞争性磋商文件提交的所有文件。</w:t>
      </w:r>
    </w:p>
    <w:p>
      <w:pPr>
        <w:spacing w:line="360" w:lineRule="auto"/>
        <w:rPr>
          <w:rFonts w:hint="eastAsia" w:ascii="宋体" w:hAnsi="宋体" w:cs="宋体"/>
          <w:b/>
          <w:bCs/>
          <w:color w:val="auto"/>
          <w:sz w:val="28"/>
          <w:szCs w:val="28"/>
          <w:highlight w:val="none"/>
        </w:rPr>
      </w:pPr>
      <w:bookmarkStart w:id="35" w:name="_Toc28507"/>
      <w:bookmarkStart w:id="36" w:name="_Toc8374"/>
      <w:bookmarkStart w:id="37" w:name="_Toc9762"/>
      <w:r>
        <w:rPr>
          <w:rFonts w:hint="eastAsia" w:ascii="宋体" w:hAnsi="宋体" w:cs="宋体"/>
          <w:b/>
          <w:bCs/>
          <w:color w:val="auto"/>
          <w:sz w:val="28"/>
          <w:szCs w:val="28"/>
          <w:highlight w:val="none"/>
        </w:rPr>
        <w:t>3  文件费用:0元。</w:t>
      </w:r>
      <w:bookmarkEnd w:id="35"/>
      <w:bookmarkEnd w:id="36"/>
      <w:bookmarkEnd w:id="37"/>
    </w:p>
    <w:p>
      <w:pPr>
        <w:spacing w:line="360" w:lineRule="auto"/>
        <w:rPr>
          <w:rFonts w:hint="eastAsia" w:ascii="宋体" w:hAnsi="宋体" w:cs="宋体"/>
          <w:b/>
          <w:bCs/>
          <w:color w:val="auto"/>
          <w:sz w:val="28"/>
          <w:szCs w:val="28"/>
          <w:highlight w:val="none"/>
        </w:rPr>
      </w:pPr>
      <w:bookmarkStart w:id="38" w:name="_Toc9236"/>
      <w:bookmarkStart w:id="39" w:name="_Toc26674"/>
      <w:bookmarkStart w:id="40" w:name="_Toc12273"/>
      <w:r>
        <w:rPr>
          <w:rFonts w:hint="eastAsia" w:ascii="宋体" w:hAnsi="宋体" w:cs="宋体"/>
          <w:b/>
          <w:bCs/>
          <w:color w:val="auto"/>
          <w:sz w:val="28"/>
          <w:szCs w:val="28"/>
          <w:highlight w:val="none"/>
        </w:rPr>
        <w:t xml:space="preserve">4  </w:t>
      </w:r>
      <w:bookmarkEnd w:id="38"/>
      <w:bookmarkEnd w:id="39"/>
      <w:bookmarkEnd w:id="40"/>
      <w:r>
        <w:rPr>
          <w:rFonts w:hint="eastAsia" w:ascii="宋体" w:hAnsi="宋体" w:cs="宋体"/>
          <w:b/>
          <w:bCs/>
          <w:color w:val="auto"/>
          <w:sz w:val="28"/>
          <w:szCs w:val="28"/>
          <w:highlight w:val="none"/>
        </w:rPr>
        <w:t>服务内容</w:t>
      </w:r>
    </w:p>
    <w:p>
      <w:pPr>
        <w:spacing w:line="360" w:lineRule="auto"/>
        <w:ind w:left="563" w:leftChars="266"/>
        <w:rPr>
          <w:rFonts w:hint="eastAsia" w:ascii="宋体" w:hAnsi="宋体" w:cs="宋体"/>
          <w:color w:val="auto"/>
          <w:sz w:val="24"/>
          <w:szCs w:val="24"/>
          <w:highlight w:val="none"/>
        </w:rPr>
      </w:pPr>
      <w:r>
        <w:rPr>
          <w:rFonts w:hint="eastAsia" w:ascii="宋体" w:hAnsi="宋体" w:cs="宋体"/>
          <w:color w:val="auto"/>
          <w:sz w:val="24"/>
          <w:szCs w:val="24"/>
          <w:highlight w:val="none"/>
        </w:rPr>
        <w:t>4.1 内容： （具体内容详见招标文件）。</w:t>
      </w:r>
    </w:p>
    <w:p>
      <w:pPr>
        <w:spacing w:line="360" w:lineRule="auto"/>
        <w:ind w:left="563" w:leftChars="266"/>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4.2 </w:t>
      </w:r>
      <w:r>
        <w:rPr>
          <w:rFonts w:hint="eastAsia" w:ascii="宋体" w:hAnsi="宋体" w:cs="宋体"/>
          <w:b/>
          <w:bCs/>
          <w:color w:val="auto"/>
          <w:sz w:val="24"/>
          <w:szCs w:val="24"/>
          <w:highlight w:val="none"/>
        </w:rPr>
        <w:t>采购项目服务标准及要求</w:t>
      </w:r>
      <w:r>
        <w:rPr>
          <w:rFonts w:hint="eastAsia" w:ascii="宋体" w:hAnsi="宋体" w:cs="宋体"/>
          <w:color w:val="auto"/>
          <w:sz w:val="24"/>
          <w:szCs w:val="24"/>
          <w:highlight w:val="none"/>
        </w:rPr>
        <w:t>详见第三章；</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 在采购活动中的标准按国家现行规定（国际标准、国家标准、部标或行业标准）执行。</w:t>
      </w:r>
    </w:p>
    <w:p>
      <w:pPr>
        <w:spacing w:line="360" w:lineRule="auto"/>
        <w:rPr>
          <w:rFonts w:hint="eastAsia" w:ascii="宋体" w:hAnsi="宋体" w:cs="宋体"/>
          <w:b/>
          <w:bCs/>
          <w:color w:val="auto"/>
          <w:sz w:val="24"/>
          <w:szCs w:val="24"/>
          <w:highlight w:val="none"/>
        </w:rPr>
      </w:pPr>
      <w:bookmarkStart w:id="41" w:name="_Toc2891"/>
      <w:bookmarkStart w:id="42" w:name="_Toc13918"/>
      <w:bookmarkStart w:id="43" w:name="_Toc30414"/>
      <w:r>
        <w:rPr>
          <w:rFonts w:hint="eastAsia" w:ascii="宋体" w:hAnsi="宋体" w:cs="宋体"/>
          <w:b/>
          <w:bCs/>
          <w:color w:val="auto"/>
          <w:sz w:val="24"/>
          <w:szCs w:val="24"/>
          <w:highlight w:val="none"/>
        </w:rPr>
        <w:t>5  有关说明</w:t>
      </w:r>
      <w:bookmarkEnd w:id="41"/>
      <w:bookmarkEnd w:id="42"/>
      <w:bookmarkEnd w:id="43"/>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5.1 规范要求和实际需要的内容，在竞争性磋商文件中有漏项，务请在响应文件中指出，并提供解决方案作实质性响应。</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5.2 供应商根据招标文件载明的标的采购项目实际情况，拟在中标后将中标项目的非主体、非关键性工作交由他人完成的，应当在投标文件中载明。</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5.3 供应商应提供该项目技术支持和服务承诺书。</w:t>
      </w:r>
    </w:p>
    <w:p>
      <w:pPr>
        <w:spacing w:line="360" w:lineRule="auto"/>
        <w:jc w:val="center"/>
        <w:rPr>
          <w:rFonts w:hint="eastAsia" w:ascii="宋体" w:hAnsi="宋体" w:cs="宋体"/>
          <w:b/>
          <w:bCs/>
          <w:color w:val="auto"/>
          <w:sz w:val="28"/>
          <w:szCs w:val="28"/>
          <w:highlight w:val="none"/>
        </w:rPr>
      </w:pPr>
      <w:bookmarkStart w:id="44" w:name="_Toc4128"/>
      <w:bookmarkStart w:id="45" w:name="_Toc6626"/>
      <w:bookmarkStart w:id="46" w:name="_Toc18640"/>
      <w:bookmarkStart w:id="47" w:name="_Toc17382"/>
      <w:r>
        <w:rPr>
          <w:rFonts w:hint="eastAsia" w:ascii="宋体" w:hAnsi="宋体" w:cs="宋体"/>
          <w:b/>
          <w:bCs/>
          <w:color w:val="auto"/>
          <w:sz w:val="28"/>
          <w:szCs w:val="28"/>
          <w:highlight w:val="none"/>
        </w:rPr>
        <w:t>二、</w:t>
      </w:r>
      <w:bookmarkEnd w:id="44"/>
      <w:bookmarkEnd w:id="45"/>
      <w:bookmarkEnd w:id="46"/>
      <w:bookmarkEnd w:id="47"/>
      <w:r>
        <w:rPr>
          <w:rFonts w:hint="eastAsia" w:ascii="宋体" w:hAnsi="宋体" w:cs="宋体"/>
          <w:b/>
          <w:bCs/>
          <w:color w:val="auto"/>
          <w:sz w:val="28"/>
          <w:szCs w:val="28"/>
          <w:highlight w:val="none"/>
        </w:rPr>
        <w:t>竞争性磋商文件</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6  竞争性磋商文件</w:t>
      </w:r>
    </w:p>
    <w:p>
      <w:pPr>
        <w:spacing w:line="360" w:lineRule="auto"/>
        <w:ind w:firstLine="484" w:firstLineChars="200"/>
        <w:rPr>
          <w:rFonts w:hint="eastAsia" w:ascii="宋体" w:hAnsi="宋体" w:cs="宋体"/>
          <w:color w:val="auto"/>
          <w:sz w:val="28"/>
          <w:szCs w:val="28"/>
          <w:highlight w:val="none"/>
        </w:rPr>
      </w:pPr>
      <w:r>
        <w:rPr>
          <w:rFonts w:hint="eastAsia" w:ascii="宋体" w:hAnsi="宋体" w:cs="宋体"/>
          <w:color w:val="auto"/>
          <w:sz w:val="24"/>
          <w:szCs w:val="24"/>
          <w:highlight w:val="none"/>
        </w:rPr>
        <w:t>6.1 竞争性磋商文件用以阐明所需服务采购程序和商务合同主要条款，包括：</w:t>
      </w:r>
    </w:p>
    <w:p>
      <w:pPr>
        <w:spacing w:line="360" w:lineRule="auto"/>
        <w:ind w:firstLine="484"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第一章 竞争性磋商公告</w:t>
      </w:r>
    </w:p>
    <w:p>
      <w:pPr>
        <w:spacing w:line="360" w:lineRule="auto"/>
        <w:ind w:firstLine="484"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第二章 供应商须知</w:t>
      </w:r>
    </w:p>
    <w:p>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           供应商须知前附表</w:t>
      </w:r>
    </w:p>
    <w:p>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           供应商须知正文部分</w:t>
      </w:r>
    </w:p>
    <w:p>
      <w:pPr>
        <w:spacing w:line="360" w:lineRule="auto"/>
        <w:ind w:firstLine="484"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第三章 服务标准及要求</w:t>
      </w:r>
    </w:p>
    <w:p>
      <w:pPr>
        <w:spacing w:line="360" w:lineRule="auto"/>
        <w:ind w:firstLine="484"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第四章 合同范本</w:t>
      </w:r>
    </w:p>
    <w:p>
      <w:pPr>
        <w:spacing w:line="360" w:lineRule="auto"/>
        <w:ind w:firstLine="484"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第五章 主要响应文件的格式及其内容  </w:t>
      </w:r>
    </w:p>
    <w:p>
      <w:pPr>
        <w:spacing w:line="360" w:lineRule="auto"/>
        <w:ind w:firstLine="1210" w:firstLineChars="5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附件1:投标函</w:t>
      </w:r>
    </w:p>
    <w:p>
      <w:pPr>
        <w:spacing w:line="360" w:lineRule="auto"/>
        <w:ind w:firstLine="1210" w:firstLineChars="5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附件2:法定代表人资格证明及授权委托书</w:t>
      </w:r>
    </w:p>
    <w:p>
      <w:pPr>
        <w:spacing w:line="360" w:lineRule="auto"/>
        <w:ind w:firstLine="1210" w:firstLineChars="5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附件3:报价一览表</w:t>
      </w:r>
    </w:p>
    <w:p>
      <w:pPr>
        <w:spacing w:line="360" w:lineRule="auto"/>
        <w:ind w:firstLine="1210" w:firstLineChars="5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附件4:供应商概况表</w:t>
      </w:r>
    </w:p>
    <w:p>
      <w:pPr>
        <w:spacing w:line="360" w:lineRule="auto"/>
        <w:ind w:firstLine="1210" w:firstLineChars="5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附件5:无重大违法记录的书面声明</w:t>
      </w:r>
    </w:p>
    <w:p>
      <w:pPr>
        <w:spacing w:line="360" w:lineRule="auto"/>
        <w:ind w:firstLine="1210" w:firstLineChars="5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附件6:企业202</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年财务审计报告</w:t>
      </w:r>
    </w:p>
    <w:p>
      <w:pPr>
        <w:spacing w:line="360" w:lineRule="auto"/>
        <w:ind w:firstLine="1210" w:firstLineChars="5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附件7:“重法纪、讲诚信”承诺书</w:t>
      </w:r>
    </w:p>
    <w:p>
      <w:pPr>
        <w:spacing w:line="360" w:lineRule="auto"/>
        <w:ind w:firstLine="1210" w:firstLineChars="5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附件8:反商业贿赂承诺书</w:t>
      </w:r>
    </w:p>
    <w:p>
      <w:pPr>
        <w:spacing w:line="360" w:lineRule="auto"/>
        <w:ind w:firstLine="1210" w:firstLineChars="5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附件9:商务条款偏离表</w:t>
      </w:r>
    </w:p>
    <w:p>
      <w:pPr>
        <w:spacing w:line="360" w:lineRule="auto"/>
        <w:ind w:firstLine="1210" w:firstLineChars="5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附件10:技术规格偏离表</w:t>
      </w:r>
    </w:p>
    <w:p>
      <w:pPr>
        <w:spacing w:line="360" w:lineRule="auto"/>
        <w:ind w:firstLine="1210" w:firstLineChars="5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附件11:近三年同类项目业绩表</w:t>
      </w:r>
    </w:p>
    <w:p>
      <w:pPr>
        <w:spacing w:line="360" w:lineRule="auto"/>
        <w:ind w:firstLine="1210" w:firstLineChars="5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附件12:拟派项目负责人简历表</w:t>
      </w:r>
    </w:p>
    <w:p>
      <w:pPr>
        <w:spacing w:line="360" w:lineRule="auto"/>
        <w:ind w:firstLine="1210" w:firstLineChars="5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附件13:拟派本项目技术人员配置情况表</w:t>
      </w:r>
    </w:p>
    <w:p>
      <w:pPr>
        <w:spacing w:line="360" w:lineRule="auto"/>
        <w:ind w:firstLine="1210" w:firstLineChars="5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附件14:技术支持及服务承诺书</w:t>
      </w:r>
    </w:p>
    <w:p>
      <w:pPr>
        <w:spacing w:line="360" w:lineRule="auto"/>
        <w:ind w:firstLine="1210" w:firstLineChars="5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附件15:服务方案</w:t>
      </w:r>
    </w:p>
    <w:p>
      <w:pPr>
        <w:spacing w:line="360" w:lineRule="auto"/>
        <w:ind w:firstLine="1210" w:firstLineChars="5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附件16:不参与围标串标承诺书</w:t>
      </w:r>
    </w:p>
    <w:p>
      <w:pPr>
        <w:adjustRightInd w:val="0"/>
        <w:snapToGrid w:val="0"/>
        <w:spacing w:line="360" w:lineRule="auto"/>
        <w:ind w:firstLine="1100" w:firstLineChars="500"/>
        <w:jc w:val="left"/>
        <w:rPr>
          <w:rFonts w:hint="eastAsia" w:ascii="宋体" w:hAnsi="宋体" w:cs="宋体"/>
          <w:b/>
          <w:bCs/>
          <w:snapToGrid w:val="0"/>
          <w:color w:val="auto"/>
          <w:spacing w:val="-11"/>
          <w:kern w:val="0"/>
          <w:sz w:val="24"/>
          <w:szCs w:val="24"/>
          <w:highlight w:val="none"/>
        </w:rPr>
      </w:pPr>
      <w:r>
        <w:rPr>
          <w:rFonts w:hint="eastAsia" w:ascii="宋体" w:hAnsi="宋体" w:cs="宋体"/>
          <w:b/>
          <w:bCs/>
          <w:snapToGrid w:val="0"/>
          <w:color w:val="auto"/>
          <w:spacing w:val="-11"/>
          <w:kern w:val="0"/>
          <w:sz w:val="24"/>
          <w:szCs w:val="24"/>
          <w:highlight w:val="none"/>
        </w:rPr>
        <w:t>附件17：要求提供的其它材料以及供应商认为需要提交的材料</w:t>
      </w:r>
    </w:p>
    <w:p>
      <w:pPr>
        <w:spacing w:line="360" w:lineRule="auto"/>
        <w:ind w:firstLine="484" w:firstLineChars="200"/>
        <w:rPr>
          <w:rFonts w:hint="eastAsia" w:ascii="宋体" w:hAnsi="宋体" w:cs="宋体"/>
          <w:color w:val="auto"/>
          <w:sz w:val="28"/>
          <w:szCs w:val="28"/>
          <w:highlight w:val="none"/>
        </w:rPr>
      </w:pPr>
      <w:r>
        <w:rPr>
          <w:rFonts w:hint="eastAsia" w:ascii="宋体" w:hAnsi="宋体" w:cs="宋体"/>
          <w:color w:val="auto"/>
          <w:sz w:val="24"/>
          <w:szCs w:val="24"/>
          <w:highlight w:val="none"/>
        </w:rPr>
        <w:t>6.2 供应商应认真阅读竞争性磋商文件中所有的事项、格式、条款和规范等要求。如果没有按照竞争性磋商文件要求提交全部资料或者响应文件没有对竞争性磋商文件做出实质性响应，其响应文件可能被拒绝。</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7  竞争性磋商文件的澄清</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7.1 采购人或者采购代理机构可以对已发出的竞争性磋商文件（资格预审文件、投标邀请书）进行必要的澄清或者修改，但不得改变采购标的和资格条件。澄清或者修改应当在原公告发布媒体上发布澄清公告。澄清或者修改的内容为竞争性磋商文件（资格预审文件、投标邀请书）的组成部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澄清或者修改的内容可能影响响应文件编制的，采购人或者采购代理机构应当在投标截止时间至少3日前，以书面形式通知所有获取竞争性磋商文件的潜在供应商；不足3日的，采购人或者采购代理机构可顺延提交响应文件的截止时间。</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8  竞争性磋商文件的修改</w:t>
      </w:r>
    </w:p>
    <w:p>
      <w:pPr>
        <w:spacing w:line="360" w:lineRule="auto"/>
        <w:ind w:firstLine="484" w:firstLineChars="200"/>
        <w:rPr>
          <w:rFonts w:hint="eastAsia" w:ascii="宋体" w:hAnsi="宋体" w:cs="宋体"/>
          <w:color w:val="auto"/>
          <w:sz w:val="24"/>
          <w:szCs w:val="24"/>
          <w:highlight w:val="none"/>
        </w:rPr>
      </w:pPr>
      <w:bookmarkStart w:id="48" w:name="_Toc13169"/>
      <w:bookmarkStart w:id="49" w:name="_Toc8777"/>
      <w:bookmarkStart w:id="50" w:name="_Toc7406"/>
      <w:bookmarkStart w:id="51" w:name="_Toc4140"/>
      <w:bookmarkStart w:id="52" w:name="_Toc4805"/>
      <w:bookmarkStart w:id="53" w:name="_Toc29841"/>
      <w:r>
        <w:rPr>
          <w:rFonts w:hint="eastAsia" w:ascii="宋体" w:hAnsi="宋体" w:cs="宋体"/>
          <w:color w:val="auto"/>
          <w:sz w:val="24"/>
          <w:szCs w:val="24"/>
          <w:highlight w:val="none"/>
        </w:rPr>
        <w:t>8.1 采购人可以视采购具体情况，延长投标截止时间和开标时间，但至少应当在竞争性磋商文件要求提交响应文件的截止时间3日前，将变更时间书面通知所有竞争性磋商文件收受人，并在财政部门指定的政府采购信息发布媒体上发布变更公告。</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8.2 竞争性磋商文件的修改将以书面通知所有竞争性磋商文件收受人，并对供应商具有约束力。</w:t>
      </w:r>
    </w:p>
    <w:p>
      <w:pPr>
        <w:spacing w:line="360" w:lineRule="auto"/>
        <w:jc w:val="center"/>
        <w:rPr>
          <w:rFonts w:hint="eastAsia" w:ascii="宋体" w:hAnsi="宋体" w:cs="宋体"/>
          <w:color w:val="auto"/>
          <w:sz w:val="28"/>
          <w:szCs w:val="28"/>
          <w:highlight w:val="none"/>
        </w:rPr>
      </w:pPr>
      <w:bookmarkStart w:id="54" w:name="_Toc3540"/>
      <w:bookmarkStart w:id="55" w:name="_Toc5967"/>
      <w:bookmarkStart w:id="56" w:name="_Toc32526"/>
      <w:bookmarkStart w:id="57" w:name="_Toc26361"/>
      <w:r>
        <w:rPr>
          <w:rFonts w:hint="eastAsia" w:ascii="宋体" w:hAnsi="宋体" w:cs="宋体"/>
          <w:b/>
          <w:bCs/>
          <w:color w:val="auto"/>
          <w:sz w:val="28"/>
          <w:szCs w:val="28"/>
          <w:highlight w:val="none"/>
        </w:rPr>
        <w:t xml:space="preserve">三、 </w:t>
      </w:r>
      <w:bookmarkEnd w:id="48"/>
      <w:bookmarkEnd w:id="49"/>
      <w:bookmarkEnd w:id="50"/>
      <w:bookmarkEnd w:id="51"/>
      <w:bookmarkEnd w:id="52"/>
      <w:bookmarkEnd w:id="53"/>
      <w:r>
        <w:rPr>
          <w:rFonts w:hint="eastAsia" w:ascii="宋体" w:hAnsi="宋体" w:cs="宋体"/>
          <w:b/>
          <w:bCs/>
          <w:color w:val="auto"/>
          <w:sz w:val="28"/>
          <w:szCs w:val="28"/>
          <w:highlight w:val="none"/>
        </w:rPr>
        <w:t>响应文件的编制</w:t>
      </w:r>
      <w:bookmarkEnd w:id="54"/>
      <w:bookmarkEnd w:id="55"/>
      <w:bookmarkEnd w:id="56"/>
      <w:bookmarkEnd w:id="57"/>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9  响应文件的编写</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9.1 供应商应仔细阅读竞争性磋商文件,了解竞争性磋商文件的要求。在充分理解竞争性磋商文件、技术规范及标准、项目采购需求、合同文本（主要内容）后编制响应文件。</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9.2 响应文件中需要分别对资格审查要求、符合性审查要求、开标一览表、响应文件逐一关联响应。</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10  响应文件的语言及计量单位</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10.1 响应文件以及供应商和采购人及采购代理机构就有关采购活动的所有文件和来往函件，应以中文书写。供应商可以提交用其他语言（原文）打印的资料，但必须翻译成中文，当原文和译文（中文）之间存有差异和/或矛盾时，以中文为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10.2 响应文件中所使用的计量单位除竞争性磋商文件中有特殊规定外，一律使用法定计量单位。</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11  响应文件构成</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供应商编写的响应文件应按下列顺序及内容提供:</w:t>
      </w:r>
    </w:p>
    <w:p>
      <w:pPr>
        <w:spacing w:line="360" w:lineRule="auto"/>
        <w:ind w:firstLine="484"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（1）投标函（详见附件1）；</w:t>
      </w:r>
    </w:p>
    <w:p>
      <w:pPr>
        <w:spacing w:line="360" w:lineRule="auto"/>
        <w:ind w:firstLine="484"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（2）法定代表人资格证明及授权委托书（详见附件2）；</w:t>
      </w:r>
    </w:p>
    <w:p>
      <w:pPr>
        <w:spacing w:line="360" w:lineRule="auto"/>
        <w:ind w:firstLine="484"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（3）报价一览表（详见附件3）；</w:t>
      </w:r>
    </w:p>
    <w:p>
      <w:pPr>
        <w:spacing w:line="360" w:lineRule="auto"/>
        <w:ind w:firstLine="484"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（4）供应商概况表（详见附件4）；</w:t>
      </w:r>
    </w:p>
    <w:p>
      <w:pPr>
        <w:spacing w:line="360" w:lineRule="auto"/>
        <w:ind w:firstLine="968" w:firstLineChars="4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① 营业执照，开户行许可证</w:t>
      </w:r>
    </w:p>
    <w:p>
      <w:pPr>
        <w:spacing w:line="360" w:lineRule="auto"/>
        <w:ind w:firstLine="968" w:firstLineChars="4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② “信用中国”、“中国政府采购网”查询截图</w:t>
      </w:r>
    </w:p>
    <w:p>
      <w:pPr>
        <w:spacing w:line="360" w:lineRule="auto"/>
        <w:ind w:firstLine="968" w:firstLineChars="4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③ 投标保证金汇款回执截图</w:t>
      </w:r>
    </w:p>
    <w:p>
      <w:pPr>
        <w:spacing w:line="360" w:lineRule="auto"/>
        <w:ind w:firstLine="484"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（5）无重大违法记录的书面声明（详见附件5）；</w:t>
      </w:r>
    </w:p>
    <w:p>
      <w:pPr>
        <w:spacing w:line="360" w:lineRule="auto"/>
        <w:ind w:firstLine="484"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（6）企业202</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年财务审计报告（详见附件6）；</w:t>
      </w:r>
    </w:p>
    <w:p>
      <w:pPr>
        <w:spacing w:line="360" w:lineRule="auto"/>
        <w:ind w:firstLine="484"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（7）“重法纪、讲诚信”承诺书（详见附件7）；</w:t>
      </w:r>
    </w:p>
    <w:p>
      <w:pPr>
        <w:spacing w:line="360" w:lineRule="auto"/>
        <w:ind w:firstLine="484"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（8）反商业贿赂承诺书（详见附件8）；</w:t>
      </w:r>
    </w:p>
    <w:p>
      <w:pPr>
        <w:spacing w:line="360" w:lineRule="auto"/>
        <w:ind w:firstLine="484"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（9）商务条款偏离表（详见附件9）；</w:t>
      </w:r>
    </w:p>
    <w:p>
      <w:pPr>
        <w:spacing w:line="360" w:lineRule="auto"/>
        <w:ind w:firstLine="484"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（10）技术规格偏离表（详见附件10）；</w:t>
      </w:r>
    </w:p>
    <w:p>
      <w:pPr>
        <w:spacing w:line="360" w:lineRule="auto"/>
        <w:ind w:firstLine="484"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（11）近三年同类项目业绩表（详见附件11）；</w:t>
      </w:r>
    </w:p>
    <w:p>
      <w:pPr>
        <w:spacing w:line="360" w:lineRule="auto"/>
        <w:ind w:firstLine="484"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（12）拟派项目负责人简历表（详见附件12）；</w:t>
      </w:r>
    </w:p>
    <w:p>
      <w:pPr>
        <w:spacing w:line="360" w:lineRule="auto"/>
        <w:ind w:firstLine="484"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（13）拟派本项目技术人员配置情况表（详见附件13）</w:t>
      </w:r>
    </w:p>
    <w:p>
      <w:pPr>
        <w:spacing w:line="360" w:lineRule="auto"/>
        <w:ind w:firstLine="484"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（14）技术支持及服务承诺书（详见附件14）；</w:t>
      </w:r>
    </w:p>
    <w:p>
      <w:pPr>
        <w:spacing w:line="360" w:lineRule="auto"/>
        <w:ind w:firstLine="484"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（15）服务方案（详见附件15）； </w:t>
      </w:r>
    </w:p>
    <w:p>
      <w:pPr>
        <w:pStyle w:val="17"/>
        <w:spacing w:line="480" w:lineRule="exact"/>
        <w:ind w:firstLine="484" w:firstLineChars="200"/>
        <w:jc w:val="both"/>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（16）</w:t>
      </w:r>
      <w:r>
        <w:rPr>
          <w:rFonts w:hint="eastAsia" w:ascii="宋体" w:hAnsi="宋体" w:eastAsia="宋体" w:cs="宋体"/>
          <w:b/>
          <w:color w:val="auto"/>
          <w:sz w:val="24"/>
          <w:szCs w:val="24"/>
          <w:highlight w:val="none"/>
        </w:rPr>
        <w:t>不参与围标串标承诺书</w:t>
      </w:r>
      <w:r>
        <w:rPr>
          <w:rFonts w:hint="eastAsia" w:ascii="宋体" w:hAnsi="宋体" w:eastAsia="宋体" w:cs="宋体"/>
          <w:b/>
          <w:bCs/>
          <w:color w:val="auto"/>
          <w:sz w:val="24"/>
          <w:szCs w:val="24"/>
          <w:highlight w:val="none"/>
        </w:rPr>
        <w:t>（详见附件16）</w:t>
      </w:r>
    </w:p>
    <w:p>
      <w:pPr>
        <w:spacing w:line="360" w:lineRule="auto"/>
        <w:ind w:firstLine="484"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（17）要求提供的其它材料以及供应商认为需要提交的材料。（详见附件17）</w:t>
      </w:r>
    </w:p>
    <w:p>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12  响应文件的格式</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12.1 竞争性磋商文件附件及竞争性磋商文件各章节提供了一部分用于编制响应文件时必要的格式，供应商应按此格式编制响应文件。</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12.2 竞争性磋商文件中未提供格式的部分由供应商自行编制。</w:t>
      </w:r>
    </w:p>
    <w:p>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13  报价</w:t>
      </w:r>
    </w:p>
    <w:p>
      <w:pPr>
        <w:spacing w:line="360" w:lineRule="auto"/>
        <w:ind w:firstLine="484"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13.1 除本竞争性磋商文件另有规定外，</w:t>
      </w:r>
      <w:r>
        <w:rPr>
          <w:rFonts w:hint="eastAsia" w:ascii="宋体" w:hAnsi="宋体" w:cs="宋体"/>
          <w:b/>
          <w:bCs/>
          <w:color w:val="auto"/>
          <w:sz w:val="24"/>
          <w:szCs w:val="24"/>
          <w:highlight w:val="none"/>
        </w:rPr>
        <w:t>供应商应按竞争性磋商文件所附相应的报价一览表格式标明报价等内容。报价以人民币报价。</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13.2 任何有选择性的报价将不予接受。</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13.3 供应商须充分注意并重视第三章“服务标准及要求”的内容，并严格按该章的有关内容做出实质性响应。</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13.4 供应商可按竞争性磋商文件第三章“服务标准及要求”的内容进行报价，报价应包含税金及本项目所产生的全部费用，且报价不得等于或高于最高限价金额，否则将按无效投标处理。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13.5 供应商的报价在中标后的合同实施期间应保持不变，即不因市场价格或政策性价格的调整而增减。</w:t>
      </w:r>
    </w:p>
    <w:p>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14  证明供应商合格的资格证明文件</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按照供应商须知前附表规定，供应商应提交竞争性磋商文件所要求的资格证明文件。</w:t>
      </w:r>
    </w:p>
    <w:p>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15  证明符合竞争性磋商文件规定的文件</w:t>
      </w:r>
    </w:p>
    <w:p>
      <w:pPr>
        <w:spacing w:line="360" w:lineRule="auto"/>
        <w:ind w:firstLine="484"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供应商应逐条对竞争性磋商文件要求的内容做出实质性响应，认真填写竞争性磋商文件所附的“商务条款偏离表”、“技术规格偏离表”。</w:t>
      </w:r>
      <w:r>
        <w:rPr>
          <w:rFonts w:hint="eastAsia" w:ascii="宋体" w:hAnsi="宋体" w:cs="宋体"/>
          <w:b/>
          <w:bCs/>
          <w:color w:val="auto"/>
          <w:sz w:val="24"/>
          <w:szCs w:val="24"/>
          <w:highlight w:val="none"/>
        </w:rPr>
        <w:t>若有偏离,请将具体偏离条款在“偏离”一栏中详细说明；若无偏离，请在“偏离”一栏中标注“无”字样。如不填写将视为不响应竞争性磋商文件要求。</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16  响应文件的有效期</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16.1 </w:t>
      </w:r>
      <w:r>
        <w:rPr>
          <w:rFonts w:hint="eastAsia" w:ascii="宋体" w:hAnsi="宋体" w:cs="宋体"/>
          <w:b/>
          <w:bCs/>
          <w:color w:val="auto"/>
          <w:sz w:val="24"/>
          <w:szCs w:val="24"/>
          <w:highlight w:val="none"/>
        </w:rPr>
        <w:t>响应文件有效期：提交响应文件的截止之日起90天。</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16.2 在特殊情况下, 在原响应文件有效期届满之前，采购人可与供应商协商延长响应文件的有效期，并经供应商确认。</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17  响应文件的格式要求及签署</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17.1 响应文件的格式应清楚工整，未实质性响应竞争性磋商文件、字迹潦草、表达不清、未按要求填写或可能导致非唯一理解的响应文件将按无效投标处理。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17.2 响应文件应由供应商法定代表人或委托代理人在规定签章处逐一签署及加盖供应商的公章。</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18  投标保证金</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18.1 投标保证金金额为前附表要求金额，各供应商必须在投标截止时间前提交。</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18.2 投标保证金用于保护本次招标免受供应商的违规、违约行为而引起的风险。</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18.3 发生以下情况投标保证金不予退还：</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18.3.1 如果供应商在投标有效期内撤回响应文件的；</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18.3.2 中标供应商有下列情形之一的，投标保证金不予退还；情节严重的，由财政部门将其列入不良行为记录名单，在一至三年内禁止参加政府采购活动，并予以通报：</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（一）中标后无正当理由不与采购人签订合同的；</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（二）未经采购人同意将中标项目转让给他人，或者将中标项目分包给他人的；</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（三）拒绝履行合同义务的。</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18.3.3 如果中标供应商放弃中标项目的；无正当理由不与采购人签订合同的；在签订合同时向采购人提出附加条件或者更改合同实质性内容的。</w:t>
      </w:r>
      <w:bookmarkStart w:id="58" w:name="_Toc20192"/>
      <w:bookmarkStart w:id="59" w:name="_Toc5423"/>
      <w:bookmarkStart w:id="60" w:name="_Toc167"/>
    </w:p>
    <w:p>
      <w:pPr>
        <w:spacing w:line="360" w:lineRule="auto"/>
        <w:jc w:val="center"/>
        <w:rPr>
          <w:rFonts w:hint="eastAsia" w:ascii="宋体" w:hAnsi="宋体" w:cs="宋体"/>
          <w:b/>
          <w:bCs/>
          <w:color w:val="auto"/>
          <w:sz w:val="28"/>
          <w:szCs w:val="28"/>
          <w:highlight w:val="none"/>
        </w:rPr>
      </w:pPr>
      <w:bookmarkStart w:id="61" w:name="_Toc30175"/>
      <w:bookmarkStart w:id="62" w:name="_Toc10478"/>
      <w:bookmarkStart w:id="63" w:name="_Toc20072"/>
      <w:bookmarkStart w:id="64" w:name="_Toc5633"/>
      <w:bookmarkStart w:id="65" w:name="_Toc15133"/>
      <w:bookmarkStart w:id="66" w:name="_Toc28814"/>
      <w:bookmarkStart w:id="67" w:name="_Toc19171"/>
      <w:r>
        <w:rPr>
          <w:rFonts w:hint="eastAsia" w:ascii="宋体" w:hAnsi="宋体" w:cs="宋体"/>
          <w:b/>
          <w:bCs/>
          <w:color w:val="auto"/>
          <w:sz w:val="28"/>
          <w:szCs w:val="28"/>
          <w:highlight w:val="none"/>
        </w:rPr>
        <w:t>四、 响应文件的提交</w:t>
      </w:r>
      <w:bookmarkEnd w:id="58"/>
      <w:bookmarkEnd w:id="59"/>
      <w:bookmarkEnd w:id="60"/>
      <w:bookmarkEnd w:id="61"/>
      <w:bookmarkEnd w:id="62"/>
      <w:bookmarkEnd w:id="63"/>
      <w:bookmarkEnd w:id="64"/>
      <w:bookmarkEnd w:id="65"/>
      <w:bookmarkEnd w:id="66"/>
      <w:bookmarkEnd w:id="67"/>
    </w:p>
    <w:p>
      <w:pPr>
        <w:spacing w:line="360" w:lineRule="auto"/>
        <w:jc w:val="left"/>
        <w:rPr>
          <w:rFonts w:hint="eastAsia" w:ascii="宋体" w:hAnsi="宋体" w:cs="宋体"/>
          <w:color w:val="auto"/>
          <w:sz w:val="24"/>
          <w:szCs w:val="24"/>
          <w:highlight w:val="none"/>
        </w:rPr>
      </w:pPr>
      <w:r>
        <w:rPr>
          <w:rFonts w:hint="eastAsia" w:ascii="宋体" w:hAnsi="宋体" w:cs="宋体"/>
          <w:b/>
          <w:bCs/>
          <w:color w:val="auto"/>
          <w:sz w:val="24"/>
          <w:szCs w:val="24"/>
          <w:highlight w:val="none"/>
        </w:rPr>
        <w:t xml:space="preserve">19   </w:t>
      </w:r>
      <w:r>
        <w:rPr>
          <w:rFonts w:hint="eastAsia" w:ascii="宋体" w:hAnsi="宋体" w:cs="宋体"/>
          <w:color w:val="auto"/>
          <w:sz w:val="24"/>
          <w:szCs w:val="24"/>
          <w:highlight w:val="none"/>
        </w:rPr>
        <w:t>响应文件的组成（投标现场无需递交投标文件，中标单位公示完之后需提供）:</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纸质版投标文件：一式伍份，其中正本壹份，副本肆份，需编制目录及页码，在每一份响应文件上要明确注明“正本”或“副本”字样，如正、副本之间有差异，以正本为准。</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投标文件电子版：以光盘为介质投标文件的电子版五份。20  响应文件提交的截止时间</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19.1供应商必须在竞争性磋商文件要求提交响应文件的截止时间前提交。</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 在竞争性磋商文件要求提交响应文件的截止时间之后上传的响应文件，为无效响应文件，采购人将不予接收。</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20  响应文件的修改和撤回</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20.1 供应商在投标截止时间前，可以对所提交的响应文件进行补充、修改或者撤回。补充、修改的内容应当按竞争性磋商文件要求签署、盖章，并作为响应文件的组成部分。供应商对其响应文件进行的修改或撤回应在竞争性磋商文件规定的投标截止时间前送达。</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20.2 供应商根据竞争性磋商文件载明采购项目的实际情况，拟在中标后将中标项目的非主体、非关键性工作交由他人完成的，应当在响应文件中载明。</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20.3 投标截止时间后不得修改响应文件。</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20.4 供应商不得在投标有效期内撤销响应文件，否则采购人将不予退还其投标保证金。</w:t>
      </w:r>
      <w:bookmarkStart w:id="68" w:name="_Toc26952"/>
      <w:bookmarkStart w:id="69" w:name="_Toc10256"/>
      <w:bookmarkStart w:id="70" w:name="_Toc14795"/>
    </w:p>
    <w:p>
      <w:pPr>
        <w:spacing w:line="360" w:lineRule="auto"/>
        <w:jc w:val="center"/>
        <w:rPr>
          <w:rFonts w:hint="eastAsia" w:ascii="宋体" w:hAnsi="宋体" w:cs="宋体"/>
          <w:b/>
          <w:bCs/>
          <w:color w:val="auto"/>
          <w:sz w:val="28"/>
          <w:szCs w:val="28"/>
          <w:highlight w:val="none"/>
        </w:rPr>
      </w:pPr>
      <w:bookmarkStart w:id="71" w:name="_Toc18583"/>
      <w:bookmarkStart w:id="72" w:name="_Toc30259"/>
      <w:bookmarkStart w:id="73" w:name="_Toc11186"/>
      <w:bookmarkStart w:id="74" w:name="_Toc21719"/>
      <w:bookmarkStart w:id="75" w:name="_Toc8730"/>
      <w:bookmarkStart w:id="76" w:name="_Toc25534"/>
      <w:bookmarkStart w:id="77" w:name="_Toc24323"/>
    </w:p>
    <w:p>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五、开   标</w:t>
      </w:r>
      <w:bookmarkEnd w:id="68"/>
      <w:bookmarkEnd w:id="69"/>
      <w:bookmarkEnd w:id="70"/>
      <w:bookmarkEnd w:id="71"/>
      <w:bookmarkEnd w:id="72"/>
      <w:bookmarkEnd w:id="73"/>
      <w:bookmarkEnd w:id="74"/>
      <w:bookmarkEnd w:id="75"/>
      <w:bookmarkEnd w:id="76"/>
      <w:bookmarkEnd w:id="77"/>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21  开标</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21.1 开标时间为竞争性磋商文件中提交响应文件的截止时间；开标地点为竞争性磋商文件中预先确定的地点。</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 采购代理机构主持，采购人、供应商和有关方面代表参加。投标供应商不足3家的，不得开标。</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 竞争性磋商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21.3.1采购人和采购代理机构将按规定的磋商时间和地点组织开标并邀请所有投标供应商代表参加。监督部门将视情况派代表到现场进行监督。投标供应商不足3家的，不得开标。</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21.3.2 开标时，采购代理机构主持介绍项目基本情况并宣布有关纪律和磋商程序。由投标供应商或其推选的代表检查响应文件的密封情况。首次报价不予公开。</w:t>
      </w:r>
    </w:p>
    <w:p>
      <w:pPr>
        <w:pStyle w:val="2"/>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21.3.3 采购人代表及采购代理机构依据法律法规和竞争性磋商文件中规定的内容，对投标供应商的资格进行审查。未通过资格审查的投标供应商不进入详细评审，其投标将被拒绝。</w:t>
      </w:r>
    </w:p>
    <w:p>
      <w:pPr>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21.3.4 采购人或采购代理机构将对磋商过程进行记录，由参加开标的供应商代表和相关工作人员签字确认，并存档备查。</w:t>
      </w:r>
    </w:p>
    <w:p>
      <w:pPr>
        <w:pStyle w:val="2"/>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21.3.5 投标供应商代表对磋商过程和磋商记录有疑义，以及认为采购人、采购代理机构相关工作人员有需要回避的情形的，应当场提出询问或者回避申请。</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21.4 响应文件报价出现前后不一致的，除竞争性磋商文件另有规定外，按照下列规定修正：</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21.4.1响应文件中开标一览表（报价一览表）内容与响应文件中相应内容不一致的，以开标一览表（报价一览表）为准；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21.4.2大写金额和小写金额不一致的，以大写金额为准；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21.4.3单价金额小数点或者百分比有明显错位的，以开标一览表（报价一览表）的总价为准，并修改单价；</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21.4.4总价金额与按单价汇总金额不一致的，以单价金额计算结果为准。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21.4.5对不同文字文本响应文件的解释发生异议的，以中文文本为准。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21.5 对未按照本竞争性磋商文件要求进行投标及资格审查不合格的供应商，其响应文件将按无效投标处理。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21.6 供应商之间不得相互串通报价，不得妨碍其他供应商的公平竞争，不得损害采购人或者其他供应商的合法权益。</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21.7 供应商不得向采购人、评标委员会成员行贿或者采取其他不正当手段谋取中标。</w:t>
      </w:r>
    </w:p>
    <w:p>
      <w:pPr>
        <w:spacing w:line="360" w:lineRule="auto"/>
        <w:jc w:val="center"/>
        <w:rPr>
          <w:rFonts w:hint="eastAsia" w:ascii="宋体" w:hAnsi="宋体" w:cs="宋体"/>
          <w:b/>
          <w:bCs/>
          <w:color w:val="auto"/>
          <w:sz w:val="28"/>
          <w:szCs w:val="28"/>
          <w:highlight w:val="none"/>
        </w:rPr>
      </w:pPr>
      <w:bookmarkStart w:id="78" w:name="_Toc17564"/>
      <w:bookmarkStart w:id="79" w:name="_Toc4557"/>
      <w:bookmarkStart w:id="80" w:name="_Toc27665"/>
      <w:bookmarkStart w:id="81" w:name="_Toc29037"/>
      <w:bookmarkStart w:id="82" w:name="_Toc16195"/>
      <w:bookmarkStart w:id="83" w:name="_Toc12203"/>
      <w:bookmarkStart w:id="84" w:name="_Toc16901"/>
      <w:bookmarkStart w:id="85" w:name="_Toc6415"/>
      <w:bookmarkStart w:id="86" w:name="_Toc24841"/>
      <w:bookmarkStart w:id="87" w:name="_Toc32611"/>
      <w:r>
        <w:rPr>
          <w:rFonts w:hint="eastAsia" w:ascii="宋体" w:hAnsi="宋体" w:cs="宋体"/>
          <w:b/>
          <w:bCs/>
          <w:color w:val="auto"/>
          <w:sz w:val="28"/>
          <w:szCs w:val="28"/>
          <w:highlight w:val="none"/>
        </w:rPr>
        <w:t>六、 评标、定标</w:t>
      </w:r>
      <w:bookmarkEnd w:id="78"/>
      <w:bookmarkEnd w:id="79"/>
      <w:bookmarkEnd w:id="80"/>
      <w:bookmarkEnd w:id="81"/>
      <w:bookmarkEnd w:id="82"/>
      <w:bookmarkEnd w:id="83"/>
      <w:bookmarkEnd w:id="84"/>
      <w:bookmarkEnd w:id="85"/>
      <w:bookmarkEnd w:id="86"/>
      <w:bookmarkEnd w:id="87"/>
    </w:p>
    <w:p>
      <w:pPr>
        <w:spacing w:line="360" w:lineRule="auto"/>
        <w:rPr>
          <w:rFonts w:hint="eastAsia" w:ascii="宋体" w:hAnsi="宋体" w:cs="宋体"/>
          <w:b/>
          <w:bCs/>
          <w:color w:val="auto"/>
          <w:sz w:val="28"/>
          <w:szCs w:val="28"/>
          <w:highlight w:val="none"/>
        </w:rPr>
      </w:pPr>
      <w:bookmarkStart w:id="88" w:name="OLE_LINK1"/>
      <w:r>
        <w:rPr>
          <w:rFonts w:hint="eastAsia" w:ascii="宋体" w:hAnsi="宋体" w:cs="宋体"/>
          <w:b/>
          <w:bCs/>
          <w:color w:val="auto"/>
          <w:sz w:val="28"/>
          <w:szCs w:val="28"/>
          <w:highlight w:val="none"/>
        </w:rPr>
        <w:t>22  评标</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22.1评标委员会</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22.1.1 评标委员会由采购人代表和评审专家组成，成员人数应当为3人以上单数，其中评审专家不得少于成员总数的三分之二。 </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22.1.2 评审专家对本单位的采购项目只能作为采购人代表参与评标，采购代理机构工作人员不得参加由本机构代理的政府采购项目的评标。</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22.1.3 采购人就竞争性磋商文件征询过意见的专家，不得再作为评标专家参加评标。采购代理机构工作人员不得参加由本机构代理的政府采购项目的评标。</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22.1.4 采购人委托代表参加评标委员会，向采购代理机构出具授权函，采购人代表不得担任评标委员会主任委员。</w:t>
      </w:r>
    </w:p>
    <w:p>
      <w:pPr>
        <w:spacing w:line="360" w:lineRule="auto"/>
        <w:ind w:firstLine="484"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采购人委派的评标人员进入评标现场不得超过2人，其他无关人员不得进入评标现场。</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22.1.5 评标委员会成员由采购代理在评审专家库中，通过随机方式抽取评标专家，评标委员会成员名单在评标结果公告前应当保密。 </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22.1.6 评标委员会成员应认真执行相关法规规定，同时维护采购人与供应商的合法权益。</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22.1.7 评标的依据为竞争性磋商文件和响应文件。</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22.1.6 评标中评标委员会成员若发生意见分歧，通过书面表决形式，以少数服从多数为原则决定。</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 评标纪律</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22.2.1 要严格遵守评审时间，主动出具身份证明，遵守评审工作纪律和评审回避的相关规定。</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22.2.2 在评审工作开始前，将手机等通讯工具或相关电子设备交由采购人或采购代理机构统一保管，拒不上交的，采购人或采购代理机构可以拒绝其参加评审工作并向财政部门报告。</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22.2.3 评审委员会成员和评审工作有关人员不得干预或者影响正常评审工作，不得明示或者暗示其倾向性、引导性意见，不得修改或细化采购文件确定的评审程序、评审方法、评审因素和评审标准，不得接受供应商主动提出的澄清和解释，不得征询采购人代表的倾向性意见，不得协商评分，不得记录、复制或带走任何评审资料。</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22.2.4 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22.3 评标委员会负责具体评标事务，并独立履行下列职责：</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22.3.1 审查、评价响应文件是否符合竞争性磋商文件的商务、技术等实质性要求；</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22.3.2 要求供应商对响应文件有关事项作出澄清或者说明；</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22.3.3 对响应文件进行比较和评价；</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22.3.4 确定中标候选人名单，以及根据采购人委托直接确定中标人；</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22.3.5 向采购人、采购代理机构或者有关部门报告评标中发现的违法行为。</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22.4 评标委员会成员应当履行下列义务： </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22.4.1 遵纪守法，客观、公正、廉洁地履行职责；</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22.4.2 按照竞争性磋商文件规定的评标方法和评标标准进行评标，对评审意见承担个人责任；</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22.4.3 对评标过程和结果，以及供应商的商业秘密保密；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22.4.4 参与评标报告的起草；</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22.4.5 配合财政部门的投诉处理工作；</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22.4.6 配合采购人答复投标供应商提出的质疑。</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25  评标原则</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25.1 评审专家应当严格遵守评审工作纪律,按照客观、公正、审慎的原则,根据竞争性磋商文件规定的评审程序、评审方法和评审标准进行独立评审。评审专家发现竞争性磋商文件内容违反国家有关强制性规定或者竞争性磋商文件存在歧义、重大缺陷导致评审工作无法进行时,应当停止评审并向采购人或者采购代理机构书面说明情况。</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25.2 评审专家应当在评审报告上签字,对自己的评审意见承担法律责任。对需要共同认定的事项存在争议的,按照少数服从多数的原则做出结论。对评审报告有异议的,应当在评审报告上签署不同意见并说明理由,否则视为同意评审报告。</w:t>
      </w:r>
    </w:p>
    <w:p>
      <w:pPr>
        <w:pStyle w:val="22"/>
        <w:spacing w:line="360" w:lineRule="auto"/>
        <w:jc w:val="both"/>
        <w:rPr>
          <w:rFonts w:hint="eastAsia" w:ascii="宋体" w:hAnsi="宋体" w:cs="宋体"/>
          <w:b/>
          <w:color w:val="auto"/>
          <w:sz w:val="28"/>
          <w:szCs w:val="28"/>
          <w:highlight w:val="none"/>
        </w:rPr>
      </w:pPr>
      <w:r>
        <w:rPr>
          <w:rFonts w:hint="eastAsia" w:ascii="宋体" w:hAnsi="宋体" w:cs="宋体"/>
          <w:b/>
          <w:color w:val="auto"/>
          <w:sz w:val="28"/>
          <w:szCs w:val="28"/>
          <w:highlight w:val="none"/>
        </w:rPr>
        <w:t xml:space="preserve">26 详细评审 </w:t>
      </w:r>
    </w:p>
    <w:p>
      <w:pPr>
        <w:tabs>
          <w:tab w:val="left" w:pos="567"/>
        </w:tabs>
        <w:snapToGrid w:val="0"/>
        <w:spacing w:line="360" w:lineRule="auto"/>
        <w:ind w:firstLine="484"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26.1 首次报价</w:t>
      </w:r>
    </w:p>
    <w:p>
      <w:pPr>
        <w:tabs>
          <w:tab w:val="left" w:pos="567"/>
        </w:tabs>
        <w:snapToGrid w:val="0"/>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供应商的首次报价于提交首次响应文件截止时间开启，本环节由采购代理机构主持，采购人、供应商和有关方面代表参加。</w:t>
      </w:r>
    </w:p>
    <w:p>
      <w:pPr>
        <w:tabs>
          <w:tab w:val="left" w:pos="567"/>
        </w:tabs>
        <w:snapToGrid w:val="0"/>
        <w:spacing w:line="360" w:lineRule="auto"/>
        <w:ind w:firstLine="484" w:firstLineChars="200"/>
        <w:rPr>
          <w:rFonts w:hint="eastAsia" w:ascii="宋体" w:hAnsi="宋体" w:cs="宋体"/>
          <w:b/>
          <w:color w:val="auto"/>
          <w:sz w:val="24"/>
          <w:szCs w:val="24"/>
          <w:highlight w:val="none"/>
          <w:lang w:eastAsia="zh-TW"/>
        </w:rPr>
      </w:pPr>
      <w:r>
        <w:rPr>
          <w:rFonts w:hint="eastAsia" w:ascii="宋体" w:hAnsi="宋体" w:cs="宋体"/>
          <w:b/>
          <w:color w:val="auto"/>
          <w:sz w:val="24"/>
          <w:szCs w:val="24"/>
          <w:highlight w:val="none"/>
        </w:rPr>
        <w:t>26.2 磋商小组</w:t>
      </w:r>
    </w:p>
    <w:p>
      <w:pPr>
        <w:tabs>
          <w:tab w:val="left" w:pos="567"/>
        </w:tabs>
        <w:snapToGrid w:val="0"/>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本次磋商按照规定依法组建磋商小组。</w:t>
      </w:r>
    </w:p>
    <w:p>
      <w:pPr>
        <w:tabs>
          <w:tab w:val="left" w:pos="567"/>
        </w:tabs>
        <w:snapToGrid w:val="0"/>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所有成员集中对响应文件进行审查，与每个供应商分别进行先商务技术条件后价格的磋商，本次磋商采用一轮磋商，两次报价形式进行（含首轮公开唱标）。磋商小组也可视实际情况确定磋商轮次（报价最多不超过3轮），并提交评审报告及推荐成交供应商。</w:t>
      </w:r>
    </w:p>
    <w:p>
      <w:pPr>
        <w:tabs>
          <w:tab w:val="left" w:pos="567"/>
        </w:tabs>
        <w:snapToGrid w:val="0"/>
        <w:spacing w:line="360" w:lineRule="auto"/>
        <w:ind w:firstLine="484"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磋商小组名单在磋商结果确定前严格保密。</w:t>
      </w:r>
    </w:p>
    <w:p>
      <w:pPr>
        <w:tabs>
          <w:tab w:val="left" w:pos="567"/>
        </w:tabs>
        <w:snapToGrid w:val="0"/>
        <w:spacing w:line="360" w:lineRule="auto"/>
        <w:ind w:firstLine="564" w:firstLineChars="200"/>
        <w:rPr>
          <w:rFonts w:hint="eastAsia" w:ascii="宋体" w:hAnsi="宋体" w:cs="宋体"/>
          <w:color w:val="auto"/>
          <w:highlight w:val="none"/>
          <w:lang w:eastAsia="zh-TW"/>
        </w:rPr>
      </w:pPr>
      <w:r>
        <w:rPr>
          <w:rFonts w:hint="eastAsia" w:ascii="宋体" w:hAnsi="宋体" w:cs="宋体"/>
          <w:b/>
          <w:color w:val="auto"/>
          <w:sz w:val="28"/>
          <w:szCs w:val="28"/>
          <w:highlight w:val="none"/>
        </w:rPr>
        <w:t>26.3 评审程序</w:t>
      </w:r>
    </w:p>
    <w:p>
      <w:pPr>
        <w:tabs>
          <w:tab w:val="left" w:pos="567"/>
        </w:tabs>
        <w:snapToGrid w:val="0"/>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26.3.1 磋商小组确认磋商文件</w:t>
      </w:r>
    </w:p>
    <w:p>
      <w:pPr>
        <w:tabs>
          <w:tab w:val="left" w:pos="567"/>
        </w:tabs>
        <w:snapToGrid w:val="0"/>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26.3.2 资格、符合性审查</w:t>
      </w:r>
    </w:p>
    <w:p>
      <w:pPr>
        <w:snapToGrid w:val="0"/>
        <w:spacing w:line="360" w:lineRule="auto"/>
        <w:ind w:firstLine="484" w:firstLineChars="200"/>
        <w:rPr>
          <w:rFonts w:hint="eastAsia" w:ascii="宋体" w:hAnsi="宋体" w:cs="宋体"/>
          <w:b/>
          <w:color w:val="auto"/>
          <w:sz w:val="24"/>
          <w:szCs w:val="24"/>
          <w:highlight w:val="none"/>
        </w:rPr>
      </w:pPr>
      <w:r>
        <w:rPr>
          <w:rFonts w:hint="eastAsia" w:ascii="宋体" w:hAnsi="宋体" w:cs="宋体"/>
          <w:bCs/>
          <w:color w:val="auto"/>
          <w:sz w:val="24"/>
          <w:szCs w:val="24"/>
          <w:highlight w:val="none"/>
        </w:rPr>
        <w:t>磋商小组对每个供应商的响应文件进行</w:t>
      </w:r>
      <w:r>
        <w:rPr>
          <w:rFonts w:hint="eastAsia" w:ascii="宋体" w:hAnsi="宋体" w:cs="宋体"/>
          <w:color w:val="auto"/>
          <w:kern w:val="0"/>
          <w:sz w:val="24"/>
          <w:szCs w:val="24"/>
          <w:highlight w:val="none"/>
        </w:rPr>
        <w:t>评审和比较</w:t>
      </w:r>
      <w:r>
        <w:rPr>
          <w:rFonts w:hint="eastAsia" w:ascii="宋体" w:hAnsi="宋体" w:cs="宋体"/>
          <w:bCs/>
          <w:color w:val="auto"/>
          <w:sz w:val="24"/>
          <w:szCs w:val="24"/>
          <w:highlight w:val="none"/>
        </w:rPr>
        <w:t>。审查响应文件是否对磋商文件的资格及实质性条款作出响应。对审查不通过的供应商，其响应文件作无效处理。</w:t>
      </w:r>
    </w:p>
    <w:p>
      <w:pPr>
        <w:tabs>
          <w:tab w:val="left" w:pos="567"/>
        </w:tabs>
        <w:snapToGrid w:val="0"/>
        <w:spacing w:line="360" w:lineRule="auto"/>
        <w:ind w:firstLine="564"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26.4 磋商</w:t>
      </w:r>
    </w:p>
    <w:p>
      <w:pPr>
        <w:snapToGrid w:val="0"/>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26.5.1 磋商文件未发生实质性变动的：</w:t>
      </w:r>
    </w:p>
    <w:p>
      <w:pPr>
        <w:snapToGrid w:val="0"/>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磋商小组没有对磋商文件作实质性变动增加新的需求，后一轮报价不得高于前一轮报价，否则将按响应无效处理。</w:t>
      </w:r>
    </w:p>
    <w:p>
      <w:pPr>
        <w:snapToGrid w:val="0"/>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26.5.2 磋商文件发生实质性变动的：</w:t>
      </w:r>
    </w:p>
    <w:p>
      <w:pPr>
        <w:snapToGrid w:val="0"/>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（1）书面通知变更内容</w:t>
      </w:r>
    </w:p>
    <w:p>
      <w:pPr>
        <w:snapToGrid w:val="0"/>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磋商过程中，磋商小组可以根据磋商文件和磋商情况实质性变动采购需求中的技术、服务要求以及合同草案条款，但不得变动磋商文件中的其他内容。实质性变动的内容，经采购人代表确认后，由磋商小组以询标函方式通知所有供应商。对磋商文件作出的实质性变动是磋商文件的有效组成部分。</w:t>
      </w:r>
    </w:p>
    <w:p>
      <w:pPr>
        <w:snapToGrid w:val="0"/>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（2）磋商</w:t>
      </w:r>
    </w:p>
    <w:p>
      <w:pPr>
        <w:snapToGrid w:val="0"/>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磋商小组集中与接受磋商文件变更的每个供应商分别进行询标。磋商的内容主要是对响应文件的澄清、修正、补充、确认等。不接受磋商文件变更的供应商，视为自动退出磋商，其响应文件作无效处理。</w:t>
      </w:r>
    </w:p>
    <w:p>
      <w:pPr>
        <w:snapToGrid w:val="0"/>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（3）重新提交响应文件（含报价）</w:t>
      </w:r>
    </w:p>
    <w:p>
      <w:pPr>
        <w:snapToGrid w:val="0"/>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供应商应当按照磋商文件的变动情况和磋商小组的要求重新提交响应文件（指磋商结束后，在规定时间内填写《询标函》，在该文件上注明最后报价及有关承诺，并提交）。最终报价时间视磋商进程由磋商小组决定。《询标函》是响应文件的有效组成部分，须由供应商签章。</w:t>
      </w:r>
    </w:p>
    <w:p>
      <w:pPr>
        <w:snapToGrid w:val="0"/>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若供应商未按《询标函》的要求对相关问题进行响应的，视为非实质性响应磋商文件。</w:t>
      </w:r>
    </w:p>
    <w:p>
      <w:pPr>
        <w:snapToGrid w:val="0"/>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除非在磋商中磋商小组调整或修改采购需求内容，否则采购人不接受高于前面轮次磋商报价的最终报价。</w:t>
      </w:r>
    </w:p>
    <w:p>
      <w:pPr>
        <w:snapToGrid w:val="0"/>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26.5.3 综合评分法评审步骤</w:t>
      </w:r>
    </w:p>
    <w:p>
      <w:pPr>
        <w:snapToGrid w:val="0"/>
        <w:spacing w:line="360" w:lineRule="auto"/>
        <w:ind w:firstLine="484"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经磋商确定最终采购需求和提交最后</w:t>
      </w:r>
      <w:r>
        <w:rPr>
          <w:rFonts w:hint="eastAsia" w:ascii="宋体" w:hAnsi="宋体" w:cs="宋体"/>
          <w:color w:val="auto"/>
          <w:sz w:val="24"/>
          <w:szCs w:val="24"/>
          <w:highlight w:val="none"/>
        </w:rPr>
        <w:t>报价的供应商后，由磋商小组采用综合评分法对提交最后报价的供应商的响应文件和最后报价进行综合评分。</w:t>
      </w:r>
      <w:r>
        <w:rPr>
          <w:rFonts w:hint="eastAsia" w:ascii="宋体" w:hAnsi="宋体" w:cs="宋体"/>
          <w:b/>
          <w:color w:val="auto"/>
          <w:sz w:val="24"/>
          <w:szCs w:val="24"/>
          <w:highlight w:val="none"/>
        </w:rPr>
        <w:t>先进行资格、符合性审查，再进行技术、商务及价格的详细评审。</w:t>
      </w:r>
      <w:r>
        <w:rPr>
          <w:rFonts w:hint="eastAsia" w:ascii="宋体" w:hAnsi="宋体" w:cs="宋体"/>
          <w:color w:val="auto"/>
          <w:sz w:val="24"/>
          <w:szCs w:val="24"/>
          <w:highlight w:val="none"/>
        </w:rPr>
        <w:t>只有通过资格、符合性审查的供应商才能进入下一步的详细评审。</w:t>
      </w:r>
    </w:p>
    <w:p>
      <w:pPr>
        <w:numPr>
          <w:ilvl w:val="1"/>
          <w:numId w:val="8"/>
        </w:numPr>
        <w:spacing w:line="360" w:lineRule="auto"/>
        <w:ind w:left="748" w:hanging="28"/>
        <w:rPr>
          <w:rFonts w:hint="eastAsia" w:ascii="宋体" w:hAnsi="宋体" w:cs="宋体"/>
          <w:color w:val="auto"/>
          <w:sz w:val="24"/>
          <w:szCs w:val="24"/>
          <w:highlight w:val="none"/>
        </w:rPr>
      </w:pPr>
      <w:r>
        <w:rPr>
          <w:rFonts w:hint="eastAsia" w:ascii="宋体" w:hAnsi="宋体" w:cs="宋体"/>
          <w:color w:val="auto"/>
          <w:sz w:val="24"/>
          <w:szCs w:val="24"/>
          <w:highlight w:val="none"/>
        </w:rPr>
        <w:t>资格、符合性审查表（详见附表一）</w:t>
      </w:r>
    </w:p>
    <w:p>
      <w:pPr>
        <w:numPr>
          <w:ilvl w:val="1"/>
          <w:numId w:val="8"/>
        </w:numPr>
        <w:spacing w:line="360" w:lineRule="auto"/>
        <w:ind w:left="748" w:hanging="28"/>
        <w:rPr>
          <w:rFonts w:hint="eastAsia" w:ascii="宋体" w:hAnsi="宋体" w:cs="宋体"/>
          <w:color w:val="auto"/>
          <w:sz w:val="24"/>
          <w:szCs w:val="24"/>
          <w:highlight w:val="none"/>
        </w:rPr>
      </w:pPr>
      <w:r>
        <w:rPr>
          <w:rFonts w:hint="eastAsia" w:ascii="宋体" w:hAnsi="宋体" w:cs="宋体"/>
          <w:color w:val="auto"/>
          <w:sz w:val="24"/>
          <w:szCs w:val="24"/>
          <w:highlight w:val="none"/>
        </w:rPr>
        <w:t>商务、技术评审表（详见附表二）</w:t>
      </w:r>
    </w:p>
    <w:p>
      <w:pPr>
        <w:numPr>
          <w:ilvl w:val="1"/>
          <w:numId w:val="8"/>
        </w:numPr>
        <w:spacing w:line="360" w:lineRule="auto"/>
        <w:ind w:left="748" w:hanging="28"/>
        <w:rPr>
          <w:rFonts w:hint="eastAsia" w:ascii="宋体" w:hAnsi="宋体" w:cs="宋体"/>
          <w:color w:val="auto"/>
          <w:sz w:val="24"/>
          <w:szCs w:val="24"/>
          <w:highlight w:val="none"/>
        </w:rPr>
      </w:pPr>
      <w:r>
        <w:rPr>
          <w:rFonts w:hint="eastAsia" w:ascii="宋体" w:hAnsi="宋体" w:cs="宋体"/>
          <w:color w:val="auto"/>
          <w:sz w:val="24"/>
          <w:szCs w:val="24"/>
          <w:highlight w:val="none"/>
        </w:rPr>
        <w:t>价格评审</w:t>
      </w:r>
    </w:p>
    <w:p>
      <w:pPr>
        <w:snapToGrid w:val="0"/>
        <w:spacing w:line="360" w:lineRule="auto"/>
        <w:ind w:firstLine="484"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rPr>
        <w:t>磋商小组按磋商文件中规定的评审方法和标准，对资格、符合性审查合格的响应文件进行商务和技术评估，综合比较与评价。技术、商务、价格部分分值分配如下：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2515"/>
        <w:gridCol w:w="185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21" w:type="dxa"/>
            <w:noWrap w:val="0"/>
            <w:vAlign w:val="center"/>
          </w:tcPr>
          <w:p>
            <w:pPr>
              <w:autoSpaceDE w:val="0"/>
              <w:autoSpaceDN w:val="0"/>
              <w:adjustRightInd w:val="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评分项目</w:t>
            </w:r>
          </w:p>
        </w:tc>
        <w:tc>
          <w:tcPr>
            <w:tcW w:w="2515" w:type="dxa"/>
            <w:noWrap w:val="0"/>
            <w:vAlign w:val="center"/>
          </w:tcPr>
          <w:p>
            <w:pPr>
              <w:autoSpaceDE w:val="0"/>
              <w:autoSpaceDN w:val="0"/>
              <w:adjustRightInd w:val="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商务、技术评分</w:t>
            </w:r>
          </w:p>
        </w:tc>
        <w:tc>
          <w:tcPr>
            <w:tcW w:w="1850" w:type="dxa"/>
            <w:noWrap w:val="0"/>
            <w:vAlign w:val="center"/>
          </w:tcPr>
          <w:p>
            <w:pPr>
              <w:autoSpaceDE w:val="0"/>
              <w:autoSpaceDN w:val="0"/>
              <w:adjustRightInd w:val="0"/>
              <w:ind w:left="15" w:leftChars="-51" w:hanging="123" w:hangingChars="51"/>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价格评分</w:t>
            </w:r>
          </w:p>
        </w:tc>
        <w:tc>
          <w:tcPr>
            <w:tcW w:w="1600" w:type="dxa"/>
            <w:noWrap w:val="0"/>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21" w:type="dxa"/>
            <w:noWrap w:val="0"/>
            <w:vAlign w:val="center"/>
          </w:tcPr>
          <w:p>
            <w:pPr>
              <w:autoSpaceDE w:val="0"/>
              <w:autoSpaceDN w:val="0"/>
              <w:adjustRightInd w:val="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分值</w:t>
            </w:r>
          </w:p>
        </w:tc>
        <w:tc>
          <w:tcPr>
            <w:tcW w:w="2515" w:type="dxa"/>
            <w:noWrap w:val="0"/>
            <w:vAlign w:val="center"/>
          </w:tcPr>
          <w:p>
            <w:pPr>
              <w:autoSpaceDE w:val="0"/>
              <w:autoSpaceDN w:val="0"/>
              <w:adjustRightInd w:val="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90分</w:t>
            </w:r>
          </w:p>
        </w:tc>
        <w:tc>
          <w:tcPr>
            <w:tcW w:w="1850" w:type="dxa"/>
            <w:noWrap w:val="0"/>
            <w:vAlign w:val="center"/>
          </w:tcPr>
          <w:p>
            <w:pPr>
              <w:autoSpaceDE w:val="0"/>
              <w:autoSpaceDN w:val="0"/>
              <w:adjustRightInd w:val="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10分</w:t>
            </w:r>
          </w:p>
        </w:tc>
        <w:tc>
          <w:tcPr>
            <w:tcW w:w="1600" w:type="dxa"/>
            <w:noWrap w:val="0"/>
            <w:vAlign w:val="center"/>
          </w:tcPr>
          <w:p>
            <w:pPr>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100分</w:t>
            </w:r>
          </w:p>
        </w:tc>
      </w:tr>
    </w:tbl>
    <w:p>
      <w:pPr>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具体打分标准如下：</w:t>
      </w:r>
    </w:p>
    <w:p>
      <w:pPr>
        <w:snapToGrid w:val="0"/>
        <w:spacing w:line="360" w:lineRule="auto"/>
        <w:ind w:firstLine="564"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（1）</w:t>
      </w:r>
      <w:r>
        <w:rPr>
          <w:rFonts w:hint="eastAsia" w:ascii="宋体" w:hAnsi="宋体" w:cs="宋体"/>
          <w:b/>
          <w:bCs/>
          <w:color w:val="auto"/>
          <w:sz w:val="28"/>
          <w:szCs w:val="28"/>
          <w:highlight w:val="none"/>
        </w:rPr>
        <w:t>商务、技术评分</w:t>
      </w:r>
    </w:p>
    <w:p>
      <w:pPr>
        <w:snapToGrid w:val="0"/>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磋商小组分别对各供应商的商务、技术响应文件中的各项内容进行评议比较，详细对比其商务、技术方案等各种因素方面是否满足磋商文件的要求。在商务、技术评审表的相应项各自记名打分。</w:t>
      </w:r>
    </w:p>
    <w:p>
      <w:pPr>
        <w:snapToGrid w:val="0"/>
        <w:spacing w:line="360" w:lineRule="auto"/>
        <w:ind w:firstLine="564"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（2）商务、技术得分统计</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将所有磋商小组的商务、技术评分的算术平均值即为每个有效供应商的技术得分（四舍五入后，精确到0.01）。</w:t>
      </w:r>
    </w:p>
    <w:p>
      <w:pPr>
        <w:spacing w:line="360" w:lineRule="auto"/>
        <w:ind w:firstLine="564" w:firstLineChars="200"/>
        <w:rPr>
          <w:rFonts w:hint="eastAsia" w:ascii="宋体" w:hAnsi="宋体" w:cs="宋体"/>
          <w:color w:val="auto"/>
          <w:sz w:val="28"/>
          <w:szCs w:val="28"/>
          <w:highlight w:val="none"/>
        </w:rPr>
      </w:pPr>
      <w:r>
        <w:rPr>
          <w:rFonts w:hint="eastAsia" w:ascii="宋体" w:hAnsi="宋体" w:cs="宋体"/>
          <w:b/>
          <w:color w:val="auto"/>
          <w:sz w:val="28"/>
          <w:szCs w:val="28"/>
          <w:highlight w:val="none"/>
        </w:rPr>
        <w:t>（3）价格核准和评分</w:t>
      </w:r>
    </w:p>
    <w:p>
      <w:pPr>
        <w:pStyle w:val="26"/>
        <w:snapToGrid w:val="0"/>
        <w:spacing w:line="360" w:lineRule="auto"/>
        <w:ind w:firstLine="567"/>
        <w:rPr>
          <w:rFonts w:hint="eastAsia" w:ascii="宋体" w:hAnsi="宋体" w:cs="宋体"/>
          <w:b/>
          <w:color w:val="auto"/>
          <w:sz w:val="28"/>
          <w:szCs w:val="28"/>
          <w:highlight w:val="none"/>
        </w:rPr>
      </w:pPr>
      <w:r>
        <w:rPr>
          <w:rFonts w:hint="eastAsia" w:ascii="宋体" w:hAnsi="宋体" w:cs="宋体"/>
          <w:b/>
          <w:color w:val="auto"/>
          <w:sz w:val="28"/>
          <w:szCs w:val="28"/>
          <w:highlight w:val="none"/>
        </w:rPr>
        <w:t>A、价格的核准</w:t>
      </w:r>
    </w:p>
    <w:p>
      <w:pPr>
        <w:snapToGrid w:val="0"/>
        <w:spacing w:line="360" w:lineRule="auto"/>
        <w:ind w:firstLine="473"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供应商不得以低于成本的报价竞争。如果磋商小组发现供应商的报价明显低于其他供应商的，使得其报价可能低于其个别成本的，将要求该供应商作书面说明并提供相关证明材料。供应商不能合理说明或不能提供相关证明材料的，磋商小组将认定该供应商以低于成本报价竞争，其响应文件作无效处理。</w:t>
      </w:r>
    </w:p>
    <w:p>
      <w:pPr>
        <w:snapToGrid w:val="0"/>
        <w:spacing w:line="360" w:lineRule="auto"/>
        <w:ind w:firstLine="473"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磋商小组先对入围供应商的最后报价进行复核，审查其是否有计算上的错误，修正错误的原则如下</w:t>
      </w:r>
    </w:p>
    <w:p>
      <w:pPr>
        <w:snapToGrid w:val="0"/>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snapToGrid w:val="0"/>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按上述修正错误的方法调整后的最后报价，对供应商具有约束力。如果供应商不接受修正后的价格，则其响应文件作无效处理。</w:t>
      </w:r>
    </w:p>
    <w:p>
      <w:pPr>
        <w:pStyle w:val="26"/>
        <w:tabs>
          <w:tab w:val="left" w:pos="426"/>
        </w:tabs>
        <w:snapToGrid w:val="0"/>
        <w:spacing w:line="360" w:lineRule="auto"/>
        <w:ind w:left="-2" w:leftChars="-1" w:firstLine="498" w:firstLineChars="177"/>
        <w:rPr>
          <w:rFonts w:hint="eastAsia" w:ascii="宋体" w:hAnsi="宋体" w:cs="宋体"/>
          <w:b/>
          <w:color w:val="auto"/>
          <w:sz w:val="28"/>
          <w:szCs w:val="28"/>
          <w:highlight w:val="none"/>
        </w:rPr>
      </w:pPr>
      <w:r>
        <w:rPr>
          <w:rFonts w:hint="eastAsia" w:ascii="宋体" w:hAnsi="宋体" w:cs="宋体"/>
          <w:b/>
          <w:color w:val="auto"/>
          <w:sz w:val="28"/>
          <w:szCs w:val="28"/>
          <w:highlight w:val="none"/>
        </w:rPr>
        <w:t>B、政策价格扣除</w:t>
      </w:r>
    </w:p>
    <w:p>
      <w:pPr>
        <w:tabs>
          <w:tab w:val="left" w:pos="1050"/>
        </w:tabs>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1）小型和微型企业产品价格扣除</w:t>
      </w:r>
    </w:p>
    <w:p>
      <w:pPr>
        <w:tabs>
          <w:tab w:val="left" w:pos="1050"/>
        </w:tabs>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a）根据财务部、工业和信息化部印发的《政府采购促进中小企业发展暂行办法》（财库[2011]181号）的规定，对小型和微型企业产品的价格给予6%的扣除，联合体一方为小型、微型企业且小型、微型企业协议合同金额占联合体协议合同总金额30%以上的对联合体总金额扣除2%，用扣除后的价格参与评审；报价产品中仅有部分小型和微型企业产品的，则按所投小型和微型企业产品的价格予以扣除。</w:t>
      </w:r>
    </w:p>
    <w:p>
      <w:pPr>
        <w:tabs>
          <w:tab w:val="left" w:pos="1050"/>
        </w:tabs>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b)《政府采购促进中小企业发展暂行办法》所称中小企业（含中型、小型、微型企业，下同）应当同时符合以下条件：</w:t>
      </w:r>
    </w:p>
    <w:p>
      <w:pPr>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①符合中小企业划分标准；</w:t>
      </w:r>
    </w:p>
    <w:p>
      <w:pPr>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②提供本企业制造的货物、承担的工程或者服务，或者提供其他中小企业制造的货物。本项所称货物不包括使用大型企业注册商标的货物。</w:t>
      </w:r>
    </w:p>
    <w:p>
      <w:pPr>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中小企业划分标准以《工业和信息化部、国家统计局、国家发展和改革委员会、财政部关于印发中小企业划型标准的通知》（工信部联企业[2011]300号）规定的划分标准为准。小型、微型企业提供中型企业制造的货物的，视同为中型企业。</w:t>
      </w:r>
    </w:p>
    <w:p>
      <w:pPr>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③参加政府采购活动的中小企业应当提供《中小企业声明函》</w:t>
      </w:r>
    </w:p>
    <w:p>
      <w:pPr>
        <w:tabs>
          <w:tab w:val="left" w:pos="1050"/>
        </w:tabs>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2）监狱企业产品价格扣除</w:t>
      </w:r>
    </w:p>
    <w:p>
      <w:pPr>
        <w:tabs>
          <w:tab w:val="left" w:pos="1050"/>
        </w:tabs>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a）监狱企业视同小型、微型企业，按上述1.的a)条款享受评审中价格扣除。</w:t>
      </w:r>
    </w:p>
    <w:p>
      <w:pPr>
        <w:tabs>
          <w:tab w:val="left" w:pos="1050"/>
        </w:tabs>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b）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1050"/>
        </w:tabs>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c）监狱企业参加政府采购活动时，应当提供由省级以上监狱管理局、戒毒管理局（含新疆生产建设兵团）出具的属于监狱企业的证明文件，否则不予认可。</w:t>
      </w:r>
    </w:p>
    <w:p>
      <w:pPr>
        <w:tabs>
          <w:tab w:val="left" w:pos="1050"/>
        </w:tabs>
        <w:spacing w:line="360" w:lineRule="auto"/>
        <w:ind w:firstLine="484" w:firstLineChars="200"/>
        <w:rPr>
          <w:rFonts w:hint="eastAsia" w:ascii="宋体" w:hAnsi="宋体" w:cs="宋体"/>
          <w:b/>
          <w:bCs/>
          <w:color w:val="auto"/>
          <w:sz w:val="24"/>
          <w:szCs w:val="24"/>
          <w:highlight w:val="none"/>
        </w:rPr>
      </w:pPr>
      <w:r>
        <w:rPr>
          <w:rFonts w:hint="eastAsia" w:ascii="宋体" w:hAnsi="宋体" w:cs="宋体"/>
          <w:bCs/>
          <w:color w:val="auto"/>
          <w:sz w:val="24"/>
          <w:szCs w:val="24"/>
          <w:highlight w:val="none"/>
        </w:rPr>
        <w:t>3）残疾人福利性单位产品价格扣除</w:t>
      </w:r>
    </w:p>
    <w:p>
      <w:pPr>
        <w:tabs>
          <w:tab w:val="left" w:pos="1050"/>
        </w:tabs>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a）残疾人福利性单位视同小型、微型企业，按上述1.的a)条款享受评审中价格扣除。</w:t>
      </w:r>
    </w:p>
    <w:p>
      <w:pPr>
        <w:tabs>
          <w:tab w:val="left" w:pos="1050"/>
        </w:tabs>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b）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声明的真实性负责。一旦中标将在中标公告中公告其声明函，接受社会监督。供应商提供的《残疾人福利性单位声明函》与事实不符的，依照《政府采购法》第七十七条第一款的规定追究法律责任。</w:t>
      </w:r>
    </w:p>
    <w:p>
      <w:pPr>
        <w:tabs>
          <w:tab w:val="left" w:pos="1050"/>
        </w:tabs>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4）供应商同时为小型、微型企业、监狱企业和残疾人福利性单位任两种或以上情况的，评审中只享受一次价格扣除。不重复进行价格扣除。</w:t>
      </w:r>
    </w:p>
    <w:p>
      <w:pPr>
        <w:pStyle w:val="26"/>
        <w:snapToGrid w:val="0"/>
        <w:spacing w:line="360" w:lineRule="auto"/>
        <w:ind w:firstLine="567"/>
        <w:rPr>
          <w:rFonts w:hint="eastAsia" w:ascii="宋体" w:hAnsi="宋体" w:cs="宋体"/>
          <w:b/>
          <w:color w:val="auto"/>
          <w:sz w:val="28"/>
          <w:szCs w:val="28"/>
          <w:highlight w:val="none"/>
        </w:rPr>
      </w:pPr>
      <w:r>
        <w:rPr>
          <w:rFonts w:hint="eastAsia" w:ascii="宋体" w:hAnsi="宋体" w:cs="宋体"/>
          <w:b/>
          <w:color w:val="auto"/>
          <w:sz w:val="28"/>
          <w:szCs w:val="28"/>
          <w:highlight w:val="none"/>
        </w:rPr>
        <w:t>C、价格评分</w:t>
      </w:r>
    </w:p>
    <w:p>
      <w:pPr>
        <w:snapToGrid w:val="0"/>
        <w:spacing w:line="360" w:lineRule="auto"/>
        <w:ind w:firstLine="473"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磋商小组对入围的供应商的最后价格进行修正及价格扣除得出评审价。综合评分法中的价格分统一采用低价优先法计算，即满足磋商文件要求（通过资格、符合性审查）且价格最低的有效最后报价（指修正后的价格，下同）为磋商基准价，其价格分为满分。其他供应商的价格分统一按照下列公式计算：</w:t>
      </w:r>
    </w:p>
    <w:p>
      <w:pPr>
        <w:adjustRightInd w:val="0"/>
        <w:snapToGrid w:val="0"/>
        <w:spacing w:line="360" w:lineRule="auto"/>
        <w:outlineLvl w:val="2"/>
        <w:rPr>
          <w:rFonts w:hint="eastAsia" w:ascii="宋体" w:hAnsi="宋体" w:cs="宋体"/>
          <w:b/>
          <w:color w:val="auto"/>
          <w:sz w:val="24"/>
          <w:szCs w:val="24"/>
          <w:highlight w:val="none"/>
        </w:rPr>
      </w:pPr>
      <w:r>
        <w:rPr>
          <w:rFonts w:hint="eastAsia" w:ascii="宋体" w:hAnsi="宋体" w:cs="宋体"/>
          <w:b/>
          <w:color w:val="auto"/>
          <w:sz w:val="24"/>
          <w:szCs w:val="24"/>
          <w:highlight w:val="none"/>
        </w:rPr>
        <w:t>评标价格分数=（评标基准价/投标报价）×价格权重（10%）×100 （注：实质性响应招标文件要求且价格最低的投标报价为评标基准价）</w:t>
      </w: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adjustRightInd w:val="0"/>
        <w:snapToGrid w:val="0"/>
        <w:spacing w:line="360" w:lineRule="auto"/>
        <w:outlineLvl w:val="2"/>
        <w:rPr>
          <w:rFonts w:hint="eastAsia" w:ascii="宋体" w:hAnsi="宋体" w:cs="宋体"/>
          <w:b/>
          <w:color w:val="auto"/>
          <w:sz w:val="28"/>
          <w:szCs w:val="28"/>
          <w:highlight w:val="none"/>
        </w:rPr>
      </w:pPr>
    </w:p>
    <w:p>
      <w:pPr>
        <w:adjustRightInd w:val="0"/>
        <w:snapToGrid w:val="0"/>
        <w:spacing w:line="360" w:lineRule="auto"/>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附表一：</w:t>
      </w:r>
    </w:p>
    <w:p>
      <w:pPr>
        <w:adjustRightInd w:val="0"/>
        <w:snapToGrid w:val="0"/>
        <w:spacing w:line="360" w:lineRule="auto"/>
        <w:jc w:val="center"/>
        <w:outlineLvl w:val="2"/>
        <w:rPr>
          <w:rFonts w:hint="eastAsia" w:ascii="宋体" w:hAnsi="宋体" w:cs="宋体"/>
          <w:b/>
          <w:bCs/>
          <w:color w:val="auto"/>
          <w:sz w:val="28"/>
          <w:szCs w:val="28"/>
          <w:highlight w:val="none"/>
        </w:rPr>
      </w:pPr>
      <w:r>
        <w:rPr>
          <w:rFonts w:hint="eastAsia" w:ascii="宋体" w:hAnsi="宋体" w:cs="宋体"/>
          <w:b/>
          <w:color w:val="auto"/>
          <w:sz w:val="28"/>
          <w:szCs w:val="28"/>
          <w:highlight w:val="none"/>
        </w:rPr>
        <w:t>资格、符合性审查表</w:t>
      </w:r>
    </w:p>
    <w:tbl>
      <w:tblPr>
        <w:tblStyle w:val="19"/>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7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noWrap w:val="0"/>
            <w:vAlign w:val="center"/>
          </w:tcPr>
          <w:p>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序号</w:t>
            </w:r>
          </w:p>
        </w:tc>
        <w:tc>
          <w:tcPr>
            <w:tcW w:w="7083" w:type="dxa"/>
            <w:noWrap w:val="0"/>
            <w:vAlign w:val="center"/>
          </w:tcPr>
          <w:p>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24"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1</w:t>
            </w:r>
          </w:p>
        </w:tc>
        <w:tc>
          <w:tcPr>
            <w:tcW w:w="7083" w:type="dxa"/>
            <w:noWrap w:val="0"/>
            <w:vAlign w:val="center"/>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是否满足供应商资格要求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24"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2</w:t>
            </w:r>
          </w:p>
        </w:tc>
        <w:tc>
          <w:tcPr>
            <w:tcW w:w="7083" w:type="dxa"/>
            <w:noWrap w:val="0"/>
            <w:vAlign w:val="center"/>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是否满足项目的</w:t>
            </w:r>
            <w:r>
              <w:rPr>
                <w:rFonts w:hint="eastAsia" w:ascii="宋体" w:hAnsi="宋体" w:cs="宋体"/>
                <w:bCs/>
                <w:color w:val="auto"/>
                <w:sz w:val="28"/>
                <w:szCs w:val="28"/>
                <w:highlight w:val="none"/>
              </w:rPr>
              <w:t>工期</w:t>
            </w:r>
            <w:r>
              <w:rPr>
                <w:rFonts w:hint="eastAsia" w:ascii="宋体" w:hAnsi="宋体" w:cs="宋体"/>
                <w:color w:val="auto"/>
                <w:sz w:val="28"/>
                <w:szCs w:val="28"/>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24"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3</w:t>
            </w:r>
          </w:p>
        </w:tc>
        <w:tc>
          <w:tcPr>
            <w:tcW w:w="7083" w:type="dxa"/>
            <w:noWrap w:val="0"/>
            <w:vAlign w:val="center"/>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是否符合磋商文件的签署盖章要求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24"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4</w:t>
            </w:r>
          </w:p>
        </w:tc>
        <w:tc>
          <w:tcPr>
            <w:tcW w:w="7083" w:type="dxa"/>
            <w:noWrap w:val="0"/>
            <w:vAlign w:val="center"/>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响应文件有效期是否为90天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24"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5</w:t>
            </w:r>
          </w:p>
        </w:tc>
        <w:tc>
          <w:tcPr>
            <w:tcW w:w="7083" w:type="dxa"/>
            <w:noWrap w:val="0"/>
            <w:vAlign w:val="center"/>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是否按规定提交法定代表人证明书或法人授权委托书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24"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6</w:t>
            </w:r>
          </w:p>
        </w:tc>
        <w:tc>
          <w:tcPr>
            <w:tcW w:w="7083" w:type="dxa"/>
            <w:noWrap w:val="0"/>
            <w:vAlign w:val="center"/>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最后报价是否固定唯一，且各报价没有超过最高限价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24"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7</w:t>
            </w:r>
          </w:p>
        </w:tc>
        <w:tc>
          <w:tcPr>
            <w:tcW w:w="7083" w:type="dxa"/>
            <w:noWrap w:val="0"/>
            <w:vAlign w:val="center"/>
          </w:tcPr>
          <w:p>
            <w:pPr>
              <w:rPr>
                <w:rFonts w:hint="eastAsia" w:ascii="宋体" w:hAnsi="宋体" w:cs="宋体"/>
                <w:color w:val="auto"/>
                <w:sz w:val="28"/>
                <w:szCs w:val="28"/>
                <w:highlight w:val="none"/>
              </w:rPr>
            </w:pPr>
            <w:r>
              <w:rPr>
                <w:rFonts w:hint="eastAsia" w:ascii="宋体" w:hAnsi="宋体" w:cs="宋体"/>
                <w:color w:val="auto"/>
                <w:kern w:val="1"/>
                <w:sz w:val="28"/>
                <w:szCs w:val="28"/>
                <w:highlight w:val="none"/>
              </w:rPr>
              <w:t>响应文件是否满足采购人需求的要求，</w:t>
            </w:r>
            <w:r>
              <w:rPr>
                <w:rFonts w:hint="eastAsia" w:ascii="宋体" w:hAnsi="宋体" w:cs="宋体"/>
                <w:color w:val="auto"/>
                <w:sz w:val="28"/>
                <w:szCs w:val="28"/>
                <w:highlight w:val="none"/>
              </w:rPr>
              <w:t>且没有重大偏离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24"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8</w:t>
            </w:r>
          </w:p>
        </w:tc>
        <w:tc>
          <w:tcPr>
            <w:tcW w:w="7083" w:type="dxa"/>
            <w:noWrap w:val="0"/>
            <w:vAlign w:val="center"/>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没有其它未实质性响应磋商文件的要求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24"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结论</w:t>
            </w:r>
          </w:p>
        </w:tc>
        <w:tc>
          <w:tcPr>
            <w:tcW w:w="7083" w:type="dxa"/>
            <w:noWrap w:val="0"/>
            <w:vAlign w:val="center"/>
          </w:tcPr>
          <w:p>
            <w:pPr>
              <w:pStyle w:val="27"/>
              <w:spacing w:line="240" w:lineRule="auto"/>
              <w:ind w:firstLine="0" w:firstLineChars="0"/>
              <w:rPr>
                <w:rFonts w:hint="eastAsia" w:ascii="宋体" w:hAnsi="宋体" w:cs="宋体"/>
                <w:color w:val="auto"/>
                <w:sz w:val="28"/>
                <w:szCs w:val="28"/>
                <w:highlight w:val="none"/>
              </w:rPr>
            </w:pPr>
            <w:r>
              <w:rPr>
                <w:rFonts w:hint="eastAsia" w:ascii="宋体" w:hAnsi="宋体" w:cs="宋体"/>
                <w:color w:val="auto"/>
                <w:sz w:val="28"/>
                <w:szCs w:val="28"/>
                <w:highlight w:val="none"/>
              </w:rPr>
              <w:t>是否实质性响应磋商文件</w:t>
            </w:r>
          </w:p>
        </w:tc>
      </w:tr>
    </w:tbl>
    <w:p>
      <w:pPr>
        <w:spacing w:line="312" w:lineRule="auto"/>
        <w:ind w:firstLine="564" w:firstLineChars="200"/>
        <w:rPr>
          <w:rFonts w:hint="eastAsia" w:ascii="宋体" w:hAnsi="宋体" w:cs="宋体"/>
          <w:b/>
          <w:color w:val="auto"/>
          <w:kern w:val="0"/>
          <w:sz w:val="28"/>
          <w:szCs w:val="28"/>
          <w:highlight w:val="none"/>
        </w:rPr>
      </w:pPr>
      <w:bookmarkStart w:id="89" w:name="_Toc13173"/>
      <w:bookmarkStart w:id="90" w:name="_Toc26085"/>
      <w:bookmarkStart w:id="91" w:name="_Toc6957"/>
      <w:r>
        <w:rPr>
          <w:rFonts w:hint="eastAsia" w:ascii="宋体" w:hAnsi="宋体" w:cs="宋体"/>
          <w:b/>
          <w:color w:val="auto"/>
          <w:kern w:val="0"/>
          <w:sz w:val="28"/>
          <w:szCs w:val="28"/>
          <w:highlight w:val="none"/>
        </w:rPr>
        <w:t>备注：如有一项未通过，评标委员会将认定整个响应文件未响应竞争性磋商文件而予以废标处理。</w:t>
      </w:r>
    </w:p>
    <w:p>
      <w:pPr>
        <w:spacing w:line="360" w:lineRule="auto"/>
        <w:rPr>
          <w:rFonts w:hint="eastAsia" w:ascii="宋体" w:hAnsi="宋体" w:cs="宋体"/>
          <w:b/>
          <w:bCs/>
          <w:color w:val="auto"/>
          <w:sz w:val="28"/>
          <w:szCs w:val="28"/>
          <w:highlight w:val="none"/>
        </w:rPr>
      </w:pP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附表二：</w:t>
      </w:r>
    </w:p>
    <w:p>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商务、技术评审表</w:t>
      </w:r>
    </w:p>
    <w:tbl>
      <w:tblPr>
        <w:tblStyle w:val="19"/>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0"/>
        <w:gridCol w:w="1368"/>
        <w:gridCol w:w="6279"/>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060" w:type="dxa"/>
            <w:noWrap w:val="0"/>
            <w:vAlign w:val="center"/>
          </w:tcPr>
          <w:p>
            <w:pPr>
              <w:pStyle w:val="28"/>
              <w:spacing w:after="0" w:line="240" w:lineRule="auto"/>
              <w:ind w:left="64" w:right="64"/>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评分项目</w:t>
            </w:r>
          </w:p>
        </w:tc>
        <w:tc>
          <w:tcPr>
            <w:tcW w:w="7647" w:type="dxa"/>
            <w:gridSpan w:val="2"/>
            <w:noWrap w:val="0"/>
            <w:vAlign w:val="center"/>
          </w:tcPr>
          <w:p>
            <w:pPr>
              <w:pStyle w:val="28"/>
              <w:spacing w:after="0" w:line="360" w:lineRule="auto"/>
              <w:ind w:left="64" w:right="64"/>
              <w:rPr>
                <w:rFonts w:hint="eastAsia" w:ascii="宋体" w:hAnsi="宋体" w:eastAsia="宋体" w:cs="宋体"/>
                <w:bCs/>
                <w:color w:val="auto"/>
                <w:sz w:val="20"/>
                <w:szCs w:val="18"/>
                <w:highlight w:val="none"/>
              </w:rPr>
            </w:pPr>
            <w:r>
              <w:rPr>
                <w:rFonts w:hint="eastAsia" w:ascii="宋体" w:hAnsi="宋体" w:eastAsia="宋体" w:cs="宋体"/>
                <w:bCs/>
                <w:color w:val="auto"/>
                <w:sz w:val="20"/>
                <w:szCs w:val="18"/>
                <w:highlight w:val="none"/>
              </w:rPr>
              <w:t>评分标准</w:t>
            </w:r>
          </w:p>
        </w:tc>
        <w:tc>
          <w:tcPr>
            <w:tcW w:w="971" w:type="dxa"/>
            <w:noWrap w:val="0"/>
            <w:vAlign w:val="top"/>
          </w:tcPr>
          <w:p>
            <w:pPr>
              <w:pStyle w:val="28"/>
              <w:spacing w:after="0" w:line="240" w:lineRule="auto"/>
              <w:ind w:left="64" w:right="64"/>
              <w:jc w:val="left"/>
              <w:rPr>
                <w:rFonts w:hint="eastAsia" w:ascii="宋体" w:hAnsi="宋体" w:eastAsia="宋体" w:cs="宋体"/>
                <w:bCs/>
                <w:color w:val="auto"/>
                <w:highlight w:val="none"/>
              </w:rPr>
            </w:pPr>
            <w:r>
              <w:rPr>
                <w:rFonts w:hint="eastAsia" w:ascii="宋体" w:hAnsi="宋体" w:eastAsia="宋体" w:cs="宋体"/>
                <w:bCs/>
                <w:color w:val="auto"/>
                <w:highlight w:val="none"/>
              </w:rPr>
              <w:t>分值</w:t>
            </w:r>
          </w:p>
          <w:p>
            <w:pPr>
              <w:pStyle w:val="28"/>
              <w:spacing w:after="0" w:line="240" w:lineRule="auto"/>
              <w:ind w:left="64" w:right="64"/>
              <w:jc w:val="left"/>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65</w:t>
            </w:r>
            <w:r>
              <w:rPr>
                <w:rFonts w:hint="eastAsia" w:ascii="宋体" w:hAnsi="宋体" w:eastAsia="宋体" w:cs="宋体"/>
                <w:bCs/>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7" w:hRule="atLeast"/>
          <w:jc w:val="center"/>
        </w:trPr>
        <w:tc>
          <w:tcPr>
            <w:tcW w:w="1060" w:type="dxa"/>
            <w:vMerge w:val="restart"/>
            <w:noWrap w:val="0"/>
            <w:vAlign w:val="center"/>
          </w:tcPr>
          <w:p>
            <w:pPr>
              <w:pStyle w:val="28"/>
              <w:spacing w:after="0" w:line="360" w:lineRule="auto"/>
              <w:ind w:left="64" w:right="64"/>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技术方案</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65分</w:t>
            </w:r>
            <w:r>
              <w:rPr>
                <w:rFonts w:hint="eastAsia" w:ascii="宋体" w:hAnsi="宋体" w:eastAsia="宋体" w:cs="宋体"/>
                <w:bCs/>
                <w:color w:val="auto"/>
                <w:sz w:val="24"/>
                <w:szCs w:val="24"/>
                <w:highlight w:val="none"/>
                <w:lang w:eastAsia="zh-CN"/>
              </w:rPr>
              <w:t>）</w:t>
            </w:r>
          </w:p>
        </w:tc>
        <w:tc>
          <w:tcPr>
            <w:tcW w:w="1368" w:type="dxa"/>
            <w:noWrap w:val="0"/>
            <w:vAlign w:val="center"/>
          </w:tcPr>
          <w:p>
            <w:pPr>
              <w:pStyle w:val="28"/>
              <w:spacing w:after="0" w:line="240" w:lineRule="auto"/>
              <w:ind w:left="64" w:right="64"/>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服务方案</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0-10分</w:t>
            </w:r>
            <w:r>
              <w:rPr>
                <w:rFonts w:hint="eastAsia" w:ascii="宋体" w:hAnsi="宋体" w:eastAsia="宋体" w:cs="宋体"/>
                <w:bCs/>
                <w:color w:val="auto"/>
                <w:sz w:val="24"/>
                <w:szCs w:val="24"/>
                <w:highlight w:val="none"/>
                <w:lang w:eastAsia="zh-CN"/>
              </w:rPr>
              <w:t>）</w:t>
            </w:r>
          </w:p>
        </w:tc>
        <w:tc>
          <w:tcPr>
            <w:tcW w:w="6279" w:type="dxa"/>
            <w:noWrap w:val="0"/>
            <w:vAlign w:val="center"/>
          </w:tcPr>
          <w:p>
            <w:pPr>
              <w:pStyle w:val="28"/>
              <w:spacing w:after="0" w:line="240" w:lineRule="auto"/>
              <w:ind w:left="64" w:right="64"/>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在所有有效的投标人中，依据所提供的针对该项目的服务方案详细、全面的得</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10分，所提供的服务方案可行的得</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6分，仅提供了简单的服务方案得</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2分，不提供的不得分。</w:t>
            </w:r>
          </w:p>
        </w:tc>
        <w:tc>
          <w:tcPr>
            <w:tcW w:w="971" w:type="dxa"/>
            <w:vMerge w:val="restart"/>
            <w:noWrap w:val="0"/>
            <w:vAlign w:val="top"/>
          </w:tcPr>
          <w:p>
            <w:pPr>
              <w:pStyle w:val="28"/>
              <w:spacing w:after="0" w:line="360" w:lineRule="auto"/>
              <w:ind w:left="64" w:right="64"/>
              <w:jc w:val="left"/>
              <w:rPr>
                <w:rFonts w:hint="eastAsia" w:ascii="宋体" w:hAnsi="宋体" w:eastAsia="宋体" w:cs="宋体"/>
                <w:bCs/>
                <w:color w:val="auto"/>
                <w:highlight w:val="none"/>
              </w:rPr>
            </w:pPr>
          </w:p>
          <w:p>
            <w:pPr>
              <w:pStyle w:val="28"/>
              <w:spacing w:after="0" w:line="360" w:lineRule="auto"/>
              <w:ind w:left="64" w:right="64"/>
              <w:rPr>
                <w:rFonts w:hint="default" w:ascii="宋体" w:hAnsi="宋体" w:eastAsia="宋体" w:cs="宋体"/>
                <w:bCs/>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6" w:hRule="atLeast"/>
          <w:jc w:val="center"/>
        </w:trPr>
        <w:tc>
          <w:tcPr>
            <w:tcW w:w="1060" w:type="dxa"/>
            <w:vMerge w:val="continue"/>
            <w:noWrap w:val="0"/>
            <w:vAlign w:val="center"/>
          </w:tcPr>
          <w:p>
            <w:pPr>
              <w:pStyle w:val="28"/>
              <w:spacing w:after="0" w:line="360" w:lineRule="auto"/>
              <w:ind w:left="64" w:right="64"/>
              <w:jc w:val="left"/>
              <w:rPr>
                <w:rFonts w:hint="eastAsia" w:ascii="宋体" w:hAnsi="宋体" w:eastAsia="宋体" w:cs="宋体"/>
                <w:bCs/>
                <w:color w:val="auto"/>
                <w:sz w:val="24"/>
                <w:szCs w:val="24"/>
                <w:highlight w:val="none"/>
              </w:rPr>
            </w:pPr>
          </w:p>
        </w:tc>
        <w:tc>
          <w:tcPr>
            <w:tcW w:w="1368" w:type="dxa"/>
            <w:noWrap w:val="0"/>
            <w:vAlign w:val="center"/>
          </w:tcPr>
          <w:p>
            <w:pPr>
              <w:pStyle w:val="28"/>
              <w:spacing w:after="0" w:line="240" w:lineRule="auto"/>
              <w:ind w:left="64" w:right="64"/>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服务流程</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0-10分</w:t>
            </w:r>
            <w:r>
              <w:rPr>
                <w:rFonts w:hint="eastAsia" w:ascii="宋体" w:hAnsi="宋体" w:eastAsia="宋体" w:cs="宋体"/>
                <w:bCs/>
                <w:color w:val="auto"/>
                <w:sz w:val="24"/>
                <w:szCs w:val="24"/>
                <w:highlight w:val="none"/>
                <w:lang w:eastAsia="zh-CN"/>
              </w:rPr>
              <w:t>）</w:t>
            </w:r>
          </w:p>
        </w:tc>
        <w:tc>
          <w:tcPr>
            <w:tcW w:w="6279" w:type="dxa"/>
            <w:noWrap w:val="0"/>
            <w:vAlign w:val="center"/>
          </w:tcPr>
          <w:p>
            <w:pPr>
              <w:pStyle w:val="28"/>
              <w:spacing w:after="0" w:line="240" w:lineRule="auto"/>
              <w:ind w:left="64" w:right="64"/>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在所有有效的投标人中，依据所提供的针对该项目的服务人员职责分工流程详细、全面的得</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10分，所提供的针对该项目的服务人员职责分工流程可行的</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6分，仅提供了简单的服务人员职责分工流程方案的得</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2分，不提供的不得分。</w:t>
            </w:r>
          </w:p>
        </w:tc>
        <w:tc>
          <w:tcPr>
            <w:tcW w:w="971" w:type="dxa"/>
            <w:vMerge w:val="continue"/>
            <w:noWrap w:val="0"/>
            <w:vAlign w:val="top"/>
          </w:tcPr>
          <w:p>
            <w:pPr>
              <w:pStyle w:val="28"/>
              <w:spacing w:after="0" w:line="360" w:lineRule="auto"/>
              <w:ind w:left="64" w:right="64"/>
              <w:rPr>
                <w:rFonts w:ascii="宋体" w:hAnsi="宋体" w:eastAsia="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3" w:hRule="atLeast"/>
          <w:jc w:val="center"/>
        </w:trPr>
        <w:tc>
          <w:tcPr>
            <w:tcW w:w="1060" w:type="dxa"/>
            <w:vMerge w:val="continue"/>
            <w:noWrap w:val="0"/>
            <w:vAlign w:val="center"/>
          </w:tcPr>
          <w:p>
            <w:pPr>
              <w:pStyle w:val="28"/>
              <w:spacing w:after="0" w:line="360" w:lineRule="auto"/>
              <w:ind w:left="64" w:right="64"/>
              <w:jc w:val="left"/>
              <w:rPr>
                <w:rFonts w:hint="eastAsia" w:ascii="宋体" w:hAnsi="宋体" w:eastAsia="宋体" w:cs="宋体"/>
                <w:bCs/>
                <w:color w:val="auto"/>
                <w:sz w:val="24"/>
                <w:szCs w:val="24"/>
                <w:highlight w:val="none"/>
              </w:rPr>
            </w:pPr>
          </w:p>
        </w:tc>
        <w:tc>
          <w:tcPr>
            <w:tcW w:w="1368" w:type="dxa"/>
            <w:noWrap w:val="0"/>
            <w:vAlign w:val="center"/>
          </w:tcPr>
          <w:p>
            <w:pPr>
              <w:pStyle w:val="28"/>
              <w:spacing w:after="0" w:line="240" w:lineRule="auto"/>
              <w:ind w:left="64" w:right="64"/>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报告编制方案</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0-10分</w:t>
            </w:r>
            <w:r>
              <w:rPr>
                <w:rFonts w:hint="eastAsia" w:ascii="宋体" w:hAnsi="宋体" w:eastAsia="宋体" w:cs="宋体"/>
                <w:bCs/>
                <w:color w:val="auto"/>
                <w:sz w:val="24"/>
                <w:szCs w:val="24"/>
                <w:highlight w:val="none"/>
                <w:lang w:eastAsia="zh-CN"/>
              </w:rPr>
              <w:t>）</w:t>
            </w:r>
          </w:p>
        </w:tc>
        <w:tc>
          <w:tcPr>
            <w:tcW w:w="6279" w:type="dxa"/>
            <w:noWrap w:val="0"/>
            <w:vAlign w:val="center"/>
          </w:tcPr>
          <w:p>
            <w:pPr>
              <w:pStyle w:val="28"/>
              <w:spacing w:after="0" w:line="240" w:lineRule="auto"/>
              <w:ind w:left="64" w:right="64"/>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在所有有效的投标人中，依据所提供的针对该项目的阶段性成果文件、最终成果文件科学、合理、全面的得</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10分，所提供的针对该项目的阶段性成果文件、最终成果文件科学、可行的得</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6分，仅提供了简单的阶段性成果文件、最终成果文件的得</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2分，不提供的不得分。</w:t>
            </w:r>
          </w:p>
        </w:tc>
        <w:tc>
          <w:tcPr>
            <w:tcW w:w="971" w:type="dxa"/>
            <w:vMerge w:val="continue"/>
            <w:noWrap w:val="0"/>
            <w:vAlign w:val="top"/>
          </w:tcPr>
          <w:p>
            <w:pPr>
              <w:pStyle w:val="28"/>
              <w:spacing w:after="0" w:line="360" w:lineRule="auto"/>
              <w:ind w:left="64" w:right="64"/>
              <w:rPr>
                <w:rFonts w:ascii="宋体" w:hAnsi="宋体" w:eastAsia="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1060" w:type="dxa"/>
            <w:vMerge w:val="continue"/>
            <w:noWrap w:val="0"/>
            <w:vAlign w:val="center"/>
          </w:tcPr>
          <w:p>
            <w:pPr>
              <w:pStyle w:val="28"/>
              <w:spacing w:after="0" w:line="360" w:lineRule="auto"/>
              <w:ind w:left="64" w:right="64"/>
              <w:jc w:val="left"/>
              <w:rPr>
                <w:rFonts w:hint="eastAsia" w:ascii="宋体" w:hAnsi="宋体" w:eastAsia="宋体" w:cs="宋体"/>
                <w:bCs/>
                <w:color w:val="auto"/>
                <w:sz w:val="24"/>
                <w:szCs w:val="24"/>
                <w:highlight w:val="none"/>
              </w:rPr>
            </w:pPr>
          </w:p>
        </w:tc>
        <w:tc>
          <w:tcPr>
            <w:tcW w:w="1368" w:type="dxa"/>
            <w:noWrap w:val="0"/>
            <w:vAlign w:val="center"/>
          </w:tcPr>
          <w:p>
            <w:pPr>
              <w:pStyle w:val="28"/>
              <w:spacing w:after="0" w:line="240" w:lineRule="auto"/>
              <w:ind w:left="64" w:right="64"/>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资料整理</w:t>
            </w:r>
            <w:r>
              <w:rPr>
                <w:rFonts w:hint="eastAsia" w:ascii="宋体" w:hAnsi="宋体" w:eastAsia="宋体" w:cs="宋体"/>
                <w:bCs/>
                <w:color w:val="auto"/>
                <w:sz w:val="24"/>
                <w:szCs w:val="24"/>
                <w:highlight w:val="none"/>
                <w:lang w:val="en-US" w:eastAsia="zh-CN"/>
              </w:rPr>
              <w:t>归档</w:t>
            </w:r>
            <w:r>
              <w:rPr>
                <w:rFonts w:hint="eastAsia" w:ascii="宋体" w:hAnsi="宋体" w:eastAsia="宋体" w:cs="宋体"/>
                <w:bCs/>
                <w:color w:val="auto"/>
                <w:sz w:val="24"/>
                <w:szCs w:val="24"/>
                <w:highlight w:val="none"/>
              </w:rPr>
              <w:t>的科学、合理、全面</w:t>
            </w:r>
            <w:r>
              <w:rPr>
                <w:rFonts w:hint="eastAsia" w:ascii="宋体" w:hAnsi="宋体" w:eastAsia="宋体" w:cs="宋体"/>
                <w:bCs/>
                <w:color w:val="auto"/>
                <w:sz w:val="24"/>
                <w:szCs w:val="24"/>
                <w:highlight w:val="none"/>
                <w:lang w:val="en-US" w:eastAsia="zh-CN"/>
              </w:rPr>
              <w:t>性（0-10分）</w:t>
            </w:r>
          </w:p>
        </w:tc>
        <w:tc>
          <w:tcPr>
            <w:tcW w:w="6279" w:type="dxa"/>
            <w:noWrap w:val="0"/>
            <w:vAlign w:val="center"/>
          </w:tcPr>
          <w:p>
            <w:pPr>
              <w:pStyle w:val="28"/>
              <w:spacing w:after="0" w:line="240" w:lineRule="auto"/>
              <w:ind w:left="64" w:right="64"/>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在所有有效的投标人中，依据所提供的针对该项目的资料整理归档的科学、合理、全面的得</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10分，所提供的针对该项目的资料整理归档满足项目要求得</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6分，仅提供了简单的针对该项目的资料整理归档方案的得</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2分，不提供的不得分。</w:t>
            </w:r>
          </w:p>
        </w:tc>
        <w:tc>
          <w:tcPr>
            <w:tcW w:w="971" w:type="dxa"/>
            <w:vMerge w:val="continue"/>
            <w:noWrap w:val="0"/>
            <w:vAlign w:val="top"/>
          </w:tcPr>
          <w:p>
            <w:pPr>
              <w:pStyle w:val="28"/>
              <w:spacing w:after="0" w:line="360" w:lineRule="auto"/>
              <w:ind w:left="64" w:right="64"/>
              <w:rPr>
                <w:rFonts w:ascii="宋体" w:hAnsi="宋体" w:eastAsia="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jc w:val="center"/>
        </w:trPr>
        <w:tc>
          <w:tcPr>
            <w:tcW w:w="1060" w:type="dxa"/>
            <w:vMerge w:val="continue"/>
            <w:noWrap w:val="0"/>
            <w:vAlign w:val="center"/>
          </w:tcPr>
          <w:p>
            <w:pPr>
              <w:pStyle w:val="28"/>
              <w:spacing w:after="0" w:line="360" w:lineRule="auto"/>
              <w:ind w:left="64" w:right="64"/>
              <w:jc w:val="left"/>
              <w:rPr>
                <w:rFonts w:hint="eastAsia" w:ascii="宋体" w:hAnsi="宋体" w:eastAsia="宋体" w:cs="宋体"/>
                <w:bCs/>
                <w:color w:val="auto"/>
                <w:sz w:val="24"/>
                <w:szCs w:val="24"/>
                <w:highlight w:val="none"/>
              </w:rPr>
            </w:pPr>
          </w:p>
        </w:tc>
        <w:tc>
          <w:tcPr>
            <w:tcW w:w="1368" w:type="dxa"/>
            <w:noWrap w:val="0"/>
            <w:vAlign w:val="center"/>
          </w:tcPr>
          <w:p>
            <w:pPr>
              <w:pStyle w:val="28"/>
              <w:spacing w:after="0" w:line="240" w:lineRule="auto"/>
              <w:ind w:left="64" w:right="64"/>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质量控制及保障措施（</w:t>
            </w:r>
            <w:r>
              <w:rPr>
                <w:rFonts w:hint="eastAsia" w:ascii="Times New Roman" w:eastAsia="宋体" w:cs="Times New Roman"/>
                <w:bCs/>
                <w:color w:val="auto"/>
                <w:sz w:val="24"/>
                <w:szCs w:val="24"/>
                <w:highlight w:val="none"/>
                <w:lang w:val="en-US" w:eastAsia="zh-CN"/>
              </w:rPr>
              <w:t>0-</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w:t>
            </w:r>
          </w:p>
        </w:tc>
        <w:tc>
          <w:tcPr>
            <w:tcW w:w="6279" w:type="dxa"/>
            <w:noWrap w:val="0"/>
            <w:vAlign w:val="center"/>
          </w:tcPr>
          <w:p>
            <w:pPr>
              <w:pStyle w:val="28"/>
              <w:spacing w:after="0" w:line="240" w:lineRule="auto"/>
              <w:ind w:left="64" w:right="64"/>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项目质量的保障措施具体、合理的得</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分；项目质量的保障措施可行的得</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分；仅提供了简单的项目质量保障措施的得1分；不提供的不得分。</w:t>
            </w:r>
          </w:p>
        </w:tc>
        <w:tc>
          <w:tcPr>
            <w:tcW w:w="971" w:type="dxa"/>
            <w:vMerge w:val="continue"/>
            <w:noWrap w:val="0"/>
            <w:vAlign w:val="top"/>
          </w:tcPr>
          <w:p>
            <w:pPr>
              <w:pStyle w:val="28"/>
              <w:spacing w:after="0" w:line="360" w:lineRule="auto"/>
              <w:ind w:left="64" w:right="64"/>
              <w:rPr>
                <w:rFonts w:ascii="宋体" w:hAnsi="宋体" w:eastAsia="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1060" w:type="dxa"/>
            <w:vMerge w:val="continue"/>
            <w:noWrap w:val="0"/>
            <w:vAlign w:val="center"/>
          </w:tcPr>
          <w:p>
            <w:pPr>
              <w:pStyle w:val="28"/>
              <w:spacing w:after="0" w:line="360" w:lineRule="auto"/>
              <w:ind w:left="64" w:right="64"/>
              <w:jc w:val="left"/>
              <w:rPr>
                <w:rFonts w:hint="eastAsia" w:ascii="宋体" w:hAnsi="宋体" w:eastAsia="宋体" w:cs="宋体"/>
                <w:bCs/>
                <w:color w:val="auto"/>
                <w:sz w:val="24"/>
                <w:szCs w:val="24"/>
                <w:highlight w:val="none"/>
              </w:rPr>
            </w:pPr>
          </w:p>
        </w:tc>
        <w:tc>
          <w:tcPr>
            <w:tcW w:w="1368" w:type="dxa"/>
            <w:noWrap w:val="0"/>
            <w:vAlign w:val="center"/>
          </w:tcPr>
          <w:p>
            <w:pPr>
              <w:pStyle w:val="28"/>
              <w:spacing w:after="0" w:line="240" w:lineRule="auto"/>
              <w:ind w:left="64" w:right="64"/>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重点、难点和控制点分析，以及相应对策和处理措施（</w:t>
            </w:r>
            <w:r>
              <w:rPr>
                <w:rFonts w:hint="eastAsia" w:ascii="Times New Roman" w:eastAsia="宋体" w:cs="Times New Roman"/>
                <w:bCs/>
                <w:color w:val="auto"/>
                <w:sz w:val="24"/>
                <w:szCs w:val="24"/>
                <w:highlight w:val="none"/>
                <w:lang w:val="en-US" w:eastAsia="zh-CN"/>
              </w:rPr>
              <w:t>0-</w:t>
            </w:r>
            <w:r>
              <w:rPr>
                <w:rFonts w:hint="eastAsia" w:ascii="宋体" w:hAnsi="宋体" w:eastAsia="宋体" w:cs="宋体"/>
                <w:bCs/>
                <w:color w:val="auto"/>
                <w:sz w:val="24"/>
                <w:szCs w:val="24"/>
                <w:highlight w:val="none"/>
              </w:rPr>
              <w:t>10分）</w:t>
            </w:r>
          </w:p>
        </w:tc>
        <w:tc>
          <w:tcPr>
            <w:tcW w:w="6279" w:type="dxa"/>
            <w:noWrap w:val="0"/>
            <w:vAlign w:val="center"/>
          </w:tcPr>
          <w:p>
            <w:pPr>
              <w:pStyle w:val="28"/>
              <w:spacing w:after="0" w:line="240" w:lineRule="auto"/>
              <w:ind w:left="64" w:right="64"/>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针对本工作重点、难点分析针对性强且全面、方法有效、准确，以及相应对策和处理措施全面、合理得</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10分；针对本工作重点、难点分析以及相应对策和处理措施得当得</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6分；针对本工作重点、难点分析方案可行，以及相应对策和处理措施可行的得2分；仅提供了简单的针对本工作重点、难点分析，以及相应对策和处理措施方案的得1分；</w:t>
            </w:r>
          </w:p>
        </w:tc>
        <w:tc>
          <w:tcPr>
            <w:tcW w:w="971" w:type="dxa"/>
            <w:vMerge w:val="continue"/>
            <w:noWrap w:val="0"/>
            <w:vAlign w:val="top"/>
          </w:tcPr>
          <w:p>
            <w:pPr>
              <w:pStyle w:val="28"/>
              <w:spacing w:after="0" w:line="360" w:lineRule="auto"/>
              <w:ind w:left="64" w:right="64"/>
              <w:rPr>
                <w:rFonts w:ascii="宋体" w:hAnsi="宋体" w:eastAsia="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1060" w:type="dxa"/>
            <w:vMerge w:val="continue"/>
            <w:noWrap w:val="0"/>
            <w:vAlign w:val="center"/>
          </w:tcPr>
          <w:p>
            <w:pPr>
              <w:pStyle w:val="28"/>
              <w:spacing w:after="0" w:line="360" w:lineRule="auto"/>
              <w:ind w:left="64" w:right="64"/>
              <w:jc w:val="left"/>
              <w:rPr>
                <w:rFonts w:hint="eastAsia" w:ascii="宋体" w:hAnsi="宋体" w:eastAsia="宋体" w:cs="宋体"/>
                <w:bCs/>
                <w:color w:val="auto"/>
                <w:sz w:val="24"/>
                <w:szCs w:val="24"/>
                <w:highlight w:val="none"/>
              </w:rPr>
            </w:pPr>
          </w:p>
        </w:tc>
        <w:tc>
          <w:tcPr>
            <w:tcW w:w="1368" w:type="dxa"/>
            <w:noWrap w:val="0"/>
            <w:vAlign w:val="center"/>
          </w:tcPr>
          <w:p>
            <w:pPr>
              <w:pStyle w:val="28"/>
              <w:spacing w:after="0" w:line="240" w:lineRule="auto"/>
              <w:ind w:left="64" w:right="64"/>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服务承诺（</w:t>
            </w:r>
            <w:r>
              <w:rPr>
                <w:rFonts w:hint="eastAsia" w:ascii="Times New Roman" w:eastAsia="宋体" w:cs="Times New Roman"/>
                <w:bCs/>
                <w:color w:val="auto"/>
                <w:sz w:val="24"/>
                <w:szCs w:val="24"/>
                <w:highlight w:val="none"/>
                <w:lang w:val="en-US" w:eastAsia="zh-CN"/>
              </w:rPr>
              <w:t>0-</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w:t>
            </w:r>
          </w:p>
        </w:tc>
        <w:tc>
          <w:tcPr>
            <w:tcW w:w="6279" w:type="dxa"/>
            <w:noWrap w:val="0"/>
            <w:vAlign w:val="center"/>
          </w:tcPr>
          <w:p>
            <w:pPr>
              <w:pStyle w:val="28"/>
              <w:spacing w:after="0" w:line="240" w:lineRule="auto"/>
              <w:ind w:left="64" w:right="64"/>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服务承诺合理性、可行性、全面性详细完整的得</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分，服务承诺简单的得</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分，服务承诺粗略的得1分，不提供的不得分。</w:t>
            </w:r>
          </w:p>
        </w:tc>
        <w:tc>
          <w:tcPr>
            <w:tcW w:w="971" w:type="dxa"/>
            <w:vMerge w:val="continue"/>
            <w:noWrap w:val="0"/>
            <w:vAlign w:val="top"/>
          </w:tcPr>
          <w:p>
            <w:pPr>
              <w:pStyle w:val="28"/>
              <w:spacing w:after="0" w:line="360" w:lineRule="auto"/>
              <w:ind w:left="64" w:right="64"/>
              <w:rPr>
                <w:rFonts w:ascii="宋体" w:hAnsi="宋体" w:eastAsia="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1060" w:type="dxa"/>
            <w:vMerge w:val="continue"/>
            <w:noWrap w:val="0"/>
            <w:vAlign w:val="center"/>
          </w:tcPr>
          <w:p>
            <w:pPr>
              <w:pStyle w:val="28"/>
              <w:spacing w:after="0" w:line="360" w:lineRule="auto"/>
              <w:ind w:left="64" w:right="64"/>
              <w:jc w:val="left"/>
              <w:rPr>
                <w:rFonts w:hint="eastAsia" w:ascii="宋体" w:hAnsi="宋体" w:eastAsia="宋体" w:cs="宋体"/>
                <w:bCs/>
                <w:color w:val="auto"/>
                <w:sz w:val="24"/>
                <w:szCs w:val="24"/>
                <w:highlight w:val="none"/>
              </w:rPr>
            </w:pPr>
          </w:p>
        </w:tc>
        <w:tc>
          <w:tcPr>
            <w:tcW w:w="1368" w:type="dxa"/>
            <w:noWrap w:val="0"/>
            <w:vAlign w:val="center"/>
          </w:tcPr>
          <w:p>
            <w:pPr>
              <w:pStyle w:val="28"/>
              <w:spacing w:after="0" w:line="240" w:lineRule="auto"/>
              <w:ind w:left="64" w:right="64"/>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合理化建议（</w:t>
            </w:r>
            <w:r>
              <w:rPr>
                <w:rFonts w:hint="eastAsia" w:ascii="Times New Roman" w:eastAsia="宋体" w:cs="Times New Roman"/>
                <w:bCs/>
                <w:color w:val="auto"/>
                <w:sz w:val="24"/>
                <w:szCs w:val="24"/>
                <w:highlight w:val="none"/>
                <w:lang w:val="en-US" w:eastAsia="zh-CN"/>
              </w:rPr>
              <w:t>0-</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w:t>
            </w:r>
          </w:p>
        </w:tc>
        <w:tc>
          <w:tcPr>
            <w:tcW w:w="6279" w:type="dxa"/>
            <w:noWrap w:val="0"/>
            <w:vAlign w:val="center"/>
          </w:tcPr>
          <w:p>
            <w:pPr>
              <w:pStyle w:val="28"/>
              <w:spacing w:after="0" w:line="240" w:lineRule="auto"/>
              <w:ind w:left="64" w:right="64"/>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能够提出深化项目需求的合理化建议，增加项目的可行性，建议合理、可行性强的得</w:t>
            </w:r>
            <w:r>
              <w:rPr>
                <w:rFonts w:hint="eastAsia" w:ascii="宋体" w:hAnsi="宋体" w:eastAsia="宋体" w:cs="宋体"/>
                <w:bCs/>
                <w:color w:val="auto"/>
                <w:sz w:val="24"/>
                <w:szCs w:val="24"/>
                <w:highlight w:val="none"/>
                <w:lang w:val="en-US" w:eastAsia="zh-CN"/>
              </w:rPr>
              <w:t>2-3</w:t>
            </w:r>
            <w:r>
              <w:rPr>
                <w:rFonts w:hint="eastAsia" w:ascii="宋体" w:hAnsi="宋体" w:eastAsia="宋体" w:cs="宋体"/>
                <w:bCs/>
                <w:color w:val="auto"/>
                <w:sz w:val="24"/>
                <w:szCs w:val="24"/>
                <w:highlight w:val="none"/>
              </w:rPr>
              <w:t>分；仅提供了简单的合理化建议的得1分</w:t>
            </w:r>
          </w:p>
        </w:tc>
        <w:tc>
          <w:tcPr>
            <w:tcW w:w="971" w:type="dxa"/>
            <w:vMerge w:val="continue"/>
            <w:noWrap w:val="0"/>
            <w:vAlign w:val="top"/>
          </w:tcPr>
          <w:p>
            <w:pPr>
              <w:pStyle w:val="28"/>
              <w:spacing w:after="0" w:line="360" w:lineRule="auto"/>
              <w:ind w:left="64" w:right="64"/>
              <w:rPr>
                <w:rFonts w:ascii="宋体" w:hAnsi="宋体" w:eastAsia="宋体" w:cs="宋体"/>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1060" w:type="dxa"/>
            <w:vMerge w:val="continue"/>
            <w:noWrap w:val="0"/>
            <w:vAlign w:val="center"/>
          </w:tcPr>
          <w:p>
            <w:pPr>
              <w:pStyle w:val="28"/>
              <w:spacing w:after="0" w:line="360" w:lineRule="auto"/>
              <w:ind w:left="64" w:right="64"/>
              <w:jc w:val="left"/>
              <w:rPr>
                <w:rFonts w:hint="eastAsia" w:ascii="宋体" w:hAnsi="宋体" w:eastAsia="宋体" w:cs="宋体"/>
                <w:bCs/>
                <w:color w:val="auto"/>
                <w:sz w:val="24"/>
                <w:szCs w:val="24"/>
                <w:highlight w:val="none"/>
              </w:rPr>
            </w:pPr>
          </w:p>
        </w:tc>
        <w:tc>
          <w:tcPr>
            <w:tcW w:w="1368" w:type="dxa"/>
            <w:noWrap w:val="0"/>
            <w:vAlign w:val="center"/>
          </w:tcPr>
          <w:p>
            <w:pPr>
              <w:pStyle w:val="28"/>
              <w:spacing w:after="0" w:line="240" w:lineRule="auto"/>
              <w:ind w:left="64" w:right="64"/>
              <w:jc w:val="left"/>
              <w:rPr>
                <w:rFonts w:hint="eastAsia" w:ascii="宋体" w:hAnsi="宋体" w:eastAsia="宋体" w:cs="宋体"/>
                <w:bCs/>
                <w:color w:val="auto"/>
                <w:sz w:val="24"/>
                <w:szCs w:val="24"/>
                <w:highlight w:val="none"/>
              </w:rPr>
            </w:pPr>
            <w:r>
              <w:rPr>
                <w:rFonts w:hint="eastAsia" w:ascii="Times New Roman" w:eastAsia="宋体" w:cs="Times New Roman"/>
                <w:bCs/>
                <w:color w:val="auto"/>
                <w:sz w:val="24"/>
                <w:szCs w:val="24"/>
                <w:highlight w:val="none"/>
                <w:lang w:val="zh-CN"/>
              </w:rPr>
              <w:t>内部控制管理情况（</w:t>
            </w:r>
            <w:r>
              <w:rPr>
                <w:rFonts w:hint="eastAsia" w:ascii="Times New Roman" w:eastAsia="宋体" w:cs="Times New Roman"/>
                <w:bCs/>
                <w:color w:val="auto"/>
                <w:sz w:val="24"/>
                <w:szCs w:val="24"/>
                <w:highlight w:val="none"/>
                <w:lang w:val="en-US" w:eastAsia="zh-CN"/>
              </w:rPr>
              <w:t>0-6分</w:t>
            </w:r>
            <w:r>
              <w:rPr>
                <w:rFonts w:hint="eastAsia" w:ascii="Times New Roman" w:eastAsia="宋体" w:cs="Times New Roman"/>
                <w:bCs/>
                <w:color w:val="auto"/>
                <w:sz w:val="24"/>
                <w:szCs w:val="24"/>
                <w:highlight w:val="none"/>
                <w:lang w:val="zh-CN"/>
              </w:rPr>
              <w:t>）</w:t>
            </w:r>
          </w:p>
        </w:tc>
        <w:tc>
          <w:tcPr>
            <w:tcW w:w="6279" w:type="dxa"/>
            <w:noWrap w:val="0"/>
            <w:vAlign w:val="center"/>
          </w:tcPr>
          <w:p>
            <w:pPr>
              <w:pStyle w:val="28"/>
              <w:spacing w:after="0" w:line="240" w:lineRule="auto"/>
              <w:ind w:left="64" w:right="64"/>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根据质量管理、保密管理等内部管理制度，质量管理、保密管理等内部管理制度详细完整的得</w:t>
            </w:r>
            <w:r>
              <w:rPr>
                <w:rFonts w:hint="eastAsia" w:ascii="宋体" w:hAnsi="宋体" w:eastAsia="宋体" w:cs="宋体"/>
                <w:bCs/>
                <w:color w:val="auto"/>
                <w:sz w:val="24"/>
                <w:szCs w:val="24"/>
                <w:highlight w:val="none"/>
                <w:lang w:val="en-US" w:eastAsia="zh-CN"/>
              </w:rPr>
              <w:t>5-6</w:t>
            </w:r>
            <w:r>
              <w:rPr>
                <w:rFonts w:hint="eastAsia" w:ascii="宋体" w:hAnsi="宋体" w:eastAsia="宋体" w:cs="宋体"/>
                <w:bCs/>
                <w:color w:val="auto"/>
                <w:sz w:val="24"/>
                <w:szCs w:val="24"/>
                <w:highlight w:val="none"/>
              </w:rPr>
              <w:t>分，安全管理、保密管理等内部管理制度简单的得</w:t>
            </w:r>
            <w:r>
              <w:rPr>
                <w:rFonts w:hint="eastAsia" w:ascii="宋体" w:hAnsi="宋体" w:eastAsia="宋体" w:cs="宋体"/>
                <w:bCs/>
                <w:color w:val="auto"/>
                <w:sz w:val="24"/>
                <w:szCs w:val="24"/>
                <w:highlight w:val="none"/>
                <w:lang w:val="en-US" w:eastAsia="zh-CN"/>
              </w:rPr>
              <w:t>2-4</w:t>
            </w:r>
            <w:r>
              <w:rPr>
                <w:rFonts w:hint="eastAsia" w:ascii="宋体" w:hAnsi="宋体" w:eastAsia="宋体" w:cs="宋体"/>
                <w:bCs/>
                <w:color w:val="auto"/>
                <w:sz w:val="24"/>
                <w:szCs w:val="24"/>
                <w:highlight w:val="none"/>
              </w:rPr>
              <w:t>分，安全管理、保密管理等内部管理制度粗略的得</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分，不提供的不得分。</w:t>
            </w:r>
          </w:p>
        </w:tc>
        <w:tc>
          <w:tcPr>
            <w:tcW w:w="971" w:type="dxa"/>
            <w:vMerge w:val="continue"/>
            <w:noWrap w:val="0"/>
            <w:vAlign w:val="top"/>
          </w:tcPr>
          <w:p>
            <w:pPr>
              <w:pStyle w:val="28"/>
              <w:spacing w:after="0" w:line="360" w:lineRule="auto"/>
              <w:ind w:left="64" w:right="64"/>
              <w:rPr>
                <w:rFonts w:ascii="宋体" w:hAnsi="宋体" w:eastAsia="宋体" w:cs="宋体"/>
                <w:bCs/>
                <w:color w:val="auto"/>
                <w:highlight w:val="none"/>
              </w:rPr>
            </w:pPr>
          </w:p>
        </w:tc>
      </w:tr>
    </w:tbl>
    <w:p>
      <w:pPr>
        <w:pStyle w:val="2"/>
        <w:jc w:val="center"/>
        <w:rPr>
          <w:rFonts w:hint="eastAsia"/>
          <w:color w:val="auto"/>
          <w:highlight w:val="none"/>
        </w:rPr>
      </w:pPr>
      <w:r>
        <w:rPr>
          <w:rFonts w:hint="eastAsia" w:ascii="宋体" w:hAnsi="宋体" w:cs="宋体"/>
          <w:color w:val="auto"/>
          <w:kern w:val="0"/>
          <w:sz w:val="28"/>
          <w:szCs w:val="28"/>
          <w:highlight w:val="none"/>
          <w:lang w:bidi="ar"/>
        </w:rPr>
        <w:br w:type="page"/>
      </w:r>
      <w:r>
        <w:rPr>
          <w:rFonts w:hint="eastAsia" w:ascii="宋体" w:hAnsi="宋体" w:cs="宋体"/>
          <w:color w:val="auto"/>
          <w:kern w:val="0"/>
          <w:sz w:val="28"/>
          <w:szCs w:val="28"/>
          <w:highlight w:val="none"/>
          <w:lang w:bidi="ar"/>
        </w:rPr>
        <w:t>商务部分</w:t>
      </w:r>
    </w:p>
    <w:bookmarkEnd w:id="89"/>
    <w:bookmarkEnd w:id="90"/>
    <w:bookmarkEnd w:id="91"/>
    <w:tbl>
      <w:tblPr>
        <w:tblStyle w:val="19"/>
        <w:tblW w:w="9670" w:type="dxa"/>
        <w:jc w:val="center"/>
        <w:tblLayout w:type="fixed"/>
        <w:tblCellMar>
          <w:top w:w="0" w:type="dxa"/>
          <w:left w:w="0" w:type="dxa"/>
          <w:bottom w:w="0" w:type="dxa"/>
          <w:right w:w="0" w:type="dxa"/>
        </w:tblCellMar>
      </w:tblPr>
      <w:tblGrid>
        <w:gridCol w:w="1059"/>
        <w:gridCol w:w="7296"/>
        <w:gridCol w:w="1315"/>
      </w:tblGrid>
      <w:tr>
        <w:tblPrEx>
          <w:tblCellMar>
            <w:top w:w="0" w:type="dxa"/>
            <w:left w:w="0" w:type="dxa"/>
            <w:bottom w:w="0" w:type="dxa"/>
            <w:right w:w="0" w:type="dxa"/>
          </w:tblCellMar>
        </w:tblPrEx>
        <w:trPr>
          <w:trHeight w:val="850" w:hRule="atLeast"/>
          <w:jc w:val="center"/>
        </w:trPr>
        <w:tc>
          <w:tcPr>
            <w:tcW w:w="1059"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pPr>
              <w:widowControl/>
              <w:adjustRightInd w:val="0"/>
              <w:snapToGrid w:val="0"/>
              <w:spacing w:line="400" w:lineRule="exact"/>
              <w:jc w:val="center"/>
              <w:textAlignment w:val="center"/>
              <w:rPr>
                <w:rFonts w:hint="eastAsia" w:ascii="宋体" w:hAnsi="宋体" w:cs="宋体"/>
                <w:color w:val="auto"/>
                <w:sz w:val="28"/>
                <w:szCs w:val="28"/>
                <w:highlight w:val="none"/>
              </w:rPr>
            </w:pPr>
            <w:r>
              <w:rPr>
                <w:rFonts w:hint="eastAsia" w:ascii="宋体" w:hAnsi="宋体" w:cs="宋体"/>
                <w:color w:val="auto"/>
                <w:sz w:val="28"/>
                <w:szCs w:val="28"/>
                <w:highlight w:val="none"/>
              </w:rPr>
              <w:t>项目</w:t>
            </w:r>
          </w:p>
        </w:tc>
        <w:tc>
          <w:tcPr>
            <w:tcW w:w="7296"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line="400" w:lineRule="exact"/>
              <w:jc w:val="center"/>
              <w:textAlignment w:val="center"/>
              <w:rPr>
                <w:rFonts w:hint="eastAsia" w:ascii="宋体" w:hAnsi="宋体" w:cs="宋体"/>
                <w:color w:val="auto"/>
                <w:sz w:val="28"/>
                <w:szCs w:val="28"/>
                <w:highlight w:val="none"/>
              </w:rPr>
            </w:pPr>
            <w:r>
              <w:rPr>
                <w:rFonts w:hint="eastAsia" w:ascii="宋体" w:hAnsi="宋体" w:cs="宋体"/>
                <w:color w:val="auto"/>
                <w:sz w:val="28"/>
                <w:szCs w:val="28"/>
                <w:highlight w:val="none"/>
              </w:rPr>
              <w:t>评分标准</w:t>
            </w:r>
          </w:p>
        </w:tc>
        <w:tc>
          <w:tcPr>
            <w:tcW w:w="13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line="400" w:lineRule="exact"/>
              <w:jc w:val="center"/>
              <w:textAlignment w:val="center"/>
              <w:rPr>
                <w:rFonts w:hint="default" w:ascii="宋体" w:hAnsi="宋体" w:eastAsia="宋体" w:cs="宋体"/>
                <w:color w:val="auto"/>
                <w:sz w:val="28"/>
                <w:szCs w:val="28"/>
                <w:highlight w:val="none"/>
                <w:lang w:val="en-US" w:eastAsia="zh-CN"/>
              </w:rPr>
            </w:pPr>
            <w:r>
              <w:rPr>
                <w:rFonts w:hint="eastAsia" w:ascii="宋体" w:hAnsi="宋体" w:eastAsia="宋体" w:cs="宋体"/>
                <w:bCs/>
                <w:color w:val="auto"/>
                <w:kern w:val="0"/>
                <w:sz w:val="24"/>
                <w:szCs w:val="24"/>
                <w:highlight w:val="none"/>
                <w:lang w:val="en-US" w:eastAsia="zh-CN" w:bidi="ar-SA"/>
              </w:rPr>
              <w:t>分值</w:t>
            </w:r>
            <w:r>
              <w:rPr>
                <w:rFonts w:hint="eastAsia" w:ascii="宋体" w:hAnsi="宋体" w:cs="宋体"/>
                <w:bCs/>
                <w:color w:val="auto"/>
                <w:kern w:val="0"/>
                <w:sz w:val="24"/>
                <w:szCs w:val="24"/>
                <w:highlight w:val="none"/>
                <w:lang w:val="en-US" w:eastAsia="zh-CN" w:bidi="ar-SA"/>
              </w:rPr>
              <w:t>（</w:t>
            </w:r>
            <w:r>
              <w:rPr>
                <w:rFonts w:hint="eastAsia" w:ascii="宋体" w:hAnsi="宋体" w:eastAsia="宋体" w:cs="宋体"/>
                <w:bCs/>
                <w:color w:val="auto"/>
                <w:kern w:val="0"/>
                <w:sz w:val="24"/>
                <w:szCs w:val="24"/>
                <w:highlight w:val="none"/>
                <w:lang w:val="en-US" w:eastAsia="zh-CN" w:bidi="ar-SA"/>
              </w:rPr>
              <w:t>25分</w:t>
            </w:r>
            <w:r>
              <w:rPr>
                <w:rFonts w:hint="eastAsia" w:ascii="宋体" w:hAnsi="宋体" w:cs="宋体"/>
                <w:bCs/>
                <w:color w:val="auto"/>
                <w:kern w:val="0"/>
                <w:sz w:val="24"/>
                <w:szCs w:val="24"/>
                <w:highlight w:val="none"/>
                <w:lang w:val="en-US" w:eastAsia="zh-CN" w:bidi="ar-SA"/>
              </w:rPr>
              <w:t>）</w:t>
            </w:r>
          </w:p>
        </w:tc>
      </w:tr>
      <w:tr>
        <w:tblPrEx>
          <w:tblCellMar>
            <w:top w:w="0" w:type="dxa"/>
            <w:left w:w="0" w:type="dxa"/>
            <w:bottom w:w="0" w:type="dxa"/>
            <w:right w:w="0" w:type="dxa"/>
          </w:tblCellMar>
        </w:tblPrEx>
        <w:trPr>
          <w:trHeight w:val="888" w:hRule="atLeast"/>
          <w:jc w:val="center"/>
        </w:trPr>
        <w:tc>
          <w:tcPr>
            <w:tcW w:w="1059"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pPr>
              <w:pStyle w:val="28"/>
              <w:spacing w:after="0" w:line="240" w:lineRule="auto"/>
              <w:ind w:left="64" w:right="64"/>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w:t>
            </w:r>
          </w:p>
          <w:p>
            <w:pPr>
              <w:pStyle w:val="28"/>
              <w:spacing w:after="0" w:line="240" w:lineRule="auto"/>
              <w:ind w:left="64" w:right="64"/>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响应</w:t>
            </w:r>
          </w:p>
        </w:tc>
        <w:tc>
          <w:tcPr>
            <w:tcW w:w="7296"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pStyle w:val="28"/>
              <w:spacing w:after="0" w:line="240" w:lineRule="auto"/>
              <w:ind w:left="64" w:right="64"/>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投标文件格式和内容是否按照招标文件要求编制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0-3分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目录页码准确</w:t>
            </w:r>
            <w:r>
              <w:rPr>
                <w:rFonts w:hint="eastAsia" w:ascii="宋体" w:hAnsi="宋体" w:eastAsia="宋体" w:cs="宋体"/>
                <w:bCs/>
                <w:color w:val="auto"/>
                <w:sz w:val="24"/>
                <w:szCs w:val="24"/>
                <w:highlight w:val="none"/>
              </w:rPr>
              <w:t>、内容完整性、关联点设置准确、查找方便度。每出现一处明显错误扣</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分，扣完为止。</w:t>
            </w:r>
          </w:p>
        </w:tc>
        <w:tc>
          <w:tcPr>
            <w:tcW w:w="13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line="400" w:lineRule="exac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0-3分</w:t>
            </w:r>
          </w:p>
        </w:tc>
      </w:tr>
      <w:tr>
        <w:tblPrEx>
          <w:tblCellMar>
            <w:top w:w="0" w:type="dxa"/>
            <w:left w:w="0" w:type="dxa"/>
            <w:bottom w:w="0" w:type="dxa"/>
            <w:right w:w="0" w:type="dxa"/>
          </w:tblCellMar>
        </w:tblPrEx>
        <w:trPr>
          <w:trHeight w:val="609" w:hRule="atLeast"/>
          <w:jc w:val="center"/>
        </w:trPr>
        <w:tc>
          <w:tcPr>
            <w:tcW w:w="1059"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pPr>
              <w:pStyle w:val="28"/>
              <w:spacing w:after="0" w:line="240" w:lineRule="auto"/>
              <w:ind w:left="64" w:right="64"/>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类似业绩</w:t>
            </w:r>
          </w:p>
        </w:tc>
        <w:tc>
          <w:tcPr>
            <w:tcW w:w="7296"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pStyle w:val="28"/>
              <w:spacing w:after="0" w:line="240" w:lineRule="auto"/>
              <w:ind w:left="64" w:right="64"/>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提供20</w:t>
            </w:r>
            <w:r>
              <w:rPr>
                <w:rFonts w:hint="eastAsia" w:ascii="宋体" w:hAnsi="宋体" w:eastAsia="宋体" w:cs="宋体"/>
                <w:bCs/>
                <w:color w:val="auto"/>
                <w:sz w:val="24"/>
                <w:szCs w:val="24"/>
                <w:highlight w:val="none"/>
                <w:lang w:val="en-US" w:eastAsia="zh-CN"/>
              </w:rPr>
              <w:t>21</w:t>
            </w:r>
            <w:r>
              <w:rPr>
                <w:rFonts w:hint="eastAsia" w:ascii="宋体" w:hAnsi="宋体" w:eastAsia="宋体" w:cs="宋体"/>
                <w:bCs/>
                <w:color w:val="auto"/>
                <w:sz w:val="24"/>
                <w:szCs w:val="24"/>
                <w:highlight w:val="none"/>
              </w:rPr>
              <w:t>年以来的类似业绩证明材料。每提供一份得2分，最高得</w:t>
            </w:r>
            <w:r>
              <w:rPr>
                <w:rFonts w:hint="eastAsia" w:ascii="宋体" w:hAnsi="宋体" w:eastAsia="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分；未提供不得分；（需提供包含合同首页、标的及金额所在页、合同签字盖章页；评审依据：证明材料正本须提供业绩合同书原件的彩色扫描件，否则不予认定）。</w:t>
            </w:r>
          </w:p>
        </w:tc>
        <w:tc>
          <w:tcPr>
            <w:tcW w:w="13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line="400" w:lineRule="exact"/>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0-12分</w:t>
            </w:r>
          </w:p>
        </w:tc>
      </w:tr>
      <w:tr>
        <w:tblPrEx>
          <w:tblCellMar>
            <w:top w:w="0" w:type="dxa"/>
            <w:left w:w="0" w:type="dxa"/>
            <w:bottom w:w="0" w:type="dxa"/>
            <w:right w:w="0" w:type="dxa"/>
          </w:tblCellMar>
        </w:tblPrEx>
        <w:trPr>
          <w:trHeight w:val="700" w:hRule="atLeast"/>
          <w:jc w:val="center"/>
        </w:trPr>
        <w:tc>
          <w:tcPr>
            <w:tcW w:w="1059" w:type="dxa"/>
            <w:vMerge w:val="restart"/>
            <w:tcBorders>
              <w:top w:val="single" w:color="auto" w:sz="4" w:space="0"/>
              <w:left w:val="single" w:color="auto" w:sz="4" w:space="0"/>
              <w:right w:val="single" w:color="000000" w:sz="8" w:space="0"/>
            </w:tcBorders>
            <w:noWrap w:val="0"/>
            <w:tcMar>
              <w:top w:w="15" w:type="dxa"/>
              <w:left w:w="15" w:type="dxa"/>
              <w:right w:w="15" w:type="dxa"/>
            </w:tcMar>
            <w:vAlign w:val="center"/>
          </w:tcPr>
          <w:p>
            <w:pPr>
              <w:pStyle w:val="28"/>
              <w:spacing w:after="0" w:line="240" w:lineRule="auto"/>
              <w:ind w:left="64" w:right="64"/>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人员配置</w:t>
            </w:r>
          </w:p>
        </w:tc>
        <w:tc>
          <w:tcPr>
            <w:tcW w:w="7296"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pStyle w:val="28"/>
              <w:spacing w:after="0" w:line="240" w:lineRule="auto"/>
              <w:ind w:left="64" w:right="64"/>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项目负责人：项目负责人具有丰富经验，有高级工程师职称的，得2分，不提供的不得分。</w:t>
            </w:r>
          </w:p>
        </w:tc>
        <w:tc>
          <w:tcPr>
            <w:tcW w:w="1315"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adjustRightInd w:val="0"/>
              <w:snapToGrid w:val="0"/>
              <w:spacing w:line="400" w:lineRule="exac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0-10分</w:t>
            </w:r>
          </w:p>
        </w:tc>
      </w:tr>
      <w:tr>
        <w:tblPrEx>
          <w:tblCellMar>
            <w:top w:w="0" w:type="dxa"/>
            <w:left w:w="0" w:type="dxa"/>
            <w:bottom w:w="0" w:type="dxa"/>
            <w:right w:w="0" w:type="dxa"/>
          </w:tblCellMar>
        </w:tblPrEx>
        <w:trPr>
          <w:trHeight w:val="648" w:hRule="atLeast"/>
          <w:jc w:val="center"/>
        </w:trPr>
        <w:tc>
          <w:tcPr>
            <w:tcW w:w="1059" w:type="dxa"/>
            <w:vMerge w:val="continue"/>
            <w:tcBorders>
              <w:left w:val="single" w:color="auto" w:sz="4" w:space="0"/>
              <w:bottom w:val="single" w:color="auto" w:sz="4" w:space="0"/>
              <w:right w:val="single" w:color="000000" w:sz="8" w:space="0"/>
            </w:tcBorders>
            <w:noWrap w:val="0"/>
            <w:tcMar>
              <w:top w:w="15" w:type="dxa"/>
              <w:left w:w="15" w:type="dxa"/>
              <w:right w:w="15" w:type="dxa"/>
            </w:tcMar>
            <w:vAlign w:val="center"/>
          </w:tcPr>
          <w:p>
            <w:pPr>
              <w:pStyle w:val="28"/>
              <w:spacing w:after="0" w:line="240" w:lineRule="auto"/>
              <w:ind w:left="64" w:right="64"/>
              <w:jc w:val="left"/>
              <w:rPr>
                <w:rFonts w:hint="eastAsia" w:ascii="宋体" w:hAnsi="宋体" w:eastAsia="宋体" w:cs="宋体"/>
                <w:bCs/>
                <w:color w:val="auto"/>
                <w:sz w:val="24"/>
                <w:szCs w:val="24"/>
                <w:highlight w:val="none"/>
              </w:rPr>
            </w:pPr>
          </w:p>
        </w:tc>
        <w:tc>
          <w:tcPr>
            <w:tcW w:w="7296"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pStyle w:val="28"/>
              <w:spacing w:after="0" w:line="240" w:lineRule="auto"/>
              <w:ind w:left="64" w:right="64"/>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项目组人员配置（不含项目负责人）：每提供1名高级工程师得1分，最高得</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zh-CN"/>
              </w:rPr>
              <w:t>分；每提供1名有职业资格的造价人员得</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zh-CN"/>
              </w:rPr>
              <w:t>分，最高得</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zh-CN"/>
              </w:rPr>
              <w:t>分；（人员不重复得分）。</w:t>
            </w:r>
          </w:p>
          <w:p>
            <w:pPr>
              <w:pStyle w:val="28"/>
              <w:spacing w:after="0" w:line="240" w:lineRule="auto"/>
              <w:ind w:left="64" w:right="64"/>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注：提供的人员须是本单位在职人员，提供劳务用工合同、相关证书、近半年内（任意三个月）的社保缴纳证明材料。</w:t>
            </w:r>
          </w:p>
        </w:tc>
        <w:tc>
          <w:tcPr>
            <w:tcW w:w="1315"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line="400" w:lineRule="exact"/>
              <w:jc w:val="center"/>
              <w:textAlignment w:val="center"/>
              <w:rPr>
                <w:rFonts w:hint="eastAsia" w:ascii="宋体" w:hAnsi="宋体" w:cs="宋体"/>
                <w:color w:val="auto"/>
                <w:sz w:val="24"/>
                <w:szCs w:val="24"/>
                <w:highlight w:val="none"/>
                <w:lang w:val="en-US" w:eastAsia="zh-CN"/>
              </w:rPr>
            </w:pPr>
          </w:p>
        </w:tc>
      </w:tr>
    </w:tbl>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25.6 供应商在评标过程中，所进行的力图影响评标结果的不符合招标规则的活动，可能导致其被取消中标资格。</w:t>
      </w:r>
    </w:p>
    <w:p>
      <w:pPr>
        <w:spacing w:line="360" w:lineRule="auto"/>
        <w:ind w:firstLine="484" w:firstLineChars="200"/>
        <w:rPr>
          <w:rFonts w:hint="eastAsia" w:ascii="宋体" w:hAnsi="宋体" w:cs="宋体"/>
          <w:color w:val="auto"/>
          <w:sz w:val="28"/>
          <w:szCs w:val="28"/>
          <w:highlight w:val="none"/>
        </w:rPr>
      </w:pPr>
      <w:r>
        <w:rPr>
          <w:rFonts w:hint="eastAsia" w:ascii="宋体" w:hAnsi="宋体" w:cs="宋体"/>
          <w:color w:val="auto"/>
          <w:sz w:val="24"/>
          <w:szCs w:val="24"/>
          <w:highlight w:val="none"/>
        </w:rPr>
        <w:t>25.7 与竞争性磋商文件有重大偏离的响应文件将被拒绝。</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26  中标供应商的确认</w:t>
      </w:r>
    </w:p>
    <w:bookmarkEnd w:id="88"/>
    <w:p>
      <w:pPr>
        <w:spacing w:line="360" w:lineRule="auto"/>
        <w:ind w:firstLine="484" w:firstLineChars="200"/>
        <w:rPr>
          <w:rFonts w:hint="eastAsia" w:ascii="宋体" w:hAnsi="宋体" w:cs="宋体"/>
          <w:color w:val="auto"/>
          <w:sz w:val="24"/>
          <w:szCs w:val="24"/>
          <w:highlight w:val="none"/>
        </w:rPr>
      </w:pPr>
      <w:bookmarkStart w:id="92" w:name="_Toc20139"/>
      <w:bookmarkStart w:id="93" w:name="_Toc9748"/>
      <w:bookmarkStart w:id="94" w:name="_Toc18253"/>
      <w:r>
        <w:rPr>
          <w:rFonts w:hint="eastAsia" w:ascii="宋体" w:hAnsi="宋体" w:cs="宋体"/>
          <w:color w:val="auto"/>
          <w:sz w:val="24"/>
          <w:szCs w:val="24"/>
          <w:highlight w:val="none"/>
        </w:rPr>
        <w:t>26.1 评标委员会推荐得分最高的为第一中标候选人。采购人应当接受评标委员会推荐的中标候选人，不得在评标委员会推荐的中标候选人之外确定中标人。评标委员会无义务向供应商进行任何有关评标的解释工作。</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26.2 采购人应当确定排名第一的中标候选人为中标供应商。排名第一的中标候选人放弃中标、因不可抗力提出不能履行合同，采购人可以确定排名第二的中标候选人为中标供应商,或重新招标。</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26.3 在确定中标供应商前，采购人不得与投标供应商就投标价格、投标方案等实质性内容进行磋商。</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27 中标通知</w:t>
      </w:r>
    </w:p>
    <w:p>
      <w:pPr>
        <w:spacing w:line="360" w:lineRule="auto"/>
        <w:ind w:firstLine="484" w:firstLineChars="200"/>
        <w:rPr>
          <w:rFonts w:hint="eastAsia" w:ascii="宋体" w:hAnsi="宋体" w:cs="宋体"/>
          <w:color w:val="auto"/>
          <w:sz w:val="24"/>
          <w:szCs w:val="24"/>
          <w:highlight w:val="none"/>
        </w:rPr>
      </w:pPr>
      <w:bookmarkStart w:id="95" w:name="_Toc30172"/>
      <w:bookmarkStart w:id="96" w:name="_Toc13637"/>
      <w:bookmarkStart w:id="97" w:name="_Toc16205"/>
      <w:bookmarkStart w:id="98" w:name="_Toc3169"/>
      <w:r>
        <w:rPr>
          <w:rFonts w:hint="eastAsia" w:ascii="宋体" w:hAnsi="宋体" w:cs="宋体"/>
          <w:color w:val="auto"/>
          <w:sz w:val="24"/>
          <w:szCs w:val="24"/>
          <w:highlight w:val="none"/>
        </w:rPr>
        <w:t>27.1 采购人或者采购代理机构应当自中标供应商确定之日起2个工作日内，发出中标通知书，并在省级以上人民政府财政部门指定的媒体上公告中标结果。</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27.2</w:t>
      </w:r>
      <w:r>
        <w:rPr>
          <w:rFonts w:hint="eastAsia" w:ascii="宋体" w:hAnsi="宋体" w:cs="宋体"/>
          <w:b/>
          <w:bCs/>
          <w:color w:val="auto"/>
          <w:sz w:val="24"/>
          <w:szCs w:val="24"/>
          <w:highlight w:val="none"/>
        </w:rPr>
        <w:t xml:space="preserve"> </w:t>
      </w:r>
      <w:bookmarkEnd w:id="95"/>
      <w:bookmarkEnd w:id="96"/>
      <w:bookmarkEnd w:id="97"/>
      <w:bookmarkEnd w:id="98"/>
      <w:r>
        <w:rPr>
          <w:rFonts w:hint="eastAsia" w:ascii="宋体" w:hAnsi="宋体" w:cs="宋体"/>
          <w:color w:val="auto"/>
          <w:sz w:val="24"/>
          <w:szCs w:val="24"/>
          <w:highlight w:val="none"/>
        </w:rPr>
        <w:t>中标通知书对采购人和中标供应商均具有法律效力。中标通知书发出后，采购人改变中标结果的，或者中标供应商放弃中标项目的，应当依法承担法律责任。</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28  拒绝投标的权力</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采购人有权在定标前拒绝任何有不正当行为或扰乱正常采购工作的供应商，由此对供应商造成的损失不负任何责任，同时对此也不做任何解释。</w:t>
      </w:r>
    </w:p>
    <w:p>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七、 授予合同</w:t>
      </w:r>
      <w:bookmarkEnd w:id="92"/>
      <w:bookmarkEnd w:id="93"/>
      <w:bookmarkEnd w:id="94"/>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29  签订商务合同</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29.1 采购人与中标供应商应当在中标通知书发出之日起30日内，按照竞争性磋商文件确定的事项签订政府采购合同。</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29.2 中标合同不得转让。经采购人同意，中标供应商可以依法采取分包方式履行合同。政府采购合同分包履行的，中标供应商就采购项目和分包项目向采购人负责，分包供应商就分包项目承担责任。</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29.3中标供应商拒绝与采购人签订合同的，采购人可以按照评审报告推荐的中标候选人名单排序，确定下一候选人为中标供应商，也可以重新开展政府采购活动。</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29.4 政府采购合同的双方当事人不得擅自变更、中止或者终止合同。</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30  商务合同的组成</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30.1 下列文件均为商务合同不可分割的组成部分：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30.1.1 中标通知书；</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30.1.2 中标供应商的响应文件；</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30.1.3 供应商澄清、说明或补正文件；</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30.1.4 竞争性磋商文件。</w:t>
      </w:r>
    </w:p>
    <w:p>
      <w:pPr>
        <w:spacing w:line="360" w:lineRule="auto"/>
        <w:jc w:val="center"/>
        <w:rPr>
          <w:rFonts w:hint="eastAsia" w:ascii="宋体" w:hAnsi="宋体" w:cs="宋体"/>
          <w:color w:val="auto"/>
          <w:sz w:val="28"/>
          <w:szCs w:val="28"/>
          <w:highlight w:val="none"/>
        </w:rPr>
      </w:pPr>
      <w:bookmarkStart w:id="99" w:name="_Toc26655"/>
      <w:bookmarkStart w:id="100" w:name="_Toc23890"/>
      <w:bookmarkStart w:id="101" w:name="_Toc3090"/>
      <w:bookmarkStart w:id="102" w:name="_Toc7458"/>
      <w:bookmarkStart w:id="103" w:name="_Toc9177"/>
      <w:bookmarkStart w:id="104" w:name="_Toc24734"/>
      <w:bookmarkStart w:id="105" w:name="_Toc17298"/>
      <w:bookmarkStart w:id="106" w:name="_Toc26147"/>
      <w:bookmarkStart w:id="107" w:name="_Toc21514"/>
      <w:bookmarkStart w:id="108" w:name="_Toc10488"/>
      <w:r>
        <w:rPr>
          <w:rFonts w:hint="eastAsia" w:ascii="宋体" w:hAnsi="宋体" w:cs="宋体"/>
          <w:color w:val="auto"/>
          <w:sz w:val="28"/>
          <w:szCs w:val="28"/>
          <w:highlight w:val="none"/>
        </w:rPr>
        <w:t>八、采购人的权利</w:t>
      </w:r>
      <w:bookmarkEnd w:id="99"/>
      <w:bookmarkEnd w:id="100"/>
      <w:bookmarkEnd w:id="101"/>
      <w:bookmarkEnd w:id="102"/>
      <w:bookmarkEnd w:id="103"/>
      <w:bookmarkEnd w:id="104"/>
      <w:bookmarkEnd w:id="105"/>
      <w:bookmarkEnd w:id="106"/>
      <w:bookmarkEnd w:id="107"/>
      <w:bookmarkEnd w:id="108"/>
    </w:p>
    <w:p>
      <w:pPr>
        <w:spacing w:line="360" w:lineRule="auto"/>
        <w:rPr>
          <w:rFonts w:hint="eastAsia" w:ascii="宋体" w:hAnsi="宋体" w:cs="宋体"/>
          <w:color w:val="auto"/>
          <w:sz w:val="24"/>
          <w:szCs w:val="24"/>
          <w:highlight w:val="none"/>
        </w:rPr>
      </w:pPr>
      <w:bookmarkStart w:id="109" w:name="_Toc16744"/>
      <w:bookmarkStart w:id="110" w:name="_Toc13678"/>
      <w:bookmarkStart w:id="111" w:name="_Toc23715"/>
      <w:bookmarkStart w:id="112" w:name="_Toc2769"/>
      <w:bookmarkStart w:id="113" w:name="_Toc31334"/>
      <w:bookmarkStart w:id="114" w:name="_Toc27177"/>
      <w:bookmarkStart w:id="115" w:name="_Toc31453"/>
      <w:bookmarkStart w:id="116" w:name="_Toc23616"/>
      <w:bookmarkStart w:id="117" w:name="_Toc13025"/>
      <w:bookmarkStart w:id="118" w:name="_Toc31555"/>
      <w:r>
        <w:rPr>
          <w:rFonts w:hint="eastAsia" w:ascii="宋体" w:hAnsi="宋体" w:cs="宋体"/>
          <w:color w:val="auto"/>
          <w:sz w:val="24"/>
          <w:szCs w:val="24"/>
          <w:highlight w:val="none"/>
        </w:rPr>
        <w:t>31  政府采购合同履行中，采购人需追加与合同标的相同的服务、工程或者货物的，在不改变合同其他条款的前提下，可以与供应商协商签订补充合同，但所有补充合同的采购金额不得超过原合同采购金额的百分之十。</w:t>
      </w:r>
    </w:p>
    <w:p>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九、其他事项</w:t>
      </w:r>
      <w:bookmarkEnd w:id="109"/>
      <w:bookmarkEnd w:id="110"/>
      <w:bookmarkEnd w:id="111"/>
      <w:bookmarkEnd w:id="112"/>
      <w:bookmarkEnd w:id="113"/>
      <w:bookmarkEnd w:id="114"/>
      <w:bookmarkEnd w:id="115"/>
      <w:bookmarkEnd w:id="116"/>
      <w:bookmarkEnd w:id="117"/>
      <w:bookmarkEnd w:id="118"/>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32  采购代理服务费</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32.1</w:t>
      </w:r>
      <w:r>
        <w:rPr>
          <w:rFonts w:hint="eastAsia" w:ascii="宋体" w:hAnsi="宋体" w:cs="宋体"/>
          <w:b/>
          <w:bCs/>
          <w:color w:val="auto"/>
          <w:sz w:val="24"/>
          <w:szCs w:val="24"/>
          <w:highlight w:val="none"/>
        </w:rPr>
        <w:t>由中标单位支付，收取标准参照国计委计价格[2002]1980号文执行。</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32.2 采购代理服务费的计算基数是</w:t>
      </w:r>
      <w:r>
        <w:rPr>
          <w:rFonts w:hint="eastAsia" w:ascii="宋体" w:hAnsi="宋体" w:cs="宋体"/>
          <w:b/>
          <w:bCs/>
          <w:color w:val="auto"/>
          <w:sz w:val="24"/>
          <w:szCs w:val="24"/>
          <w:highlight w:val="none"/>
          <w:u w:val="single"/>
        </w:rPr>
        <w:t>中标通知书中载明的中标总金额</w:t>
      </w:r>
      <w:r>
        <w:rPr>
          <w:rFonts w:hint="eastAsia" w:ascii="宋体" w:hAnsi="宋体" w:cs="宋体"/>
          <w:color w:val="auto"/>
          <w:sz w:val="24"/>
          <w:szCs w:val="24"/>
          <w:highlight w:val="none"/>
        </w:rPr>
        <w:t>。</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33  本竞争性磋商文件是根据《中华人民共和国政府采购法》、《中华人民共和国政府采购法实施条例》的规定编制，解释权属采购代理机构。</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34  参与本次采购的供应商应当有商务、技术人员对评标委员会提出的商务、技术问题进行答疑。</w:t>
      </w:r>
    </w:p>
    <w:p>
      <w:pPr>
        <w:pStyle w:val="22"/>
        <w:spacing w:line="480" w:lineRule="auto"/>
        <w:jc w:val="center"/>
        <w:outlineLvl w:val="0"/>
        <w:rPr>
          <w:rStyle w:val="23"/>
          <w:rFonts w:hint="eastAsia" w:ascii="宋体" w:hAnsi="宋体" w:eastAsia="宋体" w:cs="宋体"/>
          <w:b/>
          <w:bCs/>
          <w:color w:val="auto"/>
          <w:kern w:val="2"/>
          <w:sz w:val="24"/>
          <w:szCs w:val="24"/>
          <w:highlight w:val="none"/>
        </w:rPr>
        <w:sectPr>
          <w:headerReference r:id="rId8" w:type="first"/>
          <w:footerReference r:id="rId10" w:type="first"/>
          <w:headerReference r:id="rId7" w:type="default"/>
          <w:footerReference r:id="rId9" w:type="default"/>
          <w:pgSz w:w="11906" w:h="16838"/>
          <w:pgMar w:top="1417" w:right="1417" w:bottom="1417" w:left="1417" w:header="851" w:footer="850" w:gutter="0"/>
          <w:pgNumType w:start="1"/>
          <w:cols w:space="720" w:num="1"/>
          <w:titlePg/>
          <w:docGrid w:type="linesAndChars" w:linePitch="312" w:charSpace="530"/>
        </w:sectPr>
      </w:pPr>
      <w:bookmarkStart w:id="119" w:name="_Toc17267"/>
      <w:bookmarkStart w:id="120" w:name="_Toc26511"/>
      <w:bookmarkStart w:id="121" w:name="_Toc20444"/>
      <w:bookmarkStart w:id="122" w:name="_Toc29261"/>
    </w:p>
    <w:bookmarkEnd w:id="119"/>
    <w:bookmarkEnd w:id="120"/>
    <w:bookmarkEnd w:id="121"/>
    <w:bookmarkEnd w:id="122"/>
    <w:p>
      <w:pPr>
        <w:pStyle w:val="22"/>
        <w:numPr>
          <w:ilvl w:val="0"/>
          <w:numId w:val="9"/>
        </w:numPr>
        <w:spacing w:line="480" w:lineRule="auto"/>
        <w:jc w:val="center"/>
        <w:outlineLvl w:val="0"/>
        <w:rPr>
          <w:rStyle w:val="23"/>
          <w:rFonts w:hint="eastAsia" w:ascii="宋体" w:hAnsi="宋体" w:eastAsia="宋体" w:cs="宋体"/>
          <w:b/>
          <w:bCs/>
          <w:color w:val="auto"/>
          <w:kern w:val="2"/>
          <w:sz w:val="32"/>
          <w:szCs w:val="32"/>
          <w:highlight w:val="none"/>
        </w:rPr>
      </w:pPr>
      <w:bookmarkStart w:id="123" w:name="_Toc21863"/>
      <w:bookmarkStart w:id="124" w:name="_Toc5864"/>
      <w:bookmarkStart w:id="125" w:name="_Toc513029243"/>
      <w:bookmarkStart w:id="126" w:name="_Toc22740"/>
      <w:bookmarkStart w:id="127" w:name="_Toc16938559"/>
      <w:bookmarkStart w:id="128" w:name="_Toc27564"/>
      <w:bookmarkStart w:id="129" w:name="_Toc20823315"/>
      <w:r>
        <w:rPr>
          <w:rStyle w:val="23"/>
          <w:rFonts w:hint="eastAsia" w:ascii="宋体" w:hAnsi="宋体" w:eastAsia="宋体" w:cs="宋体"/>
          <w:b/>
          <w:bCs/>
          <w:color w:val="auto"/>
          <w:kern w:val="2"/>
          <w:sz w:val="32"/>
          <w:szCs w:val="32"/>
          <w:highlight w:val="none"/>
        </w:rPr>
        <w:t>服务标准及要求</w:t>
      </w:r>
    </w:p>
    <w:p>
      <w:pPr>
        <w:spacing w:line="360" w:lineRule="auto"/>
        <w:rPr>
          <w:rFonts w:hint="eastAsia" w:eastAsia="宋体"/>
          <w:color w:val="auto"/>
          <w:sz w:val="28"/>
          <w:szCs w:val="28"/>
          <w:highlight w:val="none"/>
          <w:lang w:eastAsia="zh-CN"/>
        </w:rPr>
      </w:pPr>
      <w:r>
        <w:rPr>
          <w:rFonts w:hint="eastAsia"/>
          <w:color w:val="auto"/>
          <w:sz w:val="28"/>
          <w:szCs w:val="28"/>
          <w:highlight w:val="none"/>
        </w:rPr>
        <w:t>工程名称：轮台县农业农村局2021年人居环境整治建设项目（一期）工程结算审查</w:t>
      </w:r>
    </w:p>
    <w:p>
      <w:pPr>
        <w:spacing w:line="360" w:lineRule="auto"/>
        <w:rPr>
          <w:rFonts w:hint="eastAsia"/>
          <w:color w:val="auto"/>
          <w:sz w:val="28"/>
          <w:szCs w:val="28"/>
          <w:highlight w:val="none"/>
        </w:rPr>
      </w:pPr>
      <w:r>
        <w:rPr>
          <w:rFonts w:hint="eastAsia"/>
          <w:color w:val="auto"/>
          <w:sz w:val="28"/>
          <w:szCs w:val="28"/>
          <w:highlight w:val="none"/>
        </w:rPr>
        <w:t>建设地点：轮台县</w:t>
      </w:r>
    </w:p>
    <w:p>
      <w:pPr>
        <w:spacing w:line="360" w:lineRule="auto"/>
        <w:rPr>
          <w:rFonts w:hint="eastAsia" w:ascii="黑体" w:hAnsi="黑体" w:eastAsia="黑体" w:cs="黑体"/>
          <w:color w:val="auto"/>
          <w:sz w:val="24"/>
          <w:szCs w:val="24"/>
          <w:highlight w:val="none"/>
          <w:lang w:eastAsia="zh-CN"/>
        </w:rPr>
      </w:pPr>
      <w:r>
        <w:rPr>
          <w:rFonts w:hint="eastAsia"/>
          <w:color w:val="auto"/>
          <w:sz w:val="28"/>
          <w:szCs w:val="28"/>
          <w:highlight w:val="none"/>
          <w:lang w:eastAsia="zh-CN"/>
        </w:rPr>
        <w:t>服务内容</w:t>
      </w:r>
      <w:r>
        <w:rPr>
          <w:rFonts w:hint="eastAsia"/>
          <w:color w:val="auto"/>
          <w:sz w:val="28"/>
          <w:szCs w:val="28"/>
          <w:highlight w:val="none"/>
        </w:rPr>
        <w:t>：</w:t>
      </w:r>
      <w:r>
        <w:rPr>
          <w:rFonts w:hint="eastAsia" w:ascii="黑体" w:hAnsi="黑体" w:eastAsia="黑体" w:cs="黑体"/>
          <w:color w:val="auto"/>
          <w:sz w:val="24"/>
          <w:szCs w:val="24"/>
          <w:highlight w:val="none"/>
          <w:lang w:eastAsia="zh-CN"/>
        </w:rPr>
        <w:t>依据发承包合同，进行工程量价调整，确定工程结算金额</w:t>
      </w:r>
    </w:p>
    <w:p>
      <w:pPr>
        <w:spacing w:line="360" w:lineRule="auto"/>
        <w:rPr>
          <w:rFonts w:hint="eastAsia"/>
          <w:color w:val="auto"/>
          <w:sz w:val="28"/>
          <w:szCs w:val="28"/>
          <w:highlight w:val="none"/>
        </w:rPr>
      </w:pPr>
      <w:r>
        <w:rPr>
          <w:rFonts w:hint="eastAsia"/>
          <w:color w:val="auto"/>
          <w:sz w:val="28"/>
          <w:szCs w:val="28"/>
          <w:highlight w:val="none"/>
        </w:rPr>
        <w:t>二、咨询服务标准</w:t>
      </w:r>
    </w:p>
    <w:p>
      <w:pPr>
        <w:spacing w:line="360" w:lineRule="auto"/>
        <w:rPr>
          <w:rFonts w:hint="eastAsia"/>
          <w:color w:val="auto"/>
          <w:sz w:val="28"/>
          <w:szCs w:val="28"/>
          <w:highlight w:val="none"/>
        </w:rPr>
      </w:pPr>
      <w:r>
        <w:rPr>
          <w:rFonts w:hint="eastAsia"/>
          <w:color w:val="auto"/>
          <w:sz w:val="28"/>
          <w:szCs w:val="28"/>
          <w:highlight w:val="none"/>
        </w:rPr>
        <w:t xml:space="preserve">服务质量标准：详见投标须知 </w:t>
      </w:r>
    </w:p>
    <w:p>
      <w:pPr>
        <w:spacing w:line="360" w:lineRule="auto"/>
        <w:rPr>
          <w:rFonts w:hint="eastAsia"/>
          <w:color w:val="auto"/>
          <w:sz w:val="28"/>
          <w:szCs w:val="28"/>
          <w:highlight w:val="none"/>
        </w:rPr>
      </w:pPr>
      <w:r>
        <w:rPr>
          <w:rFonts w:hint="eastAsia"/>
          <w:color w:val="auto"/>
          <w:sz w:val="28"/>
          <w:szCs w:val="28"/>
          <w:highlight w:val="none"/>
        </w:rPr>
        <w:t xml:space="preserve">服务期限：详见投标须知  </w:t>
      </w:r>
    </w:p>
    <w:p>
      <w:pPr>
        <w:pStyle w:val="2"/>
        <w:rPr>
          <w:rFonts w:hint="eastAsia"/>
          <w:color w:val="auto"/>
          <w:highlight w:val="none"/>
        </w:rPr>
      </w:pPr>
    </w:p>
    <w:p>
      <w:pPr>
        <w:rPr>
          <w:rFonts w:hint="eastAsia"/>
          <w:color w:val="auto"/>
          <w:highlight w:val="none"/>
        </w:rPr>
      </w:pPr>
      <w:r>
        <w:rPr>
          <w:rFonts w:hint="eastAsia"/>
          <w:color w:val="auto"/>
          <w:highlight w:val="none"/>
        </w:rPr>
        <w:t>三、</w:t>
      </w:r>
      <w:r>
        <w:rPr>
          <w:rFonts w:hint="eastAsia"/>
          <w:color w:val="auto"/>
          <w:sz w:val="28"/>
          <w:szCs w:val="28"/>
          <w:highlight w:val="none"/>
        </w:rPr>
        <w:t>咨询服务要求</w:t>
      </w:r>
    </w:p>
    <w:p>
      <w:pPr>
        <w:pStyle w:val="2"/>
        <w:rPr>
          <w:rFonts w:hint="eastAsia" w:ascii="宋体" w:hAnsi="宋体" w:cs="宋体"/>
          <w:color w:val="auto"/>
          <w:highlight w:val="none"/>
        </w:rPr>
      </w:pPr>
      <w:bookmarkStart w:id="130" w:name="_Toc19116"/>
    </w:p>
    <w:bookmarkEnd w:id="123"/>
    <w:bookmarkEnd w:id="124"/>
    <w:bookmarkEnd w:id="125"/>
    <w:bookmarkEnd w:id="126"/>
    <w:bookmarkEnd w:id="127"/>
    <w:bookmarkEnd w:id="128"/>
    <w:bookmarkEnd w:id="129"/>
    <w:bookmarkEnd w:id="130"/>
    <w:p>
      <w:pPr>
        <w:pStyle w:val="2"/>
        <w:spacing w:line="360" w:lineRule="auto"/>
        <w:rPr>
          <w:rFonts w:hint="eastAsia"/>
          <w:color w:val="auto"/>
          <w:sz w:val="28"/>
          <w:szCs w:val="24"/>
          <w:highlight w:val="none"/>
        </w:rPr>
      </w:pPr>
      <w:bookmarkStart w:id="131" w:name="_Toc16706"/>
      <w:bookmarkStart w:id="132" w:name="_Toc28246"/>
      <w:bookmarkStart w:id="133" w:name="_Toc32575"/>
      <w:bookmarkStart w:id="134" w:name="_Toc20911"/>
      <w:bookmarkStart w:id="135" w:name="_Toc16272"/>
      <w:r>
        <w:rPr>
          <w:rFonts w:hint="eastAsia"/>
          <w:color w:val="auto"/>
          <w:sz w:val="28"/>
          <w:szCs w:val="24"/>
          <w:highlight w:val="none"/>
        </w:rPr>
        <w:t>合同内量价合理性、准确性进行审核，合同外洽商变更及签证合理性、必要性审核，及量价准确性审核等，并出具完整的结算审核报告。</w:t>
      </w:r>
    </w:p>
    <w:p>
      <w:pPr>
        <w:pStyle w:val="3"/>
        <w:rPr>
          <w:smallCaps/>
          <w:color w:val="auto"/>
          <w:kern w:val="2"/>
          <w:highlight w:val="none"/>
        </w:rPr>
      </w:pPr>
      <w:r>
        <w:rPr>
          <w:rFonts w:hint="eastAsia" w:ascii="Calibri" w:eastAsia="宋体"/>
          <w:b/>
          <w:bCs/>
          <w:smallCaps/>
          <w:color w:val="auto"/>
          <w:kern w:val="2"/>
          <w:sz w:val="44"/>
          <w:szCs w:val="44"/>
          <w:highlight w:val="none"/>
        </w:rPr>
        <w:br w:type="page"/>
      </w:r>
      <w:r>
        <w:rPr>
          <w:rFonts w:hint="eastAsia" w:ascii="Calibri" w:eastAsia="宋体"/>
          <w:b/>
          <w:bCs/>
          <w:smallCaps/>
          <w:color w:val="auto"/>
          <w:kern w:val="2"/>
          <w:sz w:val="44"/>
          <w:szCs w:val="44"/>
          <w:highlight w:val="none"/>
        </w:rPr>
        <w:t>合同条款</w:t>
      </w:r>
    </w:p>
    <w:p>
      <w:pPr>
        <w:rPr>
          <w:rFonts w:eastAsia="华文中宋"/>
          <w:b/>
          <w:color w:val="auto"/>
          <w:sz w:val="52"/>
          <w:szCs w:val="52"/>
          <w:highlight w:val="none"/>
        </w:rPr>
      </w:pPr>
      <w:bookmarkStart w:id="136" w:name="_Toc358569763"/>
      <w:bookmarkStart w:id="137" w:name="_Toc508286139"/>
      <w:r>
        <w:rPr>
          <w:rFonts w:hint="eastAsia" w:eastAsia="仿宋_GB2312"/>
          <w:bCs/>
          <w:color w:val="auto"/>
          <w:sz w:val="30"/>
          <w:szCs w:val="30"/>
          <w:highlight w:val="none"/>
        </w:rPr>
        <w:t>F—2015—0212</w:t>
      </w:r>
    </w:p>
    <w:p>
      <w:pPr>
        <w:ind w:firstLine="5421" w:firstLineChars="1800"/>
        <w:rPr>
          <w:rFonts w:eastAsia="华文中宋"/>
          <w:b/>
          <w:color w:val="auto"/>
          <w:sz w:val="30"/>
          <w:szCs w:val="30"/>
          <w:highlight w:val="none"/>
        </w:rPr>
      </w:pPr>
      <w:r>
        <w:rPr>
          <w:rFonts w:hint="eastAsia" w:eastAsia="华文中宋"/>
          <w:b/>
          <w:color w:val="auto"/>
          <w:sz w:val="30"/>
          <w:szCs w:val="30"/>
          <w:highlight w:val="none"/>
        </w:rPr>
        <w:t>合同编号：_________</w:t>
      </w:r>
      <w:r>
        <w:rPr>
          <w:rFonts w:hint="eastAsia" w:eastAsia="华文中宋"/>
          <w:b/>
          <w:color w:val="auto"/>
          <w:sz w:val="30"/>
          <w:szCs w:val="30"/>
          <w:highlight w:val="none"/>
          <w:u w:val="single"/>
        </w:rPr>
        <w:t xml:space="preserve">          </w:t>
      </w:r>
    </w:p>
    <w:p>
      <w:pPr>
        <w:rPr>
          <w:color w:val="auto"/>
          <w:highlight w:val="none"/>
        </w:rPr>
      </w:pPr>
    </w:p>
    <w:p>
      <w:pPr>
        <w:pStyle w:val="15"/>
        <w:ind w:left="420" w:hanging="420"/>
        <w:rPr>
          <w:color w:val="auto"/>
          <w:highlight w:val="none"/>
        </w:rPr>
      </w:pPr>
    </w:p>
    <w:p>
      <w:pPr>
        <w:pStyle w:val="15"/>
        <w:ind w:left="420" w:hanging="420"/>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ascii="华文中宋" w:hAnsi="华文中宋" w:eastAsia="华文中宋"/>
          <w:b/>
          <w:color w:val="auto"/>
          <w:sz w:val="72"/>
          <w:szCs w:val="72"/>
          <w:highlight w:val="none"/>
        </w:rPr>
      </w:pPr>
      <w:r>
        <w:rPr>
          <w:rFonts w:ascii="华文中宋" w:hAnsi="华文中宋" w:eastAsia="华文中宋"/>
          <w:b/>
          <w:color w:val="auto"/>
          <w:sz w:val="72"/>
          <w:szCs w:val="72"/>
          <w:highlight w:val="none"/>
        </w:rPr>
        <w:t>建设工程造价咨询合同</w:t>
      </w:r>
    </w:p>
    <w:p>
      <w:pPr>
        <w:pStyle w:val="15"/>
        <w:ind w:left="420" w:hanging="420"/>
        <w:rPr>
          <w:color w:val="auto"/>
          <w:highlight w:val="none"/>
        </w:rPr>
      </w:pPr>
    </w:p>
    <w:p>
      <w:pPr>
        <w:pStyle w:val="30"/>
        <w:jc w:val="center"/>
        <w:rPr>
          <w:color w:val="auto"/>
          <w:highlight w:val="none"/>
        </w:rPr>
      </w:pPr>
    </w:p>
    <w:p>
      <w:pPr>
        <w:pStyle w:val="30"/>
        <w:jc w:val="center"/>
        <w:rPr>
          <w:color w:val="auto"/>
          <w:highlight w:val="none"/>
        </w:rPr>
      </w:pPr>
    </w:p>
    <w:p>
      <w:pPr>
        <w:pStyle w:val="30"/>
        <w:jc w:val="center"/>
        <w:rPr>
          <w:color w:val="auto"/>
          <w:highlight w:val="none"/>
        </w:rPr>
      </w:pPr>
    </w:p>
    <w:p>
      <w:pPr>
        <w:pStyle w:val="30"/>
        <w:jc w:val="center"/>
        <w:rPr>
          <w:color w:val="auto"/>
          <w:highlight w:val="none"/>
        </w:rPr>
      </w:pPr>
    </w:p>
    <w:p>
      <w:pPr>
        <w:pStyle w:val="30"/>
        <w:jc w:val="center"/>
        <w:rPr>
          <w:color w:val="auto"/>
          <w:highlight w:val="none"/>
        </w:rPr>
      </w:pPr>
    </w:p>
    <w:p>
      <w:pPr>
        <w:pStyle w:val="30"/>
        <w:rPr>
          <w:color w:val="auto"/>
          <w:highlight w:val="none"/>
        </w:rPr>
      </w:pPr>
    </w:p>
    <w:p>
      <w:pPr>
        <w:pStyle w:val="30"/>
        <w:spacing w:before="0" w:beforeAutospacing="0" w:after="0" w:afterAutospacing="0"/>
        <w:jc w:val="center"/>
        <w:rPr>
          <w:color w:val="auto"/>
          <w:sz w:val="32"/>
          <w:szCs w:val="32"/>
          <w:highlight w:val="none"/>
        </w:rPr>
      </w:pPr>
      <w:r>
        <w:rPr>
          <w:rFonts w:hint="eastAsia"/>
          <w:color w:val="auto"/>
          <w:sz w:val="32"/>
          <w:szCs w:val="32"/>
          <w:highlight w:val="none"/>
        </w:rPr>
        <w:t>住 房 和 城 乡 建 设 部</w:t>
      </w:r>
    </w:p>
    <w:p>
      <w:pPr>
        <w:pStyle w:val="30"/>
        <w:spacing w:before="0" w:beforeAutospacing="0" w:after="0" w:afterAutospacing="0"/>
        <w:ind w:firstLine="5783" w:firstLineChars="1800"/>
        <w:jc w:val="center"/>
        <w:rPr>
          <w:color w:val="auto"/>
          <w:sz w:val="32"/>
          <w:szCs w:val="32"/>
          <w:highlight w:val="none"/>
        </w:rPr>
      </w:pPr>
      <w:r>
        <w:rPr>
          <w:rFonts w:hint="eastAsia"/>
          <w:color w:val="auto"/>
          <w:sz w:val="32"/>
          <w:szCs w:val="32"/>
          <w:highlight w:val="none"/>
        </w:rPr>
        <w:t>制定</w:t>
      </w:r>
    </w:p>
    <w:p>
      <w:pPr>
        <w:pStyle w:val="30"/>
        <w:spacing w:before="0" w:beforeAutospacing="0" w:after="0" w:afterAutospacing="0"/>
        <w:jc w:val="center"/>
        <w:rPr>
          <w:color w:val="auto"/>
          <w:sz w:val="32"/>
          <w:szCs w:val="32"/>
          <w:highlight w:val="none"/>
        </w:rPr>
      </w:pPr>
      <w:r>
        <w:rPr>
          <w:rFonts w:hint="eastAsia"/>
          <w:color w:val="auto"/>
          <w:sz w:val="32"/>
          <w:szCs w:val="32"/>
          <w:highlight w:val="none"/>
        </w:rPr>
        <w:t>国家工商行政管理总局</w:t>
      </w:r>
    </w:p>
    <w:p>
      <w:pPr>
        <w:rPr>
          <w:b/>
          <w:bCs/>
          <w:smallCaps/>
          <w:color w:val="auto"/>
          <w:sz w:val="32"/>
          <w:szCs w:val="32"/>
          <w:highlight w:val="none"/>
        </w:rPr>
      </w:pPr>
      <w:r>
        <w:rPr>
          <w:rFonts w:hint="eastAsia"/>
          <w:color w:val="auto"/>
          <w:highlight w:val="none"/>
        </w:rPr>
        <w:t xml:space="preserve">                 </w:t>
      </w:r>
      <w:r>
        <w:rPr>
          <w:rFonts w:hint="eastAsia"/>
          <w:b/>
          <w:bCs/>
          <w:smallCaps/>
          <w:color w:val="auto"/>
          <w:sz w:val="32"/>
          <w:szCs w:val="32"/>
          <w:highlight w:val="none"/>
        </w:rPr>
        <w:t xml:space="preserve">   </w:t>
      </w:r>
    </w:p>
    <w:p>
      <w:pPr>
        <w:pStyle w:val="15"/>
        <w:spacing w:line="360" w:lineRule="auto"/>
        <w:ind w:left="643" w:hanging="643"/>
        <w:jc w:val="center"/>
        <w:rPr>
          <w:rFonts w:ascii="Times New Roman" w:hAnsi="Times New Roman"/>
          <w:b/>
          <w:bCs/>
          <w:smallCaps/>
          <w:color w:val="auto"/>
          <w:sz w:val="32"/>
          <w:szCs w:val="32"/>
          <w:highlight w:val="none"/>
        </w:rPr>
      </w:pPr>
      <w:r>
        <w:rPr>
          <w:rFonts w:hint="eastAsia" w:ascii="Times New Roman" w:hAnsi="Times New Roman"/>
          <w:b/>
          <w:bCs/>
          <w:smallCaps/>
          <w:color w:val="auto"/>
          <w:sz w:val="32"/>
          <w:szCs w:val="32"/>
          <w:highlight w:val="none"/>
        </w:rPr>
        <w:t>年</w:t>
      </w:r>
      <w:r>
        <w:rPr>
          <w:rFonts w:hint="eastAsia" w:ascii="Times New Roman"/>
          <w:b/>
          <w:bCs/>
          <w:smallCaps/>
          <w:color w:val="auto"/>
          <w:sz w:val="32"/>
          <w:szCs w:val="32"/>
          <w:highlight w:val="none"/>
        </w:rPr>
        <w:t xml:space="preserve">     </w:t>
      </w:r>
      <w:r>
        <w:rPr>
          <w:rFonts w:hint="eastAsia" w:ascii="Times New Roman" w:hAnsi="Times New Roman"/>
          <w:b/>
          <w:bCs/>
          <w:smallCaps/>
          <w:color w:val="auto"/>
          <w:sz w:val="32"/>
          <w:szCs w:val="32"/>
          <w:highlight w:val="none"/>
        </w:rPr>
        <w:t>月</w:t>
      </w:r>
      <w:r>
        <w:rPr>
          <w:rFonts w:hint="eastAsia" w:ascii="Times New Roman"/>
          <w:b/>
          <w:bCs/>
          <w:smallCaps/>
          <w:color w:val="auto"/>
          <w:sz w:val="32"/>
          <w:szCs w:val="32"/>
          <w:highlight w:val="none"/>
        </w:rPr>
        <w:t xml:space="preserve">     </w:t>
      </w:r>
      <w:r>
        <w:rPr>
          <w:rFonts w:hint="eastAsia" w:ascii="Times New Roman" w:hAnsi="Times New Roman"/>
          <w:b/>
          <w:bCs/>
          <w:smallCaps/>
          <w:color w:val="auto"/>
          <w:sz w:val="32"/>
          <w:szCs w:val="32"/>
          <w:highlight w:val="none"/>
        </w:rPr>
        <w:t>日</w:t>
      </w:r>
    </w:p>
    <w:p>
      <w:pPr>
        <w:rPr>
          <w:b/>
          <w:bCs/>
          <w:color w:val="auto"/>
          <w:sz w:val="28"/>
          <w:szCs w:val="28"/>
          <w:highlight w:val="none"/>
          <w:lang w:val="zh-CN"/>
        </w:rPr>
      </w:pPr>
    </w:p>
    <w:p>
      <w:pPr>
        <w:jc w:val="center"/>
        <w:rPr>
          <w:b/>
          <w:bCs/>
          <w:color w:val="auto"/>
          <w:sz w:val="28"/>
          <w:szCs w:val="28"/>
          <w:highlight w:val="none"/>
          <w:lang w:val="zh-CN"/>
        </w:rPr>
      </w:pPr>
      <w:r>
        <w:rPr>
          <w:rFonts w:hint="eastAsia"/>
          <w:b/>
          <w:bCs/>
          <w:color w:val="auto"/>
          <w:sz w:val="28"/>
          <w:szCs w:val="28"/>
          <w:highlight w:val="none"/>
          <w:lang w:val="zh-CN"/>
        </w:rPr>
        <w:br w:type="page"/>
      </w:r>
      <w:r>
        <w:rPr>
          <w:rFonts w:hint="eastAsia"/>
          <w:b/>
          <w:bCs/>
          <w:color w:val="auto"/>
          <w:sz w:val="28"/>
          <w:szCs w:val="28"/>
          <w:highlight w:val="none"/>
          <w:lang w:val="zh-CN"/>
        </w:rPr>
        <w:t>说  明</w:t>
      </w:r>
    </w:p>
    <w:p>
      <w:pPr>
        <w:spacing w:line="360" w:lineRule="auto"/>
        <w:ind w:firstLine="660" w:firstLineChars="300"/>
        <w:rPr>
          <w:color w:val="auto"/>
          <w:sz w:val="22"/>
          <w:szCs w:val="22"/>
          <w:highlight w:val="none"/>
        </w:rPr>
      </w:pPr>
    </w:p>
    <w:p>
      <w:pPr>
        <w:spacing w:line="360" w:lineRule="auto"/>
        <w:ind w:firstLine="660" w:firstLineChars="300"/>
        <w:rPr>
          <w:color w:val="auto"/>
          <w:sz w:val="22"/>
          <w:szCs w:val="22"/>
          <w:highlight w:val="none"/>
        </w:rPr>
      </w:pPr>
      <w:r>
        <w:rPr>
          <w:rFonts w:hint="eastAsia"/>
          <w:color w:val="auto"/>
          <w:sz w:val="22"/>
          <w:szCs w:val="22"/>
          <w:highlight w:val="none"/>
        </w:rPr>
        <w:t>为了指导建设工程造价咨询合同当事人的签约行为，维护合同当事人的合法权益，依据《中华人民共和国合同法》、《中华人民共和国建筑法》、《中华人民共和国招标投标法》以及相关法律法规，住房和城乡建设部、国家工商行政管理总局对《建设工程造价咨询合同（示范文本）》（GF-2002-0212）进行了修订，制定了《建设工程造价咨询合同（示范文本）》（GF-2015- 0212 ）（以下简称《示范文本》）。为了便于合同当事人使用《示范文本》，现就有关问题说明如下：</w:t>
      </w:r>
    </w:p>
    <w:p>
      <w:pPr>
        <w:spacing w:line="360" w:lineRule="auto"/>
        <w:rPr>
          <w:color w:val="auto"/>
          <w:sz w:val="22"/>
          <w:szCs w:val="22"/>
          <w:highlight w:val="none"/>
        </w:rPr>
      </w:pPr>
      <w:r>
        <w:rPr>
          <w:rFonts w:hint="eastAsia"/>
          <w:color w:val="auto"/>
          <w:sz w:val="22"/>
          <w:szCs w:val="22"/>
          <w:highlight w:val="none"/>
        </w:rPr>
        <w:t>一、《示范文本》的组成</w:t>
      </w:r>
    </w:p>
    <w:p>
      <w:pPr>
        <w:spacing w:line="360" w:lineRule="auto"/>
        <w:ind w:firstLine="220" w:firstLineChars="100"/>
        <w:rPr>
          <w:color w:val="auto"/>
          <w:sz w:val="22"/>
          <w:szCs w:val="22"/>
          <w:highlight w:val="none"/>
        </w:rPr>
      </w:pPr>
      <w:r>
        <w:rPr>
          <w:rFonts w:hint="eastAsia"/>
          <w:color w:val="auto"/>
          <w:sz w:val="22"/>
          <w:szCs w:val="22"/>
          <w:highlight w:val="none"/>
        </w:rPr>
        <w:t>《示范文本》由协议书、通用条件和专用条件三部分组成。</w:t>
      </w:r>
    </w:p>
    <w:p>
      <w:pPr>
        <w:spacing w:line="360" w:lineRule="auto"/>
        <w:rPr>
          <w:color w:val="auto"/>
          <w:sz w:val="22"/>
          <w:szCs w:val="22"/>
          <w:highlight w:val="none"/>
        </w:rPr>
      </w:pPr>
      <w:r>
        <w:rPr>
          <w:rFonts w:hint="eastAsia"/>
          <w:color w:val="auto"/>
          <w:sz w:val="22"/>
          <w:szCs w:val="22"/>
          <w:highlight w:val="none"/>
        </w:rPr>
        <w:t>（一）协议书</w:t>
      </w:r>
    </w:p>
    <w:p>
      <w:pPr>
        <w:spacing w:line="360" w:lineRule="auto"/>
        <w:ind w:firstLine="220" w:firstLineChars="100"/>
        <w:rPr>
          <w:color w:val="auto"/>
          <w:sz w:val="22"/>
          <w:szCs w:val="22"/>
          <w:highlight w:val="none"/>
        </w:rPr>
      </w:pPr>
      <w:r>
        <w:rPr>
          <w:rFonts w:hint="eastAsia"/>
          <w:color w:val="auto"/>
          <w:sz w:val="22"/>
          <w:szCs w:val="22"/>
          <w:highlight w:val="none"/>
        </w:rPr>
        <w:t>《示范文本》协议书集中约定了合同当事人基本的合同权利义务。</w:t>
      </w:r>
    </w:p>
    <w:p>
      <w:pPr>
        <w:spacing w:line="360" w:lineRule="auto"/>
        <w:rPr>
          <w:color w:val="auto"/>
          <w:sz w:val="22"/>
          <w:szCs w:val="22"/>
          <w:highlight w:val="none"/>
        </w:rPr>
      </w:pPr>
      <w:r>
        <w:rPr>
          <w:rFonts w:hint="eastAsia"/>
          <w:color w:val="auto"/>
          <w:sz w:val="22"/>
          <w:szCs w:val="22"/>
          <w:highlight w:val="none"/>
        </w:rPr>
        <w:t>（二）通用条件</w:t>
      </w:r>
    </w:p>
    <w:p>
      <w:pPr>
        <w:spacing w:line="360" w:lineRule="auto"/>
        <w:rPr>
          <w:color w:val="auto"/>
          <w:sz w:val="22"/>
          <w:szCs w:val="22"/>
          <w:highlight w:val="none"/>
        </w:rPr>
      </w:pPr>
      <w:r>
        <w:rPr>
          <w:rFonts w:hint="eastAsia"/>
          <w:color w:val="auto"/>
          <w:sz w:val="22"/>
          <w:szCs w:val="22"/>
          <w:highlight w:val="none"/>
        </w:rPr>
        <w:t>通用条件是合同当事人根据《中华人民共和国合同法》、《中华人民共和国建筑法》等法律法规的规定，就工程造价咨询的实施及相关事项，对合同当事人的权利义务作出的原则性约定。</w:t>
      </w:r>
    </w:p>
    <w:p>
      <w:pPr>
        <w:spacing w:line="360" w:lineRule="auto"/>
        <w:rPr>
          <w:color w:val="auto"/>
          <w:sz w:val="22"/>
          <w:szCs w:val="22"/>
          <w:highlight w:val="none"/>
        </w:rPr>
      </w:pPr>
      <w:r>
        <w:rPr>
          <w:rFonts w:hint="eastAsia"/>
          <w:color w:val="auto"/>
          <w:sz w:val="22"/>
          <w:szCs w:val="22"/>
          <w:highlight w:val="none"/>
        </w:rPr>
        <w:t>通用条件既考虑了现行法律法规对工程发承包计价的有关要求，也考虑了工程造价咨询管理的特殊需要。</w:t>
      </w:r>
    </w:p>
    <w:p>
      <w:pPr>
        <w:spacing w:line="360" w:lineRule="auto"/>
        <w:rPr>
          <w:color w:val="auto"/>
          <w:sz w:val="22"/>
          <w:szCs w:val="22"/>
          <w:highlight w:val="none"/>
        </w:rPr>
      </w:pPr>
      <w:r>
        <w:rPr>
          <w:rFonts w:hint="eastAsia"/>
          <w:color w:val="auto"/>
          <w:sz w:val="22"/>
          <w:szCs w:val="22"/>
          <w:highlight w:val="none"/>
        </w:rPr>
        <w:t>（三）专用条件</w:t>
      </w:r>
    </w:p>
    <w:p>
      <w:pPr>
        <w:spacing w:line="360" w:lineRule="auto"/>
        <w:rPr>
          <w:color w:val="auto"/>
          <w:sz w:val="22"/>
          <w:szCs w:val="22"/>
          <w:highlight w:val="none"/>
        </w:rPr>
      </w:pPr>
      <w:r>
        <w:rPr>
          <w:rFonts w:hint="eastAsia"/>
          <w:color w:val="auto"/>
          <w:sz w:val="22"/>
          <w:szCs w:val="22"/>
          <w:highlight w:val="none"/>
        </w:rPr>
        <w:t>专用条件是对通用条件原则性约定的细化、完善、补充、修改或另行约定的条件。合同当事人可以根据不同建设工程的特点及发承包计价的具体情况，通过双方的谈判、协商对相应的专用条件进行修改补充。在使用专用条件时，应注意以下事项：</w:t>
      </w:r>
    </w:p>
    <w:p>
      <w:pPr>
        <w:spacing w:line="360" w:lineRule="auto"/>
        <w:ind w:firstLine="220" w:firstLineChars="100"/>
        <w:rPr>
          <w:color w:val="auto"/>
          <w:sz w:val="22"/>
          <w:szCs w:val="22"/>
          <w:highlight w:val="none"/>
        </w:rPr>
      </w:pPr>
      <w:r>
        <w:rPr>
          <w:rFonts w:hint="eastAsia"/>
          <w:color w:val="auto"/>
          <w:sz w:val="22"/>
          <w:szCs w:val="22"/>
          <w:highlight w:val="none"/>
        </w:rPr>
        <w:t>1.专用条件的编号应与相应的通用条件的编号一致；</w:t>
      </w:r>
    </w:p>
    <w:p>
      <w:pPr>
        <w:spacing w:line="360" w:lineRule="auto"/>
        <w:ind w:firstLine="220" w:firstLineChars="100"/>
        <w:rPr>
          <w:color w:val="auto"/>
          <w:sz w:val="22"/>
          <w:szCs w:val="22"/>
          <w:highlight w:val="none"/>
        </w:rPr>
      </w:pPr>
      <w:r>
        <w:rPr>
          <w:rFonts w:hint="eastAsia"/>
          <w:color w:val="auto"/>
          <w:sz w:val="22"/>
          <w:szCs w:val="22"/>
          <w:highlight w:val="none"/>
        </w:rPr>
        <w:t>2.合同当事人可以通过对专用条件的修改，满足具体工程的特殊要求，避免直接修改通用条件；</w:t>
      </w:r>
    </w:p>
    <w:p>
      <w:pPr>
        <w:spacing w:line="360" w:lineRule="auto"/>
        <w:ind w:firstLine="220" w:firstLineChars="100"/>
        <w:rPr>
          <w:color w:val="auto"/>
          <w:sz w:val="22"/>
          <w:szCs w:val="22"/>
          <w:highlight w:val="none"/>
        </w:rPr>
      </w:pPr>
      <w:r>
        <w:rPr>
          <w:rFonts w:hint="eastAsia"/>
          <w:color w:val="auto"/>
          <w:sz w:val="22"/>
          <w:szCs w:val="22"/>
          <w:highlight w:val="none"/>
        </w:rPr>
        <w:t>3.在专用条件中有横道线的地方，合同当事人可针对相应的通用条件进行细化、完善、补充、修改或另行约定；如无细化、完善、补充、修改或另行约定，则填写“无”或划“/”。</w:t>
      </w:r>
    </w:p>
    <w:p>
      <w:pPr>
        <w:spacing w:line="360" w:lineRule="auto"/>
        <w:rPr>
          <w:color w:val="auto"/>
          <w:sz w:val="22"/>
          <w:szCs w:val="22"/>
          <w:highlight w:val="none"/>
        </w:rPr>
      </w:pPr>
      <w:r>
        <w:rPr>
          <w:rFonts w:hint="eastAsia"/>
          <w:color w:val="auto"/>
          <w:sz w:val="22"/>
          <w:szCs w:val="22"/>
          <w:highlight w:val="none"/>
        </w:rPr>
        <w:t>二、《示范文本》的性质和适用范围</w:t>
      </w:r>
    </w:p>
    <w:p>
      <w:pPr>
        <w:spacing w:line="360" w:lineRule="auto"/>
        <w:rPr>
          <w:rFonts w:ascii="宋体" w:hAnsi="宋体" w:cs="宋体"/>
          <w:color w:val="auto"/>
          <w:sz w:val="30"/>
          <w:szCs w:val="30"/>
          <w:highlight w:val="none"/>
        </w:rPr>
      </w:pPr>
      <w:r>
        <w:rPr>
          <w:rFonts w:hint="eastAsia"/>
          <w:color w:val="auto"/>
          <w:sz w:val="22"/>
          <w:szCs w:val="22"/>
          <w:highlight w:val="none"/>
        </w:rPr>
        <w:t>《示范文本》供合同双方当事人参照使用，可适用于各类建设工程全过程造价咨询服务以及阶段性造价咨询服务的合同订立。合同当事人可结合建设工程具体情况，按照法律法规规定，根据《示范文本》的内容，约定双方具体的权利义务。</w:t>
      </w:r>
      <w:r>
        <w:rPr>
          <w:rFonts w:hint="eastAsia" w:ascii="宋体" w:hAnsi="宋体" w:cs="宋体"/>
          <w:color w:val="auto"/>
          <w:sz w:val="30"/>
          <w:szCs w:val="30"/>
          <w:highlight w:val="none"/>
        </w:rPr>
        <w:t xml:space="preserve">      </w:t>
      </w:r>
    </w:p>
    <w:p>
      <w:pPr>
        <w:spacing w:line="360" w:lineRule="auto"/>
        <w:rPr>
          <w:color w:val="auto"/>
          <w:highlight w:val="none"/>
          <w:u w:val="single"/>
        </w:rPr>
      </w:pPr>
      <w:bookmarkStart w:id="138" w:name="_Toc5879"/>
      <w:bookmarkStart w:id="139" w:name="_Toc6472"/>
    </w:p>
    <w:bookmarkEnd w:id="136"/>
    <w:bookmarkEnd w:id="137"/>
    <w:bookmarkEnd w:id="138"/>
    <w:bookmarkEnd w:id="139"/>
    <w:p>
      <w:pPr>
        <w:spacing w:line="360" w:lineRule="auto"/>
        <w:rPr>
          <w:color w:val="auto"/>
          <w:highlight w:val="none"/>
          <w:u w:val="single"/>
        </w:rPr>
      </w:pPr>
    </w:p>
    <w:p>
      <w:pPr>
        <w:spacing w:line="360" w:lineRule="auto"/>
        <w:rPr>
          <w:color w:val="auto"/>
          <w:highlight w:val="none"/>
          <w:u w:val="single"/>
        </w:rPr>
        <w:sectPr>
          <w:headerReference r:id="rId11" w:type="default"/>
          <w:footerReference r:id="rId12" w:type="default"/>
          <w:pgSz w:w="11906" w:h="16838"/>
          <w:pgMar w:top="1440" w:right="1418" w:bottom="1440" w:left="1418" w:header="851" w:footer="992" w:gutter="0"/>
          <w:cols w:space="720" w:num="1"/>
          <w:docGrid w:linePitch="312" w:charSpace="0"/>
        </w:sectPr>
      </w:pPr>
    </w:p>
    <w:p>
      <w:pPr>
        <w:jc w:val="center"/>
        <w:rPr>
          <w:color w:val="auto"/>
          <w:sz w:val="44"/>
          <w:szCs w:val="52"/>
          <w:highlight w:val="none"/>
        </w:rPr>
      </w:pPr>
      <w:r>
        <w:rPr>
          <w:rFonts w:ascii="宋体" w:hAnsi="宋体"/>
          <w:color w:val="auto"/>
          <w:sz w:val="44"/>
          <w:szCs w:val="52"/>
          <w:highlight w:val="none"/>
        </w:rPr>
        <w:t>目录</w:t>
      </w:r>
    </w:p>
    <w:p>
      <w:pPr>
        <w:pStyle w:val="13"/>
        <w:tabs>
          <w:tab w:val="right" w:leader="dot" w:pos="9070"/>
        </w:tabs>
        <w:spacing w:line="360" w:lineRule="auto"/>
        <w:ind w:left="324" w:firstLine="678"/>
        <w:rPr>
          <w:color w:val="auto"/>
          <w:sz w:val="32"/>
          <w:szCs w:val="28"/>
          <w:highlight w:val="none"/>
        </w:rPr>
      </w:pPr>
      <w:r>
        <w:rPr>
          <w:rFonts w:hint="eastAsia" w:ascii="宋体" w:hAnsi="宋体" w:cs="宋体"/>
          <w:color w:val="auto"/>
          <w:sz w:val="28"/>
          <w:szCs w:val="32"/>
          <w:highlight w:val="none"/>
        </w:rPr>
        <w:fldChar w:fldCharType="begin"/>
      </w:r>
      <w:r>
        <w:rPr>
          <w:rFonts w:hint="eastAsia" w:ascii="宋体" w:hAnsi="宋体" w:cs="宋体"/>
          <w:color w:val="auto"/>
          <w:szCs w:val="32"/>
          <w:highlight w:val="none"/>
        </w:rPr>
        <w:instrText xml:space="preserve">TOC \o "1-3" \h \u </w:instrText>
      </w:r>
      <w:r>
        <w:rPr>
          <w:rFonts w:hint="eastAsia" w:ascii="宋体" w:hAnsi="宋体" w:cs="宋体"/>
          <w:color w:val="auto"/>
          <w:sz w:val="28"/>
          <w:szCs w:val="32"/>
          <w:highlight w:val="none"/>
        </w:rPr>
        <w:fldChar w:fldCharType="separate"/>
      </w:r>
      <w:r>
        <w:rPr>
          <w:rFonts w:hint="eastAsia" w:ascii="宋体" w:hAnsi="宋体" w:cs="宋体"/>
          <w:color w:val="auto"/>
          <w:sz w:val="32"/>
          <w:szCs w:val="36"/>
          <w:highlight w:val="none"/>
        </w:rPr>
        <w:fldChar w:fldCharType="begin"/>
      </w:r>
      <w:r>
        <w:rPr>
          <w:rFonts w:hint="eastAsia" w:ascii="宋体" w:hAnsi="宋体" w:cs="宋体"/>
          <w:color w:val="auto"/>
          <w:sz w:val="32"/>
          <w:szCs w:val="36"/>
          <w:highlight w:val="none"/>
        </w:rPr>
        <w:instrText xml:space="preserve"> HYPERLINK \l _Toc5418 </w:instrText>
      </w:r>
      <w:r>
        <w:rPr>
          <w:rFonts w:hint="eastAsia" w:ascii="宋体" w:hAnsi="宋体" w:cs="宋体"/>
          <w:color w:val="auto"/>
          <w:sz w:val="32"/>
          <w:szCs w:val="36"/>
          <w:highlight w:val="none"/>
        </w:rPr>
        <w:fldChar w:fldCharType="separate"/>
      </w:r>
      <w:r>
        <w:rPr>
          <w:rFonts w:hint="eastAsia"/>
          <w:color w:val="auto"/>
          <w:sz w:val="32"/>
          <w:szCs w:val="28"/>
          <w:highlight w:val="none"/>
        </w:rPr>
        <w:t>第一部分　协议书</w:t>
      </w:r>
      <w:r>
        <w:rPr>
          <w:color w:val="auto"/>
          <w:sz w:val="32"/>
          <w:szCs w:val="28"/>
          <w:highlight w:val="none"/>
        </w:rPr>
        <w:tab/>
      </w:r>
      <w:r>
        <w:rPr>
          <w:color w:val="auto"/>
          <w:sz w:val="32"/>
          <w:szCs w:val="28"/>
          <w:highlight w:val="none"/>
        </w:rPr>
        <w:fldChar w:fldCharType="begin"/>
      </w:r>
      <w:r>
        <w:rPr>
          <w:color w:val="auto"/>
          <w:sz w:val="32"/>
          <w:szCs w:val="28"/>
          <w:highlight w:val="none"/>
        </w:rPr>
        <w:instrText xml:space="preserve"> PAGEREF _Toc5418 \h </w:instrText>
      </w:r>
      <w:r>
        <w:rPr>
          <w:color w:val="auto"/>
          <w:sz w:val="32"/>
          <w:szCs w:val="28"/>
          <w:highlight w:val="none"/>
        </w:rPr>
        <w:fldChar w:fldCharType="separate"/>
      </w:r>
      <w:r>
        <w:rPr>
          <w:color w:val="auto"/>
          <w:sz w:val="32"/>
          <w:szCs w:val="28"/>
          <w:highlight w:val="none"/>
        </w:rPr>
        <w:t>34</w:t>
      </w:r>
      <w:r>
        <w:rPr>
          <w:color w:val="auto"/>
          <w:sz w:val="32"/>
          <w:szCs w:val="28"/>
          <w:highlight w:val="none"/>
        </w:rPr>
        <w:fldChar w:fldCharType="end"/>
      </w:r>
      <w:r>
        <w:rPr>
          <w:rFonts w:hint="eastAsia" w:ascii="宋体" w:hAnsi="宋体" w:cs="宋体"/>
          <w:color w:val="auto"/>
          <w:sz w:val="32"/>
          <w:szCs w:val="36"/>
          <w:highlight w:val="none"/>
        </w:rPr>
        <w:fldChar w:fldCharType="end"/>
      </w:r>
    </w:p>
    <w:p>
      <w:pPr>
        <w:pStyle w:val="18"/>
        <w:tabs>
          <w:tab w:val="right" w:leader="dot" w:pos="9070"/>
        </w:tabs>
        <w:spacing w:line="360" w:lineRule="auto"/>
        <w:ind w:left="432"/>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_Toc9363 </w:instrText>
      </w:r>
      <w:r>
        <w:rPr>
          <w:rFonts w:hint="eastAsia" w:ascii="宋体" w:hAnsi="宋体" w:cs="宋体"/>
          <w:color w:val="auto"/>
          <w:sz w:val="22"/>
          <w:szCs w:val="36"/>
          <w:highlight w:val="none"/>
        </w:rPr>
        <w:fldChar w:fldCharType="separate"/>
      </w:r>
      <w:r>
        <w:rPr>
          <w:rFonts w:hint="eastAsia"/>
          <w:color w:val="auto"/>
          <w:sz w:val="22"/>
          <w:szCs w:val="28"/>
          <w:highlight w:val="none"/>
        </w:rPr>
        <w:t>一、工程</w:t>
      </w:r>
      <w:r>
        <w:rPr>
          <w:color w:val="auto"/>
          <w:sz w:val="22"/>
          <w:szCs w:val="28"/>
          <w:highlight w:val="none"/>
        </w:rPr>
        <w:t>概况</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_Toc9363 \h </w:instrText>
      </w:r>
      <w:r>
        <w:rPr>
          <w:color w:val="auto"/>
          <w:sz w:val="22"/>
          <w:szCs w:val="28"/>
          <w:highlight w:val="none"/>
        </w:rPr>
        <w:fldChar w:fldCharType="separate"/>
      </w:r>
      <w:r>
        <w:rPr>
          <w:color w:val="auto"/>
          <w:sz w:val="22"/>
          <w:szCs w:val="28"/>
          <w:highlight w:val="none"/>
        </w:rPr>
        <w:t>34</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18"/>
        <w:tabs>
          <w:tab w:val="right" w:leader="dot" w:pos="9070"/>
        </w:tabs>
        <w:spacing w:line="360" w:lineRule="auto"/>
        <w:ind w:left="432"/>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_Toc15610 </w:instrText>
      </w:r>
      <w:r>
        <w:rPr>
          <w:rFonts w:hint="eastAsia" w:ascii="宋体" w:hAnsi="宋体" w:cs="宋体"/>
          <w:color w:val="auto"/>
          <w:sz w:val="22"/>
          <w:szCs w:val="36"/>
          <w:highlight w:val="none"/>
        </w:rPr>
        <w:fldChar w:fldCharType="separate"/>
      </w:r>
      <w:r>
        <w:rPr>
          <w:rFonts w:hint="eastAsia" w:ascii="Arial" w:hAnsi="Arial"/>
          <w:color w:val="auto"/>
          <w:sz w:val="22"/>
          <w:szCs w:val="28"/>
          <w:highlight w:val="none"/>
        </w:rPr>
        <w:t>二、服务范围及工作内容</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_Toc15610 \h </w:instrText>
      </w:r>
      <w:r>
        <w:rPr>
          <w:color w:val="auto"/>
          <w:sz w:val="22"/>
          <w:szCs w:val="28"/>
          <w:highlight w:val="none"/>
        </w:rPr>
        <w:fldChar w:fldCharType="separate"/>
      </w:r>
      <w:r>
        <w:rPr>
          <w:color w:val="auto"/>
          <w:sz w:val="22"/>
          <w:szCs w:val="28"/>
          <w:highlight w:val="none"/>
        </w:rPr>
        <w:t>34</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18"/>
        <w:tabs>
          <w:tab w:val="right" w:leader="dot" w:pos="9070"/>
        </w:tabs>
        <w:spacing w:line="360" w:lineRule="auto"/>
        <w:ind w:left="432"/>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_Toc10894 </w:instrText>
      </w:r>
      <w:r>
        <w:rPr>
          <w:rFonts w:hint="eastAsia" w:ascii="宋体" w:hAnsi="宋体" w:cs="宋体"/>
          <w:color w:val="auto"/>
          <w:sz w:val="22"/>
          <w:szCs w:val="36"/>
          <w:highlight w:val="none"/>
        </w:rPr>
        <w:fldChar w:fldCharType="separate"/>
      </w:r>
      <w:r>
        <w:rPr>
          <w:rFonts w:hint="eastAsia" w:ascii="Arial" w:hAnsi="Arial"/>
          <w:color w:val="auto"/>
          <w:sz w:val="22"/>
          <w:szCs w:val="28"/>
          <w:highlight w:val="none"/>
        </w:rPr>
        <w:t>三、服务期限</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_Toc10894 \h </w:instrText>
      </w:r>
      <w:r>
        <w:rPr>
          <w:color w:val="auto"/>
          <w:sz w:val="22"/>
          <w:szCs w:val="28"/>
          <w:highlight w:val="none"/>
        </w:rPr>
        <w:fldChar w:fldCharType="separate"/>
      </w:r>
      <w:r>
        <w:rPr>
          <w:color w:val="auto"/>
          <w:sz w:val="22"/>
          <w:szCs w:val="28"/>
          <w:highlight w:val="none"/>
        </w:rPr>
        <w:t>34</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18"/>
        <w:tabs>
          <w:tab w:val="right" w:leader="dot" w:pos="9070"/>
        </w:tabs>
        <w:spacing w:line="360" w:lineRule="auto"/>
        <w:ind w:left="432"/>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_Toc23915 </w:instrText>
      </w:r>
      <w:r>
        <w:rPr>
          <w:rFonts w:hint="eastAsia" w:ascii="宋体" w:hAnsi="宋体" w:cs="宋体"/>
          <w:color w:val="auto"/>
          <w:sz w:val="22"/>
          <w:szCs w:val="36"/>
          <w:highlight w:val="none"/>
        </w:rPr>
        <w:fldChar w:fldCharType="separate"/>
      </w:r>
      <w:r>
        <w:rPr>
          <w:rFonts w:hint="eastAsia" w:ascii="Arial" w:hAnsi="Arial"/>
          <w:color w:val="auto"/>
          <w:sz w:val="22"/>
          <w:szCs w:val="28"/>
          <w:highlight w:val="none"/>
        </w:rPr>
        <w:t>四、质量标准</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_Toc23915 \h </w:instrText>
      </w:r>
      <w:r>
        <w:rPr>
          <w:color w:val="auto"/>
          <w:sz w:val="22"/>
          <w:szCs w:val="28"/>
          <w:highlight w:val="none"/>
        </w:rPr>
        <w:fldChar w:fldCharType="separate"/>
      </w:r>
      <w:r>
        <w:rPr>
          <w:color w:val="auto"/>
          <w:sz w:val="22"/>
          <w:szCs w:val="28"/>
          <w:highlight w:val="none"/>
        </w:rPr>
        <w:t>34</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18"/>
        <w:tabs>
          <w:tab w:val="right" w:leader="dot" w:pos="9070"/>
        </w:tabs>
        <w:spacing w:line="360" w:lineRule="auto"/>
        <w:ind w:left="432"/>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_Toc12855 </w:instrText>
      </w:r>
      <w:r>
        <w:rPr>
          <w:rFonts w:hint="eastAsia" w:ascii="宋体" w:hAnsi="宋体" w:cs="宋体"/>
          <w:color w:val="auto"/>
          <w:sz w:val="22"/>
          <w:szCs w:val="36"/>
          <w:highlight w:val="none"/>
        </w:rPr>
        <w:fldChar w:fldCharType="separate"/>
      </w:r>
      <w:r>
        <w:rPr>
          <w:rFonts w:hint="eastAsia" w:ascii="Arial" w:hAnsi="Arial"/>
          <w:color w:val="auto"/>
          <w:sz w:val="22"/>
          <w:szCs w:val="28"/>
          <w:highlight w:val="none"/>
        </w:rPr>
        <w:t>五、酬金或计取方式</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_Toc12855 \h </w:instrText>
      </w:r>
      <w:r>
        <w:rPr>
          <w:color w:val="auto"/>
          <w:sz w:val="22"/>
          <w:szCs w:val="28"/>
          <w:highlight w:val="none"/>
        </w:rPr>
        <w:fldChar w:fldCharType="separate"/>
      </w:r>
      <w:r>
        <w:rPr>
          <w:color w:val="auto"/>
          <w:sz w:val="22"/>
          <w:szCs w:val="28"/>
          <w:highlight w:val="none"/>
        </w:rPr>
        <w:t>34</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18"/>
        <w:tabs>
          <w:tab w:val="right" w:leader="dot" w:pos="9070"/>
        </w:tabs>
        <w:spacing w:line="360" w:lineRule="auto"/>
        <w:ind w:left="432"/>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_Toc2847 </w:instrText>
      </w:r>
      <w:r>
        <w:rPr>
          <w:rFonts w:hint="eastAsia" w:ascii="宋体" w:hAnsi="宋体" w:cs="宋体"/>
          <w:color w:val="auto"/>
          <w:sz w:val="22"/>
          <w:szCs w:val="36"/>
          <w:highlight w:val="none"/>
        </w:rPr>
        <w:fldChar w:fldCharType="separate"/>
      </w:r>
      <w:r>
        <w:rPr>
          <w:rFonts w:hint="eastAsia"/>
          <w:color w:val="auto"/>
          <w:sz w:val="22"/>
          <w:szCs w:val="28"/>
          <w:highlight w:val="none"/>
        </w:rPr>
        <w:t>六、合同文件的构成</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_Toc2847 \h </w:instrText>
      </w:r>
      <w:r>
        <w:rPr>
          <w:color w:val="auto"/>
          <w:sz w:val="22"/>
          <w:szCs w:val="28"/>
          <w:highlight w:val="none"/>
        </w:rPr>
        <w:fldChar w:fldCharType="separate"/>
      </w:r>
      <w:r>
        <w:rPr>
          <w:color w:val="auto"/>
          <w:sz w:val="22"/>
          <w:szCs w:val="28"/>
          <w:highlight w:val="none"/>
        </w:rPr>
        <w:t>34</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18"/>
        <w:tabs>
          <w:tab w:val="right" w:leader="dot" w:pos="9070"/>
        </w:tabs>
        <w:spacing w:line="360" w:lineRule="auto"/>
        <w:ind w:left="432"/>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_Toc23601 </w:instrText>
      </w:r>
      <w:r>
        <w:rPr>
          <w:rFonts w:hint="eastAsia" w:ascii="宋体" w:hAnsi="宋体" w:cs="宋体"/>
          <w:color w:val="auto"/>
          <w:sz w:val="22"/>
          <w:szCs w:val="36"/>
          <w:highlight w:val="none"/>
        </w:rPr>
        <w:fldChar w:fldCharType="separate"/>
      </w:r>
      <w:r>
        <w:rPr>
          <w:rFonts w:hint="eastAsia" w:ascii="Arial" w:hAnsi="Arial"/>
          <w:color w:val="auto"/>
          <w:sz w:val="22"/>
          <w:szCs w:val="28"/>
          <w:highlight w:val="none"/>
        </w:rPr>
        <w:t>七、词语定义</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_Toc23601 \h </w:instrText>
      </w:r>
      <w:r>
        <w:rPr>
          <w:color w:val="auto"/>
          <w:sz w:val="22"/>
          <w:szCs w:val="28"/>
          <w:highlight w:val="none"/>
        </w:rPr>
        <w:fldChar w:fldCharType="separate"/>
      </w:r>
      <w:r>
        <w:rPr>
          <w:color w:val="auto"/>
          <w:sz w:val="22"/>
          <w:szCs w:val="28"/>
          <w:highlight w:val="none"/>
        </w:rPr>
        <w:t>35</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18"/>
        <w:tabs>
          <w:tab w:val="right" w:leader="dot" w:pos="9070"/>
        </w:tabs>
        <w:spacing w:line="360" w:lineRule="auto"/>
        <w:ind w:left="432"/>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_Toc28813 </w:instrText>
      </w:r>
      <w:r>
        <w:rPr>
          <w:rFonts w:hint="eastAsia" w:ascii="宋体" w:hAnsi="宋体" w:cs="宋体"/>
          <w:color w:val="auto"/>
          <w:sz w:val="22"/>
          <w:szCs w:val="36"/>
          <w:highlight w:val="none"/>
        </w:rPr>
        <w:fldChar w:fldCharType="separate"/>
      </w:r>
      <w:r>
        <w:rPr>
          <w:rFonts w:hint="eastAsia" w:ascii="宋体" w:hAnsi="宋体" w:cs="宋体"/>
          <w:color w:val="auto"/>
          <w:sz w:val="22"/>
          <w:szCs w:val="28"/>
          <w:highlight w:val="none"/>
        </w:rPr>
        <w:t>八、合同订立</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_Toc28813 \h </w:instrText>
      </w:r>
      <w:r>
        <w:rPr>
          <w:color w:val="auto"/>
          <w:sz w:val="22"/>
          <w:szCs w:val="28"/>
          <w:highlight w:val="none"/>
        </w:rPr>
        <w:fldChar w:fldCharType="separate"/>
      </w:r>
      <w:r>
        <w:rPr>
          <w:color w:val="auto"/>
          <w:sz w:val="22"/>
          <w:szCs w:val="28"/>
          <w:highlight w:val="none"/>
        </w:rPr>
        <w:t>35</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18"/>
        <w:tabs>
          <w:tab w:val="right" w:leader="dot" w:pos="9070"/>
        </w:tabs>
        <w:spacing w:line="360" w:lineRule="auto"/>
        <w:ind w:left="432"/>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_Toc3057 </w:instrText>
      </w:r>
      <w:r>
        <w:rPr>
          <w:rFonts w:hint="eastAsia" w:ascii="宋体" w:hAnsi="宋体" w:cs="宋体"/>
          <w:color w:val="auto"/>
          <w:sz w:val="22"/>
          <w:szCs w:val="36"/>
          <w:highlight w:val="none"/>
        </w:rPr>
        <w:fldChar w:fldCharType="separate"/>
      </w:r>
      <w:r>
        <w:rPr>
          <w:rFonts w:hint="eastAsia" w:ascii="宋体" w:hAnsi="宋体" w:cs="宋体"/>
          <w:color w:val="auto"/>
          <w:sz w:val="22"/>
          <w:szCs w:val="28"/>
          <w:highlight w:val="none"/>
        </w:rPr>
        <w:t>九、合同生效</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_Toc3057 \h </w:instrText>
      </w:r>
      <w:r>
        <w:rPr>
          <w:color w:val="auto"/>
          <w:sz w:val="22"/>
          <w:szCs w:val="28"/>
          <w:highlight w:val="none"/>
        </w:rPr>
        <w:fldChar w:fldCharType="separate"/>
      </w:r>
      <w:r>
        <w:rPr>
          <w:color w:val="auto"/>
          <w:sz w:val="22"/>
          <w:szCs w:val="28"/>
          <w:highlight w:val="none"/>
        </w:rPr>
        <w:t>35</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18"/>
        <w:tabs>
          <w:tab w:val="right" w:leader="dot" w:pos="9070"/>
        </w:tabs>
        <w:spacing w:line="360" w:lineRule="auto"/>
        <w:ind w:left="432"/>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_Toc8905 </w:instrText>
      </w:r>
      <w:r>
        <w:rPr>
          <w:rFonts w:hint="eastAsia" w:ascii="宋体" w:hAnsi="宋体" w:cs="宋体"/>
          <w:color w:val="auto"/>
          <w:sz w:val="22"/>
          <w:szCs w:val="36"/>
          <w:highlight w:val="none"/>
        </w:rPr>
        <w:fldChar w:fldCharType="separate"/>
      </w:r>
      <w:r>
        <w:rPr>
          <w:rFonts w:hint="eastAsia" w:ascii="宋体" w:hAnsi="宋体" w:cs="宋体"/>
          <w:color w:val="auto"/>
          <w:sz w:val="22"/>
          <w:szCs w:val="28"/>
          <w:highlight w:val="none"/>
        </w:rPr>
        <w:t>十、合同份数</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_Toc8905 \h </w:instrText>
      </w:r>
      <w:r>
        <w:rPr>
          <w:color w:val="auto"/>
          <w:sz w:val="22"/>
          <w:szCs w:val="28"/>
          <w:highlight w:val="none"/>
        </w:rPr>
        <w:fldChar w:fldCharType="separate"/>
      </w:r>
      <w:r>
        <w:rPr>
          <w:color w:val="auto"/>
          <w:sz w:val="22"/>
          <w:szCs w:val="28"/>
          <w:highlight w:val="none"/>
        </w:rPr>
        <w:t>35</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13"/>
        <w:tabs>
          <w:tab w:val="right" w:leader="dot" w:pos="9070"/>
        </w:tabs>
        <w:spacing w:line="360" w:lineRule="auto"/>
        <w:ind w:left="324" w:firstLine="773"/>
        <w:rPr>
          <w:color w:val="auto"/>
          <w:sz w:val="32"/>
          <w:szCs w:val="28"/>
          <w:highlight w:val="none"/>
        </w:rPr>
      </w:pPr>
      <w:r>
        <w:rPr>
          <w:rFonts w:hint="eastAsia" w:ascii="宋体" w:hAnsi="宋体" w:cs="宋体"/>
          <w:color w:val="auto"/>
          <w:sz w:val="32"/>
          <w:szCs w:val="36"/>
          <w:highlight w:val="none"/>
        </w:rPr>
        <w:fldChar w:fldCharType="begin"/>
      </w:r>
      <w:r>
        <w:rPr>
          <w:rFonts w:hint="eastAsia" w:ascii="宋体" w:hAnsi="宋体" w:cs="宋体"/>
          <w:color w:val="auto"/>
          <w:sz w:val="32"/>
          <w:szCs w:val="36"/>
          <w:highlight w:val="none"/>
        </w:rPr>
        <w:instrText xml:space="preserve"> HYPERLINK \l _Toc3051 </w:instrText>
      </w:r>
      <w:r>
        <w:rPr>
          <w:rFonts w:hint="eastAsia" w:ascii="宋体" w:hAnsi="宋体" w:cs="宋体"/>
          <w:color w:val="auto"/>
          <w:sz w:val="32"/>
          <w:szCs w:val="36"/>
          <w:highlight w:val="none"/>
        </w:rPr>
        <w:fldChar w:fldCharType="separate"/>
      </w:r>
      <w:r>
        <w:rPr>
          <w:rFonts w:hint="eastAsia"/>
          <w:color w:val="auto"/>
          <w:sz w:val="32"/>
          <w:szCs w:val="28"/>
          <w:highlight w:val="none"/>
        </w:rPr>
        <w:t>第二部分  通用条件</w:t>
      </w:r>
      <w:r>
        <w:rPr>
          <w:color w:val="auto"/>
          <w:sz w:val="32"/>
          <w:szCs w:val="28"/>
          <w:highlight w:val="none"/>
        </w:rPr>
        <w:tab/>
      </w:r>
      <w:r>
        <w:rPr>
          <w:color w:val="auto"/>
          <w:sz w:val="32"/>
          <w:szCs w:val="28"/>
          <w:highlight w:val="none"/>
        </w:rPr>
        <w:fldChar w:fldCharType="begin"/>
      </w:r>
      <w:r>
        <w:rPr>
          <w:color w:val="auto"/>
          <w:sz w:val="32"/>
          <w:szCs w:val="28"/>
          <w:highlight w:val="none"/>
        </w:rPr>
        <w:instrText xml:space="preserve"> PAGEREF _Toc3051 \h </w:instrText>
      </w:r>
      <w:r>
        <w:rPr>
          <w:color w:val="auto"/>
          <w:sz w:val="32"/>
          <w:szCs w:val="28"/>
          <w:highlight w:val="none"/>
        </w:rPr>
        <w:fldChar w:fldCharType="separate"/>
      </w:r>
      <w:r>
        <w:rPr>
          <w:color w:val="auto"/>
          <w:sz w:val="32"/>
          <w:szCs w:val="28"/>
          <w:highlight w:val="none"/>
        </w:rPr>
        <w:t>36</w:t>
      </w:r>
      <w:r>
        <w:rPr>
          <w:color w:val="auto"/>
          <w:sz w:val="32"/>
          <w:szCs w:val="28"/>
          <w:highlight w:val="none"/>
        </w:rPr>
        <w:fldChar w:fldCharType="end"/>
      </w:r>
      <w:r>
        <w:rPr>
          <w:rFonts w:hint="eastAsia" w:ascii="宋体" w:hAnsi="宋体" w:cs="宋体"/>
          <w:color w:val="auto"/>
          <w:sz w:val="32"/>
          <w:szCs w:val="36"/>
          <w:highlight w:val="none"/>
        </w:rPr>
        <w:fldChar w:fldCharType="end"/>
      </w:r>
    </w:p>
    <w:p>
      <w:pPr>
        <w:pStyle w:val="18"/>
        <w:tabs>
          <w:tab w:val="right" w:leader="dot" w:pos="9070"/>
        </w:tabs>
        <w:spacing w:line="360" w:lineRule="auto"/>
        <w:ind w:left="432"/>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_Toc19834 </w:instrText>
      </w:r>
      <w:r>
        <w:rPr>
          <w:rFonts w:hint="eastAsia" w:ascii="宋体" w:hAnsi="宋体" w:cs="宋体"/>
          <w:color w:val="auto"/>
          <w:sz w:val="22"/>
          <w:szCs w:val="36"/>
          <w:highlight w:val="none"/>
        </w:rPr>
        <w:fldChar w:fldCharType="separate"/>
      </w:r>
      <w:r>
        <w:rPr>
          <w:rFonts w:hint="eastAsia"/>
          <w:color w:val="auto"/>
          <w:sz w:val="22"/>
          <w:szCs w:val="28"/>
          <w:highlight w:val="none"/>
        </w:rPr>
        <w:t>1.词语定义、语言、解释顺序与适用法律</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_Toc19834 \h </w:instrText>
      </w:r>
      <w:r>
        <w:rPr>
          <w:color w:val="auto"/>
          <w:sz w:val="22"/>
          <w:szCs w:val="28"/>
          <w:highlight w:val="none"/>
        </w:rPr>
        <w:fldChar w:fldCharType="separate"/>
      </w:r>
      <w:r>
        <w:rPr>
          <w:color w:val="auto"/>
          <w:sz w:val="22"/>
          <w:szCs w:val="28"/>
          <w:highlight w:val="none"/>
        </w:rPr>
        <w:t>36</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_Toc16412 </w:instrText>
      </w:r>
      <w:r>
        <w:rPr>
          <w:rFonts w:hint="eastAsia" w:ascii="宋体" w:hAnsi="宋体" w:cs="宋体"/>
          <w:color w:val="auto"/>
          <w:sz w:val="22"/>
          <w:szCs w:val="36"/>
          <w:highlight w:val="none"/>
        </w:rPr>
        <w:fldChar w:fldCharType="separate"/>
      </w:r>
      <w:r>
        <w:rPr>
          <w:rFonts w:hint="eastAsia"/>
          <w:color w:val="auto"/>
          <w:sz w:val="22"/>
          <w:szCs w:val="28"/>
          <w:highlight w:val="none"/>
        </w:rPr>
        <w:t>1.1词语定义</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_Toc16412 \h </w:instrText>
      </w:r>
      <w:r>
        <w:rPr>
          <w:color w:val="auto"/>
          <w:sz w:val="22"/>
          <w:szCs w:val="28"/>
          <w:highlight w:val="none"/>
        </w:rPr>
        <w:fldChar w:fldCharType="separate"/>
      </w:r>
      <w:r>
        <w:rPr>
          <w:color w:val="auto"/>
          <w:sz w:val="22"/>
          <w:szCs w:val="28"/>
          <w:highlight w:val="none"/>
        </w:rPr>
        <w:t>36</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_Toc30650 </w:instrText>
      </w:r>
      <w:r>
        <w:rPr>
          <w:rFonts w:hint="eastAsia" w:ascii="宋体" w:hAnsi="宋体" w:cs="宋体"/>
          <w:color w:val="auto"/>
          <w:sz w:val="22"/>
          <w:szCs w:val="36"/>
          <w:highlight w:val="none"/>
        </w:rPr>
        <w:fldChar w:fldCharType="separate"/>
      </w:r>
      <w:r>
        <w:rPr>
          <w:rFonts w:hint="eastAsia"/>
          <w:color w:val="auto"/>
          <w:sz w:val="22"/>
          <w:szCs w:val="28"/>
          <w:highlight w:val="none"/>
        </w:rPr>
        <w:t>1.2语言</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_Toc30650 \h </w:instrText>
      </w:r>
      <w:r>
        <w:rPr>
          <w:color w:val="auto"/>
          <w:sz w:val="22"/>
          <w:szCs w:val="28"/>
          <w:highlight w:val="none"/>
        </w:rPr>
        <w:fldChar w:fldCharType="separate"/>
      </w:r>
      <w:r>
        <w:rPr>
          <w:color w:val="auto"/>
          <w:sz w:val="22"/>
          <w:szCs w:val="28"/>
          <w:highlight w:val="none"/>
        </w:rPr>
        <w:t>37</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_Toc16898 </w:instrText>
      </w:r>
      <w:r>
        <w:rPr>
          <w:rFonts w:hint="eastAsia" w:ascii="宋体" w:hAnsi="宋体" w:cs="宋体"/>
          <w:color w:val="auto"/>
          <w:sz w:val="22"/>
          <w:szCs w:val="36"/>
          <w:highlight w:val="none"/>
        </w:rPr>
        <w:fldChar w:fldCharType="separate"/>
      </w:r>
      <w:r>
        <w:rPr>
          <w:rFonts w:hint="eastAsia"/>
          <w:color w:val="auto"/>
          <w:sz w:val="22"/>
          <w:szCs w:val="28"/>
          <w:highlight w:val="none"/>
        </w:rPr>
        <w:t>1.3合同文件的优先顺序</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_Toc16898 \h </w:instrText>
      </w:r>
      <w:r>
        <w:rPr>
          <w:color w:val="auto"/>
          <w:sz w:val="22"/>
          <w:szCs w:val="28"/>
          <w:highlight w:val="none"/>
        </w:rPr>
        <w:fldChar w:fldCharType="separate"/>
      </w:r>
      <w:r>
        <w:rPr>
          <w:color w:val="auto"/>
          <w:sz w:val="22"/>
          <w:szCs w:val="28"/>
          <w:highlight w:val="none"/>
        </w:rPr>
        <w:t>37</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_Toc28848 </w:instrText>
      </w:r>
      <w:r>
        <w:rPr>
          <w:rFonts w:hint="eastAsia" w:ascii="宋体" w:hAnsi="宋体" w:cs="宋体"/>
          <w:color w:val="auto"/>
          <w:sz w:val="22"/>
          <w:szCs w:val="36"/>
          <w:highlight w:val="none"/>
        </w:rPr>
        <w:fldChar w:fldCharType="separate"/>
      </w:r>
      <w:r>
        <w:rPr>
          <w:rFonts w:hint="eastAsia"/>
          <w:color w:val="auto"/>
          <w:sz w:val="22"/>
          <w:szCs w:val="28"/>
          <w:highlight w:val="none"/>
        </w:rPr>
        <w:t>1.4适用法律</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_Toc28848 \h </w:instrText>
      </w:r>
      <w:r>
        <w:rPr>
          <w:color w:val="auto"/>
          <w:sz w:val="22"/>
          <w:szCs w:val="28"/>
          <w:highlight w:val="none"/>
        </w:rPr>
        <w:fldChar w:fldCharType="separate"/>
      </w:r>
      <w:r>
        <w:rPr>
          <w:color w:val="auto"/>
          <w:sz w:val="22"/>
          <w:szCs w:val="28"/>
          <w:highlight w:val="none"/>
        </w:rPr>
        <w:t>37</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18"/>
        <w:tabs>
          <w:tab w:val="right" w:leader="dot" w:pos="9070"/>
        </w:tabs>
        <w:spacing w:line="360" w:lineRule="auto"/>
        <w:ind w:left="432"/>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_Toc22852 </w:instrText>
      </w:r>
      <w:r>
        <w:rPr>
          <w:rFonts w:hint="eastAsia" w:ascii="宋体" w:hAnsi="宋体" w:cs="宋体"/>
          <w:color w:val="auto"/>
          <w:sz w:val="22"/>
          <w:szCs w:val="36"/>
          <w:highlight w:val="none"/>
        </w:rPr>
        <w:fldChar w:fldCharType="separate"/>
      </w:r>
      <w:r>
        <w:rPr>
          <w:rFonts w:hint="eastAsia"/>
          <w:color w:val="auto"/>
          <w:sz w:val="22"/>
          <w:szCs w:val="28"/>
          <w:highlight w:val="none"/>
        </w:rPr>
        <w:t>2.委托人</w:t>
      </w:r>
      <w:r>
        <w:rPr>
          <w:color w:val="auto"/>
          <w:sz w:val="22"/>
          <w:szCs w:val="28"/>
          <w:highlight w:val="none"/>
        </w:rPr>
        <w:t>的义务</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_Toc22852 \h </w:instrText>
      </w:r>
      <w:r>
        <w:rPr>
          <w:color w:val="auto"/>
          <w:sz w:val="22"/>
          <w:szCs w:val="28"/>
          <w:highlight w:val="none"/>
        </w:rPr>
        <w:fldChar w:fldCharType="separate"/>
      </w:r>
      <w:r>
        <w:rPr>
          <w:color w:val="auto"/>
          <w:sz w:val="22"/>
          <w:szCs w:val="28"/>
          <w:highlight w:val="none"/>
        </w:rPr>
        <w:t>37</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_Toc10779 </w:instrText>
      </w:r>
      <w:r>
        <w:rPr>
          <w:rFonts w:hint="eastAsia" w:ascii="宋体" w:hAnsi="宋体" w:cs="宋体"/>
          <w:color w:val="auto"/>
          <w:sz w:val="22"/>
          <w:szCs w:val="36"/>
          <w:highlight w:val="none"/>
        </w:rPr>
        <w:fldChar w:fldCharType="separate"/>
      </w:r>
      <w:r>
        <w:rPr>
          <w:rFonts w:hint="eastAsia"/>
          <w:color w:val="auto"/>
          <w:sz w:val="22"/>
          <w:szCs w:val="28"/>
          <w:highlight w:val="none"/>
        </w:rPr>
        <w:t>2.1提供资料</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_Toc10779 \h </w:instrText>
      </w:r>
      <w:r>
        <w:rPr>
          <w:color w:val="auto"/>
          <w:sz w:val="22"/>
          <w:szCs w:val="28"/>
          <w:highlight w:val="none"/>
        </w:rPr>
        <w:fldChar w:fldCharType="separate"/>
      </w:r>
      <w:r>
        <w:rPr>
          <w:color w:val="auto"/>
          <w:sz w:val="22"/>
          <w:szCs w:val="28"/>
          <w:highlight w:val="none"/>
        </w:rPr>
        <w:t>37</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_Toc7825 </w:instrText>
      </w:r>
      <w:r>
        <w:rPr>
          <w:rFonts w:hint="eastAsia" w:ascii="宋体" w:hAnsi="宋体" w:cs="宋体"/>
          <w:color w:val="auto"/>
          <w:sz w:val="22"/>
          <w:szCs w:val="36"/>
          <w:highlight w:val="none"/>
        </w:rPr>
        <w:fldChar w:fldCharType="separate"/>
      </w:r>
      <w:r>
        <w:rPr>
          <w:rFonts w:hint="eastAsia"/>
          <w:color w:val="auto"/>
          <w:sz w:val="22"/>
          <w:szCs w:val="28"/>
          <w:highlight w:val="none"/>
        </w:rPr>
        <w:t>2.2提供工作条件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_Toc7825 \h </w:instrText>
      </w:r>
      <w:r>
        <w:rPr>
          <w:color w:val="auto"/>
          <w:sz w:val="22"/>
          <w:szCs w:val="28"/>
          <w:highlight w:val="none"/>
        </w:rPr>
        <w:fldChar w:fldCharType="separate"/>
      </w:r>
      <w:r>
        <w:rPr>
          <w:color w:val="auto"/>
          <w:sz w:val="22"/>
          <w:szCs w:val="28"/>
          <w:highlight w:val="none"/>
        </w:rPr>
        <w:t>37</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_Toc14383 </w:instrText>
      </w:r>
      <w:r>
        <w:rPr>
          <w:rFonts w:hint="eastAsia" w:ascii="宋体" w:hAnsi="宋体" w:cs="宋体"/>
          <w:color w:val="auto"/>
          <w:sz w:val="22"/>
          <w:szCs w:val="36"/>
          <w:highlight w:val="none"/>
        </w:rPr>
        <w:fldChar w:fldCharType="separate"/>
      </w:r>
      <w:r>
        <w:rPr>
          <w:rFonts w:hint="eastAsia"/>
          <w:color w:val="auto"/>
          <w:sz w:val="22"/>
          <w:szCs w:val="28"/>
          <w:highlight w:val="none"/>
        </w:rPr>
        <w:t>2.3合理工作时限</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_Toc14383 \h </w:instrText>
      </w:r>
      <w:r>
        <w:rPr>
          <w:color w:val="auto"/>
          <w:sz w:val="22"/>
          <w:szCs w:val="28"/>
          <w:highlight w:val="none"/>
        </w:rPr>
        <w:fldChar w:fldCharType="separate"/>
      </w:r>
      <w:r>
        <w:rPr>
          <w:color w:val="auto"/>
          <w:sz w:val="22"/>
          <w:szCs w:val="28"/>
          <w:highlight w:val="none"/>
        </w:rPr>
        <w:t>38</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_Toc17025 </w:instrText>
      </w:r>
      <w:r>
        <w:rPr>
          <w:rFonts w:hint="eastAsia" w:ascii="宋体" w:hAnsi="宋体" w:cs="宋体"/>
          <w:color w:val="auto"/>
          <w:sz w:val="22"/>
          <w:szCs w:val="36"/>
          <w:highlight w:val="none"/>
        </w:rPr>
        <w:fldChar w:fldCharType="separate"/>
      </w:r>
      <w:r>
        <w:rPr>
          <w:rFonts w:hint="eastAsia"/>
          <w:color w:val="auto"/>
          <w:sz w:val="22"/>
          <w:szCs w:val="28"/>
          <w:highlight w:val="none"/>
        </w:rPr>
        <w:t>2.4委托人代表</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_Toc17025 \h </w:instrText>
      </w:r>
      <w:r>
        <w:rPr>
          <w:color w:val="auto"/>
          <w:sz w:val="22"/>
          <w:szCs w:val="28"/>
          <w:highlight w:val="none"/>
        </w:rPr>
        <w:fldChar w:fldCharType="separate"/>
      </w:r>
      <w:r>
        <w:rPr>
          <w:color w:val="auto"/>
          <w:sz w:val="22"/>
          <w:szCs w:val="28"/>
          <w:highlight w:val="none"/>
        </w:rPr>
        <w:t>38</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_Toc10616 </w:instrText>
      </w:r>
      <w:r>
        <w:rPr>
          <w:rFonts w:hint="eastAsia" w:ascii="宋体" w:hAnsi="宋体" w:cs="宋体"/>
          <w:color w:val="auto"/>
          <w:sz w:val="22"/>
          <w:szCs w:val="36"/>
          <w:highlight w:val="none"/>
        </w:rPr>
        <w:fldChar w:fldCharType="separate"/>
      </w:r>
      <w:r>
        <w:rPr>
          <w:rFonts w:hint="eastAsia"/>
          <w:color w:val="auto"/>
          <w:sz w:val="22"/>
          <w:szCs w:val="28"/>
          <w:highlight w:val="none"/>
        </w:rPr>
        <w:t>2.5答复</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_Toc10616 \h </w:instrText>
      </w:r>
      <w:r>
        <w:rPr>
          <w:color w:val="auto"/>
          <w:sz w:val="22"/>
          <w:szCs w:val="28"/>
          <w:highlight w:val="none"/>
        </w:rPr>
        <w:fldChar w:fldCharType="separate"/>
      </w:r>
      <w:r>
        <w:rPr>
          <w:color w:val="auto"/>
          <w:sz w:val="22"/>
          <w:szCs w:val="28"/>
          <w:highlight w:val="none"/>
        </w:rPr>
        <w:t>38</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_Toc126 </w:instrText>
      </w:r>
      <w:r>
        <w:rPr>
          <w:rFonts w:hint="eastAsia" w:ascii="宋体" w:hAnsi="宋体" w:cs="宋体"/>
          <w:color w:val="auto"/>
          <w:sz w:val="22"/>
          <w:szCs w:val="36"/>
          <w:highlight w:val="none"/>
        </w:rPr>
        <w:fldChar w:fldCharType="separate"/>
      </w:r>
      <w:r>
        <w:rPr>
          <w:rFonts w:hint="eastAsia"/>
          <w:color w:val="auto"/>
          <w:sz w:val="22"/>
          <w:szCs w:val="28"/>
          <w:highlight w:val="none"/>
        </w:rPr>
        <w:t>2.6支付</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_Toc126 \h </w:instrText>
      </w:r>
      <w:r>
        <w:rPr>
          <w:color w:val="auto"/>
          <w:sz w:val="22"/>
          <w:szCs w:val="28"/>
          <w:highlight w:val="none"/>
        </w:rPr>
        <w:fldChar w:fldCharType="separate"/>
      </w:r>
      <w:r>
        <w:rPr>
          <w:color w:val="auto"/>
          <w:sz w:val="22"/>
          <w:szCs w:val="28"/>
          <w:highlight w:val="none"/>
        </w:rPr>
        <w:t>38</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18"/>
        <w:tabs>
          <w:tab w:val="right" w:leader="dot" w:pos="9070"/>
        </w:tabs>
        <w:spacing w:line="360" w:lineRule="auto"/>
        <w:ind w:left="432"/>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_Toc16022 </w:instrText>
      </w:r>
      <w:r>
        <w:rPr>
          <w:rFonts w:hint="eastAsia" w:ascii="宋体" w:hAnsi="宋体" w:cs="宋体"/>
          <w:color w:val="auto"/>
          <w:sz w:val="22"/>
          <w:szCs w:val="36"/>
          <w:highlight w:val="none"/>
        </w:rPr>
        <w:fldChar w:fldCharType="separate"/>
      </w:r>
      <w:r>
        <w:rPr>
          <w:rFonts w:hint="eastAsia"/>
          <w:color w:val="auto"/>
          <w:sz w:val="22"/>
          <w:szCs w:val="28"/>
          <w:highlight w:val="none"/>
        </w:rPr>
        <w:t>3.咨询人的义务</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_Toc16022 \h </w:instrText>
      </w:r>
      <w:r>
        <w:rPr>
          <w:color w:val="auto"/>
          <w:sz w:val="22"/>
          <w:szCs w:val="28"/>
          <w:highlight w:val="none"/>
        </w:rPr>
        <w:fldChar w:fldCharType="separate"/>
      </w:r>
      <w:r>
        <w:rPr>
          <w:color w:val="auto"/>
          <w:sz w:val="22"/>
          <w:szCs w:val="28"/>
          <w:highlight w:val="none"/>
        </w:rPr>
        <w:t>38</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_Toc17923 </w:instrText>
      </w:r>
      <w:r>
        <w:rPr>
          <w:rFonts w:hint="eastAsia" w:ascii="宋体" w:hAnsi="宋体" w:cs="宋体"/>
          <w:color w:val="auto"/>
          <w:sz w:val="22"/>
          <w:szCs w:val="36"/>
          <w:highlight w:val="none"/>
        </w:rPr>
        <w:fldChar w:fldCharType="separate"/>
      </w:r>
      <w:r>
        <w:rPr>
          <w:rFonts w:hint="eastAsia"/>
          <w:color w:val="auto"/>
          <w:sz w:val="22"/>
          <w:szCs w:val="28"/>
          <w:highlight w:val="none"/>
        </w:rPr>
        <w:t>3.1 项目咨询团队及人员</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_Toc17923 \h </w:instrText>
      </w:r>
      <w:r>
        <w:rPr>
          <w:color w:val="auto"/>
          <w:sz w:val="22"/>
          <w:szCs w:val="28"/>
          <w:highlight w:val="none"/>
        </w:rPr>
        <w:fldChar w:fldCharType="separate"/>
      </w:r>
      <w:r>
        <w:rPr>
          <w:color w:val="auto"/>
          <w:sz w:val="22"/>
          <w:szCs w:val="28"/>
          <w:highlight w:val="none"/>
        </w:rPr>
        <w:t>38</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_Toc2317 </w:instrText>
      </w:r>
      <w:r>
        <w:rPr>
          <w:rFonts w:hint="eastAsia" w:ascii="宋体" w:hAnsi="宋体" w:cs="宋体"/>
          <w:color w:val="auto"/>
          <w:sz w:val="22"/>
          <w:szCs w:val="36"/>
          <w:highlight w:val="none"/>
        </w:rPr>
        <w:fldChar w:fldCharType="separate"/>
      </w:r>
      <w:r>
        <w:rPr>
          <w:rFonts w:hint="eastAsia"/>
          <w:color w:val="auto"/>
          <w:sz w:val="22"/>
          <w:szCs w:val="28"/>
          <w:highlight w:val="none"/>
        </w:rPr>
        <w:t>3.2 咨询人的工作要求</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_Toc2317 \h </w:instrText>
      </w:r>
      <w:r>
        <w:rPr>
          <w:color w:val="auto"/>
          <w:sz w:val="22"/>
          <w:szCs w:val="28"/>
          <w:highlight w:val="none"/>
        </w:rPr>
        <w:fldChar w:fldCharType="separate"/>
      </w:r>
      <w:r>
        <w:rPr>
          <w:color w:val="auto"/>
          <w:sz w:val="22"/>
          <w:szCs w:val="28"/>
          <w:highlight w:val="none"/>
        </w:rPr>
        <w:t>39</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_Toc6317 </w:instrText>
      </w:r>
      <w:r>
        <w:rPr>
          <w:rFonts w:hint="eastAsia" w:ascii="宋体" w:hAnsi="宋体" w:cs="宋体"/>
          <w:color w:val="auto"/>
          <w:sz w:val="22"/>
          <w:szCs w:val="36"/>
          <w:highlight w:val="none"/>
        </w:rPr>
        <w:fldChar w:fldCharType="separate"/>
      </w:r>
      <w:r>
        <w:rPr>
          <w:rFonts w:hint="eastAsia"/>
          <w:color w:val="auto"/>
          <w:sz w:val="22"/>
          <w:szCs w:val="28"/>
          <w:highlight w:val="none"/>
        </w:rPr>
        <w:t>3.3咨询人的工作依据</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_Toc6317 \h </w:instrText>
      </w:r>
      <w:r>
        <w:rPr>
          <w:color w:val="auto"/>
          <w:sz w:val="22"/>
          <w:szCs w:val="28"/>
          <w:highlight w:val="none"/>
        </w:rPr>
        <w:fldChar w:fldCharType="separate"/>
      </w:r>
      <w:r>
        <w:rPr>
          <w:color w:val="auto"/>
          <w:sz w:val="22"/>
          <w:szCs w:val="28"/>
          <w:highlight w:val="none"/>
        </w:rPr>
        <w:t>39</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_Toc29065 </w:instrText>
      </w:r>
      <w:r>
        <w:rPr>
          <w:rFonts w:hint="eastAsia" w:ascii="宋体" w:hAnsi="宋体" w:cs="宋体"/>
          <w:color w:val="auto"/>
          <w:sz w:val="22"/>
          <w:szCs w:val="36"/>
          <w:highlight w:val="none"/>
        </w:rPr>
        <w:fldChar w:fldCharType="separate"/>
      </w:r>
      <w:r>
        <w:rPr>
          <w:rFonts w:hint="eastAsia"/>
          <w:color w:val="auto"/>
          <w:sz w:val="22"/>
          <w:szCs w:val="28"/>
          <w:highlight w:val="none"/>
        </w:rPr>
        <w:t>3.4使用委托人房屋及设备的返还</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_Toc29065 \h </w:instrText>
      </w:r>
      <w:r>
        <w:rPr>
          <w:color w:val="auto"/>
          <w:sz w:val="22"/>
          <w:szCs w:val="28"/>
          <w:highlight w:val="none"/>
        </w:rPr>
        <w:fldChar w:fldCharType="separate"/>
      </w:r>
      <w:r>
        <w:rPr>
          <w:color w:val="auto"/>
          <w:sz w:val="22"/>
          <w:szCs w:val="28"/>
          <w:highlight w:val="none"/>
        </w:rPr>
        <w:t>39</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18"/>
        <w:tabs>
          <w:tab w:val="right" w:leader="dot" w:pos="9070"/>
        </w:tabs>
        <w:spacing w:line="360" w:lineRule="auto"/>
        <w:ind w:left="432"/>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_Toc23023 </w:instrText>
      </w:r>
      <w:r>
        <w:rPr>
          <w:rFonts w:hint="eastAsia" w:ascii="宋体" w:hAnsi="宋体" w:cs="宋体"/>
          <w:color w:val="auto"/>
          <w:sz w:val="22"/>
          <w:szCs w:val="36"/>
          <w:highlight w:val="none"/>
        </w:rPr>
        <w:fldChar w:fldCharType="separate"/>
      </w:r>
      <w:r>
        <w:rPr>
          <w:rFonts w:hint="eastAsia"/>
          <w:color w:val="auto"/>
          <w:sz w:val="22"/>
          <w:szCs w:val="28"/>
          <w:highlight w:val="none"/>
        </w:rPr>
        <w:t>4.违约责任</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_Toc23023 \h </w:instrText>
      </w:r>
      <w:r>
        <w:rPr>
          <w:color w:val="auto"/>
          <w:sz w:val="22"/>
          <w:szCs w:val="28"/>
          <w:highlight w:val="none"/>
        </w:rPr>
        <w:fldChar w:fldCharType="separate"/>
      </w:r>
      <w:r>
        <w:rPr>
          <w:color w:val="auto"/>
          <w:sz w:val="22"/>
          <w:szCs w:val="28"/>
          <w:highlight w:val="none"/>
        </w:rPr>
        <w:t>39</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_Toc26944 </w:instrText>
      </w:r>
      <w:r>
        <w:rPr>
          <w:rFonts w:hint="eastAsia" w:ascii="宋体" w:hAnsi="宋体" w:cs="宋体"/>
          <w:color w:val="auto"/>
          <w:sz w:val="22"/>
          <w:szCs w:val="36"/>
          <w:highlight w:val="none"/>
        </w:rPr>
        <w:fldChar w:fldCharType="separate"/>
      </w:r>
      <w:r>
        <w:rPr>
          <w:rFonts w:hint="eastAsia"/>
          <w:color w:val="auto"/>
          <w:sz w:val="22"/>
          <w:szCs w:val="28"/>
          <w:highlight w:val="none"/>
        </w:rPr>
        <w:t>4.1委托人的违约责任</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_Toc26944 \h </w:instrText>
      </w:r>
      <w:r>
        <w:rPr>
          <w:color w:val="auto"/>
          <w:sz w:val="22"/>
          <w:szCs w:val="28"/>
          <w:highlight w:val="none"/>
        </w:rPr>
        <w:fldChar w:fldCharType="separate"/>
      </w:r>
      <w:r>
        <w:rPr>
          <w:color w:val="auto"/>
          <w:sz w:val="22"/>
          <w:szCs w:val="28"/>
          <w:highlight w:val="none"/>
        </w:rPr>
        <w:t>39</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_Toc15731 </w:instrText>
      </w:r>
      <w:r>
        <w:rPr>
          <w:rFonts w:hint="eastAsia" w:ascii="宋体" w:hAnsi="宋体" w:cs="宋体"/>
          <w:color w:val="auto"/>
          <w:sz w:val="22"/>
          <w:szCs w:val="36"/>
          <w:highlight w:val="none"/>
        </w:rPr>
        <w:fldChar w:fldCharType="separate"/>
      </w:r>
      <w:r>
        <w:rPr>
          <w:rFonts w:hint="eastAsia"/>
          <w:color w:val="auto"/>
          <w:sz w:val="22"/>
          <w:szCs w:val="28"/>
          <w:highlight w:val="none"/>
        </w:rPr>
        <w:t>4.2咨询人的违约责任</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_Toc15731 \h </w:instrText>
      </w:r>
      <w:r>
        <w:rPr>
          <w:color w:val="auto"/>
          <w:sz w:val="22"/>
          <w:szCs w:val="28"/>
          <w:highlight w:val="none"/>
        </w:rPr>
        <w:fldChar w:fldCharType="separate"/>
      </w:r>
      <w:r>
        <w:rPr>
          <w:color w:val="auto"/>
          <w:sz w:val="22"/>
          <w:szCs w:val="28"/>
          <w:highlight w:val="none"/>
        </w:rPr>
        <w:t>40</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18"/>
        <w:tabs>
          <w:tab w:val="right" w:leader="dot" w:pos="9070"/>
        </w:tabs>
        <w:spacing w:line="360" w:lineRule="auto"/>
        <w:ind w:left="432"/>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_Toc26453 </w:instrText>
      </w:r>
      <w:r>
        <w:rPr>
          <w:rFonts w:hint="eastAsia" w:ascii="宋体" w:hAnsi="宋体" w:cs="宋体"/>
          <w:color w:val="auto"/>
          <w:sz w:val="22"/>
          <w:szCs w:val="36"/>
          <w:highlight w:val="none"/>
        </w:rPr>
        <w:fldChar w:fldCharType="separate"/>
      </w:r>
      <w:r>
        <w:rPr>
          <w:rFonts w:hint="eastAsia" w:ascii="Arial" w:hAnsi="Arial"/>
          <w:color w:val="auto"/>
          <w:sz w:val="22"/>
          <w:szCs w:val="28"/>
          <w:highlight w:val="none"/>
        </w:rPr>
        <w:t>5.支付</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_Toc26453 \h </w:instrText>
      </w:r>
      <w:r>
        <w:rPr>
          <w:color w:val="auto"/>
          <w:sz w:val="22"/>
          <w:szCs w:val="28"/>
          <w:highlight w:val="none"/>
        </w:rPr>
        <w:fldChar w:fldCharType="separate"/>
      </w:r>
      <w:r>
        <w:rPr>
          <w:color w:val="auto"/>
          <w:sz w:val="22"/>
          <w:szCs w:val="28"/>
          <w:highlight w:val="none"/>
        </w:rPr>
        <w:t>40</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_Toc12138 </w:instrText>
      </w:r>
      <w:r>
        <w:rPr>
          <w:rFonts w:hint="eastAsia" w:ascii="宋体" w:hAnsi="宋体" w:cs="宋体"/>
          <w:color w:val="auto"/>
          <w:sz w:val="22"/>
          <w:szCs w:val="36"/>
          <w:highlight w:val="none"/>
        </w:rPr>
        <w:fldChar w:fldCharType="separate"/>
      </w:r>
      <w:r>
        <w:rPr>
          <w:rFonts w:hint="eastAsia"/>
          <w:color w:val="auto"/>
          <w:sz w:val="22"/>
          <w:szCs w:val="28"/>
          <w:highlight w:val="none"/>
        </w:rPr>
        <w:t>5.1支付货币</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_Toc12138 \h </w:instrText>
      </w:r>
      <w:r>
        <w:rPr>
          <w:color w:val="auto"/>
          <w:sz w:val="22"/>
          <w:szCs w:val="28"/>
          <w:highlight w:val="none"/>
        </w:rPr>
        <w:fldChar w:fldCharType="separate"/>
      </w:r>
      <w:r>
        <w:rPr>
          <w:color w:val="auto"/>
          <w:sz w:val="22"/>
          <w:szCs w:val="28"/>
          <w:highlight w:val="none"/>
        </w:rPr>
        <w:t>40</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_Toc6766 </w:instrText>
      </w:r>
      <w:r>
        <w:rPr>
          <w:rFonts w:hint="eastAsia" w:ascii="宋体" w:hAnsi="宋体" w:cs="宋体"/>
          <w:color w:val="auto"/>
          <w:sz w:val="22"/>
          <w:szCs w:val="36"/>
          <w:highlight w:val="none"/>
        </w:rPr>
        <w:fldChar w:fldCharType="separate"/>
      </w:r>
      <w:r>
        <w:rPr>
          <w:rFonts w:hint="eastAsia"/>
          <w:color w:val="auto"/>
          <w:sz w:val="22"/>
          <w:szCs w:val="28"/>
          <w:highlight w:val="none"/>
        </w:rPr>
        <w:t>5.2支付申请</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_Toc6766 \h </w:instrText>
      </w:r>
      <w:r>
        <w:rPr>
          <w:color w:val="auto"/>
          <w:sz w:val="22"/>
          <w:szCs w:val="28"/>
          <w:highlight w:val="none"/>
        </w:rPr>
        <w:fldChar w:fldCharType="separate"/>
      </w:r>
      <w:r>
        <w:rPr>
          <w:color w:val="auto"/>
          <w:sz w:val="22"/>
          <w:szCs w:val="28"/>
          <w:highlight w:val="none"/>
        </w:rPr>
        <w:t>40</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_Toc4686 </w:instrText>
      </w:r>
      <w:r>
        <w:rPr>
          <w:rFonts w:hint="eastAsia" w:ascii="宋体" w:hAnsi="宋体" w:cs="宋体"/>
          <w:color w:val="auto"/>
          <w:sz w:val="22"/>
          <w:szCs w:val="36"/>
          <w:highlight w:val="none"/>
        </w:rPr>
        <w:fldChar w:fldCharType="separate"/>
      </w:r>
      <w:r>
        <w:rPr>
          <w:rFonts w:hint="eastAsia"/>
          <w:color w:val="auto"/>
          <w:sz w:val="22"/>
          <w:szCs w:val="28"/>
          <w:highlight w:val="none"/>
        </w:rPr>
        <w:t>5.3 支付酬金</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_Toc4686 \h </w:instrText>
      </w:r>
      <w:r>
        <w:rPr>
          <w:color w:val="auto"/>
          <w:sz w:val="22"/>
          <w:szCs w:val="28"/>
          <w:highlight w:val="none"/>
        </w:rPr>
        <w:fldChar w:fldCharType="separate"/>
      </w:r>
      <w:r>
        <w:rPr>
          <w:color w:val="auto"/>
          <w:sz w:val="22"/>
          <w:szCs w:val="28"/>
          <w:highlight w:val="none"/>
        </w:rPr>
        <w:t>40</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_Toc14295 </w:instrText>
      </w:r>
      <w:r>
        <w:rPr>
          <w:rFonts w:hint="eastAsia" w:ascii="宋体" w:hAnsi="宋体" w:cs="宋体"/>
          <w:color w:val="auto"/>
          <w:sz w:val="22"/>
          <w:szCs w:val="36"/>
          <w:highlight w:val="none"/>
        </w:rPr>
        <w:fldChar w:fldCharType="separate"/>
      </w:r>
      <w:r>
        <w:rPr>
          <w:rFonts w:hint="eastAsia"/>
          <w:color w:val="auto"/>
          <w:sz w:val="22"/>
          <w:szCs w:val="28"/>
          <w:highlight w:val="none"/>
        </w:rPr>
        <w:t>5.4有异议部分的支付</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_Toc14295 \h </w:instrText>
      </w:r>
      <w:r>
        <w:rPr>
          <w:color w:val="auto"/>
          <w:sz w:val="22"/>
          <w:szCs w:val="28"/>
          <w:highlight w:val="none"/>
        </w:rPr>
        <w:fldChar w:fldCharType="separate"/>
      </w:r>
      <w:r>
        <w:rPr>
          <w:color w:val="auto"/>
          <w:sz w:val="22"/>
          <w:szCs w:val="28"/>
          <w:highlight w:val="none"/>
        </w:rPr>
        <w:t>40</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18"/>
        <w:tabs>
          <w:tab w:val="right" w:leader="dot" w:pos="9070"/>
        </w:tabs>
        <w:spacing w:line="360" w:lineRule="auto"/>
        <w:ind w:left="432"/>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_Toc14322 </w:instrText>
      </w:r>
      <w:r>
        <w:rPr>
          <w:rFonts w:hint="eastAsia" w:ascii="宋体" w:hAnsi="宋体" w:cs="宋体"/>
          <w:color w:val="auto"/>
          <w:sz w:val="22"/>
          <w:szCs w:val="36"/>
          <w:highlight w:val="none"/>
        </w:rPr>
        <w:fldChar w:fldCharType="separate"/>
      </w:r>
      <w:r>
        <w:rPr>
          <w:rFonts w:hint="eastAsia" w:ascii="Arial" w:hAnsi="Arial"/>
          <w:color w:val="auto"/>
          <w:sz w:val="22"/>
          <w:szCs w:val="28"/>
          <w:highlight w:val="none"/>
        </w:rPr>
        <w:t>6.合同变更、解除与终止</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_Toc14322 \h </w:instrText>
      </w:r>
      <w:r>
        <w:rPr>
          <w:color w:val="auto"/>
          <w:sz w:val="22"/>
          <w:szCs w:val="28"/>
          <w:highlight w:val="none"/>
        </w:rPr>
        <w:fldChar w:fldCharType="separate"/>
      </w:r>
      <w:r>
        <w:rPr>
          <w:color w:val="auto"/>
          <w:sz w:val="22"/>
          <w:szCs w:val="28"/>
          <w:highlight w:val="none"/>
        </w:rPr>
        <w:t>40</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_Toc23786 </w:instrText>
      </w:r>
      <w:r>
        <w:rPr>
          <w:rFonts w:hint="eastAsia" w:ascii="宋体" w:hAnsi="宋体" w:cs="宋体"/>
          <w:color w:val="auto"/>
          <w:sz w:val="22"/>
          <w:szCs w:val="36"/>
          <w:highlight w:val="none"/>
        </w:rPr>
        <w:fldChar w:fldCharType="separate"/>
      </w:r>
      <w:r>
        <w:rPr>
          <w:rFonts w:hint="eastAsia"/>
          <w:color w:val="auto"/>
          <w:sz w:val="22"/>
          <w:szCs w:val="28"/>
          <w:highlight w:val="none"/>
        </w:rPr>
        <w:t>6.1合同变更</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_Toc23786 \h </w:instrText>
      </w:r>
      <w:r>
        <w:rPr>
          <w:color w:val="auto"/>
          <w:sz w:val="22"/>
          <w:szCs w:val="28"/>
          <w:highlight w:val="none"/>
        </w:rPr>
        <w:fldChar w:fldCharType="separate"/>
      </w:r>
      <w:r>
        <w:rPr>
          <w:color w:val="auto"/>
          <w:sz w:val="22"/>
          <w:szCs w:val="28"/>
          <w:highlight w:val="none"/>
        </w:rPr>
        <w:t>40</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_Toc22483 </w:instrText>
      </w:r>
      <w:r>
        <w:rPr>
          <w:rFonts w:hint="eastAsia" w:ascii="宋体" w:hAnsi="宋体" w:cs="宋体"/>
          <w:color w:val="auto"/>
          <w:sz w:val="22"/>
          <w:szCs w:val="36"/>
          <w:highlight w:val="none"/>
        </w:rPr>
        <w:fldChar w:fldCharType="separate"/>
      </w:r>
      <w:r>
        <w:rPr>
          <w:rFonts w:hint="eastAsia"/>
          <w:color w:val="auto"/>
          <w:sz w:val="22"/>
          <w:szCs w:val="28"/>
          <w:highlight w:val="none"/>
        </w:rPr>
        <w:t>6.2合同解除</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_Toc22483 \h </w:instrText>
      </w:r>
      <w:r>
        <w:rPr>
          <w:color w:val="auto"/>
          <w:sz w:val="22"/>
          <w:szCs w:val="28"/>
          <w:highlight w:val="none"/>
        </w:rPr>
        <w:fldChar w:fldCharType="separate"/>
      </w:r>
      <w:r>
        <w:rPr>
          <w:color w:val="auto"/>
          <w:sz w:val="22"/>
          <w:szCs w:val="28"/>
          <w:highlight w:val="none"/>
        </w:rPr>
        <w:t>41</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_Toc23706 </w:instrText>
      </w:r>
      <w:r>
        <w:rPr>
          <w:rFonts w:hint="eastAsia" w:ascii="宋体" w:hAnsi="宋体" w:cs="宋体"/>
          <w:color w:val="auto"/>
          <w:sz w:val="22"/>
          <w:szCs w:val="36"/>
          <w:highlight w:val="none"/>
        </w:rPr>
        <w:fldChar w:fldCharType="separate"/>
      </w:r>
      <w:r>
        <w:rPr>
          <w:rFonts w:hint="eastAsia"/>
          <w:color w:val="auto"/>
          <w:sz w:val="22"/>
          <w:szCs w:val="28"/>
          <w:highlight w:val="none"/>
        </w:rPr>
        <w:t>6.3 合同终止</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_Toc23706 \h </w:instrText>
      </w:r>
      <w:r>
        <w:rPr>
          <w:color w:val="auto"/>
          <w:sz w:val="22"/>
          <w:szCs w:val="28"/>
          <w:highlight w:val="none"/>
        </w:rPr>
        <w:fldChar w:fldCharType="separate"/>
      </w:r>
      <w:r>
        <w:rPr>
          <w:color w:val="auto"/>
          <w:sz w:val="22"/>
          <w:szCs w:val="28"/>
          <w:highlight w:val="none"/>
        </w:rPr>
        <w:t>41</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18"/>
        <w:tabs>
          <w:tab w:val="right" w:leader="dot" w:pos="9070"/>
        </w:tabs>
        <w:spacing w:line="360" w:lineRule="auto"/>
        <w:ind w:left="432"/>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_Toc5365 </w:instrText>
      </w:r>
      <w:r>
        <w:rPr>
          <w:rFonts w:hint="eastAsia" w:ascii="宋体" w:hAnsi="宋体" w:cs="宋体"/>
          <w:color w:val="auto"/>
          <w:sz w:val="22"/>
          <w:szCs w:val="36"/>
          <w:highlight w:val="none"/>
        </w:rPr>
        <w:fldChar w:fldCharType="separate"/>
      </w:r>
      <w:r>
        <w:rPr>
          <w:rFonts w:hint="eastAsia"/>
          <w:color w:val="auto"/>
          <w:sz w:val="22"/>
          <w:szCs w:val="28"/>
          <w:highlight w:val="none"/>
        </w:rPr>
        <w:t>7.争议解决</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_Toc5365 \h </w:instrText>
      </w:r>
      <w:r>
        <w:rPr>
          <w:color w:val="auto"/>
          <w:sz w:val="22"/>
          <w:szCs w:val="28"/>
          <w:highlight w:val="none"/>
        </w:rPr>
        <w:fldChar w:fldCharType="separate"/>
      </w:r>
      <w:r>
        <w:rPr>
          <w:color w:val="auto"/>
          <w:sz w:val="22"/>
          <w:szCs w:val="28"/>
          <w:highlight w:val="none"/>
        </w:rPr>
        <w:t>41</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_Toc25155 </w:instrText>
      </w:r>
      <w:r>
        <w:rPr>
          <w:rFonts w:hint="eastAsia" w:ascii="宋体" w:hAnsi="宋体" w:cs="宋体"/>
          <w:color w:val="auto"/>
          <w:sz w:val="22"/>
          <w:szCs w:val="36"/>
          <w:highlight w:val="none"/>
        </w:rPr>
        <w:fldChar w:fldCharType="separate"/>
      </w:r>
      <w:r>
        <w:rPr>
          <w:rFonts w:hint="eastAsia" w:ascii="宋体" w:hAnsi="宋体" w:cs="宋体"/>
          <w:color w:val="auto"/>
          <w:sz w:val="22"/>
          <w:szCs w:val="28"/>
          <w:highlight w:val="none"/>
        </w:rPr>
        <w:t>7.1协商</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_Toc25155 \h </w:instrText>
      </w:r>
      <w:r>
        <w:rPr>
          <w:color w:val="auto"/>
          <w:sz w:val="22"/>
          <w:szCs w:val="28"/>
          <w:highlight w:val="none"/>
        </w:rPr>
        <w:fldChar w:fldCharType="separate"/>
      </w:r>
      <w:r>
        <w:rPr>
          <w:color w:val="auto"/>
          <w:sz w:val="22"/>
          <w:szCs w:val="28"/>
          <w:highlight w:val="none"/>
        </w:rPr>
        <w:t>41</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_Toc30695 </w:instrText>
      </w:r>
      <w:r>
        <w:rPr>
          <w:rFonts w:hint="eastAsia" w:ascii="宋体" w:hAnsi="宋体" w:cs="宋体"/>
          <w:color w:val="auto"/>
          <w:sz w:val="22"/>
          <w:szCs w:val="36"/>
          <w:highlight w:val="none"/>
        </w:rPr>
        <w:fldChar w:fldCharType="separate"/>
      </w:r>
      <w:r>
        <w:rPr>
          <w:rFonts w:hint="eastAsia" w:ascii="宋体" w:hAnsi="宋体" w:cs="宋体"/>
          <w:color w:val="auto"/>
          <w:sz w:val="22"/>
          <w:szCs w:val="28"/>
          <w:highlight w:val="none"/>
        </w:rPr>
        <w:t>7.2调解</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_Toc30695 \h </w:instrText>
      </w:r>
      <w:r>
        <w:rPr>
          <w:color w:val="auto"/>
          <w:sz w:val="22"/>
          <w:szCs w:val="28"/>
          <w:highlight w:val="none"/>
        </w:rPr>
        <w:fldChar w:fldCharType="separate"/>
      </w:r>
      <w:r>
        <w:rPr>
          <w:color w:val="auto"/>
          <w:sz w:val="22"/>
          <w:szCs w:val="28"/>
          <w:highlight w:val="none"/>
        </w:rPr>
        <w:t>42</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_Toc23615 </w:instrText>
      </w:r>
      <w:r>
        <w:rPr>
          <w:rFonts w:hint="eastAsia" w:ascii="宋体" w:hAnsi="宋体" w:cs="宋体"/>
          <w:color w:val="auto"/>
          <w:sz w:val="22"/>
          <w:szCs w:val="36"/>
          <w:highlight w:val="none"/>
        </w:rPr>
        <w:fldChar w:fldCharType="separate"/>
      </w:r>
      <w:r>
        <w:rPr>
          <w:rFonts w:hint="eastAsia" w:ascii="宋体" w:hAnsi="宋体" w:cs="宋体"/>
          <w:color w:val="auto"/>
          <w:sz w:val="22"/>
          <w:szCs w:val="28"/>
          <w:highlight w:val="none"/>
        </w:rPr>
        <w:t>7.3仲裁或诉讼</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_Toc23615 \h </w:instrText>
      </w:r>
      <w:r>
        <w:rPr>
          <w:color w:val="auto"/>
          <w:sz w:val="22"/>
          <w:szCs w:val="28"/>
          <w:highlight w:val="none"/>
        </w:rPr>
        <w:fldChar w:fldCharType="separate"/>
      </w:r>
      <w:r>
        <w:rPr>
          <w:color w:val="auto"/>
          <w:sz w:val="22"/>
          <w:szCs w:val="28"/>
          <w:highlight w:val="none"/>
        </w:rPr>
        <w:t>42</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18"/>
        <w:tabs>
          <w:tab w:val="right" w:leader="dot" w:pos="9070"/>
        </w:tabs>
        <w:spacing w:line="360" w:lineRule="auto"/>
        <w:ind w:left="432"/>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_Toc9628 </w:instrText>
      </w:r>
      <w:r>
        <w:rPr>
          <w:rFonts w:hint="eastAsia" w:ascii="宋体" w:hAnsi="宋体" w:cs="宋体"/>
          <w:color w:val="auto"/>
          <w:sz w:val="22"/>
          <w:szCs w:val="36"/>
          <w:highlight w:val="none"/>
        </w:rPr>
        <w:fldChar w:fldCharType="separate"/>
      </w:r>
      <w:r>
        <w:rPr>
          <w:rFonts w:hint="eastAsia"/>
          <w:color w:val="auto"/>
          <w:sz w:val="22"/>
          <w:szCs w:val="28"/>
          <w:highlight w:val="none"/>
        </w:rPr>
        <w:t>8.</w:t>
      </w:r>
      <w:r>
        <w:rPr>
          <w:rFonts w:hint="eastAsia" w:ascii="Arial" w:hAnsi="Arial"/>
          <w:color w:val="auto"/>
          <w:sz w:val="22"/>
          <w:szCs w:val="28"/>
          <w:highlight w:val="none"/>
        </w:rPr>
        <w:t>其他</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_Toc9628 \h </w:instrText>
      </w:r>
      <w:r>
        <w:rPr>
          <w:color w:val="auto"/>
          <w:sz w:val="22"/>
          <w:szCs w:val="28"/>
          <w:highlight w:val="none"/>
        </w:rPr>
        <w:fldChar w:fldCharType="separate"/>
      </w:r>
      <w:r>
        <w:rPr>
          <w:color w:val="auto"/>
          <w:sz w:val="22"/>
          <w:szCs w:val="28"/>
          <w:highlight w:val="none"/>
        </w:rPr>
        <w:t>42</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_Toc29638 </w:instrText>
      </w:r>
      <w:r>
        <w:rPr>
          <w:rFonts w:hint="eastAsia" w:ascii="宋体" w:hAnsi="宋体" w:cs="宋体"/>
          <w:color w:val="auto"/>
          <w:sz w:val="22"/>
          <w:szCs w:val="36"/>
          <w:highlight w:val="none"/>
        </w:rPr>
        <w:fldChar w:fldCharType="separate"/>
      </w:r>
      <w:r>
        <w:rPr>
          <w:rFonts w:hint="eastAsia"/>
          <w:color w:val="auto"/>
          <w:sz w:val="22"/>
          <w:szCs w:val="28"/>
          <w:highlight w:val="none"/>
        </w:rPr>
        <w:t>8.1考察及相关费用</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_Toc29638 \h </w:instrText>
      </w:r>
      <w:r>
        <w:rPr>
          <w:color w:val="auto"/>
          <w:sz w:val="22"/>
          <w:szCs w:val="28"/>
          <w:highlight w:val="none"/>
        </w:rPr>
        <w:fldChar w:fldCharType="separate"/>
      </w:r>
      <w:r>
        <w:rPr>
          <w:color w:val="auto"/>
          <w:sz w:val="22"/>
          <w:szCs w:val="28"/>
          <w:highlight w:val="none"/>
        </w:rPr>
        <w:t>42</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_Toc8754 </w:instrText>
      </w:r>
      <w:r>
        <w:rPr>
          <w:rFonts w:hint="eastAsia" w:ascii="宋体" w:hAnsi="宋体" w:cs="宋体"/>
          <w:color w:val="auto"/>
          <w:sz w:val="22"/>
          <w:szCs w:val="36"/>
          <w:highlight w:val="none"/>
        </w:rPr>
        <w:fldChar w:fldCharType="separate"/>
      </w:r>
      <w:r>
        <w:rPr>
          <w:rFonts w:hint="eastAsia"/>
          <w:color w:val="auto"/>
          <w:sz w:val="22"/>
          <w:szCs w:val="28"/>
          <w:highlight w:val="none"/>
        </w:rPr>
        <w:t>8.2奖励</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_Toc8754 \h </w:instrText>
      </w:r>
      <w:r>
        <w:rPr>
          <w:color w:val="auto"/>
          <w:sz w:val="22"/>
          <w:szCs w:val="28"/>
          <w:highlight w:val="none"/>
        </w:rPr>
        <w:fldChar w:fldCharType="separate"/>
      </w:r>
      <w:r>
        <w:rPr>
          <w:color w:val="auto"/>
          <w:sz w:val="22"/>
          <w:szCs w:val="28"/>
          <w:highlight w:val="none"/>
        </w:rPr>
        <w:t>42</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_Toc17698 </w:instrText>
      </w:r>
      <w:r>
        <w:rPr>
          <w:rFonts w:hint="eastAsia" w:ascii="宋体" w:hAnsi="宋体" w:cs="宋体"/>
          <w:color w:val="auto"/>
          <w:sz w:val="22"/>
          <w:szCs w:val="36"/>
          <w:highlight w:val="none"/>
        </w:rPr>
        <w:fldChar w:fldCharType="separate"/>
      </w:r>
      <w:r>
        <w:rPr>
          <w:rFonts w:hint="eastAsia"/>
          <w:color w:val="auto"/>
          <w:sz w:val="22"/>
          <w:szCs w:val="28"/>
          <w:highlight w:val="none"/>
        </w:rPr>
        <w:t>8.3保密</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_Toc17698 \h </w:instrText>
      </w:r>
      <w:r>
        <w:rPr>
          <w:color w:val="auto"/>
          <w:sz w:val="22"/>
          <w:szCs w:val="28"/>
          <w:highlight w:val="none"/>
        </w:rPr>
        <w:fldChar w:fldCharType="separate"/>
      </w:r>
      <w:r>
        <w:rPr>
          <w:color w:val="auto"/>
          <w:sz w:val="22"/>
          <w:szCs w:val="28"/>
          <w:highlight w:val="none"/>
        </w:rPr>
        <w:t>42</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_Toc9960 </w:instrText>
      </w:r>
      <w:r>
        <w:rPr>
          <w:rFonts w:hint="eastAsia" w:ascii="宋体" w:hAnsi="宋体" w:cs="宋体"/>
          <w:color w:val="auto"/>
          <w:sz w:val="22"/>
          <w:szCs w:val="36"/>
          <w:highlight w:val="none"/>
        </w:rPr>
        <w:fldChar w:fldCharType="separate"/>
      </w:r>
      <w:r>
        <w:rPr>
          <w:rFonts w:hint="eastAsia"/>
          <w:color w:val="auto"/>
          <w:sz w:val="22"/>
          <w:szCs w:val="28"/>
          <w:highlight w:val="none"/>
        </w:rPr>
        <w:t>8.4联络</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_Toc9960 \h </w:instrText>
      </w:r>
      <w:r>
        <w:rPr>
          <w:color w:val="auto"/>
          <w:sz w:val="22"/>
          <w:szCs w:val="28"/>
          <w:highlight w:val="none"/>
        </w:rPr>
        <w:fldChar w:fldCharType="separate"/>
      </w:r>
      <w:r>
        <w:rPr>
          <w:color w:val="auto"/>
          <w:sz w:val="22"/>
          <w:szCs w:val="28"/>
          <w:highlight w:val="none"/>
        </w:rPr>
        <w:t>42</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_Toc25156 </w:instrText>
      </w:r>
      <w:r>
        <w:rPr>
          <w:rFonts w:hint="eastAsia" w:ascii="宋体" w:hAnsi="宋体" w:cs="宋体"/>
          <w:color w:val="auto"/>
          <w:sz w:val="22"/>
          <w:szCs w:val="36"/>
          <w:highlight w:val="none"/>
        </w:rPr>
        <w:fldChar w:fldCharType="separate"/>
      </w:r>
      <w:r>
        <w:rPr>
          <w:rFonts w:hint="eastAsia"/>
          <w:color w:val="auto"/>
          <w:sz w:val="22"/>
          <w:szCs w:val="28"/>
          <w:highlight w:val="none"/>
        </w:rPr>
        <w:t>8.5知识产权</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_Toc25156 \h </w:instrText>
      </w:r>
      <w:r>
        <w:rPr>
          <w:color w:val="auto"/>
          <w:sz w:val="22"/>
          <w:szCs w:val="28"/>
          <w:highlight w:val="none"/>
        </w:rPr>
        <w:fldChar w:fldCharType="separate"/>
      </w:r>
      <w:r>
        <w:rPr>
          <w:color w:val="auto"/>
          <w:sz w:val="22"/>
          <w:szCs w:val="28"/>
          <w:highlight w:val="none"/>
        </w:rPr>
        <w:t>42</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13"/>
        <w:tabs>
          <w:tab w:val="right" w:leader="dot" w:pos="9070"/>
        </w:tabs>
        <w:spacing w:line="360" w:lineRule="auto"/>
        <w:ind w:left="324" w:firstLine="773"/>
        <w:rPr>
          <w:color w:val="auto"/>
          <w:sz w:val="32"/>
          <w:szCs w:val="28"/>
          <w:highlight w:val="none"/>
        </w:rPr>
      </w:pPr>
      <w:r>
        <w:rPr>
          <w:rFonts w:hint="eastAsia" w:ascii="宋体" w:hAnsi="宋体" w:cs="宋体"/>
          <w:color w:val="auto"/>
          <w:sz w:val="32"/>
          <w:szCs w:val="36"/>
          <w:highlight w:val="none"/>
        </w:rPr>
        <w:fldChar w:fldCharType="begin"/>
      </w:r>
      <w:r>
        <w:rPr>
          <w:rFonts w:hint="eastAsia" w:ascii="宋体" w:hAnsi="宋体" w:cs="宋体"/>
          <w:color w:val="auto"/>
          <w:sz w:val="32"/>
          <w:szCs w:val="36"/>
          <w:highlight w:val="none"/>
        </w:rPr>
        <w:instrText xml:space="preserve"> HYPERLINK \l _Toc3281 </w:instrText>
      </w:r>
      <w:r>
        <w:rPr>
          <w:rFonts w:hint="eastAsia" w:ascii="宋体" w:hAnsi="宋体" w:cs="宋体"/>
          <w:color w:val="auto"/>
          <w:sz w:val="32"/>
          <w:szCs w:val="36"/>
          <w:highlight w:val="none"/>
        </w:rPr>
        <w:fldChar w:fldCharType="separate"/>
      </w:r>
      <w:r>
        <w:rPr>
          <w:rFonts w:hint="eastAsia"/>
          <w:color w:val="auto"/>
          <w:sz w:val="32"/>
          <w:szCs w:val="32"/>
          <w:highlight w:val="none"/>
        </w:rPr>
        <w:t>第三部分　专用条件</w:t>
      </w:r>
      <w:r>
        <w:rPr>
          <w:color w:val="auto"/>
          <w:sz w:val="32"/>
          <w:szCs w:val="28"/>
          <w:highlight w:val="none"/>
        </w:rPr>
        <w:tab/>
      </w:r>
      <w:r>
        <w:rPr>
          <w:color w:val="auto"/>
          <w:sz w:val="32"/>
          <w:szCs w:val="28"/>
          <w:highlight w:val="none"/>
        </w:rPr>
        <w:fldChar w:fldCharType="begin"/>
      </w:r>
      <w:r>
        <w:rPr>
          <w:color w:val="auto"/>
          <w:sz w:val="32"/>
          <w:szCs w:val="28"/>
          <w:highlight w:val="none"/>
        </w:rPr>
        <w:instrText xml:space="preserve"> PAGEREF _Toc3281 \h </w:instrText>
      </w:r>
      <w:r>
        <w:rPr>
          <w:color w:val="auto"/>
          <w:sz w:val="32"/>
          <w:szCs w:val="28"/>
          <w:highlight w:val="none"/>
        </w:rPr>
        <w:fldChar w:fldCharType="separate"/>
      </w:r>
      <w:r>
        <w:rPr>
          <w:color w:val="auto"/>
          <w:sz w:val="32"/>
          <w:szCs w:val="28"/>
          <w:highlight w:val="none"/>
        </w:rPr>
        <w:t>44</w:t>
      </w:r>
      <w:r>
        <w:rPr>
          <w:color w:val="auto"/>
          <w:sz w:val="32"/>
          <w:szCs w:val="28"/>
          <w:highlight w:val="none"/>
        </w:rPr>
        <w:fldChar w:fldCharType="end"/>
      </w:r>
      <w:r>
        <w:rPr>
          <w:rFonts w:hint="eastAsia" w:ascii="宋体" w:hAnsi="宋体" w:cs="宋体"/>
          <w:color w:val="auto"/>
          <w:sz w:val="32"/>
          <w:szCs w:val="36"/>
          <w:highlight w:val="none"/>
        </w:rPr>
        <w:fldChar w:fldCharType="end"/>
      </w:r>
    </w:p>
    <w:p>
      <w:pPr>
        <w:pStyle w:val="18"/>
        <w:tabs>
          <w:tab w:val="right" w:leader="dot" w:pos="9070"/>
        </w:tabs>
        <w:spacing w:line="360" w:lineRule="auto"/>
        <w:ind w:left="432"/>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_Toc15162 </w:instrText>
      </w:r>
      <w:r>
        <w:rPr>
          <w:rFonts w:hint="eastAsia" w:ascii="宋体" w:hAnsi="宋体" w:cs="宋体"/>
          <w:color w:val="auto"/>
          <w:sz w:val="22"/>
          <w:szCs w:val="36"/>
          <w:highlight w:val="none"/>
        </w:rPr>
        <w:fldChar w:fldCharType="separate"/>
      </w:r>
      <w:r>
        <w:rPr>
          <w:rFonts w:hint="eastAsia"/>
          <w:color w:val="auto"/>
          <w:sz w:val="22"/>
          <w:szCs w:val="28"/>
          <w:highlight w:val="none"/>
        </w:rPr>
        <w:t>1.词语定义、语言、解释顺序与适用法律</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_Toc15162 \h </w:instrText>
      </w:r>
      <w:r>
        <w:rPr>
          <w:color w:val="auto"/>
          <w:sz w:val="22"/>
          <w:szCs w:val="28"/>
          <w:highlight w:val="none"/>
        </w:rPr>
        <w:fldChar w:fldCharType="separate"/>
      </w:r>
      <w:r>
        <w:rPr>
          <w:color w:val="auto"/>
          <w:sz w:val="22"/>
          <w:szCs w:val="28"/>
          <w:highlight w:val="none"/>
        </w:rPr>
        <w:t>44</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_Toc6657 </w:instrText>
      </w:r>
      <w:r>
        <w:rPr>
          <w:rFonts w:hint="eastAsia" w:ascii="宋体" w:hAnsi="宋体" w:cs="宋体"/>
          <w:color w:val="auto"/>
          <w:sz w:val="22"/>
          <w:szCs w:val="36"/>
          <w:highlight w:val="none"/>
        </w:rPr>
        <w:fldChar w:fldCharType="separate"/>
      </w:r>
      <w:r>
        <w:rPr>
          <w:rFonts w:hint="eastAsia"/>
          <w:color w:val="auto"/>
          <w:sz w:val="22"/>
          <w:szCs w:val="28"/>
          <w:highlight w:val="none"/>
        </w:rPr>
        <w:t>1.1 语言</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_Toc6657 \h </w:instrText>
      </w:r>
      <w:r>
        <w:rPr>
          <w:color w:val="auto"/>
          <w:sz w:val="22"/>
          <w:szCs w:val="28"/>
          <w:highlight w:val="none"/>
        </w:rPr>
        <w:fldChar w:fldCharType="separate"/>
      </w:r>
      <w:r>
        <w:rPr>
          <w:color w:val="auto"/>
          <w:sz w:val="22"/>
          <w:szCs w:val="28"/>
          <w:highlight w:val="none"/>
        </w:rPr>
        <w:t>44</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_Toc8982 </w:instrText>
      </w:r>
      <w:r>
        <w:rPr>
          <w:rFonts w:hint="eastAsia" w:ascii="宋体" w:hAnsi="宋体" w:cs="宋体"/>
          <w:color w:val="auto"/>
          <w:sz w:val="22"/>
          <w:szCs w:val="36"/>
          <w:highlight w:val="none"/>
        </w:rPr>
        <w:fldChar w:fldCharType="separate"/>
      </w:r>
      <w:r>
        <w:rPr>
          <w:rFonts w:hint="eastAsia"/>
          <w:color w:val="auto"/>
          <w:sz w:val="22"/>
          <w:szCs w:val="28"/>
          <w:highlight w:val="none"/>
        </w:rPr>
        <w:t>1.2合同文件的优先顺序</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_Toc8982 \h </w:instrText>
      </w:r>
      <w:r>
        <w:rPr>
          <w:color w:val="auto"/>
          <w:sz w:val="22"/>
          <w:szCs w:val="28"/>
          <w:highlight w:val="none"/>
        </w:rPr>
        <w:fldChar w:fldCharType="separate"/>
      </w:r>
      <w:r>
        <w:rPr>
          <w:color w:val="auto"/>
          <w:sz w:val="22"/>
          <w:szCs w:val="28"/>
          <w:highlight w:val="none"/>
        </w:rPr>
        <w:t>44</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_Toc11595 </w:instrText>
      </w:r>
      <w:r>
        <w:rPr>
          <w:rFonts w:hint="eastAsia" w:ascii="宋体" w:hAnsi="宋体" w:cs="宋体"/>
          <w:color w:val="auto"/>
          <w:sz w:val="22"/>
          <w:szCs w:val="36"/>
          <w:highlight w:val="none"/>
        </w:rPr>
        <w:fldChar w:fldCharType="separate"/>
      </w:r>
      <w:r>
        <w:rPr>
          <w:rFonts w:hint="eastAsia"/>
          <w:color w:val="auto"/>
          <w:sz w:val="22"/>
          <w:szCs w:val="28"/>
          <w:highlight w:val="none"/>
        </w:rPr>
        <w:t>1.3适用法律</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_Toc11595 \h </w:instrText>
      </w:r>
      <w:r>
        <w:rPr>
          <w:color w:val="auto"/>
          <w:sz w:val="22"/>
          <w:szCs w:val="28"/>
          <w:highlight w:val="none"/>
        </w:rPr>
        <w:fldChar w:fldCharType="separate"/>
      </w:r>
      <w:r>
        <w:rPr>
          <w:color w:val="auto"/>
          <w:sz w:val="22"/>
          <w:szCs w:val="28"/>
          <w:highlight w:val="none"/>
        </w:rPr>
        <w:t>44</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18"/>
        <w:tabs>
          <w:tab w:val="right" w:leader="dot" w:pos="9070"/>
        </w:tabs>
        <w:spacing w:line="360" w:lineRule="auto"/>
        <w:ind w:left="432"/>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_Toc7489 </w:instrText>
      </w:r>
      <w:r>
        <w:rPr>
          <w:rFonts w:hint="eastAsia" w:ascii="宋体" w:hAnsi="宋体" w:cs="宋体"/>
          <w:color w:val="auto"/>
          <w:sz w:val="22"/>
          <w:szCs w:val="36"/>
          <w:highlight w:val="none"/>
        </w:rPr>
        <w:fldChar w:fldCharType="separate"/>
      </w:r>
      <w:r>
        <w:rPr>
          <w:rFonts w:hint="eastAsia"/>
          <w:color w:val="auto"/>
          <w:sz w:val="22"/>
          <w:szCs w:val="28"/>
          <w:highlight w:val="none"/>
        </w:rPr>
        <w:t>2.委托人的义务</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_Toc7489 \h </w:instrText>
      </w:r>
      <w:r>
        <w:rPr>
          <w:color w:val="auto"/>
          <w:sz w:val="22"/>
          <w:szCs w:val="28"/>
          <w:highlight w:val="none"/>
        </w:rPr>
        <w:fldChar w:fldCharType="separate"/>
      </w:r>
      <w:r>
        <w:rPr>
          <w:color w:val="auto"/>
          <w:sz w:val="22"/>
          <w:szCs w:val="28"/>
          <w:highlight w:val="none"/>
        </w:rPr>
        <w:t>44</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_Toc25803 </w:instrText>
      </w:r>
      <w:r>
        <w:rPr>
          <w:rFonts w:hint="eastAsia" w:ascii="宋体" w:hAnsi="宋体" w:cs="宋体"/>
          <w:color w:val="auto"/>
          <w:sz w:val="22"/>
          <w:szCs w:val="36"/>
          <w:highlight w:val="none"/>
        </w:rPr>
        <w:fldChar w:fldCharType="separate"/>
      </w:r>
      <w:r>
        <w:rPr>
          <w:rFonts w:hint="eastAsia"/>
          <w:color w:val="auto"/>
          <w:sz w:val="22"/>
          <w:szCs w:val="28"/>
          <w:highlight w:val="none"/>
        </w:rPr>
        <w:t>2.1提供资料</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_Toc25803 \h </w:instrText>
      </w:r>
      <w:r>
        <w:rPr>
          <w:color w:val="auto"/>
          <w:sz w:val="22"/>
          <w:szCs w:val="28"/>
          <w:highlight w:val="none"/>
        </w:rPr>
        <w:fldChar w:fldCharType="separate"/>
      </w:r>
      <w:r>
        <w:rPr>
          <w:color w:val="auto"/>
          <w:sz w:val="22"/>
          <w:szCs w:val="28"/>
          <w:highlight w:val="none"/>
        </w:rPr>
        <w:t>44</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_Toc15965 </w:instrText>
      </w:r>
      <w:r>
        <w:rPr>
          <w:rFonts w:hint="eastAsia" w:ascii="宋体" w:hAnsi="宋体" w:cs="宋体"/>
          <w:color w:val="auto"/>
          <w:sz w:val="22"/>
          <w:szCs w:val="36"/>
          <w:highlight w:val="none"/>
        </w:rPr>
        <w:fldChar w:fldCharType="separate"/>
      </w:r>
      <w:r>
        <w:rPr>
          <w:rFonts w:hint="eastAsia"/>
          <w:color w:val="auto"/>
          <w:sz w:val="22"/>
          <w:szCs w:val="28"/>
          <w:highlight w:val="none"/>
        </w:rPr>
        <w:t>2.2提供工作条件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_Toc15965 \h </w:instrText>
      </w:r>
      <w:r>
        <w:rPr>
          <w:color w:val="auto"/>
          <w:sz w:val="22"/>
          <w:szCs w:val="28"/>
          <w:highlight w:val="none"/>
        </w:rPr>
        <w:fldChar w:fldCharType="separate"/>
      </w:r>
      <w:r>
        <w:rPr>
          <w:color w:val="auto"/>
          <w:sz w:val="22"/>
          <w:szCs w:val="28"/>
          <w:highlight w:val="none"/>
        </w:rPr>
        <w:t>44</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_Toc32199 </w:instrText>
      </w:r>
      <w:r>
        <w:rPr>
          <w:rFonts w:hint="eastAsia" w:ascii="宋体" w:hAnsi="宋体" w:cs="宋体"/>
          <w:color w:val="auto"/>
          <w:sz w:val="22"/>
          <w:szCs w:val="36"/>
          <w:highlight w:val="none"/>
        </w:rPr>
        <w:fldChar w:fldCharType="separate"/>
      </w:r>
      <w:r>
        <w:rPr>
          <w:rFonts w:hint="eastAsia"/>
          <w:color w:val="auto"/>
          <w:sz w:val="22"/>
          <w:szCs w:val="28"/>
          <w:highlight w:val="none"/>
        </w:rPr>
        <w:t>2.3委托人代表</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_Toc32199 \h </w:instrText>
      </w:r>
      <w:r>
        <w:rPr>
          <w:color w:val="auto"/>
          <w:sz w:val="22"/>
          <w:szCs w:val="28"/>
          <w:highlight w:val="none"/>
        </w:rPr>
        <w:fldChar w:fldCharType="separate"/>
      </w:r>
      <w:r>
        <w:rPr>
          <w:color w:val="auto"/>
          <w:sz w:val="22"/>
          <w:szCs w:val="28"/>
          <w:highlight w:val="none"/>
        </w:rPr>
        <w:t>44</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_Toc1301 </w:instrText>
      </w:r>
      <w:r>
        <w:rPr>
          <w:rFonts w:hint="eastAsia" w:ascii="宋体" w:hAnsi="宋体" w:cs="宋体"/>
          <w:color w:val="auto"/>
          <w:sz w:val="22"/>
          <w:szCs w:val="36"/>
          <w:highlight w:val="none"/>
        </w:rPr>
        <w:fldChar w:fldCharType="separate"/>
      </w:r>
      <w:r>
        <w:rPr>
          <w:rFonts w:hint="eastAsia"/>
          <w:color w:val="auto"/>
          <w:sz w:val="22"/>
          <w:szCs w:val="28"/>
          <w:highlight w:val="none"/>
        </w:rPr>
        <w:t>2.4答复</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_Toc1301 \h </w:instrText>
      </w:r>
      <w:r>
        <w:rPr>
          <w:color w:val="auto"/>
          <w:sz w:val="22"/>
          <w:szCs w:val="28"/>
          <w:highlight w:val="none"/>
        </w:rPr>
        <w:fldChar w:fldCharType="separate"/>
      </w:r>
      <w:r>
        <w:rPr>
          <w:color w:val="auto"/>
          <w:sz w:val="22"/>
          <w:szCs w:val="28"/>
          <w:highlight w:val="none"/>
        </w:rPr>
        <w:t>44</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18"/>
        <w:tabs>
          <w:tab w:val="right" w:leader="dot" w:pos="9070"/>
        </w:tabs>
        <w:spacing w:line="360" w:lineRule="auto"/>
        <w:ind w:left="432"/>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_Toc24761 </w:instrText>
      </w:r>
      <w:r>
        <w:rPr>
          <w:rFonts w:hint="eastAsia" w:ascii="宋体" w:hAnsi="宋体" w:cs="宋体"/>
          <w:color w:val="auto"/>
          <w:sz w:val="22"/>
          <w:szCs w:val="36"/>
          <w:highlight w:val="none"/>
        </w:rPr>
        <w:fldChar w:fldCharType="separate"/>
      </w:r>
      <w:r>
        <w:rPr>
          <w:rFonts w:hint="eastAsia"/>
          <w:color w:val="auto"/>
          <w:sz w:val="22"/>
          <w:szCs w:val="28"/>
          <w:highlight w:val="none"/>
        </w:rPr>
        <w:t>3.咨询人的义务</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_Toc24761 \h </w:instrText>
      </w:r>
      <w:r>
        <w:rPr>
          <w:color w:val="auto"/>
          <w:sz w:val="22"/>
          <w:szCs w:val="28"/>
          <w:highlight w:val="none"/>
        </w:rPr>
        <w:fldChar w:fldCharType="separate"/>
      </w:r>
      <w:r>
        <w:rPr>
          <w:color w:val="auto"/>
          <w:sz w:val="22"/>
          <w:szCs w:val="28"/>
          <w:highlight w:val="none"/>
        </w:rPr>
        <w:t>44</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_Toc29326 </w:instrText>
      </w:r>
      <w:r>
        <w:rPr>
          <w:rFonts w:hint="eastAsia" w:ascii="宋体" w:hAnsi="宋体" w:cs="宋体"/>
          <w:color w:val="auto"/>
          <w:sz w:val="22"/>
          <w:szCs w:val="36"/>
          <w:highlight w:val="none"/>
        </w:rPr>
        <w:fldChar w:fldCharType="separate"/>
      </w:r>
      <w:r>
        <w:rPr>
          <w:rFonts w:hint="eastAsia"/>
          <w:color w:val="auto"/>
          <w:sz w:val="22"/>
          <w:szCs w:val="28"/>
          <w:highlight w:val="none"/>
        </w:rPr>
        <w:t>3.1项目咨询团队及人员</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_Toc29326 \h </w:instrText>
      </w:r>
      <w:r>
        <w:rPr>
          <w:color w:val="auto"/>
          <w:sz w:val="22"/>
          <w:szCs w:val="28"/>
          <w:highlight w:val="none"/>
        </w:rPr>
        <w:fldChar w:fldCharType="separate"/>
      </w:r>
      <w:r>
        <w:rPr>
          <w:color w:val="auto"/>
          <w:sz w:val="22"/>
          <w:szCs w:val="28"/>
          <w:highlight w:val="none"/>
        </w:rPr>
        <w:t>44</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_Toc8828 </w:instrText>
      </w:r>
      <w:r>
        <w:rPr>
          <w:rFonts w:hint="eastAsia" w:ascii="宋体" w:hAnsi="宋体" w:cs="宋体"/>
          <w:color w:val="auto"/>
          <w:sz w:val="22"/>
          <w:szCs w:val="36"/>
          <w:highlight w:val="none"/>
        </w:rPr>
        <w:fldChar w:fldCharType="separate"/>
      </w:r>
      <w:r>
        <w:rPr>
          <w:rFonts w:hint="eastAsia"/>
          <w:color w:val="auto"/>
          <w:sz w:val="22"/>
          <w:szCs w:val="28"/>
          <w:highlight w:val="none"/>
        </w:rPr>
        <w:t>3.2咨询人的工作要求</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_Toc8828 \h </w:instrText>
      </w:r>
      <w:r>
        <w:rPr>
          <w:color w:val="auto"/>
          <w:sz w:val="22"/>
          <w:szCs w:val="28"/>
          <w:highlight w:val="none"/>
        </w:rPr>
        <w:fldChar w:fldCharType="separate"/>
      </w:r>
      <w:r>
        <w:rPr>
          <w:color w:val="auto"/>
          <w:sz w:val="22"/>
          <w:szCs w:val="28"/>
          <w:highlight w:val="none"/>
        </w:rPr>
        <w:t>44</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_Toc10079 </w:instrText>
      </w:r>
      <w:r>
        <w:rPr>
          <w:rFonts w:hint="eastAsia" w:ascii="宋体" w:hAnsi="宋体" w:cs="宋体"/>
          <w:color w:val="auto"/>
          <w:sz w:val="22"/>
          <w:szCs w:val="36"/>
          <w:highlight w:val="none"/>
        </w:rPr>
        <w:fldChar w:fldCharType="separate"/>
      </w:r>
      <w:r>
        <w:rPr>
          <w:rFonts w:hint="eastAsia"/>
          <w:color w:val="auto"/>
          <w:sz w:val="22"/>
          <w:szCs w:val="28"/>
          <w:highlight w:val="none"/>
        </w:rPr>
        <w:t>3.3咨询人的工作依据</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_Toc10079 \h </w:instrText>
      </w:r>
      <w:r>
        <w:rPr>
          <w:color w:val="auto"/>
          <w:sz w:val="22"/>
          <w:szCs w:val="28"/>
          <w:highlight w:val="none"/>
        </w:rPr>
        <w:fldChar w:fldCharType="separate"/>
      </w:r>
      <w:r>
        <w:rPr>
          <w:color w:val="auto"/>
          <w:sz w:val="22"/>
          <w:szCs w:val="28"/>
          <w:highlight w:val="none"/>
        </w:rPr>
        <w:t>45</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_Toc19430 </w:instrText>
      </w:r>
      <w:r>
        <w:rPr>
          <w:rFonts w:hint="eastAsia" w:ascii="宋体" w:hAnsi="宋体" w:cs="宋体"/>
          <w:color w:val="auto"/>
          <w:sz w:val="22"/>
          <w:szCs w:val="36"/>
          <w:highlight w:val="none"/>
        </w:rPr>
        <w:fldChar w:fldCharType="separate"/>
      </w:r>
      <w:r>
        <w:rPr>
          <w:rFonts w:hint="eastAsia"/>
          <w:color w:val="auto"/>
          <w:sz w:val="22"/>
          <w:szCs w:val="28"/>
          <w:highlight w:val="none"/>
        </w:rPr>
        <w:t>3.4使用委托人房屋及设备的返还</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_Toc19430 \h </w:instrText>
      </w:r>
      <w:r>
        <w:rPr>
          <w:color w:val="auto"/>
          <w:sz w:val="22"/>
          <w:szCs w:val="28"/>
          <w:highlight w:val="none"/>
        </w:rPr>
        <w:fldChar w:fldCharType="separate"/>
      </w:r>
      <w:r>
        <w:rPr>
          <w:color w:val="auto"/>
          <w:sz w:val="22"/>
          <w:szCs w:val="28"/>
          <w:highlight w:val="none"/>
        </w:rPr>
        <w:t>45</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18"/>
        <w:tabs>
          <w:tab w:val="right" w:leader="dot" w:pos="9070"/>
        </w:tabs>
        <w:spacing w:line="360" w:lineRule="auto"/>
        <w:ind w:left="432"/>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_Toc12591 </w:instrText>
      </w:r>
      <w:r>
        <w:rPr>
          <w:rFonts w:hint="eastAsia" w:ascii="宋体" w:hAnsi="宋体" w:cs="宋体"/>
          <w:color w:val="auto"/>
          <w:sz w:val="22"/>
          <w:szCs w:val="36"/>
          <w:highlight w:val="none"/>
        </w:rPr>
        <w:fldChar w:fldCharType="separate"/>
      </w:r>
      <w:r>
        <w:rPr>
          <w:rFonts w:hint="eastAsia"/>
          <w:color w:val="auto"/>
          <w:sz w:val="22"/>
          <w:szCs w:val="28"/>
          <w:highlight w:val="none"/>
        </w:rPr>
        <w:t>4. 违约责任</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_Toc12591 \h </w:instrText>
      </w:r>
      <w:r>
        <w:rPr>
          <w:color w:val="auto"/>
          <w:sz w:val="22"/>
          <w:szCs w:val="28"/>
          <w:highlight w:val="none"/>
        </w:rPr>
        <w:fldChar w:fldCharType="separate"/>
      </w:r>
      <w:r>
        <w:rPr>
          <w:color w:val="auto"/>
          <w:sz w:val="22"/>
          <w:szCs w:val="28"/>
          <w:highlight w:val="none"/>
        </w:rPr>
        <w:t>45</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_Toc872 </w:instrText>
      </w:r>
      <w:r>
        <w:rPr>
          <w:rFonts w:hint="eastAsia" w:ascii="宋体" w:hAnsi="宋体" w:cs="宋体"/>
          <w:color w:val="auto"/>
          <w:sz w:val="22"/>
          <w:szCs w:val="36"/>
          <w:highlight w:val="none"/>
        </w:rPr>
        <w:fldChar w:fldCharType="separate"/>
      </w:r>
      <w:r>
        <w:rPr>
          <w:rFonts w:hint="eastAsia"/>
          <w:color w:val="auto"/>
          <w:sz w:val="22"/>
          <w:szCs w:val="28"/>
          <w:highlight w:val="none"/>
        </w:rPr>
        <w:t>4.1委托人的违约责任</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_Toc872 \h </w:instrText>
      </w:r>
      <w:r>
        <w:rPr>
          <w:color w:val="auto"/>
          <w:sz w:val="22"/>
          <w:szCs w:val="28"/>
          <w:highlight w:val="none"/>
        </w:rPr>
        <w:fldChar w:fldCharType="separate"/>
      </w:r>
      <w:r>
        <w:rPr>
          <w:color w:val="auto"/>
          <w:sz w:val="22"/>
          <w:szCs w:val="28"/>
          <w:highlight w:val="none"/>
        </w:rPr>
        <w:t>45</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_Toc22130 </w:instrText>
      </w:r>
      <w:r>
        <w:rPr>
          <w:rFonts w:hint="eastAsia" w:ascii="宋体" w:hAnsi="宋体" w:cs="宋体"/>
          <w:color w:val="auto"/>
          <w:sz w:val="22"/>
          <w:szCs w:val="36"/>
          <w:highlight w:val="none"/>
        </w:rPr>
        <w:fldChar w:fldCharType="separate"/>
      </w:r>
      <w:r>
        <w:rPr>
          <w:rFonts w:hint="eastAsia"/>
          <w:color w:val="auto"/>
          <w:sz w:val="22"/>
          <w:szCs w:val="28"/>
          <w:highlight w:val="none"/>
        </w:rPr>
        <w:t>4.2咨询人的违约责任</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_Toc22130 \h </w:instrText>
      </w:r>
      <w:r>
        <w:rPr>
          <w:color w:val="auto"/>
          <w:sz w:val="22"/>
          <w:szCs w:val="28"/>
          <w:highlight w:val="none"/>
        </w:rPr>
        <w:fldChar w:fldCharType="separate"/>
      </w:r>
      <w:r>
        <w:rPr>
          <w:color w:val="auto"/>
          <w:sz w:val="22"/>
          <w:szCs w:val="28"/>
          <w:highlight w:val="none"/>
        </w:rPr>
        <w:t>45</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18"/>
        <w:tabs>
          <w:tab w:val="right" w:leader="dot" w:pos="9070"/>
        </w:tabs>
        <w:spacing w:line="360" w:lineRule="auto"/>
        <w:ind w:left="432"/>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_Toc20578 </w:instrText>
      </w:r>
      <w:r>
        <w:rPr>
          <w:rFonts w:hint="eastAsia" w:ascii="宋体" w:hAnsi="宋体" w:cs="宋体"/>
          <w:color w:val="auto"/>
          <w:sz w:val="22"/>
          <w:szCs w:val="36"/>
          <w:highlight w:val="none"/>
        </w:rPr>
        <w:fldChar w:fldCharType="separate"/>
      </w:r>
      <w:r>
        <w:rPr>
          <w:rFonts w:hint="eastAsia" w:ascii="Arial" w:hAnsi="Arial"/>
          <w:color w:val="auto"/>
          <w:sz w:val="22"/>
          <w:szCs w:val="28"/>
          <w:highlight w:val="none"/>
        </w:rPr>
        <w:t>5. 支付</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_Toc20578 \h </w:instrText>
      </w:r>
      <w:r>
        <w:rPr>
          <w:color w:val="auto"/>
          <w:sz w:val="22"/>
          <w:szCs w:val="28"/>
          <w:highlight w:val="none"/>
        </w:rPr>
        <w:fldChar w:fldCharType="separate"/>
      </w:r>
      <w:r>
        <w:rPr>
          <w:color w:val="auto"/>
          <w:sz w:val="22"/>
          <w:szCs w:val="28"/>
          <w:highlight w:val="none"/>
        </w:rPr>
        <w:t>45</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_Toc22747 </w:instrText>
      </w:r>
      <w:r>
        <w:rPr>
          <w:rFonts w:hint="eastAsia" w:ascii="宋体" w:hAnsi="宋体" w:cs="宋体"/>
          <w:color w:val="auto"/>
          <w:sz w:val="22"/>
          <w:szCs w:val="36"/>
          <w:highlight w:val="none"/>
        </w:rPr>
        <w:fldChar w:fldCharType="separate"/>
      </w:r>
      <w:r>
        <w:rPr>
          <w:rFonts w:hint="eastAsia"/>
          <w:color w:val="auto"/>
          <w:sz w:val="22"/>
          <w:szCs w:val="28"/>
          <w:highlight w:val="none"/>
        </w:rPr>
        <w:t>5.1支付货币</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_Toc22747 \h </w:instrText>
      </w:r>
      <w:r>
        <w:rPr>
          <w:color w:val="auto"/>
          <w:sz w:val="22"/>
          <w:szCs w:val="28"/>
          <w:highlight w:val="none"/>
        </w:rPr>
        <w:fldChar w:fldCharType="separate"/>
      </w:r>
      <w:r>
        <w:rPr>
          <w:color w:val="auto"/>
          <w:sz w:val="22"/>
          <w:szCs w:val="28"/>
          <w:highlight w:val="none"/>
        </w:rPr>
        <w:t>45</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_Toc11845 </w:instrText>
      </w:r>
      <w:r>
        <w:rPr>
          <w:rFonts w:hint="eastAsia" w:ascii="宋体" w:hAnsi="宋体" w:cs="宋体"/>
          <w:color w:val="auto"/>
          <w:sz w:val="22"/>
          <w:szCs w:val="36"/>
          <w:highlight w:val="none"/>
        </w:rPr>
        <w:fldChar w:fldCharType="separate"/>
      </w:r>
      <w:r>
        <w:rPr>
          <w:rFonts w:hint="eastAsia"/>
          <w:color w:val="auto"/>
          <w:sz w:val="22"/>
          <w:szCs w:val="28"/>
          <w:highlight w:val="none"/>
        </w:rPr>
        <w:t>5.2 支付申请</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_Toc11845 \h </w:instrText>
      </w:r>
      <w:r>
        <w:rPr>
          <w:color w:val="auto"/>
          <w:sz w:val="22"/>
          <w:szCs w:val="28"/>
          <w:highlight w:val="none"/>
        </w:rPr>
        <w:fldChar w:fldCharType="separate"/>
      </w:r>
      <w:r>
        <w:rPr>
          <w:color w:val="auto"/>
          <w:sz w:val="22"/>
          <w:szCs w:val="28"/>
          <w:highlight w:val="none"/>
        </w:rPr>
        <w:t>45</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_Toc11382 </w:instrText>
      </w:r>
      <w:r>
        <w:rPr>
          <w:rFonts w:hint="eastAsia" w:ascii="宋体" w:hAnsi="宋体" w:cs="宋体"/>
          <w:color w:val="auto"/>
          <w:sz w:val="22"/>
          <w:szCs w:val="36"/>
          <w:highlight w:val="none"/>
        </w:rPr>
        <w:fldChar w:fldCharType="separate"/>
      </w:r>
      <w:r>
        <w:rPr>
          <w:rFonts w:hint="eastAsia"/>
          <w:color w:val="auto"/>
          <w:sz w:val="22"/>
          <w:szCs w:val="28"/>
          <w:highlight w:val="none"/>
        </w:rPr>
        <w:t>5.3支付酬金</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_Toc11382 \h </w:instrText>
      </w:r>
      <w:r>
        <w:rPr>
          <w:color w:val="auto"/>
          <w:sz w:val="22"/>
          <w:szCs w:val="28"/>
          <w:highlight w:val="none"/>
        </w:rPr>
        <w:fldChar w:fldCharType="separate"/>
      </w:r>
      <w:r>
        <w:rPr>
          <w:color w:val="auto"/>
          <w:sz w:val="22"/>
          <w:szCs w:val="28"/>
          <w:highlight w:val="none"/>
        </w:rPr>
        <w:t>45</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18"/>
        <w:tabs>
          <w:tab w:val="right" w:leader="dot" w:pos="9070"/>
        </w:tabs>
        <w:spacing w:line="360" w:lineRule="auto"/>
        <w:ind w:left="432"/>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_Toc5577 </w:instrText>
      </w:r>
      <w:r>
        <w:rPr>
          <w:rFonts w:hint="eastAsia" w:ascii="宋体" w:hAnsi="宋体" w:cs="宋体"/>
          <w:color w:val="auto"/>
          <w:sz w:val="22"/>
          <w:szCs w:val="36"/>
          <w:highlight w:val="none"/>
        </w:rPr>
        <w:fldChar w:fldCharType="separate"/>
      </w:r>
      <w:r>
        <w:rPr>
          <w:rFonts w:hint="eastAsia"/>
          <w:color w:val="auto"/>
          <w:sz w:val="22"/>
          <w:szCs w:val="28"/>
          <w:highlight w:val="none"/>
        </w:rPr>
        <w:t>6. 合同变更、解除与终止</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_Toc5577 \h </w:instrText>
      </w:r>
      <w:r>
        <w:rPr>
          <w:color w:val="auto"/>
          <w:sz w:val="22"/>
          <w:szCs w:val="28"/>
          <w:highlight w:val="none"/>
        </w:rPr>
        <w:fldChar w:fldCharType="separate"/>
      </w:r>
      <w:r>
        <w:rPr>
          <w:color w:val="auto"/>
          <w:sz w:val="22"/>
          <w:szCs w:val="28"/>
          <w:highlight w:val="none"/>
        </w:rPr>
        <w:t>45</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_Toc20620 </w:instrText>
      </w:r>
      <w:r>
        <w:rPr>
          <w:rFonts w:hint="eastAsia" w:ascii="宋体" w:hAnsi="宋体" w:cs="宋体"/>
          <w:color w:val="auto"/>
          <w:sz w:val="22"/>
          <w:szCs w:val="36"/>
          <w:highlight w:val="none"/>
        </w:rPr>
        <w:fldChar w:fldCharType="separate"/>
      </w:r>
      <w:r>
        <w:rPr>
          <w:rFonts w:hint="eastAsia"/>
          <w:color w:val="auto"/>
          <w:sz w:val="22"/>
          <w:szCs w:val="28"/>
          <w:highlight w:val="none"/>
        </w:rPr>
        <w:t>6.1合同变更</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_Toc20620 \h </w:instrText>
      </w:r>
      <w:r>
        <w:rPr>
          <w:color w:val="auto"/>
          <w:sz w:val="22"/>
          <w:szCs w:val="28"/>
          <w:highlight w:val="none"/>
        </w:rPr>
        <w:fldChar w:fldCharType="separate"/>
      </w:r>
      <w:r>
        <w:rPr>
          <w:color w:val="auto"/>
          <w:sz w:val="22"/>
          <w:szCs w:val="28"/>
          <w:highlight w:val="none"/>
        </w:rPr>
        <w:t>46</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_Toc5305 </w:instrText>
      </w:r>
      <w:r>
        <w:rPr>
          <w:rFonts w:hint="eastAsia" w:ascii="宋体" w:hAnsi="宋体" w:cs="宋体"/>
          <w:color w:val="auto"/>
          <w:sz w:val="22"/>
          <w:szCs w:val="36"/>
          <w:highlight w:val="none"/>
        </w:rPr>
        <w:fldChar w:fldCharType="separate"/>
      </w:r>
      <w:r>
        <w:rPr>
          <w:rFonts w:hint="eastAsia"/>
          <w:color w:val="auto"/>
          <w:sz w:val="22"/>
          <w:szCs w:val="28"/>
          <w:highlight w:val="none"/>
        </w:rPr>
        <w:t>6.2合同解除</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_Toc5305 \h </w:instrText>
      </w:r>
      <w:r>
        <w:rPr>
          <w:color w:val="auto"/>
          <w:sz w:val="22"/>
          <w:szCs w:val="28"/>
          <w:highlight w:val="none"/>
        </w:rPr>
        <w:fldChar w:fldCharType="separate"/>
      </w:r>
      <w:r>
        <w:rPr>
          <w:color w:val="auto"/>
          <w:sz w:val="22"/>
          <w:szCs w:val="28"/>
          <w:highlight w:val="none"/>
        </w:rPr>
        <w:t>46</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18"/>
        <w:tabs>
          <w:tab w:val="right" w:leader="dot" w:pos="9070"/>
        </w:tabs>
        <w:spacing w:line="360" w:lineRule="auto"/>
        <w:ind w:left="432"/>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_Toc8389 </w:instrText>
      </w:r>
      <w:r>
        <w:rPr>
          <w:rFonts w:hint="eastAsia" w:ascii="宋体" w:hAnsi="宋体" w:cs="宋体"/>
          <w:color w:val="auto"/>
          <w:sz w:val="22"/>
          <w:szCs w:val="36"/>
          <w:highlight w:val="none"/>
        </w:rPr>
        <w:fldChar w:fldCharType="separate"/>
      </w:r>
      <w:r>
        <w:rPr>
          <w:rFonts w:hint="eastAsia"/>
          <w:color w:val="auto"/>
          <w:sz w:val="22"/>
          <w:szCs w:val="28"/>
          <w:highlight w:val="none"/>
        </w:rPr>
        <w:t>7. 争议解决</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_Toc8389 \h </w:instrText>
      </w:r>
      <w:r>
        <w:rPr>
          <w:color w:val="auto"/>
          <w:sz w:val="22"/>
          <w:szCs w:val="28"/>
          <w:highlight w:val="none"/>
        </w:rPr>
        <w:fldChar w:fldCharType="separate"/>
      </w:r>
      <w:r>
        <w:rPr>
          <w:color w:val="auto"/>
          <w:sz w:val="22"/>
          <w:szCs w:val="28"/>
          <w:highlight w:val="none"/>
        </w:rPr>
        <w:t>46</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_Toc4379 </w:instrText>
      </w:r>
      <w:r>
        <w:rPr>
          <w:rFonts w:hint="eastAsia" w:ascii="宋体" w:hAnsi="宋体" w:cs="宋体"/>
          <w:color w:val="auto"/>
          <w:sz w:val="22"/>
          <w:szCs w:val="36"/>
          <w:highlight w:val="none"/>
        </w:rPr>
        <w:fldChar w:fldCharType="separate"/>
      </w:r>
      <w:r>
        <w:rPr>
          <w:rFonts w:hint="eastAsia"/>
          <w:bCs/>
          <w:color w:val="auto"/>
          <w:sz w:val="22"/>
          <w:szCs w:val="28"/>
          <w:highlight w:val="none"/>
        </w:rPr>
        <w:t>7.1调解</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_Toc4379 \h </w:instrText>
      </w:r>
      <w:r>
        <w:rPr>
          <w:color w:val="auto"/>
          <w:sz w:val="22"/>
          <w:szCs w:val="28"/>
          <w:highlight w:val="none"/>
        </w:rPr>
        <w:fldChar w:fldCharType="separate"/>
      </w:r>
      <w:r>
        <w:rPr>
          <w:color w:val="auto"/>
          <w:sz w:val="22"/>
          <w:szCs w:val="28"/>
          <w:highlight w:val="none"/>
        </w:rPr>
        <w:t>46</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_Toc26650 </w:instrText>
      </w:r>
      <w:r>
        <w:rPr>
          <w:rFonts w:hint="eastAsia" w:ascii="宋体" w:hAnsi="宋体" w:cs="宋体"/>
          <w:color w:val="auto"/>
          <w:sz w:val="22"/>
          <w:szCs w:val="36"/>
          <w:highlight w:val="none"/>
        </w:rPr>
        <w:fldChar w:fldCharType="separate"/>
      </w:r>
      <w:r>
        <w:rPr>
          <w:rFonts w:hint="eastAsia"/>
          <w:bCs/>
          <w:color w:val="auto"/>
          <w:sz w:val="22"/>
          <w:szCs w:val="28"/>
          <w:highlight w:val="none"/>
        </w:rPr>
        <w:t>7.2仲裁或诉讼</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_Toc26650 \h </w:instrText>
      </w:r>
      <w:r>
        <w:rPr>
          <w:color w:val="auto"/>
          <w:sz w:val="22"/>
          <w:szCs w:val="28"/>
          <w:highlight w:val="none"/>
        </w:rPr>
        <w:fldChar w:fldCharType="separate"/>
      </w:r>
      <w:r>
        <w:rPr>
          <w:color w:val="auto"/>
          <w:sz w:val="22"/>
          <w:szCs w:val="28"/>
          <w:highlight w:val="none"/>
        </w:rPr>
        <w:t>46</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18"/>
        <w:tabs>
          <w:tab w:val="right" w:leader="dot" w:pos="9070"/>
        </w:tabs>
        <w:spacing w:line="360" w:lineRule="auto"/>
        <w:ind w:left="432"/>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_Toc31437 </w:instrText>
      </w:r>
      <w:r>
        <w:rPr>
          <w:rFonts w:hint="eastAsia" w:ascii="宋体" w:hAnsi="宋体" w:cs="宋体"/>
          <w:color w:val="auto"/>
          <w:sz w:val="22"/>
          <w:szCs w:val="36"/>
          <w:highlight w:val="none"/>
        </w:rPr>
        <w:fldChar w:fldCharType="separate"/>
      </w:r>
      <w:r>
        <w:rPr>
          <w:rFonts w:hint="eastAsia"/>
          <w:color w:val="auto"/>
          <w:sz w:val="22"/>
          <w:szCs w:val="28"/>
          <w:highlight w:val="none"/>
        </w:rPr>
        <w:t>8. 其他</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_Toc31437 \h </w:instrText>
      </w:r>
      <w:r>
        <w:rPr>
          <w:color w:val="auto"/>
          <w:sz w:val="22"/>
          <w:szCs w:val="28"/>
          <w:highlight w:val="none"/>
        </w:rPr>
        <w:fldChar w:fldCharType="separate"/>
      </w:r>
      <w:r>
        <w:rPr>
          <w:color w:val="auto"/>
          <w:sz w:val="22"/>
          <w:szCs w:val="28"/>
          <w:highlight w:val="none"/>
        </w:rPr>
        <w:t>46</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_Toc3221 </w:instrText>
      </w:r>
      <w:r>
        <w:rPr>
          <w:rFonts w:hint="eastAsia" w:ascii="宋体" w:hAnsi="宋体" w:cs="宋体"/>
          <w:color w:val="auto"/>
          <w:sz w:val="22"/>
          <w:szCs w:val="36"/>
          <w:highlight w:val="none"/>
        </w:rPr>
        <w:fldChar w:fldCharType="separate"/>
      </w:r>
      <w:r>
        <w:rPr>
          <w:rFonts w:hint="eastAsia"/>
          <w:color w:val="auto"/>
          <w:sz w:val="22"/>
          <w:szCs w:val="28"/>
          <w:highlight w:val="none"/>
        </w:rPr>
        <w:t>8.1考察</w:t>
      </w:r>
      <w:r>
        <w:rPr>
          <w:color w:val="auto"/>
          <w:sz w:val="22"/>
          <w:szCs w:val="28"/>
          <w:highlight w:val="none"/>
        </w:rPr>
        <w:t>及相关费用</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_Toc3221 \h </w:instrText>
      </w:r>
      <w:r>
        <w:rPr>
          <w:color w:val="auto"/>
          <w:sz w:val="22"/>
          <w:szCs w:val="28"/>
          <w:highlight w:val="none"/>
        </w:rPr>
        <w:fldChar w:fldCharType="separate"/>
      </w:r>
      <w:r>
        <w:rPr>
          <w:color w:val="auto"/>
          <w:sz w:val="22"/>
          <w:szCs w:val="28"/>
          <w:highlight w:val="none"/>
        </w:rPr>
        <w:t>46</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_Toc1735 </w:instrText>
      </w:r>
      <w:r>
        <w:rPr>
          <w:rFonts w:hint="eastAsia" w:ascii="宋体" w:hAnsi="宋体" w:cs="宋体"/>
          <w:color w:val="auto"/>
          <w:sz w:val="22"/>
          <w:szCs w:val="36"/>
          <w:highlight w:val="none"/>
        </w:rPr>
        <w:fldChar w:fldCharType="separate"/>
      </w:r>
      <w:r>
        <w:rPr>
          <w:rFonts w:hint="eastAsia"/>
          <w:color w:val="auto"/>
          <w:sz w:val="22"/>
          <w:szCs w:val="28"/>
          <w:highlight w:val="none"/>
        </w:rPr>
        <w:t>8.2奖励</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_Toc1735 \h </w:instrText>
      </w:r>
      <w:r>
        <w:rPr>
          <w:color w:val="auto"/>
          <w:sz w:val="22"/>
          <w:szCs w:val="28"/>
          <w:highlight w:val="none"/>
        </w:rPr>
        <w:fldChar w:fldCharType="separate"/>
      </w:r>
      <w:r>
        <w:rPr>
          <w:color w:val="auto"/>
          <w:sz w:val="22"/>
          <w:szCs w:val="28"/>
          <w:highlight w:val="none"/>
        </w:rPr>
        <w:t>46</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_Toc8702 </w:instrText>
      </w:r>
      <w:r>
        <w:rPr>
          <w:rFonts w:hint="eastAsia" w:ascii="宋体" w:hAnsi="宋体" w:cs="宋体"/>
          <w:color w:val="auto"/>
          <w:sz w:val="22"/>
          <w:szCs w:val="36"/>
          <w:highlight w:val="none"/>
        </w:rPr>
        <w:fldChar w:fldCharType="separate"/>
      </w:r>
      <w:r>
        <w:rPr>
          <w:rFonts w:hint="eastAsia"/>
          <w:color w:val="auto"/>
          <w:sz w:val="22"/>
          <w:szCs w:val="28"/>
          <w:highlight w:val="none"/>
        </w:rPr>
        <w:t>8.3保密</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_Toc8702 \h </w:instrText>
      </w:r>
      <w:r>
        <w:rPr>
          <w:color w:val="auto"/>
          <w:sz w:val="22"/>
          <w:szCs w:val="28"/>
          <w:highlight w:val="none"/>
        </w:rPr>
        <w:fldChar w:fldCharType="separate"/>
      </w:r>
      <w:r>
        <w:rPr>
          <w:color w:val="auto"/>
          <w:sz w:val="22"/>
          <w:szCs w:val="28"/>
          <w:highlight w:val="none"/>
        </w:rPr>
        <w:t>46</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_Toc10656 </w:instrText>
      </w:r>
      <w:r>
        <w:rPr>
          <w:rFonts w:hint="eastAsia" w:ascii="宋体" w:hAnsi="宋体" w:cs="宋体"/>
          <w:color w:val="auto"/>
          <w:sz w:val="22"/>
          <w:szCs w:val="36"/>
          <w:highlight w:val="none"/>
        </w:rPr>
        <w:fldChar w:fldCharType="separate"/>
      </w:r>
      <w:r>
        <w:rPr>
          <w:rFonts w:hint="eastAsia"/>
          <w:color w:val="auto"/>
          <w:sz w:val="22"/>
          <w:szCs w:val="28"/>
          <w:highlight w:val="none"/>
        </w:rPr>
        <w:t>8.4联络</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_Toc10656 \h </w:instrText>
      </w:r>
      <w:r>
        <w:rPr>
          <w:color w:val="auto"/>
          <w:sz w:val="22"/>
          <w:szCs w:val="28"/>
          <w:highlight w:val="none"/>
        </w:rPr>
        <w:fldChar w:fldCharType="separate"/>
      </w:r>
      <w:r>
        <w:rPr>
          <w:color w:val="auto"/>
          <w:sz w:val="22"/>
          <w:szCs w:val="28"/>
          <w:highlight w:val="none"/>
        </w:rPr>
        <w:t>46</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9"/>
        <w:tabs>
          <w:tab w:val="right" w:leader="dot" w:pos="9070"/>
        </w:tabs>
        <w:spacing w:line="360" w:lineRule="auto"/>
        <w:ind w:left="864"/>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_Toc25304 </w:instrText>
      </w:r>
      <w:r>
        <w:rPr>
          <w:rFonts w:hint="eastAsia" w:ascii="宋体" w:hAnsi="宋体" w:cs="宋体"/>
          <w:color w:val="auto"/>
          <w:sz w:val="22"/>
          <w:szCs w:val="36"/>
          <w:highlight w:val="none"/>
        </w:rPr>
        <w:fldChar w:fldCharType="separate"/>
      </w:r>
      <w:r>
        <w:rPr>
          <w:rFonts w:hint="eastAsia"/>
          <w:color w:val="auto"/>
          <w:sz w:val="22"/>
          <w:szCs w:val="28"/>
          <w:highlight w:val="none"/>
        </w:rPr>
        <w:t>8.5知识产权</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_Toc25304 \h </w:instrText>
      </w:r>
      <w:r>
        <w:rPr>
          <w:color w:val="auto"/>
          <w:sz w:val="22"/>
          <w:szCs w:val="28"/>
          <w:highlight w:val="none"/>
        </w:rPr>
        <w:fldChar w:fldCharType="separate"/>
      </w:r>
      <w:r>
        <w:rPr>
          <w:color w:val="auto"/>
          <w:sz w:val="22"/>
          <w:szCs w:val="28"/>
          <w:highlight w:val="none"/>
        </w:rPr>
        <w:t>47</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18"/>
        <w:tabs>
          <w:tab w:val="right" w:leader="dot" w:pos="9070"/>
        </w:tabs>
        <w:spacing w:line="360" w:lineRule="auto"/>
        <w:ind w:left="432"/>
        <w:rPr>
          <w:color w:val="auto"/>
          <w:sz w:val="22"/>
          <w:szCs w:val="28"/>
          <w:highlight w:val="none"/>
        </w:rPr>
      </w:pPr>
      <w:r>
        <w:rPr>
          <w:rFonts w:hint="eastAsia" w:ascii="宋体" w:hAnsi="宋体" w:cs="宋体"/>
          <w:color w:val="auto"/>
          <w:sz w:val="22"/>
          <w:szCs w:val="36"/>
          <w:highlight w:val="none"/>
        </w:rPr>
        <w:fldChar w:fldCharType="begin"/>
      </w:r>
      <w:r>
        <w:rPr>
          <w:rFonts w:hint="eastAsia" w:ascii="宋体" w:hAnsi="宋体" w:cs="宋体"/>
          <w:color w:val="auto"/>
          <w:sz w:val="22"/>
          <w:szCs w:val="36"/>
          <w:highlight w:val="none"/>
        </w:rPr>
        <w:instrText xml:space="preserve"> HYPERLINK \l _Toc29449 </w:instrText>
      </w:r>
      <w:r>
        <w:rPr>
          <w:rFonts w:hint="eastAsia" w:ascii="宋体" w:hAnsi="宋体" w:cs="宋体"/>
          <w:color w:val="auto"/>
          <w:sz w:val="22"/>
          <w:szCs w:val="36"/>
          <w:highlight w:val="none"/>
        </w:rPr>
        <w:fldChar w:fldCharType="separate"/>
      </w:r>
      <w:r>
        <w:rPr>
          <w:color w:val="auto"/>
          <w:sz w:val="22"/>
          <w:szCs w:val="28"/>
          <w:highlight w:val="none"/>
        </w:rPr>
        <w:t xml:space="preserve">9. </w:t>
      </w:r>
      <w:r>
        <w:rPr>
          <w:rFonts w:hint="eastAsia"/>
          <w:color w:val="auto"/>
          <w:sz w:val="22"/>
          <w:szCs w:val="28"/>
          <w:highlight w:val="none"/>
        </w:rPr>
        <w:t>补充条款</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_Toc29449 \h </w:instrText>
      </w:r>
      <w:r>
        <w:rPr>
          <w:color w:val="auto"/>
          <w:sz w:val="22"/>
          <w:szCs w:val="28"/>
          <w:highlight w:val="none"/>
        </w:rPr>
        <w:fldChar w:fldCharType="separate"/>
      </w:r>
      <w:r>
        <w:rPr>
          <w:color w:val="auto"/>
          <w:sz w:val="22"/>
          <w:szCs w:val="28"/>
          <w:highlight w:val="none"/>
        </w:rPr>
        <w:t>47</w:t>
      </w:r>
      <w:r>
        <w:rPr>
          <w:color w:val="auto"/>
          <w:sz w:val="22"/>
          <w:szCs w:val="28"/>
          <w:highlight w:val="none"/>
        </w:rPr>
        <w:fldChar w:fldCharType="end"/>
      </w:r>
      <w:r>
        <w:rPr>
          <w:rFonts w:hint="eastAsia" w:ascii="宋体" w:hAnsi="宋体" w:cs="宋体"/>
          <w:color w:val="auto"/>
          <w:sz w:val="22"/>
          <w:szCs w:val="36"/>
          <w:highlight w:val="none"/>
        </w:rPr>
        <w:fldChar w:fldCharType="end"/>
      </w:r>
    </w:p>
    <w:p>
      <w:pPr>
        <w:pStyle w:val="13"/>
        <w:tabs>
          <w:tab w:val="right" w:leader="dot" w:pos="9070"/>
        </w:tabs>
        <w:spacing w:line="360" w:lineRule="auto"/>
        <w:ind w:left="324" w:firstLine="773"/>
        <w:rPr>
          <w:color w:val="auto"/>
          <w:highlight w:val="none"/>
        </w:rPr>
      </w:pPr>
      <w:r>
        <w:rPr>
          <w:rFonts w:hint="eastAsia" w:ascii="宋体" w:hAnsi="宋体" w:cs="宋体"/>
          <w:color w:val="auto"/>
          <w:sz w:val="32"/>
          <w:szCs w:val="36"/>
          <w:highlight w:val="none"/>
        </w:rPr>
        <w:fldChar w:fldCharType="begin"/>
      </w:r>
      <w:r>
        <w:rPr>
          <w:rFonts w:hint="eastAsia" w:ascii="宋体" w:hAnsi="宋体" w:cs="宋体"/>
          <w:color w:val="auto"/>
          <w:sz w:val="32"/>
          <w:szCs w:val="36"/>
          <w:highlight w:val="none"/>
        </w:rPr>
        <w:instrText xml:space="preserve"> HYPERLINK \l _Toc19036 </w:instrText>
      </w:r>
      <w:r>
        <w:rPr>
          <w:rFonts w:hint="eastAsia" w:ascii="宋体" w:hAnsi="宋体" w:cs="宋体"/>
          <w:color w:val="auto"/>
          <w:sz w:val="32"/>
          <w:szCs w:val="36"/>
          <w:highlight w:val="none"/>
        </w:rPr>
        <w:fldChar w:fldCharType="separate"/>
      </w:r>
      <w:r>
        <w:rPr>
          <w:rFonts w:hint="eastAsia"/>
          <w:color w:val="auto"/>
          <w:sz w:val="32"/>
          <w:szCs w:val="28"/>
          <w:highlight w:val="none"/>
        </w:rPr>
        <w:t>附录A 服务范围及工作内容、酬金一览表</w:t>
      </w:r>
      <w:r>
        <w:rPr>
          <w:color w:val="auto"/>
          <w:sz w:val="32"/>
          <w:szCs w:val="28"/>
          <w:highlight w:val="none"/>
        </w:rPr>
        <w:tab/>
      </w:r>
      <w:r>
        <w:rPr>
          <w:color w:val="auto"/>
          <w:sz w:val="32"/>
          <w:szCs w:val="28"/>
          <w:highlight w:val="none"/>
        </w:rPr>
        <w:fldChar w:fldCharType="begin"/>
      </w:r>
      <w:r>
        <w:rPr>
          <w:color w:val="auto"/>
          <w:sz w:val="32"/>
          <w:szCs w:val="28"/>
          <w:highlight w:val="none"/>
        </w:rPr>
        <w:instrText xml:space="preserve"> PAGEREF _Toc19036 \h </w:instrText>
      </w:r>
      <w:r>
        <w:rPr>
          <w:color w:val="auto"/>
          <w:sz w:val="32"/>
          <w:szCs w:val="28"/>
          <w:highlight w:val="none"/>
        </w:rPr>
        <w:fldChar w:fldCharType="separate"/>
      </w:r>
      <w:r>
        <w:rPr>
          <w:color w:val="auto"/>
          <w:sz w:val="32"/>
          <w:szCs w:val="28"/>
          <w:highlight w:val="none"/>
        </w:rPr>
        <w:t>48</w:t>
      </w:r>
      <w:r>
        <w:rPr>
          <w:color w:val="auto"/>
          <w:sz w:val="32"/>
          <w:szCs w:val="28"/>
          <w:highlight w:val="none"/>
        </w:rPr>
        <w:fldChar w:fldCharType="end"/>
      </w:r>
      <w:r>
        <w:rPr>
          <w:rFonts w:hint="eastAsia" w:ascii="宋体" w:hAnsi="宋体" w:cs="宋体"/>
          <w:color w:val="auto"/>
          <w:sz w:val="32"/>
          <w:szCs w:val="36"/>
          <w:highlight w:val="none"/>
        </w:rPr>
        <w:fldChar w:fldCharType="end"/>
      </w:r>
    </w:p>
    <w:p>
      <w:pPr>
        <w:spacing w:line="360" w:lineRule="auto"/>
        <w:rPr>
          <w:rFonts w:ascii="宋体" w:hAnsi="宋体" w:cs="宋体"/>
          <w:b/>
          <w:bCs/>
          <w:color w:val="auto"/>
          <w:kern w:val="44"/>
          <w:sz w:val="32"/>
          <w:szCs w:val="32"/>
          <w:highlight w:val="none"/>
        </w:rPr>
      </w:pPr>
      <w:r>
        <w:rPr>
          <w:rFonts w:hint="eastAsia" w:ascii="宋体" w:hAnsi="宋体" w:cs="宋体"/>
          <w:color w:val="auto"/>
          <w:szCs w:val="32"/>
          <w:highlight w:val="none"/>
        </w:rPr>
        <w:fldChar w:fldCharType="end"/>
      </w:r>
    </w:p>
    <w:p>
      <w:pPr>
        <w:pStyle w:val="15"/>
        <w:ind w:left="432" w:hanging="432"/>
        <w:rPr>
          <w:color w:val="auto"/>
          <w:highlight w:val="none"/>
        </w:rPr>
      </w:pPr>
    </w:p>
    <w:p>
      <w:pPr>
        <w:pStyle w:val="3"/>
        <w:ind w:firstLine="1140" w:firstLineChars="400"/>
        <w:rPr>
          <w:color w:val="auto"/>
          <w:highlight w:val="none"/>
        </w:rPr>
      </w:pPr>
      <w:bookmarkStart w:id="140" w:name="_Toc30613"/>
      <w:bookmarkStart w:id="141" w:name="_Toc422322470"/>
      <w:bookmarkStart w:id="142" w:name="_Toc12416"/>
      <w:bookmarkStart w:id="143" w:name="_Toc2229"/>
      <w:bookmarkStart w:id="144" w:name="_Toc419045055"/>
      <w:bookmarkStart w:id="145" w:name="_Toc18289"/>
      <w:bookmarkStart w:id="146" w:name="_Toc5418"/>
      <w:bookmarkStart w:id="147" w:name="_Toc55272272"/>
      <w:bookmarkStart w:id="148" w:name="_Toc267303149"/>
      <w:bookmarkStart w:id="149" w:name="_Toc267292987"/>
      <w:bookmarkStart w:id="150" w:name="_Toc55272136"/>
      <w:bookmarkStart w:id="151" w:name="_Toc134777794"/>
      <w:r>
        <w:rPr>
          <w:rFonts w:hint="eastAsia"/>
          <w:color w:val="auto"/>
          <w:highlight w:val="none"/>
        </w:rPr>
        <w:t>第一部分　协议书</w:t>
      </w:r>
      <w:bookmarkEnd w:id="140"/>
      <w:bookmarkEnd w:id="141"/>
      <w:bookmarkEnd w:id="142"/>
      <w:bookmarkEnd w:id="143"/>
      <w:bookmarkEnd w:id="144"/>
      <w:bookmarkEnd w:id="145"/>
      <w:bookmarkEnd w:id="146"/>
    </w:p>
    <w:p>
      <w:pPr>
        <w:rPr>
          <w:rFonts w:ascii="宋体" w:hAnsi="宋体" w:cs="宋体"/>
          <w:color w:val="auto"/>
          <w:sz w:val="24"/>
          <w:szCs w:val="32"/>
          <w:highlight w:val="none"/>
          <w:u w:val="single"/>
        </w:rPr>
      </w:pPr>
      <w:bookmarkStart w:id="152" w:name="7"/>
      <w:r>
        <w:rPr>
          <w:rFonts w:hint="eastAsia" w:ascii="宋体" w:hAnsi="宋体" w:cs="宋体"/>
          <w:color w:val="auto"/>
          <w:sz w:val="24"/>
          <w:szCs w:val="32"/>
          <w:highlight w:val="none"/>
        </w:rPr>
        <w:t>委托人（全称）：</w:t>
      </w:r>
      <w:r>
        <w:rPr>
          <w:rFonts w:hint="eastAsia" w:ascii="宋体" w:hAnsi="宋体" w:cs="宋体"/>
          <w:color w:val="auto"/>
          <w:sz w:val="24"/>
          <w:szCs w:val="32"/>
          <w:highlight w:val="none"/>
          <w:u w:val="single"/>
        </w:rPr>
        <w:t xml:space="preserve">                                      </w:t>
      </w:r>
    </w:p>
    <w:p>
      <w:pPr>
        <w:rPr>
          <w:rFonts w:ascii="宋体" w:hAnsi="宋体" w:cs="宋体"/>
          <w:color w:val="auto"/>
          <w:sz w:val="24"/>
          <w:szCs w:val="32"/>
          <w:highlight w:val="none"/>
        </w:rPr>
      </w:pPr>
      <w:r>
        <w:rPr>
          <w:rFonts w:hint="eastAsia" w:ascii="宋体" w:hAnsi="宋体" w:cs="宋体"/>
          <w:color w:val="auto"/>
          <w:sz w:val="24"/>
          <w:szCs w:val="32"/>
          <w:highlight w:val="none"/>
        </w:rPr>
        <w:t>咨询人（全称）：</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w:t>
      </w:r>
    </w:p>
    <w:p>
      <w:pPr>
        <w:rPr>
          <w:rFonts w:ascii="宋体" w:hAnsi="宋体" w:cs="宋体"/>
          <w:color w:val="auto"/>
          <w:sz w:val="24"/>
          <w:szCs w:val="32"/>
          <w:highlight w:val="none"/>
        </w:rPr>
      </w:pPr>
      <w:r>
        <w:rPr>
          <w:rFonts w:hint="eastAsia" w:ascii="宋体" w:hAnsi="宋体" w:cs="宋体"/>
          <w:color w:val="auto"/>
          <w:sz w:val="24"/>
          <w:szCs w:val="32"/>
          <w:highlight w:val="none"/>
        </w:rPr>
        <w:t>根据《</w:t>
      </w:r>
      <w:r>
        <w:rPr>
          <w:rFonts w:hint="eastAsia" w:ascii="宋体" w:hAnsi="宋体" w:cs="宋体"/>
          <w:color w:val="auto"/>
          <w:sz w:val="24"/>
          <w:szCs w:val="32"/>
          <w:highlight w:val="none"/>
        </w:rPr>
        <w:fldChar w:fldCharType="begin"/>
      </w:r>
      <w:r>
        <w:rPr>
          <w:rFonts w:hint="eastAsia" w:ascii="宋体" w:hAnsi="宋体" w:cs="宋体"/>
          <w:color w:val="auto"/>
          <w:sz w:val="24"/>
          <w:szCs w:val="32"/>
          <w:highlight w:val="none"/>
        </w:rPr>
        <w:instrText xml:space="preserve"> HYPERLINK "javascript:SLC(21651,0)" </w:instrText>
      </w:r>
      <w:r>
        <w:rPr>
          <w:rFonts w:hint="eastAsia" w:ascii="宋体" w:hAnsi="宋体" w:cs="宋体"/>
          <w:color w:val="auto"/>
          <w:sz w:val="24"/>
          <w:szCs w:val="32"/>
          <w:highlight w:val="none"/>
        </w:rPr>
        <w:fldChar w:fldCharType="separate"/>
      </w:r>
      <w:r>
        <w:rPr>
          <w:rFonts w:hint="eastAsia" w:ascii="宋体" w:hAnsi="宋体" w:cs="宋体"/>
          <w:color w:val="auto"/>
          <w:sz w:val="24"/>
          <w:szCs w:val="32"/>
          <w:highlight w:val="none"/>
        </w:rPr>
        <w:t>中华人民共和国民</w:t>
      </w:r>
      <w:r>
        <w:rPr>
          <w:rFonts w:hint="eastAsia" w:ascii="宋体" w:hAnsi="宋体" w:cs="宋体"/>
          <w:color w:val="auto"/>
          <w:sz w:val="24"/>
          <w:szCs w:val="32"/>
          <w:highlight w:val="none"/>
        </w:rPr>
        <w:fldChar w:fldCharType="end"/>
      </w:r>
      <w:r>
        <w:rPr>
          <w:rFonts w:hint="eastAsia" w:ascii="宋体" w:hAnsi="宋体" w:cs="宋体"/>
          <w:color w:val="auto"/>
          <w:sz w:val="24"/>
          <w:szCs w:val="32"/>
          <w:highlight w:val="none"/>
        </w:rPr>
        <w:t>法典》及其他有关法律、法规，遵循平等、自愿、公平和诚实信用的原则，双方就下述建设工程委托造价咨询与其他服务事项协商一致，订立本合同。</w:t>
      </w:r>
    </w:p>
    <w:p>
      <w:pPr>
        <w:pStyle w:val="4"/>
        <w:keepLines/>
        <w:numPr>
          <w:ilvl w:val="0"/>
          <w:numId w:val="10"/>
        </w:numPr>
        <w:tabs>
          <w:tab w:val="clear" w:pos="420"/>
        </w:tabs>
        <w:spacing w:before="260" w:after="260" w:line="240" w:lineRule="auto"/>
        <w:ind w:left="0" w:firstLine="0"/>
        <w:rPr>
          <w:color w:val="auto"/>
          <w:sz w:val="28"/>
          <w:szCs w:val="28"/>
          <w:highlight w:val="none"/>
        </w:rPr>
      </w:pPr>
      <w:bookmarkStart w:id="153" w:name="_Toc419045056"/>
      <w:bookmarkStart w:id="154" w:name="_Toc702"/>
      <w:bookmarkStart w:id="155" w:name="_Toc422322471"/>
      <w:bookmarkStart w:id="156" w:name="_Toc19265"/>
      <w:bookmarkStart w:id="157" w:name="_Toc1213"/>
      <w:bookmarkStart w:id="158" w:name="_Toc32290"/>
      <w:bookmarkStart w:id="159" w:name="_Toc9363"/>
      <w:r>
        <w:rPr>
          <w:rFonts w:hint="eastAsia"/>
          <w:color w:val="auto"/>
          <w:sz w:val="28"/>
          <w:szCs w:val="28"/>
          <w:highlight w:val="none"/>
        </w:rPr>
        <w:t>工程</w:t>
      </w:r>
      <w:r>
        <w:rPr>
          <w:color w:val="auto"/>
          <w:sz w:val="28"/>
          <w:szCs w:val="28"/>
          <w:highlight w:val="none"/>
        </w:rPr>
        <w:t>概况</w:t>
      </w:r>
      <w:bookmarkEnd w:id="153"/>
      <w:bookmarkEnd w:id="154"/>
      <w:bookmarkEnd w:id="155"/>
      <w:bookmarkEnd w:id="156"/>
      <w:bookmarkEnd w:id="157"/>
      <w:bookmarkEnd w:id="158"/>
      <w:bookmarkEnd w:id="159"/>
    </w:p>
    <w:p>
      <w:pPr>
        <w:rPr>
          <w:rFonts w:ascii="宋体" w:hAnsi="宋体" w:cs="宋体"/>
          <w:color w:val="auto"/>
          <w:sz w:val="24"/>
          <w:szCs w:val="32"/>
          <w:highlight w:val="none"/>
        </w:rPr>
      </w:pPr>
      <w:r>
        <w:rPr>
          <w:rFonts w:hint="eastAsia" w:ascii="宋体" w:hAnsi="宋体" w:cs="宋体"/>
          <w:color w:val="auto"/>
          <w:sz w:val="24"/>
          <w:szCs w:val="32"/>
          <w:highlight w:val="none"/>
        </w:rPr>
        <w:t>1.工程名称：</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w:t>
      </w:r>
    </w:p>
    <w:p>
      <w:pPr>
        <w:rPr>
          <w:rFonts w:ascii="宋体" w:hAnsi="宋体" w:cs="宋体"/>
          <w:color w:val="auto"/>
          <w:sz w:val="24"/>
          <w:szCs w:val="32"/>
          <w:highlight w:val="none"/>
        </w:rPr>
      </w:pPr>
      <w:r>
        <w:rPr>
          <w:rFonts w:hint="eastAsia" w:ascii="宋体" w:hAnsi="宋体" w:cs="宋体"/>
          <w:color w:val="auto"/>
          <w:sz w:val="24"/>
          <w:szCs w:val="32"/>
          <w:highlight w:val="none"/>
        </w:rPr>
        <w:t>2.工程地点：</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w:t>
      </w:r>
    </w:p>
    <w:p>
      <w:pPr>
        <w:rPr>
          <w:rFonts w:ascii="宋体" w:hAnsi="宋体" w:cs="宋体"/>
          <w:color w:val="auto"/>
          <w:sz w:val="24"/>
          <w:szCs w:val="32"/>
          <w:highlight w:val="none"/>
        </w:rPr>
      </w:pPr>
      <w:r>
        <w:rPr>
          <w:rFonts w:hint="eastAsia" w:ascii="宋体" w:hAnsi="宋体" w:cs="宋体"/>
          <w:color w:val="auto"/>
          <w:sz w:val="24"/>
          <w:szCs w:val="32"/>
          <w:highlight w:val="none"/>
        </w:rPr>
        <w:t>3.工程规模：</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w:t>
      </w:r>
    </w:p>
    <w:p>
      <w:pPr>
        <w:rPr>
          <w:rFonts w:ascii="宋体" w:hAnsi="宋体" w:cs="宋体"/>
          <w:color w:val="auto"/>
          <w:sz w:val="24"/>
          <w:szCs w:val="32"/>
          <w:highlight w:val="none"/>
        </w:rPr>
      </w:pPr>
      <w:r>
        <w:rPr>
          <w:rFonts w:hint="eastAsia" w:ascii="宋体" w:hAnsi="宋体" w:cs="宋体"/>
          <w:color w:val="auto"/>
          <w:sz w:val="24"/>
          <w:szCs w:val="32"/>
          <w:highlight w:val="none"/>
        </w:rPr>
        <w:t>4.投资金额：</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w:t>
      </w:r>
    </w:p>
    <w:p>
      <w:pPr>
        <w:rPr>
          <w:rFonts w:ascii="宋体" w:hAnsi="宋体" w:cs="宋体"/>
          <w:color w:val="auto"/>
          <w:sz w:val="24"/>
          <w:szCs w:val="32"/>
          <w:highlight w:val="none"/>
        </w:rPr>
      </w:pPr>
      <w:r>
        <w:rPr>
          <w:rFonts w:hint="eastAsia" w:ascii="宋体" w:hAnsi="宋体" w:cs="宋体"/>
          <w:color w:val="auto"/>
          <w:sz w:val="24"/>
          <w:szCs w:val="32"/>
          <w:highlight w:val="none"/>
        </w:rPr>
        <w:t>5.资金来源：</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w:t>
      </w:r>
    </w:p>
    <w:p>
      <w:pPr>
        <w:rPr>
          <w:rFonts w:ascii="宋体" w:hAnsi="宋体" w:cs="宋体"/>
          <w:color w:val="auto"/>
          <w:sz w:val="24"/>
          <w:szCs w:val="32"/>
          <w:highlight w:val="none"/>
        </w:rPr>
      </w:pPr>
      <w:r>
        <w:rPr>
          <w:rFonts w:hint="eastAsia" w:ascii="宋体" w:hAnsi="宋体" w:cs="宋体"/>
          <w:color w:val="auto"/>
          <w:sz w:val="24"/>
          <w:szCs w:val="32"/>
          <w:highlight w:val="none"/>
        </w:rPr>
        <w:t>6.建设工期或周期：</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w:t>
      </w:r>
    </w:p>
    <w:p>
      <w:pPr>
        <w:rPr>
          <w:rFonts w:ascii="宋体" w:hAnsi="宋体" w:cs="宋体"/>
          <w:color w:val="auto"/>
          <w:sz w:val="24"/>
          <w:szCs w:val="32"/>
          <w:highlight w:val="none"/>
        </w:rPr>
      </w:pPr>
      <w:r>
        <w:rPr>
          <w:rFonts w:hint="eastAsia" w:ascii="宋体" w:hAnsi="宋体" w:cs="宋体"/>
          <w:color w:val="auto"/>
          <w:sz w:val="24"/>
          <w:szCs w:val="32"/>
          <w:highlight w:val="none"/>
        </w:rPr>
        <w:t>7.其          他：</w:t>
      </w:r>
      <w:r>
        <w:rPr>
          <w:rFonts w:hint="eastAsia" w:ascii="宋体" w:hAnsi="宋体" w:cs="宋体"/>
          <w:color w:val="auto"/>
          <w:sz w:val="24"/>
          <w:szCs w:val="32"/>
          <w:highlight w:val="none"/>
          <w:u w:val="single"/>
        </w:rPr>
        <w:t xml:space="preserve">          /                              </w:t>
      </w:r>
      <w:bookmarkEnd w:id="152"/>
      <w:r>
        <w:rPr>
          <w:rFonts w:hint="eastAsia" w:ascii="宋体" w:hAnsi="宋体" w:cs="宋体"/>
          <w:color w:val="auto"/>
          <w:sz w:val="24"/>
          <w:szCs w:val="32"/>
          <w:highlight w:val="none"/>
          <w:u w:val="single"/>
        </w:rPr>
        <w:t xml:space="preserve"> </w:t>
      </w:r>
    </w:p>
    <w:p>
      <w:pPr>
        <w:pStyle w:val="4"/>
        <w:keepNext w:val="0"/>
        <w:spacing w:line="240" w:lineRule="auto"/>
        <w:rPr>
          <w:color w:val="auto"/>
          <w:sz w:val="28"/>
          <w:szCs w:val="28"/>
          <w:highlight w:val="none"/>
        </w:rPr>
      </w:pPr>
      <w:bookmarkStart w:id="160" w:name="_Toc419045059"/>
      <w:bookmarkStart w:id="161" w:name="_Toc26302"/>
      <w:bookmarkStart w:id="162" w:name="_Toc15610"/>
      <w:bookmarkStart w:id="163" w:name="_Toc422322472"/>
      <w:bookmarkStart w:id="164" w:name="_Toc27385"/>
      <w:bookmarkStart w:id="165" w:name="_Toc4259"/>
      <w:bookmarkStart w:id="166" w:name="_Toc30572"/>
      <w:r>
        <w:rPr>
          <w:rFonts w:hint="eastAsia" w:ascii="Arial" w:hAnsi="Arial"/>
          <w:color w:val="auto"/>
          <w:sz w:val="28"/>
          <w:szCs w:val="28"/>
          <w:highlight w:val="none"/>
        </w:rPr>
        <w:t>二、服务范围及工作内容</w:t>
      </w:r>
      <w:bookmarkEnd w:id="160"/>
      <w:bookmarkEnd w:id="161"/>
      <w:bookmarkEnd w:id="162"/>
      <w:bookmarkEnd w:id="163"/>
      <w:bookmarkEnd w:id="164"/>
      <w:bookmarkEnd w:id="165"/>
      <w:bookmarkEnd w:id="166"/>
    </w:p>
    <w:p>
      <w:pPr>
        <w:rPr>
          <w:rFonts w:ascii="宋体" w:hAnsi="宋体" w:cs="宋体"/>
          <w:color w:val="auto"/>
          <w:sz w:val="24"/>
          <w:highlight w:val="none"/>
        </w:rPr>
      </w:pPr>
      <w:r>
        <w:rPr>
          <w:rFonts w:hint="eastAsia" w:ascii="宋体" w:hAnsi="宋体" w:cs="宋体"/>
          <w:color w:val="auto"/>
          <w:sz w:val="24"/>
          <w:szCs w:val="24"/>
          <w:highlight w:val="none"/>
        </w:rPr>
        <w:t>双方约定的服务范围及工作内容：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pStyle w:val="4"/>
        <w:keepNext w:val="0"/>
        <w:numPr>
          <w:ilvl w:val="0"/>
          <w:numId w:val="11"/>
        </w:numPr>
        <w:tabs>
          <w:tab w:val="clear" w:pos="420"/>
        </w:tabs>
        <w:spacing w:before="260" w:after="260" w:line="240" w:lineRule="auto"/>
        <w:ind w:left="0" w:firstLine="0"/>
        <w:rPr>
          <w:color w:val="auto"/>
          <w:sz w:val="28"/>
          <w:szCs w:val="28"/>
          <w:highlight w:val="none"/>
        </w:rPr>
      </w:pPr>
      <w:bookmarkStart w:id="167" w:name="_Toc422322473"/>
      <w:bookmarkStart w:id="168" w:name="_Toc25950"/>
      <w:bookmarkStart w:id="169" w:name="9"/>
      <w:bookmarkStart w:id="170" w:name="_Toc10894"/>
      <w:bookmarkStart w:id="171" w:name="_Toc419045060"/>
      <w:bookmarkStart w:id="172" w:name="_Toc4334"/>
      <w:bookmarkStart w:id="173" w:name="_Toc23399"/>
      <w:bookmarkStart w:id="174" w:name="_Toc22229"/>
      <w:r>
        <w:rPr>
          <w:rFonts w:hint="eastAsia" w:ascii="Arial" w:hAnsi="Arial"/>
          <w:color w:val="auto"/>
          <w:sz w:val="28"/>
          <w:szCs w:val="28"/>
          <w:highlight w:val="none"/>
        </w:rPr>
        <w:t>服务期限</w:t>
      </w:r>
      <w:bookmarkEnd w:id="167"/>
      <w:bookmarkEnd w:id="168"/>
      <w:bookmarkEnd w:id="169"/>
      <w:bookmarkEnd w:id="170"/>
      <w:bookmarkEnd w:id="171"/>
      <w:bookmarkEnd w:id="172"/>
      <w:bookmarkEnd w:id="173"/>
      <w:bookmarkEnd w:id="174"/>
      <w:bookmarkStart w:id="175" w:name="_Toc422322474"/>
      <w:bookmarkStart w:id="176" w:name="_Toc419045061"/>
    </w:p>
    <w:p>
      <w:pPr>
        <w:pStyle w:val="4"/>
        <w:keepNext w:val="0"/>
        <w:spacing w:line="240" w:lineRule="auto"/>
        <w:rPr>
          <w:rFonts w:ascii="宋体" w:hAnsi="宋体" w:cs="宋体"/>
          <w:b w:val="0"/>
          <w:bCs/>
          <w:color w:val="auto"/>
          <w:highlight w:val="none"/>
        </w:rPr>
      </w:pPr>
      <w:r>
        <w:rPr>
          <w:rFonts w:hint="eastAsia" w:ascii="宋体" w:hAnsi="宋体" w:cs="宋体"/>
          <w:b w:val="0"/>
          <w:color w:val="auto"/>
          <w:highlight w:val="none"/>
        </w:rPr>
        <w:t xml:space="preserve">本合同约定的建设工程造价咨询服务自 </w:t>
      </w:r>
      <w:r>
        <w:rPr>
          <w:rFonts w:hint="eastAsia" w:ascii="宋体" w:hAnsi="宋体" w:cs="宋体"/>
          <w:b w:val="0"/>
          <w:color w:val="auto"/>
          <w:highlight w:val="none"/>
          <w:u w:val="single"/>
        </w:rPr>
        <w:t xml:space="preserve">       </w:t>
      </w:r>
      <w:r>
        <w:rPr>
          <w:rFonts w:hint="eastAsia" w:ascii="宋体" w:hAnsi="宋体" w:cs="宋体"/>
          <w:b w:val="0"/>
          <w:color w:val="auto"/>
          <w:highlight w:val="none"/>
        </w:rPr>
        <w:t xml:space="preserve"> 年</w:t>
      </w:r>
      <w:r>
        <w:rPr>
          <w:rFonts w:hint="eastAsia" w:ascii="宋体" w:hAnsi="宋体" w:cs="宋体"/>
          <w:b w:val="0"/>
          <w:color w:val="auto"/>
          <w:highlight w:val="none"/>
          <w:u w:val="single"/>
        </w:rPr>
        <w:t xml:space="preserve">      </w:t>
      </w:r>
      <w:r>
        <w:rPr>
          <w:rFonts w:hint="eastAsia" w:ascii="宋体" w:hAnsi="宋体" w:cs="宋体"/>
          <w:b w:val="0"/>
          <w:color w:val="auto"/>
          <w:highlight w:val="none"/>
        </w:rPr>
        <w:t>月</w:t>
      </w:r>
      <w:r>
        <w:rPr>
          <w:rFonts w:hint="eastAsia" w:ascii="宋体" w:hAnsi="宋体" w:cs="宋体"/>
          <w:b w:val="0"/>
          <w:color w:val="auto"/>
          <w:highlight w:val="none"/>
          <w:u w:val="single"/>
        </w:rPr>
        <w:t xml:space="preserve">       </w:t>
      </w:r>
      <w:r>
        <w:rPr>
          <w:rFonts w:hint="eastAsia" w:ascii="宋体" w:hAnsi="宋体" w:cs="宋体"/>
          <w:b w:val="0"/>
          <w:color w:val="auto"/>
          <w:highlight w:val="none"/>
        </w:rPr>
        <w:t>日开始实施，至</w:t>
      </w:r>
      <w:r>
        <w:rPr>
          <w:rFonts w:hint="eastAsia" w:ascii="宋体" w:hAnsi="宋体" w:cs="宋体"/>
          <w:b w:val="0"/>
          <w:color w:val="auto"/>
          <w:highlight w:val="none"/>
          <w:u w:val="single"/>
        </w:rPr>
        <w:t xml:space="preserve">        </w:t>
      </w:r>
      <w:r>
        <w:rPr>
          <w:rFonts w:hint="eastAsia" w:ascii="宋体" w:hAnsi="宋体" w:cs="宋体"/>
          <w:b w:val="0"/>
          <w:color w:val="auto"/>
          <w:highlight w:val="none"/>
        </w:rPr>
        <w:t>终结。</w:t>
      </w:r>
    </w:p>
    <w:p>
      <w:pPr>
        <w:pStyle w:val="4"/>
        <w:keepNext w:val="0"/>
        <w:numPr>
          <w:ilvl w:val="0"/>
          <w:numId w:val="11"/>
        </w:numPr>
        <w:tabs>
          <w:tab w:val="clear" w:pos="420"/>
        </w:tabs>
        <w:spacing w:before="260" w:after="260" w:line="240" w:lineRule="auto"/>
        <w:ind w:left="0" w:firstLine="0"/>
        <w:rPr>
          <w:color w:val="auto"/>
          <w:sz w:val="28"/>
          <w:szCs w:val="28"/>
          <w:highlight w:val="none"/>
        </w:rPr>
      </w:pPr>
      <w:bookmarkStart w:id="177" w:name="_Toc2070"/>
      <w:bookmarkStart w:id="178" w:name="_Toc16489"/>
      <w:bookmarkStart w:id="179" w:name="_Toc23915"/>
      <w:bookmarkStart w:id="180" w:name="_Toc23839"/>
      <w:bookmarkStart w:id="181" w:name="_Toc9334"/>
      <w:r>
        <w:rPr>
          <w:rFonts w:hint="eastAsia" w:ascii="Arial" w:hAnsi="Arial"/>
          <w:color w:val="auto"/>
          <w:sz w:val="28"/>
          <w:szCs w:val="28"/>
          <w:highlight w:val="none"/>
        </w:rPr>
        <w:t>质量标准</w:t>
      </w:r>
      <w:bookmarkEnd w:id="175"/>
      <w:bookmarkEnd w:id="176"/>
      <w:bookmarkEnd w:id="177"/>
      <w:bookmarkEnd w:id="178"/>
      <w:bookmarkEnd w:id="179"/>
      <w:bookmarkEnd w:id="180"/>
      <w:bookmarkEnd w:id="181"/>
    </w:p>
    <w:p>
      <w:pPr>
        <w:pStyle w:val="4"/>
        <w:keepNext w:val="0"/>
        <w:spacing w:line="240" w:lineRule="auto"/>
        <w:rPr>
          <w:rFonts w:ascii="宋体" w:hAnsi="宋体" w:cs="宋体"/>
          <w:b w:val="0"/>
          <w:bCs/>
          <w:color w:val="auto"/>
          <w:highlight w:val="none"/>
        </w:rPr>
      </w:pPr>
      <w:r>
        <w:rPr>
          <w:rFonts w:hint="eastAsia" w:ascii="宋体" w:hAnsi="宋体" w:cs="宋体"/>
          <w:b w:val="0"/>
          <w:color w:val="auto"/>
          <w:highlight w:val="none"/>
        </w:rPr>
        <w:t>工程造价咨询成果文件应符合：《建设工程造价咨询成果文件质量标准》CECA/GC7-2012。</w:t>
      </w:r>
    </w:p>
    <w:p>
      <w:pPr>
        <w:pStyle w:val="4"/>
        <w:keepNext w:val="0"/>
        <w:spacing w:line="240" w:lineRule="auto"/>
        <w:rPr>
          <w:color w:val="auto"/>
          <w:highlight w:val="none"/>
        </w:rPr>
      </w:pPr>
      <w:bookmarkStart w:id="182" w:name="_Toc15967"/>
      <w:bookmarkStart w:id="183" w:name="_Toc419045062"/>
      <w:bookmarkStart w:id="184" w:name="_Toc26362"/>
      <w:bookmarkStart w:id="185" w:name="_Toc422322475"/>
      <w:bookmarkStart w:id="186" w:name="_Toc8627"/>
      <w:bookmarkStart w:id="187" w:name="_Toc31018"/>
      <w:bookmarkStart w:id="188" w:name="_Toc12855"/>
      <w:r>
        <w:rPr>
          <w:rFonts w:hint="eastAsia" w:ascii="Arial" w:hAnsi="Arial"/>
          <w:color w:val="auto"/>
          <w:highlight w:val="none"/>
        </w:rPr>
        <w:t>五、</w:t>
      </w:r>
      <w:r>
        <w:rPr>
          <w:rFonts w:hint="eastAsia" w:ascii="Arial" w:hAnsi="Arial"/>
          <w:color w:val="auto"/>
          <w:sz w:val="28"/>
          <w:szCs w:val="28"/>
          <w:highlight w:val="none"/>
        </w:rPr>
        <w:t>酬金或计取方式</w:t>
      </w:r>
      <w:bookmarkEnd w:id="182"/>
      <w:bookmarkEnd w:id="183"/>
      <w:bookmarkEnd w:id="184"/>
      <w:bookmarkEnd w:id="185"/>
      <w:bookmarkEnd w:id="186"/>
      <w:bookmarkEnd w:id="187"/>
      <w:bookmarkEnd w:id="188"/>
    </w:p>
    <w:p>
      <w:pPr>
        <w:ind w:firstLine="600"/>
        <w:rPr>
          <w:rFonts w:ascii="宋体" w:hAnsi="宋体" w:cs="宋体"/>
          <w:color w:val="auto"/>
          <w:sz w:val="24"/>
          <w:highlight w:val="none"/>
        </w:rPr>
      </w:pPr>
      <w:r>
        <w:rPr>
          <w:rFonts w:hint="eastAsia" w:ascii="宋体" w:hAnsi="宋体" w:cs="宋体"/>
          <w:color w:val="auto"/>
          <w:sz w:val="24"/>
          <w:szCs w:val="24"/>
          <w:highlight w:val="none"/>
        </w:rPr>
        <w:t xml:space="preserve">  1.酬金：</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）（含税价）。 </w:t>
      </w:r>
    </w:p>
    <w:p>
      <w:pPr>
        <w:ind w:firstLine="600"/>
        <w:rPr>
          <w:rFonts w:ascii="宋体" w:hAnsi="宋体" w:cs="宋体"/>
          <w:color w:val="auto"/>
          <w:sz w:val="24"/>
          <w:highlight w:val="none"/>
        </w:rPr>
      </w:pPr>
      <w:r>
        <w:rPr>
          <w:rFonts w:hint="eastAsia" w:ascii="宋体" w:hAnsi="宋体" w:cs="宋体"/>
          <w:color w:val="auto"/>
          <w:sz w:val="24"/>
          <w:szCs w:val="24"/>
          <w:highlight w:val="none"/>
        </w:rPr>
        <w:t xml:space="preserve">  2.计取方式：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酬金或计取方式详见附录A。</w:t>
      </w:r>
    </w:p>
    <w:p>
      <w:pPr>
        <w:pStyle w:val="4"/>
        <w:keepNext w:val="0"/>
        <w:spacing w:line="240" w:lineRule="auto"/>
        <w:rPr>
          <w:color w:val="auto"/>
          <w:highlight w:val="none"/>
        </w:rPr>
      </w:pPr>
      <w:bookmarkStart w:id="189" w:name="_Toc2847"/>
      <w:bookmarkStart w:id="190" w:name="_Toc17474"/>
      <w:bookmarkStart w:id="191" w:name="_Toc17273"/>
      <w:bookmarkStart w:id="192" w:name="_Toc419045058"/>
      <w:bookmarkStart w:id="193" w:name="_Toc10138"/>
      <w:bookmarkStart w:id="194" w:name="_Toc4468"/>
      <w:bookmarkStart w:id="195" w:name="_Toc422322476"/>
      <w:r>
        <w:rPr>
          <w:rFonts w:hint="eastAsia"/>
          <w:color w:val="auto"/>
          <w:highlight w:val="none"/>
        </w:rPr>
        <w:t>六、</w:t>
      </w:r>
      <w:r>
        <w:rPr>
          <w:rFonts w:hint="eastAsia"/>
          <w:color w:val="auto"/>
          <w:sz w:val="28"/>
          <w:szCs w:val="28"/>
          <w:highlight w:val="none"/>
        </w:rPr>
        <w:t>合同文件的构成</w:t>
      </w:r>
      <w:bookmarkEnd w:id="189"/>
      <w:bookmarkEnd w:id="190"/>
      <w:bookmarkEnd w:id="191"/>
      <w:bookmarkEnd w:id="192"/>
      <w:bookmarkEnd w:id="193"/>
      <w:bookmarkEnd w:id="194"/>
      <w:bookmarkEnd w:id="195"/>
    </w:p>
    <w:p>
      <w:pPr>
        <w:rPr>
          <w:rFonts w:ascii="宋体" w:hAnsi="宋体" w:cs="宋体"/>
          <w:color w:val="auto"/>
          <w:sz w:val="24"/>
          <w:highlight w:val="none"/>
        </w:rPr>
      </w:pPr>
      <w:r>
        <w:rPr>
          <w:rFonts w:hint="eastAsia" w:ascii="宋体" w:hAnsi="宋体" w:cs="宋体"/>
          <w:color w:val="auto"/>
          <w:sz w:val="24"/>
          <w:szCs w:val="24"/>
          <w:highlight w:val="none"/>
        </w:rPr>
        <w:t>本协议书与下列文件一起构成合同文件:</w:t>
      </w:r>
    </w:p>
    <w:p>
      <w:pPr>
        <w:rPr>
          <w:rFonts w:ascii="宋体" w:hAnsi="宋体" w:cs="宋体"/>
          <w:color w:val="auto"/>
          <w:sz w:val="24"/>
          <w:highlight w:val="none"/>
        </w:rPr>
      </w:pPr>
      <w:r>
        <w:rPr>
          <w:rFonts w:hint="eastAsia" w:ascii="宋体" w:hAnsi="宋体" w:cs="宋体"/>
          <w:color w:val="auto"/>
          <w:sz w:val="24"/>
          <w:szCs w:val="24"/>
          <w:highlight w:val="none"/>
        </w:rPr>
        <w:t>1.中标通知书或委托书（如果有）；</w:t>
      </w:r>
    </w:p>
    <w:p>
      <w:pPr>
        <w:rPr>
          <w:rFonts w:ascii="宋体" w:hAnsi="宋体" w:cs="宋体"/>
          <w:color w:val="auto"/>
          <w:sz w:val="24"/>
          <w:highlight w:val="none"/>
        </w:rPr>
      </w:pPr>
      <w:r>
        <w:rPr>
          <w:rFonts w:hint="eastAsia" w:ascii="宋体" w:hAnsi="宋体" w:cs="宋体"/>
          <w:color w:val="auto"/>
          <w:sz w:val="24"/>
          <w:szCs w:val="24"/>
          <w:highlight w:val="none"/>
        </w:rPr>
        <w:t>2.投标函及投标函附录或造价咨询服务建议书（如果有）；</w:t>
      </w:r>
    </w:p>
    <w:p>
      <w:pPr>
        <w:rPr>
          <w:rFonts w:ascii="宋体" w:hAnsi="宋体" w:cs="宋体"/>
          <w:color w:val="auto"/>
          <w:sz w:val="24"/>
          <w:highlight w:val="none"/>
        </w:rPr>
      </w:pPr>
      <w:r>
        <w:rPr>
          <w:rFonts w:hint="eastAsia" w:ascii="宋体" w:hAnsi="宋体" w:cs="宋体"/>
          <w:color w:val="auto"/>
          <w:sz w:val="24"/>
          <w:szCs w:val="24"/>
          <w:highlight w:val="none"/>
        </w:rPr>
        <w:t>3.专用条件及附录；</w:t>
      </w:r>
    </w:p>
    <w:p>
      <w:pPr>
        <w:rPr>
          <w:rFonts w:ascii="宋体" w:hAnsi="宋体" w:cs="宋体"/>
          <w:color w:val="auto"/>
          <w:sz w:val="24"/>
          <w:highlight w:val="none"/>
        </w:rPr>
      </w:pPr>
      <w:r>
        <w:rPr>
          <w:rFonts w:hint="eastAsia" w:ascii="宋体" w:hAnsi="宋体" w:cs="宋体"/>
          <w:color w:val="auto"/>
          <w:sz w:val="24"/>
          <w:szCs w:val="24"/>
          <w:highlight w:val="none"/>
        </w:rPr>
        <w:t>4.通用条件；</w:t>
      </w:r>
    </w:p>
    <w:p>
      <w:pPr>
        <w:rPr>
          <w:rFonts w:ascii="宋体" w:hAnsi="宋体" w:cs="宋体"/>
          <w:color w:val="auto"/>
          <w:sz w:val="24"/>
          <w:highlight w:val="none"/>
        </w:rPr>
      </w:pPr>
      <w:r>
        <w:rPr>
          <w:rFonts w:hint="eastAsia" w:ascii="宋体" w:hAnsi="宋体" w:cs="宋体"/>
          <w:color w:val="auto"/>
          <w:sz w:val="24"/>
          <w:szCs w:val="24"/>
          <w:highlight w:val="none"/>
        </w:rPr>
        <w:t>5.其他合同文件。</w:t>
      </w:r>
    </w:p>
    <w:p>
      <w:pPr>
        <w:rPr>
          <w:rFonts w:ascii="宋体" w:hAnsi="宋体" w:cs="宋体"/>
          <w:color w:val="auto"/>
          <w:sz w:val="24"/>
          <w:highlight w:val="none"/>
        </w:rPr>
      </w:pPr>
      <w:r>
        <w:rPr>
          <w:rFonts w:hint="eastAsia" w:ascii="宋体" w:hAnsi="宋体" w:cs="宋体"/>
          <w:color w:val="auto"/>
          <w:sz w:val="24"/>
          <w:szCs w:val="24"/>
          <w:highlight w:val="none"/>
        </w:rPr>
        <w:t>上述各项合同文件包括合同当事人就该项合同文件所作出的补充和修改，属于同一类内容的文件，应以最新签署的为准。</w:t>
      </w:r>
    </w:p>
    <w:p>
      <w:pPr>
        <w:rPr>
          <w:rFonts w:ascii="宋体" w:hAnsi="宋体" w:cs="宋体"/>
          <w:color w:val="auto"/>
          <w:sz w:val="24"/>
          <w:highlight w:val="none"/>
        </w:rPr>
      </w:pPr>
      <w:r>
        <w:rPr>
          <w:rFonts w:hint="eastAsia" w:ascii="宋体" w:hAnsi="宋体" w:cs="宋体"/>
          <w:color w:val="auto"/>
          <w:sz w:val="24"/>
          <w:szCs w:val="24"/>
          <w:highlight w:val="none"/>
        </w:rPr>
        <w:t>在合同订立及履行过程中形成的与合同有关的文件（包括补充协议）均构成合同文件的组成部分。</w:t>
      </w:r>
    </w:p>
    <w:p>
      <w:pPr>
        <w:pStyle w:val="4"/>
        <w:keepNext w:val="0"/>
        <w:spacing w:line="240" w:lineRule="auto"/>
        <w:rPr>
          <w:color w:val="auto"/>
          <w:highlight w:val="none"/>
        </w:rPr>
      </w:pPr>
      <w:r>
        <w:rPr>
          <w:rFonts w:hint="eastAsia" w:ascii="宋体" w:hAnsi="宋体" w:cs="宋体"/>
          <w:color w:val="auto"/>
          <w:highlight w:val="none"/>
        </w:rPr>
        <w:t xml:space="preserve"> </w:t>
      </w:r>
      <w:bookmarkStart w:id="196" w:name="_Toc8726"/>
      <w:bookmarkStart w:id="197" w:name="_Toc23601"/>
      <w:bookmarkStart w:id="198" w:name="_Toc6875"/>
      <w:bookmarkStart w:id="199" w:name="_Toc28203"/>
      <w:bookmarkStart w:id="200" w:name="_Toc4438"/>
      <w:r>
        <w:rPr>
          <w:rFonts w:hint="eastAsia" w:ascii="Arial" w:hAnsi="Arial"/>
          <w:color w:val="auto"/>
          <w:highlight w:val="none"/>
        </w:rPr>
        <w:t>七、</w:t>
      </w:r>
      <w:bookmarkStart w:id="201" w:name="8"/>
      <w:r>
        <w:rPr>
          <w:rFonts w:hint="eastAsia" w:ascii="Arial" w:hAnsi="Arial"/>
          <w:color w:val="auto"/>
          <w:sz w:val="28"/>
          <w:szCs w:val="28"/>
          <w:highlight w:val="none"/>
        </w:rPr>
        <w:t>词语定义</w:t>
      </w:r>
      <w:bookmarkEnd w:id="196"/>
      <w:bookmarkEnd w:id="197"/>
      <w:bookmarkEnd w:id="198"/>
      <w:bookmarkEnd w:id="199"/>
      <w:bookmarkEnd w:id="200"/>
    </w:p>
    <w:p>
      <w:pPr>
        <w:ind w:firstLine="490" w:firstLineChars="200"/>
        <w:rPr>
          <w:color w:val="auto"/>
          <w:sz w:val="24"/>
          <w:highlight w:val="none"/>
        </w:rPr>
      </w:pPr>
      <w:r>
        <w:rPr>
          <w:rFonts w:hint="eastAsia"/>
          <w:color w:val="auto"/>
          <w:sz w:val="24"/>
          <w:szCs w:val="24"/>
          <w:highlight w:val="none"/>
        </w:rPr>
        <w:t>协议书中相关词语的含义与通用条件中的定义与解释相同。</w:t>
      </w:r>
      <w:bookmarkEnd w:id="201"/>
    </w:p>
    <w:p>
      <w:pPr>
        <w:pStyle w:val="4"/>
        <w:keepNext w:val="0"/>
        <w:spacing w:line="240" w:lineRule="auto"/>
        <w:rPr>
          <w:rFonts w:ascii="宋体" w:hAnsi="宋体" w:cs="宋体"/>
          <w:color w:val="auto"/>
          <w:highlight w:val="none"/>
        </w:rPr>
      </w:pPr>
      <w:bookmarkStart w:id="202" w:name="_Toc23347"/>
      <w:bookmarkStart w:id="203" w:name="_Toc16110"/>
      <w:bookmarkStart w:id="204" w:name="_Toc2407"/>
      <w:bookmarkStart w:id="205" w:name="_Toc28813"/>
      <w:bookmarkStart w:id="206" w:name="_Toc422322478"/>
      <w:bookmarkStart w:id="207" w:name="_Toc419045063"/>
      <w:bookmarkStart w:id="208" w:name="_Toc15109"/>
      <w:r>
        <w:rPr>
          <w:rFonts w:hint="eastAsia" w:ascii="宋体" w:hAnsi="宋体" w:cs="宋体"/>
          <w:color w:val="auto"/>
          <w:highlight w:val="none"/>
        </w:rPr>
        <w:t>八、</w:t>
      </w:r>
      <w:r>
        <w:rPr>
          <w:rFonts w:hint="eastAsia" w:ascii="Arial" w:hAnsi="Arial"/>
          <w:color w:val="auto"/>
          <w:sz w:val="28"/>
          <w:szCs w:val="28"/>
          <w:highlight w:val="none"/>
        </w:rPr>
        <w:t>合同订立</w:t>
      </w:r>
      <w:bookmarkEnd w:id="202"/>
      <w:bookmarkEnd w:id="203"/>
      <w:bookmarkEnd w:id="204"/>
      <w:bookmarkEnd w:id="205"/>
      <w:bookmarkEnd w:id="206"/>
      <w:bookmarkEnd w:id="207"/>
      <w:bookmarkEnd w:id="208"/>
    </w:p>
    <w:p>
      <w:pPr>
        <w:ind w:firstLine="490" w:firstLineChars="200"/>
        <w:rPr>
          <w:color w:val="auto"/>
          <w:sz w:val="24"/>
          <w:highlight w:val="none"/>
        </w:rPr>
      </w:pPr>
      <w:r>
        <w:rPr>
          <w:rFonts w:hint="eastAsia"/>
          <w:color w:val="auto"/>
          <w:sz w:val="24"/>
          <w:szCs w:val="24"/>
          <w:highlight w:val="none"/>
        </w:rPr>
        <w:t>1.订立时间：</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pPr>
        <w:ind w:firstLine="490" w:firstLineChars="200"/>
        <w:rPr>
          <w:color w:val="auto"/>
          <w:sz w:val="24"/>
          <w:highlight w:val="none"/>
        </w:rPr>
      </w:pPr>
      <w:r>
        <w:rPr>
          <w:rFonts w:hint="eastAsia"/>
          <w:color w:val="auto"/>
          <w:sz w:val="24"/>
          <w:szCs w:val="24"/>
          <w:highlight w:val="none"/>
        </w:rPr>
        <w:t xml:space="preserve">2.订立地点： </w:t>
      </w:r>
      <w:r>
        <w:rPr>
          <w:rFonts w:hint="eastAsia" w:ascii="宋体" w:hAnsi="宋体" w:cs="宋体"/>
          <w:color w:val="auto"/>
          <w:sz w:val="24"/>
          <w:szCs w:val="24"/>
          <w:highlight w:val="none"/>
          <w:u w:val="single"/>
        </w:rPr>
        <w:t xml:space="preserve">        </w:t>
      </w:r>
    </w:p>
    <w:p>
      <w:pPr>
        <w:pStyle w:val="4"/>
        <w:keepNext w:val="0"/>
        <w:spacing w:line="240" w:lineRule="auto"/>
        <w:rPr>
          <w:rFonts w:ascii="宋体" w:hAnsi="宋体" w:cs="宋体"/>
          <w:color w:val="auto"/>
          <w:highlight w:val="none"/>
        </w:rPr>
      </w:pPr>
      <w:bookmarkStart w:id="209" w:name="_Toc422322479"/>
      <w:bookmarkStart w:id="210" w:name="_Toc3108"/>
      <w:bookmarkStart w:id="211" w:name="_Toc9582"/>
      <w:bookmarkStart w:id="212" w:name="_Toc419045064"/>
      <w:bookmarkStart w:id="213" w:name="_Toc10863"/>
      <w:bookmarkStart w:id="214" w:name="_Toc3057"/>
      <w:r>
        <w:rPr>
          <w:rFonts w:hint="eastAsia" w:ascii="宋体" w:hAnsi="宋体" w:cs="宋体"/>
          <w:color w:val="auto"/>
          <w:highlight w:val="none"/>
        </w:rPr>
        <w:t>九、</w:t>
      </w:r>
      <w:r>
        <w:rPr>
          <w:rFonts w:hint="eastAsia" w:ascii="Arial" w:hAnsi="Arial"/>
          <w:color w:val="auto"/>
          <w:sz w:val="28"/>
          <w:szCs w:val="28"/>
          <w:highlight w:val="none"/>
        </w:rPr>
        <w:t>合同生效</w:t>
      </w:r>
      <w:bookmarkEnd w:id="209"/>
      <w:bookmarkEnd w:id="210"/>
      <w:bookmarkEnd w:id="211"/>
      <w:bookmarkEnd w:id="212"/>
      <w:bookmarkEnd w:id="213"/>
      <w:bookmarkEnd w:id="214"/>
    </w:p>
    <w:p>
      <w:pPr>
        <w:spacing w:line="360" w:lineRule="auto"/>
        <w:ind w:firstLine="490" w:firstLineChars="200"/>
        <w:rPr>
          <w:color w:val="auto"/>
          <w:highlight w:val="none"/>
        </w:rPr>
      </w:pPr>
      <w:r>
        <w:rPr>
          <w:rFonts w:hint="eastAsia"/>
          <w:color w:val="auto"/>
          <w:sz w:val="24"/>
          <w:szCs w:val="24"/>
          <w:highlight w:val="none"/>
        </w:rPr>
        <w:t xml:space="preserve">本合同自 </w:t>
      </w:r>
      <w:r>
        <w:rPr>
          <w:rFonts w:hint="eastAsia"/>
          <w:color w:val="auto"/>
          <w:sz w:val="24"/>
          <w:szCs w:val="24"/>
          <w:highlight w:val="none"/>
          <w:u w:val="single"/>
        </w:rPr>
        <w:t>双方法定代表人或授权代表签字并加盖公章后生效</w:t>
      </w:r>
      <w:r>
        <w:rPr>
          <w:rFonts w:hint="eastAsia"/>
          <w:color w:val="auto"/>
          <w:highlight w:val="none"/>
        </w:rPr>
        <w:t xml:space="preserve"> 。</w:t>
      </w:r>
    </w:p>
    <w:p>
      <w:pPr>
        <w:pStyle w:val="4"/>
        <w:keepNext w:val="0"/>
        <w:spacing w:line="240" w:lineRule="auto"/>
        <w:rPr>
          <w:rFonts w:ascii="宋体" w:hAnsi="宋体" w:cs="宋体"/>
          <w:color w:val="auto"/>
          <w:highlight w:val="none"/>
        </w:rPr>
      </w:pPr>
      <w:bookmarkStart w:id="215" w:name="_Toc27504"/>
      <w:bookmarkStart w:id="216" w:name="_Toc8905"/>
      <w:bookmarkStart w:id="217" w:name="_Toc419045065"/>
      <w:bookmarkStart w:id="218" w:name="_Toc17029"/>
      <w:bookmarkStart w:id="219" w:name="_Toc422322480"/>
      <w:bookmarkStart w:id="220" w:name="_Toc11520"/>
      <w:bookmarkStart w:id="221" w:name="_Toc19126"/>
      <w:r>
        <w:rPr>
          <w:rFonts w:hint="eastAsia" w:ascii="宋体" w:hAnsi="宋体" w:cs="宋体"/>
          <w:color w:val="auto"/>
          <w:highlight w:val="none"/>
        </w:rPr>
        <w:t>十、</w:t>
      </w:r>
      <w:r>
        <w:rPr>
          <w:rFonts w:hint="eastAsia" w:ascii="Arial" w:hAnsi="Arial"/>
          <w:color w:val="auto"/>
          <w:sz w:val="28"/>
          <w:szCs w:val="28"/>
          <w:highlight w:val="none"/>
        </w:rPr>
        <w:t>合同份数</w:t>
      </w:r>
      <w:bookmarkEnd w:id="215"/>
      <w:bookmarkEnd w:id="216"/>
      <w:bookmarkEnd w:id="217"/>
      <w:bookmarkEnd w:id="218"/>
      <w:bookmarkEnd w:id="219"/>
      <w:bookmarkEnd w:id="220"/>
      <w:bookmarkEnd w:id="221"/>
    </w:p>
    <w:p>
      <w:pPr>
        <w:spacing w:line="360" w:lineRule="auto"/>
        <w:rPr>
          <w:color w:val="auto"/>
          <w:sz w:val="24"/>
          <w:highlight w:val="none"/>
        </w:rPr>
      </w:pPr>
      <w:r>
        <w:rPr>
          <w:rFonts w:hint="eastAsia"/>
          <w:color w:val="auto"/>
          <w:sz w:val="24"/>
          <w:highlight w:val="none"/>
        </w:rPr>
        <w:t>本合同一式</w:t>
      </w:r>
      <w:r>
        <w:rPr>
          <w:rFonts w:hint="eastAsia"/>
          <w:color w:val="auto"/>
          <w:sz w:val="24"/>
          <w:highlight w:val="none"/>
          <w:u w:val="single"/>
        </w:rPr>
        <w:t xml:space="preserve">    </w:t>
      </w:r>
      <w:r>
        <w:rPr>
          <w:rFonts w:hint="eastAsia"/>
          <w:color w:val="auto"/>
          <w:sz w:val="24"/>
          <w:highlight w:val="none"/>
        </w:rPr>
        <w:t>份，具有同等法律效力，其中委托人执</w:t>
      </w:r>
      <w:r>
        <w:rPr>
          <w:rFonts w:hint="eastAsia"/>
          <w:color w:val="auto"/>
          <w:sz w:val="24"/>
          <w:highlight w:val="none"/>
          <w:u w:val="single"/>
        </w:rPr>
        <w:t xml:space="preserve">      </w:t>
      </w:r>
      <w:r>
        <w:rPr>
          <w:rFonts w:hint="eastAsia"/>
          <w:color w:val="auto"/>
          <w:sz w:val="24"/>
          <w:highlight w:val="none"/>
        </w:rPr>
        <w:t>份，咨询人执</w:t>
      </w:r>
      <w:r>
        <w:rPr>
          <w:rFonts w:hint="eastAsia"/>
          <w:color w:val="auto"/>
          <w:sz w:val="24"/>
          <w:highlight w:val="none"/>
          <w:u w:val="single"/>
        </w:rPr>
        <w:t xml:space="preserve">    </w:t>
      </w:r>
      <w:r>
        <w:rPr>
          <w:rFonts w:hint="eastAsia"/>
          <w:color w:val="auto"/>
          <w:sz w:val="24"/>
          <w:highlight w:val="none"/>
        </w:rPr>
        <w:t>份。</w:t>
      </w:r>
    </w:p>
    <w:p>
      <w:pPr>
        <w:spacing w:line="360" w:lineRule="auto"/>
        <w:ind w:firstLine="490" w:firstLineChars="200"/>
        <w:rPr>
          <w:color w:val="auto"/>
          <w:sz w:val="24"/>
          <w:highlight w:val="none"/>
        </w:rPr>
      </w:pPr>
    </w:p>
    <w:p>
      <w:pPr>
        <w:spacing w:line="480" w:lineRule="auto"/>
        <w:rPr>
          <w:color w:val="auto"/>
          <w:sz w:val="24"/>
          <w:highlight w:val="none"/>
        </w:rPr>
      </w:pPr>
      <w:r>
        <w:rPr>
          <w:rFonts w:hint="eastAsia"/>
          <w:color w:val="auto"/>
          <w:sz w:val="24"/>
          <w:highlight w:val="none"/>
        </w:rPr>
        <w:t>委托人：________</w:t>
      </w:r>
      <w:r>
        <w:rPr>
          <w:rFonts w:hint="eastAsia"/>
          <w:color w:val="auto"/>
          <w:sz w:val="24"/>
          <w:highlight w:val="none"/>
          <w:u w:val="single"/>
        </w:rPr>
        <w:t>__   _</w:t>
      </w:r>
      <w:r>
        <w:rPr>
          <w:rFonts w:hint="eastAsia"/>
          <w:color w:val="auto"/>
          <w:sz w:val="24"/>
          <w:highlight w:val="none"/>
        </w:rPr>
        <w:t>（盖章)          咨询人：_________</w:t>
      </w:r>
      <w:r>
        <w:rPr>
          <w:rFonts w:hint="eastAsia"/>
          <w:color w:val="auto"/>
          <w:sz w:val="24"/>
          <w:highlight w:val="none"/>
          <w:u w:val="single"/>
        </w:rPr>
        <w:t>_     _</w:t>
      </w:r>
      <w:r>
        <w:rPr>
          <w:rFonts w:hint="eastAsia"/>
          <w:color w:val="auto"/>
          <w:sz w:val="24"/>
          <w:highlight w:val="none"/>
        </w:rPr>
        <w:t xml:space="preserve">（盖章） </w:t>
      </w:r>
    </w:p>
    <w:p>
      <w:pPr>
        <w:spacing w:line="480" w:lineRule="auto"/>
        <w:rPr>
          <w:color w:val="auto"/>
          <w:sz w:val="24"/>
          <w:highlight w:val="none"/>
        </w:rPr>
      </w:pPr>
      <w:r>
        <w:rPr>
          <w:rFonts w:hint="eastAsia"/>
          <w:color w:val="auto"/>
          <w:sz w:val="24"/>
          <w:highlight w:val="none"/>
        </w:rPr>
        <w:t>法定代表人或其授权的                   法定代表人或其授权的</w:t>
      </w:r>
    </w:p>
    <w:p>
      <w:pPr>
        <w:spacing w:line="480" w:lineRule="auto"/>
        <w:rPr>
          <w:rFonts w:ascii="宋体" w:hAnsi="宋体"/>
          <w:color w:val="auto"/>
          <w:sz w:val="24"/>
          <w:highlight w:val="none"/>
        </w:rPr>
      </w:pPr>
      <w:r>
        <w:rPr>
          <w:rFonts w:hint="eastAsia"/>
          <w:color w:val="auto"/>
          <w:sz w:val="24"/>
          <w:highlight w:val="none"/>
        </w:rPr>
        <w:t xml:space="preserve">代理人：_________     （签字）         代理人：_________       （签字） </w:t>
      </w:r>
      <w:r>
        <w:rPr>
          <w:rFonts w:hint="eastAsia" w:ascii="宋体" w:hAnsi="宋体" w:cs="宋体"/>
          <w:color w:val="auto"/>
          <w:sz w:val="24"/>
          <w:szCs w:val="24"/>
          <w:highlight w:val="non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highlight w:val="none"/>
        </w:rPr>
      </w:pPr>
      <w:r>
        <w:rPr>
          <w:rFonts w:hint="eastAsia" w:ascii="宋体" w:hAnsi="宋体"/>
          <w:color w:val="auto"/>
          <w:sz w:val="24"/>
          <w:szCs w:val="24"/>
          <w:highlight w:val="none"/>
        </w:rPr>
        <w:t xml:space="preserve">  </w:t>
      </w:r>
    </w:p>
    <w:tbl>
      <w:tblPr>
        <w:tblStyle w:val="19"/>
        <w:tblW w:w="10575" w:type="dxa"/>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5"/>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5" w:type="dxa"/>
            <w:tcBorders>
              <w:top w:val="nil"/>
              <w:left w:val="nil"/>
              <w:bottom w:val="nil"/>
              <w:right w:val="nil"/>
            </w:tcBorders>
            <w:noWrap w:val="0"/>
            <w:vAlign w:val="top"/>
          </w:tcPr>
          <w:p>
            <w:pPr>
              <w:pStyle w:val="31"/>
              <w:jc w:val="left"/>
              <w:rPr>
                <w:rFonts w:ascii="宋体" w:hAnsi="宋体"/>
                <w:color w:val="auto"/>
                <w:sz w:val="24"/>
                <w:szCs w:val="24"/>
                <w:highlight w:val="none"/>
              </w:rPr>
            </w:pPr>
            <w:r>
              <w:rPr>
                <w:rFonts w:hint="eastAsia" w:ascii="宋体" w:hAnsi="宋体"/>
                <w:color w:val="auto"/>
                <w:sz w:val="24"/>
                <w:szCs w:val="24"/>
                <w:highlight w:val="none"/>
              </w:rPr>
              <w:t>纳税人识别码：</w:t>
            </w:r>
          </w:p>
        </w:tc>
        <w:tc>
          <w:tcPr>
            <w:tcW w:w="4950" w:type="dxa"/>
            <w:tcBorders>
              <w:top w:val="nil"/>
              <w:left w:val="nil"/>
              <w:bottom w:val="nil"/>
              <w:right w:val="nil"/>
            </w:tcBorders>
            <w:noWrap w:val="0"/>
            <w:vAlign w:val="top"/>
          </w:tcPr>
          <w:p>
            <w:pPr>
              <w:pStyle w:val="31"/>
              <w:jc w:val="left"/>
              <w:rPr>
                <w:rFonts w:ascii="宋体" w:hAnsi="宋体"/>
                <w:color w:val="auto"/>
                <w:sz w:val="24"/>
                <w:szCs w:val="24"/>
                <w:highlight w:val="none"/>
              </w:rPr>
            </w:pPr>
            <w:r>
              <w:rPr>
                <w:rFonts w:hint="eastAsia" w:ascii="宋体" w:hAnsi="宋体"/>
                <w:color w:val="auto"/>
                <w:sz w:val="24"/>
                <w:szCs w:val="24"/>
                <w:highlight w:val="none"/>
              </w:rPr>
              <w:t>纳税人识别码：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625" w:type="dxa"/>
            <w:tcBorders>
              <w:top w:val="nil"/>
              <w:left w:val="nil"/>
              <w:bottom w:val="nil"/>
              <w:right w:val="nil"/>
            </w:tcBorders>
            <w:noWrap w:val="0"/>
            <w:vAlign w:val="top"/>
          </w:tcPr>
          <w:p>
            <w:pPr>
              <w:pStyle w:val="31"/>
              <w:jc w:val="left"/>
              <w:rPr>
                <w:rFonts w:ascii="宋体" w:hAnsi="宋体"/>
                <w:color w:val="auto"/>
                <w:sz w:val="24"/>
                <w:szCs w:val="24"/>
                <w:highlight w:val="none"/>
              </w:rPr>
            </w:pPr>
            <w:r>
              <w:rPr>
                <w:rFonts w:hint="eastAsia" w:ascii="宋体" w:hAnsi="宋体"/>
                <w:color w:val="auto"/>
                <w:sz w:val="24"/>
                <w:szCs w:val="24"/>
                <w:highlight w:val="none"/>
              </w:rPr>
              <w:t xml:space="preserve">住    所： </w:t>
            </w:r>
          </w:p>
        </w:tc>
        <w:tc>
          <w:tcPr>
            <w:tcW w:w="4950" w:type="dxa"/>
            <w:tcBorders>
              <w:top w:val="nil"/>
              <w:left w:val="nil"/>
              <w:bottom w:val="nil"/>
              <w:right w:val="nil"/>
            </w:tcBorders>
            <w:noWrap w:val="0"/>
            <w:vAlign w:val="top"/>
          </w:tcPr>
          <w:p>
            <w:pPr>
              <w:pStyle w:val="31"/>
              <w:jc w:val="left"/>
              <w:rPr>
                <w:rFonts w:ascii="宋体" w:hAnsi="宋体"/>
                <w:color w:val="auto"/>
                <w:sz w:val="24"/>
                <w:szCs w:val="24"/>
                <w:highlight w:val="none"/>
              </w:rPr>
            </w:pPr>
            <w:r>
              <w:rPr>
                <w:rFonts w:hint="eastAsia" w:ascii="宋体" w:hAnsi="宋体"/>
                <w:color w:val="auto"/>
                <w:sz w:val="24"/>
                <w:szCs w:val="24"/>
                <w:highlight w:val="none"/>
              </w:rPr>
              <w:t>住    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5" w:type="dxa"/>
            <w:tcBorders>
              <w:top w:val="nil"/>
              <w:left w:val="nil"/>
              <w:bottom w:val="nil"/>
              <w:right w:val="nil"/>
            </w:tcBorders>
            <w:noWrap w:val="0"/>
            <w:vAlign w:val="top"/>
          </w:tcPr>
          <w:p>
            <w:pPr>
              <w:pStyle w:val="31"/>
              <w:jc w:val="left"/>
              <w:rPr>
                <w:rFonts w:ascii="宋体" w:hAnsi="宋体"/>
                <w:color w:val="auto"/>
                <w:sz w:val="24"/>
                <w:szCs w:val="24"/>
                <w:highlight w:val="none"/>
              </w:rPr>
            </w:pPr>
            <w:r>
              <w:rPr>
                <w:rFonts w:hint="eastAsia" w:ascii="宋体" w:hAnsi="宋体"/>
                <w:color w:val="auto"/>
                <w:sz w:val="24"/>
                <w:szCs w:val="24"/>
                <w:highlight w:val="none"/>
              </w:rPr>
              <w:t xml:space="preserve">账    号：  </w:t>
            </w:r>
          </w:p>
        </w:tc>
        <w:tc>
          <w:tcPr>
            <w:tcW w:w="4950" w:type="dxa"/>
            <w:tcBorders>
              <w:top w:val="nil"/>
              <w:left w:val="nil"/>
              <w:bottom w:val="nil"/>
              <w:right w:val="nil"/>
            </w:tcBorders>
            <w:noWrap w:val="0"/>
            <w:vAlign w:val="top"/>
          </w:tcPr>
          <w:p>
            <w:pPr>
              <w:pStyle w:val="31"/>
              <w:jc w:val="left"/>
              <w:rPr>
                <w:rFonts w:ascii="宋体" w:hAnsi="宋体"/>
                <w:color w:val="auto"/>
                <w:sz w:val="24"/>
                <w:szCs w:val="24"/>
                <w:highlight w:val="none"/>
              </w:rPr>
            </w:pPr>
            <w:r>
              <w:rPr>
                <w:rFonts w:hint="eastAsia" w:ascii="宋体" w:hAnsi="宋体"/>
                <w:color w:val="auto"/>
                <w:sz w:val="24"/>
                <w:szCs w:val="24"/>
                <w:highlight w:val="none"/>
              </w:rPr>
              <w:t xml:space="preserve">账    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625" w:type="dxa"/>
            <w:tcBorders>
              <w:top w:val="nil"/>
              <w:left w:val="nil"/>
              <w:bottom w:val="nil"/>
              <w:right w:val="nil"/>
            </w:tcBorders>
            <w:noWrap w:val="0"/>
            <w:vAlign w:val="top"/>
          </w:tcPr>
          <w:p>
            <w:pPr>
              <w:pStyle w:val="31"/>
              <w:jc w:val="left"/>
              <w:rPr>
                <w:rFonts w:ascii="宋体" w:hAnsi="宋体"/>
                <w:color w:val="auto"/>
                <w:sz w:val="24"/>
                <w:szCs w:val="24"/>
                <w:highlight w:val="none"/>
              </w:rPr>
            </w:pPr>
            <w:r>
              <w:rPr>
                <w:rFonts w:hint="eastAsia" w:ascii="宋体" w:hAnsi="宋体"/>
                <w:color w:val="auto"/>
                <w:sz w:val="24"/>
                <w:szCs w:val="24"/>
                <w:highlight w:val="none"/>
              </w:rPr>
              <w:t>开户银行：</w:t>
            </w:r>
          </w:p>
        </w:tc>
        <w:tc>
          <w:tcPr>
            <w:tcW w:w="4950" w:type="dxa"/>
            <w:tcBorders>
              <w:top w:val="nil"/>
              <w:left w:val="nil"/>
              <w:bottom w:val="nil"/>
              <w:right w:val="nil"/>
            </w:tcBorders>
            <w:noWrap w:val="0"/>
            <w:vAlign w:val="top"/>
          </w:tcPr>
          <w:p>
            <w:pPr>
              <w:pStyle w:val="31"/>
              <w:jc w:val="left"/>
              <w:rPr>
                <w:rFonts w:ascii="宋体" w:hAnsi="宋体"/>
                <w:color w:val="auto"/>
                <w:sz w:val="24"/>
                <w:szCs w:val="24"/>
                <w:highlight w:val="none"/>
              </w:rPr>
            </w:pPr>
            <w:r>
              <w:rPr>
                <w:rFonts w:hint="eastAsia" w:ascii="宋体" w:hAnsi="宋体"/>
                <w:color w:val="auto"/>
                <w:sz w:val="24"/>
                <w:szCs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5" w:type="dxa"/>
            <w:tcBorders>
              <w:top w:val="nil"/>
              <w:left w:val="nil"/>
              <w:bottom w:val="nil"/>
              <w:right w:val="nil"/>
            </w:tcBorders>
            <w:noWrap w:val="0"/>
            <w:vAlign w:val="top"/>
          </w:tcPr>
          <w:p>
            <w:pPr>
              <w:pStyle w:val="31"/>
              <w:jc w:val="left"/>
              <w:rPr>
                <w:rFonts w:ascii="宋体" w:hAnsi="宋体"/>
                <w:color w:val="auto"/>
                <w:sz w:val="24"/>
                <w:szCs w:val="24"/>
                <w:highlight w:val="none"/>
              </w:rPr>
            </w:pPr>
            <w:r>
              <w:rPr>
                <w:rFonts w:hint="eastAsia" w:ascii="宋体" w:hAnsi="宋体"/>
                <w:color w:val="auto"/>
                <w:sz w:val="24"/>
                <w:szCs w:val="24"/>
                <w:highlight w:val="none"/>
              </w:rPr>
              <w:t>邮政编码：</w:t>
            </w:r>
          </w:p>
        </w:tc>
        <w:tc>
          <w:tcPr>
            <w:tcW w:w="4950" w:type="dxa"/>
            <w:tcBorders>
              <w:top w:val="nil"/>
              <w:left w:val="nil"/>
              <w:bottom w:val="nil"/>
              <w:right w:val="nil"/>
            </w:tcBorders>
            <w:noWrap w:val="0"/>
            <w:vAlign w:val="top"/>
          </w:tcPr>
          <w:p>
            <w:pPr>
              <w:pStyle w:val="31"/>
              <w:jc w:val="left"/>
              <w:rPr>
                <w:rFonts w:ascii="宋体" w:hAnsi="宋体"/>
                <w:color w:val="auto"/>
                <w:sz w:val="24"/>
                <w:szCs w:val="24"/>
                <w:highlight w:val="none"/>
              </w:rPr>
            </w:pPr>
            <w:r>
              <w:rPr>
                <w:rFonts w:hint="eastAsia" w:ascii="宋体" w:hAnsi="宋体"/>
                <w:color w:val="auto"/>
                <w:sz w:val="24"/>
                <w:szCs w:val="24"/>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5625" w:type="dxa"/>
            <w:tcBorders>
              <w:top w:val="nil"/>
              <w:left w:val="nil"/>
              <w:bottom w:val="nil"/>
              <w:right w:val="nil"/>
            </w:tcBorders>
            <w:noWrap w:val="0"/>
            <w:vAlign w:val="top"/>
          </w:tcPr>
          <w:p>
            <w:pPr>
              <w:pStyle w:val="31"/>
              <w:jc w:val="left"/>
              <w:rPr>
                <w:rFonts w:ascii="宋体" w:hAnsi="宋体"/>
                <w:color w:val="auto"/>
                <w:sz w:val="24"/>
                <w:szCs w:val="24"/>
                <w:highlight w:val="none"/>
              </w:rPr>
            </w:pPr>
            <w:r>
              <w:rPr>
                <w:rFonts w:hint="eastAsia" w:ascii="宋体" w:hAnsi="宋体"/>
                <w:color w:val="auto"/>
                <w:sz w:val="24"/>
                <w:szCs w:val="24"/>
                <w:highlight w:val="none"/>
              </w:rPr>
              <w:t xml:space="preserve">电    话：  </w:t>
            </w:r>
          </w:p>
        </w:tc>
        <w:tc>
          <w:tcPr>
            <w:tcW w:w="4950" w:type="dxa"/>
            <w:tcBorders>
              <w:top w:val="nil"/>
              <w:left w:val="nil"/>
              <w:bottom w:val="nil"/>
              <w:right w:val="nil"/>
            </w:tcBorders>
            <w:noWrap w:val="0"/>
            <w:vAlign w:val="top"/>
          </w:tcPr>
          <w:p>
            <w:pPr>
              <w:pStyle w:val="31"/>
              <w:jc w:val="left"/>
              <w:rPr>
                <w:rFonts w:ascii="宋体" w:hAnsi="宋体"/>
                <w:color w:val="auto"/>
                <w:sz w:val="24"/>
                <w:szCs w:val="24"/>
                <w:highlight w:val="none"/>
              </w:rPr>
            </w:pPr>
            <w:r>
              <w:rPr>
                <w:rFonts w:hint="eastAsia" w:ascii="宋体" w:hAnsi="宋体"/>
                <w:color w:val="auto"/>
                <w:sz w:val="24"/>
                <w:szCs w:val="24"/>
                <w:highlight w:val="none"/>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5625" w:type="dxa"/>
            <w:tcBorders>
              <w:top w:val="nil"/>
              <w:left w:val="nil"/>
              <w:bottom w:val="nil"/>
              <w:right w:val="nil"/>
            </w:tcBorders>
            <w:noWrap w:val="0"/>
            <w:vAlign w:val="top"/>
          </w:tcPr>
          <w:p>
            <w:pPr>
              <w:pStyle w:val="31"/>
              <w:jc w:val="left"/>
              <w:rPr>
                <w:rFonts w:ascii="宋体" w:hAnsi="宋体"/>
                <w:color w:val="auto"/>
                <w:sz w:val="24"/>
                <w:szCs w:val="24"/>
                <w:highlight w:val="none"/>
              </w:rPr>
            </w:pPr>
            <w:r>
              <w:rPr>
                <w:rFonts w:hint="eastAsia" w:ascii="宋体" w:hAnsi="宋体"/>
                <w:color w:val="auto"/>
                <w:sz w:val="24"/>
                <w:szCs w:val="24"/>
                <w:highlight w:val="none"/>
              </w:rPr>
              <w:t xml:space="preserve">传    真：   </w:t>
            </w:r>
          </w:p>
        </w:tc>
        <w:tc>
          <w:tcPr>
            <w:tcW w:w="4950" w:type="dxa"/>
            <w:tcBorders>
              <w:top w:val="nil"/>
              <w:left w:val="nil"/>
              <w:bottom w:val="nil"/>
              <w:right w:val="nil"/>
            </w:tcBorders>
            <w:noWrap w:val="0"/>
            <w:vAlign w:val="top"/>
          </w:tcPr>
          <w:p>
            <w:pPr>
              <w:pStyle w:val="31"/>
              <w:jc w:val="left"/>
              <w:rPr>
                <w:rFonts w:ascii="宋体" w:hAnsi="宋体"/>
                <w:color w:val="auto"/>
                <w:sz w:val="24"/>
                <w:szCs w:val="24"/>
                <w:highlight w:val="none"/>
              </w:rPr>
            </w:pPr>
            <w:r>
              <w:rPr>
                <w:rFonts w:hint="eastAsia" w:ascii="宋体" w:hAnsi="宋体"/>
                <w:color w:val="auto"/>
                <w:sz w:val="24"/>
                <w:szCs w:val="24"/>
                <w:highlight w:val="none"/>
              </w:rPr>
              <w:t>传    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5" w:type="dxa"/>
            <w:tcBorders>
              <w:top w:val="nil"/>
              <w:left w:val="nil"/>
              <w:bottom w:val="nil"/>
              <w:right w:val="nil"/>
            </w:tcBorders>
            <w:noWrap w:val="0"/>
            <w:vAlign w:val="top"/>
          </w:tcPr>
          <w:p>
            <w:pPr>
              <w:pStyle w:val="31"/>
              <w:jc w:val="left"/>
              <w:rPr>
                <w:rFonts w:ascii="宋体" w:hAnsi="宋体"/>
                <w:color w:val="auto"/>
                <w:sz w:val="24"/>
                <w:szCs w:val="24"/>
                <w:highlight w:val="none"/>
              </w:rPr>
            </w:pPr>
            <w:r>
              <w:rPr>
                <w:rFonts w:hint="eastAsia" w:ascii="宋体" w:hAnsi="宋体"/>
                <w:color w:val="auto"/>
                <w:sz w:val="24"/>
                <w:szCs w:val="24"/>
                <w:highlight w:val="none"/>
              </w:rPr>
              <w:t xml:space="preserve">电子信箱： </w:t>
            </w:r>
          </w:p>
        </w:tc>
        <w:tc>
          <w:tcPr>
            <w:tcW w:w="4950" w:type="dxa"/>
            <w:tcBorders>
              <w:top w:val="nil"/>
              <w:left w:val="nil"/>
              <w:bottom w:val="nil"/>
              <w:right w:val="nil"/>
            </w:tcBorders>
            <w:noWrap w:val="0"/>
            <w:vAlign w:val="top"/>
          </w:tcPr>
          <w:p>
            <w:pPr>
              <w:pStyle w:val="31"/>
              <w:jc w:val="left"/>
              <w:rPr>
                <w:rFonts w:ascii="宋体" w:hAnsi="宋体"/>
                <w:color w:val="auto"/>
                <w:sz w:val="24"/>
                <w:szCs w:val="24"/>
                <w:highlight w:val="none"/>
              </w:rPr>
            </w:pPr>
            <w:r>
              <w:rPr>
                <w:rFonts w:hint="eastAsia" w:ascii="宋体" w:hAnsi="宋体"/>
                <w:color w:val="auto"/>
                <w:sz w:val="24"/>
                <w:szCs w:val="24"/>
                <w:highlight w:val="none"/>
              </w:rPr>
              <w:t>电子信箱：</w:t>
            </w:r>
          </w:p>
        </w:tc>
      </w:tr>
    </w:tbl>
    <w:p>
      <w:pPr>
        <w:pStyle w:val="31"/>
        <w:spacing w:line="800" w:lineRule="exact"/>
        <w:ind w:firstLine="2430" w:firstLineChars="600"/>
        <w:jc w:val="left"/>
        <w:rPr>
          <w:color w:val="auto"/>
          <w:sz w:val="40"/>
          <w:szCs w:val="32"/>
          <w:highlight w:val="none"/>
        </w:rPr>
      </w:pPr>
      <w:bookmarkStart w:id="222" w:name="_Toc3051"/>
      <w:bookmarkStart w:id="223" w:name="_Toc24367"/>
      <w:bookmarkStart w:id="224" w:name="_Toc24069"/>
      <w:bookmarkStart w:id="225" w:name="_Toc29822"/>
      <w:bookmarkStart w:id="226" w:name="_Toc19362"/>
    </w:p>
    <w:p>
      <w:pPr>
        <w:pStyle w:val="31"/>
        <w:spacing w:line="800" w:lineRule="exact"/>
        <w:ind w:firstLine="2430" w:firstLineChars="600"/>
        <w:jc w:val="left"/>
        <w:rPr>
          <w:rFonts w:ascii="宋体" w:hAnsi="宋体"/>
          <w:color w:val="auto"/>
          <w:sz w:val="24"/>
          <w:szCs w:val="24"/>
          <w:highlight w:val="none"/>
        </w:rPr>
      </w:pPr>
      <w:r>
        <w:rPr>
          <w:rFonts w:hint="eastAsia"/>
          <w:color w:val="auto"/>
          <w:sz w:val="40"/>
          <w:szCs w:val="32"/>
          <w:highlight w:val="none"/>
        </w:rPr>
        <w:t>第二部分  通用条件</w:t>
      </w:r>
      <w:bookmarkEnd w:id="222"/>
      <w:bookmarkEnd w:id="223"/>
      <w:bookmarkEnd w:id="224"/>
      <w:bookmarkEnd w:id="225"/>
      <w:bookmarkEnd w:id="226"/>
      <w:r>
        <w:rPr>
          <w:rFonts w:hint="eastAsia" w:ascii="宋体" w:hAnsi="宋体"/>
          <w:color w:val="auto"/>
          <w:sz w:val="24"/>
          <w:szCs w:val="24"/>
          <w:highlight w:val="none"/>
        </w:rPr>
        <w:t xml:space="preserve">  </w:t>
      </w:r>
    </w:p>
    <w:p>
      <w:pPr>
        <w:pStyle w:val="31"/>
        <w:spacing w:line="360" w:lineRule="auto"/>
        <w:rPr>
          <w:color w:val="auto"/>
          <w:highlight w:val="none"/>
        </w:rPr>
      </w:pPr>
      <w:bookmarkStart w:id="227" w:name="_Toc419045067"/>
      <w:bookmarkStart w:id="228" w:name="_Toc422322482"/>
      <w:bookmarkStart w:id="229" w:name="_Toc5410"/>
      <w:bookmarkStart w:id="230" w:name="_Toc19834"/>
      <w:bookmarkStart w:id="231" w:name="_Toc5909"/>
      <w:bookmarkStart w:id="232" w:name="_Toc16521"/>
      <w:bookmarkStart w:id="233" w:name="_Toc31623"/>
    </w:p>
    <w:p>
      <w:pPr>
        <w:pStyle w:val="31"/>
        <w:spacing w:line="360" w:lineRule="auto"/>
        <w:rPr>
          <w:rFonts w:ascii="宋体" w:hAnsi="宋体"/>
          <w:color w:val="auto"/>
          <w:sz w:val="24"/>
          <w:szCs w:val="24"/>
          <w:highlight w:val="none"/>
        </w:rPr>
      </w:pPr>
      <w:r>
        <w:rPr>
          <w:rFonts w:hint="eastAsia" w:ascii="宋体" w:hAnsi="宋体"/>
          <w:color w:val="auto"/>
          <w:sz w:val="24"/>
          <w:szCs w:val="24"/>
          <w:highlight w:val="none"/>
        </w:rPr>
        <w:t>1.词语定义、语言、解释顺序与适用法律</w:t>
      </w:r>
      <w:bookmarkEnd w:id="227"/>
      <w:bookmarkEnd w:id="228"/>
      <w:bookmarkEnd w:id="229"/>
      <w:bookmarkEnd w:id="230"/>
      <w:bookmarkEnd w:id="231"/>
      <w:bookmarkEnd w:id="232"/>
      <w:bookmarkEnd w:id="233"/>
    </w:p>
    <w:p>
      <w:pPr>
        <w:pStyle w:val="31"/>
        <w:spacing w:line="360" w:lineRule="auto"/>
        <w:rPr>
          <w:rFonts w:ascii="宋体" w:hAnsi="宋体"/>
          <w:color w:val="auto"/>
          <w:sz w:val="24"/>
          <w:szCs w:val="24"/>
          <w:highlight w:val="none"/>
        </w:rPr>
      </w:pPr>
      <w:bookmarkStart w:id="234" w:name="_Toc24530"/>
      <w:bookmarkStart w:id="235" w:name="_Toc1600"/>
      <w:bookmarkStart w:id="236" w:name="_Toc422322483"/>
      <w:bookmarkStart w:id="237" w:name="_Toc18598"/>
      <w:bookmarkStart w:id="238" w:name="_Toc419045068"/>
      <w:bookmarkStart w:id="239" w:name="_Toc16412"/>
      <w:bookmarkStart w:id="240" w:name="_Toc3884"/>
      <w:r>
        <w:rPr>
          <w:rFonts w:hint="eastAsia" w:ascii="宋体" w:hAnsi="宋体"/>
          <w:color w:val="auto"/>
          <w:sz w:val="24"/>
          <w:szCs w:val="24"/>
          <w:highlight w:val="none"/>
        </w:rPr>
        <w:t>1.1词语定义</w:t>
      </w:r>
      <w:bookmarkEnd w:id="234"/>
      <w:bookmarkEnd w:id="235"/>
      <w:bookmarkEnd w:id="236"/>
      <w:bookmarkEnd w:id="237"/>
      <w:bookmarkEnd w:id="238"/>
      <w:bookmarkEnd w:id="239"/>
      <w:bookmarkEnd w:id="240"/>
    </w:p>
    <w:p>
      <w:pPr>
        <w:pStyle w:val="31"/>
        <w:spacing w:line="360" w:lineRule="auto"/>
        <w:rPr>
          <w:rFonts w:ascii="宋体" w:hAnsi="宋体"/>
          <w:color w:val="auto"/>
          <w:sz w:val="24"/>
          <w:szCs w:val="24"/>
          <w:highlight w:val="none"/>
        </w:rPr>
      </w:pPr>
      <w:r>
        <w:rPr>
          <w:rFonts w:hint="eastAsia" w:ascii="宋体" w:hAnsi="宋体"/>
          <w:color w:val="auto"/>
          <w:sz w:val="24"/>
          <w:szCs w:val="24"/>
          <w:highlight w:val="none"/>
        </w:rPr>
        <w:t>组成本合同的全部文件中的下列名词和用语应具有本款所赋予的含义：</w:t>
      </w:r>
    </w:p>
    <w:p>
      <w:pPr>
        <w:pStyle w:val="31"/>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1.1.1“工程”是指按照本合同约定实施造价咨询与其他服务的建设工程。    </w:t>
      </w:r>
    </w:p>
    <w:p>
      <w:pPr>
        <w:pStyle w:val="31"/>
        <w:spacing w:line="360" w:lineRule="auto"/>
        <w:rPr>
          <w:rFonts w:ascii="宋体" w:hAnsi="宋体"/>
          <w:color w:val="auto"/>
          <w:sz w:val="24"/>
          <w:szCs w:val="24"/>
          <w:highlight w:val="none"/>
        </w:rPr>
      </w:pPr>
      <w:r>
        <w:rPr>
          <w:rFonts w:hint="eastAsia" w:ascii="宋体" w:hAnsi="宋体"/>
          <w:color w:val="auto"/>
          <w:sz w:val="24"/>
          <w:szCs w:val="24"/>
          <w:highlight w:val="none"/>
        </w:rPr>
        <w:t>1.1.2“工程造价”是指工程项目建设过程中预计或实际支出的全部费用。</w:t>
      </w:r>
    </w:p>
    <w:p>
      <w:pPr>
        <w:pStyle w:val="31"/>
        <w:spacing w:line="360" w:lineRule="auto"/>
        <w:rPr>
          <w:rFonts w:ascii="宋体" w:hAnsi="宋体"/>
          <w:color w:val="auto"/>
          <w:sz w:val="24"/>
          <w:szCs w:val="24"/>
          <w:highlight w:val="none"/>
        </w:rPr>
      </w:pPr>
      <w:r>
        <w:rPr>
          <w:rFonts w:hint="eastAsia" w:ascii="宋体" w:hAnsi="宋体"/>
          <w:color w:val="auto"/>
          <w:sz w:val="24"/>
          <w:szCs w:val="24"/>
          <w:highlight w:val="none"/>
        </w:rPr>
        <w:t>1.1.3“委托人”是指本合同中委托造价咨询与其他服务的一方，及其合法的继承人或受让人。</w:t>
      </w:r>
    </w:p>
    <w:p>
      <w:pPr>
        <w:pStyle w:val="31"/>
        <w:spacing w:line="360" w:lineRule="auto"/>
        <w:rPr>
          <w:rFonts w:ascii="宋体" w:hAnsi="宋体"/>
          <w:color w:val="auto"/>
          <w:sz w:val="24"/>
          <w:szCs w:val="24"/>
          <w:highlight w:val="none"/>
        </w:rPr>
      </w:pPr>
      <w:r>
        <w:rPr>
          <w:rFonts w:hint="eastAsia" w:ascii="宋体" w:hAnsi="宋体"/>
          <w:color w:val="auto"/>
          <w:sz w:val="24"/>
          <w:szCs w:val="24"/>
          <w:highlight w:val="none"/>
        </w:rPr>
        <w:t>1.1.4“咨询人”是指本合同中提供造价咨询与其他服务的一方，及其合法的继承人。</w:t>
      </w:r>
    </w:p>
    <w:p>
      <w:pPr>
        <w:pStyle w:val="31"/>
        <w:spacing w:line="360" w:lineRule="auto"/>
        <w:rPr>
          <w:rFonts w:ascii="宋体" w:hAnsi="宋体"/>
          <w:color w:val="auto"/>
          <w:sz w:val="24"/>
          <w:szCs w:val="24"/>
          <w:highlight w:val="none"/>
        </w:rPr>
      </w:pPr>
      <w:r>
        <w:rPr>
          <w:rFonts w:hint="eastAsia" w:ascii="宋体" w:hAnsi="宋体"/>
          <w:color w:val="auto"/>
          <w:sz w:val="24"/>
          <w:szCs w:val="24"/>
          <w:highlight w:val="none"/>
        </w:rPr>
        <w:t>1.1.5“第三人”是指除委托人、咨询人以外与本咨询业务有关的当事人。</w:t>
      </w:r>
    </w:p>
    <w:p>
      <w:pPr>
        <w:pStyle w:val="31"/>
        <w:spacing w:line="360" w:lineRule="auto"/>
        <w:rPr>
          <w:rFonts w:ascii="宋体" w:hAnsi="宋体"/>
          <w:color w:val="auto"/>
          <w:sz w:val="24"/>
          <w:szCs w:val="24"/>
          <w:highlight w:val="none"/>
        </w:rPr>
      </w:pPr>
      <w:r>
        <w:rPr>
          <w:rFonts w:hint="eastAsia" w:ascii="宋体" w:hAnsi="宋体"/>
          <w:color w:val="auto"/>
          <w:sz w:val="24"/>
          <w:szCs w:val="24"/>
          <w:highlight w:val="none"/>
        </w:rPr>
        <w:t>1.1.6“正常工作”是指本合同订立时通用条件和专用条件中约定的咨询人的工作。</w:t>
      </w:r>
    </w:p>
    <w:p>
      <w:pPr>
        <w:pStyle w:val="31"/>
        <w:spacing w:line="360" w:lineRule="auto"/>
        <w:rPr>
          <w:rFonts w:ascii="宋体" w:hAnsi="宋体"/>
          <w:color w:val="auto"/>
          <w:sz w:val="24"/>
          <w:szCs w:val="24"/>
          <w:highlight w:val="none"/>
        </w:rPr>
      </w:pPr>
      <w:r>
        <w:rPr>
          <w:rFonts w:hint="eastAsia" w:ascii="宋体" w:hAnsi="宋体"/>
          <w:color w:val="auto"/>
          <w:sz w:val="24"/>
          <w:szCs w:val="24"/>
          <w:highlight w:val="none"/>
        </w:rPr>
        <w:t>1.1.7“附加工作”是指咨询人根据合同条件完成的正常工作以外的工作。</w:t>
      </w:r>
    </w:p>
    <w:p>
      <w:pPr>
        <w:pStyle w:val="31"/>
        <w:spacing w:line="360" w:lineRule="auto"/>
        <w:rPr>
          <w:rFonts w:ascii="宋体" w:hAnsi="宋体"/>
          <w:color w:val="auto"/>
          <w:sz w:val="24"/>
          <w:szCs w:val="24"/>
          <w:highlight w:val="none"/>
        </w:rPr>
      </w:pPr>
      <w:r>
        <w:rPr>
          <w:rFonts w:hint="eastAsia" w:ascii="宋体" w:hAnsi="宋体"/>
          <w:color w:val="auto"/>
          <w:sz w:val="24"/>
          <w:szCs w:val="24"/>
          <w:highlight w:val="none"/>
        </w:rPr>
        <w:t>1.1.8“项目咨询团队”是指咨询人指派负责履行本合同的团队，其团队成员为本合同的项目咨询人员。</w:t>
      </w:r>
    </w:p>
    <w:p>
      <w:pPr>
        <w:pStyle w:val="31"/>
        <w:spacing w:line="360" w:lineRule="auto"/>
        <w:rPr>
          <w:rFonts w:ascii="宋体" w:hAnsi="宋体"/>
          <w:color w:val="auto"/>
          <w:sz w:val="24"/>
          <w:szCs w:val="24"/>
          <w:highlight w:val="none"/>
        </w:rPr>
      </w:pPr>
      <w:r>
        <w:rPr>
          <w:rFonts w:hint="eastAsia" w:ascii="宋体" w:hAnsi="宋体"/>
          <w:color w:val="auto"/>
          <w:sz w:val="24"/>
          <w:szCs w:val="24"/>
          <w:highlight w:val="none"/>
        </w:rPr>
        <w:t>1.1.9“项目负责人”是指由咨询人的法定代表人书面授权，在授权范围内负责履行本合同、主持项目咨询团队工作的负责人。</w:t>
      </w:r>
    </w:p>
    <w:p>
      <w:pPr>
        <w:pStyle w:val="31"/>
        <w:spacing w:line="360" w:lineRule="auto"/>
        <w:rPr>
          <w:rFonts w:ascii="宋体" w:hAnsi="宋体"/>
          <w:color w:val="auto"/>
          <w:sz w:val="24"/>
          <w:szCs w:val="24"/>
          <w:highlight w:val="none"/>
        </w:rPr>
      </w:pPr>
      <w:r>
        <w:rPr>
          <w:rFonts w:hint="eastAsia" w:ascii="宋体" w:hAnsi="宋体"/>
          <w:color w:val="auto"/>
          <w:sz w:val="24"/>
          <w:szCs w:val="24"/>
          <w:highlight w:val="none"/>
        </w:rPr>
        <w:t>1.1.10“委托人代表”是指由委托人的法定代表人书面授权，在授权范围内行使委托人权利的人。</w:t>
      </w:r>
    </w:p>
    <w:p>
      <w:pPr>
        <w:pStyle w:val="31"/>
        <w:spacing w:line="360" w:lineRule="auto"/>
        <w:rPr>
          <w:rFonts w:ascii="宋体" w:hAnsi="宋体"/>
          <w:color w:val="auto"/>
          <w:sz w:val="24"/>
          <w:szCs w:val="24"/>
          <w:highlight w:val="none"/>
        </w:rPr>
      </w:pPr>
      <w:r>
        <w:rPr>
          <w:rFonts w:hint="eastAsia" w:ascii="宋体" w:hAnsi="宋体"/>
          <w:color w:val="auto"/>
          <w:sz w:val="24"/>
          <w:szCs w:val="24"/>
          <w:highlight w:val="none"/>
        </w:rPr>
        <w:t>1.1.11“酬金”是指咨询人履行本合同义务，委托人按照本合同约定给付咨询人的金额。</w:t>
      </w:r>
    </w:p>
    <w:p>
      <w:pPr>
        <w:pStyle w:val="31"/>
        <w:spacing w:line="360" w:lineRule="auto"/>
        <w:rPr>
          <w:rFonts w:ascii="宋体" w:hAnsi="宋体"/>
          <w:color w:val="auto"/>
          <w:sz w:val="24"/>
          <w:szCs w:val="24"/>
          <w:highlight w:val="none"/>
        </w:rPr>
      </w:pPr>
      <w:r>
        <w:rPr>
          <w:rFonts w:hint="eastAsia" w:ascii="宋体" w:hAnsi="宋体"/>
          <w:color w:val="auto"/>
          <w:sz w:val="24"/>
          <w:szCs w:val="24"/>
          <w:highlight w:val="none"/>
        </w:rPr>
        <w:t>1.1.12“正常工作酬金”是指在协议书中载明的，咨询人完成正常工作，委托人应给付咨询人的酬金。</w:t>
      </w:r>
    </w:p>
    <w:p>
      <w:pPr>
        <w:pStyle w:val="31"/>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1.1.13“附加工作酬金”是指咨询人完成附加工作，委托人应给付咨询人的酬金。</w:t>
      </w:r>
    </w:p>
    <w:p>
      <w:pPr>
        <w:pStyle w:val="31"/>
        <w:spacing w:line="360" w:lineRule="auto"/>
        <w:rPr>
          <w:rFonts w:ascii="宋体" w:hAnsi="宋体"/>
          <w:color w:val="auto"/>
          <w:sz w:val="24"/>
          <w:szCs w:val="24"/>
          <w:highlight w:val="none"/>
        </w:rPr>
      </w:pPr>
      <w:r>
        <w:rPr>
          <w:rFonts w:hint="eastAsia" w:ascii="宋体" w:hAnsi="宋体"/>
          <w:color w:val="auto"/>
          <w:sz w:val="24"/>
          <w:szCs w:val="24"/>
          <w:highlight w:val="none"/>
        </w:rPr>
        <w:t>1.1.14 “书面形式”是指合同书、信件和数据电文（包括电报、电传、传真、电子数据交换和电子邮件）等可以有形地表现所载内容的形式。</w:t>
      </w:r>
    </w:p>
    <w:p>
      <w:pPr>
        <w:pStyle w:val="31"/>
        <w:spacing w:line="360" w:lineRule="auto"/>
        <w:rPr>
          <w:rFonts w:ascii="宋体" w:hAnsi="宋体"/>
          <w:color w:val="auto"/>
          <w:sz w:val="24"/>
          <w:szCs w:val="24"/>
          <w:highlight w:val="none"/>
        </w:rPr>
      </w:pPr>
      <w:r>
        <w:rPr>
          <w:rFonts w:hint="eastAsia" w:ascii="宋体" w:hAnsi="宋体"/>
          <w:color w:val="auto"/>
          <w:kern w:val="2"/>
          <w:sz w:val="24"/>
          <w:szCs w:val="24"/>
          <w:highlight w:val="none"/>
        </w:rPr>
        <w:t>1.1.15 “不可抗力”是指委托人和咨询人在订立本合同时不可预见，在合同履行过程中不可避免并不能克服的自然灾害和社会性突发事件，如地震、海啸、瘟疫、水灾、</w:t>
      </w:r>
    </w:p>
    <w:p>
      <w:pPr>
        <w:rPr>
          <w:color w:val="auto"/>
          <w:highlight w:val="none"/>
        </w:rPr>
      </w:pPr>
    </w:p>
    <w:p>
      <w:pPr>
        <w:rPr>
          <w:color w:val="auto"/>
          <w:highlight w:val="none"/>
        </w:rPr>
      </w:pPr>
    </w:p>
    <w:p>
      <w:pPr>
        <w:rPr>
          <w:color w:val="auto"/>
          <w:highlight w:val="none"/>
        </w:rPr>
      </w:pPr>
    </w:p>
    <w:p>
      <w:pPr>
        <w:rPr>
          <w:color w:val="auto"/>
          <w:highlight w:val="none"/>
        </w:rPr>
      </w:pPr>
    </w:p>
    <w:p>
      <w:pPr>
        <w:rPr>
          <w:rFonts w:ascii="宋体" w:hAnsi="宋体" w:cs="宋体"/>
          <w:color w:val="auto"/>
          <w:sz w:val="24"/>
          <w:highlight w:val="none"/>
        </w:rPr>
      </w:pPr>
      <w:r>
        <w:rPr>
          <w:rFonts w:hint="eastAsia" w:ascii="宋体" w:hAnsi="宋体" w:cs="宋体"/>
          <w:color w:val="auto"/>
          <w:sz w:val="24"/>
          <w:szCs w:val="24"/>
          <w:highlight w:val="none"/>
        </w:rPr>
        <w:t>骚乱、暴动、战争等情形。</w:t>
      </w:r>
    </w:p>
    <w:p>
      <w:pPr>
        <w:pStyle w:val="5"/>
        <w:keepNext w:val="0"/>
        <w:numPr>
          <w:ilvl w:val="2"/>
          <w:numId w:val="0"/>
        </w:numPr>
        <w:rPr>
          <w:b w:val="0"/>
          <w:bCs w:val="0"/>
          <w:color w:val="auto"/>
          <w:sz w:val="24"/>
          <w:szCs w:val="32"/>
          <w:highlight w:val="none"/>
        </w:rPr>
      </w:pPr>
      <w:bookmarkStart w:id="241" w:name="_Toc419045069"/>
      <w:bookmarkStart w:id="242" w:name="_Toc25992"/>
      <w:bookmarkStart w:id="243" w:name="_Toc1050"/>
      <w:bookmarkStart w:id="244" w:name="_Toc30650"/>
      <w:bookmarkStart w:id="245" w:name="_Toc27634"/>
      <w:bookmarkStart w:id="246" w:name="_Toc24408"/>
      <w:bookmarkStart w:id="247" w:name="_Toc422322484"/>
    </w:p>
    <w:p>
      <w:pPr>
        <w:pStyle w:val="5"/>
        <w:keepNext w:val="0"/>
        <w:numPr>
          <w:ilvl w:val="2"/>
          <w:numId w:val="0"/>
        </w:numPr>
        <w:rPr>
          <w:b w:val="0"/>
          <w:bCs w:val="0"/>
          <w:color w:val="auto"/>
          <w:sz w:val="24"/>
          <w:szCs w:val="32"/>
          <w:highlight w:val="none"/>
        </w:rPr>
      </w:pPr>
      <w:r>
        <w:rPr>
          <w:rFonts w:hint="eastAsia"/>
          <w:b w:val="0"/>
          <w:color w:val="auto"/>
          <w:sz w:val="24"/>
          <w:szCs w:val="32"/>
          <w:highlight w:val="none"/>
        </w:rPr>
        <w:t>1.2语言</w:t>
      </w:r>
      <w:bookmarkEnd w:id="241"/>
      <w:bookmarkEnd w:id="242"/>
      <w:bookmarkEnd w:id="243"/>
      <w:bookmarkEnd w:id="244"/>
      <w:bookmarkEnd w:id="245"/>
      <w:bookmarkEnd w:id="246"/>
      <w:bookmarkEnd w:id="247"/>
    </w:p>
    <w:p>
      <w:pPr>
        <w:rPr>
          <w:rFonts w:ascii="宋体" w:hAnsi="宋体" w:cs="宋体"/>
          <w:color w:val="auto"/>
          <w:sz w:val="24"/>
          <w:highlight w:val="none"/>
        </w:rPr>
      </w:pPr>
      <w:r>
        <w:rPr>
          <w:rFonts w:hint="eastAsia" w:ascii="宋体" w:hAnsi="宋体" w:cs="宋体"/>
          <w:color w:val="auto"/>
          <w:sz w:val="24"/>
          <w:szCs w:val="24"/>
          <w:highlight w:val="none"/>
        </w:rPr>
        <w:t>本合同使用中文书写、解释和说明。如专用条件约定使用两种及以上语言文字时，应以中文为准。</w:t>
      </w:r>
    </w:p>
    <w:p>
      <w:pPr>
        <w:pStyle w:val="5"/>
        <w:keepNext w:val="0"/>
        <w:numPr>
          <w:ilvl w:val="2"/>
          <w:numId w:val="0"/>
        </w:numPr>
        <w:rPr>
          <w:b w:val="0"/>
          <w:bCs w:val="0"/>
          <w:color w:val="auto"/>
          <w:sz w:val="24"/>
          <w:szCs w:val="32"/>
          <w:highlight w:val="none"/>
        </w:rPr>
      </w:pPr>
      <w:bookmarkStart w:id="248" w:name="_Toc11174"/>
      <w:bookmarkStart w:id="249" w:name="_Toc16898"/>
      <w:bookmarkStart w:id="250" w:name="_Toc419045070"/>
      <w:bookmarkStart w:id="251" w:name="_Toc7512"/>
      <w:bookmarkStart w:id="252" w:name="_Toc13189"/>
      <w:bookmarkStart w:id="253" w:name="_Toc422322485"/>
      <w:bookmarkStart w:id="254" w:name="_Toc14836"/>
    </w:p>
    <w:p>
      <w:pPr>
        <w:pStyle w:val="5"/>
        <w:keepNext w:val="0"/>
        <w:numPr>
          <w:ilvl w:val="2"/>
          <w:numId w:val="0"/>
        </w:numPr>
        <w:rPr>
          <w:b w:val="0"/>
          <w:bCs w:val="0"/>
          <w:color w:val="auto"/>
          <w:sz w:val="24"/>
          <w:szCs w:val="32"/>
          <w:highlight w:val="none"/>
        </w:rPr>
      </w:pPr>
      <w:r>
        <w:rPr>
          <w:rFonts w:hint="eastAsia"/>
          <w:b w:val="0"/>
          <w:color w:val="auto"/>
          <w:sz w:val="24"/>
          <w:szCs w:val="32"/>
          <w:highlight w:val="none"/>
        </w:rPr>
        <w:t>1.3合同文件的优先顺序</w:t>
      </w:r>
      <w:bookmarkEnd w:id="248"/>
      <w:bookmarkEnd w:id="249"/>
      <w:bookmarkEnd w:id="250"/>
      <w:bookmarkEnd w:id="251"/>
      <w:bookmarkEnd w:id="252"/>
      <w:bookmarkEnd w:id="253"/>
      <w:bookmarkEnd w:id="254"/>
    </w:p>
    <w:p>
      <w:pPr>
        <w:rPr>
          <w:rFonts w:ascii="宋体" w:hAnsi="宋体" w:cs="宋体"/>
          <w:color w:val="auto"/>
          <w:sz w:val="24"/>
          <w:highlight w:val="none"/>
        </w:rPr>
      </w:pPr>
      <w:r>
        <w:rPr>
          <w:rFonts w:hint="eastAsia" w:ascii="宋体" w:hAnsi="宋体" w:cs="宋体"/>
          <w:color w:val="auto"/>
          <w:sz w:val="24"/>
          <w:szCs w:val="24"/>
          <w:highlight w:val="none"/>
        </w:rPr>
        <w:t>组成本合同的下列文件彼此应能相互解释、互为说明。除专用条件另有约定外，本合同文件的解释顺序如下：</w:t>
      </w:r>
    </w:p>
    <w:p>
      <w:pPr>
        <w:rPr>
          <w:rFonts w:ascii="宋体" w:hAnsi="宋体" w:cs="宋体"/>
          <w:color w:val="auto"/>
          <w:sz w:val="24"/>
          <w:highlight w:val="none"/>
        </w:rPr>
      </w:pPr>
      <w:r>
        <w:rPr>
          <w:rFonts w:hint="eastAsia" w:ascii="宋体" w:hAnsi="宋体" w:cs="宋体"/>
          <w:color w:val="auto"/>
          <w:sz w:val="24"/>
          <w:szCs w:val="24"/>
          <w:highlight w:val="none"/>
        </w:rPr>
        <w:t>1.协议书</w:t>
      </w:r>
    </w:p>
    <w:p>
      <w:pPr>
        <w:rPr>
          <w:rFonts w:ascii="宋体" w:hAnsi="宋体" w:cs="宋体"/>
          <w:color w:val="auto"/>
          <w:sz w:val="24"/>
          <w:highlight w:val="none"/>
        </w:rPr>
      </w:pPr>
      <w:r>
        <w:rPr>
          <w:rFonts w:hint="eastAsia" w:ascii="宋体" w:hAnsi="宋体" w:cs="宋体"/>
          <w:color w:val="auto"/>
          <w:sz w:val="24"/>
          <w:szCs w:val="24"/>
          <w:highlight w:val="none"/>
        </w:rPr>
        <w:t>2.中标通知书或委托书（如果有）；</w:t>
      </w:r>
    </w:p>
    <w:p>
      <w:pPr>
        <w:rPr>
          <w:rFonts w:ascii="宋体" w:hAnsi="宋体" w:cs="宋体"/>
          <w:color w:val="auto"/>
          <w:sz w:val="24"/>
          <w:highlight w:val="none"/>
        </w:rPr>
      </w:pPr>
      <w:r>
        <w:rPr>
          <w:rFonts w:hint="eastAsia" w:ascii="宋体" w:hAnsi="宋体" w:cs="宋体"/>
          <w:color w:val="auto"/>
          <w:sz w:val="24"/>
          <w:szCs w:val="24"/>
          <w:highlight w:val="none"/>
        </w:rPr>
        <w:t>3.专用条件及附录；</w:t>
      </w:r>
    </w:p>
    <w:p>
      <w:pPr>
        <w:rPr>
          <w:rFonts w:ascii="宋体" w:hAnsi="宋体" w:cs="宋体"/>
          <w:color w:val="auto"/>
          <w:sz w:val="24"/>
          <w:highlight w:val="none"/>
        </w:rPr>
      </w:pPr>
      <w:r>
        <w:rPr>
          <w:rFonts w:hint="eastAsia" w:ascii="宋体" w:hAnsi="宋体" w:cs="宋体"/>
          <w:color w:val="auto"/>
          <w:sz w:val="24"/>
          <w:szCs w:val="24"/>
          <w:highlight w:val="none"/>
        </w:rPr>
        <w:t>4.通用条件；</w:t>
      </w:r>
    </w:p>
    <w:p>
      <w:pPr>
        <w:rPr>
          <w:rFonts w:ascii="宋体" w:hAnsi="宋体" w:cs="宋体"/>
          <w:color w:val="auto"/>
          <w:sz w:val="24"/>
          <w:highlight w:val="none"/>
        </w:rPr>
      </w:pPr>
      <w:r>
        <w:rPr>
          <w:rFonts w:hint="eastAsia" w:ascii="宋体" w:hAnsi="宋体" w:cs="宋体"/>
          <w:color w:val="auto"/>
          <w:sz w:val="24"/>
          <w:szCs w:val="24"/>
          <w:highlight w:val="none"/>
        </w:rPr>
        <w:t>5.投标函及投标函附录或造价咨询服务建议书（如果有）；</w:t>
      </w:r>
    </w:p>
    <w:p>
      <w:pPr>
        <w:rPr>
          <w:rFonts w:ascii="宋体" w:hAnsi="宋体" w:cs="宋体"/>
          <w:color w:val="auto"/>
          <w:sz w:val="24"/>
          <w:highlight w:val="none"/>
        </w:rPr>
      </w:pPr>
      <w:r>
        <w:rPr>
          <w:rFonts w:hint="eastAsia" w:ascii="宋体" w:hAnsi="宋体" w:cs="宋体"/>
          <w:color w:val="auto"/>
          <w:sz w:val="24"/>
          <w:szCs w:val="24"/>
          <w:highlight w:val="none"/>
        </w:rPr>
        <w:t>6.其他合同文件。</w:t>
      </w:r>
    </w:p>
    <w:p>
      <w:pPr>
        <w:rPr>
          <w:rFonts w:ascii="宋体" w:hAnsi="宋体" w:cs="宋体"/>
          <w:color w:val="auto"/>
          <w:sz w:val="24"/>
          <w:highlight w:val="none"/>
        </w:rPr>
      </w:pPr>
      <w:r>
        <w:rPr>
          <w:rFonts w:hint="eastAsia" w:ascii="宋体" w:hAnsi="宋体" w:cs="宋体"/>
          <w:color w:val="auto"/>
          <w:sz w:val="24"/>
          <w:szCs w:val="24"/>
          <w:highlight w:val="none"/>
        </w:rPr>
        <w:t>上述各项合同文件包括合同当事人就该项合同文件所作出的补充和修改，属于同一类内容的文件，应以最新签署的为准。</w:t>
      </w:r>
    </w:p>
    <w:p>
      <w:pPr>
        <w:rPr>
          <w:rFonts w:ascii="宋体" w:hAnsi="宋体" w:cs="宋体"/>
          <w:color w:val="auto"/>
          <w:sz w:val="24"/>
          <w:highlight w:val="none"/>
        </w:rPr>
      </w:pPr>
      <w:r>
        <w:rPr>
          <w:rFonts w:hint="eastAsia" w:ascii="宋体" w:hAnsi="宋体" w:cs="宋体"/>
          <w:color w:val="auto"/>
          <w:sz w:val="24"/>
          <w:szCs w:val="24"/>
          <w:highlight w:val="none"/>
        </w:rPr>
        <w:t>在合同订立及履行过程中形成的与合同有关的文件均构成合同文件的组成部分。</w:t>
      </w:r>
    </w:p>
    <w:p>
      <w:pPr>
        <w:pStyle w:val="5"/>
        <w:keepNext w:val="0"/>
        <w:numPr>
          <w:ilvl w:val="2"/>
          <w:numId w:val="0"/>
        </w:numPr>
        <w:rPr>
          <w:b w:val="0"/>
          <w:bCs w:val="0"/>
          <w:color w:val="auto"/>
          <w:sz w:val="24"/>
          <w:szCs w:val="32"/>
          <w:highlight w:val="none"/>
        </w:rPr>
      </w:pPr>
      <w:bookmarkStart w:id="255" w:name="_Toc29"/>
      <w:bookmarkStart w:id="256" w:name="_Toc24738"/>
      <w:bookmarkStart w:id="257" w:name="_Toc24289"/>
      <w:bookmarkStart w:id="258" w:name="_Toc28848"/>
      <w:bookmarkStart w:id="259" w:name="_Toc21383"/>
      <w:bookmarkStart w:id="260" w:name="_Toc419045071"/>
      <w:bookmarkStart w:id="261" w:name="_Toc422322486"/>
    </w:p>
    <w:p>
      <w:pPr>
        <w:pStyle w:val="5"/>
        <w:keepNext w:val="0"/>
        <w:numPr>
          <w:ilvl w:val="2"/>
          <w:numId w:val="0"/>
        </w:numPr>
        <w:rPr>
          <w:b w:val="0"/>
          <w:bCs w:val="0"/>
          <w:color w:val="auto"/>
          <w:sz w:val="24"/>
          <w:szCs w:val="32"/>
          <w:highlight w:val="none"/>
        </w:rPr>
      </w:pPr>
      <w:r>
        <w:rPr>
          <w:rFonts w:hint="eastAsia"/>
          <w:b w:val="0"/>
          <w:color w:val="auto"/>
          <w:sz w:val="24"/>
          <w:szCs w:val="32"/>
          <w:highlight w:val="none"/>
        </w:rPr>
        <w:t>1.4适用法律</w:t>
      </w:r>
      <w:bookmarkEnd w:id="255"/>
      <w:bookmarkEnd w:id="256"/>
      <w:bookmarkEnd w:id="257"/>
      <w:bookmarkEnd w:id="258"/>
      <w:bookmarkEnd w:id="259"/>
      <w:bookmarkEnd w:id="260"/>
      <w:bookmarkEnd w:id="261"/>
    </w:p>
    <w:p>
      <w:pPr>
        <w:rPr>
          <w:rFonts w:ascii="宋体" w:hAnsi="宋体" w:cs="宋体"/>
          <w:color w:val="auto"/>
          <w:sz w:val="24"/>
          <w:highlight w:val="none"/>
        </w:rPr>
      </w:pPr>
      <w:r>
        <w:rPr>
          <w:rFonts w:hint="eastAsia" w:ascii="宋体" w:hAnsi="宋体" w:cs="宋体"/>
          <w:color w:val="auto"/>
          <w:sz w:val="24"/>
          <w:szCs w:val="24"/>
          <w:highlight w:val="none"/>
        </w:rPr>
        <w:t>本合同适用中华人民共和国法律、行政法规、部门规章以及工程所在地的地方性法规、自治条例、单行条例和地方政府规章等。</w:t>
      </w:r>
    </w:p>
    <w:p>
      <w:pPr>
        <w:rPr>
          <w:rFonts w:ascii="宋体" w:hAnsi="宋体" w:cs="宋体"/>
          <w:color w:val="auto"/>
          <w:sz w:val="24"/>
          <w:highlight w:val="none"/>
        </w:rPr>
      </w:pPr>
      <w:r>
        <w:rPr>
          <w:rFonts w:hint="eastAsia" w:ascii="宋体" w:hAnsi="宋体" w:cs="宋体"/>
          <w:color w:val="auto"/>
          <w:sz w:val="24"/>
          <w:szCs w:val="24"/>
          <w:highlight w:val="none"/>
        </w:rPr>
        <w:t>合同当事人可以在专用条件中约定本合同适用的其他规范、规程、定额、技术标准等规范性文件。</w:t>
      </w:r>
    </w:p>
    <w:p>
      <w:pPr>
        <w:pStyle w:val="5"/>
        <w:keepNext w:val="0"/>
        <w:numPr>
          <w:ilvl w:val="2"/>
          <w:numId w:val="0"/>
        </w:numPr>
        <w:rPr>
          <w:rFonts w:ascii="Arial" w:hAnsi="Arial" w:eastAsia="黑体"/>
          <w:bCs w:val="0"/>
          <w:color w:val="auto"/>
          <w:sz w:val="24"/>
          <w:szCs w:val="32"/>
          <w:highlight w:val="none"/>
        </w:rPr>
      </w:pPr>
      <w:bookmarkStart w:id="262" w:name="_Toc21268"/>
      <w:bookmarkStart w:id="263" w:name="_Toc22852"/>
      <w:bookmarkStart w:id="264" w:name="_Toc16745"/>
      <w:bookmarkStart w:id="265" w:name="_Toc22431"/>
      <w:bookmarkStart w:id="266" w:name="_Toc422322487"/>
      <w:bookmarkStart w:id="267" w:name="_Toc11586"/>
    </w:p>
    <w:p>
      <w:pPr>
        <w:pStyle w:val="5"/>
        <w:keepNext w:val="0"/>
        <w:numPr>
          <w:ilvl w:val="2"/>
          <w:numId w:val="0"/>
        </w:numPr>
        <w:rPr>
          <w:rFonts w:ascii="Arial" w:hAnsi="Arial" w:eastAsia="黑体"/>
          <w:bCs w:val="0"/>
          <w:color w:val="auto"/>
          <w:sz w:val="24"/>
          <w:szCs w:val="32"/>
          <w:highlight w:val="none"/>
        </w:rPr>
      </w:pPr>
      <w:r>
        <w:rPr>
          <w:rFonts w:hint="eastAsia" w:ascii="Arial" w:hAnsi="Arial" w:eastAsia="黑体"/>
          <w:color w:val="auto"/>
          <w:sz w:val="24"/>
          <w:szCs w:val="32"/>
          <w:highlight w:val="none"/>
        </w:rPr>
        <w:t>2.委托人的义务</w:t>
      </w:r>
      <w:bookmarkEnd w:id="262"/>
      <w:bookmarkEnd w:id="263"/>
      <w:bookmarkEnd w:id="264"/>
      <w:bookmarkEnd w:id="265"/>
      <w:bookmarkEnd w:id="266"/>
      <w:bookmarkEnd w:id="267"/>
    </w:p>
    <w:p>
      <w:pPr>
        <w:pStyle w:val="5"/>
        <w:keepNext w:val="0"/>
        <w:numPr>
          <w:ilvl w:val="2"/>
          <w:numId w:val="0"/>
        </w:numPr>
        <w:rPr>
          <w:b w:val="0"/>
          <w:bCs w:val="0"/>
          <w:color w:val="auto"/>
          <w:sz w:val="24"/>
          <w:szCs w:val="32"/>
          <w:highlight w:val="none"/>
        </w:rPr>
      </w:pPr>
      <w:bookmarkStart w:id="268" w:name="_Toc422322488"/>
      <w:bookmarkStart w:id="269" w:name="_Toc2517"/>
      <w:bookmarkStart w:id="270" w:name="_Toc19409"/>
      <w:bookmarkStart w:id="271" w:name="_Toc10779"/>
      <w:bookmarkStart w:id="272" w:name="_Toc13908"/>
      <w:bookmarkStart w:id="273" w:name="_Toc419045072"/>
      <w:bookmarkStart w:id="274" w:name="_Toc25901"/>
      <w:r>
        <w:rPr>
          <w:rFonts w:hint="eastAsia"/>
          <w:b w:val="0"/>
          <w:color w:val="auto"/>
          <w:sz w:val="24"/>
          <w:szCs w:val="32"/>
          <w:highlight w:val="none"/>
        </w:rPr>
        <w:t>2.1提供资料</w:t>
      </w:r>
      <w:bookmarkEnd w:id="268"/>
      <w:bookmarkEnd w:id="269"/>
      <w:bookmarkEnd w:id="270"/>
      <w:bookmarkEnd w:id="271"/>
      <w:bookmarkEnd w:id="272"/>
      <w:bookmarkEnd w:id="273"/>
      <w:bookmarkEnd w:id="274"/>
    </w:p>
    <w:p>
      <w:pPr>
        <w:rPr>
          <w:rFonts w:ascii="宋体" w:hAnsi="宋体" w:cs="宋体"/>
          <w:color w:val="auto"/>
          <w:sz w:val="24"/>
          <w:highlight w:val="none"/>
        </w:rPr>
      </w:pPr>
      <w:r>
        <w:rPr>
          <w:rFonts w:hint="eastAsia" w:ascii="宋体" w:hAnsi="宋体" w:cs="宋体"/>
          <w:color w:val="auto"/>
          <w:sz w:val="24"/>
          <w:szCs w:val="24"/>
          <w:highlight w:val="none"/>
        </w:rPr>
        <w:t>委托人应当在专用条件约定的时间内，按照附录C的约定无偿向咨询人提供与本合同咨询业务有关的资料。在本合同履行过程中，委托人应及时向咨询人提供最新的与本合同咨询业务有关的资料。委托人应对所提供资料的真实性、准确性、合法性与完整性负责。</w:t>
      </w:r>
    </w:p>
    <w:p>
      <w:pPr>
        <w:pStyle w:val="5"/>
        <w:keepNext w:val="0"/>
        <w:numPr>
          <w:ilvl w:val="2"/>
          <w:numId w:val="0"/>
        </w:numPr>
        <w:rPr>
          <w:b w:val="0"/>
          <w:bCs w:val="0"/>
          <w:color w:val="auto"/>
          <w:sz w:val="24"/>
          <w:szCs w:val="32"/>
          <w:highlight w:val="none"/>
        </w:rPr>
      </w:pPr>
      <w:bookmarkStart w:id="275" w:name="_Toc422322489"/>
      <w:bookmarkStart w:id="276" w:name="_Toc652"/>
      <w:bookmarkStart w:id="277" w:name="_Toc419045073"/>
      <w:bookmarkStart w:id="278" w:name="_Toc2295"/>
      <w:bookmarkStart w:id="279" w:name="_Toc7825"/>
      <w:bookmarkStart w:id="280" w:name="_Toc25810"/>
      <w:bookmarkStart w:id="281" w:name="_Toc31858"/>
    </w:p>
    <w:p>
      <w:pPr>
        <w:pStyle w:val="5"/>
        <w:keepNext w:val="0"/>
        <w:numPr>
          <w:ilvl w:val="2"/>
          <w:numId w:val="0"/>
        </w:numPr>
        <w:rPr>
          <w:b w:val="0"/>
          <w:bCs w:val="0"/>
          <w:color w:val="auto"/>
          <w:sz w:val="24"/>
          <w:szCs w:val="32"/>
          <w:highlight w:val="none"/>
        </w:rPr>
      </w:pPr>
      <w:r>
        <w:rPr>
          <w:rFonts w:hint="eastAsia"/>
          <w:b w:val="0"/>
          <w:color w:val="auto"/>
          <w:sz w:val="24"/>
          <w:szCs w:val="32"/>
          <w:highlight w:val="none"/>
        </w:rPr>
        <w:t>2.2提供工作条件</w:t>
      </w:r>
      <w:bookmarkEnd w:id="275"/>
      <w:bookmarkEnd w:id="276"/>
      <w:bookmarkEnd w:id="277"/>
      <w:bookmarkEnd w:id="278"/>
      <w:bookmarkEnd w:id="279"/>
      <w:bookmarkEnd w:id="280"/>
      <w:bookmarkEnd w:id="281"/>
    </w:p>
    <w:p>
      <w:pPr>
        <w:rPr>
          <w:rFonts w:ascii="宋体" w:hAnsi="宋体" w:cs="宋体"/>
          <w:color w:val="auto"/>
          <w:sz w:val="24"/>
          <w:highlight w:val="none"/>
        </w:rPr>
      </w:pPr>
      <w:r>
        <w:rPr>
          <w:rFonts w:hint="eastAsia" w:ascii="宋体" w:hAnsi="宋体" w:cs="宋体"/>
          <w:color w:val="auto"/>
          <w:sz w:val="24"/>
          <w:szCs w:val="24"/>
          <w:highlight w:val="none"/>
        </w:rPr>
        <w:t>委托人应为咨询人完成造价咨询提供必要的条件。</w:t>
      </w:r>
    </w:p>
    <w:p>
      <w:pPr>
        <w:rPr>
          <w:rFonts w:ascii="宋体" w:hAnsi="宋体" w:cs="宋体"/>
          <w:color w:val="auto"/>
          <w:sz w:val="24"/>
          <w:highlight w:val="none"/>
        </w:rPr>
      </w:pPr>
      <w:r>
        <w:rPr>
          <w:rFonts w:hint="eastAsia" w:ascii="宋体" w:hAnsi="宋体" w:cs="宋体"/>
          <w:color w:val="auto"/>
          <w:sz w:val="24"/>
          <w:szCs w:val="24"/>
          <w:highlight w:val="none"/>
        </w:rPr>
        <w:t>2.2.1委托人需要咨询人派驻项目现场咨询人员的，除专用条件另有约定外，项目咨</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rFonts w:ascii="宋体" w:hAnsi="宋体" w:cs="宋体"/>
          <w:color w:val="auto"/>
          <w:sz w:val="24"/>
          <w:highlight w:val="none"/>
        </w:rPr>
      </w:pPr>
      <w:r>
        <w:rPr>
          <w:rFonts w:hint="eastAsia" w:ascii="宋体" w:hAnsi="宋体" w:cs="宋体"/>
          <w:color w:val="auto"/>
          <w:sz w:val="24"/>
          <w:szCs w:val="24"/>
          <w:highlight w:val="none"/>
        </w:rPr>
        <w:t>询人员有权无偿使用附录D中由委托人提供的房屋及设备。</w:t>
      </w:r>
    </w:p>
    <w:p>
      <w:pPr>
        <w:rPr>
          <w:rFonts w:ascii="宋体" w:hAnsi="宋体" w:cs="宋体"/>
          <w:color w:val="auto"/>
          <w:sz w:val="24"/>
          <w:highlight w:val="none"/>
        </w:rPr>
      </w:pPr>
      <w:r>
        <w:rPr>
          <w:rFonts w:hint="eastAsia" w:ascii="宋体" w:hAnsi="宋体" w:cs="宋体"/>
          <w:color w:val="auto"/>
          <w:sz w:val="24"/>
          <w:szCs w:val="24"/>
          <w:highlight w:val="none"/>
        </w:rPr>
        <w:t>2.2.2委托人应负责与本工程造价咨询业务有关的所有外部关系的协调，为咨询人履行本合同提供必要的外部条件。</w:t>
      </w:r>
    </w:p>
    <w:p>
      <w:pPr>
        <w:pStyle w:val="5"/>
        <w:keepNext w:val="0"/>
        <w:numPr>
          <w:ilvl w:val="2"/>
          <w:numId w:val="0"/>
        </w:numPr>
        <w:rPr>
          <w:b w:val="0"/>
          <w:bCs w:val="0"/>
          <w:color w:val="auto"/>
          <w:sz w:val="24"/>
          <w:szCs w:val="32"/>
          <w:highlight w:val="none"/>
        </w:rPr>
      </w:pPr>
      <w:bookmarkStart w:id="282" w:name="_Toc419045074"/>
      <w:bookmarkStart w:id="283" w:name="_Toc3474"/>
      <w:bookmarkStart w:id="284" w:name="_Toc30162"/>
      <w:bookmarkStart w:id="285" w:name="_Toc422322490"/>
      <w:bookmarkStart w:id="286" w:name="_Toc23995"/>
      <w:bookmarkStart w:id="287" w:name="_Toc14383"/>
      <w:bookmarkStart w:id="288" w:name="_Toc18703"/>
      <w:r>
        <w:rPr>
          <w:rFonts w:hint="eastAsia"/>
          <w:b w:val="0"/>
          <w:color w:val="auto"/>
          <w:sz w:val="24"/>
          <w:szCs w:val="32"/>
          <w:highlight w:val="none"/>
        </w:rPr>
        <w:t>2.3合理工作时限</w:t>
      </w:r>
      <w:bookmarkEnd w:id="282"/>
      <w:bookmarkEnd w:id="283"/>
      <w:bookmarkEnd w:id="284"/>
      <w:bookmarkEnd w:id="285"/>
      <w:bookmarkEnd w:id="286"/>
      <w:bookmarkEnd w:id="287"/>
      <w:bookmarkEnd w:id="288"/>
    </w:p>
    <w:p>
      <w:pPr>
        <w:rPr>
          <w:rFonts w:ascii="宋体" w:hAnsi="宋体" w:cs="宋体"/>
          <w:color w:val="auto"/>
          <w:sz w:val="24"/>
          <w:highlight w:val="none"/>
        </w:rPr>
      </w:pPr>
      <w:r>
        <w:rPr>
          <w:rFonts w:hint="eastAsia" w:ascii="宋体" w:hAnsi="宋体" w:cs="宋体"/>
          <w:color w:val="auto"/>
          <w:sz w:val="24"/>
          <w:szCs w:val="24"/>
          <w:highlight w:val="none"/>
        </w:rPr>
        <w:t>委托人应当为咨询人完成其咨询工作，设定合理的工作时限。</w:t>
      </w:r>
    </w:p>
    <w:p>
      <w:pPr>
        <w:pStyle w:val="5"/>
        <w:keepNext w:val="0"/>
        <w:numPr>
          <w:ilvl w:val="2"/>
          <w:numId w:val="0"/>
        </w:numPr>
        <w:rPr>
          <w:b w:val="0"/>
          <w:bCs w:val="0"/>
          <w:color w:val="auto"/>
          <w:sz w:val="24"/>
          <w:szCs w:val="32"/>
          <w:highlight w:val="none"/>
        </w:rPr>
      </w:pPr>
      <w:bookmarkStart w:id="289" w:name="_Toc419045075"/>
      <w:bookmarkStart w:id="290" w:name="_Toc422322491"/>
      <w:bookmarkStart w:id="291" w:name="_Toc27192"/>
      <w:bookmarkStart w:id="292" w:name="_Toc17025"/>
      <w:bookmarkStart w:id="293" w:name="_Toc24760"/>
      <w:bookmarkStart w:id="294" w:name="_Toc20790"/>
      <w:bookmarkStart w:id="295" w:name="_Toc6463"/>
    </w:p>
    <w:p>
      <w:pPr>
        <w:pStyle w:val="5"/>
        <w:keepNext w:val="0"/>
        <w:numPr>
          <w:ilvl w:val="2"/>
          <w:numId w:val="0"/>
        </w:numPr>
        <w:rPr>
          <w:b w:val="0"/>
          <w:bCs w:val="0"/>
          <w:color w:val="auto"/>
          <w:sz w:val="24"/>
          <w:szCs w:val="32"/>
          <w:highlight w:val="none"/>
        </w:rPr>
      </w:pPr>
      <w:r>
        <w:rPr>
          <w:rFonts w:hint="eastAsia"/>
          <w:b w:val="0"/>
          <w:color w:val="auto"/>
          <w:sz w:val="24"/>
          <w:szCs w:val="32"/>
          <w:highlight w:val="none"/>
        </w:rPr>
        <w:t>2.4委托人代表</w:t>
      </w:r>
      <w:bookmarkEnd w:id="289"/>
      <w:bookmarkEnd w:id="290"/>
      <w:bookmarkEnd w:id="291"/>
      <w:bookmarkEnd w:id="292"/>
      <w:bookmarkEnd w:id="293"/>
      <w:bookmarkEnd w:id="294"/>
      <w:bookmarkEnd w:id="295"/>
    </w:p>
    <w:p>
      <w:pPr>
        <w:rPr>
          <w:rFonts w:ascii="宋体" w:hAnsi="宋体" w:cs="宋体"/>
          <w:color w:val="auto"/>
          <w:sz w:val="24"/>
          <w:highlight w:val="none"/>
        </w:rPr>
      </w:pPr>
      <w:r>
        <w:rPr>
          <w:rFonts w:hint="eastAsia" w:ascii="宋体" w:hAnsi="宋体" w:cs="宋体"/>
          <w:color w:val="auto"/>
          <w:sz w:val="24"/>
          <w:szCs w:val="24"/>
          <w:highlight w:val="none"/>
        </w:rPr>
        <w:t>委托人应授权一名代表负责本合同的履行。委托人应在双方签订本合同7日内，将委托人代表的姓名和权限范围书面告知咨询人。委托人更换委托人代表时，应提前7日书面通知咨询人。</w:t>
      </w:r>
    </w:p>
    <w:p>
      <w:pPr>
        <w:rPr>
          <w:rFonts w:ascii="宋体" w:hAnsi="宋体" w:cs="宋体"/>
          <w:color w:val="auto"/>
          <w:sz w:val="24"/>
          <w:highlight w:val="none"/>
        </w:rPr>
      </w:pPr>
      <w:bookmarkStart w:id="296" w:name="_Toc728"/>
      <w:bookmarkStart w:id="297" w:name="_Toc422322492"/>
      <w:bookmarkStart w:id="298" w:name="_Toc28808"/>
      <w:bookmarkStart w:id="299" w:name="_Toc31984"/>
      <w:bookmarkStart w:id="300" w:name="_Toc10616"/>
      <w:bookmarkStart w:id="301" w:name="_Toc419045076"/>
      <w:bookmarkStart w:id="302" w:name="_Toc23672"/>
    </w:p>
    <w:p>
      <w:pPr>
        <w:rPr>
          <w:rFonts w:ascii="宋体" w:hAnsi="宋体" w:cs="宋体"/>
          <w:color w:val="auto"/>
          <w:sz w:val="24"/>
          <w:highlight w:val="none"/>
        </w:rPr>
      </w:pPr>
      <w:r>
        <w:rPr>
          <w:rFonts w:hint="eastAsia" w:ascii="宋体" w:hAnsi="宋体" w:cs="宋体"/>
          <w:color w:val="auto"/>
          <w:sz w:val="24"/>
          <w:szCs w:val="24"/>
          <w:highlight w:val="none"/>
        </w:rPr>
        <w:t>2.5答复</w:t>
      </w:r>
      <w:bookmarkEnd w:id="296"/>
      <w:bookmarkEnd w:id="297"/>
      <w:bookmarkEnd w:id="298"/>
      <w:bookmarkEnd w:id="299"/>
      <w:bookmarkEnd w:id="300"/>
      <w:bookmarkEnd w:id="301"/>
      <w:bookmarkEnd w:id="302"/>
    </w:p>
    <w:p>
      <w:pPr>
        <w:rPr>
          <w:rFonts w:ascii="宋体" w:hAnsi="宋体" w:cs="宋体"/>
          <w:color w:val="auto"/>
          <w:sz w:val="24"/>
          <w:highlight w:val="none"/>
        </w:rPr>
      </w:pPr>
      <w:r>
        <w:rPr>
          <w:rFonts w:hint="eastAsia" w:ascii="宋体" w:hAnsi="宋体" w:cs="宋体"/>
          <w:color w:val="auto"/>
          <w:sz w:val="24"/>
          <w:szCs w:val="24"/>
          <w:highlight w:val="none"/>
        </w:rPr>
        <w:t>委托人应当在专用条件约定的时间内就咨询人以书面形式提交并要求做出答复的事宜给予书面答复。逾期未答复的，由此造成的工作延误和损失由委托人承担。</w:t>
      </w:r>
    </w:p>
    <w:p>
      <w:pPr>
        <w:rPr>
          <w:rFonts w:ascii="宋体" w:hAnsi="宋体" w:cs="宋体"/>
          <w:color w:val="auto"/>
          <w:sz w:val="24"/>
          <w:highlight w:val="none"/>
        </w:rPr>
      </w:pPr>
      <w:bookmarkStart w:id="303" w:name="_Toc419045077"/>
      <w:bookmarkStart w:id="304" w:name="_Toc4353"/>
      <w:bookmarkStart w:id="305" w:name="_Toc126"/>
      <w:bookmarkStart w:id="306" w:name="_Toc30242"/>
      <w:bookmarkStart w:id="307" w:name="_Toc422322493"/>
      <w:bookmarkStart w:id="308" w:name="_Toc2018"/>
      <w:bookmarkStart w:id="309" w:name="_Toc17086"/>
    </w:p>
    <w:p>
      <w:pPr>
        <w:rPr>
          <w:rFonts w:ascii="宋体" w:hAnsi="宋体" w:cs="宋体"/>
          <w:color w:val="auto"/>
          <w:sz w:val="24"/>
          <w:highlight w:val="none"/>
        </w:rPr>
      </w:pPr>
      <w:r>
        <w:rPr>
          <w:rFonts w:hint="eastAsia" w:ascii="宋体" w:hAnsi="宋体" w:cs="宋体"/>
          <w:color w:val="auto"/>
          <w:sz w:val="24"/>
          <w:szCs w:val="24"/>
          <w:highlight w:val="none"/>
        </w:rPr>
        <w:t>2.6支付</w:t>
      </w:r>
      <w:bookmarkEnd w:id="303"/>
      <w:bookmarkEnd w:id="304"/>
      <w:bookmarkEnd w:id="305"/>
      <w:bookmarkEnd w:id="306"/>
      <w:bookmarkEnd w:id="307"/>
      <w:bookmarkEnd w:id="308"/>
      <w:bookmarkEnd w:id="309"/>
    </w:p>
    <w:p>
      <w:pPr>
        <w:rPr>
          <w:rFonts w:ascii="宋体" w:hAnsi="宋体" w:cs="宋体"/>
          <w:color w:val="auto"/>
          <w:sz w:val="24"/>
          <w:highlight w:val="none"/>
        </w:rPr>
      </w:pPr>
      <w:r>
        <w:rPr>
          <w:rFonts w:hint="eastAsia" w:ascii="宋体" w:hAnsi="宋体" w:cs="宋体"/>
          <w:color w:val="auto"/>
          <w:sz w:val="24"/>
          <w:szCs w:val="24"/>
          <w:highlight w:val="none"/>
        </w:rPr>
        <w:t>委托人应当按照合同的约定，向咨询人支付酬金。</w:t>
      </w:r>
    </w:p>
    <w:p>
      <w:pPr>
        <w:pStyle w:val="5"/>
        <w:keepNext w:val="0"/>
        <w:numPr>
          <w:ilvl w:val="2"/>
          <w:numId w:val="0"/>
        </w:numPr>
        <w:rPr>
          <w:rFonts w:ascii="Arial" w:hAnsi="Arial" w:eastAsia="黑体"/>
          <w:bCs w:val="0"/>
          <w:color w:val="auto"/>
          <w:sz w:val="24"/>
          <w:szCs w:val="32"/>
          <w:highlight w:val="none"/>
        </w:rPr>
      </w:pPr>
      <w:bookmarkStart w:id="310" w:name="_Toc419045078"/>
      <w:bookmarkStart w:id="311" w:name="_Toc15987"/>
      <w:bookmarkStart w:id="312" w:name="_Toc16022"/>
      <w:bookmarkStart w:id="313" w:name="_Toc13591"/>
      <w:bookmarkStart w:id="314" w:name="_Toc15237"/>
      <w:bookmarkStart w:id="315" w:name="_Toc422322494"/>
      <w:bookmarkStart w:id="316" w:name="_Toc20366"/>
    </w:p>
    <w:p>
      <w:pPr>
        <w:pStyle w:val="5"/>
        <w:keepNext w:val="0"/>
        <w:numPr>
          <w:ilvl w:val="2"/>
          <w:numId w:val="0"/>
        </w:numPr>
        <w:rPr>
          <w:rFonts w:ascii="Arial" w:hAnsi="Arial" w:eastAsia="黑体"/>
          <w:bCs w:val="0"/>
          <w:color w:val="auto"/>
          <w:sz w:val="24"/>
          <w:szCs w:val="32"/>
          <w:highlight w:val="none"/>
        </w:rPr>
      </w:pPr>
      <w:r>
        <w:rPr>
          <w:rFonts w:hint="eastAsia" w:ascii="Arial" w:hAnsi="Arial" w:eastAsia="黑体"/>
          <w:color w:val="auto"/>
          <w:sz w:val="24"/>
          <w:szCs w:val="32"/>
          <w:highlight w:val="none"/>
        </w:rPr>
        <w:t>3.咨询人的义务</w:t>
      </w:r>
      <w:bookmarkEnd w:id="310"/>
      <w:bookmarkEnd w:id="311"/>
      <w:bookmarkEnd w:id="312"/>
      <w:bookmarkEnd w:id="313"/>
      <w:bookmarkEnd w:id="314"/>
      <w:bookmarkEnd w:id="315"/>
      <w:bookmarkEnd w:id="316"/>
    </w:p>
    <w:p>
      <w:pPr>
        <w:pStyle w:val="5"/>
        <w:keepNext w:val="0"/>
        <w:numPr>
          <w:ilvl w:val="2"/>
          <w:numId w:val="0"/>
        </w:numPr>
        <w:rPr>
          <w:b w:val="0"/>
          <w:bCs w:val="0"/>
          <w:color w:val="auto"/>
          <w:sz w:val="24"/>
          <w:szCs w:val="32"/>
          <w:highlight w:val="none"/>
        </w:rPr>
      </w:pPr>
      <w:bookmarkStart w:id="317" w:name="_Toc17923"/>
      <w:bookmarkStart w:id="318" w:name="_Toc419045080"/>
      <w:bookmarkStart w:id="319" w:name="_Toc12769"/>
      <w:bookmarkStart w:id="320" w:name="_Toc13068"/>
      <w:bookmarkStart w:id="321" w:name="_Toc422322495"/>
      <w:bookmarkStart w:id="322" w:name="_Toc8928"/>
      <w:bookmarkStart w:id="323" w:name="_Toc25886"/>
      <w:r>
        <w:rPr>
          <w:rFonts w:hint="eastAsia"/>
          <w:b w:val="0"/>
          <w:color w:val="auto"/>
          <w:sz w:val="24"/>
          <w:szCs w:val="32"/>
          <w:highlight w:val="none"/>
        </w:rPr>
        <w:t>3.1 项目咨询团队及人员</w:t>
      </w:r>
      <w:bookmarkEnd w:id="317"/>
      <w:bookmarkEnd w:id="318"/>
      <w:bookmarkEnd w:id="319"/>
      <w:bookmarkEnd w:id="320"/>
      <w:bookmarkEnd w:id="321"/>
      <w:bookmarkEnd w:id="322"/>
      <w:bookmarkEnd w:id="323"/>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3.1.1项目咨询团队的主要人员应具有专用条件约定的资格条件，团队人员的数量应符合专用条件的约定。</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3.1.2项目负责人</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咨询人应以书面形式授权一名项目负责人负责履行本合同、主持项目咨询团队工作。采用招标程序签署本合同的，项目负责人应当与投标文件载明的一致。</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3.1.3在本合同履行过程中，咨询人员应保持相对稳定，以保证咨询工作正常进行。</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咨询人可根据工程进展和工作需要等情形调整项目咨询团队人员。咨询人更换项目负责人时，应提前7日向委托人书面报告，经委托人同意后方可更换。除专用条件另有约定外，咨询人更换项目咨询团队其他咨询人员，应提前3日向委托人书面报告，经委托人同意后以相当资格与能力的人员替换。</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3.1.4咨询人员有下列情形之一，委托人要求咨询人更换的，咨询人应当更换：</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（1）存在严重过失行为的；</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（2）存在违法行为不能履行职责的；</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（3）涉嫌犯罪的；</w:t>
      </w:r>
    </w:p>
    <w:p>
      <w:pPr>
        <w:rPr>
          <w:color w:val="auto"/>
          <w:highlight w:val="none"/>
        </w:rPr>
      </w:pP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（4）不能胜任岗位职责的；</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（5）严重违反职业道德的；</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（6）专用条件约定的其他情形。</w:t>
      </w:r>
    </w:p>
    <w:p>
      <w:pPr>
        <w:pStyle w:val="5"/>
        <w:keepNext w:val="0"/>
        <w:numPr>
          <w:ilvl w:val="2"/>
          <w:numId w:val="0"/>
        </w:numPr>
        <w:rPr>
          <w:rFonts w:ascii="宋体" w:hAnsi="宋体" w:cs="宋体"/>
          <w:b w:val="0"/>
          <w:color w:val="auto"/>
          <w:sz w:val="24"/>
          <w:highlight w:val="none"/>
        </w:rPr>
      </w:pPr>
      <w:bookmarkStart w:id="324" w:name="_Toc422322496"/>
      <w:bookmarkStart w:id="325" w:name="_Toc2317"/>
      <w:bookmarkStart w:id="326" w:name="_Toc6566"/>
      <w:bookmarkStart w:id="327" w:name="_Toc15960"/>
      <w:bookmarkStart w:id="328" w:name="_Toc17943"/>
      <w:r>
        <w:rPr>
          <w:rFonts w:hint="eastAsia" w:ascii="宋体" w:hAnsi="宋体" w:cs="宋体"/>
          <w:b w:val="0"/>
          <w:bCs w:val="0"/>
          <w:color w:val="auto"/>
          <w:sz w:val="24"/>
          <w:highlight w:val="none"/>
        </w:rPr>
        <w:t>3.2 咨询人的工作要求</w:t>
      </w:r>
      <w:bookmarkEnd w:id="324"/>
      <w:bookmarkEnd w:id="325"/>
      <w:bookmarkEnd w:id="326"/>
      <w:bookmarkEnd w:id="327"/>
      <w:bookmarkEnd w:id="328"/>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3.2.1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3.2.2咨询人应当在专用条件约定的时间内，按照专用条件约定的份数、组成向委托人提交咨询成果文件。</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3.2.3咨询人提交的工程造价咨询成果文件，除加盖咨询人单位公章、工程造价咨询企业执业印章外，还必须按要求加盖参加咨询工作人员的执业（从业）资格印章。</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3.2.4咨询人应在专用条件约定的时间内，对委托人以书面形式提出的建议或者异议给予书面答复。</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3.2.5咨询人从事工程造价咨询活动，应当遵循独立、客观、公正、诚实信用的原则，不得损害社会公共利益和他人的合法权益。</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3.2.6咨询人承诺按照法律规定及合同约定，完成合同范围内的建设工程造价咨询服务，不转包承接的造价咨询服务业务。</w:t>
      </w:r>
    </w:p>
    <w:p>
      <w:pPr>
        <w:pStyle w:val="5"/>
        <w:keepNext w:val="0"/>
        <w:numPr>
          <w:ilvl w:val="2"/>
          <w:numId w:val="0"/>
        </w:numPr>
        <w:rPr>
          <w:rFonts w:ascii="宋体" w:hAnsi="宋体" w:cs="宋体"/>
          <w:b w:val="0"/>
          <w:color w:val="auto"/>
          <w:sz w:val="24"/>
          <w:highlight w:val="none"/>
        </w:rPr>
      </w:pPr>
      <w:bookmarkStart w:id="329" w:name="_Toc419045081"/>
      <w:bookmarkStart w:id="330" w:name="_Toc6317"/>
      <w:bookmarkStart w:id="331" w:name="_Toc6378"/>
      <w:bookmarkStart w:id="332" w:name="_Toc422322497"/>
      <w:bookmarkStart w:id="333" w:name="_Toc25495"/>
      <w:bookmarkStart w:id="334" w:name="_Toc15957"/>
      <w:bookmarkStart w:id="335" w:name="_Toc26263"/>
      <w:r>
        <w:rPr>
          <w:rFonts w:hint="eastAsia" w:ascii="宋体" w:hAnsi="宋体" w:cs="宋体"/>
          <w:b w:val="0"/>
          <w:bCs w:val="0"/>
          <w:color w:val="auto"/>
          <w:sz w:val="24"/>
          <w:highlight w:val="none"/>
        </w:rPr>
        <w:t>3.3咨询人的工作依据</w:t>
      </w:r>
      <w:bookmarkEnd w:id="329"/>
      <w:bookmarkEnd w:id="330"/>
      <w:bookmarkEnd w:id="331"/>
      <w:bookmarkEnd w:id="332"/>
      <w:bookmarkEnd w:id="333"/>
      <w:bookmarkEnd w:id="334"/>
      <w:bookmarkEnd w:id="335"/>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咨询人应在专用条件内与委托人协商明确履行本合同约定的咨询服务需要适用的技术标准、规范、定额等工作依据，但不得违反国家及工程所在地的强制性标准、规范。</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咨询人应自行配备本条所述的技术标准、规范、定额等相关资料。必须由委托人提供的资料，应在附录C中载明。需要委托人协助才能获得的资料，委托人应予以协助。</w:t>
      </w:r>
    </w:p>
    <w:p>
      <w:pPr>
        <w:pStyle w:val="5"/>
        <w:keepNext w:val="0"/>
        <w:numPr>
          <w:ilvl w:val="2"/>
          <w:numId w:val="0"/>
        </w:numPr>
        <w:rPr>
          <w:rFonts w:ascii="宋体" w:hAnsi="宋体" w:cs="宋体"/>
          <w:b w:val="0"/>
          <w:color w:val="auto"/>
          <w:sz w:val="24"/>
          <w:highlight w:val="none"/>
        </w:rPr>
      </w:pPr>
      <w:bookmarkStart w:id="336" w:name="_Toc28317"/>
      <w:bookmarkStart w:id="337" w:name="_Toc9489"/>
      <w:bookmarkStart w:id="338" w:name="_Toc419045082"/>
      <w:bookmarkStart w:id="339" w:name="_Toc422322498"/>
      <w:bookmarkStart w:id="340" w:name="_Toc29065"/>
      <w:bookmarkStart w:id="341" w:name="_Toc21429"/>
      <w:r>
        <w:rPr>
          <w:rFonts w:hint="eastAsia" w:ascii="宋体" w:hAnsi="宋体" w:cs="宋体"/>
          <w:b w:val="0"/>
          <w:bCs w:val="0"/>
          <w:color w:val="auto"/>
          <w:sz w:val="24"/>
          <w:highlight w:val="none"/>
        </w:rPr>
        <w:t>3.4使用委托人房屋及设备的返还</w:t>
      </w:r>
      <w:bookmarkEnd w:id="336"/>
      <w:bookmarkEnd w:id="337"/>
      <w:bookmarkEnd w:id="338"/>
      <w:bookmarkEnd w:id="339"/>
      <w:bookmarkEnd w:id="340"/>
      <w:bookmarkEnd w:id="341"/>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项目咨询人员使用委托人提供的房屋及设备的，咨询人应妥善使用和保管，在本合同终止时将上述房屋及设备按专用条件约定的时间和方式返还委托人。</w:t>
      </w:r>
    </w:p>
    <w:p>
      <w:pPr>
        <w:pStyle w:val="4"/>
        <w:spacing w:line="240" w:lineRule="auto"/>
        <w:rPr>
          <w:color w:val="auto"/>
          <w:highlight w:val="none"/>
        </w:rPr>
      </w:pPr>
      <w:bookmarkStart w:id="342" w:name="_Toc27871"/>
      <w:bookmarkStart w:id="343" w:name="_Toc20910"/>
      <w:bookmarkStart w:id="344" w:name="_Toc422322499"/>
      <w:bookmarkStart w:id="345" w:name="_Toc419045083"/>
      <w:bookmarkStart w:id="346" w:name="_Toc23023"/>
      <w:bookmarkStart w:id="347" w:name="_Toc11903"/>
      <w:bookmarkStart w:id="348" w:name="_Toc17520"/>
      <w:r>
        <w:rPr>
          <w:rFonts w:hint="eastAsia" w:ascii="Arial" w:hAnsi="Arial" w:eastAsia="黑体"/>
          <w:bCs/>
          <w:color w:val="auto"/>
          <w:szCs w:val="32"/>
          <w:highlight w:val="none"/>
        </w:rPr>
        <w:t>4.违约责任</w:t>
      </w:r>
      <w:bookmarkEnd w:id="342"/>
      <w:bookmarkEnd w:id="343"/>
      <w:bookmarkEnd w:id="344"/>
      <w:bookmarkEnd w:id="345"/>
      <w:bookmarkEnd w:id="346"/>
      <w:bookmarkEnd w:id="347"/>
      <w:bookmarkEnd w:id="348"/>
    </w:p>
    <w:p>
      <w:pPr>
        <w:pStyle w:val="5"/>
        <w:keepNext w:val="0"/>
        <w:numPr>
          <w:ilvl w:val="2"/>
          <w:numId w:val="0"/>
        </w:numPr>
        <w:rPr>
          <w:rFonts w:ascii="宋体" w:hAnsi="宋体" w:cs="宋体"/>
          <w:b w:val="0"/>
          <w:color w:val="auto"/>
          <w:sz w:val="24"/>
          <w:highlight w:val="none"/>
        </w:rPr>
      </w:pPr>
      <w:bookmarkStart w:id="349" w:name="_Toc5283"/>
      <w:bookmarkStart w:id="350" w:name="_Toc7652"/>
      <w:bookmarkStart w:id="351" w:name="_Toc422322500"/>
      <w:bookmarkStart w:id="352" w:name="_Toc23635"/>
      <w:bookmarkStart w:id="353" w:name="_Toc18233"/>
      <w:bookmarkStart w:id="354" w:name="_Toc26944"/>
      <w:r>
        <w:rPr>
          <w:rFonts w:hint="eastAsia" w:ascii="宋体" w:hAnsi="宋体" w:cs="宋体"/>
          <w:b w:val="0"/>
          <w:bCs w:val="0"/>
          <w:color w:val="auto"/>
          <w:sz w:val="24"/>
          <w:highlight w:val="none"/>
        </w:rPr>
        <w:t>4.1委托人的违约责任</w:t>
      </w:r>
      <w:bookmarkEnd w:id="349"/>
      <w:bookmarkEnd w:id="350"/>
      <w:bookmarkEnd w:id="351"/>
      <w:bookmarkEnd w:id="352"/>
      <w:bookmarkEnd w:id="353"/>
      <w:bookmarkEnd w:id="354"/>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4.1.1委托人不履行本合同义务或者履行义务不符合本合同约定的，应承担违约责任。双方可在专用条件中约定违约金的计算及支付方法。</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4.1.2委托人违反本合同约定造成咨询人损失的，委托人应予以赔偿。双方可在专用条件中约定赔偿金额的确定及支付方法。</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4.1.3委托人未能按期支付酬金超过14天，应按下列方法计算并支付逾期付款利息。逾期付款利息=当期应付款总额×中国人民银行发布的同期贷款基准利率×逾期支付天数（自逾期之日起计算）。双方也可在专用条件中另行约定逾期付款利息的计算及支付方法。</w:t>
      </w:r>
    </w:p>
    <w:p>
      <w:pPr>
        <w:pStyle w:val="5"/>
        <w:keepNext w:val="0"/>
        <w:numPr>
          <w:ilvl w:val="2"/>
          <w:numId w:val="0"/>
        </w:numPr>
        <w:rPr>
          <w:rFonts w:ascii="宋体" w:hAnsi="宋体" w:cs="宋体"/>
          <w:b w:val="0"/>
          <w:color w:val="auto"/>
          <w:sz w:val="24"/>
          <w:highlight w:val="none"/>
        </w:rPr>
      </w:pPr>
      <w:bookmarkStart w:id="355" w:name="_Toc24023"/>
      <w:bookmarkStart w:id="356" w:name="_Toc12824"/>
      <w:bookmarkStart w:id="357" w:name="_Toc15731"/>
      <w:bookmarkStart w:id="358" w:name="_Toc32574"/>
      <w:bookmarkStart w:id="359" w:name="_Toc419045084"/>
      <w:bookmarkStart w:id="360" w:name="_Toc422322501"/>
      <w:bookmarkStart w:id="361" w:name="_Toc19466"/>
      <w:r>
        <w:rPr>
          <w:rFonts w:hint="eastAsia" w:ascii="宋体" w:hAnsi="宋体" w:cs="宋体"/>
          <w:b w:val="0"/>
          <w:bCs w:val="0"/>
          <w:color w:val="auto"/>
          <w:sz w:val="24"/>
          <w:highlight w:val="none"/>
        </w:rPr>
        <w:t>4.2咨询人的违约责任</w:t>
      </w:r>
      <w:bookmarkEnd w:id="355"/>
      <w:bookmarkEnd w:id="356"/>
      <w:bookmarkEnd w:id="357"/>
      <w:bookmarkEnd w:id="358"/>
      <w:bookmarkEnd w:id="359"/>
      <w:bookmarkEnd w:id="360"/>
      <w:bookmarkEnd w:id="361"/>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4.2.1咨询人不履行本合同义务或者履行义务不符合本合同约定的，应承担违约责任。双方可在专用条件中约定违约金的计算及支付方法。</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4.2.2因咨询人违反本合同约定给委托人造成损失的，咨询人应当赔偿委托人损失。双方可在专用条件中约定赔偿金额的确定及支付方法。</w:t>
      </w:r>
    </w:p>
    <w:p>
      <w:pPr>
        <w:pStyle w:val="4"/>
        <w:spacing w:line="240" w:lineRule="auto"/>
        <w:rPr>
          <w:color w:val="auto"/>
          <w:highlight w:val="none"/>
        </w:rPr>
      </w:pPr>
      <w:bookmarkStart w:id="362" w:name="_Toc2887"/>
      <w:bookmarkStart w:id="363" w:name="_Toc21765"/>
      <w:bookmarkStart w:id="364" w:name="_Toc28323"/>
      <w:bookmarkStart w:id="365" w:name="_Toc419045086"/>
      <w:bookmarkStart w:id="366" w:name="_Toc26453"/>
      <w:bookmarkStart w:id="367" w:name="_Toc422322502"/>
      <w:bookmarkStart w:id="368" w:name="_Toc18785"/>
      <w:r>
        <w:rPr>
          <w:rFonts w:hint="eastAsia" w:ascii="Arial" w:hAnsi="Arial" w:eastAsia="黑体"/>
          <w:bCs/>
          <w:color w:val="auto"/>
          <w:szCs w:val="32"/>
          <w:highlight w:val="none"/>
        </w:rPr>
        <w:t>5.支付</w:t>
      </w:r>
      <w:bookmarkEnd w:id="362"/>
      <w:bookmarkEnd w:id="363"/>
      <w:bookmarkEnd w:id="364"/>
      <w:bookmarkEnd w:id="365"/>
      <w:bookmarkEnd w:id="366"/>
      <w:bookmarkEnd w:id="367"/>
      <w:bookmarkEnd w:id="368"/>
    </w:p>
    <w:p>
      <w:pPr>
        <w:pStyle w:val="5"/>
        <w:keepNext w:val="0"/>
        <w:numPr>
          <w:ilvl w:val="2"/>
          <w:numId w:val="0"/>
        </w:numPr>
        <w:rPr>
          <w:rFonts w:ascii="宋体" w:hAnsi="宋体" w:cs="宋体"/>
          <w:b w:val="0"/>
          <w:color w:val="auto"/>
          <w:sz w:val="24"/>
          <w:highlight w:val="none"/>
        </w:rPr>
      </w:pPr>
      <w:bookmarkStart w:id="369" w:name="_Toc21507"/>
      <w:bookmarkStart w:id="370" w:name="_Toc422322503"/>
      <w:bookmarkStart w:id="371" w:name="_Toc30452"/>
      <w:bookmarkStart w:id="372" w:name="_Toc12138"/>
      <w:bookmarkStart w:id="373" w:name="_Toc13325"/>
      <w:bookmarkStart w:id="374" w:name="_Toc3245"/>
      <w:bookmarkStart w:id="375" w:name="_Toc419045087"/>
      <w:r>
        <w:rPr>
          <w:rFonts w:hint="eastAsia" w:ascii="宋体" w:hAnsi="宋体" w:cs="宋体"/>
          <w:b w:val="0"/>
          <w:bCs w:val="0"/>
          <w:color w:val="auto"/>
          <w:sz w:val="24"/>
          <w:highlight w:val="none"/>
        </w:rPr>
        <w:t>5.1支付货币</w:t>
      </w:r>
      <w:bookmarkEnd w:id="369"/>
      <w:bookmarkEnd w:id="370"/>
      <w:bookmarkEnd w:id="371"/>
      <w:bookmarkEnd w:id="372"/>
      <w:bookmarkEnd w:id="373"/>
      <w:bookmarkEnd w:id="374"/>
      <w:bookmarkEnd w:id="375"/>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除专用条件另有约定外，酬金均以人民币支付。涉及外币支付的，所采用的货币种类和汇率等在专用条件中约定。</w:t>
      </w:r>
    </w:p>
    <w:p>
      <w:pPr>
        <w:pStyle w:val="5"/>
        <w:keepNext w:val="0"/>
        <w:numPr>
          <w:ilvl w:val="2"/>
          <w:numId w:val="0"/>
        </w:numPr>
        <w:rPr>
          <w:rFonts w:ascii="宋体" w:hAnsi="宋体" w:cs="宋体"/>
          <w:b w:val="0"/>
          <w:color w:val="auto"/>
          <w:sz w:val="24"/>
          <w:highlight w:val="none"/>
        </w:rPr>
      </w:pPr>
      <w:bookmarkStart w:id="376" w:name="_Toc28288"/>
      <w:bookmarkStart w:id="377" w:name="_Toc31664"/>
      <w:bookmarkStart w:id="378" w:name="_Toc15157"/>
      <w:bookmarkStart w:id="379" w:name="_Toc422322504"/>
      <w:bookmarkStart w:id="380" w:name="_Toc6766"/>
      <w:bookmarkStart w:id="381" w:name="_Toc23400"/>
      <w:r>
        <w:rPr>
          <w:rFonts w:hint="eastAsia" w:ascii="宋体" w:hAnsi="宋体" w:cs="宋体"/>
          <w:b w:val="0"/>
          <w:bCs w:val="0"/>
          <w:color w:val="auto"/>
          <w:sz w:val="24"/>
          <w:highlight w:val="none"/>
        </w:rPr>
        <w:t>5.2支付申请</w:t>
      </w:r>
      <w:bookmarkEnd w:id="376"/>
      <w:bookmarkEnd w:id="377"/>
      <w:bookmarkEnd w:id="378"/>
      <w:bookmarkEnd w:id="379"/>
      <w:bookmarkEnd w:id="380"/>
      <w:bookmarkEnd w:id="381"/>
    </w:p>
    <w:p>
      <w:pPr>
        <w:rPr>
          <w:rFonts w:ascii="宋体" w:hAnsi="宋体" w:cs="宋体"/>
          <w:color w:val="auto"/>
          <w:sz w:val="24"/>
          <w:highlight w:val="none"/>
        </w:rPr>
      </w:pPr>
      <w:r>
        <w:rPr>
          <w:rFonts w:hint="eastAsia" w:ascii="宋体" w:hAnsi="宋体" w:cs="宋体"/>
          <w:color w:val="auto"/>
          <w:sz w:val="24"/>
          <w:szCs w:val="24"/>
          <w:highlight w:val="none"/>
        </w:rPr>
        <w:t>咨询人应在本合同约定的每次应付款日期前，向委托人提交支付申请书，支付申请书的提交日期由双方在专用条件中约定。支付申请书应当说明当期应付款总额，并列出当期应支付的款项及其金额。</w:t>
      </w:r>
    </w:p>
    <w:p>
      <w:pPr>
        <w:pStyle w:val="5"/>
        <w:keepNext w:val="0"/>
        <w:numPr>
          <w:ilvl w:val="2"/>
          <w:numId w:val="0"/>
        </w:numPr>
        <w:rPr>
          <w:rFonts w:ascii="宋体" w:hAnsi="宋体" w:cs="宋体"/>
          <w:b w:val="0"/>
          <w:color w:val="auto"/>
          <w:sz w:val="24"/>
          <w:highlight w:val="none"/>
        </w:rPr>
      </w:pPr>
      <w:bookmarkStart w:id="382" w:name="_Toc26653"/>
      <w:bookmarkStart w:id="383" w:name="_Toc12369"/>
      <w:bookmarkStart w:id="384" w:name="_Toc4686"/>
      <w:bookmarkStart w:id="385" w:name="_Toc8021"/>
      <w:bookmarkStart w:id="386" w:name="_Toc422322505"/>
      <w:bookmarkStart w:id="387" w:name="_Toc3639"/>
      <w:r>
        <w:rPr>
          <w:rFonts w:hint="eastAsia" w:ascii="宋体" w:hAnsi="宋体" w:cs="宋体"/>
          <w:b w:val="0"/>
          <w:bCs w:val="0"/>
          <w:color w:val="auto"/>
          <w:sz w:val="24"/>
          <w:highlight w:val="none"/>
        </w:rPr>
        <w:t>5.3 支付酬金</w:t>
      </w:r>
      <w:bookmarkEnd w:id="382"/>
      <w:bookmarkEnd w:id="383"/>
      <w:bookmarkEnd w:id="384"/>
      <w:bookmarkEnd w:id="385"/>
      <w:bookmarkEnd w:id="386"/>
      <w:bookmarkEnd w:id="387"/>
    </w:p>
    <w:p>
      <w:pPr>
        <w:rPr>
          <w:rFonts w:ascii="宋体" w:hAnsi="宋体" w:cs="宋体"/>
          <w:color w:val="auto"/>
          <w:sz w:val="24"/>
          <w:highlight w:val="none"/>
        </w:rPr>
      </w:pPr>
      <w:r>
        <w:rPr>
          <w:rFonts w:hint="eastAsia" w:ascii="宋体" w:hAnsi="宋体" w:cs="宋体"/>
          <w:color w:val="auto"/>
          <w:sz w:val="24"/>
          <w:szCs w:val="24"/>
          <w:highlight w:val="none"/>
        </w:rPr>
        <w:t>支付酬金包括正常工作酬金、附加工作酬金、合理化建议奖励金额及费用。</w:t>
      </w:r>
    </w:p>
    <w:p>
      <w:pPr>
        <w:pStyle w:val="5"/>
        <w:keepNext w:val="0"/>
        <w:numPr>
          <w:ilvl w:val="2"/>
          <w:numId w:val="0"/>
        </w:numPr>
        <w:rPr>
          <w:rFonts w:ascii="宋体" w:hAnsi="宋体" w:cs="宋体"/>
          <w:b w:val="0"/>
          <w:color w:val="auto"/>
          <w:sz w:val="24"/>
          <w:highlight w:val="none"/>
        </w:rPr>
      </w:pPr>
      <w:bookmarkStart w:id="388" w:name="_Toc14295"/>
      <w:bookmarkStart w:id="389" w:name="_Toc757"/>
      <w:bookmarkStart w:id="390" w:name="_Toc422322506"/>
      <w:bookmarkStart w:id="391" w:name="_Toc7190"/>
      <w:bookmarkStart w:id="392" w:name="_Toc17255"/>
      <w:bookmarkStart w:id="393" w:name="_Toc15614"/>
      <w:r>
        <w:rPr>
          <w:rFonts w:hint="eastAsia" w:ascii="宋体" w:hAnsi="宋体" w:cs="宋体"/>
          <w:b w:val="0"/>
          <w:bCs w:val="0"/>
          <w:color w:val="auto"/>
          <w:sz w:val="24"/>
          <w:highlight w:val="none"/>
        </w:rPr>
        <w:t>5.4有异议部分的支付</w:t>
      </w:r>
      <w:bookmarkEnd w:id="388"/>
      <w:bookmarkEnd w:id="389"/>
      <w:bookmarkEnd w:id="390"/>
      <w:bookmarkEnd w:id="391"/>
      <w:bookmarkEnd w:id="392"/>
      <w:bookmarkEnd w:id="393"/>
    </w:p>
    <w:p>
      <w:pPr>
        <w:rPr>
          <w:rFonts w:ascii="宋体" w:hAnsi="宋体" w:cs="宋体"/>
          <w:color w:val="auto"/>
          <w:sz w:val="24"/>
          <w:highlight w:val="none"/>
        </w:rPr>
      </w:pPr>
      <w:r>
        <w:rPr>
          <w:rFonts w:hint="eastAsia" w:ascii="宋体" w:hAnsi="宋体" w:cs="宋体"/>
          <w:color w:val="auto"/>
          <w:sz w:val="24"/>
          <w:szCs w:val="24"/>
          <w:highlight w:val="none"/>
        </w:rPr>
        <w:t>委托人对咨询人提交的支付申请书有异议时，应当在收到咨询人提交的支付申请书后7日内，以书面形式向咨询人发出异议通知。无异议部分的款项应按期支付，有异议部分的款项按第7条约定办理。</w:t>
      </w:r>
      <w:bookmarkStart w:id="394" w:name="_Toc27451"/>
      <w:bookmarkStart w:id="395" w:name="_Toc422322507"/>
      <w:bookmarkStart w:id="396" w:name="_Toc25164"/>
      <w:bookmarkStart w:id="397" w:name="_Toc14322"/>
      <w:bookmarkStart w:id="398" w:name="_Toc2337"/>
      <w:bookmarkStart w:id="399" w:name="_Toc419045088"/>
      <w:bookmarkStart w:id="400" w:name="_Toc28193"/>
    </w:p>
    <w:p>
      <w:pPr>
        <w:rPr>
          <w:rFonts w:ascii="Arial" w:hAnsi="Arial" w:eastAsia="黑体"/>
          <w:b/>
          <w:bCs/>
          <w:color w:val="auto"/>
          <w:sz w:val="24"/>
          <w:szCs w:val="32"/>
          <w:highlight w:val="none"/>
        </w:rPr>
      </w:pPr>
    </w:p>
    <w:p>
      <w:pPr>
        <w:rPr>
          <w:rFonts w:ascii="Arial" w:hAnsi="Arial" w:eastAsia="黑体"/>
          <w:b/>
          <w:bCs/>
          <w:color w:val="auto"/>
          <w:sz w:val="24"/>
          <w:szCs w:val="32"/>
          <w:highlight w:val="none"/>
        </w:rPr>
      </w:pPr>
      <w:r>
        <w:rPr>
          <w:rFonts w:hint="eastAsia" w:ascii="Arial" w:hAnsi="Arial" w:eastAsia="黑体"/>
          <w:b/>
          <w:bCs/>
          <w:color w:val="auto"/>
          <w:sz w:val="24"/>
          <w:szCs w:val="32"/>
          <w:highlight w:val="none"/>
        </w:rPr>
        <w:t>6.合同变更、解除与终止</w:t>
      </w:r>
      <w:bookmarkEnd w:id="394"/>
      <w:bookmarkEnd w:id="395"/>
      <w:bookmarkEnd w:id="396"/>
      <w:bookmarkEnd w:id="397"/>
      <w:bookmarkEnd w:id="398"/>
      <w:bookmarkEnd w:id="399"/>
      <w:bookmarkEnd w:id="400"/>
    </w:p>
    <w:p>
      <w:pPr>
        <w:pStyle w:val="5"/>
        <w:keepNext w:val="0"/>
        <w:numPr>
          <w:ilvl w:val="2"/>
          <w:numId w:val="0"/>
        </w:numPr>
        <w:rPr>
          <w:rFonts w:ascii="宋体" w:hAnsi="宋体" w:cs="宋体"/>
          <w:b w:val="0"/>
          <w:color w:val="auto"/>
          <w:sz w:val="24"/>
          <w:highlight w:val="none"/>
        </w:rPr>
      </w:pPr>
      <w:bookmarkStart w:id="401" w:name="_Toc23786"/>
      <w:bookmarkStart w:id="402" w:name="_Toc11061"/>
      <w:bookmarkStart w:id="403" w:name="_Toc7507"/>
      <w:bookmarkStart w:id="404" w:name="_Toc1990"/>
      <w:bookmarkStart w:id="405" w:name="_Toc23109"/>
      <w:r>
        <w:rPr>
          <w:rFonts w:hint="eastAsia" w:ascii="宋体" w:hAnsi="宋体" w:cs="宋体"/>
          <w:b w:val="0"/>
          <w:bCs w:val="0"/>
          <w:color w:val="auto"/>
          <w:sz w:val="24"/>
          <w:highlight w:val="none"/>
        </w:rPr>
        <w:t>6.1合同变更</w:t>
      </w:r>
      <w:bookmarkEnd w:id="401"/>
      <w:bookmarkEnd w:id="402"/>
      <w:bookmarkEnd w:id="403"/>
      <w:bookmarkEnd w:id="404"/>
      <w:bookmarkEnd w:id="405"/>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6.1.1 任何一方以书面形式提出变更请求时，双方经协商一致后可进行变更。</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6.1.2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6.1.3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　　6.1.4 因工程规模、服务范围及工作内容的变化等导致咨询人的工作量增减时，服务酬金应作相应调整，调整方法由双方在专用条件中约定。</w:t>
      </w:r>
    </w:p>
    <w:p>
      <w:pPr>
        <w:pStyle w:val="5"/>
        <w:keepNext w:val="0"/>
        <w:numPr>
          <w:ilvl w:val="2"/>
          <w:numId w:val="0"/>
        </w:numPr>
        <w:rPr>
          <w:rFonts w:ascii="宋体" w:hAnsi="宋体" w:cs="宋体"/>
          <w:b w:val="0"/>
          <w:color w:val="auto"/>
          <w:sz w:val="24"/>
          <w:highlight w:val="none"/>
        </w:rPr>
      </w:pPr>
      <w:bookmarkStart w:id="406" w:name="_Toc419045090"/>
      <w:bookmarkStart w:id="407" w:name="_Toc29579"/>
      <w:bookmarkStart w:id="408" w:name="_Toc22483"/>
      <w:bookmarkStart w:id="409" w:name="_Toc5018"/>
      <w:bookmarkStart w:id="410" w:name="_Toc25864"/>
      <w:bookmarkStart w:id="411" w:name="_Toc422322509"/>
      <w:bookmarkStart w:id="412" w:name="_Toc23545"/>
      <w:r>
        <w:rPr>
          <w:rFonts w:hint="eastAsia" w:ascii="宋体" w:hAnsi="宋体" w:cs="宋体"/>
          <w:b w:val="0"/>
          <w:bCs w:val="0"/>
          <w:color w:val="auto"/>
          <w:sz w:val="24"/>
          <w:highlight w:val="none"/>
        </w:rPr>
        <w:t>6.2合同解除</w:t>
      </w:r>
      <w:bookmarkEnd w:id="406"/>
      <w:bookmarkEnd w:id="407"/>
      <w:bookmarkEnd w:id="408"/>
      <w:bookmarkEnd w:id="409"/>
      <w:bookmarkEnd w:id="410"/>
      <w:bookmarkEnd w:id="411"/>
      <w:bookmarkEnd w:id="412"/>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6.2.1 委托人与咨询人协商一致，可以解除合同。</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6.2.2 有下列情形之一的，合同当事人一方或双方可以解除合同：</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（1）咨询人将本合同约定的工程造价咨询服务工作全部或部分转包给他人，委托人可以解除合同；</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（2）咨询人提供的造价咨询服务不符合合同约定的要求，经委托人催告仍不能达到合同约定要求的，委托人可以解除合同；</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（3）委托人未按合同约定支付服务酬金，经咨询人催告后，在28天内仍未支付的，咨询人可以解除合同；</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（4）因不可抗力致使合同无法履行；</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（5）因一方违约致使合同无法实际履行或实际履行已无必要。</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除上述情形外，双方可以根据委托的服务范围及工作内容，在专用条件中约定解除合同的其他条件。</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6.2.3 任何一方提出解除合同的，应提前30天书面通知对方。</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6.2.4合同解除后，委托人应按照合同约定向咨询人支付已完成部分的咨询服务酬金。</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pPr>
        <w:rPr>
          <w:color w:val="auto"/>
          <w:highlight w:val="none"/>
        </w:rPr>
      </w:pPr>
    </w:p>
    <w:p>
      <w:pPr>
        <w:rPr>
          <w:rFonts w:ascii="宋体" w:hAnsi="宋体" w:cs="宋体"/>
          <w:color w:val="auto"/>
          <w:sz w:val="24"/>
          <w:highlight w:val="none"/>
        </w:rPr>
      </w:pPr>
      <w:r>
        <w:rPr>
          <w:rFonts w:hint="eastAsia" w:ascii="宋体" w:hAnsi="宋体" w:cs="宋体"/>
          <w:color w:val="auto"/>
          <w:sz w:val="24"/>
          <w:szCs w:val="24"/>
          <w:highlight w:val="none"/>
        </w:rPr>
        <w:t>6.2.5本合同解除后，本合同约定的有关结算、争议解决方式的条款仍然有效。</w:t>
      </w:r>
    </w:p>
    <w:p>
      <w:pPr>
        <w:pStyle w:val="5"/>
        <w:keepNext w:val="0"/>
        <w:numPr>
          <w:ilvl w:val="2"/>
          <w:numId w:val="0"/>
        </w:numPr>
        <w:rPr>
          <w:rFonts w:ascii="宋体" w:hAnsi="宋体" w:cs="宋体"/>
          <w:b w:val="0"/>
          <w:color w:val="auto"/>
          <w:sz w:val="24"/>
          <w:highlight w:val="none"/>
        </w:rPr>
      </w:pPr>
      <w:bookmarkStart w:id="413" w:name="_Toc19651"/>
      <w:bookmarkStart w:id="414" w:name="_Toc1542"/>
      <w:bookmarkStart w:id="415" w:name="_Toc9148"/>
      <w:bookmarkStart w:id="416" w:name="_Toc23706"/>
      <w:bookmarkStart w:id="417" w:name="_Toc422322510"/>
      <w:bookmarkStart w:id="418" w:name="_Toc6807"/>
      <w:r>
        <w:rPr>
          <w:rFonts w:hint="eastAsia" w:ascii="宋体" w:hAnsi="宋体" w:cs="宋体"/>
          <w:b w:val="0"/>
          <w:bCs w:val="0"/>
          <w:color w:val="auto"/>
          <w:sz w:val="24"/>
          <w:highlight w:val="none"/>
        </w:rPr>
        <w:t>6.3 合同终止</w:t>
      </w:r>
      <w:bookmarkEnd w:id="413"/>
      <w:bookmarkEnd w:id="414"/>
      <w:bookmarkEnd w:id="415"/>
      <w:bookmarkEnd w:id="416"/>
      <w:bookmarkEnd w:id="417"/>
      <w:bookmarkEnd w:id="418"/>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除合同解除外，以下条件全部满足时，本合同终止：</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（1）咨询人完成本合同约定的全部工作；</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（2）委托人与咨询人结清并支付酬金；</w:t>
      </w:r>
    </w:p>
    <w:p>
      <w:pPr>
        <w:rPr>
          <w:rFonts w:ascii="宋体" w:hAnsi="宋体" w:cs="宋体"/>
          <w:color w:val="auto"/>
          <w:sz w:val="24"/>
          <w:highlight w:val="none"/>
        </w:rPr>
      </w:pPr>
      <w:r>
        <w:rPr>
          <w:rFonts w:hint="eastAsia" w:ascii="宋体" w:hAnsi="宋体" w:cs="宋体"/>
          <w:color w:val="auto"/>
          <w:sz w:val="24"/>
          <w:szCs w:val="24"/>
          <w:highlight w:val="none"/>
        </w:rPr>
        <w:t>（3）咨询人将委托人提供的资料交还。</w:t>
      </w:r>
    </w:p>
    <w:p>
      <w:pPr>
        <w:pStyle w:val="4"/>
        <w:spacing w:line="240" w:lineRule="auto"/>
        <w:rPr>
          <w:color w:val="auto"/>
          <w:highlight w:val="none"/>
        </w:rPr>
      </w:pPr>
      <w:bookmarkStart w:id="419" w:name="_Toc16911"/>
      <w:bookmarkStart w:id="420" w:name="_Toc5365"/>
      <w:bookmarkStart w:id="421" w:name="_Toc419045091"/>
      <w:bookmarkStart w:id="422" w:name="_Toc3322"/>
      <w:bookmarkStart w:id="423" w:name="_Toc9495"/>
      <w:bookmarkStart w:id="424" w:name="_Toc422322511"/>
      <w:bookmarkStart w:id="425" w:name="_Toc12692"/>
      <w:r>
        <w:rPr>
          <w:rFonts w:hint="eastAsia" w:ascii="Arial" w:hAnsi="Arial" w:eastAsia="黑体"/>
          <w:bCs/>
          <w:color w:val="auto"/>
          <w:szCs w:val="32"/>
          <w:highlight w:val="none"/>
        </w:rPr>
        <w:t>7.争议解决</w:t>
      </w:r>
      <w:bookmarkEnd w:id="419"/>
      <w:bookmarkEnd w:id="420"/>
      <w:bookmarkEnd w:id="421"/>
      <w:bookmarkEnd w:id="422"/>
      <w:bookmarkEnd w:id="423"/>
      <w:bookmarkEnd w:id="424"/>
      <w:bookmarkEnd w:id="425"/>
    </w:p>
    <w:p>
      <w:pPr>
        <w:rPr>
          <w:rFonts w:ascii="宋体" w:hAnsi="宋体" w:cs="宋体"/>
          <w:color w:val="auto"/>
          <w:sz w:val="24"/>
          <w:highlight w:val="none"/>
        </w:rPr>
      </w:pPr>
      <w:bookmarkStart w:id="426" w:name="_Toc419045092"/>
      <w:bookmarkStart w:id="427" w:name="_Toc22079"/>
      <w:bookmarkStart w:id="428" w:name="_Toc11217"/>
      <w:bookmarkStart w:id="429" w:name="_Toc23618"/>
      <w:bookmarkStart w:id="430" w:name="_Toc25155"/>
      <w:bookmarkStart w:id="431" w:name="_Toc15776"/>
      <w:bookmarkStart w:id="432" w:name="_Toc422322512"/>
      <w:r>
        <w:rPr>
          <w:rFonts w:hint="eastAsia" w:ascii="宋体" w:hAnsi="宋体" w:cs="宋体"/>
          <w:color w:val="auto"/>
          <w:sz w:val="24"/>
          <w:szCs w:val="24"/>
          <w:highlight w:val="none"/>
        </w:rPr>
        <w:t>7.1协商</w:t>
      </w:r>
      <w:bookmarkEnd w:id="426"/>
      <w:bookmarkEnd w:id="427"/>
      <w:bookmarkEnd w:id="428"/>
      <w:bookmarkEnd w:id="429"/>
      <w:bookmarkEnd w:id="430"/>
      <w:bookmarkEnd w:id="431"/>
      <w:bookmarkEnd w:id="432"/>
    </w:p>
    <w:p>
      <w:pPr>
        <w:rPr>
          <w:rFonts w:ascii="宋体" w:hAnsi="宋体" w:cs="宋体"/>
          <w:color w:val="auto"/>
          <w:sz w:val="24"/>
          <w:highlight w:val="none"/>
        </w:rPr>
      </w:pPr>
      <w:r>
        <w:rPr>
          <w:rFonts w:hint="eastAsia" w:ascii="宋体" w:hAnsi="宋体" w:cs="宋体"/>
          <w:color w:val="auto"/>
          <w:sz w:val="24"/>
          <w:szCs w:val="24"/>
          <w:highlight w:val="none"/>
        </w:rPr>
        <w:t>双方应本着诚实信用的原则协商解决本合同履行过程中发生的争议。</w:t>
      </w:r>
      <w:bookmarkStart w:id="433" w:name="37"/>
      <w:bookmarkStart w:id="434" w:name="_Toc422322513"/>
      <w:bookmarkStart w:id="435" w:name="_Toc28083"/>
      <w:bookmarkStart w:id="436" w:name="_Toc5321"/>
      <w:bookmarkStart w:id="437" w:name="_Toc419045093"/>
      <w:bookmarkStart w:id="438" w:name="_Toc31388"/>
      <w:bookmarkStart w:id="439" w:name="_Toc6296"/>
    </w:p>
    <w:p>
      <w:pPr>
        <w:pStyle w:val="5"/>
        <w:keepNext w:val="0"/>
        <w:numPr>
          <w:ilvl w:val="2"/>
          <w:numId w:val="0"/>
        </w:numPr>
        <w:rPr>
          <w:rFonts w:ascii="宋体" w:hAnsi="宋体" w:cs="宋体"/>
          <w:b w:val="0"/>
          <w:color w:val="auto"/>
          <w:sz w:val="24"/>
          <w:highlight w:val="none"/>
        </w:rPr>
      </w:pPr>
      <w:bookmarkStart w:id="440" w:name="_Toc30695"/>
      <w:r>
        <w:rPr>
          <w:rFonts w:hint="eastAsia" w:ascii="宋体" w:hAnsi="宋体" w:cs="宋体"/>
          <w:b w:val="0"/>
          <w:bCs w:val="0"/>
          <w:color w:val="auto"/>
          <w:sz w:val="24"/>
          <w:highlight w:val="none"/>
        </w:rPr>
        <w:t>7.2</w:t>
      </w:r>
      <w:bookmarkEnd w:id="433"/>
      <w:r>
        <w:rPr>
          <w:rFonts w:hint="eastAsia" w:ascii="宋体" w:hAnsi="宋体" w:cs="宋体"/>
          <w:b w:val="0"/>
          <w:bCs w:val="0"/>
          <w:color w:val="auto"/>
          <w:sz w:val="24"/>
          <w:highlight w:val="none"/>
        </w:rPr>
        <w:t>调解</w:t>
      </w:r>
      <w:bookmarkEnd w:id="434"/>
      <w:bookmarkEnd w:id="435"/>
      <w:bookmarkEnd w:id="436"/>
      <w:bookmarkEnd w:id="437"/>
      <w:bookmarkEnd w:id="438"/>
      <w:bookmarkEnd w:id="439"/>
      <w:bookmarkEnd w:id="440"/>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如果双方不能在14日内或双方商定的其他时间内解决本合同争议，可以将其提交给专用条件约定的或事后达成协议的调解人进行调解。</w:t>
      </w:r>
    </w:p>
    <w:p>
      <w:pPr>
        <w:pStyle w:val="5"/>
        <w:keepNext w:val="0"/>
        <w:numPr>
          <w:ilvl w:val="2"/>
          <w:numId w:val="0"/>
        </w:numPr>
        <w:rPr>
          <w:rFonts w:ascii="宋体" w:hAnsi="宋体" w:cs="宋体"/>
          <w:b w:val="0"/>
          <w:color w:val="auto"/>
          <w:sz w:val="24"/>
          <w:highlight w:val="none"/>
        </w:rPr>
      </w:pPr>
      <w:bookmarkStart w:id="441" w:name="38"/>
      <w:bookmarkStart w:id="442" w:name="_Toc422322514"/>
      <w:bookmarkStart w:id="443" w:name="_Toc419045094"/>
      <w:bookmarkStart w:id="444" w:name="_Toc23615"/>
      <w:bookmarkStart w:id="445" w:name="_Toc14482"/>
      <w:bookmarkStart w:id="446" w:name="_Toc14532"/>
      <w:bookmarkStart w:id="447" w:name="_Toc13749"/>
      <w:bookmarkStart w:id="448" w:name="_Toc653"/>
      <w:r>
        <w:rPr>
          <w:rFonts w:hint="eastAsia" w:ascii="宋体" w:hAnsi="宋体" w:cs="宋体"/>
          <w:b w:val="0"/>
          <w:bCs w:val="0"/>
          <w:color w:val="auto"/>
          <w:sz w:val="24"/>
          <w:highlight w:val="none"/>
        </w:rPr>
        <w:t>7.</w:t>
      </w:r>
      <w:bookmarkEnd w:id="441"/>
      <w:r>
        <w:rPr>
          <w:rFonts w:hint="eastAsia" w:ascii="宋体" w:hAnsi="宋体" w:cs="宋体"/>
          <w:b w:val="0"/>
          <w:bCs w:val="0"/>
          <w:color w:val="auto"/>
          <w:sz w:val="24"/>
          <w:highlight w:val="none"/>
        </w:rPr>
        <w:t>3仲裁或诉讼</w:t>
      </w:r>
      <w:bookmarkEnd w:id="442"/>
      <w:bookmarkEnd w:id="443"/>
      <w:bookmarkEnd w:id="444"/>
      <w:bookmarkEnd w:id="445"/>
      <w:bookmarkEnd w:id="446"/>
      <w:bookmarkEnd w:id="447"/>
      <w:bookmarkEnd w:id="448"/>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双方均有权不经调解直接向专用条件约定的仲裁机构申请仲裁或向有管辖权的人民法院提起诉讼。</w:t>
      </w:r>
      <w:bookmarkStart w:id="449" w:name="_Toc22233"/>
      <w:bookmarkStart w:id="450" w:name="_Toc15073"/>
      <w:bookmarkStart w:id="451" w:name="_Toc24172"/>
      <w:bookmarkStart w:id="452" w:name="_Toc419045095"/>
      <w:bookmarkStart w:id="453" w:name="_Toc9628"/>
      <w:bookmarkStart w:id="454" w:name="_Toc14025"/>
      <w:bookmarkStart w:id="455" w:name="_Toc422322515"/>
    </w:p>
    <w:p>
      <w:pPr>
        <w:rPr>
          <w:rFonts w:ascii="Arial" w:hAnsi="Arial" w:eastAsia="黑体"/>
          <w:b/>
          <w:bCs/>
          <w:color w:val="auto"/>
          <w:sz w:val="24"/>
          <w:szCs w:val="32"/>
          <w:highlight w:val="none"/>
        </w:rPr>
      </w:pPr>
      <w:r>
        <w:rPr>
          <w:rFonts w:hint="eastAsia" w:ascii="Arial" w:hAnsi="Arial" w:eastAsia="黑体"/>
          <w:b/>
          <w:bCs/>
          <w:color w:val="auto"/>
          <w:sz w:val="24"/>
          <w:szCs w:val="32"/>
          <w:highlight w:val="none"/>
        </w:rPr>
        <w:t>8.其他</w:t>
      </w:r>
      <w:bookmarkEnd w:id="449"/>
      <w:bookmarkEnd w:id="450"/>
      <w:bookmarkEnd w:id="451"/>
      <w:bookmarkEnd w:id="452"/>
      <w:bookmarkEnd w:id="453"/>
      <w:bookmarkEnd w:id="454"/>
      <w:bookmarkEnd w:id="455"/>
    </w:p>
    <w:p>
      <w:pPr>
        <w:pStyle w:val="5"/>
        <w:keepNext w:val="0"/>
        <w:numPr>
          <w:ilvl w:val="2"/>
          <w:numId w:val="0"/>
        </w:numPr>
        <w:rPr>
          <w:rFonts w:ascii="宋体" w:hAnsi="宋体" w:cs="宋体"/>
          <w:b w:val="0"/>
          <w:color w:val="auto"/>
          <w:sz w:val="24"/>
          <w:highlight w:val="none"/>
        </w:rPr>
      </w:pPr>
      <w:bookmarkStart w:id="456" w:name="39"/>
      <w:bookmarkStart w:id="457" w:name="_Toc28302"/>
      <w:bookmarkStart w:id="458" w:name="_Toc422322516"/>
      <w:bookmarkStart w:id="459" w:name="_Toc15806"/>
      <w:bookmarkStart w:id="460" w:name="_Toc32097"/>
      <w:bookmarkStart w:id="461" w:name="_Toc29638"/>
      <w:bookmarkStart w:id="462" w:name="_Toc9357"/>
      <w:bookmarkStart w:id="463" w:name="_Toc419045096"/>
      <w:r>
        <w:rPr>
          <w:rFonts w:hint="eastAsia" w:ascii="宋体" w:hAnsi="宋体" w:cs="宋体"/>
          <w:b w:val="0"/>
          <w:bCs w:val="0"/>
          <w:color w:val="auto"/>
          <w:sz w:val="24"/>
          <w:highlight w:val="none"/>
        </w:rPr>
        <w:t>8.1</w:t>
      </w:r>
      <w:bookmarkEnd w:id="456"/>
      <w:r>
        <w:rPr>
          <w:rFonts w:hint="eastAsia" w:ascii="宋体" w:hAnsi="宋体" w:cs="宋体"/>
          <w:b w:val="0"/>
          <w:bCs w:val="0"/>
          <w:color w:val="auto"/>
          <w:sz w:val="24"/>
          <w:highlight w:val="none"/>
        </w:rPr>
        <w:t>考察及相关费用</w:t>
      </w:r>
      <w:bookmarkEnd w:id="457"/>
      <w:bookmarkEnd w:id="458"/>
      <w:bookmarkEnd w:id="459"/>
      <w:bookmarkEnd w:id="460"/>
      <w:bookmarkEnd w:id="461"/>
      <w:bookmarkEnd w:id="462"/>
      <w:bookmarkEnd w:id="463"/>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除专用条件另有约定外，咨询人经委托人同意进行考察发生的费用由委托人审核后另行支付。差旅费及相关费用的承担由双方在专用条件中约定。</w:t>
      </w:r>
    </w:p>
    <w:p>
      <w:pPr>
        <w:pStyle w:val="5"/>
        <w:keepNext w:val="0"/>
        <w:numPr>
          <w:ilvl w:val="2"/>
          <w:numId w:val="0"/>
        </w:numPr>
        <w:rPr>
          <w:rFonts w:ascii="宋体" w:hAnsi="宋体" w:cs="宋体"/>
          <w:b w:val="0"/>
          <w:color w:val="auto"/>
          <w:sz w:val="24"/>
          <w:highlight w:val="none"/>
        </w:rPr>
      </w:pPr>
      <w:bookmarkStart w:id="464" w:name="_Toc422322517"/>
      <w:bookmarkStart w:id="465" w:name="_Toc16490"/>
      <w:bookmarkStart w:id="466" w:name="_Toc22908"/>
      <w:bookmarkStart w:id="467" w:name="_Toc27359"/>
      <w:bookmarkStart w:id="468" w:name="_Toc5672"/>
      <w:bookmarkStart w:id="469" w:name="_Toc8754"/>
      <w:r>
        <w:rPr>
          <w:rFonts w:hint="eastAsia" w:ascii="宋体" w:hAnsi="宋体" w:cs="宋体"/>
          <w:b w:val="0"/>
          <w:bCs w:val="0"/>
          <w:color w:val="auto"/>
          <w:sz w:val="24"/>
          <w:highlight w:val="none"/>
        </w:rPr>
        <w:t>8.2奖励</w:t>
      </w:r>
      <w:bookmarkEnd w:id="464"/>
      <w:bookmarkEnd w:id="465"/>
      <w:bookmarkEnd w:id="466"/>
      <w:bookmarkEnd w:id="467"/>
      <w:bookmarkEnd w:id="468"/>
      <w:bookmarkEnd w:id="469"/>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对于咨询人在服务过程中提出合理化建议，使委托人获得效益的，双方在专用条件中约定奖励金额的确定方法。奖励金额在合理化建议被采纳后，与最近一期的正常工作酬金同期支付。</w:t>
      </w:r>
    </w:p>
    <w:p>
      <w:pPr>
        <w:pStyle w:val="5"/>
        <w:keepNext w:val="0"/>
        <w:numPr>
          <w:ilvl w:val="2"/>
          <w:numId w:val="0"/>
        </w:numPr>
        <w:rPr>
          <w:rFonts w:ascii="宋体" w:hAnsi="宋体" w:cs="宋体"/>
          <w:b w:val="0"/>
          <w:color w:val="auto"/>
          <w:sz w:val="24"/>
          <w:highlight w:val="none"/>
        </w:rPr>
      </w:pPr>
      <w:bookmarkStart w:id="470" w:name="_Toc422322518"/>
      <w:bookmarkStart w:id="471" w:name="_Toc16976"/>
      <w:bookmarkStart w:id="472" w:name="_Toc10801"/>
      <w:bookmarkStart w:id="473" w:name="_Toc16420"/>
      <w:bookmarkStart w:id="474" w:name="_Toc24302"/>
      <w:bookmarkStart w:id="475" w:name="_Toc17698"/>
      <w:r>
        <w:rPr>
          <w:rFonts w:hint="eastAsia" w:ascii="宋体" w:hAnsi="宋体" w:cs="宋体"/>
          <w:b w:val="0"/>
          <w:bCs w:val="0"/>
          <w:color w:val="auto"/>
          <w:sz w:val="24"/>
          <w:highlight w:val="none"/>
        </w:rPr>
        <w:t>8.3保密</w:t>
      </w:r>
      <w:bookmarkEnd w:id="470"/>
      <w:bookmarkEnd w:id="471"/>
      <w:bookmarkEnd w:id="472"/>
      <w:bookmarkEnd w:id="473"/>
      <w:bookmarkEnd w:id="474"/>
      <w:bookmarkEnd w:id="475"/>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在本合同履行期间或专用条件约定的期限内，双方不得泄露对方申明的保密资料，亦不得泄露与实施工程有关的第三人所提供的保密资料。保密事项在专用条件中约定。</w:t>
      </w:r>
    </w:p>
    <w:p>
      <w:pPr>
        <w:pStyle w:val="5"/>
        <w:keepNext w:val="0"/>
        <w:numPr>
          <w:ilvl w:val="2"/>
          <w:numId w:val="0"/>
        </w:numPr>
        <w:rPr>
          <w:rFonts w:ascii="宋体" w:hAnsi="宋体" w:cs="宋体"/>
          <w:b w:val="0"/>
          <w:color w:val="auto"/>
          <w:sz w:val="24"/>
          <w:highlight w:val="none"/>
        </w:rPr>
      </w:pPr>
      <w:bookmarkStart w:id="476" w:name="_Toc419045097"/>
      <w:bookmarkStart w:id="477" w:name="_Toc23656"/>
      <w:bookmarkStart w:id="478" w:name="_Toc17675"/>
      <w:bookmarkStart w:id="479" w:name="_Toc422322519"/>
      <w:bookmarkStart w:id="480" w:name="_Toc9960"/>
      <w:bookmarkStart w:id="481" w:name="_Toc21164"/>
      <w:bookmarkStart w:id="482" w:name="_Toc26055"/>
      <w:r>
        <w:rPr>
          <w:rFonts w:hint="eastAsia" w:ascii="宋体" w:hAnsi="宋体" w:cs="宋体"/>
          <w:b w:val="0"/>
          <w:bCs w:val="0"/>
          <w:color w:val="auto"/>
          <w:sz w:val="24"/>
          <w:highlight w:val="none"/>
        </w:rPr>
        <w:t>8.4</w:t>
      </w:r>
      <w:bookmarkEnd w:id="476"/>
      <w:r>
        <w:rPr>
          <w:rFonts w:hint="eastAsia" w:ascii="宋体" w:hAnsi="宋体" w:cs="宋体"/>
          <w:b w:val="0"/>
          <w:bCs w:val="0"/>
          <w:color w:val="auto"/>
          <w:sz w:val="24"/>
          <w:highlight w:val="none"/>
        </w:rPr>
        <w:t>联络</w:t>
      </w:r>
      <w:bookmarkEnd w:id="477"/>
      <w:bookmarkEnd w:id="478"/>
      <w:bookmarkEnd w:id="479"/>
      <w:bookmarkEnd w:id="480"/>
      <w:bookmarkEnd w:id="481"/>
      <w:bookmarkEnd w:id="482"/>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8.4.1与合同有关的通知、指示、要求、决定等，均应采用书面形式，并应在专用条件约定的期限内送达接收人和送达地点。</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8.4.2委托人和咨询人应在专用条件中约定各自的送达接收人、送达地点、电子邮箱。</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任何一方指定的接收人或送达地点或电子邮箱发生变动的，应提前3天以书面形式通知对方，否则视为未发生变动。</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8.4.3委托人和咨询人应当及时签收另一方送达至送达地点和指定接收人的往来函件，如确有充分证据证明一方无正当理由拒不签收的，视为认可往来函件的内容。</w:t>
      </w:r>
    </w:p>
    <w:p>
      <w:pPr>
        <w:pStyle w:val="5"/>
        <w:keepNext w:val="0"/>
        <w:numPr>
          <w:ilvl w:val="2"/>
          <w:numId w:val="0"/>
        </w:numPr>
        <w:rPr>
          <w:rFonts w:ascii="宋体" w:hAnsi="宋体" w:cs="宋体"/>
          <w:b w:val="0"/>
          <w:color w:val="auto"/>
          <w:sz w:val="24"/>
          <w:highlight w:val="none"/>
        </w:rPr>
      </w:pPr>
      <w:bookmarkStart w:id="483" w:name="_Toc422322520"/>
      <w:bookmarkStart w:id="484" w:name="_Toc25156"/>
      <w:bookmarkStart w:id="485" w:name="_Toc14411"/>
      <w:bookmarkStart w:id="486" w:name="_Toc14906"/>
      <w:bookmarkStart w:id="487" w:name="_Toc17867"/>
      <w:bookmarkStart w:id="488" w:name="_Toc26706"/>
      <w:r>
        <w:rPr>
          <w:rFonts w:hint="eastAsia" w:ascii="宋体" w:hAnsi="宋体" w:cs="宋体"/>
          <w:b w:val="0"/>
          <w:bCs w:val="0"/>
          <w:color w:val="auto"/>
          <w:sz w:val="24"/>
          <w:highlight w:val="none"/>
        </w:rPr>
        <w:t>8.5知识产权</w:t>
      </w:r>
      <w:bookmarkEnd w:id="483"/>
      <w:bookmarkEnd w:id="484"/>
      <w:bookmarkEnd w:id="485"/>
      <w:bookmarkEnd w:id="486"/>
      <w:bookmarkEnd w:id="487"/>
      <w:bookmarkEnd w:id="488"/>
    </w:p>
    <w:p>
      <w:pPr>
        <w:spacing w:line="360" w:lineRule="auto"/>
        <w:ind w:firstLine="735" w:firstLineChars="300"/>
        <w:rPr>
          <w:rFonts w:ascii="宋体" w:hAnsi="宋体" w:cs="宋体"/>
          <w:color w:val="auto"/>
          <w:sz w:val="24"/>
          <w:highlight w:val="none"/>
        </w:rPr>
      </w:pPr>
      <w:r>
        <w:rPr>
          <w:rFonts w:hint="eastAsia" w:ascii="宋体" w:hAnsi="宋体" w:cs="宋体"/>
          <w:color w:val="auto"/>
          <w:sz w:val="24"/>
          <w:szCs w:val="24"/>
          <w:highlight w:val="none"/>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pPr>
        <w:spacing w:line="360" w:lineRule="auto"/>
        <w:ind w:firstLine="735" w:firstLineChars="300"/>
        <w:rPr>
          <w:rFonts w:ascii="宋体" w:hAnsi="宋体" w:cs="宋体"/>
          <w:color w:val="auto"/>
          <w:sz w:val="24"/>
          <w:highlight w:val="none"/>
        </w:rPr>
      </w:pPr>
      <w:r>
        <w:rPr>
          <w:rFonts w:hint="eastAsia" w:ascii="宋体" w:hAnsi="宋体" w:cs="宋体"/>
          <w:color w:val="auto"/>
          <w:sz w:val="24"/>
          <w:szCs w:val="24"/>
          <w:highlight w:val="none"/>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pPr>
        <w:spacing w:line="360" w:lineRule="auto"/>
        <w:ind w:firstLine="735" w:firstLineChars="300"/>
        <w:rPr>
          <w:rFonts w:ascii="宋体" w:hAnsi="宋体" w:cs="宋体"/>
          <w:color w:val="auto"/>
          <w:sz w:val="24"/>
          <w:highlight w:val="none"/>
        </w:rPr>
      </w:pPr>
      <w:r>
        <w:rPr>
          <w:rFonts w:hint="eastAsia" w:ascii="宋体" w:hAnsi="宋体" w:cs="宋体"/>
          <w:color w:val="auto"/>
          <w:sz w:val="24"/>
          <w:szCs w:val="24"/>
          <w:highlight w:val="none"/>
        </w:rPr>
        <w:t>双方保证在履行本合同过程中不侵犯对方及第三方的知识产权。因咨询人侵犯他人知识产权所引起的责任，由咨询人承担；因委托人提供的基础资料导致侵权的，由委托人承担责任。</w:t>
      </w:r>
    </w:p>
    <w:p>
      <w:pPr>
        <w:spacing w:line="360" w:lineRule="auto"/>
        <w:ind w:firstLine="735" w:firstLineChars="300"/>
        <w:rPr>
          <w:rFonts w:ascii="宋体" w:hAnsi="宋体" w:cs="宋体"/>
          <w:color w:val="auto"/>
          <w:sz w:val="24"/>
          <w:highlight w:val="none"/>
        </w:rPr>
      </w:pPr>
      <w:r>
        <w:rPr>
          <w:rFonts w:hint="eastAsia" w:ascii="宋体" w:hAnsi="宋体" w:cs="宋体"/>
          <w:color w:val="auto"/>
          <w:sz w:val="24"/>
          <w:szCs w:val="24"/>
          <w:highlight w:val="none"/>
        </w:rPr>
        <w:t>除专用条件另有约定外，双方均有权在履行本合同保密义务并且不损害对方利益的情况下，将履行本合同形成的有关成果文件用于企业宣传、申报奖项以及接受上级主管部门的检查。</w:t>
      </w:r>
    </w:p>
    <w:p>
      <w:pPr>
        <w:pStyle w:val="3"/>
        <w:rPr>
          <w:rFonts w:ascii="宋体" w:hAnsi="宋体" w:eastAsia="宋体" w:cs="宋体"/>
          <w:bCs/>
          <w:color w:val="auto"/>
          <w:kern w:val="2"/>
          <w:sz w:val="36"/>
          <w:szCs w:val="36"/>
          <w:highlight w:val="none"/>
        </w:rPr>
      </w:pPr>
    </w:p>
    <w:bookmarkEnd w:id="147"/>
    <w:bookmarkEnd w:id="148"/>
    <w:bookmarkEnd w:id="149"/>
    <w:bookmarkEnd w:id="150"/>
    <w:bookmarkEnd w:id="151"/>
    <w:p>
      <w:pPr>
        <w:tabs>
          <w:tab w:val="left" w:pos="540"/>
        </w:tabs>
        <w:spacing w:line="480" w:lineRule="auto"/>
        <w:ind w:firstLine="570" w:firstLineChars="200"/>
        <w:rPr>
          <w:rFonts w:ascii="宋体" w:hAnsi="宋体" w:cs="宋体"/>
          <w:b/>
          <w:color w:val="auto"/>
          <w:sz w:val="28"/>
          <w:highlight w:val="none"/>
        </w:rPr>
      </w:pPr>
    </w:p>
    <w:p>
      <w:pPr>
        <w:pStyle w:val="3"/>
        <w:keepNext w:val="0"/>
        <w:spacing w:line="360" w:lineRule="auto"/>
        <w:rPr>
          <w:color w:val="auto"/>
          <w:sz w:val="30"/>
          <w:szCs w:val="30"/>
          <w:highlight w:val="none"/>
        </w:rPr>
      </w:pPr>
      <w:bookmarkStart w:id="489" w:name="_Toc9973"/>
      <w:bookmarkStart w:id="490" w:name="_Toc11235"/>
      <w:bookmarkStart w:id="491" w:name="_Toc18770"/>
      <w:bookmarkStart w:id="492" w:name="_Toc25499"/>
      <w:bookmarkStart w:id="493" w:name="_Toc3281"/>
    </w:p>
    <w:p>
      <w:pPr>
        <w:pStyle w:val="3"/>
        <w:keepNext w:val="0"/>
        <w:spacing w:line="360" w:lineRule="auto"/>
        <w:rPr>
          <w:color w:val="auto"/>
          <w:sz w:val="30"/>
          <w:szCs w:val="30"/>
          <w:highlight w:val="none"/>
        </w:rPr>
      </w:pPr>
      <w:r>
        <w:rPr>
          <w:rFonts w:hint="eastAsia"/>
          <w:color w:val="auto"/>
          <w:sz w:val="30"/>
          <w:szCs w:val="30"/>
          <w:highlight w:val="none"/>
        </w:rPr>
        <w:br w:type="page"/>
      </w:r>
      <w:r>
        <w:rPr>
          <w:rFonts w:hint="eastAsia"/>
          <w:color w:val="auto"/>
          <w:sz w:val="30"/>
          <w:szCs w:val="30"/>
          <w:highlight w:val="none"/>
        </w:rPr>
        <w:t>第三部分　专用条件</w:t>
      </w:r>
      <w:bookmarkEnd w:id="489"/>
      <w:bookmarkEnd w:id="490"/>
      <w:bookmarkEnd w:id="491"/>
      <w:bookmarkEnd w:id="492"/>
      <w:bookmarkEnd w:id="493"/>
      <w:bookmarkStart w:id="494" w:name="45"/>
    </w:p>
    <w:bookmarkEnd w:id="494"/>
    <w:p>
      <w:pPr>
        <w:pStyle w:val="4"/>
        <w:keepNext w:val="0"/>
        <w:rPr>
          <w:color w:val="auto"/>
          <w:highlight w:val="none"/>
        </w:rPr>
      </w:pPr>
      <w:bookmarkStart w:id="495" w:name="_Toc12128"/>
      <w:bookmarkStart w:id="496" w:name="_Toc4806"/>
      <w:bookmarkStart w:id="497" w:name="_Toc419045099"/>
      <w:bookmarkStart w:id="498" w:name="_Toc2441"/>
      <w:bookmarkStart w:id="499" w:name="_Toc422322522"/>
      <w:bookmarkStart w:id="500" w:name="_Toc9002"/>
      <w:bookmarkStart w:id="501" w:name="_Toc15162"/>
      <w:r>
        <w:rPr>
          <w:rFonts w:hint="eastAsia" w:ascii="Arial" w:hAnsi="Arial" w:eastAsia="黑体"/>
          <w:bCs/>
          <w:color w:val="auto"/>
          <w:szCs w:val="32"/>
          <w:highlight w:val="none"/>
        </w:rPr>
        <w:t>1.词语定义、语言、解释顺序与适用法律</w:t>
      </w:r>
      <w:bookmarkEnd w:id="495"/>
      <w:bookmarkEnd w:id="496"/>
      <w:bookmarkEnd w:id="497"/>
      <w:bookmarkEnd w:id="498"/>
      <w:bookmarkEnd w:id="499"/>
      <w:bookmarkEnd w:id="500"/>
      <w:bookmarkEnd w:id="501"/>
      <w:bookmarkStart w:id="502" w:name="_Toc12706"/>
      <w:bookmarkStart w:id="503" w:name="_Toc419045101"/>
      <w:bookmarkStart w:id="504" w:name="_Toc27406"/>
      <w:bookmarkStart w:id="505" w:name="_Toc11009"/>
      <w:bookmarkStart w:id="506" w:name="_Toc422322524"/>
      <w:bookmarkStart w:id="507" w:name="_Toc16640"/>
    </w:p>
    <w:p>
      <w:pPr>
        <w:pStyle w:val="5"/>
        <w:keepNext w:val="0"/>
        <w:numPr>
          <w:ilvl w:val="2"/>
          <w:numId w:val="0"/>
        </w:numPr>
        <w:rPr>
          <w:rFonts w:ascii="宋体" w:hAnsi="宋体" w:cs="宋体"/>
          <w:b w:val="0"/>
          <w:color w:val="auto"/>
          <w:sz w:val="24"/>
          <w:highlight w:val="none"/>
        </w:rPr>
      </w:pPr>
      <w:bookmarkStart w:id="508" w:name="_Toc6657"/>
      <w:r>
        <w:rPr>
          <w:rFonts w:hint="eastAsia" w:ascii="宋体" w:hAnsi="宋体" w:cs="宋体"/>
          <w:b w:val="0"/>
          <w:bCs w:val="0"/>
          <w:color w:val="auto"/>
          <w:sz w:val="24"/>
          <w:highlight w:val="none"/>
        </w:rPr>
        <w:t>1.1 语言</w:t>
      </w:r>
      <w:bookmarkEnd w:id="502"/>
      <w:bookmarkEnd w:id="503"/>
      <w:bookmarkEnd w:id="504"/>
      <w:bookmarkEnd w:id="505"/>
      <w:bookmarkEnd w:id="506"/>
      <w:bookmarkEnd w:id="507"/>
      <w:bookmarkEnd w:id="508"/>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 xml:space="preserve">本合同文件除使用中文外，还可用 </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bookmarkStart w:id="509" w:name="_Toc5732"/>
      <w:bookmarkStart w:id="510" w:name="_Toc708"/>
      <w:bookmarkStart w:id="511" w:name="_Toc26304"/>
      <w:bookmarkStart w:id="512" w:name="_Toc422322525"/>
      <w:bookmarkStart w:id="513" w:name="_Toc24709"/>
    </w:p>
    <w:p>
      <w:pPr>
        <w:spacing w:line="360" w:lineRule="auto"/>
        <w:rPr>
          <w:rFonts w:ascii="宋体" w:hAnsi="宋体" w:cs="宋体"/>
          <w:color w:val="auto"/>
          <w:sz w:val="24"/>
          <w:highlight w:val="none"/>
        </w:rPr>
      </w:pPr>
      <w:bookmarkStart w:id="514" w:name="_Toc8982"/>
      <w:r>
        <w:rPr>
          <w:rFonts w:hint="eastAsia" w:ascii="宋体" w:hAnsi="宋体" w:cs="宋体"/>
          <w:color w:val="auto"/>
          <w:sz w:val="24"/>
          <w:szCs w:val="24"/>
          <w:highlight w:val="none"/>
        </w:rPr>
        <w:t>1.2合同文件的优先顺序</w:t>
      </w:r>
      <w:bookmarkEnd w:id="509"/>
      <w:bookmarkEnd w:id="510"/>
      <w:bookmarkEnd w:id="511"/>
      <w:bookmarkEnd w:id="512"/>
      <w:bookmarkEnd w:id="513"/>
      <w:bookmarkEnd w:id="514"/>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本合同文件的解释顺序为：执行本合同通用条件1.3条。</w:t>
      </w:r>
      <w:bookmarkStart w:id="515" w:name="_Toc14116"/>
      <w:bookmarkStart w:id="516" w:name="_Toc422322526"/>
      <w:bookmarkStart w:id="517" w:name="_Toc17362"/>
      <w:bookmarkStart w:id="518" w:name="_Toc419045102"/>
      <w:bookmarkStart w:id="519" w:name="_Toc11090"/>
      <w:bookmarkStart w:id="520" w:name="_Toc13224"/>
    </w:p>
    <w:p>
      <w:pPr>
        <w:spacing w:line="360" w:lineRule="auto"/>
        <w:rPr>
          <w:rFonts w:ascii="宋体" w:hAnsi="宋体" w:cs="宋体"/>
          <w:color w:val="auto"/>
          <w:sz w:val="24"/>
          <w:highlight w:val="none"/>
        </w:rPr>
      </w:pPr>
      <w:bookmarkStart w:id="521" w:name="_Toc11595"/>
      <w:r>
        <w:rPr>
          <w:rFonts w:hint="eastAsia" w:ascii="宋体" w:hAnsi="宋体" w:cs="宋体"/>
          <w:color w:val="auto"/>
          <w:sz w:val="24"/>
          <w:szCs w:val="24"/>
          <w:highlight w:val="none"/>
        </w:rPr>
        <w:t>1.3适用法律</w:t>
      </w:r>
      <w:bookmarkEnd w:id="515"/>
      <w:bookmarkEnd w:id="516"/>
      <w:bookmarkEnd w:id="517"/>
      <w:bookmarkEnd w:id="518"/>
      <w:bookmarkEnd w:id="519"/>
      <w:bookmarkEnd w:id="520"/>
      <w:bookmarkEnd w:id="521"/>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本合同适用的其他规范性文件包括: 有关工程造价的法律法规、定额、地区的政策性调整文件。</w:t>
      </w:r>
    </w:p>
    <w:p>
      <w:pPr>
        <w:pStyle w:val="4"/>
        <w:keepNext w:val="0"/>
        <w:rPr>
          <w:color w:val="auto"/>
          <w:highlight w:val="none"/>
        </w:rPr>
      </w:pPr>
      <w:bookmarkStart w:id="522" w:name="_Toc25638"/>
      <w:bookmarkStart w:id="523" w:name="_Toc16119"/>
      <w:bookmarkStart w:id="524" w:name="_Toc2009"/>
      <w:bookmarkStart w:id="525" w:name="_Toc422322527"/>
      <w:bookmarkStart w:id="526" w:name="_Toc419045103"/>
      <w:bookmarkStart w:id="527" w:name="_Toc7489"/>
      <w:bookmarkStart w:id="528" w:name="_Toc28355"/>
      <w:r>
        <w:rPr>
          <w:rFonts w:hint="eastAsia" w:ascii="Arial" w:hAnsi="Arial" w:eastAsia="黑体"/>
          <w:bCs/>
          <w:color w:val="auto"/>
          <w:szCs w:val="32"/>
          <w:highlight w:val="none"/>
        </w:rPr>
        <w:t>2.委托人的义务</w:t>
      </w:r>
      <w:bookmarkEnd w:id="522"/>
      <w:bookmarkEnd w:id="523"/>
      <w:bookmarkEnd w:id="524"/>
      <w:bookmarkEnd w:id="525"/>
      <w:bookmarkEnd w:id="526"/>
      <w:bookmarkEnd w:id="527"/>
      <w:bookmarkEnd w:id="528"/>
    </w:p>
    <w:p>
      <w:pPr>
        <w:pStyle w:val="5"/>
        <w:keepNext w:val="0"/>
        <w:numPr>
          <w:ilvl w:val="2"/>
          <w:numId w:val="0"/>
        </w:numPr>
        <w:rPr>
          <w:rFonts w:ascii="宋体" w:hAnsi="宋体" w:cs="宋体"/>
          <w:b w:val="0"/>
          <w:color w:val="auto"/>
          <w:sz w:val="24"/>
          <w:highlight w:val="none"/>
        </w:rPr>
      </w:pPr>
      <w:bookmarkStart w:id="529" w:name="_Toc25803"/>
      <w:bookmarkStart w:id="530" w:name="_Toc22522"/>
      <w:bookmarkStart w:id="531" w:name="_Toc12670"/>
      <w:bookmarkStart w:id="532" w:name="_Toc28893"/>
      <w:bookmarkStart w:id="533" w:name="_Toc422322528"/>
      <w:bookmarkStart w:id="534" w:name="_Toc419045104"/>
      <w:bookmarkStart w:id="535" w:name="_Toc20371"/>
      <w:r>
        <w:rPr>
          <w:rFonts w:hint="eastAsia" w:ascii="宋体" w:hAnsi="宋体" w:cs="宋体"/>
          <w:b w:val="0"/>
          <w:bCs w:val="0"/>
          <w:color w:val="auto"/>
          <w:sz w:val="24"/>
          <w:highlight w:val="none"/>
        </w:rPr>
        <w:t>2.1提供资料</w:t>
      </w:r>
      <w:bookmarkEnd w:id="529"/>
      <w:bookmarkEnd w:id="530"/>
      <w:bookmarkEnd w:id="531"/>
      <w:bookmarkEnd w:id="532"/>
      <w:bookmarkEnd w:id="533"/>
      <w:bookmarkEnd w:id="534"/>
      <w:bookmarkEnd w:id="535"/>
    </w:p>
    <w:p>
      <w:pPr>
        <w:rPr>
          <w:color w:val="auto"/>
          <w:sz w:val="24"/>
          <w:highlight w:val="none"/>
        </w:rPr>
      </w:pPr>
      <w:r>
        <w:rPr>
          <w:rFonts w:hint="eastAsia"/>
          <w:color w:val="auto"/>
          <w:sz w:val="24"/>
          <w:szCs w:val="24"/>
          <w:highlight w:val="none"/>
        </w:rPr>
        <w:t>委托人按照约定无偿向咨询人提供与本合同咨询业务有关资料的时间为：</w:t>
      </w:r>
      <w:r>
        <w:rPr>
          <w:rFonts w:hint="eastAsia"/>
          <w:color w:val="auto"/>
          <w:sz w:val="24"/>
          <w:szCs w:val="24"/>
          <w:highlight w:val="none"/>
          <w:u w:val="single"/>
        </w:rPr>
        <w:t xml:space="preserve"> 自委托之日起一周内  </w:t>
      </w:r>
      <w:r>
        <w:rPr>
          <w:rFonts w:hint="eastAsia"/>
          <w:color w:val="auto"/>
          <w:sz w:val="24"/>
          <w:szCs w:val="24"/>
          <w:highlight w:val="none"/>
        </w:rPr>
        <w:t>。</w:t>
      </w:r>
    </w:p>
    <w:p>
      <w:pPr>
        <w:pStyle w:val="5"/>
        <w:keepNext w:val="0"/>
        <w:numPr>
          <w:ilvl w:val="2"/>
          <w:numId w:val="0"/>
        </w:numPr>
        <w:rPr>
          <w:rFonts w:ascii="宋体" w:hAnsi="宋体" w:cs="宋体"/>
          <w:b w:val="0"/>
          <w:color w:val="auto"/>
          <w:sz w:val="24"/>
          <w:highlight w:val="none"/>
        </w:rPr>
      </w:pPr>
      <w:bookmarkStart w:id="536" w:name="_Toc19396"/>
      <w:bookmarkStart w:id="537" w:name="_Toc31167"/>
      <w:bookmarkStart w:id="538" w:name="_Toc422322529"/>
      <w:bookmarkStart w:id="539" w:name="_Toc15965"/>
      <w:bookmarkStart w:id="540" w:name="_Toc17519"/>
      <w:bookmarkStart w:id="541" w:name="_Toc853"/>
      <w:bookmarkStart w:id="542" w:name="_Toc419045105"/>
      <w:r>
        <w:rPr>
          <w:rFonts w:hint="eastAsia" w:ascii="宋体" w:hAnsi="宋体" w:cs="宋体"/>
          <w:b w:val="0"/>
          <w:bCs w:val="0"/>
          <w:color w:val="auto"/>
          <w:sz w:val="24"/>
          <w:highlight w:val="none"/>
        </w:rPr>
        <w:t>2.2提供工作条件</w:t>
      </w:r>
      <w:bookmarkEnd w:id="536"/>
      <w:bookmarkEnd w:id="537"/>
      <w:bookmarkEnd w:id="538"/>
      <w:bookmarkEnd w:id="539"/>
      <w:bookmarkEnd w:id="540"/>
      <w:bookmarkEnd w:id="541"/>
      <w:bookmarkEnd w:id="542"/>
    </w:p>
    <w:p>
      <w:pPr>
        <w:rPr>
          <w:color w:val="auto"/>
          <w:sz w:val="24"/>
          <w:highlight w:val="none"/>
        </w:rPr>
      </w:pPr>
      <w:r>
        <w:rPr>
          <w:rFonts w:hint="eastAsia"/>
          <w:color w:val="auto"/>
          <w:sz w:val="24"/>
          <w:szCs w:val="24"/>
          <w:highlight w:val="none"/>
        </w:rPr>
        <w:t>2.2.1项目咨询人员使用附录D中由委托人提供的房屋及设备，支付使用费的标准为：</w:t>
      </w:r>
      <w:r>
        <w:rPr>
          <w:rFonts w:hint="eastAsia"/>
          <w:color w:val="auto"/>
          <w:sz w:val="24"/>
          <w:szCs w:val="24"/>
          <w:highlight w:val="none"/>
          <w:u w:val="single"/>
        </w:rPr>
        <w:t xml:space="preserve"> 无 </w:t>
      </w:r>
      <w:r>
        <w:rPr>
          <w:rFonts w:hint="eastAsia"/>
          <w:color w:val="auto"/>
          <w:sz w:val="24"/>
          <w:szCs w:val="24"/>
          <w:highlight w:val="none"/>
        </w:rPr>
        <w:t xml:space="preserve"> 。</w:t>
      </w:r>
    </w:p>
    <w:p>
      <w:pPr>
        <w:pStyle w:val="5"/>
        <w:keepNext w:val="0"/>
        <w:numPr>
          <w:ilvl w:val="2"/>
          <w:numId w:val="0"/>
        </w:numPr>
        <w:rPr>
          <w:rFonts w:ascii="宋体" w:hAnsi="宋体" w:cs="宋体"/>
          <w:b w:val="0"/>
          <w:color w:val="auto"/>
          <w:sz w:val="24"/>
          <w:highlight w:val="none"/>
        </w:rPr>
      </w:pPr>
      <w:bookmarkStart w:id="543" w:name="_Toc422322530"/>
      <w:bookmarkStart w:id="544" w:name="_Toc419045106"/>
      <w:bookmarkStart w:id="545" w:name="_Toc11109"/>
      <w:bookmarkStart w:id="546" w:name="_Toc9477"/>
      <w:bookmarkStart w:id="547" w:name="_Toc32199"/>
      <w:bookmarkStart w:id="548" w:name="_Toc21327"/>
      <w:bookmarkStart w:id="549" w:name="_Toc15403"/>
      <w:r>
        <w:rPr>
          <w:rFonts w:hint="eastAsia" w:ascii="宋体" w:hAnsi="宋体" w:cs="宋体"/>
          <w:b w:val="0"/>
          <w:bCs w:val="0"/>
          <w:color w:val="auto"/>
          <w:sz w:val="24"/>
          <w:highlight w:val="none"/>
        </w:rPr>
        <w:t>2.3委托人代表</w:t>
      </w:r>
      <w:bookmarkEnd w:id="543"/>
      <w:bookmarkEnd w:id="544"/>
      <w:bookmarkEnd w:id="545"/>
      <w:bookmarkEnd w:id="546"/>
      <w:bookmarkEnd w:id="547"/>
      <w:bookmarkEnd w:id="548"/>
      <w:bookmarkEnd w:id="549"/>
    </w:p>
    <w:p>
      <w:pPr>
        <w:spacing w:line="360" w:lineRule="auto"/>
        <w:rPr>
          <w:rStyle w:val="32"/>
          <w:rFonts w:ascii="宋体" w:hAnsi="宋体"/>
          <w:b/>
          <w:bCs/>
          <w:color w:val="auto"/>
          <w:kern w:val="0"/>
          <w:sz w:val="24"/>
          <w:szCs w:val="24"/>
          <w:highlight w:val="none"/>
        </w:rPr>
      </w:pPr>
      <w:r>
        <w:rPr>
          <w:rFonts w:hint="eastAsia"/>
          <w:color w:val="auto"/>
          <w:sz w:val="24"/>
          <w:szCs w:val="24"/>
          <w:highlight w:val="none"/>
        </w:rPr>
        <w:t>委托人代表为：</w:t>
      </w:r>
      <w:r>
        <w:rPr>
          <w:rFonts w:hint="eastAsia"/>
          <w:color w:val="auto"/>
          <w:sz w:val="24"/>
          <w:szCs w:val="24"/>
          <w:highlight w:val="none"/>
          <w:u w:val="single"/>
        </w:rPr>
        <w:t xml:space="preserve">       </w:t>
      </w:r>
      <w:r>
        <w:rPr>
          <w:rFonts w:hint="eastAsia"/>
          <w:color w:val="auto"/>
          <w:sz w:val="24"/>
          <w:szCs w:val="24"/>
          <w:highlight w:val="none"/>
        </w:rPr>
        <w:t>，其权限范围：</w:t>
      </w:r>
      <w:r>
        <w:rPr>
          <w:rFonts w:hint="eastAsia"/>
          <w:color w:val="auto"/>
          <w:sz w:val="24"/>
          <w:szCs w:val="24"/>
          <w:highlight w:val="none"/>
          <w:u w:val="single"/>
        </w:rPr>
        <w:t>代表建设单位与咨询人进行沟通，协调本项目有关事宜</w:t>
      </w:r>
      <w:r>
        <w:rPr>
          <w:rFonts w:hint="eastAsia"/>
          <w:color w:val="auto"/>
          <w:sz w:val="24"/>
          <w:szCs w:val="24"/>
          <w:highlight w:val="none"/>
        </w:rPr>
        <w:t>。</w:t>
      </w:r>
    </w:p>
    <w:p>
      <w:pPr>
        <w:pStyle w:val="5"/>
        <w:keepNext w:val="0"/>
        <w:numPr>
          <w:ilvl w:val="2"/>
          <w:numId w:val="0"/>
        </w:numPr>
        <w:rPr>
          <w:rFonts w:ascii="宋体" w:hAnsi="宋体" w:cs="宋体"/>
          <w:b w:val="0"/>
          <w:color w:val="auto"/>
          <w:sz w:val="24"/>
          <w:highlight w:val="none"/>
        </w:rPr>
      </w:pPr>
      <w:bookmarkStart w:id="550" w:name="_Toc30343"/>
      <w:bookmarkStart w:id="551" w:name="_Toc422322531"/>
      <w:bookmarkStart w:id="552" w:name="_Toc14892"/>
      <w:bookmarkStart w:id="553" w:name="_Toc21527"/>
      <w:bookmarkStart w:id="554" w:name="_Toc1301"/>
      <w:bookmarkStart w:id="555" w:name="_Toc17297"/>
      <w:r>
        <w:rPr>
          <w:rFonts w:hint="eastAsia" w:ascii="宋体" w:hAnsi="宋体" w:cs="宋体"/>
          <w:b w:val="0"/>
          <w:bCs w:val="0"/>
          <w:color w:val="auto"/>
          <w:sz w:val="24"/>
          <w:highlight w:val="none"/>
        </w:rPr>
        <w:t>2.4答复</w:t>
      </w:r>
      <w:bookmarkEnd w:id="550"/>
      <w:bookmarkEnd w:id="551"/>
      <w:bookmarkEnd w:id="552"/>
      <w:bookmarkEnd w:id="553"/>
      <w:bookmarkEnd w:id="554"/>
      <w:bookmarkEnd w:id="555"/>
    </w:p>
    <w:p>
      <w:pPr>
        <w:rPr>
          <w:rFonts w:ascii="宋体" w:hAnsi="宋体" w:cs="宋体"/>
          <w:color w:val="auto"/>
          <w:sz w:val="24"/>
          <w:highlight w:val="none"/>
        </w:rPr>
      </w:pPr>
      <w:r>
        <w:rPr>
          <w:rFonts w:hint="eastAsia" w:ascii="宋体" w:hAnsi="宋体" w:cs="宋体"/>
          <w:color w:val="auto"/>
          <w:sz w:val="24"/>
          <w:szCs w:val="24"/>
          <w:highlight w:val="none"/>
        </w:rPr>
        <w:t>委托人同意在</w:t>
      </w:r>
      <w:r>
        <w:rPr>
          <w:rFonts w:hint="eastAsia" w:ascii="宋体" w:hAnsi="宋体" w:cs="宋体"/>
          <w:color w:val="auto"/>
          <w:sz w:val="24"/>
          <w:szCs w:val="24"/>
          <w:highlight w:val="none"/>
          <w:u w:val="single"/>
        </w:rPr>
        <w:t xml:space="preserve">  五  </w:t>
      </w:r>
      <w:r>
        <w:rPr>
          <w:rFonts w:hint="eastAsia" w:ascii="宋体" w:hAnsi="宋体" w:cs="宋体"/>
          <w:color w:val="auto"/>
          <w:sz w:val="24"/>
          <w:szCs w:val="24"/>
          <w:highlight w:val="none"/>
        </w:rPr>
        <w:t>日内，对咨询人书面提交并要求做出决定的事宜给予书面答复。逾期未答复的，视为委托人认可。</w:t>
      </w:r>
    </w:p>
    <w:p>
      <w:pPr>
        <w:pStyle w:val="4"/>
        <w:keepNext w:val="0"/>
        <w:rPr>
          <w:color w:val="auto"/>
          <w:highlight w:val="none"/>
        </w:rPr>
      </w:pPr>
      <w:bookmarkStart w:id="556" w:name="_Toc31445"/>
      <w:bookmarkStart w:id="557" w:name="_Toc419045107"/>
      <w:bookmarkStart w:id="558" w:name="_Toc24761"/>
      <w:bookmarkStart w:id="559" w:name="_Toc31324"/>
      <w:bookmarkStart w:id="560" w:name="_Toc19538"/>
      <w:bookmarkStart w:id="561" w:name="_Toc422322532"/>
      <w:bookmarkStart w:id="562" w:name="_Toc2313"/>
      <w:r>
        <w:rPr>
          <w:rFonts w:hint="eastAsia" w:ascii="Arial" w:hAnsi="Arial" w:eastAsia="黑体"/>
          <w:bCs/>
          <w:color w:val="auto"/>
          <w:szCs w:val="32"/>
          <w:highlight w:val="none"/>
        </w:rPr>
        <w:t>3.咨询人的义务</w:t>
      </w:r>
      <w:bookmarkEnd w:id="556"/>
      <w:bookmarkEnd w:id="557"/>
      <w:bookmarkEnd w:id="558"/>
      <w:bookmarkEnd w:id="559"/>
      <w:bookmarkEnd w:id="560"/>
      <w:bookmarkEnd w:id="561"/>
      <w:bookmarkEnd w:id="562"/>
    </w:p>
    <w:p>
      <w:pPr>
        <w:pStyle w:val="5"/>
        <w:keepNext w:val="0"/>
        <w:numPr>
          <w:ilvl w:val="2"/>
          <w:numId w:val="0"/>
        </w:numPr>
        <w:rPr>
          <w:rFonts w:ascii="宋体" w:hAnsi="宋体" w:cs="宋体"/>
          <w:b w:val="0"/>
          <w:color w:val="auto"/>
          <w:sz w:val="24"/>
          <w:highlight w:val="none"/>
        </w:rPr>
      </w:pPr>
      <w:bookmarkStart w:id="563" w:name="_Toc29326"/>
      <w:bookmarkStart w:id="564" w:name="_Toc31796"/>
      <w:bookmarkStart w:id="565" w:name="_Toc419045109"/>
      <w:bookmarkStart w:id="566" w:name="_Toc422322533"/>
      <w:bookmarkStart w:id="567" w:name="_Toc29051"/>
      <w:bookmarkStart w:id="568" w:name="_Toc24798"/>
      <w:bookmarkStart w:id="569" w:name="_Toc11553"/>
      <w:r>
        <w:rPr>
          <w:rFonts w:hint="eastAsia" w:ascii="宋体" w:hAnsi="宋体" w:cs="宋体"/>
          <w:b w:val="0"/>
          <w:bCs w:val="0"/>
          <w:color w:val="auto"/>
          <w:sz w:val="24"/>
          <w:highlight w:val="none"/>
        </w:rPr>
        <w:t>3.1项目咨询团队及人员</w:t>
      </w:r>
      <w:bookmarkEnd w:id="563"/>
      <w:bookmarkEnd w:id="564"/>
      <w:bookmarkEnd w:id="565"/>
      <w:bookmarkEnd w:id="566"/>
      <w:bookmarkEnd w:id="567"/>
      <w:bookmarkEnd w:id="568"/>
      <w:bookmarkEnd w:id="569"/>
    </w:p>
    <w:p>
      <w:pPr>
        <w:rPr>
          <w:color w:val="auto"/>
          <w:sz w:val="24"/>
          <w:highlight w:val="none"/>
        </w:rPr>
      </w:pPr>
      <w:r>
        <w:rPr>
          <w:rFonts w:hint="eastAsia"/>
          <w:color w:val="auto"/>
          <w:sz w:val="24"/>
          <w:szCs w:val="24"/>
          <w:highlight w:val="none"/>
        </w:rPr>
        <w:t>3.1.1项目咨询团队的主要人员应具有</w:t>
      </w:r>
      <w:r>
        <w:rPr>
          <w:rFonts w:hint="eastAsia"/>
          <w:color w:val="auto"/>
          <w:sz w:val="24"/>
          <w:szCs w:val="24"/>
          <w:highlight w:val="none"/>
          <w:u w:val="single"/>
        </w:rPr>
        <w:t xml:space="preserve">               </w:t>
      </w:r>
      <w:r>
        <w:rPr>
          <w:rFonts w:hint="eastAsia"/>
          <w:color w:val="auto"/>
          <w:sz w:val="24"/>
          <w:szCs w:val="24"/>
          <w:highlight w:val="none"/>
        </w:rPr>
        <w:t>资格条件，团队人员的数量为</w:t>
      </w:r>
      <w:r>
        <w:rPr>
          <w:rFonts w:hint="eastAsia"/>
          <w:color w:val="auto"/>
          <w:sz w:val="24"/>
          <w:szCs w:val="24"/>
          <w:highlight w:val="none"/>
          <w:u w:val="single"/>
        </w:rPr>
        <w:t xml:space="preserve">   </w:t>
      </w:r>
      <w:r>
        <w:rPr>
          <w:rFonts w:hint="eastAsia"/>
          <w:color w:val="auto"/>
          <w:sz w:val="24"/>
          <w:szCs w:val="24"/>
          <w:highlight w:val="none"/>
        </w:rPr>
        <w:t>人，咨询团队需派驻咨询人员于现场坐班，每周不少于</w:t>
      </w:r>
      <w:r>
        <w:rPr>
          <w:rFonts w:hint="eastAsia"/>
          <w:color w:val="auto"/>
          <w:sz w:val="24"/>
          <w:szCs w:val="24"/>
          <w:highlight w:val="none"/>
          <w:u w:val="single"/>
        </w:rPr>
        <w:t xml:space="preserve">  </w:t>
      </w:r>
      <w:r>
        <w:rPr>
          <w:rFonts w:hint="eastAsia"/>
          <w:color w:val="auto"/>
          <w:sz w:val="24"/>
          <w:szCs w:val="24"/>
          <w:highlight w:val="none"/>
        </w:rPr>
        <w:t>日；若每周现场坐班天数不符合上述要求的视为咨询人违约，咨询人应向委托人赔偿违约金</w:t>
      </w:r>
      <w:r>
        <w:rPr>
          <w:rFonts w:hint="eastAsia"/>
          <w:color w:val="auto"/>
          <w:sz w:val="24"/>
          <w:szCs w:val="24"/>
          <w:highlight w:val="none"/>
          <w:u w:val="single"/>
        </w:rPr>
        <w:t xml:space="preserve">     </w:t>
      </w:r>
      <w:r>
        <w:rPr>
          <w:rFonts w:hint="eastAsia"/>
          <w:color w:val="auto"/>
          <w:sz w:val="24"/>
          <w:szCs w:val="24"/>
          <w:highlight w:val="none"/>
        </w:rPr>
        <w:t>万元/周。</w:t>
      </w:r>
    </w:p>
    <w:p>
      <w:pPr>
        <w:rPr>
          <w:color w:val="auto"/>
          <w:sz w:val="24"/>
          <w:highlight w:val="none"/>
        </w:rPr>
      </w:pPr>
      <w:r>
        <w:rPr>
          <w:rFonts w:hint="eastAsia"/>
          <w:color w:val="auto"/>
          <w:sz w:val="24"/>
          <w:szCs w:val="24"/>
          <w:highlight w:val="none"/>
        </w:rPr>
        <w:t>3.1.2项目负责人为：</w:t>
      </w:r>
      <w:r>
        <w:rPr>
          <w:rFonts w:hint="eastAsia"/>
          <w:color w:val="auto"/>
          <w:sz w:val="24"/>
          <w:szCs w:val="24"/>
          <w:highlight w:val="none"/>
          <w:u w:val="single"/>
        </w:rPr>
        <w:t xml:space="preserve">         </w:t>
      </w:r>
      <w:r>
        <w:rPr>
          <w:rFonts w:hint="eastAsia"/>
          <w:color w:val="auto"/>
          <w:sz w:val="24"/>
          <w:szCs w:val="24"/>
          <w:highlight w:val="none"/>
        </w:rPr>
        <w:t xml:space="preserve"> ，项目负责人为履行本合同的权限为：</w:t>
      </w:r>
      <w:r>
        <w:rPr>
          <w:rFonts w:hint="eastAsia"/>
          <w:color w:val="auto"/>
          <w:sz w:val="24"/>
          <w:szCs w:val="24"/>
          <w:highlight w:val="none"/>
          <w:u w:val="single"/>
        </w:rPr>
        <w:t xml:space="preserve">           </w:t>
      </w:r>
      <w:r>
        <w:rPr>
          <w:rFonts w:hint="eastAsia"/>
          <w:color w:val="auto"/>
          <w:sz w:val="24"/>
          <w:szCs w:val="24"/>
          <w:highlight w:val="none"/>
        </w:rPr>
        <w:t>。</w:t>
      </w:r>
    </w:p>
    <w:p>
      <w:pPr>
        <w:rPr>
          <w:rFonts w:ascii="宋体" w:hAnsi="宋体" w:cs="宋体"/>
          <w:b/>
          <w:color w:val="auto"/>
          <w:sz w:val="24"/>
          <w:highlight w:val="none"/>
        </w:rPr>
      </w:pPr>
      <w:r>
        <w:rPr>
          <w:rFonts w:hint="eastAsia" w:ascii="宋体" w:hAnsi="宋体" w:cs="宋体"/>
          <w:color w:val="auto"/>
          <w:sz w:val="24"/>
          <w:szCs w:val="24"/>
          <w:highlight w:val="none"/>
        </w:rPr>
        <w:t>3.1.3咨询人更换项目咨询团队其他咨询人员的约定：</w:t>
      </w:r>
      <w:r>
        <w:rPr>
          <w:rFonts w:hint="eastAsia" w:ascii="宋体" w:hAnsi="宋体" w:cs="宋体"/>
          <w:color w:val="auto"/>
          <w:sz w:val="24"/>
          <w:szCs w:val="24"/>
          <w:highlight w:val="none"/>
          <w:u w:val="single"/>
        </w:rPr>
        <w:t>双方另行协商，特殊情况详见</w:t>
      </w:r>
    </w:p>
    <w:p>
      <w:pPr>
        <w:rPr>
          <w:color w:val="auto"/>
          <w:highlight w:val="none"/>
          <w:u w:val="single"/>
        </w:rPr>
      </w:pPr>
    </w:p>
    <w:p>
      <w:pPr>
        <w:rPr>
          <w:color w:val="auto"/>
          <w:highlight w:val="none"/>
          <w:u w:val="single"/>
        </w:rPr>
      </w:pPr>
    </w:p>
    <w:p>
      <w:pPr>
        <w:spacing w:line="360" w:lineRule="auto"/>
        <w:rPr>
          <w:rFonts w:ascii="宋体" w:hAnsi="宋体" w:cs="宋体"/>
          <w:color w:val="auto"/>
          <w:sz w:val="24"/>
          <w:highlight w:val="none"/>
        </w:rPr>
      </w:pPr>
      <w:r>
        <w:rPr>
          <w:rFonts w:hint="eastAsia" w:ascii="宋体" w:hAnsi="宋体" w:cs="宋体"/>
          <w:color w:val="auto"/>
          <w:sz w:val="24"/>
          <w:szCs w:val="24"/>
          <w:highlight w:val="none"/>
          <w:u w:val="single"/>
        </w:rPr>
        <w:t>通用条件3.1.3，否则视为违约。</w:t>
      </w:r>
    </w:p>
    <w:p>
      <w:pPr>
        <w:rPr>
          <w:rFonts w:ascii="宋体" w:hAnsi="宋体" w:cs="宋体"/>
          <w:color w:val="auto"/>
          <w:sz w:val="24"/>
          <w:highlight w:val="none"/>
        </w:rPr>
      </w:pPr>
      <w:r>
        <w:rPr>
          <w:rFonts w:hint="eastAsia" w:ascii="宋体" w:hAnsi="宋体" w:cs="宋体"/>
          <w:color w:val="auto"/>
          <w:sz w:val="24"/>
          <w:szCs w:val="24"/>
          <w:highlight w:val="none"/>
        </w:rPr>
        <w:t>3.1.4委托人要求更换咨询人员的情形还包括：</w:t>
      </w:r>
      <w:r>
        <w:rPr>
          <w:rFonts w:hint="eastAsia" w:ascii="宋体" w:hAnsi="宋体" w:cs="宋体"/>
          <w:color w:val="auto"/>
          <w:sz w:val="24"/>
          <w:szCs w:val="24"/>
          <w:highlight w:val="none"/>
          <w:u w:val="single"/>
        </w:rPr>
        <w:t>经委托人考核不合格、与该项目相关方存在利害关系必须换的。</w:t>
      </w:r>
    </w:p>
    <w:p>
      <w:pPr>
        <w:pStyle w:val="5"/>
        <w:keepNext w:val="0"/>
        <w:numPr>
          <w:ilvl w:val="2"/>
          <w:numId w:val="0"/>
        </w:numPr>
        <w:rPr>
          <w:rFonts w:ascii="宋体" w:hAnsi="宋体" w:cs="宋体"/>
          <w:b w:val="0"/>
          <w:color w:val="auto"/>
          <w:sz w:val="24"/>
          <w:highlight w:val="none"/>
        </w:rPr>
      </w:pPr>
      <w:bookmarkStart w:id="570" w:name="_Toc15840"/>
      <w:bookmarkStart w:id="571" w:name="_Toc1474"/>
      <w:bookmarkStart w:id="572" w:name="_Toc422322534"/>
      <w:bookmarkStart w:id="573" w:name="_Toc419045110"/>
      <w:bookmarkStart w:id="574" w:name="_Toc8828"/>
      <w:bookmarkStart w:id="575" w:name="_Toc10676"/>
      <w:r>
        <w:rPr>
          <w:rFonts w:hint="eastAsia" w:ascii="宋体" w:hAnsi="宋体" w:cs="宋体"/>
          <w:b w:val="0"/>
          <w:bCs w:val="0"/>
          <w:color w:val="auto"/>
          <w:sz w:val="24"/>
          <w:highlight w:val="none"/>
        </w:rPr>
        <w:t>3.2咨询人的工作要求</w:t>
      </w:r>
      <w:bookmarkEnd w:id="570"/>
      <w:bookmarkEnd w:id="571"/>
      <w:bookmarkEnd w:id="572"/>
      <w:bookmarkEnd w:id="573"/>
      <w:bookmarkEnd w:id="574"/>
      <w:bookmarkEnd w:id="575"/>
    </w:p>
    <w:p>
      <w:pPr>
        <w:rPr>
          <w:rFonts w:ascii="宋体" w:hAnsi="宋体" w:cs="宋体"/>
          <w:color w:val="auto"/>
          <w:sz w:val="24"/>
          <w:highlight w:val="none"/>
        </w:rPr>
      </w:pPr>
      <w:r>
        <w:rPr>
          <w:rFonts w:hint="eastAsia" w:ascii="宋体" w:hAnsi="宋体" w:cs="宋体"/>
          <w:color w:val="auto"/>
          <w:sz w:val="24"/>
          <w:szCs w:val="24"/>
          <w:highlight w:val="none"/>
        </w:rPr>
        <w:t>3.2.1咨询人向委托人提供有关资料的时间：</w:t>
      </w:r>
      <w:r>
        <w:rPr>
          <w:rFonts w:hint="eastAsia" w:ascii="宋体" w:hAnsi="宋体" w:cs="宋体"/>
          <w:color w:val="auto"/>
          <w:sz w:val="24"/>
          <w:szCs w:val="24"/>
          <w:highlight w:val="none"/>
          <w:u w:val="single"/>
        </w:rPr>
        <w:t xml:space="preserve">  按双方约定的时间  </w:t>
      </w:r>
      <w:r>
        <w:rPr>
          <w:rFonts w:hint="eastAsia" w:ascii="宋体" w:hAnsi="宋体" w:cs="宋体"/>
          <w:color w:val="auto"/>
          <w:sz w:val="24"/>
          <w:szCs w:val="24"/>
          <w:highlight w:val="none"/>
        </w:rPr>
        <w:t>。咨询人向委托人提供的资料还包括：</w:t>
      </w:r>
      <w:r>
        <w:rPr>
          <w:rFonts w:hint="eastAsia" w:ascii="宋体" w:hAnsi="宋体" w:cs="宋体"/>
          <w:color w:val="auto"/>
          <w:sz w:val="24"/>
          <w:szCs w:val="24"/>
          <w:highlight w:val="none"/>
          <w:u w:val="single"/>
        </w:rPr>
        <w:t xml:space="preserve">工程结算审核报告书  </w:t>
      </w:r>
      <w:r>
        <w:rPr>
          <w:rFonts w:hint="eastAsia" w:ascii="宋体" w:hAnsi="宋体" w:cs="宋体"/>
          <w:color w:val="auto"/>
          <w:sz w:val="24"/>
          <w:szCs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3.2.2咨询人向委托人提供咨询成果文件的名称、组成、时间、份数及质量标准：</w:t>
      </w:r>
      <w:r>
        <w:rPr>
          <w:rFonts w:hint="eastAsia" w:ascii="宋体" w:hAnsi="宋体" w:cs="宋体"/>
          <w:color w:val="auto"/>
          <w:sz w:val="24"/>
          <w:szCs w:val="24"/>
          <w:highlight w:val="none"/>
          <w:u w:val="single"/>
        </w:rPr>
        <w:t xml:space="preserve">  双方协商  </w:t>
      </w:r>
      <w:r>
        <w:rPr>
          <w:rFonts w:hint="eastAsia" w:ascii="宋体" w:hAnsi="宋体" w:cs="宋体"/>
          <w:color w:val="auto"/>
          <w:sz w:val="24"/>
          <w:szCs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3.2.3咨询人应在收到委托人以书面形式提出的建议或者异议后</w:t>
      </w:r>
      <w:r>
        <w:rPr>
          <w:rFonts w:hint="eastAsia" w:ascii="宋体" w:hAnsi="宋体" w:cs="宋体"/>
          <w:color w:val="auto"/>
          <w:sz w:val="24"/>
          <w:szCs w:val="24"/>
          <w:highlight w:val="none"/>
          <w:u w:val="single"/>
        </w:rPr>
        <w:t xml:space="preserve"> 七 </w:t>
      </w:r>
      <w:r>
        <w:rPr>
          <w:rFonts w:hint="eastAsia" w:ascii="宋体" w:hAnsi="宋体" w:cs="宋体"/>
          <w:color w:val="auto"/>
          <w:sz w:val="24"/>
          <w:szCs w:val="24"/>
          <w:highlight w:val="none"/>
        </w:rPr>
        <w:t>日内给予书面答复。</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 xml:space="preserve">3.2.4咨询人应在收到每月监理确认的工程形象进度资料后 </w:t>
      </w:r>
      <w:r>
        <w:rPr>
          <w:rFonts w:hint="eastAsia" w:ascii="宋体" w:hAnsi="宋体" w:cs="宋体"/>
          <w:color w:val="auto"/>
          <w:sz w:val="24"/>
          <w:szCs w:val="24"/>
          <w:highlight w:val="none"/>
          <w:u w:val="single"/>
        </w:rPr>
        <w:t>七</w:t>
      </w:r>
      <w:r>
        <w:rPr>
          <w:rFonts w:hint="eastAsia" w:ascii="宋体" w:hAnsi="宋体" w:cs="宋体"/>
          <w:color w:val="auto"/>
          <w:sz w:val="24"/>
          <w:szCs w:val="24"/>
          <w:highlight w:val="none"/>
        </w:rPr>
        <w:t xml:space="preserve"> 日内向委托人出具相应的月度工程量工程审定结算金额报告及相关资料。</w:t>
      </w:r>
    </w:p>
    <w:p>
      <w:pPr>
        <w:pStyle w:val="15"/>
        <w:spacing w:line="360" w:lineRule="auto"/>
        <w:ind w:left="0" w:firstLine="490" w:firstLineChars="200"/>
        <w:rPr>
          <w:rFonts w:ascii="Times New Roman" w:hAnsi="Times New Roman"/>
          <w:color w:val="auto"/>
          <w:highlight w:val="none"/>
        </w:rPr>
      </w:pPr>
      <w:r>
        <w:rPr>
          <w:rFonts w:hint="eastAsia" w:ascii="Times New Roman" w:hAnsi="Times New Roman"/>
          <w:color w:val="auto"/>
          <w:sz w:val="24"/>
          <w:highlight w:val="none"/>
        </w:rPr>
        <w:t>3.2.5咨询人</w:t>
      </w:r>
      <w:r>
        <w:rPr>
          <w:rFonts w:hint="eastAsia" w:ascii="Times New Roman"/>
          <w:color w:val="auto"/>
          <w:sz w:val="24"/>
          <w:highlight w:val="none"/>
        </w:rPr>
        <w:t>应当在编制完控制价后并在巴州造价站备案，备案价</w:t>
      </w:r>
      <w:r>
        <w:rPr>
          <w:rFonts w:hint="eastAsia"/>
          <w:color w:val="auto"/>
          <w:highlight w:val="none"/>
        </w:rPr>
        <w:t>中的建筑安装工程费预算</w:t>
      </w:r>
      <w:r>
        <w:rPr>
          <w:rFonts w:hint="eastAsia" w:ascii="Times New Roman"/>
          <w:color w:val="auto"/>
          <w:sz w:val="24"/>
          <w:highlight w:val="none"/>
        </w:rPr>
        <w:t>原则上</w:t>
      </w:r>
      <w:r>
        <w:rPr>
          <w:rFonts w:hint="eastAsia"/>
          <w:color w:val="auto"/>
          <w:highlight w:val="none"/>
        </w:rPr>
        <w:t>不能超过总承包单位中标文件中的建筑安装工程费预算的100%（委托人确认的签证、变更除外）</w:t>
      </w:r>
      <w:r>
        <w:rPr>
          <w:rFonts w:hint="eastAsia" w:ascii="Times New Roman"/>
          <w:color w:val="auto"/>
          <w:sz w:val="24"/>
          <w:highlight w:val="none"/>
        </w:rPr>
        <w:t>。</w:t>
      </w:r>
    </w:p>
    <w:p>
      <w:pPr>
        <w:pStyle w:val="5"/>
        <w:keepNext w:val="0"/>
        <w:numPr>
          <w:ilvl w:val="2"/>
          <w:numId w:val="0"/>
        </w:numPr>
        <w:rPr>
          <w:rFonts w:ascii="宋体" w:hAnsi="宋体" w:cs="宋体"/>
          <w:b w:val="0"/>
          <w:color w:val="auto"/>
          <w:sz w:val="24"/>
          <w:highlight w:val="none"/>
        </w:rPr>
      </w:pPr>
      <w:bookmarkStart w:id="576" w:name="_Toc2117"/>
      <w:bookmarkStart w:id="577" w:name="_Toc419045111"/>
      <w:bookmarkStart w:id="578" w:name="_Toc17167"/>
      <w:bookmarkStart w:id="579" w:name="_Toc10079"/>
      <w:bookmarkStart w:id="580" w:name="_Toc25107"/>
      <w:bookmarkStart w:id="581" w:name="_Toc422322535"/>
      <w:bookmarkStart w:id="582" w:name="_Toc13506"/>
      <w:r>
        <w:rPr>
          <w:rFonts w:hint="eastAsia" w:ascii="宋体" w:hAnsi="宋体" w:cs="宋体"/>
          <w:b w:val="0"/>
          <w:bCs w:val="0"/>
          <w:color w:val="auto"/>
          <w:sz w:val="24"/>
          <w:highlight w:val="none"/>
        </w:rPr>
        <w:t>3.3咨询人的工作依据</w:t>
      </w:r>
      <w:bookmarkEnd w:id="576"/>
      <w:bookmarkEnd w:id="577"/>
      <w:bookmarkEnd w:id="578"/>
      <w:bookmarkEnd w:id="579"/>
      <w:bookmarkEnd w:id="580"/>
      <w:bookmarkEnd w:id="581"/>
      <w:bookmarkEnd w:id="582"/>
    </w:p>
    <w:p>
      <w:pPr>
        <w:spacing w:line="360" w:lineRule="auto"/>
        <w:ind w:firstLine="490" w:firstLineChars="200"/>
        <w:rPr>
          <w:rFonts w:ascii="宋体" w:hAnsi="宋体" w:cs="宋体"/>
          <w:color w:val="auto"/>
          <w:sz w:val="24"/>
          <w:highlight w:val="none"/>
        </w:rPr>
      </w:pPr>
      <w:r>
        <w:rPr>
          <w:rFonts w:hint="eastAsia" w:ascii="宋体" w:hAnsi="宋体" w:cs="宋体"/>
          <w:color w:val="auto"/>
          <w:sz w:val="24"/>
          <w:szCs w:val="24"/>
          <w:highlight w:val="none"/>
        </w:rPr>
        <w:t>经双方协商，本合同约定的造价咨询服务适用的技术标准、规范、定额等工作依据为：</w:t>
      </w:r>
      <w:r>
        <w:rPr>
          <w:rFonts w:hint="eastAsia" w:ascii="宋体" w:hAnsi="宋体" w:cs="宋体"/>
          <w:color w:val="auto"/>
          <w:sz w:val="24"/>
          <w:szCs w:val="24"/>
          <w:highlight w:val="none"/>
          <w:u w:val="single"/>
        </w:rPr>
        <w:t>中华人民共和国《民法典》、中华人民共和国《建筑法》、新疆维吾尔自治区人民政府令第138号《建设工程造价管理办法》；巴州造价站发布的库尔勒市建设工程综合价格信息的通知。</w:t>
      </w:r>
    </w:p>
    <w:p>
      <w:pPr>
        <w:pStyle w:val="5"/>
        <w:keepNext w:val="0"/>
        <w:numPr>
          <w:ilvl w:val="2"/>
          <w:numId w:val="0"/>
        </w:numPr>
        <w:rPr>
          <w:rFonts w:ascii="宋体" w:hAnsi="宋体" w:cs="宋体"/>
          <w:b w:val="0"/>
          <w:color w:val="auto"/>
          <w:sz w:val="24"/>
          <w:highlight w:val="none"/>
        </w:rPr>
      </w:pPr>
      <w:bookmarkStart w:id="583" w:name="_Toc13751"/>
      <w:bookmarkStart w:id="584" w:name="_Toc19430"/>
      <w:bookmarkStart w:id="585" w:name="_Toc19677"/>
      <w:bookmarkStart w:id="586" w:name="_Toc422322536"/>
      <w:bookmarkStart w:id="587" w:name="_Toc11610"/>
      <w:bookmarkStart w:id="588" w:name="_Toc419045112"/>
      <w:bookmarkStart w:id="589" w:name="_Toc32249"/>
      <w:r>
        <w:rPr>
          <w:rFonts w:hint="eastAsia" w:ascii="宋体" w:hAnsi="宋体" w:cs="宋体"/>
          <w:b w:val="0"/>
          <w:bCs w:val="0"/>
          <w:color w:val="auto"/>
          <w:sz w:val="24"/>
          <w:highlight w:val="none"/>
        </w:rPr>
        <w:t>3.4使用委托人房屋及设备的返还</w:t>
      </w:r>
      <w:bookmarkEnd w:id="583"/>
      <w:bookmarkEnd w:id="584"/>
      <w:bookmarkEnd w:id="585"/>
      <w:bookmarkEnd w:id="586"/>
      <w:bookmarkEnd w:id="587"/>
      <w:bookmarkEnd w:id="588"/>
      <w:bookmarkEnd w:id="589"/>
    </w:p>
    <w:p>
      <w:pPr>
        <w:spacing w:line="360" w:lineRule="auto"/>
        <w:rPr>
          <w:color w:val="auto"/>
          <w:sz w:val="24"/>
          <w:highlight w:val="none"/>
        </w:rPr>
      </w:pPr>
      <w:r>
        <w:rPr>
          <w:rFonts w:hint="eastAsia"/>
          <w:color w:val="auto"/>
          <w:sz w:val="24"/>
          <w:szCs w:val="24"/>
          <w:highlight w:val="none"/>
        </w:rPr>
        <w:t>咨询人应在本合同终止后</w:t>
      </w:r>
      <w:r>
        <w:rPr>
          <w:rFonts w:hint="eastAsia"/>
          <w:color w:val="auto"/>
          <w:sz w:val="24"/>
          <w:szCs w:val="24"/>
          <w:highlight w:val="none"/>
          <w:u w:val="single"/>
        </w:rPr>
        <w:t xml:space="preserve"> 七 </w:t>
      </w:r>
      <w:r>
        <w:rPr>
          <w:rFonts w:hint="eastAsia"/>
          <w:color w:val="auto"/>
          <w:sz w:val="24"/>
          <w:szCs w:val="24"/>
          <w:highlight w:val="none"/>
        </w:rPr>
        <w:t xml:space="preserve">日内移交委托人提供的房屋及设备，移交的方式为 </w:t>
      </w:r>
      <w:r>
        <w:rPr>
          <w:rFonts w:hint="eastAsia"/>
          <w:color w:val="auto"/>
          <w:sz w:val="24"/>
          <w:szCs w:val="24"/>
          <w:highlight w:val="none"/>
          <w:u w:val="single"/>
        </w:rPr>
        <w:t xml:space="preserve">按照移交单去全部移交 </w:t>
      </w:r>
      <w:r>
        <w:rPr>
          <w:rFonts w:hint="eastAsia"/>
          <w:color w:val="auto"/>
          <w:sz w:val="24"/>
          <w:szCs w:val="24"/>
          <w:highlight w:val="none"/>
        </w:rPr>
        <w:t>。</w:t>
      </w:r>
    </w:p>
    <w:p>
      <w:pPr>
        <w:pStyle w:val="4"/>
        <w:keepNext w:val="0"/>
        <w:rPr>
          <w:color w:val="auto"/>
          <w:highlight w:val="none"/>
        </w:rPr>
      </w:pPr>
      <w:bookmarkStart w:id="590" w:name="_Toc18033"/>
      <w:bookmarkStart w:id="591" w:name="_Toc422322537"/>
      <w:bookmarkStart w:id="592" w:name="_Toc7032"/>
      <w:bookmarkStart w:id="593" w:name="_Toc419045113"/>
      <w:bookmarkStart w:id="594" w:name="_Toc21908"/>
      <w:bookmarkStart w:id="595" w:name="_Toc12591"/>
      <w:bookmarkStart w:id="596" w:name="_Toc32210"/>
      <w:r>
        <w:rPr>
          <w:rFonts w:hint="eastAsia" w:ascii="Arial" w:hAnsi="Arial" w:eastAsia="黑体"/>
          <w:bCs/>
          <w:color w:val="auto"/>
          <w:szCs w:val="32"/>
          <w:highlight w:val="none"/>
        </w:rPr>
        <w:t>4. 违约责任</w:t>
      </w:r>
      <w:bookmarkEnd w:id="590"/>
      <w:bookmarkEnd w:id="591"/>
      <w:bookmarkEnd w:id="592"/>
      <w:bookmarkEnd w:id="593"/>
      <w:bookmarkEnd w:id="594"/>
      <w:bookmarkEnd w:id="595"/>
      <w:bookmarkEnd w:id="596"/>
    </w:p>
    <w:p>
      <w:pPr>
        <w:pStyle w:val="5"/>
        <w:keepNext w:val="0"/>
        <w:numPr>
          <w:ilvl w:val="2"/>
          <w:numId w:val="0"/>
        </w:numPr>
        <w:rPr>
          <w:rFonts w:ascii="宋体" w:hAnsi="宋体" w:cs="宋体"/>
          <w:b w:val="0"/>
          <w:color w:val="auto"/>
          <w:sz w:val="24"/>
          <w:highlight w:val="none"/>
        </w:rPr>
      </w:pPr>
      <w:bookmarkStart w:id="597" w:name="_Toc18696"/>
      <w:bookmarkStart w:id="598" w:name="_Toc27135"/>
      <w:bookmarkStart w:id="599" w:name="_Toc852"/>
      <w:bookmarkStart w:id="600" w:name="_Toc4441"/>
      <w:bookmarkStart w:id="601" w:name="_Toc422322538"/>
      <w:bookmarkStart w:id="602" w:name="_Toc872"/>
      <w:r>
        <w:rPr>
          <w:rFonts w:hint="eastAsia" w:ascii="宋体" w:hAnsi="宋体" w:cs="宋体"/>
          <w:b w:val="0"/>
          <w:bCs w:val="0"/>
          <w:color w:val="auto"/>
          <w:sz w:val="24"/>
          <w:highlight w:val="none"/>
        </w:rPr>
        <w:t>4.1委托人的违约责任</w:t>
      </w:r>
      <w:bookmarkEnd w:id="597"/>
      <w:bookmarkEnd w:id="598"/>
      <w:bookmarkEnd w:id="599"/>
      <w:bookmarkEnd w:id="600"/>
      <w:bookmarkEnd w:id="601"/>
      <w:bookmarkEnd w:id="602"/>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4.1.1委托人违约金的计算及支付方法：</w:t>
      </w:r>
      <w:r>
        <w:rPr>
          <w:rFonts w:hint="eastAsia" w:ascii="宋体" w:hAnsi="宋体" w:cs="宋体"/>
          <w:color w:val="auto"/>
          <w:sz w:val="24"/>
          <w:szCs w:val="24"/>
          <w:highlight w:val="none"/>
          <w:u w:val="single"/>
        </w:rPr>
        <w:t>双方另行协商</w:t>
      </w:r>
      <w:r>
        <w:rPr>
          <w:rFonts w:hint="eastAsia" w:ascii="宋体" w:hAnsi="宋体" w:cs="宋体"/>
          <w:color w:val="auto"/>
          <w:sz w:val="24"/>
          <w:szCs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4.1.2委托人赔偿金额按下列方法确定并支付：</w:t>
      </w:r>
      <w:r>
        <w:rPr>
          <w:rFonts w:hint="eastAsia" w:ascii="宋体" w:hAnsi="宋体" w:cs="宋体"/>
          <w:color w:val="auto"/>
          <w:sz w:val="24"/>
          <w:szCs w:val="24"/>
          <w:highlight w:val="none"/>
          <w:u w:val="single"/>
        </w:rPr>
        <w:t>双方另行协商</w:t>
      </w:r>
      <w:r>
        <w:rPr>
          <w:rFonts w:hint="eastAsia" w:ascii="宋体" w:hAnsi="宋体" w:cs="宋体"/>
          <w:color w:val="auto"/>
          <w:sz w:val="24"/>
          <w:szCs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4.1.3 委托人逾期付款利息按下列方法计算并支付：</w:t>
      </w:r>
      <w:r>
        <w:rPr>
          <w:rFonts w:hint="eastAsia" w:ascii="宋体" w:hAnsi="宋体" w:cs="宋体"/>
          <w:color w:val="auto"/>
          <w:sz w:val="24"/>
          <w:szCs w:val="24"/>
          <w:highlight w:val="none"/>
          <w:u w:val="single"/>
        </w:rPr>
        <w:t>双方另行协商</w:t>
      </w:r>
      <w:r>
        <w:rPr>
          <w:rFonts w:hint="eastAsia" w:ascii="宋体" w:hAnsi="宋体" w:cs="宋体"/>
          <w:color w:val="auto"/>
          <w:sz w:val="24"/>
          <w:szCs w:val="24"/>
          <w:highlight w:val="none"/>
        </w:rPr>
        <w:t>。</w:t>
      </w:r>
    </w:p>
    <w:p>
      <w:pPr>
        <w:spacing w:line="360" w:lineRule="auto"/>
        <w:rPr>
          <w:rFonts w:ascii="宋体" w:hAnsi="宋体" w:cs="宋体"/>
          <w:color w:val="auto"/>
          <w:sz w:val="24"/>
          <w:highlight w:val="none"/>
        </w:rPr>
      </w:pPr>
      <w:bookmarkStart w:id="603" w:name="_Toc21520"/>
      <w:bookmarkStart w:id="604" w:name="_Toc419045114"/>
      <w:bookmarkStart w:id="605" w:name="_Toc18279"/>
      <w:bookmarkStart w:id="606" w:name="_Toc1523"/>
      <w:bookmarkStart w:id="607" w:name="_Toc22130"/>
      <w:bookmarkStart w:id="608" w:name="_Toc422322539"/>
      <w:bookmarkStart w:id="609" w:name="_Toc15296"/>
      <w:r>
        <w:rPr>
          <w:rFonts w:hint="eastAsia" w:ascii="宋体" w:hAnsi="宋体" w:cs="宋体"/>
          <w:color w:val="auto"/>
          <w:sz w:val="24"/>
          <w:szCs w:val="24"/>
          <w:highlight w:val="none"/>
        </w:rPr>
        <w:t>4.2咨询人的违约责任</w:t>
      </w:r>
      <w:bookmarkEnd w:id="603"/>
      <w:bookmarkEnd w:id="604"/>
      <w:bookmarkEnd w:id="605"/>
      <w:bookmarkEnd w:id="606"/>
      <w:bookmarkEnd w:id="607"/>
      <w:bookmarkEnd w:id="608"/>
      <w:bookmarkEnd w:id="609"/>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4.2.1咨询人违约金的计算及支付方法：双方另行协商。</w:t>
      </w:r>
    </w:p>
    <w:p>
      <w:pPr>
        <w:rPr>
          <w:rFonts w:ascii="宋体" w:hAnsi="宋体" w:cs="宋体"/>
          <w:color w:val="auto"/>
          <w:sz w:val="24"/>
          <w:highlight w:val="none"/>
        </w:rPr>
      </w:pPr>
      <w:r>
        <w:rPr>
          <w:rFonts w:hint="eastAsia" w:ascii="宋体" w:hAnsi="宋体" w:cs="宋体"/>
          <w:color w:val="auto"/>
          <w:sz w:val="24"/>
          <w:szCs w:val="24"/>
          <w:highlight w:val="none"/>
        </w:rPr>
        <w:t>4.2.2 咨询人赔偿金额按下列方法确定并支付：</w:t>
      </w:r>
      <w:r>
        <w:rPr>
          <w:rFonts w:hint="eastAsia" w:ascii="宋体" w:hAnsi="宋体" w:cs="宋体"/>
          <w:color w:val="auto"/>
          <w:sz w:val="24"/>
          <w:szCs w:val="24"/>
          <w:highlight w:val="none"/>
          <w:u w:val="single"/>
        </w:rPr>
        <w:t>双方另行协商</w:t>
      </w:r>
      <w:r>
        <w:rPr>
          <w:rFonts w:hint="eastAsia" w:ascii="宋体" w:hAnsi="宋体" w:cs="宋体"/>
          <w:color w:val="auto"/>
          <w:sz w:val="24"/>
          <w:szCs w:val="24"/>
          <w:highlight w:val="none"/>
        </w:rPr>
        <w:t>。</w:t>
      </w:r>
    </w:p>
    <w:p>
      <w:pPr>
        <w:pStyle w:val="4"/>
        <w:keepNext w:val="0"/>
        <w:rPr>
          <w:color w:val="auto"/>
          <w:highlight w:val="none"/>
        </w:rPr>
      </w:pPr>
      <w:bookmarkStart w:id="610" w:name="_Toc422322540"/>
      <w:bookmarkStart w:id="611" w:name="_Toc419045115"/>
      <w:bookmarkStart w:id="612" w:name="_Toc20578"/>
      <w:bookmarkStart w:id="613" w:name="_Toc13902"/>
      <w:bookmarkStart w:id="614" w:name="_Toc25644"/>
      <w:bookmarkStart w:id="615" w:name="_Toc21982"/>
      <w:bookmarkStart w:id="616" w:name="_Toc29450"/>
      <w:r>
        <w:rPr>
          <w:rFonts w:hint="eastAsia" w:ascii="Arial" w:hAnsi="Arial" w:eastAsia="黑体"/>
          <w:bCs/>
          <w:color w:val="auto"/>
          <w:szCs w:val="32"/>
          <w:highlight w:val="none"/>
        </w:rPr>
        <w:t>5. 支付</w:t>
      </w:r>
      <w:bookmarkEnd w:id="610"/>
      <w:bookmarkEnd w:id="611"/>
      <w:bookmarkEnd w:id="612"/>
      <w:bookmarkEnd w:id="613"/>
      <w:bookmarkEnd w:id="614"/>
      <w:bookmarkEnd w:id="615"/>
      <w:bookmarkEnd w:id="616"/>
    </w:p>
    <w:p>
      <w:pPr>
        <w:pStyle w:val="5"/>
        <w:keepNext w:val="0"/>
        <w:numPr>
          <w:ilvl w:val="2"/>
          <w:numId w:val="0"/>
        </w:numPr>
        <w:rPr>
          <w:rFonts w:ascii="宋体" w:hAnsi="宋体" w:cs="宋体"/>
          <w:b w:val="0"/>
          <w:color w:val="auto"/>
          <w:sz w:val="24"/>
          <w:highlight w:val="none"/>
        </w:rPr>
      </w:pPr>
      <w:bookmarkStart w:id="617" w:name="_Toc422322541"/>
      <w:bookmarkStart w:id="618" w:name="_Toc419045116"/>
      <w:bookmarkStart w:id="619" w:name="_Toc32532"/>
      <w:bookmarkStart w:id="620" w:name="_Toc5597"/>
      <w:bookmarkStart w:id="621" w:name="_Toc14684"/>
      <w:bookmarkStart w:id="622" w:name="_Toc22747"/>
      <w:r>
        <w:rPr>
          <w:rFonts w:hint="eastAsia" w:ascii="宋体" w:hAnsi="宋体" w:cs="宋体"/>
          <w:b w:val="0"/>
          <w:bCs w:val="0"/>
          <w:color w:val="auto"/>
          <w:sz w:val="24"/>
          <w:highlight w:val="none"/>
        </w:rPr>
        <w:t>5.1支付货币</w:t>
      </w:r>
      <w:bookmarkEnd w:id="617"/>
      <w:bookmarkEnd w:id="618"/>
      <w:bookmarkEnd w:id="619"/>
      <w:bookmarkEnd w:id="620"/>
      <w:bookmarkEnd w:id="621"/>
      <w:bookmarkEnd w:id="622"/>
    </w:p>
    <w:p>
      <w:pPr>
        <w:rPr>
          <w:rFonts w:ascii="宋体" w:hAnsi="宋体" w:cs="宋体"/>
          <w:color w:val="auto"/>
          <w:sz w:val="24"/>
          <w:highlight w:val="none"/>
        </w:rPr>
      </w:pPr>
      <w:r>
        <w:rPr>
          <w:rFonts w:hint="eastAsia" w:ascii="宋体" w:hAnsi="宋体" w:cs="宋体"/>
          <w:color w:val="auto"/>
          <w:sz w:val="24"/>
          <w:szCs w:val="24"/>
          <w:highlight w:val="none"/>
        </w:rPr>
        <w:t>币种为：</w:t>
      </w:r>
      <w:r>
        <w:rPr>
          <w:rFonts w:hint="eastAsia" w:ascii="宋体" w:hAnsi="宋体" w:cs="宋体"/>
          <w:color w:val="auto"/>
          <w:sz w:val="24"/>
          <w:szCs w:val="24"/>
          <w:highlight w:val="none"/>
          <w:u w:val="single"/>
        </w:rPr>
        <w:t xml:space="preserve">  人民币  </w:t>
      </w:r>
      <w:r>
        <w:rPr>
          <w:rFonts w:hint="eastAsia" w:ascii="宋体" w:hAnsi="宋体" w:cs="宋体"/>
          <w:color w:val="auto"/>
          <w:sz w:val="24"/>
          <w:szCs w:val="24"/>
          <w:highlight w:val="none"/>
        </w:rPr>
        <w:t>，汇率为：</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，其他约定：</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pPr>
        <w:pStyle w:val="5"/>
        <w:keepNext w:val="0"/>
        <w:numPr>
          <w:ilvl w:val="2"/>
          <w:numId w:val="0"/>
        </w:numPr>
        <w:rPr>
          <w:rFonts w:ascii="宋体" w:hAnsi="宋体" w:cs="宋体"/>
          <w:b w:val="0"/>
          <w:color w:val="auto"/>
          <w:sz w:val="24"/>
          <w:highlight w:val="none"/>
        </w:rPr>
      </w:pPr>
      <w:bookmarkStart w:id="623" w:name="_Toc422322542"/>
      <w:bookmarkStart w:id="624" w:name="_Toc5667"/>
      <w:bookmarkStart w:id="625" w:name="_Toc419045117"/>
      <w:bookmarkStart w:id="626" w:name="_Toc13658"/>
      <w:bookmarkStart w:id="627" w:name="_Toc22941"/>
      <w:bookmarkStart w:id="628" w:name="_Toc13000"/>
      <w:bookmarkStart w:id="629" w:name="_Toc11845"/>
      <w:r>
        <w:rPr>
          <w:rFonts w:hint="eastAsia" w:ascii="宋体" w:hAnsi="宋体" w:cs="宋体"/>
          <w:b w:val="0"/>
          <w:bCs w:val="0"/>
          <w:color w:val="auto"/>
          <w:sz w:val="24"/>
          <w:highlight w:val="none"/>
        </w:rPr>
        <w:t>5.2 支付申请</w:t>
      </w:r>
      <w:bookmarkEnd w:id="623"/>
      <w:bookmarkEnd w:id="624"/>
      <w:bookmarkEnd w:id="625"/>
      <w:bookmarkEnd w:id="626"/>
      <w:bookmarkEnd w:id="627"/>
      <w:bookmarkEnd w:id="628"/>
      <w:bookmarkEnd w:id="629"/>
    </w:p>
    <w:p>
      <w:pPr>
        <w:rPr>
          <w:rFonts w:ascii="宋体" w:hAnsi="宋体" w:cs="宋体"/>
          <w:color w:val="auto"/>
          <w:sz w:val="24"/>
          <w:highlight w:val="none"/>
        </w:rPr>
      </w:pPr>
      <w:r>
        <w:rPr>
          <w:rFonts w:hint="eastAsia" w:ascii="宋体" w:hAnsi="宋体" w:cs="宋体"/>
          <w:color w:val="auto"/>
          <w:sz w:val="24"/>
          <w:szCs w:val="24"/>
          <w:highlight w:val="none"/>
        </w:rPr>
        <w:t xml:space="preserve">咨询人应在本合同约定的每次应付款日期 </w:t>
      </w:r>
      <w:r>
        <w:rPr>
          <w:rFonts w:hint="eastAsia" w:ascii="宋体" w:hAnsi="宋体" w:cs="宋体"/>
          <w:color w:val="auto"/>
          <w:sz w:val="24"/>
          <w:szCs w:val="24"/>
          <w:highlight w:val="none"/>
          <w:u w:val="single"/>
        </w:rPr>
        <w:t xml:space="preserve"> 5  </w:t>
      </w:r>
      <w:r>
        <w:rPr>
          <w:rFonts w:hint="eastAsia" w:ascii="宋体" w:hAnsi="宋体" w:cs="宋体"/>
          <w:color w:val="auto"/>
          <w:sz w:val="24"/>
          <w:szCs w:val="24"/>
          <w:highlight w:val="none"/>
        </w:rPr>
        <w:t>日前，向委托人提交支付申请书。</w:t>
      </w:r>
    </w:p>
    <w:p>
      <w:pPr>
        <w:pStyle w:val="5"/>
        <w:keepNext w:val="0"/>
        <w:numPr>
          <w:ilvl w:val="2"/>
          <w:numId w:val="0"/>
        </w:numPr>
        <w:rPr>
          <w:rFonts w:ascii="宋体" w:hAnsi="宋体" w:cs="宋体"/>
          <w:b w:val="0"/>
          <w:color w:val="auto"/>
          <w:sz w:val="24"/>
          <w:highlight w:val="none"/>
        </w:rPr>
      </w:pPr>
      <w:bookmarkStart w:id="630" w:name="_Toc23434"/>
      <w:bookmarkStart w:id="631" w:name="_Toc11382"/>
      <w:bookmarkStart w:id="632" w:name="_Toc422322543"/>
      <w:bookmarkStart w:id="633" w:name="_Toc26988"/>
      <w:bookmarkStart w:id="634" w:name="_Toc419045118"/>
      <w:bookmarkStart w:id="635" w:name="_Toc10062"/>
      <w:bookmarkStart w:id="636" w:name="_Toc12313"/>
      <w:r>
        <w:rPr>
          <w:rFonts w:hint="eastAsia" w:ascii="宋体" w:hAnsi="宋体" w:cs="宋体"/>
          <w:b w:val="0"/>
          <w:bCs w:val="0"/>
          <w:color w:val="auto"/>
          <w:sz w:val="24"/>
          <w:highlight w:val="none"/>
        </w:rPr>
        <w:t>5.3支付酬金</w:t>
      </w:r>
      <w:bookmarkEnd w:id="630"/>
      <w:bookmarkEnd w:id="631"/>
      <w:bookmarkEnd w:id="632"/>
      <w:bookmarkEnd w:id="633"/>
      <w:bookmarkEnd w:id="634"/>
      <w:bookmarkEnd w:id="635"/>
      <w:bookmarkEnd w:id="636"/>
    </w:p>
    <w:p>
      <w:pPr>
        <w:rPr>
          <w:color w:val="auto"/>
          <w:sz w:val="24"/>
          <w:highlight w:val="none"/>
        </w:rPr>
      </w:pPr>
      <w:r>
        <w:rPr>
          <w:rFonts w:hint="eastAsia"/>
          <w:color w:val="auto"/>
          <w:sz w:val="24"/>
          <w:szCs w:val="24"/>
          <w:highlight w:val="none"/>
        </w:rPr>
        <w:t>正常工作酬金的支付：</w:t>
      </w:r>
    </w:p>
    <w:tbl>
      <w:tblPr>
        <w:tblStyle w:val="19"/>
        <w:tblpPr w:leftFromText="180" w:rightFromText="180" w:vertAnchor="text" w:horzAnchor="page" w:tblpX="901" w:tblpY="126"/>
        <w:tblOverlap w:val="never"/>
        <w:tblW w:w="9825" w:type="dxa"/>
        <w:tblInd w:w="-8" w:type="dxa"/>
        <w:tblLayout w:type="fixed"/>
        <w:tblCellMar>
          <w:top w:w="0" w:type="dxa"/>
          <w:left w:w="0" w:type="dxa"/>
          <w:bottom w:w="0" w:type="dxa"/>
          <w:right w:w="0" w:type="dxa"/>
        </w:tblCellMar>
      </w:tblPr>
      <w:tblGrid>
        <w:gridCol w:w="1618"/>
        <w:gridCol w:w="3138"/>
        <w:gridCol w:w="1962"/>
        <w:gridCol w:w="3107"/>
      </w:tblGrid>
      <w:tr>
        <w:tblPrEx>
          <w:tblCellMar>
            <w:top w:w="0" w:type="dxa"/>
            <w:left w:w="0" w:type="dxa"/>
            <w:bottom w:w="0" w:type="dxa"/>
            <w:right w:w="0" w:type="dxa"/>
          </w:tblCellMar>
        </w:tblPrEx>
        <w:tc>
          <w:tcPr>
            <w:tcW w:w="1618" w:type="dxa"/>
            <w:tcBorders>
              <w:top w:val="inset" w:color="000000" w:sz="6" w:space="0"/>
              <w:left w:val="inset" w:color="000000" w:sz="6" w:space="0"/>
              <w:bottom w:val="inset" w:color="000000" w:sz="6" w:space="0"/>
              <w:right w:val="inset" w:color="000000" w:sz="6" w:space="0"/>
            </w:tcBorders>
            <w:noWrap w:val="0"/>
            <w:vAlign w:val="center"/>
          </w:tcPr>
          <w:p>
            <w:pPr>
              <w:spacing w:line="360" w:lineRule="auto"/>
              <w:jc w:val="center"/>
              <w:rPr>
                <w:rFonts w:ascii="宋体" w:hAnsi="宋体" w:cs="宋体"/>
                <w:color w:val="auto"/>
                <w:sz w:val="24"/>
                <w:highlight w:val="none"/>
              </w:rPr>
            </w:pPr>
            <w:bookmarkStart w:id="637" w:name="_Toc11374"/>
            <w:bookmarkStart w:id="638" w:name="_Toc17097"/>
            <w:bookmarkStart w:id="639" w:name="_Toc419045119"/>
            <w:bookmarkStart w:id="640" w:name="_Toc1971"/>
            <w:bookmarkStart w:id="641" w:name="_Toc10845"/>
            <w:bookmarkStart w:id="642" w:name="_Toc422322544"/>
            <w:bookmarkStart w:id="643" w:name="_Toc5577"/>
            <w:r>
              <w:rPr>
                <w:rFonts w:hint="eastAsia" w:ascii="宋体" w:hAnsi="宋体" w:cs="宋体"/>
                <w:color w:val="auto"/>
                <w:sz w:val="24"/>
                <w:szCs w:val="24"/>
                <w:highlight w:val="none"/>
              </w:rPr>
              <w:t>支付次数</w:t>
            </w:r>
          </w:p>
        </w:tc>
        <w:tc>
          <w:tcPr>
            <w:tcW w:w="3138" w:type="dxa"/>
            <w:tcBorders>
              <w:top w:val="inset" w:color="000000" w:sz="6" w:space="0"/>
              <w:left w:val="single" w:color="auto" w:sz="0" w:space="0"/>
              <w:bottom w:val="inset" w:color="000000" w:sz="6" w:space="0"/>
              <w:right w:val="inset" w:color="000000" w:sz="6" w:space="0"/>
            </w:tcBorders>
            <w:noWrap w:val="0"/>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szCs w:val="24"/>
                <w:highlight w:val="none"/>
              </w:rPr>
              <w:t>支付时间</w:t>
            </w:r>
          </w:p>
        </w:tc>
        <w:tc>
          <w:tcPr>
            <w:tcW w:w="1962" w:type="dxa"/>
            <w:tcBorders>
              <w:top w:val="inset" w:color="000000" w:sz="6" w:space="0"/>
              <w:left w:val="single" w:color="auto" w:sz="0" w:space="0"/>
              <w:bottom w:val="inset" w:color="000000" w:sz="6" w:space="0"/>
              <w:right w:val="inset" w:color="000000" w:sz="6" w:space="0"/>
            </w:tcBorders>
            <w:noWrap w:val="0"/>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szCs w:val="24"/>
                <w:highlight w:val="none"/>
              </w:rPr>
              <w:t>支付比例</w:t>
            </w:r>
          </w:p>
        </w:tc>
        <w:tc>
          <w:tcPr>
            <w:tcW w:w="3107" w:type="dxa"/>
            <w:tcBorders>
              <w:top w:val="inset" w:color="000000" w:sz="6" w:space="0"/>
              <w:left w:val="single" w:color="auto" w:sz="0" w:space="0"/>
              <w:bottom w:val="inset" w:color="000000" w:sz="6" w:space="0"/>
              <w:right w:val="inset" w:color="000000" w:sz="6" w:space="0"/>
            </w:tcBorders>
            <w:noWrap w:val="0"/>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szCs w:val="24"/>
                <w:highlight w:val="none"/>
              </w:rPr>
              <w:t>支付金额（元）</w:t>
            </w:r>
          </w:p>
        </w:tc>
      </w:tr>
      <w:tr>
        <w:tblPrEx>
          <w:tblCellMar>
            <w:top w:w="0" w:type="dxa"/>
            <w:left w:w="0" w:type="dxa"/>
            <w:bottom w:w="0" w:type="dxa"/>
            <w:right w:w="0" w:type="dxa"/>
          </w:tblCellMar>
        </w:tblPrEx>
        <w:tc>
          <w:tcPr>
            <w:tcW w:w="1618" w:type="dxa"/>
            <w:tcBorders>
              <w:top w:val="inset" w:color="000000" w:sz="6" w:space="0"/>
              <w:left w:val="inset" w:color="000000" w:sz="6" w:space="0"/>
              <w:bottom w:val="inset" w:color="000000" w:sz="6" w:space="0"/>
              <w:right w:val="inset" w:color="000000" w:sz="6" w:space="0"/>
            </w:tcBorders>
            <w:noWrap w:val="0"/>
            <w:vAlign w:val="center"/>
          </w:tcPr>
          <w:p>
            <w:pPr>
              <w:spacing w:line="360" w:lineRule="auto"/>
              <w:rPr>
                <w:color w:val="auto"/>
                <w:szCs w:val="21"/>
                <w:highlight w:val="none"/>
              </w:rPr>
            </w:pPr>
            <w:r>
              <w:rPr>
                <w:rFonts w:hint="eastAsia"/>
                <w:color w:val="auto"/>
                <w:szCs w:val="21"/>
                <w:highlight w:val="none"/>
              </w:rPr>
              <w:t>1</w:t>
            </w:r>
          </w:p>
        </w:tc>
        <w:tc>
          <w:tcPr>
            <w:tcW w:w="3138" w:type="dxa"/>
            <w:tcBorders>
              <w:top w:val="inset" w:color="000000" w:sz="6" w:space="0"/>
              <w:left w:val="single" w:color="auto" w:sz="0" w:space="0"/>
              <w:bottom w:val="inset" w:color="000000" w:sz="6" w:space="0"/>
              <w:right w:val="inset" w:color="000000" w:sz="6" w:space="0"/>
            </w:tcBorders>
            <w:noWrap w:val="0"/>
            <w:vAlign w:val="center"/>
          </w:tcPr>
          <w:p>
            <w:pPr>
              <w:spacing w:line="360" w:lineRule="auto"/>
              <w:rPr>
                <w:color w:val="auto"/>
                <w:szCs w:val="21"/>
                <w:highlight w:val="none"/>
              </w:rPr>
            </w:pPr>
          </w:p>
        </w:tc>
        <w:tc>
          <w:tcPr>
            <w:tcW w:w="1962" w:type="dxa"/>
            <w:tcBorders>
              <w:top w:val="inset" w:color="000000" w:sz="6" w:space="0"/>
              <w:left w:val="single" w:color="auto" w:sz="0" w:space="0"/>
              <w:bottom w:val="inset" w:color="000000" w:sz="6" w:space="0"/>
              <w:right w:val="inset" w:color="000000" w:sz="6" w:space="0"/>
            </w:tcBorders>
            <w:noWrap w:val="0"/>
            <w:vAlign w:val="center"/>
          </w:tcPr>
          <w:p>
            <w:pPr>
              <w:spacing w:line="360" w:lineRule="auto"/>
              <w:rPr>
                <w:color w:val="auto"/>
                <w:szCs w:val="21"/>
                <w:highlight w:val="none"/>
              </w:rPr>
            </w:pPr>
          </w:p>
        </w:tc>
        <w:tc>
          <w:tcPr>
            <w:tcW w:w="3107" w:type="dxa"/>
            <w:tcBorders>
              <w:top w:val="inset" w:color="000000" w:sz="6" w:space="0"/>
              <w:left w:val="single" w:color="auto" w:sz="0" w:space="0"/>
              <w:bottom w:val="inset" w:color="000000" w:sz="6" w:space="0"/>
              <w:right w:val="inset" w:color="000000" w:sz="6" w:space="0"/>
            </w:tcBorders>
            <w:noWrap w:val="0"/>
            <w:vAlign w:val="center"/>
          </w:tcPr>
          <w:p>
            <w:pPr>
              <w:spacing w:line="360" w:lineRule="auto"/>
              <w:jc w:val="center"/>
              <w:rPr>
                <w:color w:val="auto"/>
                <w:szCs w:val="21"/>
                <w:highlight w:val="none"/>
              </w:rPr>
            </w:pPr>
          </w:p>
        </w:tc>
      </w:tr>
      <w:tr>
        <w:tblPrEx>
          <w:tblCellMar>
            <w:top w:w="0" w:type="dxa"/>
            <w:left w:w="0" w:type="dxa"/>
            <w:bottom w:w="0" w:type="dxa"/>
            <w:right w:w="0" w:type="dxa"/>
          </w:tblCellMar>
        </w:tblPrEx>
        <w:tc>
          <w:tcPr>
            <w:tcW w:w="1618" w:type="dxa"/>
            <w:tcBorders>
              <w:top w:val="inset" w:color="000000" w:sz="6" w:space="0"/>
              <w:left w:val="inset" w:color="000000" w:sz="6" w:space="0"/>
              <w:bottom w:val="inset" w:color="000000" w:sz="6" w:space="0"/>
              <w:right w:val="inset" w:color="000000" w:sz="6" w:space="0"/>
            </w:tcBorders>
            <w:noWrap w:val="0"/>
            <w:vAlign w:val="center"/>
          </w:tcPr>
          <w:p>
            <w:pPr>
              <w:spacing w:line="360" w:lineRule="auto"/>
              <w:rPr>
                <w:color w:val="auto"/>
                <w:szCs w:val="21"/>
                <w:highlight w:val="none"/>
              </w:rPr>
            </w:pPr>
            <w:r>
              <w:rPr>
                <w:rFonts w:hint="eastAsia"/>
                <w:color w:val="auto"/>
                <w:szCs w:val="21"/>
                <w:highlight w:val="none"/>
              </w:rPr>
              <w:t>2</w:t>
            </w:r>
          </w:p>
        </w:tc>
        <w:tc>
          <w:tcPr>
            <w:tcW w:w="3138" w:type="dxa"/>
            <w:tcBorders>
              <w:top w:val="inset" w:color="000000" w:sz="6" w:space="0"/>
              <w:left w:val="single" w:color="auto" w:sz="0" w:space="0"/>
              <w:bottom w:val="inset" w:color="000000" w:sz="6" w:space="0"/>
              <w:right w:val="inset" w:color="000000" w:sz="6" w:space="0"/>
            </w:tcBorders>
            <w:noWrap w:val="0"/>
            <w:vAlign w:val="center"/>
          </w:tcPr>
          <w:p>
            <w:pPr>
              <w:spacing w:line="360" w:lineRule="auto"/>
              <w:rPr>
                <w:color w:val="auto"/>
                <w:szCs w:val="21"/>
                <w:highlight w:val="none"/>
              </w:rPr>
            </w:pPr>
          </w:p>
        </w:tc>
        <w:tc>
          <w:tcPr>
            <w:tcW w:w="1962" w:type="dxa"/>
            <w:tcBorders>
              <w:top w:val="inset" w:color="000000" w:sz="6" w:space="0"/>
              <w:left w:val="single" w:color="auto" w:sz="0" w:space="0"/>
              <w:bottom w:val="inset" w:color="000000" w:sz="6" w:space="0"/>
              <w:right w:val="inset" w:color="000000" w:sz="6" w:space="0"/>
            </w:tcBorders>
            <w:noWrap w:val="0"/>
            <w:vAlign w:val="center"/>
          </w:tcPr>
          <w:p>
            <w:pPr>
              <w:spacing w:line="360" w:lineRule="auto"/>
              <w:rPr>
                <w:color w:val="auto"/>
                <w:szCs w:val="21"/>
                <w:highlight w:val="none"/>
              </w:rPr>
            </w:pPr>
          </w:p>
        </w:tc>
        <w:tc>
          <w:tcPr>
            <w:tcW w:w="3107" w:type="dxa"/>
            <w:tcBorders>
              <w:top w:val="inset" w:color="000000" w:sz="6" w:space="0"/>
              <w:left w:val="single" w:color="auto" w:sz="0" w:space="0"/>
              <w:bottom w:val="inset" w:color="000000" w:sz="6" w:space="0"/>
              <w:right w:val="inset" w:color="000000" w:sz="6" w:space="0"/>
            </w:tcBorders>
            <w:noWrap w:val="0"/>
            <w:vAlign w:val="center"/>
          </w:tcPr>
          <w:p>
            <w:pPr>
              <w:spacing w:line="360" w:lineRule="auto"/>
              <w:jc w:val="center"/>
              <w:rPr>
                <w:color w:val="auto"/>
                <w:szCs w:val="21"/>
                <w:highlight w:val="none"/>
              </w:rPr>
            </w:pPr>
          </w:p>
        </w:tc>
      </w:tr>
      <w:tr>
        <w:tblPrEx>
          <w:tblCellMar>
            <w:top w:w="0" w:type="dxa"/>
            <w:left w:w="0" w:type="dxa"/>
            <w:bottom w:w="0" w:type="dxa"/>
            <w:right w:w="0" w:type="dxa"/>
          </w:tblCellMar>
        </w:tblPrEx>
        <w:tc>
          <w:tcPr>
            <w:tcW w:w="1618" w:type="dxa"/>
            <w:tcBorders>
              <w:top w:val="inset" w:color="000000" w:sz="6" w:space="0"/>
              <w:left w:val="inset" w:color="000000" w:sz="6" w:space="0"/>
              <w:bottom w:val="inset" w:color="000000" w:sz="6" w:space="0"/>
              <w:right w:val="inset" w:color="000000" w:sz="6" w:space="0"/>
            </w:tcBorders>
            <w:noWrap w:val="0"/>
            <w:vAlign w:val="center"/>
          </w:tcPr>
          <w:p>
            <w:pPr>
              <w:spacing w:line="360" w:lineRule="auto"/>
              <w:rPr>
                <w:color w:val="auto"/>
                <w:szCs w:val="21"/>
                <w:highlight w:val="none"/>
              </w:rPr>
            </w:pPr>
            <w:r>
              <w:rPr>
                <w:rFonts w:hint="eastAsia"/>
                <w:color w:val="auto"/>
                <w:szCs w:val="21"/>
                <w:highlight w:val="none"/>
              </w:rPr>
              <w:t>3</w:t>
            </w:r>
          </w:p>
        </w:tc>
        <w:tc>
          <w:tcPr>
            <w:tcW w:w="3138" w:type="dxa"/>
            <w:tcBorders>
              <w:top w:val="inset" w:color="000000" w:sz="6" w:space="0"/>
              <w:left w:val="single" w:color="auto" w:sz="0" w:space="0"/>
              <w:bottom w:val="inset" w:color="000000" w:sz="6" w:space="0"/>
              <w:right w:val="inset" w:color="000000" w:sz="6" w:space="0"/>
            </w:tcBorders>
            <w:noWrap w:val="0"/>
            <w:vAlign w:val="center"/>
          </w:tcPr>
          <w:p>
            <w:pPr>
              <w:spacing w:line="360" w:lineRule="auto"/>
              <w:rPr>
                <w:color w:val="auto"/>
                <w:szCs w:val="21"/>
                <w:highlight w:val="none"/>
              </w:rPr>
            </w:pPr>
          </w:p>
        </w:tc>
        <w:tc>
          <w:tcPr>
            <w:tcW w:w="1962" w:type="dxa"/>
            <w:tcBorders>
              <w:top w:val="inset" w:color="000000" w:sz="6" w:space="0"/>
              <w:left w:val="single" w:color="auto" w:sz="0" w:space="0"/>
              <w:bottom w:val="inset" w:color="000000" w:sz="6" w:space="0"/>
              <w:right w:val="inset" w:color="000000" w:sz="6" w:space="0"/>
            </w:tcBorders>
            <w:noWrap w:val="0"/>
            <w:vAlign w:val="center"/>
          </w:tcPr>
          <w:p>
            <w:pPr>
              <w:spacing w:line="360" w:lineRule="auto"/>
              <w:rPr>
                <w:color w:val="auto"/>
                <w:szCs w:val="21"/>
                <w:highlight w:val="none"/>
              </w:rPr>
            </w:pPr>
          </w:p>
        </w:tc>
        <w:tc>
          <w:tcPr>
            <w:tcW w:w="3107" w:type="dxa"/>
            <w:tcBorders>
              <w:top w:val="inset" w:color="000000" w:sz="6" w:space="0"/>
              <w:left w:val="single" w:color="auto" w:sz="0" w:space="0"/>
              <w:bottom w:val="inset" w:color="000000" w:sz="6" w:space="0"/>
              <w:right w:val="inset" w:color="000000" w:sz="6" w:space="0"/>
            </w:tcBorders>
            <w:noWrap w:val="0"/>
            <w:vAlign w:val="center"/>
          </w:tcPr>
          <w:p>
            <w:pPr>
              <w:spacing w:line="360" w:lineRule="auto"/>
              <w:jc w:val="center"/>
              <w:rPr>
                <w:color w:val="auto"/>
                <w:szCs w:val="21"/>
                <w:highlight w:val="none"/>
              </w:rPr>
            </w:pPr>
          </w:p>
        </w:tc>
      </w:tr>
      <w:tr>
        <w:tblPrEx>
          <w:tblCellMar>
            <w:top w:w="0" w:type="dxa"/>
            <w:left w:w="0" w:type="dxa"/>
            <w:bottom w:w="0" w:type="dxa"/>
            <w:right w:w="0" w:type="dxa"/>
          </w:tblCellMar>
        </w:tblPrEx>
        <w:tc>
          <w:tcPr>
            <w:tcW w:w="1618" w:type="dxa"/>
            <w:tcBorders>
              <w:top w:val="inset" w:color="000000" w:sz="6" w:space="0"/>
              <w:left w:val="inset" w:color="000000" w:sz="6" w:space="0"/>
              <w:bottom w:val="inset" w:color="000000" w:sz="6" w:space="0"/>
              <w:right w:val="inset" w:color="000000" w:sz="6" w:space="0"/>
            </w:tcBorders>
            <w:noWrap w:val="0"/>
            <w:vAlign w:val="center"/>
          </w:tcPr>
          <w:p>
            <w:pPr>
              <w:spacing w:line="360" w:lineRule="auto"/>
              <w:rPr>
                <w:color w:val="auto"/>
                <w:szCs w:val="21"/>
                <w:highlight w:val="none"/>
              </w:rPr>
            </w:pPr>
            <w:r>
              <w:rPr>
                <w:rFonts w:hint="eastAsia"/>
                <w:color w:val="auto"/>
                <w:szCs w:val="21"/>
                <w:highlight w:val="none"/>
              </w:rPr>
              <w:t>4</w:t>
            </w:r>
          </w:p>
        </w:tc>
        <w:tc>
          <w:tcPr>
            <w:tcW w:w="3138" w:type="dxa"/>
            <w:tcBorders>
              <w:top w:val="inset" w:color="000000" w:sz="6" w:space="0"/>
              <w:left w:val="single" w:color="auto" w:sz="0" w:space="0"/>
              <w:bottom w:val="inset" w:color="000000" w:sz="6" w:space="0"/>
              <w:right w:val="inset" w:color="000000" w:sz="6" w:space="0"/>
            </w:tcBorders>
            <w:noWrap w:val="0"/>
            <w:vAlign w:val="center"/>
          </w:tcPr>
          <w:p>
            <w:pPr>
              <w:spacing w:line="360" w:lineRule="auto"/>
              <w:rPr>
                <w:color w:val="auto"/>
                <w:szCs w:val="21"/>
                <w:highlight w:val="none"/>
              </w:rPr>
            </w:pPr>
          </w:p>
        </w:tc>
        <w:tc>
          <w:tcPr>
            <w:tcW w:w="1962" w:type="dxa"/>
            <w:tcBorders>
              <w:top w:val="inset" w:color="000000" w:sz="6" w:space="0"/>
              <w:left w:val="single" w:color="auto" w:sz="0" w:space="0"/>
              <w:bottom w:val="inset" w:color="000000" w:sz="6" w:space="0"/>
              <w:right w:val="inset" w:color="000000" w:sz="6" w:space="0"/>
            </w:tcBorders>
            <w:noWrap w:val="0"/>
            <w:vAlign w:val="center"/>
          </w:tcPr>
          <w:p>
            <w:pPr>
              <w:spacing w:line="360" w:lineRule="auto"/>
              <w:rPr>
                <w:color w:val="auto"/>
                <w:szCs w:val="21"/>
                <w:highlight w:val="none"/>
              </w:rPr>
            </w:pPr>
          </w:p>
        </w:tc>
        <w:tc>
          <w:tcPr>
            <w:tcW w:w="3107" w:type="dxa"/>
            <w:tcBorders>
              <w:top w:val="inset" w:color="000000" w:sz="6" w:space="0"/>
              <w:left w:val="single" w:color="auto" w:sz="0" w:space="0"/>
              <w:bottom w:val="inset" w:color="000000" w:sz="6" w:space="0"/>
              <w:right w:val="inset" w:color="000000" w:sz="6" w:space="0"/>
            </w:tcBorders>
            <w:noWrap w:val="0"/>
            <w:vAlign w:val="center"/>
          </w:tcPr>
          <w:p>
            <w:pPr>
              <w:spacing w:line="360" w:lineRule="auto"/>
              <w:jc w:val="center"/>
              <w:rPr>
                <w:color w:val="auto"/>
                <w:szCs w:val="21"/>
                <w:highlight w:val="none"/>
              </w:rPr>
            </w:pPr>
          </w:p>
        </w:tc>
      </w:tr>
    </w:tbl>
    <w:p>
      <w:pPr>
        <w:pStyle w:val="4"/>
        <w:keepNext w:val="0"/>
        <w:rPr>
          <w:color w:val="auto"/>
          <w:highlight w:val="none"/>
        </w:rPr>
      </w:pPr>
      <w:r>
        <w:rPr>
          <w:rFonts w:hint="eastAsia"/>
          <w:bCs/>
          <w:color w:val="auto"/>
          <w:szCs w:val="32"/>
          <w:highlight w:val="none"/>
        </w:rPr>
        <w:t>6.</w:t>
      </w:r>
      <w:r>
        <w:rPr>
          <w:rFonts w:hint="eastAsia" w:ascii="Arial" w:hAnsi="Arial" w:eastAsia="黑体"/>
          <w:bCs/>
          <w:color w:val="auto"/>
          <w:szCs w:val="32"/>
          <w:highlight w:val="none"/>
        </w:rPr>
        <w:t>合同变更、解除与终止</w:t>
      </w:r>
      <w:bookmarkEnd w:id="637"/>
      <w:bookmarkEnd w:id="638"/>
      <w:bookmarkEnd w:id="639"/>
      <w:bookmarkEnd w:id="640"/>
      <w:bookmarkEnd w:id="641"/>
      <w:bookmarkEnd w:id="642"/>
      <w:bookmarkEnd w:id="643"/>
    </w:p>
    <w:p>
      <w:pPr>
        <w:pStyle w:val="5"/>
        <w:keepNext w:val="0"/>
        <w:numPr>
          <w:ilvl w:val="2"/>
          <w:numId w:val="0"/>
        </w:numPr>
        <w:rPr>
          <w:rFonts w:ascii="宋体" w:hAnsi="宋体" w:cs="宋体"/>
          <w:b w:val="0"/>
          <w:color w:val="auto"/>
          <w:sz w:val="24"/>
          <w:highlight w:val="none"/>
        </w:rPr>
      </w:pPr>
      <w:bookmarkStart w:id="644" w:name="_Toc20620"/>
      <w:bookmarkStart w:id="645" w:name="_Toc20551"/>
      <w:bookmarkStart w:id="646" w:name="_Toc9733"/>
      <w:bookmarkStart w:id="647" w:name="_Toc22658"/>
      <w:bookmarkStart w:id="648" w:name="_Toc422322545"/>
      <w:bookmarkStart w:id="649" w:name="_Toc419045120"/>
      <w:bookmarkStart w:id="650" w:name="_Toc3688"/>
      <w:r>
        <w:rPr>
          <w:rFonts w:hint="eastAsia" w:ascii="宋体" w:hAnsi="宋体" w:cs="宋体"/>
          <w:b w:val="0"/>
          <w:bCs w:val="0"/>
          <w:color w:val="auto"/>
          <w:sz w:val="24"/>
          <w:highlight w:val="none"/>
        </w:rPr>
        <w:t>6.1合同变更</w:t>
      </w:r>
      <w:bookmarkEnd w:id="644"/>
      <w:bookmarkEnd w:id="645"/>
      <w:bookmarkEnd w:id="646"/>
      <w:bookmarkEnd w:id="647"/>
      <w:bookmarkEnd w:id="648"/>
      <w:bookmarkEnd w:id="649"/>
      <w:bookmarkEnd w:id="650"/>
    </w:p>
    <w:p>
      <w:pPr>
        <w:spacing w:line="360" w:lineRule="auto"/>
        <w:ind w:firstLine="490" w:firstLineChars="200"/>
        <w:rPr>
          <w:color w:val="auto"/>
          <w:sz w:val="24"/>
          <w:highlight w:val="none"/>
        </w:rPr>
      </w:pPr>
      <w:r>
        <w:rPr>
          <w:rFonts w:hint="eastAsia"/>
          <w:color w:val="auto"/>
          <w:sz w:val="24"/>
          <w:szCs w:val="24"/>
          <w:highlight w:val="none"/>
        </w:rPr>
        <w:t>6.1.1 除不可抗力外，因非咨询人原因导致本合同履行期限延长、内容增加时，附加工作酬金按下列方法确定：</w:t>
      </w:r>
      <w:r>
        <w:rPr>
          <w:rFonts w:hint="eastAsia"/>
          <w:color w:val="auto"/>
          <w:sz w:val="24"/>
          <w:szCs w:val="24"/>
          <w:highlight w:val="none"/>
          <w:u w:val="single"/>
        </w:rPr>
        <w:t xml:space="preserve"> 增加的工作量视为额外服务，完成建设工程造价咨询工作的时间应当相应延长，双方协商调账 </w:t>
      </w:r>
      <w:r>
        <w:rPr>
          <w:rFonts w:hint="eastAsia"/>
          <w:color w:val="auto"/>
          <w:sz w:val="24"/>
          <w:szCs w:val="24"/>
          <w:highlight w:val="none"/>
        </w:rPr>
        <w:t xml:space="preserve">。 </w:t>
      </w:r>
    </w:p>
    <w:p>
      <w:pPr>
        <w:spacing w:line="360" w:lineRule="auto"/>
        <w:ind w:firstLine="490" w:firstLineChars="200"/>
        <w:rPr>
          <w:rStyle w:val="32"/>
          <w:rFonts w:ascii="宋体" w:hAnsi="宋体" w:cs="宋体"/>
          <w:b/>
          <w:color w:val="auto"/>
          <w:sz w:val="24"/>
          <w:szCs w:val="24"/>
          <w:highlight w:val="none"/>
        </w:rPr>
      </w:pPr>
      <w:r>
        <w:rPr>
          <w:rFonts w:hint="eastAsia" w:ascii="宋体" w:hAnsi="宋体" w:cs="宋体"/>
          <w:color w:val="auto"/>
          <w:sz w:val="24"/>
          <w:szCs w:val="24"/>
          <w:highlight w:val="none"/>
        </w:rPr>
        <w:t>6.1.2因工程规模、服务范围及内容的变化等导致咨询人的工作量增减时，服务酬金的调整方法：</w:t>
      </w:r>
      <w:r>
        <w:rPr>
          <w:rFonts w:hint="eastAsia" w:ascii="宋体" w:hAnsi="宋体" w:cs="宋体"/>
          <w:color w:val="auto"/>
          <w:sz w:val="24"/>
          <w:szCs w:val="24"/>
          <w:highlight w:val="none"/>
          <w:u w:val="single"/>
        </w:rPr>
        <w:t>双方协商调整</w:t>
      </w:r>
      <w:r>
        <w:rPr>
          <w:rFonts w:hint="eastAsia" w:ascii="宋体" w:hAnsi="宋体" w:cs="宋体"/>
          <w:color w:val="auto"/>
          <w:sz w:val="24"/>
          <w:szCs w:val="24"/>
          <w:highlight w:val="none"/>
        </w:rPr>
        <w:t>。</w:t>
      </w:r>
    </w:p>
    <w:p>
      <w:pPr>
        <w:pStyle w:val="5"/>
        <w:keepNext w:val="0"/>
        <w:numPr>
          <w:ilvl w:val="2"/>
          <w:numId w:val="0"/>
        </w:numPr>
        <w:rPr>
          <w:rFonts w:ascii="宋体" w:hAnsi="宋体" w:cs="宋体"/>
          <w:b w:val="0"/>
          <w:color w:val="auto"/>
          <w:sz w:val="24"/>
          <w:highlight w:val="none"/>
        </w:rPr>
      </w:pPr>
      <w:bookmarkStart w:id="651" w:name="_Toc23292"/>
      <w:bookmarkStart w:id="652" w:name="_Toc422322546"/>
      <w:bookmarkStart w:id="653" w:name="_Toc10857"/>
      <w:bookmarkStart w:id="654" w:name="_Toc15127"/>
      <w:bookmarkStart w:id="655" w:name="_Toc5305"/>
      <w:bookmarkStart w:id="656" w:name="_Toc4518"/>
      <w:r>
        <w:rPr>
          <w:rFonts w:hint="eastAsia" w:ascii="宋体" w:hAnsi="宋体" w:cs="宋体"/>
          <w:b w:val="0"/>
          <w:bCs w:val="0"/>
          <w:color w:val="auto"/>
          <w:sz w:val="24"/>
          <w:highlight w:val="none"/>
        </w:rPr>
        <w:t>6.2合同解除</w:t>
      </w:r>
      <w:bookmarkEnd w:id="651"/>
      <w:bookmarkEnd w:id="652"/>
      <w:bookmarkEnd w:id="653"/>
      <w:bookmarkEnd w:id="654"/>
      <w:bookmarkEnd w:id="655"/>
      <w:bookmarkEnd w:id="656"/>
    </w:p>
    <w:p>
      <w:pPr>
        <w:rPr>
          <w:rFonts w:ascii="宋体" w:hAnsi="宋体" w:cs="宋体"/>
          <w:color w:val="auto"/>
          <w:sz w:val="24"/>
          <w:highlight w:val="none"/>
        </w:rPr>
      </w:pPr>
      <w:r>
        <w:rPr>
          <w:rFonts w:hint="eastAsia" w:ascii="宋体" w:hAnsi="宋体" w:cs="宋体"/>
          <w:color w:val="auto"/>
          <w:sz w:val="24"/>
          <w:szCs w:val="24"/>
          <w:highlight w:val="none"/>
        </w:rPr>
        <w:t>6.2.1双方约定解除合同的条件还包括：</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 xml:space="preserve">。 </w:t>
      </w:r>
    </w:p>
    <w:p>
      <w:pPr>
        <w:rPr>
          <w:rFonts w:ascii="宋体" w:hAnsi="宋体" w:cs="宋体"/>
          <w:color w:val="auto"/>
          <w:sz w:val="24"/>
          <w:highlight w:val="none"/>
        </w:rPr>
      </w:pPr>
      <w:r>
        <w:rPr>
          <w:rFonts w:hint="eastAsia" w:ascii="宋体" w:hAnsi="宋体" w:cs="宋体"/>
          <w:color w:val="auto"/>
          <w:sz w:val="24"/>
          <w:szCs w:val="24"/>
          <w:highlight w:val="none"/>
        </w:rPr>
        <w:t>6.2.2因不可抗力导致的合同解除，双方约定损失的分担如下：</w:t>
      </w:r>
      <w:r>
        <w:rPr>
          <w:rFonts w:hint="eastAsia" w:ascii="宋体" w:hAnsi="宋体" w:cs="宋体"/>
          <w:color w:val="auto"/>
          <w:sz w:val="24"/>
          <w:szCs w:val="24"/>
          <w:highlight w:val="none"/>
          <w:u w:val="single"/>
        </w:rPr>
        <w:t>双方协商解决</w:t>
      </w:r>
      <w:r>
        <w:rPr>
          <w:rFonts w:hint="eastAsia" w:ascii="宋体" w:hAnsi="宋体" w:cs="宋体"/>
          <w:color w:val="auto"/>
          <w:sz w:val="24"/>
          <w:szCs w:val="24"/>
          <w:highlight w:val="none"/>
        </w:rPr>
        <w:t>。</w:t>
      </w:r>
    </w:p>
    <w:p>
      <w:pPr>
        <w:pStyle w:val="4"/>
        <w:keepNext w:val="0"/>
        <w:rPr>
          <w:color w:val="auto"/>
          <w:highlight w:val="none"/>
        </w:rPr>
      </w:pPr>
      <w:bookmarkStart w:id="657" w:name="_Toc24833"/>
      <w:bookmarkStart w:id="658" w:name="_Toc419045121"/>
      <w:bookmarkStart w:id="659" w:name="_Toc8311"/>
      <w:bookmarkStart w:id="660" w:name="_Toc422322547"/>
      <w:bookmarkStart w:id="661" w:name="_Toc591"/>
      <w:bookmarkStart w:id="662" w:name="_Toc8389"/>
      <w:bookmarkStart w:id="663" w:name="_Toc23323"/>
      <w:r>
        <w:rPr>
          <w:rFonts w:hint="eastAsia" w:ascii="Arial" w:hAnsi="Arial" w:eastAsia="黑体"/>
          <w:bCs/>
          <w:color w:val="auto"/>
          <w:szCs w:val="32"/>
          <w:highlight w:val="none"/>
        </w:rPr>
        <w:t>7. 争议解决</w:t>
      </w:r>
      <w:bookmarkEnd w:id="657"/>
      <w:bookmarkEnd w:id="658"/>
      <w:bookmarkEnd w:id="659"/>
      <w:bookmarkEnd w:id="660"/>
      <w:bookmarkEnd w:id="661"/>
      <w:bookmarkEnd w:id="662"/>
      <w:bookmarkEnd w:id="663"/>
    </w:p>
    <w:p>
      <w:pPr>
        <w:pStyle w:val="5"/>
        <w:keepNext w:val="0"/>
        <w:numPr>
          <w:ilvl w:val="2"/>
          <w:numId w:val="0"/>
        </w:numPr>
        <w:rPr>
          <w:rFonts w:ascii="宋体" w:hAnsi="宋体" w:cs="宋体"/>
          <w:b w:val="0"/>
          <w:color w:val="auto"/>
          <w:sz w:val="24"/>
          <w:highlight w:val="none"/>
        </w:rPr>
      </w:pPr>
      <w:bookmarkStart w:id="664" w:name="_Toc422322548"/>
      <w:bookmarkStart w:id="665" w:name="_Toc4360"/>
      <w:bookmarkStart w:id="666" w:name="_Toc25471"/>
      <w:bookmarkStart w:id="667" w:name="_Toc11812"/>
      <w:bookmarkStart w:id="668" w:name="_Toc8746"/>
      <w:bookmarkStart w:id="669" w:name="_Toc4379"/>
      <w:bookmarkStart w:id="670" w:name="_Toc419045122"/>
      <w:r>
        <w:rPr>
          <w:rFonts w:hint="eastAsia" w:ascii="宋体" w:hAnsi="宋体" w:cs="宋体"/>
          <w:b w:val="0"/>
          <w:bCs w:val="0"/>
          <w:color w:val="auto"/>
          <w:sz w:val="24"/>
          <w:highlight w:val="none"/>
        </w:rPr>
        <w:t>7.1调解</w:t>
      </w:r>
      <w:bookmarkEnd w:id="664"/>
      <w:bookmarkEnd w:id="665"/>
      <w:bookmarkEnd w:id="666"/>
      <w:bookmarkEnd w:id="667"/>
      <w:bookmarkEnd w:id="668"/>
      <w:bookmarkEnd w:id="669"/>
      <w:bookmarkEnd w:id="670"/>
    </w:p>
    <w:p>
      <w:pPr>
        <w:rPr>
          <w:rFonts w:ascii="宋体" w:hAnsi="宋体" w:cs="宋体"/>
          <w:color w:val="auto"/>
          <w:sz w:val="24"/>
          <w:highlight w:val="none"/>
        </w:rPr>
      </w:pPr>
      <w:r>
        <w:rPr>
          <w:rFonts w:hint="eastAsia" w:ascii="宋体" w:hAnsi="宋体" w:cs="宋体"/>
          <w:color w:val="auto"/>
          <w:sz w:val="24"/>
          <w:szCs w:val="24"/>
          <w:highlight w:val="none"/>
        </w:rPr>
        <w:t>如果双方不能在</w:t>
      </w:r>
      <w:r>
        <w:rPr>
          <w:rFonts w:hint="eastAsia" w:ascii="宋体" w:hAnsi="宋体" w:cs="宋体"/>
          <w:color w:val="auto"/>
          <w:sz w:val="24"/>
          <w:szCs w:val="24"/>
          <w:highlight w:val="none"/>
          <w:u w:val="single"/>
        </w:rPr>
        <w:t xml:space="preserve"> 15 </w:t>
      </w:r>
      <w:r>
        <w:rPr>
          <w:rFonts w:hint="eastAsia" w:ascii="宋体" w:hAnsi="宋体" w:cs="宋体"/>
          <w:color w:val="auto"/>
          <w:sz w:val="24"/>
          <w:szCs w:val="24"/>
          <w:highlight w:val="none"/>
        </w:rPr>
        <w:t>日内解决本合同争议，可以将其提交</w:t>
      </w:r>
      <w:r>
        <w:rPr>
          <w:rFonts w:hint="eastAsia" w:ascii="宋体" w:hAnsi="宋体" w:cs="宋体"/>
          <w:color w:val="auto"/>
          <w:sz w:val="24"/>
          <w:szCs w:val="24"/>
          <w:highlight w:val="none"/>
          <w:u w:val="single"/>
        </w:rPr>
        <w:t xml:space="preserve"> 项目所在地造价主管部门 </w:t>
      </w:r>
      <w:r>
        <w:rPr>
          <w:rFonts w:hint="eastAsia" w:ascii="宋体" w:hAnsi="宋体" w:cs="宋体"/>
          <w:color w:val="auto"/>
          <w:sz w:val="24"/>
          <w:szCs w:val="24"/>
          <w:highlight w:val="none"/>
        </w:rPr>
        <w:t>进行调解。</w:t>
      </w:r>
    </w:p>
    <w:p>
      <w:pPr>
        <w:pStyle w:val="5"/>
        <w:keepNext w:val="0"/>
        <w:numPr>
          <w:ilvl w:val="2"/>
          <w:numId w:val="0"/>
        </w:numPr>
        <w:rPr>
          <w:rFonts w:ascii="宋体" w:hAnsi="宋体" w:cs="宋体"/>
          <w:b w:val="0"/>
          <w:color w:val="auto"/>
          <w:sz w:val="24"/>
          <w:highlight w:val="none"/>
        </w:rPr>
      </w:pPr>
      <w:bookmarkStart w:id="671" w:name="_Toc26650"/>
      <w:bookmarkStart w:id="672" w:name="_Toc32237"/>
      <w:bookmarkStart w:id="673" w:name="_Toc4911"/>
      <w:bookmarkStart w:id="674" w:name="_Toc422322549"/>
      <w:bookmarkStart w:id="675" w:name="_Toc24371"/>
      <w:bookmarkStart w:id="676" w:name="_Toc4570"/>
      <w:r>
        <w:rPr>
          <w:rFonts w:hint="eastAsia" w:ascii="宋体" w:hAnsi="宋体" w:cs="宋体"/>
          <w:b w:val="0"/>
          <w:bCs w:val="0"/>
          <w:color w:val="auto"/>
          <w:sz w:val="24"/>
          <w:highlight w:val="none"/>
        </w:rPr>
        <w:t>7.2仲裁或诉讼</w:t>
      </w:r>
      <w:bookmarkEnd w:id="671"/>
      <w:bookmarkEnd w:id="672"/>
      <w:bookmarkEnd w:id="673"/>
      <w:bookmarkEnd w:id="674"/>
      <w:bookmarkEnd w:id="675"/>
      <w:bookmarkEnd w:id="676"/>
    </w:p>
    <w:p>
      <w:pPr>
        <w:rPr>
          <w:rFonts w:ascii="宋体" w:hAnsi="宋体" w:cs="宋体"/>
          <w:color w:val="auto"/>
          <w:sz w:val="24"/>
          <w:highlight w:val="none"/>
        </w:rPr>
      </w:pPr>
      <w:r>
        <w:rPr>
          <w:rFonts w:hint="eastAsia" w:ascii="宋体" w:hAnsi="宋体" w:cs="宋体"/>
          <w:color w:val="auto"/>
          <w:sz w:val="24"/>
          <w:szCs w:val="24"/>
          <w:highlight w:val="none"/>
        </w:rPr>
        <w:t xml:space="preserve">合同争议的最终解决方式为下列第 </w:t>
      </w:r>
      <w:r>
        <w:rPr>
          <w:rFonts w:hint="eastAsia" w:ascii="宋体" w:hAnsi="宋体" w:cs="宋体"/>
          <w:color w:val="auto"/>
          <w:sz w:val="24"/>
          <w:szCs w:val="24"/>
          <w:highlight w:val="none"/>
          <w:u w:val="single"/>
        </w:rPr>
        <w:t xml:space="preserve">  （2）  </w:t>
      </w:r>
      <w:r>
        <w:rPr>
          <w:rFonts w:hint="eastAsia" w:ascii="宋体" w:hAnsi="宋体" w:cs="宋体"/>
          <w:color w:val="auto"/>
          <w:sz w:val="24"/>
          <w:szCs w:val="24"/>
          <w:highlight w:val="none"/>
        </w:rPr>
        <w:t>种方式：</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（1）向</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仲裁委员会申请仲裁；</w:t>
      </w:r>
    </w:p>
    <w:p>
      <w:pPr>
        <w:spacing w:line="360" w:lineRule="auto"/>
        <w:rPr>
          <w:rFonts w:ascii="宋体" w:hAnsi="宋体" w:cs="宋体"/>
          <w:color w:val="auto"/>
          <w:sz w:val="24"/>
          <w:highlight w:val="none"/>
        </w:rPr>
      </w:pPr>
      <w:bookmarkStart w:id="677" w:name="_Toc27673"/>
      <w:r>
        <w:rPr>
          <w:rFonts w:hint="eastAsia" w:ascii="宋体" w:hAnsi="宋体" w:cs="宋体"/>
          <w:color w:val="auto"/>
          <w:sz w:val="24"/>
          <w:szCs w:val="24"/>
          <w:highlight w:val="none"/>
        </w:rPr>
        <w:t>（2）向</w:t>
      </w:r>
      <w:r>
        <w:rPr>
          <w:rFonts w:hint="eastAsia" w:ascii="宋体" w:hAnsi="宋体" w:cs="宋体"/>
          <w:color w:val="auto"/>
          <w:sz w:val="24"/>
          <w:szCs w:val="24"/>
          <w:highlight w:val="none"/>
          <w:u w:val="single"/>
        </w:rPr>
        <w:t xml:space="preserve"> 项目所在地 </w:t>
      </w:r>
      <w:r>
        <w:rPr>
          <w:rFonts w:hint="eastAsia" w:ascii="宋体" w:hAnsi="宋体" w:cs="宋体"/>
          <w:color w:val="auto"/>
          <w:sz w:val="24"/>
          <w:szCs w:val="24"/>
          <w:highlight w:val="none"/>
        </w:rPr>
        <w:t>人民法院起诉。</w:t>
      </w:r>
      <w:bookmarkEnd w:id="677"/>
    </w:p>
    <w:p>
      <w:pPr>
        <w:pStyle w:val="4"/>
        <w:keepNext w:val="0"/>
        <w:rPr>
          <w:color w:val="auto"/>
          <w:highlight w:val="none"/>
        </w:rPr>
      </w:pPr>
      <w:bookmarkStart w:id="678" w:name="_Toc28306"/>
      <w:bookmarkStart w:id="679" w:name="_Toc12154"/>
      <w:bookmarkStart w:id="680" w:name="_Toc419045123"/>
      <w:bookmarkStart w:id="681" w:name="_Toc30713"/>
      <w:bookmarkStart w:id="682" w:name="_Toc11112"/>
      <w:bookmarkStart w:id="683" w:name="_Toc31437"/>
      <w:bookmarkStart w:id="684" w:name="_Toc422322550"/>
      <w:r>
        <w:rPr>
          <w:rFonts w:hint="eastAsia" w:ascii="Arial" w:hAnsi="Arial" w:eastAsia="黑体"/>
          <w:bCs/>
          <w:color w:val="auto"/>
          <w:szCs w:val="32"/>
          <w:highlight w:val="none"/>
        </w:rPr>
        <w:t>8. 其他</w:t>
      </w:r>
      <w:bookmarkEnd w:id="678"/>
      <w:bookmarkEnd w:id="679"/>
      <w:bookmarkEnd w:id="680"/>
      <w:bookmarkEnd w:id="681"/>
      <w:bookmarkEnd w:id="682"/>
      <w:bookmarkEnd w:id="683"/>
      <w:bookmarkEnd w:id="684"/>
    </w:p>
    <w:p>
      <w:pPr>
        <w:pStyle w:val="5"/>
        <w:keepNext w:val="0"/>
        <w:numPr>
          <w:ilvl w:val="2"/>
          <w:numId w:val="0"/>
        </w:numPr>
        <w:rPr>
          <w:rFonts w:ascii="宋体" w:hAnsi="宋体" w:cs="宋体"/>
          <w:b w:val="0"/>
          <w:color w:val="auto"/>
          <w:sz w:val="24"/>
          <w:highlight w:val="none"/>
        </w:rPr>
      </w:pPr>
      <w:bookmarkStart w:id="685" w:name="_Toc16203"/>
      <w:bookmarkStart w:id="686" w:name="_Toc422322551"/>
      <w:bookmarkStart w:id="687" w:name="_Toc10566"/>
      <w:bookmarkStart w:id="688" w:name="_Toc2488"/>
      <w:bookmarkStart w:id="689" w:name="_Toc23891"/>
      <w:bookmarkStart w:id="690" w:name="_Toc3221"/>
      <w:r>
        <w:rPr>
          <w:rFonts w:hint="eastAsia" w:ascii="宋体" w:hAnsi="宋体" w:cs="宋体"/>
          <w:b w:val="0"/>
          <w:bCs w:val="0"/>
          <w:color w:val="auto"/>
          <w:sz w:val="24"/>
          <w:highlight w:val="none"/>
        </w:rPr>
        <w:t>8.1考察及相关费用</w:t>
      </w:r>
      <w:bookmarkEnd w:id="685"/>
      <w:bookmarkEnd w:id="686"/>
      <w:bookmarkEnd w:id="687"/>
      <w:bookmarkEnd w:id="688"/>
      <w:bookmarkEnd w:id="689"/>
      <w:bookmarkEnd w:id="690"/>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 xml:space="preserve">咨询人经委托人同意进行考察发生的费用由 </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支付。</w:t>
      </w:r>
    </w:p>
    <w:p>
      <w:pPr>
        <w:spacing w:line="360" w:lineRule="auto"/>
        <w:rPr>
          <w:rStyle w:val="32"/>
          <w:rFonts w:ascii="宋体" w:hAnsi="宋体" w:cs="宋体"/>
          <w:b/>
          <w:color w:val="auto"/>
          <w:sz w:val="24"/>
          <w:szCs w:val="24"/>
          <w:highlight w:val="none"/>
        </w:rPr>
      </w:pPr>
      <w:r>
        <w:rPr>
          <w:rFonts w:hint="eastAsia" w:ascii="宋体" w:hAnsi="宋体" w:cs="宋体"/>
          <w:color w:val="auto"/>
          <w:sz w:val="24"/>
          <w:szCs w:val="24"/>
          <w:highlight w:val="none"/>
        </w:rPr>
        <w:t>差旅费及相关费用的支付：</w:t>
      </w:r>
      <w:r>
        <w:rPr>
          <w:rFonts w:hint="eastAsia" w:ascii="宋体" w:hAnsi="宋体" w:cs="宋体"/>
          <w:color w:val="auto"/>
          <w:sz w:val="24"/>
          <w:szCs w:val="24"/>
          <w:highlight w:val="none"/>
          <w:u w:val="single"/>
        </w:rPr>
        <w:t xml:space="preserve">详见专用条款 </w:t>
      </w:r>
      <w:r>
        <w:rPr>
          <w:rFonts w:hint="eastAsia" w:ascii="宋体" w:hAnsi="宋体" w:cs="宋体"/>
          <w:color w:val="auto"/>
          <w:sz w:val="24"/>
          <w:szCs w:val="24"/>
          <w:highlight w:val="none"/>
        </w:rPr>
        <w:t xml:space="preserve">。          </w:t>
      </w:r>
    </w:p>
    <w:p>
      <w:pPr>
        <w:pStyle w:val="5"/>
        <w:keepNext w:val="0"/>
        <w:numPr>
          <w:ilvl w:val="2"/>
          <w:numId w:val="0"/>
        </w:numPr>
        <w:rPr>
          <w:rFonts w:ascii="宋体" w:hAnsi="宋体" w:cs="宋体"/>
          <w:b w:val="0"/>
          <w:color w:val="auto"/>
          <w:sz w:val="24"/>
          <w:highlight w:val="none"/>
        </w:rPr>
      </w:pPr>
      <w:bookmarkStart w:id="691" w:name="_Toc1735"/>
      <w:bookmarkStart w:id="692" w:name="_Toc7476"/>
      <w:bookmarkStart w:id="693" w:name="_Toc13993"/>
      <w:bookmarkStart w:id="694" w:name="_Toc27891"/>
      <w:bookmarkStart w:id="695" w:name="_Toc422322552"/>
      <w:bookmarkStart w:id="696" w:name="_Toc27401"/>
      <w:r>
        <w:rPr>
          <w:rFonts w:hint="eastAsia" w:ascii="宋体" w:hAnsi="宋体" w:cs="宋体"/>
          <w:b w:val="0"/>
          <w:bCs w:val="0"/>
          <w:color w:val="auto"/>
          <w:sz w:val="24"/>
          <w:highlight w:val="none"/>
        </w:rPr>
        <w:t>8.2奖励</w:t>
      </w:r>
      <w:bookmarkEnd w:id="691"/>
      <w:bookmarkEnd w:id="692"/>
      <w:bookmarkEnd w:id="693"/>
      <w:bookmarkEnd w:id="694"/>
      <w:bookmarkEnd w:id="695"/>
      <w:bookmarkEnd w:id="696"/>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合理化建议的奖励金额按下列方法确定：</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 xml:space="preserve">。 </w:t>
      </w:r>
    </w:p>
    <w:p>
      <w:pPr>
        <w:pStyle w:val="5"/>
        <w:keepNext w:val="0"/>
        <w:numPr>
          <w:ilvl w:val="2"/>
          <w:numId w:val="0"/>
        </w:numPr>
        <w:rPr>
          <w:rFonts w:ascii="宋体" w:hAnsi="宋体" w:cs="宋体"/>
          <w:b w:val="0"/>
          <w:color w:val="auto"/>
          <w:sz w:val="24"/>
          <w:highlight w:val="none"/>
        </w:rPr>
      </w:pPr>
      <w:bookmarkStart w:id="697" w:name="_Toc1718"/>
      <w:bookmarkStart w:id="698" w:name="_Toc422322553"/>
      <w:bookmarkStart w:id="699" w:name="_Toc8702"/>
      <w:bookmarkStart w:id="700" w:name="_Toc4247"/>
      <w:bookmarkStart w:id="701" w:name="_Toc12743"/>
      <w:bookmarkStart w:id="702" w:name="_Toc31080"/>
      <w:r>
        <w:rPr>
          <w:rFonts w:hint="eastAsia" w:ascii="宋体" w:hAnsi="宋体" w:cs="宋体"/>
          <w:b w:val="0"/>
          <w:bCs w:val="0"/>
          <w:color w:val="auto"/>
          <w:sz w:val="24"/>
          <w:highlight w:val="none"/>
        </w:rPr>
        <w:t>8.3保密</w:t>
      </w:r>
      <w:bookmarkEnd w:id="697"/>
      <w:bookmarkEnd w:id="698"/>
      <w:bookmarkEnd w:id="699"/>
      <w:bookmarkEnd w:id="700"/>
      <w:bookmarkEnd w:id="701"/>
      <w:bookmarkEnd w:id="702"/>
    </w:p>
    <w:p>
      <w:pPr>
        <w:spacing w:line="360" w:lineRule="auto"/>
        <w:rPr>
          <w:color w:val="auto"/>
          <w:sz w:val="24"/>
          <w:highlight w:val="none"/>
        </w:rPr>
      </w:pPr>
      <w:r>
        <w:rPr>
          <w:rFonts w:hint="eastAsia"/>
          <w:color w:val="auto"/>
          <w:sz w:val="24"/>
          <w:szCs w:val="24"/>
          <w:highlight w:val="none"/>
        </w:rPr>
        <w:t>委托人申明的保密事项和期限：</w:t>
      </w:r>
      <w:r>
        <w:rPr>
          <w:rFonts w:hint="eastAsia"/>
          <w:color w:val="auto"/>
          <w:sz w:val="24"/>
          <w:szCs w:val="24"/>
          <w:highlight w:val="none"/>
          <w:u w:val="single"/>
        </w:rPr>
        <w:t xml:space="preserve"> 执行标准条件及相关行业服务规范 </w:t>
      </w:r>
      <w:r>
        <w:rPr>
          <w:rFonts w:hint="eastAsia"/>
          <w:color w:val="auto"/>
          <w:sz w:val="24"/>
          <w:szCs w:val="24"/>
          <w:highlight w:val="none"/>
        </w:rPr>
        <w:t>。</w:t>
      </w:r>
    </w:p>
    <w:p>
      <w:pPr>
        <w:spacing w:line="360" w:lineRule="auto"/>
        <w:rPr>
          <w:color w:val="auto"/>
          <w:sz w:val="24"/>
          <w:highlight w:val="none"/>
        </w:rPr>
      </w:pPr>
      <w:r>
        <w:rPr>
          <w:rFonts w:hint="eastAsia"/>
          <w:color w:val="auto"/>
          <w:sz w:val="24"/>
          <w:szCs w:val="24"/>
          <w:highlight w:val="none"/>
        </w:rPr>
        <w:t>咨询人申明的保密事项和期限：</w:t>
      </w:r>
      <w:r>
        <w:rPr>
          <w:rFonts w:hint="eastAsia"/>
          <w:color w:val="auto"/>
          <w:sz w:val="24"/>
          <w:szCs w:val="24"/>
          <w:highlight w:val="none"/>
          <w:u w:val="single"/>
        </w:rPr>
        <w:t xml:space="preserve"> 执行通用条款 </w:t>
      </w:r>
      <w:r>
        <w:rPr>
          <w:rFonts w:hint="eastAsia"/>
          <w:color w:val="auto"/>
          <w:sz w:val="24"/>
          <w:szCs w:val="24"/>
          <w:highlight w:val="none"/>
        </w:rPr>
        <w:t xml:space="preserve">。             </w:t>
      </w:r>
    </w:p>
    <w:p>
      <w:pPr>
        <w:spacing w:line="360" w:lineRule="auto"/>
        <w:rPr>
          <w:color w:val="auto"/>
          <w:highlight w:val="none"/>
        </w:rPr>
      </w:pPr>
      <w:r>
        <w:rPr>
          <w:rFonts w:hint="eastAsia"/>
          <w:color w:val="auto"/>
          <w:sz w:val="24"/>
          <w:szCs w:val="24"/>
          <w:highlight w:val="none"/>
        </w:rPr>
        <w:t>第三人申明的保密事项和期限：</w:t>
      </w:r>
      <w:r>
        <w:rPr>
          <w:rFonts w:hint="eastAsia"/>
          <w:color w:val="auto"/>
          <w:sz w:val="24"/>
          <w:szCs w:val="24"/>
          <w:highlight w:val="none"/>
          <w:u w:val="single"/>
        </w:rPr>
        <w:t xml:space="preserve"> 执行通用条款 </w:t>
      </w:r>
      <w:r>
        <w:rPr>
          <w:rFonts w:hint="eastAsia"/>
          <w:color w:val="auto"/>
          <w:sz w:val="24"/>
          <w:szCs w:val="24"/>
          <w:highlight w:val="none"/>
        </w:rPr>
        <w:t>。</w:t>
      </w:r>
      <w:r>
        <w:rPr>
          <w:rFonts w:hint="eastAsia"/>
          <w:color w:val="auto"/>
          <w:highlight w:val="none"/>
        </w:rPr>
        <w:t xml:space="preserve"> </w:t>
      </w:r>
    </w:p>
    <w:p>
      <w:pPr>
        <w:pStyle w:val="5"/>
        <w:keepNext w:val="0"/>
        <w:numPr>
          <w:ilvl w:val="2"/>
          <w:numId w:val="0"/>
        </w:numPr>
        <w:rPr>
          <w:rFonts w:ascii="宋体" w:hAnsi="宋体" w:cs="宋体"/>
          <w:b w:val="0"/>
          <w:color w:val="auto"/>
          <w:sz w:val="24"/>
          <w:highlight w:val="none"/>
        </w:rPr>
      </w:pPr>
      <w:bookmarkStart w:id="703" w:name="_Toc10656"/>
      <w:bookmarkStart w:id="704" w:name="_Toc12497"/>
      <w:bookmarkStart w:id="705" w:name="_Toc422322554"/>
      <w:bookmarkStart w:id="706" w:name="_Toc1408"/>
      <w:bookmarkStart w:id="707" w:name="_Toc19308"/>
      <w:bookmarkStart w:id="708" w:name="_Toc15246"/>
      <w:r>
        <w:rPr>
          <w:rFonts w:hint="eastAsia" w:ascii="宋体" w:hAnsi="宋体" w:cs="宋体"/>
          <w:b w:val="0"/>
          <w:bCs w:val="0"/>
          <w:color w:val="auto"/>
          <w:sz w:val="24"/>
          <w:highlight w:val="none"/>
        </w:rPr>
        <w:t>8.4联络</w:t>
      </w:r>
      <w:bookmarkEnd w:id="703"/>
      <w:bookmarkEnd w:id="704"/>
      <w:bookmarkEnd w:id="705"/>
      <w:bookmarkEnd w:id="706"/>
      <w:bookmarkEnd w:id="707"/>
      <w:bookmarkEnd w:id="708"/>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8.4.1任何一方与合同有关的通知、指示、要求、决定等，均应在</w:t>
      </w:r>
      <w:r>
        <w:rPr>
          <w:rFonts w:hint="eastAsia" w:ascii="宋体" w:hAnsi="宋体" w:cs="宋体"/>
          <w:color w:val="auto"/>
          <w:sz w:val="24"/>
          <w:szCs w:val="24"/>
          <w:highlight w:val="none"/>
          <w:u w:val="single"/>
        </w:rPr>
        <w:t xml:space="preserve"> 五 </w:t>
      </w:r>
      <w:r>
        <w:rPr>
          <w:rFonts w:hint="eastAsia" w:ascii="宋体" w:hAnsi="宋体" w:cs="宋体"/>
          <w:color w:val="auto"/>
          <w:sz w:val="24"/>
          <w:szCs w:val="24"/>
          <w:highlight w:val="none"/>
        </w:rPr>
        <w:t>日内送达对方指定的接收人和送达地点。</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8.4.2委托人指定的送达接收人：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，送达地点：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，电子邮箱：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咨询人指定的送达接收人：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，送达地点：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，电子邮箱：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pStyle w:val="5"/>
        <w:keepNext w:val="0"/>
        <w:numPr>
          <w:ilvl w:val="2"/>
          <w:numId w:val="0"/>
        </w:numPr>
        <w:rPr>
          <w:rFonts w:ascii="宋体" w:hAnsi="宋体" w:cs="宋体"/>
          <w:b w:val="0"/>
          <w:color w:val="auto"/>
          <w:sz w:val="24"/>
          <w:highlight w:val="none"/>
        </w:rPr>
      </w:pPr>
      <w:bookmarkStart w:id="709" w:name="_Toc30113"/>
      <w:bookmarkStart w:id="710" w:name="_Toc419045124"/>
      <w:bookmarkStart w:id="711" w:name="_Toc4275"/>
      <w:bookmarkStart w:id="712" w:name="_Toc422322555"/>
      <w:bookmarkStart w:id="713" w:name="_Toc27413"/>
      <w:bookmarkStart w:id="714" w:name="_Toc25304"/>
      <w:bookmarkStart w:id="715" w:name="_Toc23831"/>
      <w:r>
        <w:rPr>
          <w:rFonts w:hint="eastAsia" w:ascii="宋体" w:hAnsi="宋体" w:cs="宋体"/>
          <w:b w:val="0"/>
          <w:bCs w:val="0"/>
          <w:color w:val="auto"/>
          <w:sz w:val="24"/>
          <w:highlight w:val="none"/>
        </w:rPr>
        <w:t>8.5知识产权</w:t>
      </w:r>
      <w:bookmarkEnd w:id="709"/>
      <w:bookmarkEnd w:id="710"/>
      <w:bookmarkEnd w:id="711"/>
      <w:bookmarkEnd w:id="712"/>
      <w:bookmarkEnd w:id="713"/>
      <w:bookmarkEnd w:id="714"/>
      <w:bookmarkEnd w:id="715"/>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委托人提供给咨询人的图纸、委托人为实施工程自行编制或委托编制的技术规范以及反映委托人要求的或其他类似性质文件的著作权属于</w:t>
      </w:r>
      <w:r>
        <w:rPr>
          <w:rFonts w:hint="eastAsia" w:ascii="宋体" w:hAnsi="宋体" w:cs="宋体"/>
          <w:color w:val="auto"/>
          <w:sz w:val="24"/>
          <w:szCs w:val="24"/>
          <w:highlight w:val="none"/>
          <w:u w:val="single"/>
        </w:rPr>
        <w:t xml:space="preserve">    委托人   </w:t>
      </w:r>
      <w:r>
        <w:rPr>
          <w:rFonts w:hint="eastAsia" w:ascii="宋体" w:hAnsi="宋体" w:cs="宋体"/>
          <w:color w:val="auto"/>
          <w:sz w:val="24"/>
          <w:szCs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咨询人为履行本合同约定而编制的成果文件，其著作权属于</w:t>
      </w:r>
      <w:r>
        <w:rPr>
          <w:rFonts w:hint="eastAsia" w:ascii="宋体" w:hAnsi="宋体" w:cs="宋体"/>
          <w:color w:val="auto"/>
          <w:sz w:val="24"/>
          <w:szCs w:val="24"/>
          <w:highlight w:val="none"/>
          <w:u w:val="single"/>
        </w:rPr>
        <w:t xml:space="preserve">   咨询人   </w:t>
      </w:r>
      <w:r>
        <w:rPr>
          <w:rFonts w:hint="eastAsia" w:ascii="宋体" w:hAnsi="宋体" w:cs="宋体"/>
          <w:color w:val="auto"/>
          <w:sz w:val="24"/>
          <w:szCs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szCs w:val="24"/>
          <w:highlight w:val="none"/>
        </w:rPr>
        <w:t>双方将履行本合同形成的有关成果文件用于企业宣传、申报奖项以及接受上级主管部门的检查须遵守以下约定：</w:t>
      </w:r>
      <w:r>
        <w:rPr>
          <w:rFonts w:hint="eastAsia" w:ascii="宋体" w:hAnsi="宋体" w:cs="宋体"/>
          <w:color w:val="auto"/>
          <w:sz w:val="24"/>
          <w:szCs w:val="24"/>
          <w:highlight w:val="none"/>
          <w:u w:val="single"/>
        </w:rPr>
        <w:t xml:space="preserve">       /          </w:t>
      </w:r>
      <w:bookmarkStart w:id="716" w:name="_Toc422322556"/>
      <w:bookmarkStart w:id="717" w:name="_Toc419045125"/>
      <w:r>
        <w:rPr>
          <w:rFonts w:hint="eastAsia" w:ascii="宋体" w:hAnsi="宋体" w:cs="宋体"/>
          <w:color w:val="auto"/>
          <w:sz w:val="24"/>
          <w:szCs w:val="24"/>
          <w:highlight w:val="none"/>
        </w:rPr>
        <w:t>。</w:t>
      </w:r>
    </w:p>
    <w:p>
      <w:pPr>
        <w:pStyle w:val="4"/>
        <w:keepNext w:val="0"/>
        <w:rPr>
          <w:color w:val="auto"/>
          <w:highlight w:val="none"/>
        </w:rPr>
      </w:pPr>
      <w:bookmarkStart w:id="718" w:name="_Toc4772"/>
      <w:bookmarkStart w:id="719" w:name="_Toc29449"/>
      <w:bookmarkStart w:id="720" w:name="_Toc31213"/>
      <w:bookmarkStart w:id="721" w:name="_Toc11383"/>
      <w:bookmarkStart w:id="722" w:name="_Toc11839"/>
      <w:r>
        <w:rPr>
          <w:rFonts w:hint="eastAsia"/>
          <w:bCs/>
          <w:color w:val="auto"/>
          <w:szCs w:val="32"/>
          <w:highlight w:val="none"/>
        </w:rPr>
        <w:t>9.</w:t>
      </w:r>
      <w:r>
        <w:rPr>
          <w:rFonts w:hint="eastAsia" w:ascii="Arial" w:hAnsi="Arial" w:eastAsia="黑体"/>
          <w:bCs/>
          <w:color w:val="auto"/>
          <w:szCs w:val="32"/>
          <w:highlight w:val="none"/>
        </w:rPr>
        <w:t>补充条款</w:t>
      </w:r>
      <w:bookmarkEnd w:id="716"/>
      <w:bookmarkEnd w:id="717"/>
      <w:bookmarkEnd w:id="718"/>
      <w:bookmarkEnd w:id="719"/>
      <w:bookmarkEnd w:id="720"/>
      <w:bookmarkEnd w:id="721"/>
      <w:bookmarkEnd w:id="722"/>
      <w:r>
        <w:rPr>
          <w:rFonts w:hint="eastAsia" w:ascii="Arial" w:hAnsi="Arial" w:eastAsia="黑体"/>
          <w:bCs/>
          <w:color w:val="auto"/>
          <w:szCs w:val="32"/>
          <w:highlight w:val="none"/>
        </w:rPr>
        <w:t xml:space="preserve">  </w:t>
      </w:r>
    </w:p>
    <w:p>
      <w:pPr>
        <w:pStyle w:val="15"/>
        <w:spacing w:line="360" w:lineRule="auto"/>
        <w:ind w:left="0" w:firstLine="215" w:firstLineChars="100"/>
        <w:rPr>
          <w:color w:val="auto"/>
          <w:highlight w:val="none"/>
          <w:u w:val="single"/>
        </w:rPr>
      </w:pPr>
      <w:r>
        <w:rPr>
          <w:rFonts w:hint="eastAsia"/>
          <w:color w:val="auto"/>
          <w:highlight w:val="none"/>
        </w:rPr>
        <w:t xml:space="preserve"> </w:t>
      </w:r>
      <w:r>
        <w:rPr>
          <w:rFonts w:hint="eastAsia"/>
          <w:color w:val="auto"/>
          <w:highlight w:val="none"/>
          <w:u w:val="single"/>
        </w:rPr>
        <w:t xml:space="preserve">       /          </w:t>
      </w:r>
      <w:r>
        <w:rPr>
          <w:rFonts w:hint="eastAsia"/>
          <w:color w:val="auto"/>
          <w:highlight w:val="none"/>
        </w:rPr>
        <w:t>。</w:t>
      </w:r>
    </w:p>
    <w:p>
      <w:pPr>
        <w:pStyle w:val="31"/>
        <w:spacing w:line="720" w:lineRule="auto"/>
        <w:rPr>
          <w:rFonts w:ascii="宋体" w:hAnsi="宋体"/>
          <w:color w:val="auto"/>
          <w:sz w:val="24"/>
          <w:szCs w:val="24"/>
          <w:highlight w:val="none"/>
        </w:rPr>
      </w:pPr>
      <w:r>
        <w:rPr>
          <w:rFonts w:hint="eastAsia" w:ascii="宋体" w:hAnsi="宋体"/>
          <w:color w:val="auto"/>
          <w:sz w:val="24"/>
          <w:szCs w:val="24"/>
          <w:highlight w:val="none"/>
        </w:rPr>
        <w:t xml:space="preserve">委托人：___________（盖章)              咨询人：___________（盖章） </w:t>
      </w:r>
    </w:p>
    <w:p>
      <w:pPr>
        <w:pStyle w:val="31"/>
        <w:spacing w:line="720" w:lineRule="auto"/>
        <w:rPr>
          <w:rFonts w:ascii="宋体" w:hAnsi="宋体"/>
          <w:color w:val="auto"/>
          <w:sz w:val="24"/>
          <w:szCs w:val="24"/>
          <w:highlight w:val="none"/>
        </w:rPr>
      </w:pPr>
      <w:r>
        <w:rPr>
          <w:rFonts w:hint="eastAsia" w:ascii="宋体" w:hAnsi="宋体"/>
          <w:color w:val="auto"/>
          <w:sz w:val="24"/>
          <w:szCs w:val="24"/>
          <w:highlight w:val="none"/>
        </w:rPr>
        <w:t>法定代表人或其授权的                     法定代表人或其授权的</w:t>
      </w:r>
    </w:p>
    <w:p>
      <w:pPr>
        <w:pStyle w:val="31"/>
        <w:spacing w:line="720" w:lineRule="auto"/>
        <w:jc w:val="left"/>
        <w:rPr>
          <w:rFonts w:ascii="宋体" w:hAnsi="宋体"/>
          <w:color w:val="auto"/>
          <w:sz w:val="24"/>
          <w:szCs w:val="24"/>
          <w:highlight w:val="none"/>
        </w:rPr>
      </w:pPr>
      <w:r>
        <w:rPr>
          <w:rFonts w:hint="eastAsia" w:ascii="宋体" w:hAnsi="宋体"/>
          <w:color w:val="auto"/>
          <w:sz w:val="24"/>
          <w:szCs w:val="24"/>
          <w:highlight w:val="none"/>
        </w:rPr>
        <w:t xml:space="preserve">代理人：_________（签字）           代理人：_________（签字）         </w:t>
      </w:r>
    </w:p>
    <w:tbl>
      <w:tblPr>
        <w:tblStyle w:val="19"/>
        <w:tblW w:w="9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2"/>
        <w:gridCol w:w="4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952" w:type="dxa"/>
            <w:noWrap w:val="0"/>
            <w:vAlign w:val="center"/>
          </w:tcPr>
          <w:p>
            <w:pPr>
              <w:pStyle w:val="31"/>
              <w:jc w:val="left"/>
              <w:rPr>
                <w:rFonts w:ascii="宋体" w:hAnsi="宋体"/>
                <w:color w:val="auto"/>
                <w:sz w:val="24"/>
                <w:szCs w:val="24"/>
                <w:highlight w:val="none"/>
              </w:rPr>
            </w:pPr>
            <w:r>
              <w:rPr>
                <w:rFonts w:hint="eastAsia" w:ascii="宋体" w:hAnsi="宋体"/>
                <w:color w:val="auto"/>
                <w:sz w:val="24"/>
                <w:szCs w:val="24"/>
                <w:highlight w:val="none"/>
              </w:rPr>
              <w:t>纳税人识别码：</w:t>
            </w:r>
          </w:p>
        </w:tc>
        <w:tc>
          <w:tcPr>
            <w:tcW w:w="4650" w:type="dxa"/>
            <w:noWrap w:val="0"/>
            <w:vAlign w:val="center"/>
          </w:tcPr>
          <w:p>
            <w:pPr>
              <w:pStyle w:val="31"/>
              <w:jc w:val="left"/>
              <w:rPr>
                <w:rFonts w:ascii="宋体" w:hAnsi="宋体"/>
                <w:color w:val="auto"/>
                <w:sz w:val="24"/>
                <w:szCs w:val="24"/>
                <w:highlight w:val="none"/>
              </w:rPr>
            </w:pPr>
            <w:r>
              <w:rPr>
                <w:rFonts w:hint="eastAsia" w:ascii="宋体" w:hAnsi="宋体"/>
                <w:color w:val="auto"/>
                <w:sz w:val="24"/>
                <w:szCs w:val="24"/>
                <w:highlight w:val="none"/>
              </w:rPr>
              <w:t>纳税人识别码：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952" w:type="dxa"/>
            <w:noWrap w:val="0"/>
            <w:vAlign w:val="center"/>
          </w:tcPr>
          <w:p>
            <w:pPr>
              <w:pStyle w:val="31"/>
              <w:jc w:val="left"/>
              <w:rPr>
                <w:rFonts w:ascii="宋体" w:hAnsi="宋体"/>
                <w:color w:val="auto"/>
                <w:sz w:val="24"/>
                <w:szCs w:val="24"/>
                <w:highlight w:val="none"/>
              </w:rPr>
            </w:pPr>
            <w:r>
              <w:rPr>
                <w:rFonts w:hint="eastAsia" w:ascii="宋体" w:hAnsi="宋体"/>
                <w:color w:val="auto"/>
                <w:sz w:val="24"/>
                <w:szCs w:val="24"/>
                <w:highlight w:val="none"/>
              </w:rPr>
              <w:t>住    所：</w:t>
            </w:r>
          </w:p>
        </w:tc>
        <w:tc>
          <w:tcPr>
            <w:tcW w:w="4650" w:type="dxa"/>
            <w:noWrap w:val="0"/>
            <w:vAlign w:val="center"/>
          </w:tcPr>
          <w:p>
            <w:pPr>
              <w:pStyle w:val="31"/>
              <w:jc w:val="left"/>
              <w:rPr>
                <w:rFonts w:ascii="宋体" w:hAnsi="宋体"/>
                <w:color w:val="auto"/>
                <w:sz w:val="24"/>
                <w:szCs w:val="24"/>
                <w:highlight w:val="none"/>
              </w:rPr>
            </w:pPr>
            <w:r>
              <w:rPr>
                <w:rFonts w:hint="eastAsia" w:ascii="宋体" w:hAnsi="宋体"/>
                <w:color w:val="auto"/>
                <w:sz w:val="24"/>
                <w:szCs w:val="24"/>
                <w:highlight w:val="none"/>
              </w:rPr>
              <w:t>住    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4952" w:type="dxa"/>
            <w:noWrap w:val="0"/>
            <w:vAlign w:val="center"/>
          </w:tcPr>
          <w:p>
            <w:pPr>
              <w:pStyle w:val="31"/>
              <w:jc w:val="left"/>
              <w:rPr>
                <w:rFonts w:ascii="宋体" w:hAnsi="宋体"/>
                <w:color w:val="auto"/>
                <w:sz w:val="24"/>
                <w:szCs w:val="24"/>
                <w:highlight w:val="none"/>
              </w:rPr>
            </w:pPr>
            <w:r>
              <w:rPr>
                <w:rFonts w:hint="eastAsia" w:ascii="宋体" w:hAnsi="宋体"/>
                <w:color w:val="auto"/>
                <w:sz w:val="24"/>
                <w:szCs w:val="24"/>
                <w:highlight w:val="none"/>
              </w:rPr>
              <w:t>账    号：</w:t>
            </w:r>
          </w:p>
        </w:tc>
        <w:tc>
          <w:tcPr>
            <w:tcW w:w="4650" w:type="dxa"/>
            <w:noWrap w:val="0"/>
            <w:vAlign w:val="center"/>
          </w:tcPr>
          <w:p>
            <w:pPr>
              <w:pStyle w:val="31"/>
              <w:jc w:val="left"/>
              <w:rPr>
                <w:rFonts w:ascii="宋体" w:hAnsi="宋体"/>
                <w:color w:val="auto"/>
                <w:sz w:val="24"/>
                <w:szCs w:val="24"/>
                <w:highlight w:val="none"/>
              </w:rPr>
            </w:pPr>
            <w:r>
              <w:rPr>
                <w:rFonts w:hint="eastAsia" w:ascii="宋体" w:hAnsi="宋体"/>
                <w:color w:val="auto"/>
                <w:sz w:val="24"/>
                <w:szCs w:val="24"/>
                <w:highlight w:val="none"/>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952" w:type="dxa"/>
            <w:noWrap w:val="0"/>
            <w:vAlign w:val="center"/>
          </w:tcPr>
          <w:p>
            <w:pPr>
              <w:pStyle w:val="31"/>
              <w:jc w:val="left"/>
              <w:rPr>
                <w:rFonts w:ascii="宋体" w:hAnsi="宋体"/>
                <w:color w:val="auto"/>
                <w:sz w:val="24"/>
                <w:szCs w:val="24"/>
                <w:highlight w:val="none"/>
              </w:rPr>
            </w:pPr>
            <w:r>
              <w:rPr>
                <w:rFonts w:hint="eastAsia" w:ascii="宋体" w:hAnsi="宋体"/>
                <w:color w:val="auto"/>
                <w:sz w:val="24"/>
                <w:szCs w:val="24"/>
                <w:highlight w:val="none"/>
              </w:rPr>
              <w:t>开户银行：</w:t>
            </w:r>
          </w:p>
        </w:tc>
        <w:tc>
          <w:tcPr>
            <w:tcW w:w="4650" w:type="dxa"/>
            <w:noWrap w:val="0"/>
            <w:vAlign w:val="center"/>
          </w:tcPr>
          <w:p>
            <w:pPr>
              <w:pStyle w:val="31"/>
              <w:jc w:val="left"/>
              <w:rPr>
                <w:rFonts w:ascii="宋体" w:hAnsi="宋体"/>
                <w:color w:val="auto"/>
                <w:sz w:val="24"/>
                <w:szCs w:val="24"/>
                <w:highlight w:val="none"/>
              </w:rPr>
            </w:pPr>
            <w:r>
              <w:rPr>
                <w:rFonts w:hint="eastAsia" w:ascii="宋体" w:hAnsi="宋体"/>
                <w:color w:val="auto"/>
                <w:sz w:val="24"/>
                <w:szCs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952" w:type="dxa"/>
            <w:noWrap w:val="0"/>
            <w:vAlign w:val="center"/>
          </w:tcPr>
          <w:p>
            <w:pPr>
              <w:pStyle w:val="31"/>
              <w:jc w:val="left"/>
              <w:rPr>
                <w:rFonts w:ascii="宋体" w:hAnsi="宋体"/>
                <w:color w:val="auto"/>
                <w:sz w:val="24"/>
                <w:szCs w:val="24"/>
                <w:highlight w:val="none"/>
              </w:rPr>
            </w:pPr>
            <w:r>
              <w:rPr>
                <w:rFonts w:hint="eastAsia" w:ascii="宋体" w:hAnsi="宋体"/>
                <w:color w:val="auto"/>
                <w:sz w:val="24"/>
                <w:szCs w:val="24"/>
                <w:highlight w:val="none"/>
              </w:rPr>
              <w:t>邮政编码：</w:t>
            </w:r>
          </w:p>
        </w:tc>
        <w:tc>
          <w:tcPr>
            <w:tcW w:w="4650" w:type="dxa"/>
            <w:noWrap w:val="0"/>
            <w:vAlign w:val="center"/>
          </w:tcPr>
          <w:p>
            <w:pPr>
              <w:pStyle w:val="31"/>
              <w:jc w:val="left"/>
              <w:rPr>
                <w:rFonts w:ascii="宋体" w:hAnsi="宋体"/>
                <w:color w:val="auto"/>
                <w:sz w:val="24"/>
                <w:szCs w:val="24"/>
                <w:highlight w:val="none"/>
              </w:rPr>
            </w:pPr>
            <w:r>
              <w:rPr>
                <w:rFonts w:hint="eastAsia" w:ascii="宋体" w:hAnsi="宋体"/>
                <w:color w:val="auto"/>
                <w:sz w:val="24"/>
                <w:szCs w:val="24"/>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52" w:type="dxa"/>
            <w:noWrap w:val="0"/>
            <w:vAlign w:val="center"/>
          </w:tcPr>
          <w:p>
            <w:pPr>
              <w:pStyle w:val="31"/>
              <w:jc w:val="left"/>
              <w:rPr>
                <w:rFonts w:ascii="宋体" w:hAnsi="宋体"/>
                <w:color w:val="auto"/>
                <w:sz w:val="24"/>
                <w:szCs w:val="24"/>
                <w:highlight w:val="none"/>
              </w:rPr>
            </w:pPr>
            <w:r>
              <w:rPr>
                <w:rFonts w:hint="eastAsia" w:ascii="宋体" w:hAnsi="宋体"/>
                <w:color w:val="auto"/>
                <w:sz w:val="24"/>
                <w:szCs w:val="24"/>
                <w:highlight w:val="none"/>
              </w:rPr>
              <w:t>电    话：</w:t>
            </w:r>
          </w:p>
        </w:tc>
        <w:tc>
          <w:tcPr>
            <w:tcW w:w="4650" w:type="dxa"/>
            <w:noWrap w:val="0"/>
            <w:vAlign w:val="center"/>
          </w:tcPr>
          <w:p>
            <w:pPr>
              <w:pStyle w:val="31"/>
              <w:jc w:val="left"/>
              <w:rPr>
                <w:rFonts w:ascii="宋体" w:hAnsi="宋体"/>
                <w:color w:val="auto"/>
                <w:sz w:val="24"/>
                <w:szCs w:val="24"/>
                <w:highlight w:val="none"/>
              </w:rPr>
            </w:pPr>
            <w:r>
              <w:rPr>
                <w:rFonts w:hint="eastAsia" w:ascii="宋体" w:hAnsi="宋体"/>
                <w:color w:val="auto"/>
                <w:sz w:val="24"/>
                <w:szCs w:val="24"/>
                <w:highlight w:val="none"/>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952" w:type="dxa"/>
            <w:noWrap w:val="0"/>
            <w:vAlign w:val="center"/>
          </w:tcPr>
          <w:p>
            <w:pPr>
              <w:pStyle w:val="31"/>
              <w:jc w:val="left"/>
              <w:rPr>
                <w:rFonts w:ascii="宋体" w:hAnsi="宋体"/>
                <w:color w:val="auto"/>
                <w:sz w:val="24"/>
                <w:szCs w:val="24"/>
                <w:highlight w:val="none"/>
              </w:rPr>
            </w:pPr>
            <w:r>
              <w:rPr>
                <w:rFonts w:hint="eastAsia" w:ascii="宋体" w:hAnsi="宋体"/>
                <w:color w:val="auto"/>
                <w:sz w:val="24"/>
                <w:szCs w:val="24"/>
                <w:highlight w:val="none"/>
              </w:rPr>
              <w:t>传    真：</w:t>
            </w:r>
          </w:p>
        </w:tc>
        <w:tc>
          <w:tcPr>
            <w:tcW w:w="4650" w:type="dxa"/>
            <w:noWrap w:val="0"/>
            <w:vAlign w:val="center"/>
          </w:tcPr>
          <w:p>
            <w:pPr>
              <w:pStyle w:val="31"/>
              <w:jc w:val="left"/>
              <w:rPr>
                <w:rFonts w:ascii="宋体" w:hAnsi="宋体"/>
                <w:color w:val="auto"/>
                <w:sz w:val="24"/>
                <w:szCs w:val="24"/>
                <w:highlight w:val="none"/>
              </w:rPr>
            </w:pPr>
            <w:r>
              <w:rPr>
                <w:rFonts w:hint="eastAsia" w:ascii="宋体" w:hAnsi="宋体"/>
                <w:color w:val="auto"/>
                <w:sz w:val="24"/>
                <w:szCs w:val="24"/>
                <w:highlight w:val="none"/>
              </w:rPr>
              <w:t>传    真：</w:t>
            </w:r>
          </w:p>
          <w:p>
            <w:pPr>
              <w:pStyle w:val="31"/>
              <w:jc w:val="lef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952" w:type="dxa"/>
            <w:noWrap w:val="0"/>
            <w:vAlign w:val="center"/>
          </w:tcPr>
          <w:p>
            <w:pPr>
              <w:pStyle w:val="31"/>
              <w:jc w:val="left"/>
              <w:rPr>
                <w:rFonts w:ascii="宋体" w:hAnsi="宋体"/>
                <w:color w:val="auto"/>
                <w:sz w:val="24"/>
                <w:szCs w:val="24"/>
                <w:highlight w:val="none"/>
              </w:rPr>
            </w:pPr>
            <w:r>
              <w:rPr>
                <w:rFonts w:hint="eastAsia" w:ascii="宋体" w:hAnsi="宋体"/>
                <w:color w:val="auto"/>
                <w:sz w:val="24"/>
                <w:szCs w:val="24"/>
                <w:highlight w:val="none"/>
              </w:rPr>
              <w:t>电子信箱：</w:t>
            </w:r>
          </w:p>
        </w:tc>
        <w:tc>
          <w:tcPr>
            <w:tcW w:w="4650" w:type="dxa"/>
            <w:noWrap w:val="0"/>
            <w:vAlign w:val="center"/>
          </w:tcPr>
          <w:p>
            <w:pPr>
              <w:pStyle w:val="31"/>
              <w:jc w:val="left"/>
              <w:rPr>
                <w:rFonts w:ascii="宋体" w:hAnsi="宋体"/>
                <w:color w:val="auto"/>
                <w:sz w:val="24"/>
                <w:szCs w:val="24"/>
                <w:highlight w:val="none"/>
              </w:rPr>
            </w:pPr>
            <w:r>
              <w:rPr>
                <w:rFonts w:hint="eastAsia" w:ascii="宋体" w:hAnsi="宋体"/>
                <w:color w:val="auto"/>
                <w:sz w:val="24"/>
                <w:szCs w:val="24"/>
                <w:highlight w:val="none"/>
              </w:rPr>
              <w:t>电子信箱：</w:t>
            </w:r>
          </w:p>
          <w:p>
            <w:pPr>
              <w:pStyle w:val="31"/>
              <w:jc w:val="left"/>
              <w:rPr>
                <w:rFonts w:ascii="宋体" w:hAnsi="宋体"/>
                <w:color w:val="auto"/>
                <w:sz w:val="24"/>
                <w:szCs w:val="24"/>
                <w:highlight w:val="none"/>
              </w:rPr>
            </w:pPr>
          </w:p>
        </w:tc>
      </w:tr>
    </w:tbl>
    <w:p>
      <w:pPr>
        <w:pStyle w:val="31"/>
        <w:spacing w:line="800" w:lineRule="exact"/>
        <w:jc w:val="left"/>
        <w:rPr>
          <w:rFonts w:hint="eastAsia" w:ascii="宋体" w:hAnsi="宋体"/>
          <w:color w:val="auto"/>
          <w:sz w:val="24"/>
          <w:szCs w:val="24"/>
          <w:highlight w:val="none"/>
        </w:rPr>
      </w:pPr>
      <w:r>
        <w:rPr>
          <w:rFonts w:hint="eastAsia" w:ascii="宋体" w:hAnsi="宋体"/>
          <w:color w:val="auto"/>
          <w:sz w:val="24"/>
          <w:szCs w:val="24"/>
          <w:highlight w:val="none"/>
        </w:rPr>
        <w:t xml:space="preserve">    </w:t>
      </w:r>
      <w:bookmarkStart w:id="723" w:name="_Toc7855"/>
      <w:bookmarkStart w:id="724" w:name="_Toc19036"/>
      <w:bookmarkStart w:id="725" w:name="_Toc24689"/>
      <w:bookmarkStart w:id="726" w:name="_Toc1668"/>
      <w:bookmarkStart w:id="727" w:name="_Toc24907"/>
    </w:p>
    <w:p>
      <w:pPr>
        <w:pStyle w:val="31"/>
        <w:spacing w:line="800" w:lineRule="exact"/>
        <w:jc w:val="left"/>
        <w:rPr>
          <w:color w:val="auto"/>
          <w:highlight w:val="none"/>
        </w:rPr>
      </w:pPr>
      <w:r>
        <w:rPr>
          <w:rFonts w:hint="eastAsia" w:ascii="宋体" w:hAnsi="宋体"/>
          <w:color w:val="auto"/>
          <w:sz w:val="24"/>
          <w:szCs w:val="24"/>
          <w:highlight w:val="none"/>
        </w:rPr>
        <w:br w:type="page"/>
      </w:r>
      <w:r>
        <w:rPr>
          <w:rFonts w:hint="eastAsia"/>
          <w:color w:val="auto"/>
          <w:highlight w:val="none"/>
        </w:rPr>
        <w:t>附录A 服务范围及工作内容、酬金一览表</w:t>
      </w:r>
      <w:bookmarkEnd w:id="723"/>
      <w:bookmarkEnd w:id="724"/>
      <w:bookmarkEnd w:id="725"/>
      <w:bookmarkEnd w:id="726"/>
      <w:bookmarkEnd w:id="727"/>
    </w:p>
    <w:tbl>
      <w:tblPr>
        <w:tblStyle w:val="19"/>
        <w:tblW w:w="10669" w:type="dxa"/>
        <w:tblInd w:w="-6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1612"/>
        <w:gridCol w:w="2175"/>
        <w:gridCol w:w="1107"/>
        <w:gridCol w:w="1762"/>
        <w:gridCol w:w="1542"/>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restart"/>
            <w:noWrap w:val="0"/>
            <w:vAlign w:val="center"/>
          </w:tcPr>
          <w:p>
            <w:pPr>
              <w:pStyle w:val="7"/>
              <w:spacing w:line="360" w:lineRule="auto"/>
              <w:rPr>
                <w:color w:val="auto"/>
                <w:sz w:val="21"/>
                <w:szCs w:val="21"/>
                <w:highlight w:val="none"/>
              </w:rPr>
            </w:pPr>
            <w:r>
              <w:rPr>
                <w:rFonts w:hint="eastAsia"/>
                <w:color w:val="auto"/>
                <w:sz w:val="21"/>
                <w:szCs w:val="21"/>
                <w:highlight w:val="none"/>
              </w:rPr>
              <w:t>服务阶段</w:t>
            </w:r>
          </w:p>
        </w:tc>
        <w:tc>
          <w:tcPr>
            <w:tcW w:w="3787" w:type="dxa"/>
            <w:gridSpan w:val="2"/>
            <w:noWrap w:val="0"/>
            <w:vAlign w:val="center"/>
          </w:tcPr>
          <w:p>
            <w:pPr>
              <w:pStyle w:val="7"/>
              <w:spacing w:line="360" w:lineRule="auto"/>
              <w:jc w:val="center"/>
              <w:rPr>
                <w:color w:val="auto"/>
                <w:sz w:val="21"/>
                <w:szCs w:val="21"/>
                <w:highlight w:val="none"/>
              </w:rPr>
            </w:pPr>
            <w:r>
              <w:rPr>
                <w:rFonts w:hint="eastAsia"/>
                <w:color w:val="auto"/>
                <w:sz w:val="21"/>
                <w:szCs w:val="21"/>
                <w:highlight w:val="none"/>
              </w:rPr>
              <w:t>服务范围及工作内容</w:t>
            </w:r>
          </w:p>
        </w:tc>
        <w:tc>
          <w:tcPr>
            <w:tcW w:w="4411" w:type="dxa"/>
            <w:gridSpan w:val="3"/>
            <w:noWrap w:val="0"/>
            <w:vAlign w:val="top"/>
          </w:tcPr>
          <w:p>
            <w:pPr>
              <w:pStyle w:val="7"/>
              <w:spacing w:line="360" w:lineRule="auto"/>
              <w:jc w:val="center"/>
              <w:rPr>
                <w:color w:val="auto"/>
                <w:sz w:val="21"/>
                <w:szCs w:val="21"/>
                <w:highlight w:val="none"/>
              </w:rPr>
            </w:pPr>
            <w:r>
              <w:rPr>
                <w:rFonts w:hint="eastAsia"/>
                <w:color w:val="auto"/>
                <w:sz w:val="21"/>
                <w:szCs w:val="21"/>
                <w:highlight w:val="none"/>
              </w:rPr>
              <w:t>酬金</w:t>
            </w:r>
          </w:p>
        </w:tc>
        <w:tc>
          <w:tcPr>
            <w:tcW w:w="1163" w:type="dxa"/>
            <w:noWrap w:val="0"/>
            <w:vAlign w:val="top"/>
          </w:tcPr>
          <w:p>
            <w:pPr>
              <w:pStyle w:val="7"/>
              <w:spacing w:line="360" w:lineRule="auto"/>
              <w:rPr>
                <w:color w:val="auto"/>
                <w:sz w:val="21"/>
                <w:szCs w:val="21"/>
                <w:highlight w:val="none"/>
              </w:rPr>
            </w:pPr>
            <w:r>
              <w:rPr>
                <w:rFonts w:hint="eastAsia"/>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noWrap w:val="0"/>
            <w:vAlign w:val="center"/>
          </w:tcPr>
          <w:p>
            <w:pPr>
              <w:pStyle w:val="7"/>
              <w:spacing w:line="360" w:lineRule="auto"/>
              <w:jc w:val="center"/>
              <w:rPr>
                <w:color w:val="auto"/>
                <w:sz w:val="21"/>
                <w:szCs w:val="21"/>
                <w:highlight w:val="none"/>
              </w:rPr>
            </w:pPr>
          </w:p>
        </w:tc>
        <w:tc>
          <w:tcPr>
            <w:tcW w:w="1612" w:type="dxa"/>
            <w:noWrap w:val="0"/>
            <w:vAlign w:val="center"/>
          </w:tcPr>
          <w:p>
            <w:pPr>
              <w:pStyle w:val="7"/>
              <w:spacing w:line="360" w:lineRule="auto"/>
              <w:rPr>
                <w:color w:val="auto"/>
                <w:sz w:val="21"/>
                <w:szCs w:val="21"/>
                <w:highlight w:val="none"/>
              </w:rPr>
            </w:pPr>
            <w:r>
              <w:rPr>
                <w:rFonts w:hint="eastAsia"/>
                <w:color w:val="auto"/>
                <w:sz w:val="21"/>
                <w:szCs w:val="21"/>
                <w:highlight w:val="none"/>
              </w:rPr>
              <w:t>服务范围</w:t>
            </w:r>
          </w:p>
        </w:tc>
        <w:tc>
          <w:tcPr>
            <w:tcW w:w="2175" w:type="dxa"/>
            <w:noWrap w:val="0"/>
            <w:vAlign w:val="center"/>
          </w:tcPr>
          <w:p>
            <w:pPr>
              <w:pStyle w:val="7"/>
              <w:spacing w:line="360" w:lineRule="auto"/>
              <w:rPr>
                <w:color w:val="auto"/>
                <w:sz w:val="21"/>
                <w:szCs w:val="21"/>
                <w:highlight w:val="none"/>
              </w:rPr>
            </w:pPr>
            <w:r>
              <w:rPr>
                <w:rFonts w:hint="eastAsia"/>
                <w:color w:val="auto"/>
                <w:sz w:val="21"/>
                <w:szCs w:val="21"/>
                <w:highlight w:val="none"/>
              </w:rPr>
              <w:t>工作内容</w:t>
            </w:r>
          </w:p>
        </w:tc>
        <w:tc>
          <w:tcPr>
            <w:tcW w:w="1107" w:type="dxa"/>
            <w:noWrap w:val="0"/>
            <w:vAlign w:val="top"/>
          </w:tcPr>
          <w:p>
            <w:pPr>
              <w:pStyle w:val="7"/>
              <w:spacing w:line="360" w:lineRule="auto"/>
              <w:rPr>
                <w:color w:val="auto"/>
                <w:sz w:val="21"/>
                <w:szCs w:val="21"/>
                <w:highlight w:val="none"/>
              </w:rPr>
            </w:pPr>
            <w:r>
              <w:rPr>
                <w:rFonts w:hint="eastAsia"/>
                <w:color w:val="auto"/>
                <w:sz w:val="21"/>
                <w:szCs w:val="21"/>
                <w:highlight w:val="none"/>
              </w:rPr>
              <w:t>收费基数</w:t>
            </w:r>
          </w:p>
        </w:tc>
        <w:tc>
          <w:tcPr>
            <w:tcW w:w="1762" w:type="dxa"/>
            <w:noWrap w:val="0"/>
            <w:vAlign w:val="top"/>
          </w:tcPr>
          <w:p>
            <w:pPr>
              <w:pStyle w:val="7"/>
              <w:spacing w:line="360" w:lineRule="auto"/>
              <w:rPr>
                <w:color w:val="auto"/>
                <w:sz w:val="21"/>
                <w:szCs w:val="21"/>
                <w:highlight w:val="none"/>
              </w:rPr>
            </w:pPr>
            <w:r>
              <w:rPr>
                <w:rFonts w:hint="eastAsia"/>
                <w:color w:val="auto"/>
                <w:sz w:val="21"/>
                <w:szCs w:val="21"/>
                <w:highlight w:val="none"/>
              </w:rPr>
              <w:t>收费标准（比例）</w:t>
            </w:r>
          </w:p>
        </w:tc>
        <w:tc>
          <w:tcPr>
            <w:tcW w:w="1542" w:type="dxa"/>
            <w:noWrap w:val="0"/>
            <w:vAlign w:val="top"/>
          </w:tcPr>
          <w:p>
            <w:pPr>
              <w:pStyle w:val="7"/>
              <w:rPr>
                <w:color w:val="auto"/>
                <w:sz w:val="21"/>
                <w:szCs w:val="21"/>
                <w:highlight w:val="none"/>
              </w:rPr>
            </w:pPr>
            <w:r>
              <w:rPr>
                <w:rFonts w:hint="eastAsia"/>
                <w:color w:val="auto"/>
                <w:sz w:val="21"/>
                <w:szCs w:val="21"/>
                <w:highlight w:val="none"/>
              </w:rPr>
              <w:t>酬金数额（单位：万元）</w:t>
            </w:r>
          </w:p>
        </w:tc>
        <w:tc>
          <w:tcPr>
            <w:tcW w:w="1163" w:type="dxa"/>
            <w:noWrap w:val="0"/>
            <w:vAlign w:val="top"/>
          </w:tcPr>
          <w:p>
            <w:pPr>
              <w:pStyle w:val="7"/>
              <w:spacing w:line="360" w:lineRule="auto"/>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restart"/>
            <w:noWrap w:val="0"/>
            <w:vAlign w:val="center"/>
          </w:tcPr>
          <w:p>
            <w:pPr>
              <w:pStyle w:val="7"/>
              <w:spacing w:line="360" w:lineRule="auto"/>
              <w:rPr>
                <w:color w:val="auto"/>
                <w:sz w:val="21"/>
                <w:szCs w:val="21"/>
                <w:highlight w:val="none"/>
              </w:rPr>
            </w:pPr>
            <w:r>
              <w:rPr>
                <w:rFonts w:hint="eastAsia"/>
                <w:color w:val="auto"/>
                <w:sz w:val="21"/>
                <w:szCs w:val="21"/>
                <w:highlight w:val="none"/>
              </w:rPr>
              <w:t>决策阶段</w:t>
            </w:r>
          </w:p>
        </w:tc>
        <w:tc>
          <w:tcPr>
            <w:tcW w:w="1612" w:type="dxa"/>
            <w:noWrap w:val="0"/>
            <w:vAlign w:val="center"/>
          </w:tcPr>
          <w:p>
            <w:pPr>
              <w:spacing w:line="360" w:lineRule="auto"/>
              <w:rPr>
                <w:color w:val="auto"/>
                <w:sz w:val="21"/>
                <w:szCs w:val="21"/>
                <w:highlight w:val="none"/>
              </w:rPr>
            </w:pPr>
            <w:r>
              <w:rPr>
                <w:rFonts w:hint="eastAsia"/>
                <w:color w:val="auto"/>
                <w:sz w:val="21"/>
                <w:szCs w:val="21"/>
                <w:highlight w:val="none"/>
              </w:rPr>
              <w:t>投资估算</w:t>
            </w:r>
          </w:p>
        </w:tc>
        <w:tc>
          <w:tcPr>
            <w:tcW w:w="2175" w:type="dxa"/>
            <w:noWrap w:val="0"/>
            <w:vAlign w:val="top"/>
          </w:tcPr>
          <w:p>
            <w:pPr>
              <w:spacing w:line="360" w:lineRule="auto"/>
              <w:rPr>
                <w:color w:val="auto"/>
                <w:sz w:val="21"/>
                <w:szCs w:val="21"/>
                <w:highlight w:val="none"/>
              </w:rPr>
            </w:pPr>
            <w:r>
              <w:rPr>
                <w:rFonts w:hint="eastAsia"/>
                <w:color w:val="auto"/>
                <w:sz w:val="21"/>
                <w:szCs w:val="21"/>
                <w:highlight w:val="none"/>
              </w:rPr>
              <w:t>□编制□审核□调整</w:t>
            </w:r>
          </w:p>
        </w:tc>
        <w:tc>
          <w:tcPr>
            <w:tcW w:w="1107" w:type="dxa"/>
            <w:noWrap w:val="0"/>
            <w:vAlign w:val="top"/>
          </w:tcPr>
          <w:p>
            <w:pPr>
              <w:spacing w:line="360" w:lineRule="auto"/>
              <w:rPr>
                <w:color w:val="auto"/>
                <w:sz w:val="21"/>
                <w:szCs w:val="21"/>
                <w:highlight w:val="none"/>
              </w:rPr>
            </w:pPr>
          </w:p>
        </w:tc>
        <w:tc>
          <w:tcPr>
            <w:tcW w:w="1762" w:type="dxa"/>
            <w:noWrap w:val="0"/>
            <w:vAlign w:val="top"/>
          </w:tcPr>
          <w:p>
            <w:pPr>
              <w:spacing w:line="360" w:lineRule="auto"/>
              <w:rPr>
                <w:color w:val="auto"/>
                <w:sz w:val="21"/>
                <w:szCs w:val="21"/>
                <w:highlight w:val="none"/>
              </w:rPr>
            </w:pPr>
          </w:p>
        </w:tc>
        <w:tc>
          <w:tcPr>
            <w:tcW w:w="1542" w:type="dxa"/>
            <w:noWrap w:val="0"/>
            <w:vAlign w:val="top"/>
          </w:tcPr>
          <w:p>
            <w:pPr>
              <w:spacing w:line="360" w:lineRule="auto"/>
              <w:rPr>
                <w:color w:val="auto"/>
                <w:sz w:val="21"/>
                <w:szCs w:val="21"/>
                <w:highlight w:val="none"/>
              </w:rPr>
            </w:pPr>
          </w:p>
        </w:tc>
        <w:tc>
          <w:tcPr>
            <w:tcW w:w="1163" w:type="dxa"/>
            <w:noWrap w:val="0"/>
            <w:vAlign w:val="top"/>
          </w:tcPr>
          <w:p>
            <w:pPr>
              <w:spacing w:line="360" w:lineRule="auto"/>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noWrap w:val="0"/>
            <w:vAlign w:val="center"/>
          </w:tcPr>
          <w:p>
            <w:pPr>
              <w:pStyle w:val="7"/>
              <w:spacing w:line="360" w:lineRule="auto"/>
              <w:jc w:val="center"/>
              <w:rPr>
                <w:color w:val="auto"/>
                <w:sz w:val="21"/>
                <w:szCs w:val="21"/>
                <w:highlight w:val="none"/>
              </w:rPr>
            </w:pPr>
          </w:p>
        </w:tc>
        <w:tc>
          <w:tcPr>
            <w:tcW w:w="1612" w:type="dxa"/>
            <w:noWrap w:val="0"/>
            <w:vAlign w:val="center"/>
          </w:tcPr>
          <w:p>
            <w:pPr>
              <w:spacing w:line="360" w:lineRule="auto"/>
              <w:rPr>
                <w:color w:val="auto"/>
                <w:sz w:val="21"/>
                <w:szCs w:val="21"/>
                <w:highlight w:val="none"/>
              </w:rPr>
            </w:pPr>
            <w:r>
              <w:rPr>
                <w:rFonts w:hint="eastAsia"/>
                <w:color w:val="auto"/>
                <w:sz w:val="21"/>
                <w:szCs w:val="21"/>
                <w:highlight w:val="none"/>
              </w:rPr>
              <w:t>经济评价</w:t>
            </w:r>
          </w:p>
        </w:tc>
        <w:tc>
          <w:tcPr>
            <w:tcW w:w="2175" w:type="dxa"/>
            <w:noWrap w:val="0"/>
            <w:vAlign w:val="top"/>
          </w:tcPr>
          <w:p>
            <w:pPr>
              <w:spacing w:line="360" w:lineRule="auto"/>
              <w:rPr>
                <w:color w:val="auto"/>
                <w:sz w:val="21"/>
                <w:szCs w:val="21"/>
                <w:highlight w:val="none"/>
              </w:rPr>
            </w:pPr>
            <w:r>
              <w:rPr>
                <w:rFonts w:hint="eastAsia"/>
                <w:color w:val="auto"/>
                <w:sz w:val="21"/>
                <w:szCs w:val="21"/>
                <w:highlight w:val="none"/>
              </w:rPr>
              <w:t>□编制□审核□调整</w:t>
            </w:r>
          </w:p>
        </w:tc>
        <w:tc>
          <w:tcPr>
            <w:tcW w:w="1107" w:type="dxa"/>
            <w:noWrap w:val="0"/>
            <w:vAlign w:val="top"/>
          </w:tcPr>
          <w:p>
            <w:pPr>
              <w:spacing w:line="360" w:lineRule="auto"/>
              <w:rPr>
                <w:color w:val="auto"/>
                <w:sz w:val="21"/>
                <w:szCs w:val="21"/>
                <w:highlight w:val="none"/>
              </w:rPr>
            </w:pPr>
          </w:p>
        </w:tc>
        <w:tc>
          <w:tcPr>
            <w:tcW w:w="1762" w:type="dxa"/>
            <w:noWrap w:val="0"/>
            <w:vAlign w:val="top"/>
          </w:tcPr>
          <w:p>
            <w:pPr>
              <w:spacing w:line="360" w:lineRule="auto"/>
              <w:rPr>
                <w:color w:val="auto"/>
                <w:sz w:val="21"/>
                <w:szCs w:val="21"/>
                <w:highlight w:val="none"/>
              </w:rPr>
            </w:pPr>
          </w:p>
        </w:tc>
        <w:tc>
          <w:tcPr>
            <w:tcW w:w="1542" w:type="dxa"/>
            <w:noWrap w:val="0"/>
            <w:vAlign w:val="top"/>
          </w:tcPr>
          <w:p>
            <w:pPr>
              <w:spacing w:line="360" w:lineRule="auto"/>
              <w:rPr>
                <w:color w:val="auto"/>
                <w:sz w:val="21"/>
                <w:szCs w:val="21"/>
                <w:highlight w:val="none"/>
              </w:rPr>
            </w:pPr>
          </w:p>
        </w:tc>
        <w:tc>
          <w:tcPr>
            <w:tcW w:w="1163" w:type="dxa"/>
            <w:noWrap w:val="0"/>
            <w:vAlign w:val="top"/>
          </w:tcPr>
          <w:p>
            <w:pPr>
              <w:spacing w:line="360" w:lineRule="auto"/>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noWrap w:val="0"/>
            <w:vAlign w:val="center"/>
          </w:tcPr>
          <w:p>
            <w:pPr>
              <w:pStyle w:val="7"/>
              <w:spacing w:line="360" w:lineRule="auto"/>
              <w:jc w:val="center"/>
              <w:rPr>
                <w:color w:val="auto"/>
                <w:sz w:val="21"/>
                <w:szCs w:val="21"/>
                <w:highlight w:val="none"/>
              </w:rPr>
            </w:pPr>
          </w:p>
        </w:tc>
        <w:tc>
          <w:tcPr>
            <w:tcW w:w="1612" w:type="dxa"/>
            <w:noWrap w:val="0"/>
            <w:vAlign w:val="center"/>
          </w:tcPr>
          <w:p>
            <w:pPr>
              <w:spacing w:line="360" w:lineRule="auto"/>
              <w:rPr>
                <w:color w:val="auto"/>
                <w:sz w:val="21"/>
                <w:szCs w:val="21"/>
                <w:highlight w:val="none"/>
              </w:rPr>
            </w:pPr>
            <w:r>
              <w:rPr>
                <w:rFonts w:hint="eastAsia"/>
                <w:color w:val="auto"/>
                <w:sz w:val="21"/>
                <w:szCs w:val="21"/>
                <w:highlight w:val="none"/>
              </w:rPr>
              <w:t>其他：</w:t>
            </w:r>
          </w:p>
        </w:tc>
        <w:tc>
          <w:tcPr>
            <w:tcW w:w="2175" w:type="dxa"/>
            <w:noWrap w:val="0"/>
            <w:vAlign w:val="top"/>
          </w:tcPr>
          <w:p>
            <w:pPr>
              <w:spacing w:line="360" w:lineRule="auto"/>
              <w:rPr>
                <w:color w:val="auto"/>
                <w:sz w:val="21"/>
                <w:szCs w:val="21"/>
                <w:highlight w:val="none"/>
              </w:rPr>
            </w:pPr>
          </w:p>
        </w:tc>
        <w:tc>
          <w:tcPr>
            <w:tcW w:w="1107" w:type="dxa"/>
            <w:noWrap w:val="0"/>
            <w:vAlign w:val="top"/>
          </w:tcPr>
          <w:p>
            <w:pPr>
              <w:spacing w:line="360" w:lineRule="auto"/>
              <w:rPr>
                <w:color w:val="auto"/>
                <w:sz w:val="21"/>
                <w:szCs w:val="21"/>
                <w:highlight w:val="none"/>
              </w:rPr>
            </w:pPr>
          </w:p>
        </w:tc>
        <w:tc>
          <w:tcPr>
            <w:tcW w:w="1762" w:type="dxa"/>
            <w:noWrap w:val="0"/>
            <w:vAlign w:val="top"/>
          </w:tcPr>
          <w:p>
            <w:pPr>
              <w:spacing w:line="360" w:lineRule="auto"/>
              <w:rPr>
                <w:color w:val="auto"/>
                <w:sz w:val="21"/>
                <w:szCs w:val="21"/>
                <w:highlight w:val="none"/>
              </w:rPr>
            </w:pPr>
          </w:p>
        </w:tc>
        <w:tc>
          <w:tcPr>
            <w:tcW w:w="1542" w:type="dxa"/>
            <w:noWrap w:val="0"/>
            <w:vAlign w:val="top"/>
          </w:tcPr>
          <w:p>
            <w:pPr>
              <w:spacing w:line="360" w:lineRule="auto"/>
              <w:rPr>
                <w:color w:val="auto"/>
                <w:sz w:val="21"/>
                <w:szCs w:val="21"/>
                <w:highlight w:val="none"/>
              </w:rPr>
            </w:pPr>
          </w:p>
        </w:tc>
        <w:tc>
          <w:tcPr>
            <w:tcW w:w="1163" w:type="dxa"/>
            <w:noWrap w:val="0"/>
            <w:vAlign w:val="top"/>
          </w:tcPr>
          <w:p>
            <w:pPr>
              <w:spacing w:line="360" w:lineRule="auto"/>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restart"/>
            <w:noWrap w:val="0"/>
            <w:vAlign w:val="center"/>
          </w:tcPr>
          <w:p>
            <w:pPr>
              <w:pStyle w:val="7"/>
              <w:spacing w:line="360" w:lineRule="auto"/>
              <w:rPr>
                <w:color w:val="auto"/>
                <w:sz w:val="21"/>
                <w:szCs w:val="21"/>
                <w:highlight w:val="none"/>
              </w:rPr>
            </w:pPr>
            <w:r>
              <w:rPr>
                <w:rFonts w:hint="eastAsia"/>
                <w:color w:val="auto"/>
                <w:sz w:val="21"/>
                <w:szCs w:val="21"/>
                <w:highlight w:val="none"/>
              </w:rPr>
              <w:t>设计阶段</w:t>
            </w:r>
          </w:p>
        </w:tc>
        <w:tc>
          <w:tcPr>
            <w:tcW w:w="1612" w:type="dxa"/>
            <w:noWrap w:val="0"/>
            <w:vAlign w:val="top"/>
          </w:tcPr>
          <w:p>
            <w:pPr>
              <w:spacing w:line="240" w:lineRule="auto"/>
              <w:rPr>
                <w:color w:val="auto"/>
                <w:sz w:val="21"/>
                <w:szCs w:val="21"/>
                <w:highlight w:val="none"/>
              </w:rPr>
            </w:pPr>
            <w:r>
              <w:rPr>
                <w:rFonts w:hint="eastAsia"/>
                <w:color w:val="auto"/>
                <w:sz w:val="21"/>
                <w:szCs w:val="21"/>
                <w:highlight w:val="none"/>
              </w:rPr>
              <w:t>设计概算</w:t>
            </w:r>
          </w:p>
        </w:tc>
        <w:tc>
          <w:tcPr>
            <w:tcW w:w="2175" w:type="dxa"/>
            <w:noWrap w:val="0"/>
            <w:vAlign w:val="top"/>
          </w:tcPr>
          <w:p>
            <w:pPr>
              <w:spacing w:line="360" w:lineRule="auto"/>
              <w:rPr>
                <w:color w:val="auto"/>
                <w:sz w:val="21"/>
                <w:szCs w:val="21"/>
                <w:highlight w:val="none"/>
              </w:rPr>
            </w:pPr>
            <w:r>
              <w:rPr>
                <w:rFonts w:hint="eastAsia"/>
                <w:color w:val="auto"/>
                <w:sz w:val="21"/>
                <w:szCs w:val="21"/>
                <w:highlight w:val="none"/>
              </w:rPr>
              <w:t>□编制□审核□调整</w:t>
            </w:r>
          </w:p>
        </w:tc>
        <w:tc>
          <w:tcPr>
            <w:tcW w:w="1107" w:type="dxa"/>
            <w:noWrap w:val="0"/>
            <w:vAlign w:val="top"/>
          </w:tcPr>
          <w:p>
            <w:pPr>
              <w:spacing w:line="360" w:lineRule="auto"/>
              <w:rPr>
                <w:color w:val="auto"/>
                <w:sz w:val="21"/>
                <w:szCs w:val="21"/>
                <w:highlight w:val="none"/>
              </w:rPr>
            </w:pPr>
          </w:p>
        </w:tc>
        <w:tc>
          <w:tcPr>
            <w:tcW w:w="1762" w:type="dxa"/>
            <w:noWrap w:val="0"/>
            <w:vAlign w:val="top"/>
          </w:tcPr>
          <w:p>
            <w:pPr>
              <w:spacing w:line="360" w:lineRule="auto"/>
              <w:rPr>
                <w:color w:val="auto"/>
                <w:sz w:val="21"/>
                <w:szCs w:val="21"/>
                <w:highlight w:val="none"/>
              </w:rPr>
            </w:pPr>
          </w:p>
        </w:tc>
        <w:tc>
          <w:tcPr>
            <w:tcW w:w="1542" w:type="dxa"/>
            <w:noWrap w:val="0"/>
            <w:vAlign w:val="top"/>
          </w:tcPr>
          <w:p>
            <w:pPr>
              <w:spacing w:line="360" w:lineRule="auto"/>
              <w:rPr>
                <w:color w:val="auto"/>
                <w:sz w:val="21"/>
                <w:szCs w:val="21"/>
                <w:highlight w:val="none"/>
              </w:rPr>
            </w:pPr>
          </w:p>
        </w:tc>
        <w:tc>
          <w:tcPr>
            <w:tcW w:w="1163" w:type="dxa"/>
            <w:noWrap w:val="0"/>
            <w:vAlign w:val="top"/>
          </w:tcPr>
          <w:p>
            <w:pPr>
              <w:spacing w:line="360" w:lineRule="auto"/>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noWrap w:val="0"/>
            <w:vAlign w:val="center"/>
          </w:tcPr>
          <w:p>
            <w:pPr>
              <w:pStyle w:val="7"/>
              <w:spacing w:line="360" w:lineRule="auto"/>
              <w:jc w:val="center"/>
              <w:rPr>
                <w:color w:val="auto"/>
                <w:sz w:val="21"/>
                <w:szCs w:val="21"/>
                <w:highlight w:val="none"/>
              </w:rPr>
            </w:pPr>
          </w:p>
        </w:tc>
        <w:tc>
          <w:tcPr>
            <w:tcW w:w="1612" w:type="dxa"/>
            <w:noWrap w:val="0"/>
            <w:vAlign w:val="top"/>
          </w:tcPr>
          <w:p>
            <w:pPr>
              <w:spacing w:line="240" w:lineRule="auto"/>
              <w:rPr>
                <w:color w:val="auto"/>
                <w:sz w:val="21"/>
                <w:szCs w:val="21"/>
                <w:highlight w:val="none"/>
              </w:rPr>
            </w:pPr>
            <w:r>
              <w:rPr>
                <w:rFonts w:hint="eastAsia"/>
                <w:color w:val="auto"/>
                <w:sz w:val="21"/>
                <w:szCs w:val="21"/>
                <w:highlight w:val="none"/>
              </w:rPr>
              <w:t>施工图预算</w:t>
            </w:r>
          </w:p>
        </w:tc>
        <w:tc>
          <w:tcPr>
            <w:tcW w:w="2175" w:type="dxa"/>
            <w:noWrap w:val="0"/>
            <w:vAlign w:val="top"/>
          </w:tcPr>
          <w:p>
            <w:pPr>
              <w:spacing w:line="360" w:lineRule="auto"/>
              <w:rPr>
                <w:color w:val="auto"/>
                <w:sz w:val="21"/>
                <w:szCs w:val="21"/>
                <w:highlight w:val="none"/>
              </w:rPr>
            </w:pPr>
            <w:r>
              <w:rPr>
                <w:rFonts w:hint="eastAsia"/>
                <w:color w:val="auto"/>
                <w:sz w:val="21"/>
                <w:szCs w:val="21"/>
                <w:highlight w:val="none"/>
              </w:rPr>
              <w:t>□编制□审核□调整</w:t>
            </w:r>
          </w:p>
        </w:tc>
        <w:tc>
          <w:tcPr>
            <w:tcW w:w="1107" w:type="dxa"/>
            <w:noWrap w:val="0"/>
            <w:vAlign w:val="top"/>
          </w:tcPr>
          <w:p>
            <w:pPr>
              <w:spacing w:line="360" w:lineRule="auto"/>
              <w:rPr>
                <w:color w:val="auto"/>
                <w:sz w:val="21"/>
                <w:szCs w:val="21"/>
                <w:highlight w:val="none"/>
              </w:rPr>
            </w:pPr>
          </w:p>
        </w:tc>
        <w:tc>
          <w:tcPr>
            <w:tcW w:w="1762" w:type="dxa"/>
            <w:noWrap w:val="0"/>
            <w:vAlign w:val="top"/>
          </w:tcPr>
          <w:p>
            <w:pPr>
              <w:spacing w:line="360" w:lineRule="auto"/>
              <w:rPr>
                <w:color w:val="auto"/>
                <w:sz w:val="21"/>
                <w:szCs w:val="21"/>
                <w:highlight w:val="none"/>
              </w:rPr>
            </w:pPr>
          </w:p>
        </w:tc>
        <w:tc>
          <w:tcPr>
            <w:tcW w:w="1542" w:type="dxa"/>
            <w:noWrap w:val="0"/>
            <w:vAlign w:val="top"/>
          </w:tcPr>
          <w:p>
            <w:pPr>
              <w:spacing w:line="360" w:lineRule="auto"/>
              <w:rPr>
                <w:color w:val="auto"/>
                <w:sz w:val="21"/>
                <w:szCs w:val="21"/>
                <w:highlight w:val="none"/>
              </w:rPr>
            </w:pPr>
          </w:p>
        </w:tc>
        <w:tc>
          <w:tcPr>
            <w:tcW w:w="1163" w:type="dxa"/>
            <w:noWrap w:val="0"/>
            <w:vAlign w:val="top"/>
          </w:tcPr>
          <w:p>
            <w:pPr>
              <w:spacing w:line="360" w:lineRule="auto"/>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noWrap w:val="0"/>
            <w:vAlign w:val="center"/>
          </w:tcPr>
          <w:p>
            <w:pPr>
              <w:pStyle w:val="7"/>
              <w:spacing w:line="360" w:lineRule="auto"/>
              <w:jc w:val="center"/>
              <w:rPr>
                <w:color w:val="auto"/>
                <w:sz w:val="21"/>
                <w:szCs w:val="21"/>
                <w:highlight w:val="none"/>
              </w:rPr>
            </w:pPr>
          </w:p>
        </w:tc>
        <w:tc>
          <w:tcPr>
            <w:tcW w:w="1612" w:type="dxa"/>
            <w:noWrap w:val="0"/>
            <w:vAlign w:val="top"/>
          </w:tcPr>
          <w:p>
            <w:pPr>
              <w:spacing w:line="240" w:lineRule="auto"/>
              <w:rPr>
                <w:color w:val="auto"/>
                <w:sz w:val="21"/>
                <w:szCs w:val="21"/>
                <w:highlight w:val="none"/>
              </w:rPr>
            </w:pPr>
            <w:r>
              <w:rPr>
                <w:rFonts w:hint="eastAsia"/>
                <w:color w:val="auto"/>
                <w:sz w:val="21"/>
                <w:szCs w:val="21"/>
                <w:highlight w:val="none"/>
              </w:rPr>
              <w:t>其他：</w:t>
            </w:r>
          </w:p>
        </w:tc>
        <w:tc>
          <w:tcPr>
            <w:tcW w:w="2175" w:type="dxa"/>
            <w:noWrap w:val="0"/>
            <w:vAlign w:val="top"/>
          </w:tcPr>
          <w:p>
            <w:pPr>
              <w:spacing w:line="360" w:lineRule="auto"/>
              <w:rPr>
                <w:color w:val="auto"/>
                <w:sz w:val="21"/>
                <w:szCs w:val="21"/>
                <w:highlight w:val="none"/>
              </w:rPr>
            </w:pPr>
          </w:p>
        </w:tc>
        <w:tc>
          <w:tcPr>
            <w:tcW w:w="1107" w:type="dxa"/>
            <w:noWrap w:val="0"/>
            <w:vAlign w:val="top"/>
          </w:tcPr>
          <w:p>
            <w:pPr>
              <w:spacing w:line="360" w:lineRule="auto"/>
              <w:rPr>
                <w:color w:val="auto"/>
                <w:sz w:val="21"/>
                <w:szCs w:val="21"/>
                <w:highlight w:val="none"/>
              </w:rPr>
            </w:pPr>
          </w:p>
        </w:tc>
        <w:tc>
          <w:tcPr>
            <w:tcW w:w="1762" w:type="dxa"/>
            <w:noWrap w:val="0"/>
            <w:vAlign w:val="top"/>
          </w:tcPr>
          <w:p>
            <w:pPr>
              <w:spacing w:line="360" w:lineRule="auto"/>
              <w:rPr>
                <w:color w:val="auto"/>
                <w:sz w:val="21"/>
                <w:szCs w:val="21"/>
                <w:highlight w:val="none"/>
              </w:rPr>
            </w:pPr>
          </w:p>
        </w:tc>
        <w:tc>
          <w:tcPr>
            <w:tcW w:w="1542" w:type="dxa"/>
            <w:noWrap w:val="0"/>
            <w:vAlign w:val="top"/>
          </w:tcPr>
          <w:p>
            <w:pPr>
              <w:spacing w:line="360" w:lineRule="auto"/>
              <w:rPr>
                <w:color w:val="auto"/>
                <w:sz w:val="21"/>
                <w:szCs w:val="21"/>
                <w:highlight w:val="none"/>
              </w:rPr>
            </w:pPr>
          </w:p>
        </w:tc>
        <w:tc>
          <w:tcPr>
            <w:tcW w:w="1163" w:type="dxa"/>
            <w:noWrap w:val="0"/>
            <w:vAlign w:val="top"/>
          </w:tcPr>
          <w:p>
            <w:pPr>
              <w:spacing w:line="360" w:lineRule="auto"/>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restart"/>
            <w:noWrap w:val="0"/>
            <w:vAlign w:val="center"/>
          </w:tcPr>
          <w:p>
            <w:pPr>
              <w:spacing w:line="360" w:lineRule="auto"/>
              <w:rPr>
                <w:color w:val="auto"/>
                <w:sz w:val="21"/>
                <w:szCs w:val="21"/>
                <w:highlight w:val="none"/>
              </w:rPr>
            </w:pPr>
            <w:r>
              <w:rPr>
                <w:rFonts w:hint="eastAsia"/>
                <w:color w:val="auto"/>
                <w:sz w:val="21"/>
                <w:szCs w:val="21"/>
                <w:highlight w:val="none"/>
              </w:rPr>
              <w:t>发承包阶段</w:t>
            </w:r>
          </w:p>
        </w:tc>
        <w:tc>
          <w:tcPr>
            <w:tcW w:w="1612" w:type="dxa"/>
            <w:noWrap w:val="0"/>
            <w:vAlign w:val="top"/>
          </w:tcPr>
          <w:p>
            <w:pPr>
              <w:spacing w:line="240" w:lineRule="auto"/>
              <w:rPr>
                <w:color w:val="auto"/>
                <w:sz w:val="21"/>
                <w:szCs w:val="21"/>
                <w:highlight w:val="none"/>
              </w:rPr>
            </w:pPr>
            <w:r>
              <w:rPr>
                <w:rFonts w:hint="eastAsia"/>
                <w:color w:val="auto"/>
                <w:sz w:val="21"/>
                <w:szCs w:val="21"/>
                <w:highlight w:val="none"/>
              </w:rPr>
              <w:t>工程量清单</w:t>
            </w:r>
          </w:p>
        </w:tc>
        <w:tc>
          <w:tcPr>
            <w:tcW w:w="2175" w:type="dxa"/>
            <w:noWrap w:val="0"/>
            <w:vAlign w:val="top"/>
          </w:tcPr>
          <w:p>
            <w:pPr>
              <w:spacing w:line="360" w:lineRule="auto"/>
              <w:rPr>
                <w:color w:val="auto"/>
                <w:sz w:val="21"/>
                <w:szCs w:val="21"/>
                <w:highlight w:val="none"/>
              </w:rPr>
            </w:pPr>
            <w:r>
              <w:rPr>
                <w:rFonts w:hint="eastAsia"/>
                <w:color w:val="auto"/>
                <w:sz w:val="21"/>
                <w:szCs w:val="21"/>
                <w:highlight w:val="none"/>
              </w:rPr>
              <w:t>□编制□审核□调整</w:t>
            </w:r>
          </w:p>
        </w:tc>
        <w:tc>
          <w:tcPr>
            <w:tcW w:w="1107" w:type="dxa"/>
            <w:noWrap w:val="0"/>
            <w:vAlign w:val="top"/>
          </w:tcPr>
          <w:p>
            <w:pPr>
              <w:spacing w:line="360" w:lineRule="auto"/>
              <w:rPr>
                <w:color w:val="auto"/>
                <w:sz w:val="21"/>
                <w:szCs w:val="21"/>
                <w:highlight w:val="none"/>
              </w:rPr>
            </w:pPr>
          </w:p>
        </w:tc>
        <w:tc>
          <w:tcPr>
            <w:tcW w:w="1762" w:type="dxa"/>
            <w:noWrap w:val="0"/>
            <w:vAlign w:val="top"/>
          </w:tcPr>
          <w:p>
            <w:pPr>
              <w:spacing w:line="360" w:lineRule="auto"/>
              <w:rPr>
                <w:color w:val="auto"/>
                <w:sz w:val="21"/>
                <w:szCs w:val="21"/>
                <w:highlight w:val="none"/>
              </w:rPr>
            </w:pPr>
          </w:p>
        </w:tc>
        <w:tc>
          <w:tcPr>
            <w:tcW w:w="1542" w:type="dxa"/>
            <w:noWrap w:val="0"/>
            <w:vAlign w:val="top"/>
          </w:tcPr>
          <w:p>
            <w:pPr>
              <w:spacing w:line="360" w:lineRule="auto"/>
              <w:rPr>
                <w:color w:val="auto"/>
                <w:sz w:val="21"/>
                <w:szCs w:val="21"/>
                <w:highlight w:val="none"/>
              </w:rPr>
            </w:pPr>
          </w:p>
        </w:tc>
        <w:tc>
          <w:tcPr>
            <w:tcW w:w="1163" w:type="dxa"/>
            <w:noWrap w:val="0"/>
            <w:vAlign w:val="top"/>
          </w:tcPr>
          <w:p>
            <w:pPr>
              <w:spacing w:line="360" w:lineRule="auto"/>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noWrap w:val="0"/>
            <w:vAlign w:val="top"/>
          </w:tcPr>
          <w:p>
            <w:pPr>
              <w:spacing w:line="360" w:lineRule="auto"/>
              <w:jc w:val="center"/>
              <w:rPr>
                <w:color w:val="auto"/>
                <w:sz w:val="21"/>
                <w:szCs w:val="21"/>
                <w:highlight w:val="none"/>
              </w:rPr>
            </w:pPr>
          </w:p>
        </w:tc>
        <w:tc>
          <w:tcPr>
            <w:tcW w:w="1612" w:type="dxa"/>
            <w:noWrap w:val="0"/>
            <w:vAlign w:val="top"/>
          </w:tcPr>
          <w:p>
            <w:pPr>
              <w:spacing w:line="240" w:lineRule="auto"/>
              <w:rPr>
                <w:color w:val="auto"/>
                <w:sz w:val="21"/>
                <w:szCs w:val="21"/>
                <w:highlight w:val="none"/>
              </w:rPr>
            </w:pPr>
            <w:r>
              <w:rPr>
                <w:rFonts w:hint="eastAsia"/>
                <w:color w:val="auto"/>
                <w:sz w:val="21"/>
                <w:szCs w:val="21"/>
                <w:highlight w:val="none"/>
              </w:rPr>
              <w:t>最高投标限价</w:t>
            </w:r>
          </w:p>
        </w:tc>
        <w:tc>
          <w:tcPr>
            <w:tcW w:w="2175" w:type="dxa"/>
            <w:noWrap w:val="0"/>
            <w:vAlign w:val="top"/>
          </w:tcPr>
          <w:p>
            <w:pPr>
              <w:spacing w:line="360" w:lineRule="auto"/>
              <w:rPr>
                <w:color w:val="auto"/>
                <w:sz w:val="21"/>
                <w:szCs w:val="21"/>
                <w:highlight w:val="none"/>
              </w:rPr>
            </w:pPr>
            <w:r>
              <w:rPr>
                <w:rFonts w:hint="eastAsia"/>
                <w:color w:val="auto"/>
                <w:sz w:val="21"/>
                <w:szCs w:val="21"/>
                <w:highlight w:val="none"/>
              </w:rPr>
              <w:t>□编制□审核□调整</w:t>
            </w:r>
          </w:p>
        </w:tc>
        <w:tc>
          <w:tcPr>
            <w:tcW w:w="1107" w:type="dxa"/>
            <w:noWrap w:val="0"/>
            <w:vAlign w:val="top"/>
          </w:tcPr>
          <w:p>
            <w:pPr>
              <w:spacing w:line="360" w:lineRule="auto"/>
              <w:rPr>
                <w:color w:val="auto"/>
                <w:sz w:val="21"/>
                <w:szCs w:val="21"/>
                <w:highlight w:val="none"/>
              </w:rPr>
            </w:pPr>
          </w:p>
        </w:tc>
        <w:tc>
          <w:tcPr>
            <w:tcW w:w="1762" w:type="dxa"/>
            <w:noWrap w:val="0"/>
            <w:vAlign w:val="top"/>
          </w:tcPr>
          <w:p>
            <w:pPr>
              <w:spacing w:line="360" w:lineRule="auto"/>
              <w:rPr>
                <w:color w:val="auto"/>
                <w:sz w:val="21"/>
                <w:szCs w:val="21"/>
                <w:highlight w:val="none"/>
              </w:rPr>
            </w:pPr>
          </w:p>
        </w:tc>
        <w:tc>
          <w:tcPr>
            <w:tcW w:w="1542" w:type="dxa"/>
            <w:noWrap w:val="0"/>
            <w:vAlign w:val="top"/>
          </w:tcPr>
          <w:p>
            <w:pPr>
              <w:spacing w:line="360" w:lineRule="auto"/>
              <w:rPr>
                <w:color w:val="auto"/>
                <w:sz w:val="21"/>
                <w:szCs w:val="21"/>
                <w:highlight w:val="none"/>
              </w:rPr>
            </w:pPr>
          </w:p>
        </w:tc>
        <w:tc>
          <w:tcPr>
            <w:tcW w:w="1163" w:type="dxa"/>
            <w:noWrap w:val="0"/>
            <w:vAlign w:val="top"/>
          </w:tcPr>
          <w:p>
            <w:pPr>
              <w:spacing w:line="360" w:lineRule="auto"/>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noWrap w:val="0"/>
            <w:vAlign w:val="top"/>
          </w:tcPr>
          <w:p>
            <w:pPr>
              <w:spacing w:line="360" w:lineRule="auto"/>
              <w:jc w:val="center"/>
              <w:rPr>
                <w:color w:val="auto"/>
                <w:sz w:val="21"/>
                <w:szCs w:val="21"/>
                <w:highlight w:val="none"/>
              </w:rPr>
            </w:pPr>
          </w:p>
        </w:tc>
        <w:tc>
          <w:tcPr>
            <w:tcW w:w="1612" w:type="dxa"/>
            <w:noWrap w:val="0"/>
            <w:vAlign w:val="top"/>
          </w:tcPr>
          <w:p>
            <w:pPr>
              <w:spacing w:line="240" w:lineRule="auto"/>
              <w:rPr>
                <w:color w:val="auto"/>
                <w:sz w:val="21"/>
                <w:szCs w:val="21"/>
                <w:highlight w:val="none"/>
              </w:rPr>
            </w:pPr>
            <w:r>
              <w:rPr>
                <w:rFonts w:hint="eastAsia"/>
                <w:color w:val="auto"/>
                <w:sz w:val="21"/>
                <w:szCs w:val="21"/>
                <w:highlight w:val="none"/>
              </w:rPr>
              <w:t>投标报价分析</w:t>
            </w:r>
          </w:p>
        </w:tc>
        <w:tc>
          <w:tcPr>
            <w:tcW w:w="2175" w:type="dxa"/>
            <w:noWrap w:val="0"/>
            <w:vAlign w:val="top"/>
          </w:tcPr>
          <w:p>
            <w:pPr>
              <w:spacing w:line="360" w:lineRule="auto"/>
              <w:rPr>
                <w:color w:val="auto"/>
                <w:sz w:val="21"/>
                <w:szCs w:val="21"/>
                <w:highlight w:val="none"/>
              </w:rPr>
            </w:pPr>
            <w:r>
              <w:rPr>
                <w:rFonts w:hint="eastAsia"/>
                <w:color w:val="auto"/>
                <w:sz w:val="21"/>
                <w:szCs w:val="21"/>
                <w:highlight w:val="none"/>
              </w:rPr>
              <w:t>□编制□审核□调整</w:t>
            </w:r>
          </w:p>
        </w:tc>
        <w:tc>
          <w:tcPr>
            <w:tcW w:w="1107" w:type="dxa"/>
            <w:noWrap w:val="0"/>
            <w:vAlign w:val="top"/>
          </w:tcPr>
          <w:p>
            <w:pPr>
              <w:spacing w:line="360" w:lineRule="auto"/>
              <w:rPr>
                <w:color w:val="auto"/>
                <w:sz w:val="21"/>
                <w:szCs w:val="21"/>
                <w:highlight w:val="none"/>
              </w:rPr>
            </w:pPr>
          </w:p>
        </w:tc>
        <w:tc>
          <w:tcPr>
            <w:tcW w:w="1762" w:type="dxa"/>
            <w:noWrap w:val="0"/>
            <w:vAlign w:val="top"/>
          </w:tcPr>
          <w:p>
            <w:pPr>
              <w:spacing w:line="360" w:lineRule="auto"/>
              <w:rPr>
                <w:color w:val="auto"/>
                <w:sz w:val="21"/>
                <w:szCs w:val="21"/>
                <w:highlight w:val="none"/>
              </w:rPr>
            </w:pPr>
          </w:p>
        </w:tc>
        <w:tc>
          <w:tcPr>
            <w:tcW w:w="1542" w:type="dxa"/>
            <w:noWrap w:val="0"/>
            <w:vAlign w:val="top"/>
          </w:tcPr>
          <w:p>
            <w:pPr>
              <w:spacing w:line="360" w:lineRule="auto"/>
              <w:rPr>
                <w:color w:val="auto"/>
                <w:sz w:val="21"/>
                <w:szCs w:val="21"/>
                <w:highlight w:val="none"/>
              </w:rPr>
            </w:pPr>
          </w:p>
        </w:tc>
        <w:tc>
          <w:tcPr>
            <w:tcW w:w="1163" w:type="dxa"/>
            <w:noWrap w:val="0"/>
            <w:vAlign w:val="top"/>
          </w:tcPr>
          <w:p>
            <w:pPr>
              <w:spacing w:line="360" w:lineRule="auto"/>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08" w:type="dxa"/>
            <w:vMerge w:val="continue"/>
            <w:noWrap w:val="0"/>
            <w:vAlign w:val="top"/>
          </w:tcPr>
          <w:p>
            <w:pPr>
              <w:spacing w:line="360" w:lineRule="auto"/>
              <w:jc w:val="center"/>
              <w:rPr>
                <w:color w:val="auto"/>
                <w:sz w:val="21"/>
                <w:szCs w:val="21"/>
                <w:highlight w:val="none"/>
              </w:rPr>
            </w:pPr>
          </w:p>
        </w:tc>
        <w:tc>
          <w:tcPr>
            <w:tcW w:w="1612" w:type="dxa"/>
            <w:noWrap w:val="0"/>
            <w:vAlign w:val="top"/>
          </w:tcPr>
          <w:p>
            <w:pPr>
              <w:spacing w:line="240" w:lineRule="auto"/>
              <w:rPr>
                <w:color w:val="auto"/>
                <w:sz w:val="21"/>
                <w:szCs w:val="21"/>
                <w:highlight w:val="none"/>
              </w:rPr>
            </w:pPr>
            <w:r>
              <w:rPr>
                <w:rFonts w:hint="eastAsia"/>
                <w:color w:val="auto"/>
                <w:sz w:val="21"/>
                <w:szCs w:val="21"/>
                <w:highlight w:val="none"/>
              </w:rPr>
              <w:t>清标报告</w:t>
            </w:r>
          </w:p>
        </w:tc>
        <w:tc>
          <w:tcPr>
            <w:tcW w:w="2175" w:type="dxa"/>
            <w:noWrap w:val="0"/>
            <w:vAlign w:val="top"/>
          </w:tcPr>
          <w:p>
            <w:pPr>
              <w:spacing w:line="360" w:lineRule="auto"/>
              <w:rPr>
                <w:color w:val="auto"/>
                <w:sz w:val="21"/>
                <w:szCs w:val="21"/>
                <w:highlight w:val="none"/>
              </w:rPr>
            </w:pPr>
            <w:r>
              <w:rPr>
                <w:rFonts w:hint="eastAsia"/>
                <w:color w:val="auto"/>
                <w:sz w:val="21"/>
                <w:szCs w:val="21"/>
                <w:highlight w:val="none"/>
              </w:rPr>
              <w:t>□编制□审核□调整</w:t>
            </w:r>
          </w:p>
        </w:tc>
        <w:tc>
          <w:tcPr>
            <w:tcW w:w="1107" w:type="dxa"/>
            <w:noWrap w:val="0"/>
            <w:vAlign w:val="top"/>
          </w:tcPr>
          <w:p>
            <w:pPr>
              <w:spacing w:line="360" w:lineRule="auto"/>
              <w:rPr>
                <w:color w:val="auto"/>
                <w:sz w:val="21"/>
                <w:szCs w:val="21"/>
                <w:highlight w:val="none"/>
              </w:rPr>
            </w:pPr>
          </w:p>
        </w:tc>
        <w:tc>
          <w:tcPr>
            <w:tcW w:w="1762" w:type="dxa"/>
            <w:noWrap w:val="0"/>
            <w:vAlign w:val="top"/>
          </w:tcPr>
          <w:p>
            <w:pPr>
              <w:spacing w:line="360" w:lineRule="auto"/>
              <w:rPr>
                <w:color w:val="auto"/>
                <w:sz w:val="21"/>
                <w:szCs w:val="21"/>
                <w:highlight w:val="none"/>
              </w:rPr>
            </w:pPr>
          </w:p>
        </w:tc>
        <w:tc>
          <w:tcPr>
            <w:tcW w:w="1542" w:type="dxa"/>
            <w:noWrap w:val="0"/>
            <w:vAlign w:val="top"/>
          </w:tcPr>
          <w:p>
            <w:pPr>
              <w:spacing w:line="360" w:lineRule="auto"/>
              <w:rPr>
                <w:color w:val="auto"/>
                <w:sz w:val="21"/>
                <w:szCs w:val="21"/>
                <w:highlight w:val="none"/>
              </w:rPr>
            </w:pPr>
          </w:p>
        </w:tc>
        <w:tc>
          <w:tcPr>
            <w:tcW w:w="1163" w:type="dxa"/>
            <w:noWrap w:val="0"/>
            <w:vAlign w:val="top"/>
          </w:tcPr>
          <w:p>
            <w:pPr>
              <w:spacing w:line="360" w:lineRule="auto"/>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8" w:type="dxa"/>
            <w:vMerge w:val="continue"/>
            <w:noWrap w:val="0"/>
            <w:vAlign w:val="top"/>
          </w:tcPr>
          <w:p>
            <w:pPr>
              <w:spacing w:line="360" w:lineRule="auto"/>
              <w:jc w:val="center"/>
              <w:rPr>
                <w:color w:val="auto"/>
                <w:sz w:val="21"/>
                <w:szCs w:val="21"/>
                <w:highlight w:val="none"/>
              </w:rPr>
            </w:pPr>
          </w:p>
        </w:tc>
        <w:tc>
          <w:tcPr>
            <w:tcW w:w="1612" w:type="dxa"/>
            <w:noWrap w:val="0"/>
            <w:vAlign w:val="top"/>
          </w:tcPr>
          <w:p>
            <w:pPr>
              <w:spacing w:line="240" w:lineRule="auto"/>
              <w:rPr>
                <w:color w:val="auto"/>
                <w:sz w:val="21"/>
                <w:szCs w:val="21"/>
                <w:highlight w:val="none"/>
              </w:rPr>
            </w:pPr>
            <w:r>
              <w:rPr>
                <w:rFonts w:hint="eastAsia"/>
                <w:color w:val="auto"/>
                <w:sz w:val="21"/>
                <w:szCs w:val="21"/>
                <w:highlight w:val="none"/>
              </w:rPr>
              <w:t>其他：</w:t>
            </w:r>
          </w:p>
        </w:tc>
        <w:tc>
          <w:tcPr>
            <w:tcW w:w="2175" w:type="dxa"/>
            <w:noWrap w:val="0"/>
            <w:vAlign w:val="top"/>
          </w:tcPr>
          <w:p>
            <w:pPr>
              <w:spacing w:line="360" w:lineRule="auto"/>
              <w:rPr>
                <w:color w:val="auto"/>
                <w:sz w:val="21"/>
                <w:szCs w:val="21"/>
                <w:highlight w:val="none"/>
              </w:rPr>
            </w:pPr>
          </w:p>
        </w:tc>
        <w:tc>
          <w:tcPr>
            <w:tcW w:w="1107" w:type="dxa"/>
            <w:noWrap w:val="0"/>
            <w:vAlign w:val="top"/>
          </w:tcPr>
          <w:p>
            <w:pPr>
              <w:spacing w:line="360" w:lineRule="auto"/>
              <w:rPr>
                <w:color w:val="auto"/>
                <w:sz w:val="21"/>
                <w:szCs w:val="21"/>
                <w:highlight w:val="none"/>
              </w:rPr>
            </w:pPr>
          </w:p>
        </w:tc>
        <w:tc>
          <w:tcPr>
            <w:tcW w:w="1762" w:type="dxa"/>
            <w:noWrap w:val="0"/>
            <w:vAlign w:val="top"/>
          </w:tcPr>
          <w:p>
            <w:pPr>
              <w:spacing w:line="360" w:lineRule="auto"/>
              <w:rPr>
                <w:color w:val="auto"/>
                <w:sz w:val="21"/>
                <w:szCs w:val="21"/>
                <w:highlight w:val="none"/>
              </w:rPr>
            </w:pPr>
          </w:p>
        </w:tc>
        <w:tc>
          <w:tcPr>
            <w:tcW w:w="1542" w:type="dxa"/>
            <w:noWrap w:val="0"/>
            <w:vAlign w:val="top"/>
          </w:tcPr>
          <w:p>
            <w:pPr>
              <w:spacing w:line="360" w:lineRule="auto"/>
              <w:rPr>
                <w:color w:val="auto"/>
                <w:sz w:val="21"/>
                <w:szCs w:val="21"/>
                <w:highlight w:val="none"/>
              </w:rPr>
            </w:pPr>
          </w:p>
        </w:tc>
        <w:tc>
          <w:tcPr>
            <w:tcW w:w="1163" w:type="dxa"/>
            <w:noWrap w:val="0"/>
            <w:vAlign w:val="top"/>
          </w:tcPr>
          <w:p>
            <w:pPr>
              <w:spacing w:line="360" w:lineRule="auto"/>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08" w:type="dxa"/>
            <w:vMerge w:val="restart"/>
            <w:noWrap w:val="0"/>
            <w:vAlign w:val="top"/>
          </w:tcPr>
          <w:p>
            <w:pPr>
              <w:spacing w:line="360" w:lineRule="auto"/>
              <w:jc w:val="center"/>
              <w:rPr>
                <w:color w:val="auto"/>
                <w:sz w:val="21"/>
                <w:szCs w:val="21"/>
                <w:highlight w:val="none"/>
              </w:rPr>
            </w:pPr>
          </w:p>
          <w:p>
            <w:pPr>
              <w:spacing w:line="360" w:lineRule="auto"/>
              <w:jc w:val="center"/>
              <w:rPr>
                <w:color w:val="auto"/>
                <w:sz w:val="21"/>
                <w:szCs w:val="21"/>
                <w:highlight w:val="none"/>
              </w:rPr>
            </w:pPr>
          </w:p>
          <w:p>
            <w:pPr>
              <w:spacing w:line="360" w:lineRule="auto"/>
              <w:jc w:val="center"/>
              <w:rPr>
                <w:color w:val="auto"/>
                <w:sz w:val="21"/>
                <w:szCs w:val="21"/>
                <w:highlight w:val="none"/>
              </w:rPr>
            </w:pPr>
          </w:p>
          <w:p>
            <w:pPr>
              <w:spacing w:line="360" w:lineRule="auto"/>
              <w:rPr>
                <w:color w:val="auto"/>
                <w:sz w:val="21"/>
                <w:szCs w:val="21"/>
                <w:highlight w:val="none"/>
              </w:rPr>
            </w:pPr>
            <w:r>
              <w:rPr>
                <w:rFonts w:hint="eastAsia"/>
                <w:color w:val="auto"/>
                <w:sz w:val="21"/>
                <w:szCs w:val="21"/>
                <w:highlight w:val="none"/>
              </w:rPr>
              <w:t>实施阶段</w:t>
            </w:r>
          </w:p>
        </w:tc>
        <w:tc>
          <w:tcPr>
            <w:tcW w:w="1612" w:type="dxa"/>
            <w:noWrap w:val="0"/>
            <w:vAlign w:val="top"/>
          </w:tcPr>
          <w:p>
            <w:pPr>
              <w:spacing w:line="240" w:lineRule="auto"/>
              <w:rPr>
                <w:color w:val="auto"/>
                <w:sz w:val="21"/>
                <w:szCs w:val="21"/>
                <w:highlight w:val="none"/>
              </w:rPr>
            </w:pPr>
            <w:r>
              <w:rPr>
                <w:rFonts w:hint="eastAsia"/>
                <w:color w:val="auto"/>
                <w:sz w:val="21"/>
                <w:szCs w:val="21"/>
                <w:highlight w:val="none"/>
              </w:rPr>
              <w:t>资金使用计划</w:t>
            </w:r>
          </w:p>
        </w:tc>
        <w:tc>
          <w:tcPr>
            <w:tcW w:w="2175" w:type="dxa"/>
            <w:noWrap w:val="0"/>
            <w:vAlign w:val="top"/>
          </w:tcPr>
          <w:p>
            <w:pPr>
              <w:spacing w:line="360" w:lineRule="auto"/>
              <w:rPr>
                <w:color w:val="auto"/>
                <w:sz w:val="21"/>
                <w:szCs w:val="21"/>
                <w:highlight w:val="none"/>
              </w:rPr>
            </w:pPr>
            <w:r>
              <w:rPr>
                <w:rFonts w:hint="eastAsia"/>
                <w:color w:val="auto"/>
                <w:sz w:val="21"/>
                <w:szCs w:val="21"/>
                <w:highlight w:val="none"/>
              </w:rPr>
              <w:t>□编制</w:t>
            </w:r>
          </w:p>
        </w:tc>
        <w:tc>
          <w:tcPr>
            <w:tcW w:w="1107" w:type="dxa"/>
            <w:noWrap w:val="0"/>
            <w:vAlign w:val="top"/>
          </w:tcPr>
          <w:p>
            <w:pPr>
              <w:spacing w:line="360" w:lineRule="auto"/>
              <w:rPr>
                <w:color w:val="auto"/>
                <w:sz w:val="21"/>
                <w:szCs w:val="21"/>
                <w:highlight w:val="none"/>
              </w:rPr>
            </w:pPr>
          </w:p>
        </w:tc>
        <w:tc>
          <w:tcPr>
            <w:tcW w:w="1762" w:type="dxa"/>
            <w:noWrap w:val="0"/>
            <w:vAlign w:val="top"/>
          </w:tcPr>
          <w:p>
            <w:pPr>
              <w:spacing w:line="360" w:lineRule="auto"/>
              <w:rPr>
                <w:color w:val="auto"/>
                <w:sz w:val="21"/>
                <w:szCs w:val="21"/>
                <w:highlight w:val="none"/>
              </w:rPr>
            </w:pPr>
          </w:p>
        </w:tc>
        <w:tc>
          <w:tcPr>
            <w:tcW w:w="1542" w:type="dxa"/>
            <w:noWrap w:val="0"/>
            <w:vAlign w:val="top"/>
          </w:tcPr>
          <w:p>
            <w:pPr>
              <w:spacing w:line="360" w:lineRule="auto"/>
              <w:rPr>
                <w:color w:val="auto"/>
                <w:sz w:val="21"/>
                <w:szCs w:val="21"/>
                <w:highlight w:val="none"/>
              </w:rPr>
            </w:pPr>
          </w:p>
        </w:tc>
        <w:tc>
          <w:tcPr>
            <w:tcW w:w="1163" w:type="dxa"/>
            <w:noWrap w:val="0"/>
            <w:vAlign w:val="top"/>
          </w:tcPr>
          <w:p>
            <w:pPr>
              <w:spacing w:line="360" w:lineRule="auto"/>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noWrap w:val="0"/>
            <w:vAlign w:val="top"/>
          </w:tcPr>
          <w:p>
            <w:pPr>
              <w:spacing w:line="360" w:lineRule="auto"/>
              <w:jc w:val="center"/>
              <w:rPr>
                <w:color w:val="auto"/>
                <w:sz w:val="21"/>
                <w:szCs w:val="21"/>
                <w:highlight w:val="none"/>
              </w:rPr>
            </w:pPr>
          </w:p>
        </w:tc>
        <w:tc>
          <w:tcPr>
            <w:tcW w:w="1612" w:type="dxa"/>
            <w:noWrap w:val="0"/>
            <w:vAlign w:val="top"/>
          </w:tcPr>
          <w:p>
            <w:pPr>
              <w:spacing w:line="240" w:lineRule="auto"/>
              <w:rPr>
                <w:color w:val="auto"/>
                <w:sz w:val="21"/>
                <w:szCs w:val="21"/>
                <w:highlight w:val="none"/>
              </w:rPr>
            </w:pPr>
            <w:r>
              <w:rPr>
                <w:rFonts w:hint="eastAsia"/>
                <w:color w:val="auto"/>
                <w:sz w:val="21"/>
                <w:szCs w:val="21"/>
                <w:highlight w:val="none"/>
              </w:rPr>
              <w:t>工程计量与工程款审核</w:t>
            </w:r>
          </w:p>
        </w:tc>
        <w:tc>
          <w:tcPr>
            <w:tcW w:w="2175" w:type="dxa"/>
            <w:noWrap w:val="0"/>
            <w:vAlign w:val="top"/>
          </w:tcPr>
          <w:p>
            <w:pPr>
              <w:spacing w:line="360" w:lineRule="auto"/>
              <w:rPr>
                <w:color w:val="auto"/>
                <w:sz w:val="21"/>
                <w:szCs w:val="21"/>
                <w:highlight w:val="none"/>
              </w:rPr>
            </w:pPr>
            <w:r>
              <w:rPr>
                <w:rFonts w:hint="eastAsia"/>
                <w:color w:val="auto"/>
                <w:sz w:val="21"/>
                <w:szCs w:val="21"/>
                <w:highlight w:val="none"/>
              </w:rPr>
              <w:sym w:font="Wingdings" w:char="00A8"/>
            </w:r>
            <w:r>
              <w:rPr>
                <w:rFonts w:hint="eastAsia"/>
                <w:color w:val="auto"/>
                <w:sz w:val="21"/>
                <w:szCs w:val="21"/>
                <w:highlight w:val="none"/>
              </w:rPr>
              <w:t>编制</w:t>
            </w:r>
            <w:r>
              <w:rPr>
                <w:rFonts w:hint="eastAsia"/>
                <w:color w:val="auto"/>
                <w:sz w:val="21"/>
                <w:szCs w:val="21"/>
                <w:highlight w:val="none"/>
              </w:rPr>
              <w:sym w:font="Wingdings" w:char="00A8"/>
            </w:r>
            <w:r>
              <w:rPr>
                <w:rFonts w:hint="eastAsia"/>
                <w:color w:val="auto"/>
                <w:sz w:val="21"/>
                <w:szCs w:val="21"/>
                <w:highlight w:val="none"/>
              </w:rPr>
              <w:t>审核</w:t>
            </w:r>
            <w:r>
              <w:rPr>
                <w:rFonts w:hint="eastAsia"/>
                <w:color w:val="auto"/>
                <w:sz w:val="21"/>
                <w:szCs w:val="21"/>
                <w:highlight w:val="none"/>
              </w:rPr>
              <w:sym w:font="Wingdings" w:char="00A8"/>
            </w:r>
            <w:r>
              <w:rPr>
                <w:rFonts w:hint="eastAsia"/>
                <w:color w:val="auto"/>
                <w:sz w:val="21"/>
                <w:szCs w:val="21"/>
                <w:highlight w:val="none"/>
              </w:rPr>
              <w:t>调整</w:t>
            </w:r>
          </w:p>
        </w:tc>
        <w:tc>
          <w:tcPr>
            <w:tcW w:w="1107" w:type="dxa"/>
            <w:noWrap w:val="0"/>
            <w:vAlign w:val="top"/>
          </w:tcPr>
          <w:p>
            <w:pPr>
              <w:spacing w:line="360" w:lineRule="auto"/>
              <w:rPr>
                <w:color w:val="auto"/>
                <w:sz w:val="21"/>
                <w:szCs w:val="21"/>
                <w:highlight w:val="none"/>
              </w:rPr>
            </w:pPr>
          </w:p>
        </w:tc>
        <w:tc>
          <w:tcPr>
            <w:tcW w:w="1762" w:type="dxa"/>
            <w:noWrap w:val="0"/>
            <w:vAlign w:val="top"/>
          </w:tcPr>
          <w:p>
            <w:pPr>
              <w:spacing w:line="360" w:lineRule="auto"/>
              <w:rPr>
                <w:color w:val="auto"/>
                <w:sz w:val="21"/>
                <w:szCs w:val="21"/>
                <w:highlight w:val="none"/>
              </w:rPr>
            </w:pPr>
          </w:p>
        </w:tc>
        <w:tc>
          <w:tcPr>
            <w:tcW w:w="1542" w:type="dxa"/>
            <w:noWrap w:val="0"/>
            <w:vAlign w:val="top"/>
          </w:tcPr>
          <w:p>
            <w:pPr>
              <w:spacing w:line="360" w:lineRule="auto"/>
              <w:rPr>
                <w:color w:val="auto"/>
                <w:sz w:val="21"/>
                <w:szCs w:val="21"/>
                <w:highlight w:val="none"/>
              </w:rPr>
            </w:pPr>
          </w:p>
        </w:tc>
        <w:tc>
          <w:tcPr>
            <w:tcW w:w="1163" w:type="dxa"/>
            <w:noWrap w:val="0"/>
            <w:vAlign w:val="top"/>
          </w:tcPr>
          <w:p>
            <w:pPr>
              <w:spacing w:line="360" w:lineRule="auto"/>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08" w:type="dxa"/>
            <w:vMerge w:val="continue"/>
            <w:noWrap w:val="0"/>
            <w:vAlign w:val="top"/>
          </w:tcPr>
          <w:p>
            <w:pPr>
              <w:spacing w:line="360" w:lineRule="auto"/>
              <w:jc w:val="center"/>
              <w:rPr>
                <w:color w:val="auto"/>
                <w:sz w:val="21"/>
                <w:szCs w:val="21"/>
                <w:highlight w:val="none"/>
              </w:rPr>
            </w:pPr>
          </w:p>
        </w:tc>
        <w:tc>
          <w:tcPr>
            <w:tcW w:w="1612" w:type="dxa"/>
            <w:noWrap w:val="0"/>
            <w:vAlign w:val="top"/>
          </w:tcPr>
          <w:p>
            <w:pPr>
              <w:spacing w:line="240" w:lineRule="auto"/>
              <w:rPr>
                <w:color w:val="auto"/>
                <w:sz w:val="21"/>
                <w:szCs w:val="21"/>
                <w:highlight w:val="none"/>
              </w:rPr>
            </w:pPr>
            <w:r>
              <w:rPr>
                <w:rFonts w:hint="eastAsia"/>
                <w:color w:val="auto"/>
                <w:sz w:val="21"/>
                <w:szCs w:val="21"/>
                <w:highlight w:val="none"/>
              </w:rPr>
              <w:t>合同价款调整</w:t>
            </w:r>
          </w:p>
        </w:tc>
        <w:tc>
          <w:tcPr>
            <w:tcW w:w="2175" w:type="dxa"/>
            <w:noWrap w:val="0"/>
            <w:vAlign w:val="top"/>
          </w:tcPr>
          <w:p>
            <w:pPr>
              <w:spacing w:line="360" w:lineRule="auto"/>
              <w:rPr>
                <w:color w:val="auto"/>
                <w:sz w:val="21"/>
                <w:szCs w:val="21"/>
                <w:highlight w:val="none"/>
              </w:rPr>
            </w:pPr>
            <w:r>
              <w:rPr>
                <w:rFonts w:hint="eastAsia"/>
                <w:color w:val="auto"/>
                <w:sz w:val="21"/>
                <w:szCs w:val="21"/>
                <w:highlight w:val="none"/>
              </w:rPr>
              <w:sym w:font="Wingdings" w:char="00A8"/>
            </w:r>
            <w:r>
              <w:rPr>
                <w:rFonts w:hint="eastAsia"/>
                <w:color w:val="auto"/>
                <w:sz w:val="21"/>
                <w:szCs w:val="21"/>
                <w:highlight w:val="none"/>
              </w:rPr>
              <w:t>编制</w:t>
            </w:r>
            <w:r>
              <w:rPr>
                <w:rFonts w:hint="eastAsia"/>
                <w:color w:val="auto"/>
                <w:sz w:val="21"/>
                <w:szCs w:val="21"/>
                <w:highlight w:val="none"/>
              </w:rPr>
              <w:sym w:font="Wingdings" w:char="00A8"/>
            </w:r>
            <w:r>
              <w:rPr>
                <w:rFonts w:hint="eastAsia"/>
                <w:color w:val="auto"/>
                <w:sz w:val="21"/>
                <w:szCs w:val="21"/>
                <w:highlight w:val="none"/>
              </w:rPr>
              <w:t>审核</w:t>
            </w:r>
            <w:r>
              <w:rPr>
                <w:rFonts w:hint="eastAsia"/>
                <w:color w:val="auto"/>
                <w:sz w:val="21"/>
                <w:szCs w:val="21"/>
                <w:highlight w:val="none"/>
              </w:rPr>
              <w:sym w:font="Wingdings" w:char="00A8"/>
            </w:r>
            <w:r>
              <w:rPr>
                <w:rFonts w:hint="eastAsia"/>
                <w:color w:val="auto"/>
                <w:sz w:val="21"/>
                <w:szCs w:val="21"/>
                <w:highlight w:val="none"/>
              </w:rPr>
              <w:t>调整</w:t>
            </w:r>
          </w:p>
        </w:tc>
        <w:tc>
          <w:tcPr>
            <w:tcW w:w="1107" w:type="dxa"/>
            <w:noWrap w:val="0"/>
            <w:vAlign w:val="top"/>
          </w:tcPr>
          <w:p>
            <w:pPr>
              <w:spacing w:line="360" w:lineRule="auto"/>
              <w:rPr>
                <w:color w:val="auto"/>
                <w:sz w:val="21"/>
                <w:szCs w:val="21"/>
                <w:highlight w:val="none"/>
              </w:rPr>
            </w:pPr>
          </w:p>
        </w:tc>
        <w:tc>
          <w:tcPr>
            <w:tcW w:w="1762" w:type="dxa"/>
            <w:noWrap w:val="0"/>
            <w:vAlign w:val="top"/>
          </w:tcPr>
          <w:p>
            <w:pPr>
              <w:spacing w:line="360" w:lineRule="auto"/>
              <w:rPr>
                <w:color w:val="auto"/>
                <w:sz w:val="21"/>
                <w:szCs w:val="21"/>
                <w:highlight w:val="none"/>
              </w:rPr>
            </w:pPr>
          </w:p>
        </w:tc>
        <w:tc>
          <w:tcPr>
            <w:tcW w:w="1542" w:type="dxa"/>
            <w:noWrap w:val="0"/>
            <w:vAlign w:val="top"/>
          </w:tcPr>
          <w:p>
            <w:pPr>
              <w:spacing w:line="360" w:lineRule="auto"/>
              <w:rPr>
                <w:color w:val="auto"/>
                <w:sz w:val="21"/>
                <w:szCs w:val="21"/>
                <w:highlight w:val="none"/>
              </w:rPr>
            </w:pPr>
          </w:p>
        </w:tc>
        <w:tc>
          <w:tcPr>
            <w:tcW w:w="1163" w:type="dxa"/>
            <w:noWrap w:val="0"/>
            <w:vAlign w:val="top"/>
          </w:tcPr>
          <w:p>
            <w:pPr>
              <w:spacing w:line="360" w:lineRule="auto"/>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08" w:type="dxa"/>
            <w:vMerge w:val="continue"/>
            <w:noWrap w:val="0"/>
            <w:vAlign w:val="top"/>
          </w:tcPr>
          <w:p>
            <w:pPr>
              <w:spacing w:line="360" w:lineRule="auto"/>
              <w:jc w:val="center"/>
              <w:rPr>
                <w:color w:val="auto"/>
                <w:sz w:val="21"/>
                <w:szCs w:val="21"/>
                <w:highlight w:val="none"/>
              </w:rPr>
            </w:pPr>
          </w:p>
        </w:tc>
        <w:tc>
          <w:tcPr>
            <w:tcW w:w="1612" w:type="dxa"/>
            <w:noWrap w:val="0"/>
            <w:vAlign w:val="top"/>
          </w:tcPr>
          <w:p>
            <w:pPr>
              <w:spacing w:line="240" w:lineRule="auto"/>
              <w:rPr>
                <w:color w:val="auto"/>
                <w:sz w:val="21"/>
                <w:szCs w:val="21"/>
                <w:highlight w:val="none"/>
              </w:rPr>
            </w:pPr>
            <w:r>
              <w:rPr>
                <w:rFonts w:hint="eastAsia"/>
                <w:color w:val="auto"/>
                <w:sz w:val="21"/>
                <w:szCs w:val="21"/>
                <w:highlight w:val="none"/>
              </w:rPr>
              <w:t>工程变更、索赔、签证</w:t>
            </w:r>
          </w:p>
        </w:tc>
        <w:tc>
          <w:tcPr>
            <w:tcW w:w="2175" w:type="dxa"/>
            <w:noWrap w:val="0"/>
            <w:vAlign w:val="top"/>
          </w:tcPr>
          <w:p>
            <w:pPr>
              <w:spacing w:line="360" w:lineRule="auto"/>
              <w:rPr>
                <w:color w:val="auto"/>
                <w:sz w:val="21"/>
                <w:szCs w:val="21"/>
                <w:highlight w:val="none"/>
              </w:rPr>
            </w:pPr>
            <w:r>
              <w:rPr>
                <w:rFonts w:hint="eastAsia"/>
                <w:color w:val="auto"/>
                <w:sz w:val="21"/>
                <w:szCs w:val="21"/>
                <w:highlight w:val="none"/>
              </w:rPr>
              <w:sym w:font="Wingdings" w:char="00A8"/>
            </w:r>
            <w:r>
              <w:rPr>
                <w:rFonts w:hint="eastAsia"/>
                <w:color w:val="auto"/>
                <w:sz w:val="21"/>
                <w:szCs w:val="21"/>
                <w:highlight w:val="none"/>
              </w:rPr>
              <w:t>审核</w:t>
            </w:r>
          </w:p>
        </w:tc>
        <w:tc>
          <w:tcPr>
            <w:tcW w:w="1107" w:type="dxa"/>
            <w:noWrap w:val="0"/>
            <w:vAlign w:val="top"/>
          </w:tcPr>
          <w:p>
            <w:pPr>
              <w:spacing w:line="360" w:lineRule="auto"/>
              <w:rPr>
                <w:color w:val="auto"/>
                <w:sz w:val="21"/>
                <w:szCs w:val="21"/>
                <w:highlight w:val="none"/>
              </w:rPr>
            </w:pPr>
          </w:p>
        </w:tc>
        <w:tc>
          <w:tcPr>
            <w:tcW w:w="1762" w:type="dxa"/>
            <w:noWrap w:val="0"/>
            <w:vAlign w:val="top"/>
          </w:tcPr>
          <w:p>
            <w:pPr>
              <w:spacing w:line="360" w:lineRule="auto"/>
              <w:rPr>
                <w:color w:val="auto"/>
                <w:sz w:val="21"/>
                <w:szCs w:val="21"/>
                <w:highlight w:val="none"/>
              </w:rPr>
            </w:pPr>
          </w:p>
        </w:tc>
        <w:tc>
          <w:tcPr>
            <w:tcW w:w="1542" w:type="dxa"/>
            <w:noWrap w:val="0"/>
            <w:vAlign w:val="top"/>
          </w:tcPr>
          <w:p>
            <w:pPr>
              <w:spacing w:line="360" w:lineRule="auto"/>
              <w:rPr>
                <w:color w:val="auto"/>
                <w:sz w:val="21"/>
                <w:szCs w:val="21"/>
                <w:highlight w:val="none"/>
              </w:rPr>
            </w:pPr>
          </w:p>
        </w:tc>
        <w:tc>
          <w:tcPr>
            <w:tcW w:w="1163" w:type="dxa"/>
            <w:noWrap w:val="0"/>
            <w:vAlign w:val="top"/>
          </w:tcPr>
          <w:p>
            <w:pPr>
              <w:spacing w:line="360" w:lineRule="auto"/>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308" w:type="dxa"/>
            <w:vMerge w:val="continue"/>
            <w:noWrap w:val="0"/>
            <w:vAlign w:val="top"/>
          </w:tcPr>
          <w:p>
            <w:pPr>
              <w:spacing w:line="360" w:lineRule="auto"/>
              <w:jc w:val="center"/>
              <w:rPr>
                <w:color w:val="auto"/>
                <w:sz w:val="21"/>
                <w:szCs w:val="21"/>
                <w:highlight w:val="none"/>
              </w:rPr>
            </w:pPr>
          </w:p>
        </w:tc>
        <w:tc>
          <w:tcPr>
            <w:tcW w:w="1612" w:type="dxa"/>
            <w:noWrap w:val="0"/>
            <w:vAlign w:val="top"/>
          </w:tcPr>
          <w:p>
            <w:pPr>
              <w:spacing w:line="240" w:lineRule="auto"/>
              <w:rPr>
                <w:color w:val="auto"/>
                <w:sz w:val="21"/>
                <w:szCs w:val="21"/>
                <w:highlight w:val="none"/>
              </w:rPr>
            </w:pPr>
            <w:r>
              <w:rPr>
                <w:rFonts w:hint="eastAsia"/>
                <w:color w:val="auto"/>
                <w:sz w:val="21"/>
                <w:szCs w:val="21"/>
                <w:highlight w:val="none"/>
              </w:rPr>
              <w:t>工程实施阶段造价控制</w:t>
            </w:r>
          </w:p>
        </w:tc>
        <w:tc>
          <w:tcPr>
            <w:tcW w:w="2175" w:type="dxa"/>
            <w:noWrap w:val="0"/>
            <w:vAlign w:val="top"/>
          </w:tcPr>
          <w:p>
            <w:pPr>
              <w:spacing w:line="360" w:lineRule="auto"/>
              <w:rPr>
                <w:color w:val="auto"/>
                <w:sz w:val="21"/>
                <w:szCs w:val="21"/>
                <w:highlight w:val="none"/>
              </w:rPr>
            </w:pPr>
          </w:p>
        </w:tc>
        <w:tc>
          <w:tcPr>
            <w:tcW w:w="1107" w:type="dxa"/>
            <w:noWrap w:val="0"/>
            <w:vAlign w:val="top"/>
          </w:tcPr>
          <w:p>
            <w:pPr>
              <w:spacing w:line="360" w:lineRule="auto"/>
              <w:rPr>
                <w:color w:val="auto"/>
                <w:sz w:val="21"/>
                <w:szCs w:val="21"/>
                <w:highlight w:val="none"/>
              </w:rPr>
            </w:pPr>
          </w:p>
        </w:tc>
        <w:tc>
          <w:tcPr>
            <w:tcW w:w="1762" w:type="dxa"/>
            <w:noWrap w:val="0"/>
            <w:vAlign w:val="top"/>
          </w:tcPr>
          <w:p>
            <w:pPr>
              <w:spacing w:line="360" w:lineRule="auto"/>
              <w:rPr>
                <w:color w:val="auto"/>
                <w:sz w:val="21"/>
                <w:szCs w:val="21"/>
                <w:highlight w:val="none"/>
              </w:rPr>
            </w:pPr>
          </w:p>
        </w:tc>
        <w:tc>
          <w:tcPr>
            <w:tcW w:w="1542" w:type="dxa"/>
            <w:noWrap w:val="0"/>
            <w:vAlign w:val="top"/>
          </w:tcPr>
          <w:p>
            <w:pPr>
              <w:spacing w:line="360" w:lineRule="auto"/>
              <w:rPr>
                <w:color w:val="auto"/>
                <w:sz w:val="21"/>
                <w:szCs w:val="21"/>
                <w:highlight w:val="none"/>
              </w:rPr>
            </w:pPr>
          </w:p>
        </w:tc>
        <w:tc>
          <w:tcPr>
            <w:tcW w:w="1163" w:type="dxa"/>
            <w:noWrap w:val="0"/>
            <w:vAlign w:val="top"/>
          </w:tcPr>
          <w:p>
            <w:pPr>
              <w:spacing w:line="360" w:lineRule="auto"/>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noWrap w:val="0"/>
            <w:vAlign w:val="top"/>
          </w:tcPr>
          <w:p>
            <w:pPr>
              <w:spacing w:line="360" w:lineRule="auto"/>
              <w:jc w:val="center"/>
              <w:rPr>
                <w:color w:val="auto"/>
                <w:sz w:val="21"/>
                <w:szCs w:val="21"/>
                <w:highlight w:val="none"/>
              </w:rPr>
            </w:pPr>
          </w:p>
        </w:tc>
        <w:tc>
          <w:tcPr>
            <w:tcW w:w="1612" w:type="dxa"/>
            <w:noWrap w:val="0"/>
            <w:vAlign w:val="top"/>
          </w:tcPr>
          <w:p>
            <w:pPr>
              <w:spacing w:line="240" w:lineRule="auto"/>
              <w:rPr>
                <w:color w:val="auto"/>
                <w:sz w:val="21"/>
                <w:szCs w:val="21"/>
                <w:highlight w:val="none"/>
              </w:rPr>
            </w:pPr>
            <w:r>
              <w:rPr>
                <w:rFonts w:hint="eastAsia"/>
                <w:color w:val="auto"/>
                <w:sz w:val="21"/>
                <w:szCs w:val="21"/>
                <w:highlight w:val="none"/>
              </w:rPr>
              <w:t>其他：</w:t>
            </w:r>
          </w:p>
        </w:tc>
        <w:tc>
          <w:tcPr>
            <w:tcW w:w="2175" w:type="dxa"/>
            <w:noWrap w:val="0"/>
            <w:vAlign w:val="top"/>
          </w:tcPr>
          <w:p>
            <w:pPr>
              <w:spacing w:line="360" w:lineRule="auto"/>
              <w:rPr>
                <w:color w:val="auto"/>
                <w:sz w:val="21"/>
                <w:szCs w:val="21"/>
                <w:highlight w:val="none"/>
              </w:rPr>
            </w:pPr>
          </w:p>
        </w:tc>
        <w:tc>
          <w:tcPr>
            <w:tcW w:w="1107" w:type="dxa"/>
            <w:noWrap w:val="0"/>
            <w:vAlign w:val="top"/>
          </w:tcPr>
          <w:p>
            <w:pPr>
              <w:spacing w:line="360" w:lineRule="auto"/>
              <w:rPr>
                <w:color w:val="auto"/>
                <w:sz w:val="21"/>
                <w:szCs w:val="21"/>
                <w:highlight w:val="none"/>
              </w:rPr>
            </w:pPr>
          </w:p>
        </w:tc>
        <w:tc>
          <w:tcPr>
            <w:tcW w:w="1762" w:type="dxa"/>
            <w:noWrap w:val="0"/>
            <w:vAlign w:val="top"/>
          </w:tcPr>
          <w:p>
            <w:pPr>
              <w:spacing w:line="360" w:lineRule="auto"/>
              <w:rPr>
                <w:color w:val="auto"/>
                <w:sz w:val="21"/>
                <w:szCs w:val="21"/>
                <w:highlight w:val="none"/>
              </w:rPr>
            </w:pPr>
          </w:p>
        </w:tc>
        <w:tc>
          <w:tcPr>
            <w:tcW w:w="1542" w:type="dxa"/>
            <w:noWrap w:val="0"/>
            <w:vAlign w:val="top"/>
          </w:tcPr>
          <w:p>
            <w:pPr>
              <w:spacing w:line="360" w:lineRule="auto"/>
              <w:rPr>
                <w:color w:val="auto"/>
                <w:sz w:val="21"/>
                <w:szCs w:val="21"/>
                <w:highlight w:val="none"/>
              </w:rPr>
            </w:pPr>
          </w:p>
        </w:tc>
        <w:tc>
          <w:tcPr>
            <w:tcW w:w="1163" w:type="dxa"/>
            <w:noWrap w:val="0"/>
            <w:vAlign w:val="top"/>
          </w:tcPr>
          <w:p>
            <w:pPr>
              <w:spacing w:line="360" w:lineRule="auto"/>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restart"/>
            <w:noWrap w:val="0"/>
            <w:vAlign w:val="center"/>
          </w:tcPr>
          <w:p>
            <w:pPr>
              <w:spacing w:line="360" w:lineRule="auto"/>
              <w:rPr>
                <w:color w:val="auto"/>
                <w:sz w:val="21"/>
                <w:szCs w:val="21"/>
                <w:highlight w:val="none"/>
              </w:rPr>
            </w:pPr>
            <w:r>
              <w:rPr>
                <w:rFonts w:hint="eastAsia"/>
                <w:color w:val="auto"/>
                <w:sz w:val="21"/>
                <w:szCs w:val="21"/>
                <w:highlight w:val="none"/>
              </w:rPr>
              <w:t>竣工阶段</w:t>
            </w:r>
          </w:p>
        </w:tc>
        <w:tc>
          <w:tcPr>
            <w:tcW w:w="1612" w:type="dxa"/>
            <w:noWrap w:val="0"/>
            <w:vAlign w:val="top"/>
          </w:tcPr>
          <w:p>
            <w:pPr>
              <w:spacing w:line="240" w:lineRule="auto"/>
              <w:rPr>
                <w:color w:val="auto"/>
                <w:sz w:val="21"/>
                <w:szCs w:val="21"/>
                <w:highlight w:val="none"/>
              </w:rPr>
            </w:pPr>
            <w:r>
              <w:rPr>
                <w:rFonts w:hint="eastAsia"/>
                <w:color w:val="auto"/>
                <w:sz w:val="21"/>
                <w:szCs w:val="21"/>
                <w:highlight w:val="none"/>
              </w:rPr>
              <w:t>竣工结算</w:t>
            </w:r>
          </w:p>
        </w:tc>
        <w:tc>
          <w:tcPr>
            <w:tcW w:w="2175" w:type="dxa"/>
            <w:noWrap w:val="0"/>
            <w:vAlign w:val="top"/>
          </w:tcPr>
          <w:p>
            <w:pPr>
              <w:spacing w:line="360" w:lineRule="auto"/>
              <w:rPr>
                <w:color w:val="auto"/>
                <w:sz w:val="21"/>
                <w:szCs w:val="21"/>
                <w:highlight w:val="none"/>
              </w:rPr>
            </w:pPr>
            <w:r>
              <w:rPr>
                <w:rFonts w:hint="eastAsia"/>
                <w:color w:val="auto"/>
                <w:sz w:val="21"/>
                <w:szCs w:val="21"/>
                <w:highlight w:val="none"/>
              </w:rPr>
              <w:sym w:font="Wingdings" w:char="00A8"/>
            </w:r>
            <w:r>
              <w:rPr>
                <w:rFonts w:hint="eastAsia"/>
                <w:color w:val="auto"/>
                <w:sz w:val="21"/>
                <w:szCs w:val="21"/>
                <w:highlight w:val="none"/>
              </w:rPr>
              <w:t>编制</w:t>
            </w:r>
            <w:r>
              <w:rPr>
                <w:rFonts w:hint="eastAsia"/>
                <w:color w:val="auto"/>
                <w:sz w:val="21"/>
                <w:szCs w:val="21"/>
                <w:highlight w:val="none"/>
              </w:rPr>
              <w:sym w:font="Wingdings" w:char="00A8"/>
            </w:r>
            <w:r>
              <w:rPr>
                <w:rFonts w:hint="eastAsia"/>
                <w:color w:val="auto"/>
                <w:sz w:val="21"/>
                <w:szCs w:val="21"/>
                <w:highlight w:val="none"/>
              </w:rPr>
              <w:t>审核</w:t>
            </w:r>
            <w:r>
              <w:rPr>
                <w:rFonts w:hint="eastAsia"/>
                <w:color w:val="auto"/>
                <w:sz w:val="21"/>
                <w:szCs w:val="21"/>
                <w:highlight w:val="none"/>
              </w:rPr>
              <w:sym w:font="Wingdings" w:char="00A8"/>
            </w:r>
            <w:r>
              <w:rPr>
                <w:rFonts w:hint="eastAsia"/>
                <w:color w:val="auto"/>
                <w:sz w:val="21"/>
                <w:szCs w:val="21"/>
                <w:highlight w:val="none"/>
              </w:rPr>
              <w:t>调整</w:t>
            </w:r>
          </w:p>
        </w:tc>
        <w:tc>
          <w:tcPr>
            <w:tcW w:w="1107" w:type="dxa"/>
            <w:noWrap w:val="0"/>
            <w:vAlign w:val="top"/>
          </w:tcPr>
          <w:p>
            <w:pPr>
              <w:spacing w:line="360" w:lineRule="auto"/>
              <w:rPr>
                <w:color w:val="auto"/>
                <w:sz w:val="21"/>
                <w:szCs w:val="21"/>
                <w:highlight w:val="none"/>
              </w:rPr>
            </w:pPr>
          </w:p>
        </w:tc>
        <w:tc>
          <w:tcPr>
            <w:tcW w:w="1762" w:type="dxa"/>
            <w:noWrap w:val="0"/>
            <w:vAlign w:val="top"/>
          </w:tcPr>
          <w:p>
            <w:pPr>
              <w:spacing w:line="360" w:lineRule="auto"/>
              <w:rPr>
                <w:color w:val="auto"/>
                <w:sz w:val="21"/>
                <w:szCs w:val="21"/>
                <w:highlight w:val="none"/>
              </w:rPr>
            </w:pPr>
          </w:p>
        </w:tc>
        <w:tc>
          <w:tcPr>
            <w:tcW w:w="1542" w:type="dxa"/>
            <w:noWrap w:val="0"/>
            <w:vAlign w:val="top"/>
          </w:tcPr>
          <w:p>
            <w:pPr>
              <w:spacing w:line="360" w:lineRule="auto"/>
              <w:rPr>
                <w:color w:val="auto"/>
                <w:sz w:val="21"/>
                <w:szCs w:val="21"/>
                <w:highlight w:val="none"/>
              </w:rPr>
            </w:pPr>
          </w:p>
        </w:tc>
        <w:tc>
          <w:tcPr>
            <w:tcW w:w="1163" w:type="dxa"/>
            <w:noWrap w:val="0"/>
            <w:vAlign w:val="top"/>
          </w:tcPr>
          <w:p>
            <w:pPr>
              <w:spacing w:line="360" w:lineRule="auto"/>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noWrap w:val="0"/>
            <w:vAlign w:val="center"/>
          </w:tcPr>
          <w:p>
            <w:pPr>
              <w:spacing w:line="360" w:lineRule="auto"/>
              <w:jc w:val="center"/>
              <w:rPr>
                <w:color w:val="auto"/>
                <w:sz w:val="21"/>
                <w:szCs w:val="21"/>
                <w:highlight w:val="none"/>
              </w:rPr>
            </w:pPr>
          </w:p>
        </w:tc>
        <w:tc>
          <w:tcPr>
            <w:tcW w:w="1612" w:type="dxa"/>
            <w:noWrap w:val="0"/>
            <w:vAlign w:val="top"/>
          </w:tcPr>
          <w:p>
            <w:pPr>
              <w:spacing w:line="240" w:lineRule="auto"/>
              <w:rPr>
                <w:color w:val="auto"/>
                <w:sz w:val="21"/>
                <w:szCs w:val="21"/>
                <w:highlight w:val="none"/>
              </w:rPr>
            </w:pPr>
            <w:r>
              <w:rPr>
                <w:rFonts w:hint="eastAsia"/>
                <w:color w:val="auto"/>
                <w:sz w:val="21"/>
                <w:szCs w:val="21"/>
                <w:highlight w:val="none"/>
              </w:rPr>
              <w:t>竣工决算</w:t>
            </w:r>
          </w:p>
        </w:tc>
        <w:tc>
          <w:tcPr>
            <w:tcW w:w="2175" w:type="dxa"/>
            <w:noWrap w:val="0"/>
            <w:vAlign w:val="top"/>
          </w:tcPr>
          <w:p>
            <w:pPr>
              <w:spacing w:line="360" w:lineRule="auto"/>
              <w:rPr>
                <w:color w:val="auto"/>
                <w:sz w:val="21"/>
                <w:szCs w:val="21"/>
                <w:highlight w:val="none"/>
              </w:rPr>
            </w:pPr>
            <w:r>
              <w:rPr>
                <w:rFonts w:hint="eastAsia"/>
                <w:color w:val="auto"/>
                <w:sz w:val="21"/>
                <w:szCs w:val="21"/>
                <w:highlight w:val="none"/>
              </w:rPr>
              <w:t>□编制□审核□调整</w:t>
            </w:r>
          </w:p>
        </w:tc>
        <w:tc>
          <w:tcPr>
            <w:tcW w:w="1107" w:type="dxa"/>
            <w:noWrap w:val="0"/>
            <w:vAlign w:val="top"/>
          </w:tcPr>
          <w:p>
            <w:pPr>
              <w:spacing w:line="360" w:lineRule="auto"/>
              <w:rPr>
                <w:color w:val="auto"/>
                <w:sz w:val="21"/>
                <w:szCs w:val="21"/>
                <w:highlight w:val="none"/>
              </w:rPr>
            </w:pPr>
          </w:p>
        </w:tc>
        <w:tc>
          <w:tcPr>
            <w:tcW w:w="1762" w:type="dxa"/>
            <w:noWrap w:val="0"/>
            <w:vAlign w:val="top"/>
          </w:tcPr>
          <w:p>
            <w:pPr>
              <w:spacing w:line="360" w:lineRule="auto"/>
              <w:rPr>
                <w:color w:val="auto"/>
                <w:sz w:val="21"/>
                <w:szCs w:val="21"/>
                <w:highlight w:val="none"/>
              </w:rPr>
            </w:pPr>
          </w:p>
        </w:tc>
        <w:tc>
          <w:tcPr>
            <w:tcW w:w="1542" w:type="dxa"/>
            <w:noWrap w:val="0"/>
            <w:vAlign w:val="top"/>
          </w:tcPr>
          <w:p>
            <w:pPr>
              <w:spacing w:line="360" w:lineRule="auto"/>
              <w:rPr>
                <w:color w:val="auto"/>
                <w:sz w:val="21"/>
                <w:szCs w:val="21"/>
                <w:highlight w:val="none"/>
              </w:rPr>
            </w:pPr>
          </w:p>
        </w:tc>
        <w:tc>
          <w:tcPr>
            <w:tcW w:w="1163" w:type="dxa"/>
            <w:noWrap w:val="0"/>
            <w:vAlign w:val="top"/>
          </w:tcPr>
          <w:p>
            <w:pPr>
              <w:spacing w:line="360" w:lineRule="auto"/>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noWrap w:val="0"/>
            <w:vAlign w:val="center"/>
          </w:tcPr>
          <w:p>
            <w:pPr>
              <w:spacing w:line="360" w:lineRule="auto"/>
              <w:jc w:val="center"/>
              <w:rPr>
                <w:color w:val="auto"/>
                <w:sz w:val="21"/>
                <w:szCs w:val="21"/>
                <w:highlight w:val="none"/>
              </w:rPr>
            </w:pPr>
          </w:p>
        </w:tc>
        <w:tc>
          <w:tcPr>
            <w:tcW w:w="1612" w:type="dxa"/>
            <w:noWrap w:val="0"/>
            <w:vAlign w:val="top"/>
          </w:tcPr>
          <w:p>
            <w:pPr>
              <w:spacing w:line="240" w:lineRule="auto"/>
              <w:rPr>
                <w:color w:val="auto"/>
                <w:sz w:val="21"/>
                <w:szCs w:val="21"/>
                <w:highlight w:val="none"/>
              </w:rPr>
            </w:pPr>
            <w:r>
              <w:rPr>
                <w:rFonts w:hint="eastAsia"/>
                <w:color w:val="auto"/>
                <w:sz w:val="21"/>
                <w:szCs w:val="21"/>
                <w:highlight w:val="none"/>
              </w:rPr>
              <w:t>其他：</w:t>
            </w:r>
          </w:p>
        </w:tc>
        <w:tc>
          <w:tcPr>
            <w:tcW w:w="2175" w:type="dxa"/>
            <w:noWrap w:val="0"/>
            <w:vAlign w:val="top"/>
          </w:tcPr>
          <w:p>
            <w:pPr>
              <w:spacing w:line="360" w:lineRule="auto"/>
              <w:rPr>
                <w:color w:val="auto"/>
                <w:sz w:val="21"/>
                <w:szCs w:val="21"/>
                <w:highlight w:val="none"/>
              </w:rPr>
            </w:pPr>
          </w:p>
        </w:tc>
        <w:tc>
          <w:tcPr>
            <w:tcW w:w="1107" w:type="dxa"/>
            <w:noWrap w:val="0"/>
            <w:vAlign w:val="top"/>
          </w:tcPr>
          <w:p>
            <w:pPr>
              <w:spacing w:line="360" w:lineRule="auto"/>
              <w:rPr>
                <w:color w:val="auto"/>
                <w:sz w:val="21"/>
                <w:szCs w:val="21"/>
                <w:highlight w:val="none"/>
              </w:rPr>
            </w:pPr>
          </w:p>
        </w:tc>
        <w:tc>
          <w:tcPr>
            <w:tcW w:w="1762" w:type="dxa"/>
            <w:noWrap w:val="0"/>
            <w:vAlign w:val="top"/>
          </w:tcPr>
          <w:p>
            <w:pPr>
              <w:spacing w:line="360" w:lineRule="auto"/>
              <w:rPr>
                <w:color w:val="auto"/>
                <w:sz w:val="21"/>
                <w:szCs w:val="21"/>
                <w:highlight w:val="none"/>
              </w:rPr>
            </w:pPr>
          </w:p>
        </w:tc>
        <w:tc>
          <w:tcPr>
            <w:tcW w:w="1542" w:type="dxa"/>
            <w:noWrap w:val="0"/>
            <w:vAlign w:val="top"/>
          </w:tcPr>
          <w:p>
            <w:pPr>
              <w:spacing w:line="360" w:lineRule="auto"/>
              <w:rPr>
                <w:color w:val="auto"/>
                <w:sz w:val="21"/>
                <w:szCs w:val="21"/>
                <w:highlight w:val="none"/>
              </w:rPr>
            </w:pPr>
          </w:p>
        </w:tc>
        <w:tc>
          <w:tcPr>
            <w:tcW w:w="1163" w:type="dxa"/>
            <w:noWrap w:val="0"/>
            <w:vAlign w:val="top"/>
          </w:tcPr>
          <w:p>
            <w:pPr>
              <w:spacing w:line="360" w:lineRule="auto"/>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noWrap w:val="0"/>
            <w:vAlign w:val="center"/>
          </w:tcPr>
          <w:p>
            <w:pPr>
              <w:spacing w:line="360" w:lineRule="auto"/>
              <w:rPr>
                <w:color w:val="auto"/>
                <w:sz w:val="21"/>
                <w:szCs w:val="21"/>
                <w:highlight w:val="none"/>
              </w:rPr>
            </w:pPr>
            <w:r>
              <w:rPr>
                <w:rFonts w:hint="eastAsia"/>
                <w:color w:val="auto"/>
                <w:sz w:val="21"/>
                <w:szCs w:val="21"/>
                <w:highlight w:val="none"/>
              </w:rPr>
              <w:t>其他服务</w:t>
            </w:r>
          </w:p>
        </w:tc>
        <w:tc>
          <w:tcPr>
            <w:tcW w:w="1612" w:type="dxa"/>
            <w:noWrap w:val="0"/>
            <w:vAlign w:val="top"/>
          </w:tcPr>
          <w:p>
            <w:pPr>
              <w:spacing w:line="240" w:lineRule="auto"/>
              <w:rPr>
                <w:color w:val="auto"/>
                <w:sz w:val="21"/>
                <w:szCs w:val="21"/>
                <w:highlight w:val="none"/>
              </w:rPr>
            </w:pPr>
            <w:r>
              <w:rPr>
                <w:rFonts w:hint="eastAsia"/>
                <w:color w:val="auto"/>
                <w:sz w:val="21"/>
                <w:szCs w:val="21"/>
                <w:highlight w:val="none"/>
              </w:rPr>
              <w:t>工程造价鉴定</w:t>
            </w:r>
          </w:p>
        </w:tc>
        <w:tc>
          <w:tcPr>
            <w:tcW w:w="2175" w:type="dxa"/>
            <w:noWrap w:val="0"/>
            <w:vAlign w:val="top"/>
          </w:tcPr>
          <w:p>
            <w:pPr>
              <w:spacing w:line="360" w:lineRule="auto"/>
              <w:rPr>
                <w:color w:val="auto"/>
                <w:sz w:val="21"/>
                <w:szCs w:val="21"/>
                <w:highlight w:val="none"/>
              </w:rPr>
            </w:pPr>
          </w:p>
        </w:tc>
        <w:tc>
          <w:tcPr>
            <w:tcW w:w="1107" w:type="dxa"/>
            <w:noWrap w:val="0"/>
            <w:vAlign w:val="top"/>
          </w:tcPr>
          <w:p>
            <w:pPr>
              <w:spacing w:line="360" w:lineRule="auto"/>
              <w:rPr>
                <w:color w:val="auto"/>
                <w:sz w:val="21"/>
                <w:szCs w:val="21"/>
                <w:highlight w:val="none"/>
              </w:rPr>
            </w:pPr>
          </w:p>
        </w:tc>
        <w:tc>
          <w:tcPr>
            <w:tcW w:w="1762" w:type="dxa"/>
            <w:noWrap w:val="0"/>
            <w:vAlign w:val="top"/>
          </w:tcPr>
          <w:p>
            <w:pPr>
              <w:spacing w:line="360" w:lineRule="auto"/>
              <w:rPr>
                <w:color w:val="auto"/>
                <w:sz w:val="21"/>
                <w:szCs w:val="21"/>
                <w:highlight w:val="none"/>
              </w:rPr>
            </w:pPr>
          </w:p>
        </w:tc>
        <w:tc>
          <w:tcPr>
            <w:tcW w:w="1542" w:type="dxa"/>
            <w:noWrap w:val="0"/>
            <w:vAlign w:val="top"/>
          </w:tcPr>
          <w:p>
            <w:pPr>
              <w:spacing w:line="360" w:lineRule="auto"/>
              <w:rPr>
                <w:color w:val="auto"/>
                <w:sz w:val="21"/>
                <w:szCs w:val="21"/>
                <w:highlight w:val="none"/>
              </w:rPr>
            </w:pPr>
          </w:p>
        </w:tc>
        <w:tc>
          <w:tcPr>
            <w:tcW w:w="1163" w:type="dxa"/>
            <w:noWrap w:val="0"/>
            <w:vAlign w:val="top"/>
          </w:tcPr>
          <w:p>
            <w:pPr>
              <w:spacing w:line="360" w:lineRule="auto"/>
              <w:jc w:val="center"/>
              <w:rPr>
                <w:color w:val="auto"/>
                <w:sz w:val="21"/>
                <w:szCs w:val="21"/>
                <w:highlight w:val="none"/>
              </w:rPr>
            </w:pPr>
          </w:p>
        </w:tc>
      </w:tr>
    </w:tbl>
    <w:p>
      <w:pPr>
        <w:spacing w:line="360" w:lineRule="auto"/>
        <w:rPr>
          <w:color w:val="auto"/>
          <w:highlight w:val="none"/>
        </w:rPr>
      </w:pPr>
      <w:r>
        <w:rPr>
          <w:b/>
          <w:color w:val="auto"/>
          <w:sz w:val="21"/>
          <w:szCs w:val="21"/>
          <w:highlight w:val="none"/>
        </w:rPr>
        <w:t xml:space="preserve"> </w:t>
      </w:r>
      <w:r>
        <w:rPr>
          <w:rFonts w:hint="eastAsia"/>
          <w:b/>
          <w:color w:val="auto"/>
          <w:sz w:val="21"/>
          <w:szCs w:val="21"/>
          <w:highlight w:val="none"/>
        </w:rPr>
        <w:t>注</w:t>
      </w:r>
      <w:r>
        <w:rPr>
          <w:b/>
          <w:color w:val="auto"/>
          <w:sz w:val="21"/>
          <w:szCs w:val="21"/>
          <w:highlight w:val="none"/>
        </w:rPr>
        <w:t>：</w:t>
      </w:r>
      <w:r>
        <w:rPr>
          <w:rFonts w:hint="eastAsia"/>
          <w:color w:val="auto"/>
          <w:sz w:val="21"/>
          <w:szCs w:val="21"/>
          <w:highlight w:val="none"/>
        </w:rPr>
        <w:t xml:space="preserve"> </w:t>
      </w:r>
      <w:r>
        <w:rPr>
          <w:color w:val="auto"/>
          <w:sz w:val="21"/>
          <w:szCs w:val="21"/>
          <w:highlight w:val="none"/>
        </w:rPr>
        <w:t>1.</w:t>
      </w:r>
      <w:r>
        <w:rPr>
          <w:rFonts w:hint="eastAsia"/>
          <w:color w:val="auto"/>
          <w:sz w:val="21"/>
          <w:szCs w:val="21"/>
          <w:highlight w:val="none"/>
        </w:rPr>
        <w:t>附录A中服务范围及工作内容未涉及</w:t>
      </w:r>
      <w:r>
        <w:rPr>
          <w:color w:val="auto"/>
          <w:sz w:val="21"/>
          <w:szCs w:val="21"/>
          <w:highlight w:val="none"/>
        </w:rPr>
        <w:t>的可在“</w:t>
      </w:r>
      <w:r>
        <w:rPr>
          <w:rFonts w:hint="eastAsia"/>
          <w:color w:val="auto"/>
          <w:sz w:val="21"/>
          <w:szCs w:val="21"/>
          <w:highlight w:val="none"/>
        </w:rPr>
        <w:t>其他</w:t>
      </w:r>
      <w:r>
        <w:rPr>
          <w:color w:val="auto"/>
          <w:sz w:val="21"/>
          <w:szCs w:val="21"/>
          <w:highlight w:val="none"/>
        </w:rPr>
        <w:t>”</w:t>
      </w:r>
      <w:r>
        <w:rPr>
          <w:rFonts w:hint="eastAsia"/>
          <w:color w:val="auto"/>
          <w:sz w:val="21"/>
          <w:szCs w:val="21"/>
          <w:highlight w:val="none"/>
        </w:rPr>
        <w:t>项</w:t>
      </w:r>
      <w:r>
        <w:rPr>
          <w:color w:val="auto"/>
          <w:sz w:val="21"/>
          <w:szCs w:val="21"/>
          <w:highlight w:val="none"/>
        </w:rPr>
        <w:t>中列明。</w:t>
      </w:r>
    </w:p>
    <w:p>
      <w:pPr>
        <w:spacing w:line="360" w:lineRule="auto"/>
        <w:ind w:firstLine="645" w:firstLineChars="300"/>
        <w:rPr>
          <w:bCs/>
          <w:color w:val="auto"/>
          <w:highlight w:val="none"/>
        </w:rPr>
      </w:pPr>
      <w:r>
        <w:rPr>
          <w:rFonts w:hint="eastAsia"/>
          <w:bCs/>
          <w:color w:val="auto"/>
          <w:highlight w:val="none"/>
        </w:rPr>
        <w:t xml:space="preserve">2.实行全过程造价咨询的工程，服务范围及工作内容按上表，酬金及计取方式 </w:t>
      </w:r>
    </w:p>
    <w:p>
      <w:pPr>
        <w:spacing w:line="360" w:lineRule="auto"/>
        <w:ind w:firstLine="645" w:firstLineChars="300"/>
        <w:rPr>
          <w:bCs/>
          <w:color w:val="auto"/>
          <w:highlight w:val="none"/>
          <w:u w:val="single"/>
        </w:rPr>
      </w:pPr>
      <w:r>
        <w:rPr>
          <w:rFonts w:hint="eastAsia"/>
          <w:bCs/>
          <w:color w:val="auto"/>
          <w:highlight w:val="none"/>
        </w:rPr>
        <w:t xml:space="preserve"> 3.为：</w:t>
      </w:r>
      <w:r>
        <w:rPr>
          <w:rFonts w:hint="eastAsia"/>
          <w:bCs/>
          <w:color w:val="auto"/>
          <w:highlight w:val="none"/>
          <w:u w:val="single"/>
        </w:rPr>
        <w:t xml:space="preserve">/ </w:t>
      </w:r>
    </w:p>
    <w:p>
      <w:pPr>
        <w:rPr>
          <w:rStyle w:val="23"/>
          <w:rFonts w:hint="eastAsia" w:ascii="宋体" w:hAnsi="宋体" w:eastAsia="宋体" w:cs="宋体"/>
          <w:b/>
          <w:bCs/>
          <w:color w:val="auto"/>
          <w:sz w:val="32"/>
          <w:szCs w:val="32"/>
          <w:highlight w:val="none"/>
        </w:rPr>
      </w:pPr>
    </w:p>
    <w:p>
      <w:pPr>
        <w:pStyle w:val="9"/>
        <w:ind w:left="864"/>
        <w:rPr>
          <w:rFonts w:hint="eastAsia"/>
          <w:color w:val="auto"/>
          <w:highlight w:val="none"/>
        </w:rPr>
      </w:pPr>
    </w:p>
    <w:p>
      <w:pPr>
        <w:numPr>
          <w:ilvl w:val="0"/>
          <w:numId w:val="9"/>
        </w:numPr>
        <w:spacing w:line="360" w:lineRule="auto"/>
        <w:jc w:val="center"/>
        <w:outlineLvl w:val="0"/>
        <w:rPr>
          <w:rFonts w:hint="eastAsia"/>
          <w:color w:val="auto"/>
          <w:highlight w:val="none"/>
        </w:rPr>
      </w:pPr>
      <w:r>
        <w:rPr>
          <w:rStyle w:val="23"/>
          <w:rFonts w:hint="eastAsia" w:ascii="宋体" w:hAnsi="宋体" w:eastAsia="宋体" w:cs="宋体"/>
          <w:b/>
          <w:bCs/>
          <w:color w:val="auto"/>
          <w:sz w:val="32"/>
          <w:szCs w:val="32"/>
          <w:highlight w:val="none"/>
        </w:rPr>
        <w:t>主要响应文件的格式及其内容</w:t>
      </w:r>
      <w:bookmarkEnd w:id="131"/>
      <w:bookmarkEnd w:id="132"/>
      <w:bookmarkEnd w:id="133"/>
      <w:bookmarkEnd w:id="134"/>
      <w:bookmarkEnd w:id="135"/>
    </w:p>
    <w:p>
      <w:pPr>
        <w:pStyle w:val="9"/>
        <w:ind w:left="864"/>
        <w:jc w:val="center"/>
        <w:rPr>
          <w:rFonts w:hint="eastAsia"/>
          <w:color w:val="auto"/>
          <w:highlight w:val="none"/>
        </w:rPr>
      </w:pPr>
      <w:r>
        <w:rPr>
          <w:rStyle w:val="23"/>
          <w:rFonts w:hint="eastAsia" w:ascii="宋体" w:hAnsi="宋体" w:eastAsia="宋体" w:cs="宋体"/>
          <w:b/>
          <w:bCs/>
          <w:color w:val="auto"/>
          <w:sz w:val="32"/>
          <w:szCs w:val="32"/>
          <w:highlight w:val="none"/>
        </w:rPr>
        <w:t>目录</w:t>
      </w:r>
    </w:p>
    <w:p>
      <w:pPr>
        <w:pStyle w:val="22"/>
        <w:spacing w:line="480" w:lineRule="exact"/>
        <w:ind w:hanging="23"/>
        <w:jc w:val="center"/>
        <w:rPr>
          <w:rFonts w:hint="eastAsia" w:ascii="宋体" w:hAnsi="宋体" w:cs="宋体"/>
          <w:b/>
          <w:color w:val="auto"/>
          <w:sz w:val="28"/>
          <w:szCs w:val="28"/>
          <w:highlight w:val="none"/>
        </w:rPr>
      </w:pP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一、投标函</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二、法定代表人资格证明及授权委托书</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三、报价一览表</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四、供应商概况表</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五、无重大违法记录的书面声明</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六、企业202</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年财务审计报告</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七、“重法纪、讲诚信”承诺书</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八、反商业贿赂承诺书</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九、商务条款偏离表</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十、技术规格偏离表</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十一、近三年同类项目业绩表</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十二、拟派项目负责人简历表</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十三、拟派本项目技术人员配置情况表</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十四、技术支持及服务承诺书</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十五、服务方案</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十六、不参与围标串标承诺书</w:t>
      </w:r>
    </w:p>
    <w:p>
      <w:pPr>
        <w:adjustRightInd w:val="0"/>
        <w:snapToGrid w:val="0"/>
        <w:spacing w:line="360" w:lineRule="auto"/>
        <w:ind w:firstLine="1315" w:firstLineChars="500"/>
        <w:jc w:val="left"/>
        <w:rPr>
          <w:rFonts w:hint="eastAsia" w:ascii="宋体" w:hAnsi="宋体" w:cs="宋体"/>
          <w:b/>
          <w:bCs/>
          <w:snapToGrid w:val="0"/>
          <w:color w:val="auto"/>
          <w:spacing w:val="-11"/>
          <w:kern w:val="0"/>
          <w:sz w:val="28"/>
          <w:szCs w:val="28"/>
          <w:highlight w:val="none"/>
        </w:rPr>
      </w:pPr>
      <w:r>
        <w:rPr>
          <w:rFonts w:hint="eastAsia" w:ascii="宋体" w:hAnsi="宋体" w:cs="宋体"/>
          <w:b/>
          <w:bCs/>
          <w:snapToGrid w:val="0"/>
          <w:color w:val="auto"/>
          <w:spacing w:val="-11"/>
          <w:kern w:val="0"/>
          <w:sz w:val="28"/>
          <w:szCs w:val="28"/>
          <w:highlight w:val="none"/>
        </w:rPr>
        <w:t>十七、要求提供的其它材料以及供应商认为需要提交的材料</w:t>
      </w:r>
    </w:p>
    <w:p>
      <w:pPr>
        <w:pStyle w:val="22"/>
        <w:spacing w:line="480" w:lineRule="exact"/>
        <w:jc w:val="center"/>
        <w:rPr>
          <w:rFonts w:hint="eastAsia" w:ascii="宋体" w:hAnsi="宋体" w:cs="宋体"/>
          <w:b/>
          <w:color w:val="auto"/>
          <w:sz w:val="28"/>
          <w:szCs w:val="28"/>
          <w:highlight w:val="none"/>
        </w:rPr>
      </w:pPr>
    </w:p>
    <w:p>
      <w:pPr>
        <w:pStyle w:val="22"/>
        <w:spacing w:line="480" w:lineRule="exact"/>
        <w:jc w:val="center"/>
        <w:rPr>
          <w:rFonts w:hint="eastAsia" w:ascii="宋体" w:hAnsi="宋体" w:cs="宋体"/>
          <w:b/>
          <w:color w:val="auto"/>
          <w:sz w:val="28"/>
          <w:szCs w:val="28"/>
          <w:highlight w:val="none"/>
        </w:rPr>
      </w:pPr>
    </w:p>
    <w:p>
      <w:pPr>
        <w:pStyle w:val="22"/>
        <w:spacing w:line="480" w:lineRule="exact"/>
        <w:jc w:val="center"/>
        <w:rPr>
          <w:rFonts w:hint="eastAsia" w:ascii="宋体" w:hAnsi="宋体" w:cs="宋体"/>
          <w:b/>
          <w:color w:val="auto"/>
          <w:sz w:val="28"/>
          <w:szCs w:val="28"/>
          <w:highlight w:val="none"/>
        </w:rPr>
      </w:pPr>
    </w:p>
    <w:p>
      <w:pPr>
        <w:pStyle w:val="22"/>
        <w:spacing w:line="480" w:lineRule="exact"/>
        <w:jc w:val="center"/>
        <w:rPr>
          <w:rFonts w:hint="eastAsia" w:ascii="宋体" w:hAnsi="宋体" w:cs="宋体"/>
          <w:b/>
          <w:color w:val="auto"/>
          <w:sz w:val="28"/>
          <w:szCs w:val="28"/>
          <w:highlight w:val="none"/>
        </w:rPr>
      </w:pPr>
    </w:p>
    <w:p>
      <w:pPr>
        <w:jc w:val="center"/>
        <w:rPr>
          <w:rFonts w:hint="eastAsia" w:ascii="宋体" w:hAnsi="宋体" w:cs="宋体"/>
          <w:b/>
          <w:bCs/>
          <w:color w:val="auto"/>
          <w:sz w:val="20"/>
          <w:szCs w:val="56"/>
          <w:highlight w:val="none"/>
        </w:rPr>
      </w:pPr>
      <w:bookmarkStart w:id="728" w:name="_Toc21730"/>
      <w:bookmarkStart w:id="729" w:name="_Toc30405"/>
      <w:bookmarkStart w:id="730" w:name="_Toc10519"/>
      <w:bookmarkStart w:id="731" w:name="_Toc25249"/>
      <w:bookmarkStart w:id="732" w:name="_Toc5923"/>
      <w:bookmarkStart w:id="733" w:name="_Toc18213"/>
      <w:bookmarkStart w:id="734" w:name="_Toc20332"/>
      <w:bookmarkStart w:id="735" w:name="_Toc8708"/>
      <w:bookmarkStart w:id="736" w:name="_Toc5678"/>
      <w:r>
        <w:rPr>
          <w:rFonts w:hint="eastAsia" w:ascii="宋体" w:hAnsi="宋体" w:cs="宋体"/>
          <w:b/>
          <w:bCs/>
          <w:color w:val="auto"/>
          <w:sz w:val="56"/>
          <w:szCs w:val="56"/>
          <w:highlight w:val="none"/>
        </w:rPr>
        <w:t>（项目名称）</w:t>
      </w:r>
      <w:bookmarkEnd w:id="728"/>
      <w:bookmarkEnd w:id="729"/>
      <w:bookmarkEnd w:id="730"/>
      <w:bookmarkEnd w:id="731"/>
      <w:bookmarkEnd w:id="732"/>
      <w:bookmarkEnd w:id="733"/>
      <w:bookmarkEnd w:id="734"/>
      <w:bookmarkEnd w:id="735"/>
      <w:bookmarkEnd w:id="736"/>
    </w:p>
    <w:p>
      <w:pPr>
        <w:pStyle w:val="22"/>
        <w:spacing w:line="480" w:lineRule="exact"/>
        <w:jc w:val="center"/>
        <w:rPr>
          <w:rFonts w:hint="eastAsia" w:ascii="宋体" w:hAnsi="宋体" w:cs="宋体"/>
          <w:b/>
          <w:color w:val="auto"/>
          <w:sz w:val="40"/>
          <w:szCs w:val="40"/>
          <w:highlight w:val="none"/>
        </w:rPr>
      </w:pPr>
    </w:p>
    <w:p>
      <w:pPr>
        <w:pStyle w:val="22"/>
        <w:spacing w:line="480" w:lineRule="exact"/>
        <w:jc w:val="both"/>
        <w:rPr>
          <w:rFonts w:hint="eastAsia" w:ascii="宋体" w:hAnsi="宋体" w:cs="宋体"/>
          <w:b/>
          <w:color w:val="auto"/>
          <w:sz w:val="40"/>
          <w:szCs w:val="40"/>
          <w:highlight w:val="none"/>
        </w:rPr>
      </w:pPr>
    </w:p>
    <w:p>
      <w:pPr>
        <w:pStyle w:val="22"/>
        <w:spacing w:line="360" w:lineRule="auto"/>
        <w:jc w:val="both"/>
        <w:rPr>
          <w:rFonts w:hint="eastAsia" w:ascii="宋体" w:hAnsi="宋体" w:cs="宋体"/>
          <w:b/>
          <w:bCs/>
          <w:color w:val="auto"/>
          <w:sz w:val="28"/>
          <w:szCs w:val="28"/>
          <w:highlight w:val="none"/>
        </w:rPr>
      </w:pPr>
    </w:p>
    <w:p>
      <w:pPr>
        <w:pStyle w:val="22"/>
        <w:spacing w:line="720" w:lineRule="auto"/>
        <w:jc w:val="center"/>
        <w:outlineLvl w:val="0"/>
        <w:rPr>
          <w:rFonts w:hint="eastAsia" w:ascii="宋体" w:hAnsi="宋体" w:cs="宋体"/>
          <w:color w:val="auto"/>
          <w:sz w:val="72"/>
          <w:szCs w:val="72"/>
          <w:highlight w:val="none"/>
        </w:rPr>
      </w:pPr>
      <w:r>
        <w:rPr>
          <w:rFonts w:hint="eastAsia" w:ascii="宋体" w:hAnsi="宋体" w:cs="宋体"/>
          <w:b/>
          <w:color w:val="auto"/>
          <w:sz w:val="72"/>
          <w:szCs w:val="72"/>
          <w:highlight w:val="none"/>
        </w:rPr>
        <w:t>响应文件</w:t>
      </w:r>
    </w:p>
    <w:p>
      <w:pPr>
        <w:pStyle w:val="22"/>
        <w:spacing w:line="480" w:lineRule="exact"/>
        <w:jc w:val="both"/>
        <w:rPr>
          <w:rFonts w:hint="eastAsia" w:ascii="宋体" w:hAnsi="宋体" w:cs="宋体"/>
          <w:color w:val="auto"/>
          <w:sz w:val="28"/>
          <w:szCs w:val="28"/>
          <w:highlight w:val="none"/>
        </w:rPr>
      </w:pPr>
    </w:p>
    <w:p>
      <w:pPr>
        <w:pStyle w:val="22"/>
        <w:spacing w:line="480" w:lineRule="exact"/>
        <w:ind w:firstLine="567"/>
        <w:jc w:val="both"/>
        <w:rPr>
          <w:rFonts w:hint="eastAsia" w:ascii="宋体" w:hAnsi="宋体" w:cs="宋体"/>
          <w:color w:val="auto"/>
          <w:sz w:val="28"/>
          <w:szCs w:val="28"/>
          <w:highlight w:val="none"/>
        </w:rPr>
      </w:pPr>
    </w:p>
    <w:p>
      <w:pPr>
        <w:pStyle w:val="22"/>
        <w:spacing w:line="480" w:lineRule="exact"/>
        <w:ind w:firstLine="567"/>
        <w:jc w:val="both"/>
        <w:rPr>
          <w:rFonts w:hint="eastAsia" w:ascii="宋体" w:hAnsi="宋体" w:cs="宋体"/>
          <w:color w:val="auto"/>
          <w:sz w:val="28"/>
          <w:szCs w:val="28"/>
          <w:highlight w:val="none"/>
        </w:rPr>
      </w:pPr>
    </w:p>
    <w:p>
      <w:pPr>
        <w:pStyle w:val="22"/>
        <w:spacing w:line="480" w:lineRule="exact"/>
        <w:ind w:firstLine="567"/>
        <w:jc w:val="both"/>
        <w:rPr>
          <w:rFonts w:hint="eastAsia" w:ascii="宋体" w:hAnsi="宋体" w:cs="宋体"/>
          <w:color w:val="auto"/>
          <w:sz w:val="28"/>
          <w:szCs w:val="28"/>
          <w:highlight w:val="none"/>
        </w:rPr>
      </w:pPr>
    </w:p>
    <w:p>
      <w:pPr>
        <w:pStyle w:val="22"/>
        <w:spacing w:line="480" w:lineRule="exact"/>
        <w:jc w:val="both"/>
        <w:rPr>
          <w:rFonts w:hint="eastAsia" w:ascii="宋体" w:hAnsi="宋体" w:cs="宋体"/>
          <w:color w:val="auto"/>
          <w:sz w:val="28"/>
          <w:szCs w:val="28"/>
          <w:highlight w:val="none"/>
        </w:rPr>
      </w:pPr>
    </w:p>
    <w:p>
      <w:pPr>
        <w:pStyle w:val="22"/>
        <w:spacing w:line="480" w:lineRule="exact"/>
        <w:ind w:firstLine="1336" w:firstLineChars="469"/>
        <w:jc w:val="both"/>
        <w:rPr>
          <w:rFonts w:hint="eastAsia" w:ascii="宋体" w:hAnsi="宋体" w:cs="宋体"/>
          <w:color w:val="auto"/>
          <w:sz w:val="28"/>
          <w:szCs w:val="28"/>
          <w:highlight w:val="none"/>
        </w:rPr>
      </w:pPr>
      <w:r>
        <w:rPr>
          <w:rFonts w:hint="eastAsia" w:ascii="宋体" w:hAnsi="宋体" w:cs="宋体"/>
          <w:color w:val="auto"/>
          <w:sz w:val="28"/>
          <w:szCs w:val="28"/>
          <w:highlight w:val="none"/>
        </w:rPr>
        <w:t>注明“在     年   月   日   时   分前不准启封”</w:t>
      </w:r>
    </w:p>
    <w:p>
      <w:pPr>
        <w:pStyle w:val="22"/>
        <w:spacing w:line="480" w:lineRule="exact"/>
        <w:jc w:val="both"/>
        <w:rPr>
          <w:rFonts w:hint="eastAsia" w:ascii="宋体" w:hAnsi="宋体" w:cs="宋体"/>
          <w:color w:val="auto"/>
          <w:sz w:val="28"/>
          <w:szCs w:val="28"/>
          <w:highlight w:val="none"/>
        </w:rPr>
      </w:pPr>
    </w:p>
    <w:p>
      <w:pPr>
        <w:pStyle w:val="22"/>
        <w:spacing w:line="480" w:lineRule="exact"/>
        <w:jc w:val="both"/>
        <w:rPr>
          <w:rFonts w:hint="eastAsia" w:ascii="宋体" w:hAnsi="宋体" w:cs="宋体"/>
          <w:color w:val="auto"/>
          <w:sz w:val="28"/>
          <w:szCs w:val="28"/>
          <w:highlight w:val="none"/>
        </w:rPr>
      </w:pPr>
    </w:p>
    <w:p>
      <w:pPr>
        <w:pStyle w:val="22"/>
        <w:spacing w:line="480" w:lineRule="exact"/>
        <w:jc w:val="both"/>
        <w:rPr>
          <w:rFonts w:hint="eastAsia" w:ascii="宋体" w:hAnsi="宋体" w:cs="宋体"/>
          <w:color w:val="auto"/>
          <w:sz w:val="28"/>
          <w:szCs w:val="28"/>
          <w:highlight w:val="none"/>
        </w:rPr>
      </w:pPr>
    </w:p>
    <w:p>
      <w:pPr>
        <w:pStyle w:val="22"/>
        <w:spacing w:line="480" w:lineRule="exact"/>
        <w:jc w:val="both"/>
        <w:rPr>
          <w:rFonts w:hint="eastAsia" w:ascii="宋体" w:hAnsi="宋体" w:cs="宋体"/>
          <w:color w:val="auto"/>
          <w:sz w:val="28"/>
          <w:szCs w:val="28"/>
          <w:highlight w:val="none"/>
        </w:rPr>
      </w:pPr>
    </w:p>
    <w:p>
      <w:pPr>
        <w:pStyle w:val="22"/>
        <w:spacing w:line="360" w:lineRule="auto"/>
        <w:jc w:val="both"/>
        <w:rPr>
          <w:rFonts w:hint="eastAsia" w:ascii="宋体" w:hAnsi="宋体" w:cs="宋体"/>
          <w:b/>
          <w:bCs/>
          <w:color w:val="auto"/>
          <w:sz w:val="32"/>
          <w:szCs w:val="32"/>
          <w:highlight w:val="none"/>
        </w:rPr>
      </w:pPr>
      <w:bookmarkStart w:id="737" w:name="_Toc10223"/>
      <w:bookmarkStart w:id="738" w:name="_Toc29140"/>
      <w:r>
        <w:rPr>
          <w:rFonts w:hint="eastAsia" w:ascii="宋体" w:hAnsi="宋体" w:cs="宋体"/>
          <w:b/>
          <w:bCs/>
          <w:color w:val="auto"/>
          <w:sz w:val="32"/>
          <w:szCs w:val="32"/>
          <w:highlight w:val="none"/>
        </w:rPr>
        <w:t>供应商名称（盖章）：</w:t>
      </w:r>
    </w:p>
    <w:p>
      <w:pPr>
        <w:pStyle w:val="22"/>
        <w:spacing w:line="360" w:lineRule="auto"/>
        <w:ind w:firstLine="567"/>
        <w:jc w:val="both"/>
        <w:rPr>
          <w:rFonts w:hint="eastAsia" w:ascii="宋体" w:hAnsi="宋体" w:cs="宋体"/>
          <w:b/>
          <w:bCs/>
          <w:color w:val="auto"/>
          <w:sz w:val="32"/>
          <w:szCs w:val="32"/>
          <w:highlight w:val="none"/>
        </w:rPr>
      </w:pPr>
    </w:p>
    <w:p>
      <w:pPr>
        <w:pStyle w:val="22"/>
        <w:spacing w:line="360" w:lineRule="auto"/>
        <w:jc w:val="both"/>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法定代表人或委托代理人（签字或盖章）：</w:t>
      </w:r>
    </w:p>
    <w:p>
      <w:pPr>
        <w:pStyle w:val="22"/>
        <w:spacing w:line="360" w:lineRule="auto"/>
        <w:jc w:val="both"/>
        <w:rPr>
          <w:rFonts w:hint="eastAsia" w:ascii="宋体" w:hAnsi="宋体" w:cs="宋体"/>
          <w:b/>
          <w:bCs/>
          <w:color w:val="auto"/>
          <w:sz w:val="32"/>
          <w:szCs w:val="32"/>
          <w:highlight w:val="none"/>
        </w:rPr>
      </w:pPr>
    </w:p>
    <w:p>
      <w:pPr>
        <w:pStyle w:val="22"/>
        <w:spacing w:line="360" w:lineRule="auto"/>
        <w:jc w:val="both"/>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供应商地址：         </w:t>
      </w:r>
    </w:p>
    <w:p>
      <w:pPr>
        <w:pStyle w:val="22"/>
        <w:spacing w:line="360" w:lineRule="auto"/>
        <w:jc w:val="both"/>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                      </w:t>
      </w:r>
    </w:p>
    <w:p>
      <w:pPr>
        <w:pStyle w:val="22"/>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日期：     年   月   日</w:t>
      </w:r>
      <w:bookmarkStart w:id="739" w:name="_Toc6629"/>
    </w:p>
    <w:p>
      <w:pPr>
        <w:pStyle w:val="22"/>
        <w:spacing w:line="360" w:lineRule="auto"/>
        <w:rPr>
          <w:rFonts w:hint="eastAsia" w:ascii="宋体" w:hAnsi="宋体" w:cs="宋体"/>
          <w:b/>
          <w:bCs/>
          <w:color w:val="auto"/>
          <w:sz w:val="32"/>
          <w:szCs w:val="21"/>
          <w:highlight w:val="none"/>
        </w:rPr>
      </w:pPr>
      <w:r>
        <w:rPr>
          <w:rFonts w:hint="eastAsia" w:ascii="宋体" w:hAnsi="宋体" w:cs="宋体"/>
          <w:b/>
          <w:bCs/>
          <w:color w:val="auto"/>
          <w:sz w:val="32"/>
          <w:szCs w:val="32"/>
          <w:highlight w:val="none"/>
        </w:rPr>
        <w:t>附件1</w:t>
      </w:r>
      <w:bookmarkEnd w:id="737"/>
      <w:bookmarkEnd w:id="738"/>
      <w:r>
        <w:rPr>
          <w:rFonts w:hint="eastAsia" w:ascii="宋体" w:hAnsi="宋体" w:cs="宋体"/>
          <w:b/>
          <w:color w:val="auto"/>
          <w:sz w:val="32"/>
          <w:szCs w:val="32"/>
          <w:highlight w:val="none"/>
        </w:rPr>
        <w:t>:</w:t>
      </w:r>
      <w:bookmarkEnd w:id="739"/>
    </w:p>
    <w:p>
      <w:pPr>
        <w:pStyle w:val="3"/>
        <w:keepNext w:val="0"/>
        <w:rPr>
          <w:rFonts w:hint="eastAsia" w:ascii="宋体" w:hAnsi="宋体" w:eastAsia="宋体" w:cs="宋体"/>
          <w:b/>
          <w:bCs/>
          <w:color w:val="auto"/>
          <w:sz w:val="32"/>
          <w:szCs w:val="21"/>
          <w:highlight w:val="none"/>
        </w:rPr>
      </w:pPr>
      <w:bookmarkStart w:id="740" w:name="_Toc18361"/>
      <w:r>
        <w:rPr>
          <w:rFonts w:hint="eastAsia" w:ascii="宋体" w:hAnsi="宋体" w:eastAsia="宋体" w:cs="宋体"/>
          <w:b/>
          <w:bCs/>
          <w:color w:val="auto"/>
          <w:sz w:val="32"/>
          <w:szCs w:val="21"/>
          <w:highlight w:val="none"/>
        </w:rPr>
        <w:t>投 标 函</w:t>
      </w:r>
      <w:bookmarkEnd w:id="740"/>
    </w:p>
    <w:p>
      <w:pPr>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zh-CN"/>
        </w:rPr>
        <w:t>（采购人名称）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我公司收到贵单位</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竞争性磋商文件，经认真研究，我们决定参加本项目投标。</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1.按照竞争性磋商文件中的一切要求，我方完全接受竞争性磋商文件的规定和要求愿以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），服务期限：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，完成上述项目的所有工作。</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2.如果我们的响应文件被接受，我们将履行竞争性磋商文件中规定的每一项要求，按期、按质、按量完成交货和完工任务。</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3.我们同意按竞争性磋商文件的规定，本响应文件的有效期为投标截止时间后</w:t>
      </w:r>
      <w:r>
        <w:rPr>
          <w:rFonts w:hint="eastAsia" w:ascii="宋体" w:hAnsi="宋体" w:cs="宋体"/>
          <w:color w:val="auto"/>
          <w:sz w:val="24"/>
          <w:szCs w:val="24"/>
          <w:highlight w:val="none"/>
          <w:u w:val="single"/>
        </w:rPr>
        <w:t xml:space="preserve"> 90 </w:t>
      </w:r>
      <w:r>
        <w:rPr>
          <w:rFonts w:hint="eastAsia" w:ascii="宋体" w:hAnsi="宋体" w:cs="宋体"/>
          <w:color w:val="auto"/>
          <w:sz w:val="24"/>
          <w:szCs w:val="24"/>
          <w:highlight w:val="none"/>
        </w:rPr>
        <w:t>天。</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4.我们愿意提供采购人在竞争性磋商文件中要求的所有资料。</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5.我们认为采购人有选择或拒绝任何供应商中标的权力。我们理解，最低报价不是中标的唯一条件。</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6.我们愿按合同法履行自己的全部责任。</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7.我方愿意遵守竞争性磋商文件中规定的收费标准，承付采购代理服务费。</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8.该项投标在投标截止时间后的投标有效期内保持有效，不作任何更改和变动。</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9.我们同意按竞争性磋商文件规定，交纳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）的投标保证金。</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10.所有有关本响应文件的函电，请按下列地址联系：</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单位名称：</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邮政编码：</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 系 人：</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    话：</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传    真：</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电子邮箱：</w:t>
      </w:r>
    </w:p>
    <w:p>
      <w:pPr>
        <w:rPr>
          <w:rFonts w:hint="eastAsia" w:ascii="宋体" w:hAnsi="宋体" w:cs="宋体"/>
          <w:color w:val="auto"/>
          <w:sz w:val="24"/>
          <w:szCs w:val="24"/>
          <w:highlight w:val="none"/>
        </w:rPr>
      </w:pPr>
    </w:p>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供应商名称（盖章）：</w:t>
      </w:r>
    </w:p>
    <w:p>
      <w:pPr>
        <w:rPr>
          <w:rFonts w:hint="eastAsia" w:ascii="宋体" w:hAnsi="宋体" w:cs="宋体"/>
          <w:color w:val="auto"/>
          <w:sz w:val="24"/>
          <w:szCs w:val="24"/>
          <w:highlight w:val="none"/>
        </w:rPr>
      </w:pPr>
    </w:p>
    <w:p>
      <w:pPr>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法定代表人或委托代理人（签字或盖章）：</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jc w:val="right"/>
        <w:rPr>
          <w:rFonts w:hint="eastAsia" w:ascii="宋体" w:hAnsi="宋体" w:cs="宋体"/>
          <w:b/>
          <w:bCs/>
          <w:color w:val="auto"/>
          <w:sz w:val="24"/>
          <w:szCs w:val="24"/>
          <w:highlight w:val="none"/>
        </w:rPr>
      </w:pPr>
      <w:r>
        <w:rPr>
          <w:rFonts w:hint="eastAsia" w:ascii="宋体" w:hAnsi="宋体" w:cs="宋体"/>
          <w:color w:val="auto"/>
          <w:sz w:val="24"/>
          <w:szCs w:val="24"/>
          <w:highlight w:val="none"/>
        </w:rPr>
        <w:t xml:space="preserve"> 日期：     年   月   日</w:t>
      </w:r>
    </w:p>
    <w:p>
      <w:pPr>
        <w:pStyle w:val="3"/>
        <w:keepNext w:val="0"/>
        <w:jc w:val="both"/>
        <w:rPr>
          <w:rFonts w:hint="eastAsia" w:ascii="宋体" w:hAnsi="宋体" w:eastAsia="宋体" w:cs="宋体"/>
          <w:b/>
          <w:bCs/>
          <w:color w:val="auto"/>
          <w:kern w:val="2"/>
          <w:sz w:val="32"/>
          <w:szCs w:val="21"/>
          <w:highlight w:val="none"/>
        </w:rPr>
      </w:pPr>
      <w:bookmarkStart w:id="741" w:name="_Toc4412"/>
      <w:bookmarkStart w:id="742" w:name="_Toc4872"/>
      <w:bookmarkStart w:id="743" w:name="_Toc18057"/>
      <w:r>
        <w:rPr>
          <w:rFonts w:hint="eastAsia" w:ascii="宋体" w:hAnsi="宋体" w:eastAsia="宋体" w:cs="宋体"/>
          <w:b/>
          <w:bCs/>
          <w:color w:val="auto"/>
          <w:kern w:val="2"/>
          <w:sz w:val="32"/>
          <w:szCs w:val="21"/>
          <w:highlight w:val="none"/>
        </w:rPr>
        <w:br w:type="page"/>
      </w:r>
      <w:r>
        <w:rPr>
          <w:rFonts w:hint="eastAsia" w:ascii="宋体" w:hAnsi="宋体" w:eastAsia="宋体" w:cs="宋体"/>
          <w:b/>
          <w:bCs/>
          <w:color w:val="auto"/>
          <w:kern w:val="2"/>
          <w:sz w:val="32"/>
          <w:szCs w:val="32"/>
          <w:highlight w:val="none"/>
        </w:rPr>
        <w:t>附件2</w:t>
      </w:r>
      <w:bookmarkEnd w:id="741"/>
      <w:bookmarkEnd w:id="742"/>
      <w:r>
        <w:rPr>
          <w:rFonts w:hint="eastAsia" w:ascii="宋体" w:hAnsi="宋体" w:eastAsia="宋体" w:cs="宋体"/>
          <w:b/>
          <w:color w:val="auto"/>
          <w:sz w:val="32"/>
          <w:szCs w:val="32"/>
          <w:highlight w:val="none"/>
        </w:rPr>
        <w:t>:</w:t>
      </w:r>
      <w:bookmarkEnd w:id="743"/>
    </w:p>
    <w:p>
      <w:pPr>
        <w:pStyle w:val="3"/>
        <w:keepNext w:val="0"/>
        <w:rPr>
          <w:rFonts w:hint="eastAsia" w:ascii="宋体" w:hAnsi="宋体" w:eastAsia="宋体" w:cs="宋体"/>
          <w:b/>
          <w:bCs/>
          <w:color w:val="auto"/>
          <w:kern w:val="2"/>
          <w:sz w:val="32"/>
          <w:szCs w:val="21"/>
          <w:highlight w:val="none"/>
        </w:rPr>
      </w:pPr>
      <w:bookmarkStart w:id="744" w:name="_Toc8165"/>
      <w:r>
        <w:rPr>
          <w:rFonts w:hint="eastAsia" w:ascii="宋体" w:hAnsi="宋体" w:eastAsia="宋体" w:cs="宋体"/>
          <w:b/>
          <w:bCs/>
          <w:color w:val="auto"/>
          <w:kern w:val="2"/>
          <w:sz w:val="32"/>
          <w:szCs w:val="21"/>
          <w:highlight w:val="none"/>
        </w:rPr>
        <w:t>法定代表人</w:t>
      </w:r>
      <w:bookmarkEnd w:id="744"/>
      <w:r>
        <w:rPr>
          <w:rFonts w:hint="eastAsia" w:ascii="宋体" w:hAnsi="宋体" w:eastAsia="宋体" w:cs="宋体"/>
          <w:b/>
          <w:bCs/>
          <w:color w:val="auto"/>
          <w:sz w:val="30"/>
          <w:szCs w:val="30"/>
          <w:highlight w:val="none"/>
        </w:rPr>
        <w:t>身份证明书</w:t>
      </w:r>
    </w:p>
    <w:p>
      <w:p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单位名称：                                            </w:t>
      </w:r>
    </w:p>
    <w:p>
      <w:p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地    址：            </w:t>
      </w:r>
    </w:p>
    <w:p>
      <w:p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姓    名：        性别：      年龄：       职务：                            </w:t>
      </w:r>
    </w:p>
    <w:p>
      <w:p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系</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的法定代表人。</w:t>
      </w:r>
    </w:p>
    <w:p>
      <w:p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特此证明。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3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3402" w:type="dxa"/>
            <w:noWrap w:val="0"/>
            <w:vAlign w:val="center"/>
          </w:tcPr>
          <w:p>
            <w:pPr>
              <w:rPr>
                <w:rFonts w:hint="eastAsia" w:ascii="宋体" w:hAnsi="宋体" w:cs="宋体"/>
                <w:color w:val="auto"/>
                <w:szCs w:val="28"/>
                <w:highlight w:val="none"/>
              </w:rPr>
            </w:pPr>
            <w:r>
              <w:rPr>
                <w:rFonts w:hint="eastAsia" w:ascii="宋体" w:hAnsi="宋体" w:cs="宋体"/>
                <w:color w:val="auto"/>
                <w:sz w:val="28"/>
                <w:szCs w:val="28"/>
                <w:highlight w:val="none"/>
              </w:rPr>
              <w:t>法定代表人身份证（正面）</w:t>
            </w:r>
          </w:p>
        </w:tc>
        <w:tc>
          <w:tcPr>
            <w:tcW w:w="3439" w:type="dxa"/>
            <w:noWrap w:val="0"/>
            <w:vAlign w:val="center"/>
          </w:tcPr>
          <w:p>
            <w:pPr>
              <w:rPr>
                <w:rFonts w:hint="eastAsia" w:ascii="宋体" w:hAnsi="宋体" w:cs="宋体"/>
                <w:color w:val="auto"/>
                <w:sz w:val="28"/>
                <w:szCs w:val="24"/>
                <w:highlight w:val="none"/>
              </w:rPr>
            </w:pPr>
            <w:r>
              <w:rPr>
                <w:rFonts w:hint="eastAsia" w:ascii="宋体" w:hAnsi="宋体" w:cs="宋体"/>
                <w:color w:val="auto"/>
                <w:sz w:val="28"/>
                <w:szCs w:val="24"/>
                <w:highlight w:val="none"/>
              </w:rPr>
              <w:t>法定代表人身份证（背面）</w:t>
            </w:r>
          </w:p>
        </w:tc>
      </w:tr>
    </w:tbl>
    <w:p>
      <w:pPr>
        <w:pStyle w:val="15"/>
        <w:spacing w:line="312" w:lineRule="auto"/>
        <w:ind w:left="0" w:firstLine="0" w:firstLineChars="0"/>
        <w:rPr>
          <w:rFonts w:hint="eastAsia" w:ascii="宋体" w:hAnsi="宋体" w:cs="宋体"/>
          <w:color w:val="auto"/>
          <w:sz w:val="28"/>
          <w:szCs w:val="28"/>
          <w:highlight w:val="none"/>
        </w:rPr>
      </w:pPr>
    </w:p>
    <w:p>
      <w:pPr>
        <w:pStyle w:val="15"/>
        <w:spacing w:line="312" w:lineRule="auto"/>
        <w:ind w:left="0" w:firstLine="0" w:firstLineChars="0"/>
        <w:rPr>
          <w:rFonts w:hint="eastAsia" w:ascii="宋体" w:hAnsi="宋体" w:cs="宋体"/>
          <w:color w:val="auto"/>
          <w:sz w:val="28"/>
          <w:szCs w:val="28"/>
          <w:highlight w:val="none"/>
        </w:rPr>
      </w:pPr>
    </w:p>
    <w:p>
      <w:pPr>
        <w:pStyle w:val="15"/>
        <w:spacing w:line="312" w:lineRule="auto"/>
        <w:ind w:left="0" w:firstLine="0" w:firstLineChars="0"/>
        <w:rPr>
          <w:rFonts w:hint="eastAsia" w:ascii="宋体" w:hAnsi="宋体" w:cs="宋体"/>
          <w:color w:val="auto"/>
          <w:sz w:val="28"/>
          <w:szCs w:val="28"/>
          <w:highlight w:val="none"/>
        </w:rPr>
      </w:pPr>
    </w:p>
    <w:p>
      <w:pPr>
        <w:pStyle w:val="15"/>
        <w:spacing w:line="312" w:lineRule="auto"/>
        <w:ind w:left="0" w:firstLine="0" w:firstLineChars="0"/>
        <w:rPr>
          <w:rFonts w:hint="eastAsia" w:ascii="宋体" w:hAnsi="宋体" w:cs="宋体"/>
          <w:color w:val="auto"/>
          <w:sz w:val="28"/>
          <w:szCs w:val="28"/>
          <w:highlight w:val="none"/>
        </w:rPr>
      </w:pPr>
    </w:p>
    <w:p>
      <w:pPr>
        <w:pStyle w:val="15"/>
        <w:spacing w:line="312" w:lineRule="auto"/>
        <w:ind w:left="0" w:firstLine="0" w:firstLineChars="0"/>
        <w:rPr>
          <w:rFonts w:hint="eastAsia" w:ascii="宋体" w:hAnsi="宋体" w:cs="宋体"/>
          <w:color w:val="auto"/>
          <w:sz w:val="28"/>
          <w:szCs w:val="28"/>
          <w:highlight w:val="none"/>
        </w:rPr>
      </w:pPr>
    </w:p>
    <w:p>
      <w:pPr>
        <w:pStyle w:val="10"/>
        <w:ind w:left="838" w:firstLine="570" w:firstLineChars="200"/>
        <w:jc w:val="center"/>
        <w:rPr>
          <w:rFonts w:hint="eastAsia" w:ascii="宋体" w:hAnsi="宋体" w:eastAsia="宋体" w:cs="宋体"/>
          <w:color w:val="auto"/>
          <w:highlight w:val="none"/>
        </w:rPr>
      </w:pPr>
      <w:r>
        <w:rPr>
          <w:rFonts w:hint="eastAsia" w:ascii="宋体" w:hAnsi="宋体" w:eastAsia="宋体" w:cs="宋体"/>
          <w:color w:val="auto"/>
          <w:szCs w:val="28"/>
          <w:highlight w:val="none"/>
        </w:rPr>
        <w:t xml:space="preserve">            </w:t>
      </w:r>
      <w:r>
        <w:rPr>
          <w:rFonts w:hint="eastAsia" w:ascii="宋体" w:hAnsi="宋体" w:eastAsia="宋体" w:cs="宋体"/>
          <w:color w:val="auto"/>
          <w:highlight w:val="none"/>
        </w:rPr>
        <w:t>供应商名称（盖章）：</w:t>
      </w:r>
    </w:p>
    <w:p>
      <w:pPr>
        <w:pStyle w:val="10"/>
        <w:ind w:left="838" w:firstLine="570" w:firstLineChars="200"/>
        <w:jc w:val="right"/>
        <w:rPr>
          <w:rFonts w:hint="eastAsia" w:ascii="宋体" w:hAnsi="宋体" w:eastAsia="宋体" w:cs="宋体"/>
          <w:bCs/>
          <w:color w:val="auto"/>
          <w:highlight w:val="none"/>
        </w:rPr>
      </w:pPr>
    </w:p>
    <w:p>
      <w:pPr>
        <w:pStyle w:val="22"/>
        <w:wordWrap w:val="0"/>
        <w:spacing w:line="360" w:lineRule="auto"/>
        <w:ind w:firstLine="567"/>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pPr>
        <w:pStyle w:val="22"/>
        <w:wordWrap w:val="0"/>
        <w:spacing w:line="360" w:lineRule="auto"/>
        <w:ind w:firstLine="567"/>
        <w:jc w:val="right"/>
        <w:rPr>
          <w:rFonts w:hint="eastAsia" w:ascii="宋体" w:hAnsi="宋体" w:cs="宋体"/>
          <w:b/>
          <w:bCs/>
          <w:color w:val="auto"/>
          <w:sz w:val="28"/>
          <w:szCs w:val="28"/>
          <w:highlight w:val="none"/>
        </w:rPr>
      </w:pPr>
      <w:r>
        <w:rPr>
          <w:rFonts w:hint="eastAsia" w:ascii="宋体" w:hAnsi="宋体" w:cs="宋体"/>
          <w:color w:val="auto"/>
          <w:sz w:val="28"/>
          <w:szCs w:val="28"/>
          <w:highlight w:val="none"/>
        </w:rPr>
        <w:t xml:space="preserve"> 日期：     年   月   日</w:t>
      </w:r>
    </w:p>
    <w:p>
      <w:pPr>
        <w:pStyle w:val="33"/>
        <w:spacing w:line="312" w:lineRule="auto"/>
        <w:jc w:val="right"/>
        <w:rPr>
          <w:rFonts w:hint="eastAsia" w:ascii="宋体" w:hAnsi="宋体" w:cs="宋体"/>
          <w:color w:val="auto"/>
          <w:sz w:val="28"/>
          <w:szCs w:val="28"/>
          <w:highlight w:val="none"/>
        </w:rPr>
      </w:pPr>
    </w:p>
    <w:p>
      <w:pPr>
        <w:pStyle w:val="4"/>
        <w:keepNext w:val="0"/>
        <w:numPr>
          <w:ilvl w:val="0"/>
          <w:numId w:val="0"/>
        </w:numPr>
        <w:jc w:val="center"/>
        <w:rPr>
          <w:rFonts w:hint="eastAsia" w:ascii="宋体" w:hAnsi="宋体" w:cs="宋体"/>
          <w:color w:val="auto"/>
          <w:sz w:val="30"/>
          <w:szCs w:val="30"/>
          <w:highlight w:val="none"/>
        </w:rPr>
      </w:pPr>
      <w:bookmarkStart w:id="745" w:name="_Toc1629"/>
      <w:r>
        <w:rPr>
          <w:rStyle w:val="23"/>
          <w:rFonts w:hint="eastAsia" w:ascii="宋体" w:hAnsi="宋体" w:eastAsia="宋体" w:cs="宋体"/>
          <w:color w:val="auto"/>
          <w:sz w:val="32"/>
          <w:szCs w:val="28"/>
          <w:highlight w:val="none"/>
        </w:rPr>
        <w:br w:type="page"/>
      </w:r>
      <w:r>
        <w:rPr>
          <w:rStyle w:val="23"/>
          <w:rFonts w:hint="eastAsia" w:ascii="宋体" w:hAnsi="宋体" w:eastAsia="宋体" w:cs="宋体"/>
          <w:color w:val="auto"/>
          <w:sz w:val="32"/>
          <w:szCs w:val="28"/>
          <w:highlight w:val="none"/>
        </w:rPr>
        <w:t>授权委托书</w:t>
      </w:r>
      <w:bookmarkEnd w:id="745"/>
    </w:p>
    <w:p>
      <w:pPr>
        <w:ind w:firstLine="570" w:firstLineChars="200"/>
        <w:rPr>
          <w:rFonts w:hint="eastAsia" w:ascii="宋体" w:hAnsi="宋体" w:cs="宋体"/>
          <w:color w:val="auto"/>
          <w:sz w:val="28"/>
          <w:szCs w:val="24"/>
          <w:highlight w:val="none"/>
        </w:rPr>
      </w:pPr>
      <w:r>
        <w:rPr>
          <w:rFonts w:hint="eastAsia" w:ascii="宋体" w:hAnsi="宋体" w:cs="宋体"/>
          <w:color w:val="auto"/>
          <w:sz w:val="28"/>
          <w:szCs w:val="24"/>
          <w:highlight w:val="none"/>
        </w:rPr>
        <w:t>本授权委托书声明：我</w:t>
      </w:r>
      <w:r>
        <w:rPr>
          <w:rFonts w:hint="eastAsia" w:ascii="宋体" w:hAnsi="宋体" w:cs="宋体"/>
          <w:color w:val="auto"/>
          <w:sz w:val="28"/>
          <w:szCs w:val="24"/>
          <w:highlight w:val="none"/>
          <w:u w:val="single"/>
        </w:rPr>
        <w:t xml:space="preserve"> （姓名） </w:t>
      </w:r>
      <w:r>
        <w:rPr>
          <w:rFonts w:hint="eastAsia" w:ascii="宋体" w:hAnsi="宋体" w:cs="宋体"/>
          <w:color w:val="auto"/>
          <w:sz w:val="28"/>
          <w:szCs w:val="24"/>
          <w:highlight w:val="none"/>
        </w:rPr>
        <w:t>系</w:t>
      </w:r>
      <w:r>
        <w:rPr>
          <w:rFonts w:hint="eastAsia" w:ascii="宋体" w:hAnsi="宋体" w:cs="宋体"/>
          <w:color w:val="auto"/>
          <w:sz w:val="28"/>
          <w:szCs w:val="24"/>
          <w:highlight w:val="none"/>
          <w:u w:val="single"/>
        </w:rPr>
        <w:t xml:space="preserve"> （供应商名称） </w:t>
      </w:r>
      <w:r>
        <w:rPr>
          <w:rFonts w:hint="eastAsia" w:ascii="宋体" w:hAnsi="宋体" w:cs="宋体"/>
          <w:color w:val="auto"/>
          <w:sz w:val="28"/>
          <w:szCs w:val="24"/>
          <w:highlight w:val="none"/>
        </w:rPr>
        <w:t>的法定代表人，现授权委托</w:t>
      </w:r>
      <w:r>
        <w:rPr>
          <w:rFonts w:hint="eastAsia" w:ascii="宋体" w:hAnsi="宋体" w:cs="宋体"/>
          <w:color w:val="auto"/>
          <w:sz w:val="28"/>
          <w:szCs w:val="24"/>
          <w:highlight w:val="none"/>
          <w:u w:val="single"/>
        </w:rPr>
        <w:t xml:space="preserve"> （供应商名称） </w:t>
      </w:r>
      <w:r>
        <w:rPr>
          <w:rFonts w:hint="eastAsia" w:ascii="宋体" w:hAnsi="宋体" w:cs="宋体"/>
          <w:color w:val="auto"/>
          <w:sz w:val="28"/>
          <w:szCs w:val="24"/>
          <w:highlight w:val="none"/>
        </w:rPr>
        <w:t xml:space="preserve">的 </w:t>
      </w:r>
      <w:r>
        <w:rPr>
          <w:rFonts w:hint="eastAsia" w:ascii="宋体" w:hAnsi="宋体" w:cs="宋体"/>
          <w:color w:val="auto"/>
          <w:sz w:val="28"/>
          <w:szCs w:val="24"/>
          <w:highlight w:val="none"/>
          <w:u w:val="single"/>
        </w:rPr>
        <w:t xml:space="preserve"> （姓名、身份证号） </w:t>
      </w:r>
      <w:r>
        <w:rPr>
          <w:rFonts w:hint="eastAsia" w:ascii="宋体" w:hAnsi="宋体" w:cs="宋体"/>
          <w:color w:val="auto"/>
          <w:sz w:val="28"/>
          <w:szCs w:val="24"/>
          <w:highlight w:val="none"/>
        </w:rPr>
        <w:t>我公司代理人，以本公司的名义参加</w:t>
      </w:r>
      <w:r>
        <w:rPr>
          <w:rFonts w:hint="eastAsia" w:ascii="宋体" w:hAnsi="宋体" w:cs="宋体"/>
          <w:color w:val="auto"/>
          <w:sz w:val="28"/>
          <w:szCs w:val="24"/>
          <w:highlight w:val="none"/>
          <w:u w:val="single"/>
        </w:rPr>
        <w:t xml:space="preserve"> （项目名称） </w:t>
      </w:r>
      <w:r>
        <w:rPr>
          <w:rFonts w:hint="eastAsia" w:ascii="宋体" w:hAnsi="宋体" w:cs="宋体"/>
          <w:color w:val="auto"/>
          <w:sz w:val="28"/>
          <w:szCs w:val="24"/>
          <w:highlight w:val="none"/>
        </w:rPr>
        <w:t>的投标活动。</w:t>
      </w:r>
    </w:p>
    <w:p>
      <w:pPr>
        <w:ind w:firstLine="570" w:firstLineChars="200"/>
        <w:rPr>
          <w:rFonts w:hint="eastAsia" w:ascii="宋体" w:hAnsi="宋体" w:cs="宋体"/>
          <w:color w:val="auto"/>
          <w:sz w:val="28"/>
          <w:szCs w:val="24"/>
          <w:highlight w:val="none"/>
        </w:rPr>
      </w:pPr>
      <w:r>
        <w:rPr>
          <w:rFonts w:hint="eastAsia" w:ascii="宋体" w:hAnsi="宋体" w:cs="宋体"/>
          <w:color w:val="auto"/>
          <w:sz w:val="28"/>
          <w:szCs w:val="24"/>
          <w:highlight w:val="none"/>
        </w:rPr>
        <w:t>代理人在处理投标的过程中所签署的一切文件和处理与之有关的一切事务，我均予以承认。</w:t>
      </w:r>
    </w:p>
    <w:p>
      <w:pPr>
        <w:ind w:firstLine="570" w:firstLineChars="200"/>
        <w:rPr>
          <w:rFonts w:hint="eastAsia" w:ascii="宋体" w:hAnsi="宋体" w:cs="宋体"/>
          <w:color w:val="auto"/>
          <w:sz w:val="28"/>
          <w:szCs w:val="24"/>
          <w:highlight w:val="none"/>
        </w:rPr>
      </w:pPr>
      <w:r>
        <w:rPr>
          <w:rFonts w:hint="eastAsia" w:ascii="宋体" w:hAnsi="宋体" w:cs="宋体"/>
          <w:color w:val="auto"/>
          <w:sz w:val="28"/>
          <w:szCs w:val="24"/>
          <w:highlight w:val="none"/>
        </w:rPr>
        <w:t>授权期限:</w:t>
      </w:r>
      <w:r>
        <w:rPr>
          <w:rFonts w:hint="eastAsia" w:ascii="宋体" w:hAnsi="宋体" w:cs="宋体"/>
          <w:color w:val="auto"/>
          <w:sz w:val="28"/>
          <w:szCs w:val="24"/>
          <w:highlight w:val="none"/>
          <w:u w:val="single"/>
        </w:rPr>
        <w:t xml:space="preserve">     </w:t>
      </w:r>
      <w:r>
        <w:rPr>
          <w:rFonts w:hint="eastAsia" w:ascii="宋体" w:hAnsi="宋体" w:cs="宋体"/>
          <w:color w:val="auto"/>
          <w:sz w:val="28"/>
          <w:szCs w:val="24"/>
          <w:highlight w:val="none"/>
        </w:rPr>
        <w:t>年</w:t>
      </w:r>
      <w:r>
        <w:rPr>
          <w:rFonts w:hint="eastAsia" w:ascii="宋体" w:hAnsi="宋体" w:cs="宋体"/>
          <w:color w:val="auto"/>
          <w:sz w:val="28"/>
          <w:szCs w:val="24"/>
          <w:highlight w:val="none"/>
          <w:u w:val="single"/>
        </w:rPr>
        <w:t xml:space="preserve">   </w:t>
      </w:r>
      <w:r>
        <w:rPr>
          <w:rFonts w:hint="eastAsia" w:ascii="宋体" w:hAnsi="宋体" w:cs="宋体"/>
          <w:color w:val="auto"/>
          <w:sz w:val="28"/>
          <w:szCs w:val="24"/>
          <w:highlight w:val="none"/>
        </w:rPr>
        <w:t>月</w:t>
      </w:r>
      <w:r>
        <w:rPr>
          <w:rFonts w:hint="eastAsia" w:ascii="宋体" w:hAnsi="宋体" w:cs="宋体"/>
          <w:color w:val="auto"/>
          <w:sz w:val="28"/>
          <w:szCs w:val="24"/>
          <w:highlight w:val="none"/>
          <w:u w:val="single"/>
        </w:rPr>
        <w:t xml:space="preserve">   </w:t>
      </w:r>
      <w:r>
        <w:rPr>
          <w:rFonts w:hint="eastAsia" w:ascii="宋体" w:hAnsi="宋体" w:cs="宋体"/>
          <w:color w:val="auto"/>
          <w:sz w:val="28"/>
          <w:szCs w:val="24"/>
          <w:highlight w:val="none"/>
        </w:rPr>
        <w:t>日至</w:t>
      </w:r>
      <w:r>
        <w:rPr>
          <w:rFonts w:hint="eastAsia" w:ascii="宋体" w:hAnsi="宋体" w:cs="宋体"/>
          <w:color w:val="auto"/>
          <w:sz w:val="28"/>
          <w:szCs w:val="24"/>
          <w:highlight w:val="none"/>
          <w:u w:val="single"/>
        </w:rPr>
        <w:t xml:space="preserve">     </w:t>
      </w:r>
      <w:r>
        <w:rPr>
          <w:rFonts w:hint="eastAsia" w:ascii="宋体" w:hAnsi="宋体" w:cs="宋体"/>
          <w:color w:val="auto"/>
          <w:sz w:val="28"/>
          <w:szCs w:val="24"/>
          <w:highlight w:val="none"/>
        </w:rPr>
        <w:t>年</w:t>
      </w:r>
      <w:r>
        <w:rPr>
          <w:rFonts w:hint="eastAsia" w:ascii="宋体" w:hAnsi="宋体" w:cs="宋体"/>
          <w:color w:val="auto"/>
          <w:sz w:val="28"/>
          <w:szCs w:val="24"/>
          <w:highlight w:val="none"/>
          <w:u w:val="single"/>
        </w:rPr>
        <w:t xml:space="preserve">   </w:t>
      </w:r>
      <w:r>
        <w:rPr>
          <w:rFonts w:hint="eastAsia" w:ascii="宋体" w:hAnsi="宋体" w:cs="宋体"/>
          <w:color w:val="auto"/>
          <w:sz w:val="28"/>
          <w:szCs w:val="24"/>
          <w:highlight w:val="none"/>
        </w:rPr>
        <w:t>月</w:t>
      </w:r>
      <w:r>
        <w:rPr>
          <w:rFonts w:hint="eastAsia" w:ascii="宋体" w:hAnsi="宋体" w:cs="宋体"/>
          <w:color w:val="auto"/>
          <w:sz w:val="28"/>
          <w:szCs w:val="24"/>
          <w:highlight w:val="none"/>
          <w:u w:val="single"/>
        </w:rPr>
        <w:t xml:space="preserve">   </w:t>
      </w:r>
      <w:r>
        <w:rPr>
          <w:rFonts w:hint="eastAsia" w:ascii="宋体" w:hAnsi="宋体" w:cs="宋体"/>
          <w:color w:val="auto"/>
          <w:sz w:val="28"/>
          <w:szCs w:val="24"/>
          <w:highlight w:val="none"/>
        </w:rPr>
        <w:t>日</w:t>
      </w:r>
    </w:p>
    <w:p>
      <w:pPr>
        <w:ind w:firstLine="570" w:firstLineChars="200"/>
        <w:rPr>
          <w:rFonts w:hint="eastAsia" w:ascii="宋体" w:hAnsi="宋体" w:cs="宋体"/>
          <w:color w:val="auto"/>
          <w:sz w:val="28"/>
          <w:szCs w:val="24"/>
          <w:highlight w:val="none"/>
        </w:rPr>
      </w:pPr>
      <w:bookmarkStart w:id="746" w:name="_Toc23318"/>
      <w:bookmarkStart w:id="747" w:name="_Toc6017"/>
      <w:r>
        <w:rPr>
          <w:rFonts w:hint="eastAsia" w:ascii="宋体" w:hAnsi="宋体" w:cs="宋体"/>
          <w:color w:val="auto"/>
          <w:sz w:val="28"/>
          <w:szCs w:val="24"/>
          <w:highlight w:val="none"/>
        </w:rPr>
        <w:t>委托代理人无转委权。特此委托。</w:t>
      </w:r>
    </w:p>
    <w:p>
      <w:pPr>
        <w:ind w:firstLine="570" w:firstLineChars="200"/>
        <w:rPr>
          <w:rFonts w:hint="eastAsia" w:ascii="宋体" w:hAnsi="宋体" w:cs="宋体"/>
          <w:color w:val="auto"/>
          <w:sz w:val="28"/>
          <w:szCs w:val="24"/>
          <w:highlight w:val="none"/>
        </w:rPr>
      </w:pPr>
      <w:r>
        <w:rPr>
          <w:rFonts w:hint="eastAsia" w:ascii="宋体" w:hAnsi="宋体" w:cs="宋体"/>
          <w:color w:val="auto"/>
          <w:sz w:val="28"/>
          <w:szCs w:val="24"/>
          <w:highlight w:val="none"/>
        </w:rPr>
        <w:t>委托代理人：            性  别：</w:t>
      </w:r>
    </w:p>
    <w:p>
      <w:pPr>
        <w:ind w:firstLine="570" w:firstLineChars="200"/>
        <w:rPr>
          <w:rFonts w:hint="eastAsia" w:ascii="宋体" w:hAnsi="宋体" w:cs="宋体"/>
          <w:color w:val="auto"/>
          <w:sz w:val="28"/>
          <w:szCs w:val="24"/>
          <w:highlight w:val="none"/>
        </w:rPr>
      </w:pPr>
      <w:r>
        <w:rPr>
          <w:rFonts w:hint="eastAsia" w:ascii="宋体" w:hAnsi="宋体" w:cs="宋体"/>
          <w:color w:val="auto"/>
          <w:sz w:val="28"/>
          <w:szCs w:val="24"/>
          <w:highlight w:val="none"/>
        </w:rPr>
        <w:t>身份证号码：            电  话：</w:t>
      </w:r>
    </w:p>
    <w:p>
      <w:pPr>
        <w:ind w:firstLine="570" w:firstLineChars="200"/>
        <w:rPr>
          <w:rFonts w:hint="eastAsia" w:ascii="宋体" w:hAnsi="宋体" w:cs="宋体"/>
          <w:color w:val="auto"/>
          <w:sz w:val="28"/>
          <w:szCs w:val="24"/>
          <w:highlight w:val="none"/>
        </w:rPr>
      </w:pPr>
      <w:r>
        <w:rPr>
          <w:rFonts w:hint="eastAsia" w:ascii="宋体" w:hAnsi="宋体" w:cs="宋体"/>
          <w:color w:val="auto"/>
          <w:sz w:val="28"/>
          <w:szCs w:val="24"/>
          <w:highlight w:val="none"/>
        </w:rPr>
        <w:t xml:space="preserve">部  门：                职  务：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3402" w:type="dxa"/>
            <w:noWrap w:val="0"/>
            <w:vAlign w:val="center"/>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法定代表人身份证（正面）</w:t>
            </w:r>
          </w:p>
        </w:tc>
        <w:tc>
          <w:tcPr>
            <w:tcW w:w="3402" w:type="dxa"/>
            <w:noWrap w:val="0"/>
            <w:vAlign w:val="center"/>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法定代表人身份证（背面）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3402" w:type="dxa"/>
            <w:noWrap w:val="0"/>
            <w:vAlign w:val="center"/>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委托代理人身份证（正面）</w:t>
            </w:r>
          </w:p>
        </w:tc>
        <w:tc>
          <w:tcPr>
            <w:tcW w:w="3402" w:type="dxa"/>
            <w:noWrap w:val="0"/>
            <w:vAlign w:val="center"/>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委托代理人身份证（背面）</w:t>
            </w:r>
          </w:p>
        </w:tc>
      </w:tr>
    </w:tbl>
    <w:p>
      <w:pPr>
        <w:spacing w:line="60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供应商名称（盖章）：</w:t>
      </w:r>
    </w:p>
    <w:p>
      <w:pPr>
        <w:spacing w:line="60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法定代表人（签字或盖章）：</w:t>
      </w:r>
    </w:p>
    <w:p>
      <w:pPr>
        <w:spacing w:line="60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委托代理人（签字或盖章）：</w:t>
      </w:r>
    </w:p>
    <w:p>
      <w:pPr>
        <w:spacing w:line="60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日期：     年   月   日</w:t>
      </w:r>
      <w:bookmarkStart w:id="748" w:name="_Toc24450"/>
    </w:p>
    <w:p>
      <w:pPr>
        <w:rPr>
          <w:rStyle w:val="23"/>
          <w:rFonts w:hint="eastAsia" w:ascii="宋体" w:hAnsi="宋体" w:eastAsia="宋体" w:cs="宋体"/>
          <w:color w:val="auto"/>
          <w:szCs w:val="28"/>
          <w:highlight w:val="none"/>
        </w:rPr>
      </w:pPr>
      <w:r>
        <w:rPr>
          <w:rFonts w:hint="eastAsia" w:ascii="宋体" w:hAnsi="宋体" w:cs="宋体"/>
          <w:color w:val="auto"/>
          <w:sz w:val="28"/>
          <w:szCs w:val="28"/>
          <w:highlight w:val="none"/>
        </w:rPr>
        <w:br w:type="page"/>
      </w:r>
      <w:r>
        <w:rPr>
          <w:rStyle w:val="23"/>
          <w:rFonts w:hint="eastAsia" w:ascii="宋体" w:hAnsi="宋体" w:eastAsia="宋体" w:cs="宋体"/>
          <w:b/>
          <w:bCs/>
          <w:color w:val="auto"/>
          <w:szCs w:val="28"/>
          <w:highlight w:val="none"/>
        </w:rPr>
        <w:t>附件3</w:t>
      </w:r>
      <w:bookmarkEnd w:id="746"/>
      <w:bookmarkEnd w:id="747"/>
      <w:r>
        <w:rPr>
          <w:rFonts w:hint="eastAsia" w:ascii="宋体" w:hAnsi="宋体" w:cs="宋体"/>
          <w:b/>
          <w:bCs/>
          <w:color w:val="auto"/>
          <w:szCs w:val="28"/>
          <w:highlight w:val="none"/>
        </w:rPr>
        <w:t>:</w:t>
      </w:r>
      <w:bookmarkEnd w:id="748"/>
    </w:p>
    <w:p>
      <w:pPr>
        <w:pStyle w:val="4"/>
        <w:keepNext w:val="0"/>
        <w:numPr>
          <w:ilvl w:val="0"/>
          <w:numId w:val="0"/>
        </w:numPr>
        <w:jc w:val="center"/>
        <w:rPr>
          <w:rStyle w:val="23"/>
          <w:rFonts w:hint="eastAsia" w:ascii="宋体" w:hAnsi="宋体" w:eastAsia="宋体" w:cs="宋体"/>
          <w:color w:val="auto"/>
          <w:sz w:val="32"/>
          <w:szCs w:val="28"/>
          <w:highlight w:val="none"/>
        </w:rPr>
      </w:pPr>
      <w:r>
        <w:rPr>
          <w:rStyle w:val="23"/>
          <w:rFonts w:hint="eastAsia" w:ascii="宋体" w:hAnsi="宋体" w:eastAsia="宋体" w:cs="宋体"/>
          <w:color w:val="auto"/>
          <w:sz w:val="32"/>
          <w:szCs w:val="28"/>
          <w:highlight w:val="none"/>
        </w:rPr>
        <w:t>报价一览表</w:t>
      </w:r>
    </w:p>
    <w:tbl>
      <w:tblPr>
        <w:tblStyle w:val="19"/>
        <w:tblW w:w="8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tcBorders>
              <w:bottom w:val="single" w:color="auto" w:sz="4" w:space="0"/>
            </w:tcBorders>
            <w:noWrap w:val="0"/>
            <w:vAlign w:val="center"/>
          </w:tcPr>
          <w:p>
            <w:pPr>
              <w:jc w:val="center"/>
              <w:rPr>
                <w:rFonts w:hint="eastAsia" w:ascii="宋体" w:hAnsi="宋体" w:cs="宋体"/>
                <w:color w:val="auto"/>
                <w:sz w:val="28"/>
                <w:szCs w:val="28"/>
                <w:highlight w:val="none"/>
              </w:rPr>
            </w:pPr>
            <w:bookmarkStart w:id="749" w:name="_Toc3980"/>
            <w:bookmarkStart w:id="750" w:name="_Toc14063"/>
            <w:r>
              <w:rPr>
                <w:rFonts w:hint="eastAsia" w:ascii="宋体" w:hAnsi="宋体" w:cs="宋体"/>
                <w:color w:val="auto"/>
                <w:sz w:val="28"/>
                <w:szCs w:val="28"/>
                <w:highlight w:val="none"/>
              </w:rPr>
              <w:t>供应商名称</w:t>
            </w:r>
          </w:p>
        </w:tc>
        <w:tc>
          <w:tcPr>
            <w:tcW w:w="6493" w:type="dxa"/>
            <w:tcBorders>
              <w:bottom w:val="single" w:color="auto" w:sz="4" w:space="0"/>
            </w:tcBorders>
            <w:noWrap w:val="0"/>
            <w:vAlign w:val="center"/>
          </w:tcPr>
          <w:p>
            <w:pP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tcBorders>
              <w:bottom w:val="single" w:color="auto" w:sz="4" w:space="0"/>
            </w:tcBorders>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项目名称</w:t>
            </w:r>
          </w:p>
        </w:tc>
        <w:tc>
          <w:tcPr>
            <w:tcW w:w="6493" w:type="dxa"/>
            <w:tcBorders>
              <w:bottom w:val="single" w:color="auto" w:sz="4" w:space="0"/>
            </w:tcBorders>
            <w:noWrap w:val="0"/>
            <w:vAlign w:val="center"/>
          </w:tcPr>
          <w:p>
            <w:pP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报价</w:t>
            </w:r>
          </w:p>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（元）</w:t>
            </w:r>
          </w:p>
        </w:tc>
        <w:tc>
          <w:tcPr>
            <w:tcW w:w="6493" w:type="dxa"/>
            <w:noWrap w:val="0"/>
            <w:vAlign w:val="center"/>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小写：</w:t>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服务期限</w:t>
            </w:r>
          </w:p>
        </w:tc>
        <w:tc>
          <w:tcPr>
            <w:tcW w:w="6493" w:type="dxa"/>
            <w:noWrap w:val="0"/>
            <w:vAlign w:val="center"/>
          </w:tcPr>
          <w:p>
            <w:pP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备    注</w:t>
            </w:r>
          </w:p>
        </w:tc>
        <w:tc>
          <w:tcPr>
            <w:tcW w:w="6493" w:type="dxa"/>
            <w:noWrap w:val="0"/>
            <w:vAlign w:val="center"/>
          </w:tcPr>
          <w:p>
            <w:pPr>
              <w:rPr>
                <w:rFonts w:hint="eastAsia" w:ascii="宋体" w:hAnsi="宋体" w:cs="宋体"/>
                <w:color w:val="auto"/>
                <w:sz w:val="28"/>
                <w:szCs w:val="28"/>
                <w:highlight w:val="none"/>
              </w:rPr>
            </w:pPr>
            <w:r>
              <w:rPr>
                <w:rFonts w:hint="eastAsia" w:ascii="宋体" w:hAnsi="宋体" w:cs="宋体"/>
                <w:color w:val="auto"/>
                <w:sz w:val="28"/>
                <w:szCs w:val="28"/>
                <w:highlight w:val="none"/>
                <w:lang w:val="zh-CN"/>
              </w:rPr>
              <w:t>报价包含本合同承揽事项所需的一切</w:t>
            </w:r>
            <w:r>
              <w:rPr>
                <w:rFonts w:hint="eastAsia" w:ascii="宋体" w:hAnsi="宋体" w:cs="宋体"/>
                <w:color w:val="auto"/>
                <w:sz w:val="28"/>
                <w:szCs w:val="28"/>
                <w:highlight w:val="none"/>
              </w:rPr>
              <w:t>费用</w:t>
            </w:r>
            <w:r>
              <w:rPr>
                <w:rFonts w:hint="eastAsia" w:ascii="宋体" w:hAnsi="宋体" w:cs="宋体"/>
                <w:color w:val="auto"/>
                <w:sz w:val="28"/>
                <w:szCs w:val="28"/>
                <w:highlight w:val="none"/>
                <w:lang w:val="zh-CN"/>
              </w:rPr>
              <w:t>（人工费、材料费、差旅费、委托第三方事项产生的所有设备费和其他费用以及本项目产生的所有税费）</w:t>
            </w:r>
          </w:p>
        </w:tc>
      </w:tr>
    </w:tbl>
    <w:p>
      <w:pPr>
        <w:jc w:val="left"/>
        <w:rPr>
          <w:rFonts w:hint="eastAsia" w:ascii="宋体" w:hAnsi="宋体" w:cs="宋体"/>
          <w:b/>
          <w:bCs/>
          <w:color w:val="auto"/>
          <w:sz w:val="28"/>
          <w:szCs w:val="28"/>
          <w:highlight w:val="none"/>
        </w:rPr>
      </w:pPr>
    </w:p>
    <w:p>
      <w:pPr>
        <w:spacing w:line="600" w:lineRule="auto"/>
        <w:jc w:val="center"/>
        <w:rPr>
          <w:rFonts w:hint="eastAsia" w:ascii="宋体" w:hAnsi="宋体" w:cs="宋体"/>
          <w:color w:val="auto"/>
          <w:sz w:val="28"/>
          <w:szCs w:val="28"/>
          <w:highlight w:val="none"/>
        </w:rPr>
      </w:pPr>
      <w:r>
        <w:rPr>
          <w:rFonts w:hint="eastAsia" w:ascii="宋体" w:hAnsi="宋体" w:cs="宋体"/>
          <w:bCs/>
          <w:color w:val="auto"/>
          <w:highlight w:val="none"/>
        </w:rPr>
        <w:t xml:space="preserve">    </w:t>
      </w:r>
      <w:r>
        <w:rPr>
          <w:rFonts w:hint="eastAsia" w:ascii="宋体" w:hAnsi="宋体" w:cs="宋体"/>
          <w:color w:val="auto"/>
          <w:sz w:val="28"/>
          <w:szCs w:val="28"/>
          <w:highlight w:val="none"/>
        </w:rPr>
        <w:t>供应商名称（盖章）：</w:t>
      </w:r>
    </w:p>
    <w:p>
      <w:pPr>
        <w:spacing w:line="60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法定代表人或委托代理人（签字或盖章）：</w:t>
      </w:r>
    </w:p>
    <w:p>
      <w:pPr>
        <w:spacing w:line="60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日期：     年   月   日</w:t>
      </w:r>
    </w:p>
    <w:p>
      <w:pPr>
        <w:pStyle w:val="2"/>
        <w:ind w:firstLine="0"/>
        <w:jc w:val="right"/>
        <w:rPr>
          <w:rFonts w:hint="eastAsia" w:ascii="宋体" w:hAnsi="宋体" w:cs="宋体"/>
          <w:color w:val="auto"/>
          <w:highlight w:val="none"/>
        </w:rPr>
      </w:pPr>
    </w:p>
    <w:p>
      <w:pPr>
        <w:spacing w:line="600" w:lineRule="auto"/>
        <w:rPr>
          <w:rStyle w:val="23"/>
          <w:rFonts w:hint="eastAsia" w:ascii="宋体" w:hAnsi="宋体" w:eastAsia="宋体" w:cs="宋体"/>
          <w:color w:val="auto"/>
          <w:sz w:val="32"/>
          <w:szCs w:val="28"/>
          <w:highlight w:val="none"/>
        </w:rPr>
      </w:pPr>
      <w:bookmarkStart w:id="751" w:name="_Toc22327"/>
      <w:r>
        <w:rPr>
          <w:rStyle w:val="23"/>
          <w:rFonts w:hint="eastAsia" w:ascii="宋体" w:hAnsi="宋体" w:eastAsia="宋体" w:cs="宋体"/>
          <w:color w:val="auto"/>
          <w:sz w:val="32"/>
          <w:szCs w:val="28"/>
          <w:highlight w:val="none"/>
        </w:rPr>
        <w:br w:type="page"/>
      </w:r>
      <w:bookmarkEnd w:id="749"/>
      <w:bookmarkEnd w:id="750"/>
      <w:bookmarkEnd w:id="751"/>
      <w:bookmarkStart w:id="752" w:name="_Toc22472"/>
      <w:bookmarkStart w:id="753" w:name="_Toc8623"/>
      <w:bookmarkStart w:id="754" w:name="_Toc10628"/>
      <w:bookmarkStart w:id="755" w:name="_Toc21598"/>
      <w:bookmarkStart w:id="756" w:name="_Toc7675"/>
      <w:r>
        <w:rPr>
          <w:rStyle w:val="23"/>
          <w:rFonts w:hint="eastAsia" w:ascii="宋体" w:hAnsi="宋体" w:eastAsia="宋体" w:cs="宋体"/>
          <w:b/>
          <w:bCs/>
          <w:color w:val="auto"/>
          <w:sz w:val="32"/>
          <w:szCs w:val="28"/>
          <w:highlight w:val="none"/>
        </w:rPr>
        <w:t>附件4:</w:t>
      </w:r>
      <w:bookmarkEnd w:id="752"/>
      <w:bookmarkEnd w:id="753"/>
      <w:bookmarkEnd w:id="754"/>
    </w:p>
    <w:p>
      <w:pPr>
        <w:pStyle w:val="4"/>
        <w:keepNext w:val="0"/>
        <w:numPr>
          <w:ilvl w:val="0"/>
          <w:numId w:val="0"/>
        </w:numPr>
        <w:jc w:val="center"/>
        <w:rPr>
          <w:rStyle w:val="23"/>
          <w:rFonts w:hint="eastAsia" w:ascii="宋体" w:hAnsi="宋体" w:eastAsia="宋体" w:cs="宋体"/>
          <w:color w:val="auto"/>
          <w:sz w:val="32"/>
          <w:szCs w:val="28"/>
          <w:highlight w:val="none"/>
        </w:rPr>
      </w:pPr>
      <w:bookmarkStart w:id="757" w:name="_Toc25246"/>
      <w:bookmarkStart w:id="758" w:name="_Toc13575"/>
      <w:bookmarkStart w:id="759" w:name="_Toc11446"/>
      <w:r>
        <w:rPr>
          <w:rStyle w:val="23"/>
          <w:rFonts w:hint="eastAsia" w:ascii="宋体" w:hAnsi="宋体" w:eastAsia="宋体" w:cs="宋体"/>
          <w:color w:val="auto"/>
          <w:sz w:val="32"/>
          <w:szCs w:val="28"/>
          <w:highlight w:val="none"/>
        </w:rPr>
        <w:t>供应商概况表</w:t>
      </w:r>
      <w:bookmarkEnd w:id="757"/>
      <w:bookmarkEnd w:id="758"/>
      <w:bookmarkEnd w:id="759"/>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980"/>
        <w:gridCol w:w="146"/>
        <w:gridCol w:w="893"/>
        <w:gridCol w:w="917"/>
        <w:gridCol w:w="459"/>
        <w:gridCol w:w="341"/>
        <w:gridCol w:w="1176"/>
        <w:gridCol w:w="147"/>
        <w:gridCol w:w="57"/>
        <w:gridCol w:w="686"/>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725" w:type="dxa"/>
            <w:noWrap w:val="0"/>
            <w:vAlign w:val="center"/>
          </w:tcPr>
          <w:p>
            <w:pPr>
              <w:pStyle w:val="34"/>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7471" w:type="dxa"/>
            <w:gridSpan w:val="11"/>
            <w:noWrap w:val="0"/>
            <w:vAlign w:val="center"/>
          </w:tcPr>
          <w:p>
            <w:pPr>
              <w:pStyle w:val="34"/>
              <w:topLinePunc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25" w:type="dxa"/>
            <w:noWrap w:val="0"/>
            <w:vAlign w:val="center"/>
          </w:tcPr>
          <w:p>
            <w:pPr>
              <w:pStyle w:val="34"/>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注册地址</w:t>
            </w:r>
          </w:p>
        </w:tc>
        <w:tc>
          <w:tcPr>
            <w:tcW w:w="7471" w:type="dxa"/>
            <w:gridSpan w:val="11"/>
            <w:noWrap w:val="0"/>
            <w:vAlign w:val="center"/>
          </w:tcPr>
          <w:p>
            <w:pPr>
              <w:pStyle w:val="34"/>
              <w:topLinePunc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725" w:type="dxa"/>
            <w:vMerge w:val="restart"/>
            <w:noWrap w:val="0"/>
            <w:vAlign w:val="center"/>
          </w:tcPr>
          <w:p>
            <w:pPr>
              <w:pStyle w:val="34"/>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1126" w:type="dxa"/>
            <w:gridSpan w:val="2"/>
            <w:noWrap w:val="0"/>
            <w:vAlign w:val="center"/>
          </w:tcPr>
          <w:p>
            <w:pPr>
              <w:pStyle w:val="34"/>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tc>
        <w:tc>
          <w:tcPr>
            <w:tcW w:w="2610" w:type="dxa"/>
            <w:gridSpan w:val="4"/>
            <w:noWrap w:val="0"/>
            <w:vAlign w:val="center"/>
          </w:tcPr>
          <w:p>
            <w:pPr>
              <w:pStyle w:val="34"/>
              <w:topLinePunct/>
              <w:jc w:val="center"/>
              <w:rPr>
                <w:rFonts w:hint="eastAsia" w:ascii="宋体" w:hAnsi="宋体" w:cs="宋体"/>
                <w:color w:val="auto"/>
                <w:sz w:val="24"/>
                <w:szCs w:val="24"/>
                <w:highlight w:val="none"/>
              </w:rPr>
            </w:pPr>
          </w:p>
        </w:tc>
        <w:tc>
          <w:tcPr>
            <w:tcW w:w="1380" w:type="dxa"/>
            <w:gridSpan w:val="3"/>
            <w:noWrap w:val="0"/>
            <w:vAlign w:val="center"/>
          </w:tcPr>
          <w:p>
            <w:pPr>
              <w:pStyle w:val="34"/>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电 话</w:t>
            </w:r>
          </w:p>
        </w:tc>
        <w:tc>
          <w:tcPr>
            <w:tcW w:w="2355" w:type="dxa"/>
            <w:gridSpan w:val="2"/>
            <w:noWrap w:val="0"/>
            <w:vAlign w:val="center"/>
          </w:tcPr>
          <w:p>
            <w:pPr>
              <w:pStyle w:val="34"/>
              <w:topLinePunc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725" w:type="dxa"/>
            <w:vMerge w:val="continue"/>
            <w:noWrap w:val="0"/>
            <w:vAlign w:val="center"/>
          </w:tcPr>
          <w:p>
            <w:pPr>
              <w:rPr>
                <w:rFonts w:hint="eastAsia" w:ascii="宋体" w:hAnsi="宋体" w:cs="宋体"/>
                <w:color w:val="auto"/>
                <w:sz w:val="24"/>
                <w:szCs w:val="24"/>
                <w:highlight w:val="none"/>
              </w:rPr>
            </w:pPr>
          </w:p>
        </w:tc>
        <w:tc>
          <w:tcPr>
            <w:tcW w:w="1126" w:type="dxa"/>
            <w:gridSpan w:val="2"/>
            <w:noWrap w:val="0"/>
            <w:vAlign w:val="center"/>
          </w:tcPr>
          <w:p>
            <w:pPr>
              <w:pStyle w:val="34"/>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传  真</w:t>
            </w:r>
          </w:p>
        </w:tc>
        <w:tc>
          <w:tcPr>
            <w:tcW w:w="2610" w:type="dxa"/>
            <w:gridSpan w:val="4"/>
            <w:noWrap w:val="0"/>
            <w:vAlign w:val="center"/>
          </w:tcPr>
          <w:p>
            <w:pPr>
              <w:pStyle w:val="34"/>
              <w:topLinePunct/>
              <w:jc w:val="center"/>
              <w:rPr>
                <w:rFonts w:hint="eastAsia" w:ascii="宋体" w:hAnsi="宋体" w:cs="宋体"/>
                <w:color w:val="auto"/>
                <w:sz w:val="24"/>
                <w:szCs w:val="24"/>
                <w:highlight w:val="none"/>
              </w:rPr>
            </w:pPr>
          </w:p>
        </w:tc>
        <w:tc>
          <w:tcPr>
            <w:tcW w:w="1380" w:type="dxa"/>
            <w:gridSpan w:val="3"/>
            <w:noWrap w:val="0"/>
            <w:vAlign w:val="center"/>
          </w:tcPr>
          <w:p>
            <w:pPr>
              <w:pStyle w:val="34"/>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网 址</w:t>
            </w:r>
          </w:p>
        </w:tc>
        <w:tc>
          <w:tcPr>
            <w:tcW w:w="2355" w:type="dxa"/>
            <w:gridSpan w:val="2"/>
            <w:noWrap w:val="0"/>
            <w:vAlign w:val="center"/>
          </w:tcPr>
          <w:p>
            <w:pPr>
              <w:pStyle w:val="34"/>
              <w:topLinePunc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725" w:type="dxa"/>
            <w:noWrap w:val="0"/>
            <w:vAlign w:val="center"/>
          </w:tcPr>
          <w:p>
            <w:pPr>
              <w:pStyle w:val="34"/>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主管部门</w:t>
            </w:r>
          </w:p>
          <w:p>
            <w:pPr>
              <w:pStyle w:val="34"/>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（如有）</w:t>
            </w:r>
          </w:p>
        </w:tc>
        <w:tc>
          <w:tcPr>
            <w:tcW w:w="7471" w:type="dxa"/>
            <w:gridSpan w:val="11"/>
            <w:noWrap w:val="0"/>
            <w:vAlign w:val="center"/>
          </w:tcPr>
          <w:p>
            <w:pPr>
              <w:pStyle w:val="34"/>
              <w:topLinePunc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25" w:type="dxa"/>
            <w:noWrap w:val="0"/>
            <w:vAlign w:val="center"/>
          </w:tcPr>
          <w:p>
            <w:pPr>
              <w:pStyle w:val="34"/>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980" w:type="dxa"/>
            <w:noWrap w:val="0"/>
            <w:vAlign w:val="center"/>
          </w:tcPr>
          <w:p>
            <w:pPr>
              <w:pStyle w:val="34"/>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1039" w:type="dxa"/>
            <w:gridSpan w:val="2"/>
            <w:noWrap w:val="0"/>
            <w:vAlign w:val="center"/>
          </w:tcPr>
          <w:p>
            <w:pPr>
              <w:pStyle w:val="34"/>
              <w:topLinePunct/>
              <w:jc w:val="center"/>
              <w:rPr>
                <w:rFonts w:hint="eastAsia" w:ascii="宋体" w:hAnsi="宋体" w:cs="宋体"/>
                <w:color w:val="auto"/>
                <w:sz w:val="24"/>
                <w:szCs w:val="24"/>
                <w:highlight w:val="none"/>
              </w:rPr>
            </w:pPr>
          </w:p>
        </w:tc>
        <w:tc>
          <w:tcPr>
            <w:tcW w:w="1376" w:type="dxa"/>
            <w:gridSpan w:val="2"/>
            <w:noWrap w:val="0"/>
            <w:vAlign w:val="center"/>
          </w:tcPr>
          <w:p>
            <w:pPr>
              <w:pStyle w:val="34"/>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技术职称</w:t>
            </w:r>
          </w:p>
        </w:tc>
        <w:tc>
          <w:tcPr>
            <w:tcW w:w="1517" w:type="dxa"/>
            <w:gridSpan w:val="2"/>
            <w:noWrap w:val="0"/>
            <w:vAlign w:val="center"/>
          </w:tcPr>
          <w:p>
            <w:pPr>
              <w:pStyle w:val="34"/>
              <w:topLinePunct/>
              <w:jc w:val="center"/>
              <w:rPr>
                <w:rFonts w:hint="eastAsia" w:ascii="宋体" w:hAnsi="宋体" w:cs="宋体"/>
                <w:color w:val="auto"/>
                <w:sz w:val="24"/>
                <w:szCs w:val="24"/>
                <w:highlight w:val="none"/>
              </w:rPr>
            </w:pPr>
          </w:p>
        </w:tc>
        <w:tc>
          <w:tcPr>
            <w:tcW w:w="890" w:type="dxa"/>
            <w:gridSpan w:val="3"/>
            <w:noWrap w:val="0"/>
            <w:vAlign w:val="center"/>
          </w:tcPr>
          <w:p>
            <w:pPr>
              <w:pStyle w:val="34"/>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电话</w:t>
            </w:r>
          </w:p>
        </w:tc>
        <w:tc>
          <w:tcPr>
            <w:tcW w:w="1669" w:type="dxa"/>
            <w:noWrap w:val="0"/>
            <w:vAlign w:val="center"/>
          </w:tcPr>
          <w:p>
            <w:pPr>
              <w:pStyle w:val="34"/>
              <w:topLinePunc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25" w:type="dxa"/>
            <w:noWrap w:val="0"/>
            <w:vAlign w:val="center"/>
          </w:tcPr>
          <w:p>
            <w:pPr>
              <w:pStyle w:val="34"/>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980" w:type="dxa"/>
            <w:noWrap w:val="0"/>
            <w:vAlign w:val="center"/>
          </w:tcPr>
          <w:p>
            <w:pPr>
              <w:pStyle w:val="34"/>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1039" w:type="dxa"/>
            <w:gridSpan w:val="2"/>
            <w:noWrap w:val="0"/>
            <w:vAlign w:val="center"/>
          </w:tcPr>
          <w:p>
            <w:pPr>
              <w:pStyle w:val="34"/>
              <w:topLinePunct/>
              <w:jc w:val="center"/>
              <w:rPr>
                <w:rFonts w:hint="eastAsia" w:ascii="宋体" w:hAnsi="宋体" w:cs="宋体"/>
                <w:color w:val="auto"/>
                <w:sz w:val="24"/>
                <w:szCs w:val="24"/>
                <w:highlight w:val="none"/>
              </w:rPr>
            </w:pPr>
          </w:p>
        </w:tc>
        <w:tc>
          <w:tcPr>
            <w:tcW w:w="1376" w:type="dxa"/>
            <w:gridSpan w:val="2"/>
            <w:noWrap w:val="0"/>
            <w:vAlign w:val="center"/>
          </w:tcPr>
          <w:p>
            <w:pPr>
              <w:pStyle w:val="34"/>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技术职称</w:t>
            </w:r>
          </w:p>
        </w:tc>
        <w:tc>
          <w:tcPr>
            <w:tcW w:w="1517" w:type="dxa"/>
            <w:gridSpan w:val="2"/>
            <w:noWrap w:val="0"/>
            <w:vAlign w:val="center"/>
          </w:tcPr>
          <w:p>
            <w:pPr>
              <w:pStyle w:val="34"/>
              <w:topLinePunct/>
              <w:jc w:val="center"/>
              <w:rPr>
                <w:rFonts w:hint="eastAsia" w:ascii="宋体" w:hAnsi="宋体" w:cs="宋体"/>
                <w:color w:val="auto"/>
                <w:sz w:val="24"/>
                <w:szCs w:val="24"/>
                <w:highlight w:val="none"/>
              </w:rPr>
            </w:pPr>
          </w:p>
        </w:tc>
        <w:tc>
          <w:tcPr>
            <w:tcW w:w="890" w:type="dxa"/>
            <w:gridSpan w:val="3"/>
            <w:noWrap w:val="0"/>
            <w:vAlign w:val="center"/>
          </w:tcPr>
          <w:p>
            <w:pPr>
              <w:pStyle w:val="34"/>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电话</w:t>
            </w:r>
          </w:p>
        </w:tc>
        <w:tc>
          <w:tcPr>
            <w:tcW w:w="1669" w:type="dxa"/>
            <w:noWrap w:val="0"/>
            <w:vAlign w:val="center"/>
          </w:tcPr>
          <w:p>
            <w:pPr>
              <w:pStyle w:val="34"/>
              <w:topLinePunc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725" w:type="dxa"/>
            <w:noWrap w:val="0"/>
            <w:vAlign w:val="center"/>
          </w:tcPr>
          <w:p>
            <w:pPr>
              <w:pStyle w:val="34"/>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成立时间</w:t>
            </w:r>
          </w:p>
        </w:tc>
        <w:tc>
          <w:tcPr>
            <w:tcW w:w="2019" w:type="dxa"/>
            <w:gridSpan w:val="3"/>
            <w:noWrap w:val="0"/>
            <w:vAlign w:val="center"/>
          </w:tcPr>
          <w:p>
            <w:pPr>
              <w:pStyle w:val="34"/>
              <w:topLinePunct/>
              <w:jc w:val="center"/>
              <w:rPr>
                <w:rFonts w:hint="eastAsia" w:ascii="宋体" w:hAnsi="宋体" w:cs="宋体"/>
                <w:color w:val="auto"/>
                <w:sz w:val="24"/>
                <w:szCs w:val="24"/>
                <w:highlight w:val="none"/>
              </w:rPr>
            </w:pPr>
          </w:p>
        </w:tc>
        <w:tc>
          <w:tcPr>
            <w:tcW w:w="5452" w:type="dxa"/>
            <w:gridSpan w:val="8"/>
            <w:noWrap w:val="0"/>
            <w:vAlign w:val="center"/>
          </w:tcPr>
          <w:p>
            <w:pPr>
              <w:pStyle w:val="34"/>
              <w:topLinePunct/>
              <w:ind w:firstLine="122" w:firstLineChars="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1725" w:type="dxa"/>
            <w:vMerge w:val="restart"/>
            <w:noWrap w:val="0"/>
            <w:vAlign w:val="center"/>
          </w:tcPr>
          <w:p>
            <w:pPr>
              <w:pStyle w:val="34"/>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营业执照号</w:t>
            </w:r>
          </w:p>
        </w:tc>
        <w:tc>
          <w:tcPr>
            <w:tcW w:w="2019" w:type="dxa"/>
            <w:gridSpan w:val="3"/>
            <w:vMerge w:val="restart"/>
            <w:noWrap w:val="0"/>
            <w:vAlign w:val="center"/>
          </w:tcPr>
          <w:p>
            <w:pPr>
              <w:pStyle w:val="34"/>
              <w:topLinePunct/>
              <w:rPr>
                <w:rFonts w:hint="eastAsia" w:ascii="宋体" w:hAnsi="宋体" w:cs="宋体"/>
                <w:color w:val="auto"/>
                <w:sz w:val="24"/>
                <w:szCs w:val="24"/>
                <w:highlight w:val="none"/>
              </w:rPr>
            </w:pPr>
          </w:p>
        </w:tc>
        <w:tc>
          <w:tcPr>
            <w:tcW w:w="917" w:type="dxa"/>
            <w:vMerge w:val="restart"/>
            <w:noWrap w:val="0"/>
            <w:vAlign w:val="center"/>
          </w:tcPr>
          <w:p>
            <w:pPr>
              <w:pStyle w:val="34"/>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其中</w:t>
            </w:r>
          </w:p>
        </w:tc>
        <w:tc>
          <w:tcPr>
            <w:tcW w:w="2123" w:type="dxa"/>
            <w:gridSpan w:val="4"/>
            <w:noWrap w:val="0"/>
            <w:vAlign w:val="center"/>
          </w:tcPr>
          <w:p>
            <w:pPr>
              <w:pStyle w:val="34"/>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项目经理</w:t>
            </w:r>
          </w:p>
          <w:p>
            <w:pPr>
              <w:pStyle w:val="34"/>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2412" w:type="dxa"/>
            <w:gridSpan w:val="3"/>
            <w:noWrap w:val="0"/>
            <w:vAlign w:val="center"/>
          </w:tcPr>
          <w:p>
            <w:pPr>
              <w:pStyle w:val="34"/>
              <w:topLinePunc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725" w:type="dxa"/>
            <w:vMerge w:val="continue"/>
            <w:noWrap w:val="0"/>
            <w:vAlign w:val="center"/>
          </w:tcPr>
          <w:p>
            <w:pPr>
              <w:pStyle w:val="34"/>
              <w:topLinePunct/>
              <w:jc w:val="center"/>
              <w:rPr>
                <w:rFonts w:hint="eastAsia" w:ascii="宋体" w:hAnsi="宋体" w:cs="宋体"/>
                <w:color w:val="auto"/>
                <w:sz w:val="24"/>
                <w:szCs w:val="24"/>
                <w:highlight w:val="none"/>
              </w:rPr>
            </w:pPr>
          </w:p>
        </w:tc>
        <w:tc>
          <w:tcPr>
            <w:tcW w:w="2019" w:type="dxa"/>
            <w:gridSpan w:val="3"/>
            <w:vMerge w:val="continue"/>
            <w:noWrap w:val="0"/>
            <w:vAlign w:val="center"/>
          </w:tcPr>
          <w:p>
            <w:pPr>
              <w:pStyle w:val="34"/>
              <w:topLinePunct/>
              <w:jc w:val="center"/>
              <w:rPr>
                <w:rFonts w:hint="eastAsia" w:ascii="宋体" w:hAnsi="宋体" w:cs="宋体"/>
                <w:color w:val="auto"/>
                <w:sz w:val="24"/>
                <w:szCs w:val="24"/>
                <w:highlight w:val="none"/>
              </w:rPr>
            </w:pPr>
          </w:p>
        </w:tc>
        <w:tc>
          <w:tcPr>
            <w:tcW w:w="917" w:type="dxa"/>
            <w:vMerge w:val="continue"/>
            <w:noWrap w:val="0"/>
            <w:vAlign w:val="center"/>
          </w:tcPr>
          <w:p>
            <w:pPr>
              <w:rPr>
                <w:rFonts w:hint="eastAsia" w:ascii="宋体" w:hAnsi="宋体" w:cs="宋体"/>
                <w:color w:val="auto"/>
                <w:sz w:val="24"/>
                <w:szCs w:val="24"/>
                <w:highlight w:val="none"/>
              </w:rPr>
            </w:pPr>
          </w:p>
        </w:tc>
        <w:tc>
          <w:tcPr>
            <w:tcW w:w="2123" w:type="dxa"/>
            <w:gridSpan w:val="4"/>
            <w:noWrap w:val="0"/>
            <w:vAlign w:val="center"/>
          </w:tcPr>
          <w:p>
            <w:pPr>
              <w:pStyle w:val="34"/>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高级职称人员</w:t>
            </w:r>
          </w:p>
        </w:tc>
        <w:tc>
          <w:tcPr>
            <w:tcW w:w="2412" w:type="dxa"/>
            <w:gridSpan w:val="3"/>
            <w:noWrap w:val="0"/>
            <w:vAlign w:val="center"/>
          </w:tcPr>
          <w:p>
            <w:pPr>
              <w:pStyle w:val="34"/>
              <w:topLinePunc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725" w:type="dxa"/>
            <w:noWrap w:val="0"/>
            <w:vAlign w:val="center"/>
          </w:tcPr>
          <w:p>
            <w:pPr>
              <w:pStyle w:val="34"/>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注册资金</w:t>
            </w:r>
          </w:p>
        </w:tc>
        <w:tc>
          <w:tcPr>
            <w:tcW w:w="2019" w:type="dxa"/>
            <w:gridSpan w:val="3"/>
            <w:noWrap w:val="0"/>
            <w:vAlign w:val="center"/>
          </w:tcPr>
          <w:p>
            <w:pPr>
              <w:pStyle w:val="34"/>
              <w:topLinePunct/>
              <w:jc w:val="center"/>
              <w:rPr>
                <w:rFonts w:hint="eastAsia" w:ascii="宋体" w:hAnsi="宋体" w:cs="宋体"/>
                <w:color w:val="auto"/>
                <w:sz w:val="24"/>
                <w:szCs w:val="24"/>
                <w:highlight w:val="none"/>
              </w:rPr>
            </w:pPr>
          </w:p>
        </w:tc>
        <w:tc>
          <w:tcPr>
            <w:tcW w:w="917" w:type="dxa"/>
            <w:vMerge w:val="continue"/>
            <w:noWrap w:val="0"/>
            <w:vAlign w:val="center"/>
          </w:tcPr>
          <w:p>
            <w:pPr>
              <w:rPr>
                <w:rFonts w:hint="eastAsia" w:ascii="宋体" w:hAnsi="宋体" w:cs="宋体"/>
                <w:color w:val="auto"/>
                <w:sz w:val="24"/>
                <w:szCs w:val="24"/>
                <w:highlight w:val="none"/>
              </w:rPr>
            </w:pPr>
          </w:p>
        </w:tc>
        <w:tc>
          <w:tcPr>
            <w:tcW w:w="2123" w:type="dxa"/>
            <w:gridSpan w:val="4"/>
            <w:noWrap w:val="0"/>
            <w:vAlign w:val="center"/>
          </w:tcPr>
          <w:p>
            <w:pPr>
              <w:pStyle w:val="34"/>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中级职称人员</w:t>
            </w:r>
          </w:p>
        </w:tc>
        <w:tc>
          <w:tcPr>
            <w:tcW w:w="2412" w:type="dxa"/>
            <w:gridSpan w:val="3"/>
            <w:noWrap w:val="0"/>
            <w:vAlign w:val="center"/>
          </w:tcPr>
          <w:p>
            <w:pPr>
              <w:pStyle w:val="34"/>
              <w:topLinePunc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725" w:type="dxa"/>
            <w:noWrap w:val="0"/>
            <w:vAlign w:val="center"/>
          </w:tcPr>
          <w:p>
            <w:pPr>
              <w:pStyle w:val="34"/>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开户银行</w:t>
            </w:r>
          </w:p>
        </w:tc>
        <w:tc>
          <w:tcPr>
            <w:tcW w:w="2019" w:type="dxa"/>
            <w:gridSpan w:val="3"/>
            <w:noWrap w:val="0"/>
            <w:vAlign w:val="center"/>
          </w:tcPr>
          <w:p>
            <w:pPr>
              <w:pStyle w:val="34"/>
              <w:topLinePunct/>
              <w:jc w:val="center"/>
              <w:rPr>
                <w:rFonts w:hint="eastAsia" w:ascii="宋体" w:hAnsi="宋体" w:cs="宋体"/>
                <w:color w:val="auto"/>
                <w:sz w:val="24"/>
                <w:szCs w:val="24"/>
                <w:highlight w:val="none"/>
              </w:rPr>
            </w:pPr>
          </w:p>
        </w:tc>
        <w:tc>
          <w:tcPr>
            <w:tcW w:w="917" w:type="dxa"/>
            <w:vMerge w:val="continue"/>
            <w:noWrap w:val="0"/>
            <w:vAlign w:val="center"/>
          </w:tcPr>
          <w:p>
            <w:pPr>
              <w:rPr>
                <w:rFonts w:hint="eastAsia" w:ascii="宋体" w:hAnsi="宋体" w:cs="宋体"/>
                <w:color w:val="auto"/>
                <w:sz w:val="24"/>
                <w:szCs w:val="24"/>
                <w:highlight w:val="none"/>
              </w:rPr>
            </w:pPr>
          </w:p>
        </w:tc>
        <w:tc>
          <w:tcPr>
            <w:tcW w:w="2123" w:type="dxa"/>
            <w:gridSpan w:val="4"/>
            <w:noWrap w:val="0"/>
            <w:vAlign w:val="center"/>
          </w:tcPr>
          <w:p>
            <w:pPr>
              <w:pStyle w:val="34"/>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初级职称人员</w:t>
            </w:r>
          </w:p>
        </w:tc>
        <w:tc>
          <w:tcPr>
            <w:tcW w:w="2412" w:type="dxa"/>
            <w:gridSpan w:val="3"/>
            <w:noWrap w:val="0"/>
            <w:vAlign w:val="center"/>
          </w:tcPr>
          <w:p>
            <w:pPr>
              <w:pStyle w:val="34"/>
              <w:topLinePunc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725" w:type="dxa"/>
            <w:noWrap w:val="0"/>
            <w:vAlign w:val="center"/>
          </w:tcPr>
          <w:p>
            <w:pPr>
              <w:pStyle w:val="34"/>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账号</w:t>
            </w:r>
          </w:p>
        </w:tc>
        <w:tc>
          <w:tcPr>
            <w:tcW w:w="2019" w:type="dxa"/>
            <w:gridSpan w:val="3"/>
            <w:noWrap w:val="0"/>
            <w:vAlign w:val="center"/>
          </w:tcPr>
          <w:p>
            <w:pPr>
              <w:pStyle w:val="34"/>
              <w:topLinePunct/>
              <w:jc w:val="center"/>
              <w:rPr>
                <w:rFonts w:hint="eastAsia" w:ascii="宋体" w:hAnsi="宋体" w:cs="宋体"/>
                <w:color w:val="auto"/>
                <w:sz w:val="24"/>
                <w:szCs w:val="24"/>
                <w:highlight w:val="none"/>
              </w:rPr>
            </w:pPr>
          </w:p>
        </w:tc>
        <w:tc>
          <w:tcPr>
            <w:tcW w:w="917" w:type="dxa"/>
            <w:vMerge w:val="continue"/>
            <w:noWrap w:val="0"/>
            <w:vAlign w:val="center"/>
          </w:tcPr>
          <w:p>
            <w:pPr>
              <w:rPr>
                <w:rFonts w:hint="eastAsia" w:ascii="宋体" w:hAnsi="宋体" w:cs="宋体"/>
                <w:color w:val="auto"/>
                <w:sz w:val="24"/>
                <w:szCs w:val="24"/>
                <w:highlight w:val="none"/>
              </w:rPr>
            </w:pPr>
          </w:p>
        </w:tc>
        <w:tc>
          <w:tcPr>
            <w:tcW w:w="2123" w:type="dxa"/>
            <w:gridSpan w:val="4"/>
            <w:noWrap w:val="0"/>
            <w:vAlign w:val="center"/>
          </w:tcPr>
          <w:p>
            <w:pPr>
              <w:pStyle w:val="34"/>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技工</w:t>
            </w:r>
          </w:p>
        </w:tc>
        <w:tc>
          <w:tcPr>
            <w:tcW w:w="2412" w:type="dxa"/>
            <w:gridSpan w:val="3"/>
            <w:noWrap w:val="0"/>
            <w:vAlign w:val="center"/>
          </w:tcPr>
          <w:p>
            <w:pPr>
              <w:pStyle w:val="34"/>
              <w:topLinePunc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jc w:val="center"/>
        </w:trPr>
        <w:tc>
          <w:tcPr>
            <w:tcW w:w="9196" w:type="dxa"/>
            <w:gridSpan w:val="12"/>
            <w:noWrap w:val="0"/>
            <w:vAlign w:val="center"/>
          </w:tcPr>
          <w:p>
            <w:pPr>
              <w:pStyle w:val="34"/>
              <w:topLinePunct/>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单位概括（组织结构）等</w:t>
            </w:r>
          </w:p>
          <w:p>
            <w:pPr>
              <w:pStyle w:val="35"/>
              <w:adjustRightInd w:val="0"/>
              <w:snapToGrid w:val="0"/>
              <w:spacing w:before="100" w:after="10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组织机构框图（包括机构、领导成员、主要技术人员数量等情况）</w:t>
            </w:r>
          </w:p>
          <w:p>
            <w:pPr>
              <w:pStyle w:val="34"/>
              <w:topLinePunct/>
              <w:jc w:val="left"/>
              <w:rPr>
                <w:rFonts w:hint="eastAsia" w:ascii="宋体" w:hAnsi="宋体" w:cs="宋体"/>
                <w:color w:val="auto"/>
                <w:sz w:val="24"/>
                <w:szCs w:val="24"/>
                <w:highlight w:val="none"/>
              </w:rPr>
            </w:pPr>
          </w:p>
          <w:p>
            <w:pPr>
              <w:pStyle w:val="10"/>
              <w:ind w:left="838" w:firstLine="2450" w:firstLineChars="10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供应商名称（盖章）：</w:t>
            </w:r>
          </w:p>
          <w:p>
            <w:pPr>
              <w:pStyle w:val="10"/>
              <w:ind w:left="838" w:firstLine="490" w:firstLineChars="200"/>
              <w:jc w:val="right"/>
              <w:rPr>
                <w:rFonts w:hint="eastAsia" w:ascii="宋体" w:hAnsi="宋体" w:eastAsia="宋体" w:cs="宋体"/>
                <w:bCs/>
                <w:color w:val="auto"/>
                <w:sz w:val="24"/>
                <w:szCs w:val="24"/>
                <w:highlight w:val="none"/>
              </w:rPr>
            </w:pPr>
          </w:p>
          <w:p>
            <w:pPr>
              <w:pStyle w:val="10"/>
              <w:ind w:left="838" w:firstLine="490" w:firstLineChars="200"/>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法定代表人或委托代理人（签字或盖章）：</w:t>
            </w:r>
          </w:p>
          <w:p>
            <w:pPr>
              <w:pStyle w:val="22"/>
              <w:wordWrap w:val="0"/>
              <w:spacing w:line="360" w:lineRule="auto"/>
              <w:ind w:firstLine="567"/>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36"/>
              <w:wordWrap w:val="0"/>
              <w:snapToGrid w:val="0"/>
              <w:spacing w:line="360" w:lineRule="auto"/>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 xml:space="preserve">日期：     </w:t>
            </w:r>
            <w:r>
              <w:rPr>
                <w:rFonts w:hint="eastAsia" w:hAnsi="宋体" w:cs="宋体"/>
                <w:color w:val="auto"/>
                <w:sz w:val="24"/>
                <w:szCs w:val="24"/>
                <w:highlight w:val="none"/>
              </w:rPr>
              <w:t>年</w:t>
            </w:r>
            <w:r>
              <w:rPr>
                <w:rFonts w:hint="eastAsia" w:hAnsi="宋体" w:cs="宋体"/>
                <w:color w:val="auto"/>
                <w:sz w:val="24"/>
                <w:szCs w:val="24"/>
                <w:highlight w:val="none"/>
                <w:lang w:eastAsia="zh-CN"/>
              </w:rPr>
              <w:t xml:space="preserve">   </w:t>
            </w:r>
            <w:r>
              <w:rPr>
                <w:rFonts w:hint="eastAsia" w:hAnsi="宋体" w:cs="宋体"/>
                <w:color w:val="auto"/>
                <w:sz w:val="24"/>
                <w:szCs w:val="24"/>
                <w:highlight w:val="none"/>
              </w:rPr>
              <w:t>月</w:t>
            </w:r>
            <w:r>
              <w:rPr>
                <w:rFonts w:hint="eastAsia" w:hAnsi="宋体" w:cs="宋体"/>
                <w:color w:val="auto"/>
                <w:sz w:val="24"/>
                <w:szCs w:val="24"/>
                <w:highlight w:val="none"/>
                <w:lang w:eastAsia="zh-CN"/>
              </w:rPr>
              <w:t xml:space="preserve">   </w:t>
            </w:r>
            <w:r>
              <w:rPr>
                <w:rFonts w:hint="eastAsia" w:hAnsi="宋体" w:cs="宋体"/>
                <w:color w:val="auto"/>
                <w:sz w:val="24"/>
                <w:szCs w:val="24"/>
                <w:highlight w:val="none"/>
              </w:rPr>
              <w:t>日</w:t>
            </w:r>
          </w:p>
        </w:tc>
      </w:tr>
    </w:tbl>
    <w:p>
      <w:pPr>
        <w:pStyle w:val="4"/>
        <w:keepNext w:val="0"/>
        <w:numPr>
          <w:ilvl w:val="0"/>
          <w:numId w:val="0"/>
        </w:numPr>
        <w:jc w:val="left"/>
        <w:rPr>
          <w:rStyle w:val="23"/>
          <w:rFonts w:hint="eastAsia" w:ascii="宋体" w:hAnsi="宋体" w:eastAsia="宋体" w:cs="宋体"/>
          <w:color w:val="auto"/>
          <w:sz w:val="32"/>
          <w:szCs w:val="28"/>
          <w:highlight w:val="none"/>
        </w:rPr>
      </w:pPr>
      <w:bookmarkStart w:id="760" w:name="_Toc20796"/>
      <w:bookmarkStart w:id="761" w:name="_Toc24396"/>
      <w:bookmarkStart w:id="762" w:name="_Toc24382"/>
    </w:p>
    <w:p>
      <w:pPr>
        <w:pStyle w:val="4"/>
        <w:keepNext w:val="0"/>
        <w:numPr>
          <w:ilvl w:val="0"/>
          <w:numId w:val="0"/>
        </w:numPr>
        <w:jc w:val="left"/>
        <w:rPr>
          <w:rStyle w:val="23"/>
          <w:rFonts w:hint="eastAsia" w:ascii="宋体" w:hAnsi="宋体" w:eastAsia="宋体" w:cs="宋体"/>
          <w:color w:val="auto"/>
          <w:sz w:val="32"/>
          <w:szCs w:val="28"/>
          <w:highlight w:val="none"/>
        </w:rPr>
      </w:pPr>
      <w:r>
        <w:rPr>
          <w:rStyle w:val="23"/>
          <w:rFonts w:hint="eastAsia" w:ascii="宋体" w:hAnsi="宋体" w:eastAsia="宋体" w:cs="宋体"/>
          <w:color w:val="auto"/>
          <w:sz w:val="32"/>
          <w:szCs w:val="28"/>
          <w:highlight w:val="none"/>
        </w:rPr>
        <w:t>附件5:</w:t>
      </w:r>
      <w:bookmarkEnd w:id="760"/>
      <w:bookmarkEnd w:id="761"/>
      <w:bookmarkEnd w:id="762"/>
    </w:p>
    <w:p>
      <w:pPr>
        <w:pStyle w:val="4"/>
        <w:keepNext w:val="0"/>
        <w:numPr>
          <w:ilvl w:val="0"/>
          <w:numId w:val="0"/>
        </w:numPr>
        <w:jc w:val="center"/>
        <w:rPr>
          <w:rStyle w:val="23"/>
          <w:rFonts w:hint="eastAsia" w:ascii="宋体" w:hAnsi="宋体" w:eastAsia="宋体" w:cs="宋体"/>
          <w:color w:val="auto"/>
          <w:sz w:val="32"/>
          <w:szCs w:val="28"/>
          <w:highlight w:val="none"/>
        </w:rPr>
      </w:pPr>
      <w:bookmarkStart w:id="763" w:name="_Toc9319"/>
      <w:bookmarkStart w:id="764" w:name="_Toc21508"/>
      <w:bookmarkStart w:id="765" w:name="_Toc18062"/>
      <w:r>
        <w:rPr>
          <w:rStyle w:val="23"/>
          <w:rFonts w:hint="eastAsia" w:ascii="宋体" w:hAnsi="宋体" w:eastAsia="宋体" w:cs="宋体"/>
          <w:color w:val="auto"/>
          <w:sz w:val="32"/>
          <w:szCs w:val="28"/>
          <w:highlight w:val="none"/>
        </w:rPr>
        <w:t>无重大违法记录的书面声明</w:t>
      </w:r>
      <w:bookmarkEnd w:id="763"/>
      <w:bookmarkEnd w:id="764"/>
      <w:bookmarkEnd w:id="765"/>
    </w:p>
    <w:p>
      <w:pPr>
        <w:spacing w:line="360" w:lineRule="auto"/>
        <w:ind w:firstLine="57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供应商应当提供参加政府采购活动前3年内在经营活动中没有重大违法记录的书面声明。</w:t>
      </w:r>
    </w:p>
    <w:p>
      <w:pPr>
        <w:pStyle w:val="22"/>
        <w:spacing w:line="288" w:lineRule="auto"/>
        <w:jc w:val="both"/>
        <w:rPr>
          <w:rStyle w:val="24"/>
          <w:rFonts w:hint="eastAsia" w:ascii="宋体" w:hAnsi="宋体" w:cs="宋体"/>
          <w:color w:val="auto"/>
          <w:sz w:val="28"/>
          <w:szCs w:val="28"/>
          <w:highlight w:val="none"/>
        </w:rPr>
      </w:pPr>
    </w:p>
    <w:p>
      <w:pPr>
        <w:pStyle w:val="4"/>
        <w:keepNext w:val="0"/>
        <w:numPr>
          <w:ilvl w:val="0"/>
          <w:numId w:val="0"/>
        </w:numPr>
        <w:jc w:val="left"/>
        <w:rPr>
          <w:rStyle w:val="23"/>
          <w:rFonts w:hint="eastAsia" w:ascii="宋体" w:hAnsi="宋体" w:eastAsia="宋体" w:cs="宋体"/>
          <w:color w:val="auto"/>
          <w:sz w:val="32"/>
          <w:szCs w:val="28"/>
          <w:highlight w:val="none"/>
        </w:rPr>
      </w:pPr>
      <w:bookmarkStart w:id="766" w:name="_Toc11389"/>
      <w:bookmarkStart w:id="767" w:name="_Toc19830"/>
      <w:bookmarkStart w:id="768" w:name="_Toc25306"/>
      <w:r>
        <w:rPr>
          <w:rStyle w:val="23"/>
          <w:rFonts w:hint="eastAsia" w:ascii="宋体" w:hAnsi="宋体" w:eastAsia="宋体" w:cs="宋体"/>
          <w:color w:val="auto"/>
          <w:sz w:val="32"/>
          <w:szCs w:val="28"/>
          <w:highlight w:val="none"/>
        </w:rPr>
        <w:br w:type="page"/>
      </w:r>
      <w:r>
        <w:rPr>
          <w:rStyle w:val="23"/>
          <w:rFonts w:hint="eastAsia" w:ascii="宋体" w:hAnsi="宋体" w:eastAsia="宋体" w:cs="宋体"/>
          <w:color w:val="auto"/>
          <w:sz w:val="32"/>
          <w:szCs w:val="28"/>
          <w:highlight w:val="none"/>
        </w:rPr>
        <w:t>附件6:</w:t>
      </w:r>
      <w:bookmarkEnd w:id="766"/>
      <w:bookmarkEnd w:id="767"/>
      <w:bookmarkEnd w:id="768"/>
    </w:p>
    <w:p>
      <w:pPr>
        <w:pStyle w:val="4"/>
        <w:keepNext w:val="0"/>
        <w:numPr>
          <w:ilvl w:val="0"/>
          <w:numId w:val="0"/>
        </w:numPr>
        <w:jc w:val="center"/>
        <w:rPr>
          <w:rStyle w:val="23"/>
          <w:rFonts w:hint="eastAsia" w:ascii="宋体" w:hAnsi="宋体" w:eastAsia="宋体" w:cs="宋体"/>
          <w:color w:val="auto"/>
          <w:sz w:val="32"/>
          <w:szCs w:val="28"/>
          <w:highlight w:val="none"/>
        </w:rPr>
      </w:pPr>
      <w:bookmarkStart w:id="769" w:name="_Toc13176"/>
      <w:bookmarkStart w:id="770" w:name="_Toc27231"/>
      <w:bookmarkStart w:id="771" w:name="_Toc958"/>
      <w:r>
        <w:rPr>
          <w:rStyle w:val="23"/>
          <w:rFonts w:hint="eastAsia" w:ascii="宋体" w:hAnsi="宋体" w:eastAsia="宋体" w:cs="宋体"/>
          <w:color w:val="auto"/>
          <w:sz w:val="32"/>
          <w:szCs w:val="28"/>
          <w:highlight w:val="none"/>
        </w:rPr>
        <w:t>企业202</w:t>
      </w:r>
      <w:r>
        <w:rPr>
          <w:rStyle w:val="23"/>
          <w:rFonts w:hint="eastAsia" w:ascii="宋体" w:hAnsi="宋体" w:cs="宋体"/>
          <w:color w:val="auto"/>
          <w:sz w:val="32"/>
          <w:szCs w:val="28"/>
          <w:highlight w:val="none"/>
          <w:lang w:val="en-US" w:eastAsia="zh-CN"/>
        </w:rPr>
        <w:t>1</w:t>
      </w:r>
      <w:r>
        <w:rPr>
          <w:rStyle w:val="23"/>
          <w:rFonts w:hint="eastAsia" w:ascii="宋体" w:hAnsi="宋体" w:eastAsia="宋体" w:cs="宋体"/>
          <w:color w:val="auto"/>
          <w:sz w:val="32"/>
          <w:szCs w:val="28"/>
          <w:highlight w:val="none"/>
        </w:rPr>
        <w:t>年财务审计报告</w:t>
      </w:r>
      <w:bookmarkEnd w:id="769"/>
      <w:bookmarkEnd w:id="770"/>
      <w:bookmarkEnd w:id="771"/>
    </w:p>
    <w:p>
      <w:pPr>
        <w:spacing w:line="360" w:lineRule="auto"/>
        <w:ind w:firstLine="57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提供</w:t>
      </w:r>
      <w:r>
        <w:rPr>
          <w:rStyle w:val="24"/>
          <w:rFonts w:hint="eastAsia" w:ascii="宋体" w:hAnsi="宋体" w:cs="宋体"/>
          <w:b w:val="0"/>
          <w:bCs/>
          <w:color w:val="auto"/>
          <w:sz w:val="28"/>
          <w:szCs w:val="28"/>
          <w:highlight w:val="none"/>
        </w:rPr>
        <w:t>202</w:t>
      </w:r>
      <w:r>
        <w:rPr>
          <w:rStyle w:val="24"/>
          <w:rFonts w:hint="eastAsia" w:ascii="宋体" w:hAnsi="宋体" w:cs="宋体"/>
          <w:b w:val="0"/>
          <w:bCs/>
          <w:color w:val="auto"/>
          <w:sz w:val="28"/>
          <w:szCs w:val="28"/>
          <w:highlight w:val="none"/>
          <w:lang w:val="en-US" w:eastAsia="zh-CN"/>
        </w:rPr>
        <w:t>1</w:t>
      </w:r>
      <w:r>
        <w:rPr>
          <w:rFonts w:hint="eastAsia" w:ascii="宋体" w:hAnsi="宋体" w:cs="宋体"/>
          <w:color w:val="auto"/>
          <w:kern w:val="0"/>
          <w:sz w:val="28"/>
          <w:szCs w:val="28"/>
          <w:highlight w:val="none"/>
        </w:rPr>
        <w:t>年度内经会计事务所或审计机构审计的财务会计报表，包括资产负债表、利润表、现金流量表和财务情况说明书。</w:t>
      </w:r>
    </w:p>
    <w:p>
      <w:pPr>
        <w:pStyle w:val="4"/>
        <w:keepNext w:val="0"/>
        <w:numPr>
          <w:ilvl w:val="0"/>
          <w:numId w:val="0"/>
        </w:numPr>
        <w:jc w:val="left"/>
        <w:rPr>
          <w:rStyle w:val="23"/>
          <w:rFonts w:hint="eastAsia" w:ascii="宋体" w:hAnsi="宋体" w:eastAsia="宋体" w:cs="宋体"/>
          <w:color w:val="auto"/>
          <w:sz w:val="32"/>
          <w:szCs w:val="28"/>
          <w:highlight w:val="none"/>
        </w:rPr>
      </w:pPr>
      <w:bookmarkStart w:id="772" w:name="_Toc2823"/>
      <w:bookmarkStart w:id="773" w:name="_Toc3838"/>
      <w:bookmarkStart w:id="774" w:name="_Toc15551"/>
      <w:r>
        <w:rPr>
          <w:rStyle w:val="23"/>
          <w:rFonts w:hint="eastAsia" w:ascii="宋体" w:hAnsi="宋体" w:eastAsia="宋体" w:cs="宋体"/>
          <w:color w:val="auto"/>
          <w:sz w:val="32"/>
          <w:szCs w:val="28"/>
          <w:highlight w:val="cyan"/>
        </w:rPr>
        <w:br w:type="page"/>
      </w:r>
      <w:r>
        <w:rPr>
          <w:rStyle w:val="23"/>
          <w:rFonts w:hint="eastAsia" w:ascii="宋体" w:hAnsi="宋体" w:eastAsia="宋体" w:cs="宋体"/>
          <w:color w:val="auto"/>
          <w:sz w:val="32"/>
          <w:szCs w:val="28"/>
          <w:highlight w:val="none"/>
        </w:rPr>
        <w:t>附件7:</w:t>
      </w:r>
      <w:bookmarkEnd w:id="772"/>
      <w:bookmarkEnd w:id="773"/>
      <w:bookmarkEnd w:id="774"/>
    </w:p>
    <w:p>
      <w:pPr>
        <w:pStyle w:val="4"/>
        <w:keepNext w:val="0"/>
        <w:numPr>
          <w:ilvl w:val="0"/>
          <w:numId w:val="0"/>
        </w:numPr>
        <w:jc w:val="center"/>
        <w:rPr>
          <w:rStyle w:val="23"/>
          <w:rFonts w:hint="eastAsia" w:ascii="宋体" w:hAnsi="宋体" w:eastAsia="宋体" w:cs="宋体"/>
          <w:color w:val="auto"/>
          <w:sz w:val="32"/>
          <w:szCs w:val="28"/>
          <w:highlight w:val="none"/>
        </w:rPr>
      </w:pPr>
      <w:bookmarkStart w:id="775" w:name="_Toc29474"/>
      <w:bookmarkStart w:id="776" w:name="_Toc24088"/>
      <w:bookmarkStart w:id="777" w:name="_Toc122"/>
      <w:r>
        <w:rPr>
          <w:rStyle w:val="23"/>
          <w:rFonts w:hint="eastAsia" w:ascii="宋体" w:hAnsi="宋体" w:eastAsia="宋体" w:cs="宋体"/>
          <w:color w:val="auto"/>
          <w:sz w:val="32"/>
          <w:szCs w:val="28"/>
          <w:highlight w:val="none"/>
        </w:rPr>
        <w:t>“重法纪、讲诚信”承诺书</w:t>
      </w:r>
      <w:bookmarkEnd w:id="775"/>
      <w:bookmarkEnd w:id="776"/>
      <w:bookmarkEnd w:id="777"/>
    </w:p>
    <w:p>
      <w:pPr>
        <w:rPr>
          <w:rFonts w:hint="eastAsia" w:ascii="宋体" w:hAnsi="宋体" w:cs="宋体"/>
          <w:color w:val="auto"/>
          <w:sz w:val="28"/>
          <w:szCs w:val="28"/>
          <w:highlight w:val="none"/>
        </w:rPr>
      </w:pPr>
      <w:r>
        <w:rPr>
          <w:rFonts w:hint="eastAsia" w:ascii="宋体" w:hAnsi="宋体" w:cs="宋体"/>
          <w:color w:val="auto"/>
          <w:sz w:val="28"/>
          <w:szCs w:val="28"/>
          <w:highlight w:val="none"/>
          <w:u w:val="single"/>
          <w:lang w:val="zh-CN"/>
        </w:rPr>
        <w:t>（采购人名称）</w:t>
      </w:r>
      <w:r>
        <w:rPr>
          <w:rFonts w:hint="eastAsia" w:ascii="宋体" w:hAnsi="宋体" w:cs="宋体"/>
          <w:color w:val="auto"/>
          <w:sz w:val="28"/>
          <w:szCs w:val="28"/>
          <w:highlight w:val="none"/>
        </w:rPr>
        <w:t xml:space="preserve"> ：</w:t>
      </w:r>
    </w:p>
    <w:p>
      <w:pPr>
        <w:ind w:firstLine="57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为积极配合防范和遏制招投标活动中不公平竞争和违规违纪行为的发生， 确保招标工作公平、公正、公开、有序进行，我公司在参与贵公司</w:t>
      </w:r>
      <w:r>
        <w:rPr>
          <w:rFonts w:hint="eastAsia" w:ascii="宋体" w:hAnsi="宋体" w:cs="宋体"/>
          <w:color w:val="auto"/>
          <w:sz w:val="28"/>
          <w:szCs w:val="28"/>
          <w:highlight w:val="none"/>
          <w:u w:val="single"/>
        </w:rPr>
        <w:t xml:space="preserve">   （项目名称）  </w:t>
      </w:r>
      <w:r>
        <w:rPr>
          <w:rFonts w:hint="eastAsia" w:ascii="宋体" w:hAnsi="宋体" w:cs="宋体"/>
          <w:color w:val="auto"/>
          <w:sz w:val="28"/>
          <w:szCs w:val="28"/>
          <w:highlight w:val="none"/>
        </w:rPr>
        <w:t>采购活动中， 保证自觉遵守《中华人民共和国政府采购法》、《中华人民共和国政府采购法实施条例》 等国家法律法规以及廉洁自律有关规章制度，并向贵公司承诺如下事项：</w:t>
      </w:r>
    </w:p>
    <w:p>
      <w:pPr>
        <w:ind w:firstLine="57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1.不以任何形式通过社会上的“代理”、“中介”、“掮客”等采取不正当手段谋取中标；</w:t>
      </w:r>
    </w:p>
    <w:p>
      <w:pPr>
        <w:ind w:firstLine="57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2.不以任何形式打着领导及其亲友旗号或冒充领导及其亲友等采取不正当手段谋取中标；</w:t>
      </w:r>
    </w:p>
    <w:p>
      <w:pPr>
        <w:ind w:firstLine="57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不以任何名义向参与采购活动、评标工作的有关人员赠送回扣、红包、礼金、购物卡、有价证券、贵重物品和好处费、感谢费等；不以任何名义向参与采购活动、评标工作的有关人员提供高消费宴请及娱乐活动；</w:t>
      </w:r>
    </w:p>
    <w:p>
      <w:pPr>
        <w:ind w:firstLine="57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4.不以任何名义为参与采购活动、评标工作的有关人员报销应由参与采购活动、评标工作的有关人员支付的任何费用；</w:t>
      </w:r>
    </w:p>
    <w:p>
      <w:pPr>
        <w:ind w:firstLine="57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5.不以谋取非正当利益为目的，与参与采购活动、评标工作的有关人员就业务问题进行私下商谈或者达成利益默契；</w:t>
      </w:r>
    </w:p>
    <w:p>
      <w:pPr>
        <w:ind w:firstLine="57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6.不以任何名义接受或暗示为参与采购活动、评标工作的有关人员装修住房、婚丧嫁娶以及境内外旅游等提供方便；</w:t>
      </w:r>
    </w:p>
    <w:p>
      <w:pPr>
        <w:ind w:firstLine="57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7.不与采购人、采购代理机构工作人员串通投标，损害国家利益、企业利益以及他人的合法利益；</w:t>
      </w:r>
    </w:p>
    <w:p>
      <w:pPr>
        <w:ind w:firstLine="57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8.不以任何方式与其他供应商相互串通投标，不排挤其他供应商，不损害采购人或其他供应商的合法权益；</w:t>
      </w:r>
    </w:p>
    <w:p>
      <w:pPr>
        <w:ind w:firstLine="57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9.不采取捏造事实或者提供虚假投诉材料，恶意投诉、诋毁、排挤其他供应商；</w:t>
      </w:r>
    </w:p>
    <w:p>
      <w:pPr>
        <w:ind w:firstLine="57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10.参与采购活动时不以任何形式提供任何虚假信息或证明文件。</w:t>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贵单位既可根据国家有关单位的判决、裁定等有效文书认定我公司是否违反承诺，也有权通过对贵公司相关人员的调查来认定我公司是否违反承诺。如违反以上承诺，我公司自愿接受贵公司依据有关规定对我公司的处理（包括但不限于实施市场禁入、取消投、中标资格以及终止合同等），给贵公司造成损失的，予以赔偿。</w:t>
      </w:r>
    </w:p>
    <w:p>
      <w:pPr>
        <w:ind w:firstLine="57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本承诺函为我公司应答此次采购项目正式文件的附件，与其他响应文件具有同等法律效力，经我公司盖章后立即生效。</w:t>
      </w: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spacing w:line="60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供应商名称（盖章）：</w:t>
      </w:r>
    </w:p>
    <w:p>
      <w:pPr>
        <w:spacing w:line="60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法定代表人或委托代理人（签字或盖章）：</w:t>
      </w:r>
    </w:p>
    <w:p>
      <w:pPr>
        <w:spacing w:line="60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日期：     年   月   日</w:t>
      </w:r>
    </w:p>
    <w:p>
      <w:pPr>
        <w:rPr>
          <w:rFonts w:hint="eastAsia" w:ascii="宋体" w:hAnsi="宋体" w:cs="宋体"/>
          <w:color w:val="auto"/>
          <w:sz w:val="28"/>
          <w:szCs w:val="28"/>
          <w:highlight w:val="none"/>
        </w:rPr>
      </w:pPr>
    </w:p>
    <w:p>
      <w:pPr>
        <w:pStyle w:val="4"/>
        <w:keepNext w:val="0"/>
        <w:numPr>
          <w:ilvl w:val="0"/>
          <w:numId w:val="0"/>
        </w:numPr>
        <w:jc w:val="left"/>
        <w:rPr>
          <w:rStyle w:val="23"/>
          <w:rFonts w:hint="eastAsia" w:ascii="宋体" w:hAnsi="宋体" w:eastAsia="宋体" w:cs="宋体"/>
          <w:color w:val="auto"/>
          <w:sz w:val="32"/>
          <w:szCs w:val="28"/>
          <w:highlight w:val="none"/>
        </w:rPr>
      </w:pPr>
      <w:bookmarkStart w:id="778" w:name="_Toc30133"/>
      <w:bookmarkStart w:id="779" w:name="_Toc24465"/>
      <w:bookmarkStart w:id="780" w:name="_Toc3317"/>
      <w:r>
        <w:rPr>
          <w:rStyle w:val="23"/>
          <w:rFonts w:hint="eastAsia" w:ascii="宋体" w:hAnsi="宋体" w:eastAsia="宋体" w:cs="宋体"/>
          <w:color w:val="auto"/>
          <w:sz w:val="32"/>
          <w:szCs w:val="28"/>
          <w:highlight w:val="none"/>
        </w:rPr>
        <w:br w:type="page"/>
      </w:r>
      <w:r>
        <w:rPr>
          <w:rStyle w:val="23"/>
          <w:rFonts w:hint="eastAsia" w:ascii="宋体" w:hAnsi="宋体" w:eastAsia="宋体" w:cs="宋体"/>
          <w:color w:val="auto"/>
          <w:sz w:val="32"/>
          <w:szCs w:val="28"/>
          <w:highlight w:val="none"/>
        </w:rPr>
        <w:t>附件8:</w:t>
      </w:r>
      <w:bookmarkEnd w:id="778"/>
      <w:bookmarkEnd w:id="779"/>
      <w:bookmarkEnd w:id="780"/>
    </w:p>
    <w:p>
      <w:pPr>
        <w:pStyle w:val="4"/>
        <w:keepNext w:val="0"/>
        <w:numPr>
          <w:ilvl w:val="0"/>
          <w:numId w:val="0"/>
        </w:numPr>
        <w:jc w:val="center"/>
        <w:rPr>
          <w:rStyle w:val="23"/>
          <w:rFonts w:hint="eastAsia" w:ascii="宋体" w:hAnsi="宋体" w:eastAsia="宋体" w:cs="宋体"/>
          <w:color w:val="auto"/>
          <w:sz w:val="32"/>
          <w:szCs w:val="28"/>
          <w:highlight w:val="none"/>
        </w:rPr>
      </w:pPr>
      <w:bookmarkStart w:id="781" w:name="_Toc10393"/>
      <w:bookmarkStart w:id="782" w:name="_Toc11427"/>
      <w:bookmarkStart w:id="783" w:name="_Toc9462"/>
      <w:r>
        <w:rPr>
          <w:rStyle w:val="23"/>
          <w:rFonts w:hint="eastAsia" w:ascii="宋体" w:hAnsi="宋体" w:eastAsia="宋体" w:cs="宋体"/>
          <w:color w:val="auto"/>
          <w:sz w:val="32"/>
          <w:szCs w:val="28"/>
          <w:highlight w:val="none"/>
        </w:rPr>
        <w:t>反商业贿赂承诺书</w:t>
      </w:r>
      <w:bookmarkEnd w:id="781"/>
      <w:bookmarkEnd w:id="782"/>
      <w:bookmarkEnd w:id="783"/>
    </w:p>
    <w:p>
      <w:pPr>
        <w:adjustRightInd w:val="0"/>
        <w:snapToGrid w:val="0"/>
        <w:spacing w:line="360" w:lineRule="auto"/>
        <w:ind w:firstLine="570" w:firstLineChars="200"/>
        <w:jc w:val="left"/>
        <w:rPr>
          <w:rFonts w:hint="eastAsia" w:ascii="宋体" w:hAnsi="宋体" w:cs="宋体"/>
          <w:color w:val="auto"/>
          <w:sz w:val="28"/>
          <w:szCs w:val="28"/>
          <w:highlight w:val="none"/>
        </w:rPr>
      </w:pPr>
    </w:p>
    <w:p>
      <w:pPr>
        <w:adjustRightInd w:val="0"/>
        <w:snapToGrid w:val="0"/>
        <w:spacing w:line="360" w:lineRule="auto"/>
        <w:ind w:firstLine="57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为了从源头上防治腐败，杜绝商业贿赂行为的发生，更好地配合采购代理机构的工作，我们供应商承诺如下：</w:t>
      </w:r>
    </w:p>
    <w:p>
      <w:pPr>
        <w:adjustRightInd w:val="0"/>
        <w:snapToGrid w:val="0"/>
        <w:spacing w:line="360" w:lineRule="auto"/>
        <w:ind w:firstLine="57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1、不以各种名义给采购代理工作人员借或送现金、有价证券及物品。</w:t>
      </w:r>
    </w:p>
    <w:p>
      <w:pPr>
        <w:adjustRightInd w:val="0"/>
        <w:snapToGrid w:val="0"/>
        <w:spacing w:line="360" w:lineRule="auto"/>
        <w:ind w:firstLine="57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2、不以个人名义邀请采购代理工作人员参与考察旅游活动和宴请活动。</w:t>
      </w:r>
    </w:p>
    <w:p>
      <w:pPr>
        <w:adjustRightInd w:val="0"/>
        <w:snapToGrid w:val="0"/>
        <w:spacing w:line="360" w:lineRule="auto"/>
        <w:ind w:firstLine="57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3、不发生与采购事项有关的其他违规违纪行为。</w:t>
      </w:r>
    </w:p>
    <w:p>
      <w:pPr>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4、如违反其中一项，同意将我公司列入政府采购黑名单并终止投标资格，今后不得参与我市政府采购活动，触犯法律由司法部门处理。</w:t>
      </w:r>
    </w:p>
    <w:p>
      <w:pPr>
        <w:adjustRightInd w:val="0"/>
        <w:snapToGrid w:val="0"/>
        <w:spacing w:line="440" w:lineRule="exact"/>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pPr>
        <w:spacing w:line="600" w:lineRule="auto"/>
        <w:jc w:val="center"/>
        <w:rPr>
          <w:rFonts w:hint="eastAsia" w:ascii="宋体" w:hAnsi="宋体" w:cs="宋体"/>
          <w:color w:val="auto"/>
          <w:sz w:val="28"/>
          <w:szCs w:val="28"/>
          <w:highlight w:val="none"/>
        </w:rPr>
      </w:pPr>
      <w:r>
        <w:rPr>
          <w:rFonts w:hint="eastAsia" w:ascii="宋体" w:hAnsi="宋体" w:cs="宋体"/>
          <w:bCs/>
          <w:color w:val="auto"/>
          <w:highlight w:val="none"/>
        </w:rPr>
        <w:t xml:space="preserve">         </w:t>
      </w:r>
      <w:r>
        <w:rPr>
          <w:rFonts w:hint="eastAsia" w:ascii="宋体" w:hAnsi="宋体" w:cs="宋体"/>
          <w:color w:val="auto"/>
          <w:sz w:val="28"/>
          <w:szCs w:val="28"/>
          <w:highlight w:val="none"/>
        </w:rPr>
        <w:t>供应商名称（盖章）：</w:t>
      </w:r>
    </w:p>
    <w:p>
      <w:pPr>
        <w:spacing w:line="60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法定代表人或委托代理人（签字或盖章）：</w:t>
      </w:r>
    </w:p>
    <w:p>
      <w:pPr>
        <w:wordWrap w:val="0"/>
        <w:spacing w:line="600" w:lineRule="auto"/>
        <w:jc w:val="right"/>
        <w:rPr>
          <w:rFonts w:hint="eastAsia" w:ascii="宋体" w:hAnsi="宋体" w:cs="宋体"/>
          <w:color w:val="auto"/>
          <w:sz w:val="28"/>
          <w:szCs w:val="28"/>
          <w:highlight w:val="none"/>
        </w:rPr>
        <w:sectPr>
          <w:headerReference r:id="rId13" w:type="default"/>
          <w:footerReference r:id="rId14" w:type="default"/>
          <w:pgSz w:w="11906" w:h="16838"/>
          <w:pgMar w:top="1417" w:right="1417" w:bottom="1417" w:left="1417" w:header="851" w:footer="850" w:gutter="0"/>
          <w:cols w:space="720" w:num="1"/>
          <w:titlePg/>
          <w:docGrid w:type="linesAndChars" w:linePitch="312" w:charSpace="1228"/>
        </w:sectPr>
      </w:pPr>
      <w:r>
        <w:rPr>
          <w:rFonts w:hint="eastAsia" w:ascii="宋体" w:hAnsi="宋体" w:cs="宋体"/>
          <w:color w:val="auto"/>
          <w:sz w:val="28"/>
          <w:szCs w:val="28"/>
          <w:highlight w:val="none"/>
        </w:rPr>
        <w:t>日期：     年   月</w:t>
      </w:r>
      <w:bookmarkEnd w:id="755"/>
      <w:bookmarkEnd w:id="756"/>
      <w:bookmarkStart w:id="784" w:name="_Toc5939"/>
      <w:bookmarkStart w:id="785" w:name="_Toc22473"/>
      <w:bookmarkStart w:id="786" w:name="_Toc15866"/>
      <w:r>
        <w:rPr>
          <w:rFonts w:hint="eastAsia" w:ascii="宋体" w:hAnsi="宋体" w:cs="宋体"/>
          <w:color w:val="auto"/>
          <w:sz w:val="28"/>
          <w:szCs w:val="28"/>
          <w:highlight w:val="none"/>
        </w:rPr>
        <w:t xml:space="preserve">   日</w:t>
      </w:r>
    </w:p>
    <w:p>
      <w:pPr>
        <w:spacing w:line="600" w:lineRule="auto"/>
        <w:rPr>
          <w:rStyle w:val="23"/>
          <w:rFonts w:hint="eastAsia" w:ascii="宋体" w:hAnsi="宋体" w:eastAsia="宋体" w:cs="宋体"/>
          <w:b/>
          <w:bCs/>
          <w:color w:val="auto"/>
          <w:sz w:val="32"/>
          <w:szCs w:val="28"/>
          <w:highlight w:val="none"/>
        </w:rPr>
      </w:pPr>
      <w:r>
        <w:rPr>
          <w:rStyle w:val="23"/>
          <w:rFonts w:hint="eastAsia" w:ascii="宋体" w:hAnsi="宋体" w:eastAsia="宋体" w:cs="宋体"/>
          <w:b/>
          <w:bCs/>
          <w:color w:val="auto"/>
          <w:sz w:val="32"/>
          <w:szCs w:val="28"/>
          <w:highlight w:val="none"/>
        </w:rPr>
        <w:t>附件9:</w:t>
      </w:r>
      <w:bookmarkEnd w:id="784"/>
      <w:bookmarkEnd w:id="785"/>
      <w:bookmarkEnd w:id="786"/>
    </w:p>
    <w:p>
      <w:pPr>
        <w:pStyle w:val="4"/>
        <w:keepNext w:val="0"/>
        <w:numPr>
          <w:ilvl w:val="0"/>
          <w:numId w:val="0"/>
        </w:numPr>
        <w:jc w:val="center"/>
        <w:rPr>
          <w:rStyle w:val="23"/>
          <w:rFonts w:hint="eastAsia" w:ascii="宋体" w:hAnsi="宋体" w:eastAsia="宋体" w:cs="宋体"/>
          <w:color w:val="auto"/>
          <w:sz w:val="32"/>
          <w:szCs w:val="28"/>
          <w:highlight w:val="none"/>
        </w:rPr>
      </w:pPr>
      <w:bookmarkStart w:id="787" w:name="_Toc4526"/>
      <w:bookmarkStart w:id="788" w:name="_Toc13267"/>
      <w:bookmarkStart w:id="789" w:name="_Toc6467"/>
      <w:r>
        <w:rPr>
          <w:rStyle w:val="23"/>
          <w:rFonts w:hint="eastAsia" w:ascii="宋体" w:hAnsi="宋体" w:eastAsia="宋体" w:cs="宋体"/>
          <w:color w:val="auto"/>
          <w:sz w:val="32"/>
          <w:szCs w:val="28"/>
          <w:highlight w:val="none"/>
        </w:rPr>
        <w:t>商务条款偏离表</w:t>
      </w:r>
      <w:bookmarkEnd w:id="787"/>
      <w:bookmarkEnd w:id="788"/>
      <w:bookmarkEnd w:id="789"/>
    </w:p>
    <w:p>
      <w:pPr>
        <w:pStyle w:val="22"/>
        <w:spacing w:line="480" w:lineRule="exact"/>
        <w:ind w:firstLine="122" w:firstLineChars="43"/>
        <w:jc w:val="both"/>
        <w:rPr>
          <w:rFonts w:hint="eastAsia" w:ascii="宋体" w:hAnsi="宋体" w:cs="宋体"/>
          <w:color w:val="auto"/>
          <w:sz w:val="28"/>
          <w:szCs w:val="28"/>
          <w:highlight w:val="none"/>
        </w:rPr>
      </w:pPr>
      <w:r>
        <w:rPr>
          <w:rFonts w:hint="eastAsia" w:ascii="宋体" w:hAnsi="宋体" w:cs="宋体"/>
          <w:color w:val="auto"/>
          <w:sz w:val="28"/>
          <w:szCs w:val="28"/>
          <w:highlight w:val="none"/>
        </w:rPr>
        <w:t>项目名称：</w:t>
      </w:r>
      <w:r>
        <w:rPr>
          <w:rFonts w:hint="eastAsia" w:ascii="宋体" w:hAnsi="宋体" w:cs="宋体"/>
          <w:color w:val="auto"/>
          <w:kern w:val="2"/>
          <w:sz w:val="28"/>
          <w:szCs w:val="28"/>
          <w:highlight w:val="none"/>
        </w:rPr>
        <w:t xml:space="preserve"> 　</w:t>
      </w:r>
      <w:r>
        <w:rPr>
          <w:rFonts w:hint="eastAsia" w:ascii="宋体" w:hAnsi="宋体" w:cs="宋体"/>
          <w:color w:val="auto"/>
          <w:sz w:val="28"/>
          <w:szCs w:val="28"/>
          <w:highlight w:val="none"/>
        </w:rPr>
        <w:t xml:space="preserve">　　　　　                                                                  </w:t>
      </w:r>
    </w:p>
    <w:tbl>
      <w:tblPr>
        <w:tblStyle w:val="19"/>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773"/>
        <w:gridCol w:w="2336"/>
        <w:gridCol w:w="2257"/>
        <w:gridCol w:w="1432"/>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15"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序号</w:t>
            </w:r>
          </w:p>
        </w:tc>
        <w:tc>
          <w:tcPr>
            <w:tcW w:w="1773"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竞争性磋商文件条目号</w:t>
            </w:r>
          </w:p>
        </w:tc>
        <w:tc>
          <w:tcPr>
            <w:tcW w:w="2336"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竞争性磋商文件的商务条款</w:t>
            </w:r>
          </w:p>
        </w:tc>
        <w:tc>
          <w:tcPr>
            <w:tcW w:w="2257"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响应文件的商务条款</w:t>
            </w:r>
          </w:p>
        </w:tc>
        <w:tc>
          <w:tcPr>
            <w:tcW w:w="1432"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偏离</w:t>
            </w:r>
          </w:p>
        </w:tc>
        <w:tc>
          <w:tcPr>
            <w:tcW w:w="1164"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5" w:type="dxa"/>
            <w:noWrap w:val="0"/>
            <w:vAlign w:val="top"/>
          </w:tcPr>
          <w:p>
            <w:pPr>
              <w:rPr>
                <w:rFonts w:hint="eastAsia" w:ascii="宋体" w:hAnsi="宋体" w:cs="宋体"/>
                <w:color w:val="auto"/>
                <w:sz w:val="28"/>
                <w:szCs w:val="28"/>
                <w:highlight w:val="none"/>
              </w:rPr>
            </w:pPr>
          </w:p>
        </w:tc>
        <w:tc>
          <w:tcPr>
            <w:tcW w:w="1773" w:type="dxa"/>
            <w:noWrap w:val="0"/>
            <w:vAlign w:val="top"/>
          </w:tcPr>
          <w:p>
            <w:pPr>
              <w:rPr>
                <w:rFonts w:hint="eastAsia" w:ascii="宋体" w:hAnsi="宋体" w:cs="宋体"/>
                <w:color w:val="auto"/>
                <w:sz w:val="28"/>
                <w:szCs w:val="28"/>
                <w:highlight w:val="none"/>
              </w:rPr>
            </w:pPr>
          </w:p>
        </w:tc>
        <w:tc>
          <w:tcPr>
            <w:tcW w:w="2336" w:type="dxa"/>
            <w:noWrap w:val="0"/>
            <w:vAlign w:val="top"/>
          </w:tcPr>
          <w:p>
            <w:pPr>
              <w:rPr>
                <w:rFonts w:hint="eastAsia" w:ascii="宋体" w:hAnsi="宋体" w:cs="宋体"/>
                <w:color w:val="auto"/>
                <w:sz w:val="28"/>
                <w:szCs w:val="28"/>
                <w:highlight w:val="none"/>
              </w:rPr>
            </w:pPr>
          </w:p>
        </w:tc>
        <w:tc>
          <w:tcPr>
            <w:tcW w:w="2257" w:type="dxa"/>
            <w:noWrap w:val="0"/>
            <w:vAlign w:val="top"/>
          </w:tcPr>
          <w:p>
            <w:pPr>
              <w:rPr>
                <w:rFonts w:hint="eastAsia" w:ascii="宋体" w:hAnsi="宋体" w:cs="宋体"/>
                <w:color w:val="auto"/>
                <w:sz w:val="28"/>
                <w:szCs w:val="28"/>
                <w:highlight w:val="none"/>
              </w:rPr>
            </w:pPr>
          </w:p>
        </w:tc>
        <w:tc>
          <w:tcPr>
            <w:tcW w:w="1432" w:type="dxa"/>
            <w:noWrap w:val="0"/>
            <w:vAlign w:val="top"/>
          </w:tcPr>
          <w:p>
            <w:pPr>
              <w:rPr>
                <w:rFonts w:hint="eastAsia" w:ascii="宋体" w:hAnsi="宋体" w:cs="宋体"/>
                <w:color w:val="auto"/>
                <w:sz w:val="28"/>
                <w:szCs w:val="28"/>
                <w:highlight w:val="none"/>
              </w:rPr>
            </w:pPr>
          </w:p>
        </w:tc>
        <w:tc>
          <w:tcPr>
            <w:tcW w:w="1164" w:type="dxa"/>
            <w:noWrap w:val="0"/>
            <w:vAlign w:val="top"/>
          </w:tcPr>
          <w:p>
            <w:pP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5" w:type="dxa"/>
            <w:noWrap w:val="0"/>
            <w:vAlign w:val="top"/>
          </w:tcPr>
          <w:p>
            <w:pPr>
              <w:rPr>
                <w:rFonts w:hint="eastAsia" w:ascii="宋体" w:hAnsi="宋体" w:cs="宋体"/>
                <w:color w:val="auto"/>
                <w:sz w:val="28"/>
                <w:szCs w:val="28"/>
                <w:highlight w:val="none"/>
              </w:rPr>
            </w:pPr>
          </w:p>
        </w:tc>
        <w:tc>
          <w:tcPr>
            <w:tcW w:w="1773" w:type="dxa"/>
            <w:noWrap w:val="0"/>
            <w:vAlign w:val="top"/>
          </w:tcPr>
          <w:p>
            <w:pPr>
              <w:rPr>
                <w:rFonts w:hint="eastAsia" w:ascii="宋体" w:hAnsi="宋体" w:cs="宋体"/>
                <w:color w:val="auto"/>
                <w:sz w:val="28"/>
                <w:szCs w:val="28"/>
                <w:highlight w:val="none"/>
              </w:rPr>
            </w:pPr>
          </w:p>
        </w:tc>
        <w:tc>
          <w:tcPr>
            <w:tcW w:w="2336" w:type="dxa"/>
            <w:noWrap w:val="0"/>
            <w:vAlign w:val="top"/>
          </w:tcPr>
          <w:p>
            <w:pPr>
              <w:rPr>
                <w:rFonts w:hint="eastAsia" w:ascii="宋体" w:hAnsi="宋体" w:cs="宋体"/>
                <w:color w:val="auto"/>
                <w:sz w:val="28"/>
                <w:szCs w:val="28"/>
                <w:highlight w:val="none"/>
              </w:rPr>
            </w:pPr>
          </w:p>
        </w:tc>
        <w:tc>
          <w:tcPr>
            <w:tcW w:w="2257" w:type="dxa"/>
            <w:noWrap w:val="0"/>
            <w:vAlign w:val="top"/>
          </w:tcPr>
          <w:p>
            <w:pPr>
              <w:rPr>
                <w:rFonts w:hint="eastAsia" w:ascii="宋体" w:hAnsi="宋体" w:cs="宋体"/>
                <w:color w:val="auto"/>
                <w:sz w:val="28"/>
                <w:szCs w:val="28"/>
                <w:highlight w:val="none"/>
              </w:rPr>
            </w:pPr>
          </w:p>
        </w:tc>
        <w:tc>
          <w:tcPr>
            <w:tcW w:w="1432" w:type="dxa"/>
            <w:noWrap w:val="0"/>
            <w:vAlign w:val="top"/>
          </w:tcPr>
          <w:p>
            <w:pPr>
              <w:rPr>
                <w:rFonts w:hint="eastAsia" w:ascii="宋体" w:hAnsi="宋体" w:cs="宋体"/>
                <w:color w:val="auto"/>
                <w:sz w:val="28"/>
                <w:szCs w:val="28"/>
                <w:highlight w:val="none"/>
              </w:rPr>
            </w:pPr>
          </w:p>
        </w:tc>
        <w:tc>
          <w:tcPr>
            <w:tcW w:w="1164" w:type="dxa"/>
            <w:noWrap w:val="0"/>
            <w:vAlign w:val="top"/>
          </w:tcPr>
          <w:p>
            <w:pP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5" w:type="dxa"/>
            <w:noWrap w:val="0"/>
            <w:vAlign w:val="top"/>
          </w:tcPr>
          <w:p>
            <w:pPr>
              <w:rPr>
                <w:rFonts w:hint="eastAsia" w:ascii="宋体" w:hAnsi="宋体" w:cs="宋体"/>
                <w:color w:val="auto"/>
                <w:sz w:val="28"/>
                <w:szCs w:val="28"/>
                <w:highlight w:val="none"/>
              </w:rPr>
            </w:pPr>
          </w:p>
        </w:tc>
        <w:tc>
          <w:tcPr>
            <w:tcW w:w="1773" w:type="dxa"/>
            <w:noWrap w:val="0"/>
            <w:vAlign w:val="top"/>
          </w:tcPr>
          <w:p>
            <w:pPr>
              <w:rPr>
                <w:rFonts w:hint="eastAsia" w:ascii="宋体" w:hAnsi="宋体" w:cs="宋体"/>
                <w:color w:val="auto"/>
                <w:sz w:val="28"/>
                <w:szCs w:val="28"/>
                <w:highlight w:val="none"/>
              </w:rPr>
            </w:pPr>
          </w:p>
        </w:tc>
        <w:tc>
          <w:tcPr>
            <w:tcW w:w="2336" w:type="dxa"/>
            <w:noWrap w:val="0"/>
            <w:vAlign w:val="top"/>
          </w:tcPr>
          <w:p>
            <w:pPr>
              <w:rPr>
                <w:rFonts w:hint="eastAsia" w:ascii="宋体" w:hAnsi="宋体" w:cs="宋体"/>
                <w:color w:val="auto"/>
                <w:sz w:val="28"/>
                <w:szCs w:val="28"/>
                <w:highlight w:val="none"/>
              </w:rPr>
            </w:pPr>
          </w:p>
        </w:tc>
        <w:tc>
          <w:tcPr>
            <w:tcW w:w="2257" w:type="dxa"/>
            <w:noWrap w:val="0"/>
            <w:vAlign w:val="top"/>
          </w:tcPr>
          <w:p>
            <w:pPr>
              <w:rPr>
                <w:rFonts w:hint="eastAsia" w:ascii="宋体" w:hAnsi="宋体" w:cs="宋体"/>
                <w:color w:val="auto"/>
                <w:sz w:val="28"/>
                <w:szCs w:val="28"/>
                <w:highlight w:val="none"/>
              </w:rPr>
            </w:pPr>
          </w:p>
        </w:tc>
        <w:tc>
          <w:tcPr>
            <w:tcW w:w="1432" w:type="dxa"/>
            <w:noWrap w:val="0"/>
            <w:vAlign w:val="top"/>
          </w:tcPr>
          <w:p>
            <w:pPr>
              <w:rPr>
                <w:rFonts w:hint="eastAsia" w:ascii="宋体" w:hAnsi="宋体" w:cs="宋体"/>
                <w:color w:val="auto"/>
                <w:sz w:val="28"/>
                <w:szCs w:val="28"/>
                <w:highlight w:val="none"/>
              </w:rPr>
            </w:pPr>
          </w:p>
        </w:tc>
        <w:tc>
          <w:tcPr>
            <w:tcW w:w="1164" w:type="dxa"/>
            <w:noWrap w:val="0"/>
            <w:vAlign w:val="top"/>
          </w:tcPr>
          <w:p>
            <w:pP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5" w:type="dxa"/>
            <w:noWrap w:val="0"/>
            <w:vAlign w:val="top"/>
          </w:tcPr>
          <w:p>
            <w:pPr>
              <w:rPr>
                <w:rFonts w:hint="eastAsia" w:ascii="宋体" w:hAnsi="宋体" w:cs="宋体"/>
                <w:color w:val="auto"/>
                <w:sz w:val="28"/>
                <w:szCs w:val="28"/>
                <w:highlight w:val="none"/>
              </w:rPr>
            </w:pPr>
          </w:p>
        </w:tc>
        <w:tc>
          <w:tcPr>
            <w:tcW w:w="1773" w:type="dxa"/>
            <w:noWrap w:val="0"/>
            <w:vAlign w:val="top"/>
          </w:tcPr>
          <w:p>
            <w:pPr>
              <w:rPr>
                <w:rFonts w:hint="eastAsia" w:ascii="宋体" w:hAnsi="宋体" w:cs="宋体"/>
                <w:color w:val="auto"/>
                <w:sz w:val="28"/>
                <w:szCs w:val="28"/>
                <w:highlight w:val="none"/>
              </w:rPr>
            </w:pPr>
          </w:p>
        </w:tc>
        <w:tc>
          <w:tcPr>
            <w:tcW w:w="2336" w:type="dxa"/>
            <w:noWrap w:val="0"/>
            <w:vAlign w:val="top"/>
          </w:tcPr>
          <w:p>
            <w:pPr>
              <w:rPr>
                <w:rFonts w:hint="eastAsia" w:ascii="宋体" w:hAnsi="宋体" w:cs="宋体"/>
                <w:color w:val="auto"/>
                <w:sz w:val="28"/>
                <w:szCs w:val="28"/>
                <w:highlight w:val="none"/>
              </w:rPr>
            </w:pPr>
          </w:p>
        </w:tc>
        <w:tc>
          <w:tcPr>
            <w:tcW w:w="2257" w:type="dxa"/>
            <w:noWrap w:val="0"/>
            <w:vAlign w:val="top"/>
          </w:tcPr>
          <w:p>
            <w:pPr>
              <w:rPr>
                <w:rFonts w:hint="eastAsia" w:ascii="宋体" w:hAnsi="宋体" w:cs="宋体"/>
                <w:color w:val="auto"/>
                <w:sz w:val="28"/>
                <w:szCs w:val="28"/>
                <w:highlight w:val="none"/>
              </w:rPr>
            </w:pPr>
          </w:p>
        </w:tc>
        <w:tc>
          <w:tcPr>
            <w:tcW w:w="1432" w:type="dxa"/>
            <w:noWrap w:val="0"/>
            <w:vAlign w:val="top"/>
          </w:tcPr>
          <w:p>
            <w:pPr>
              <w:rPr>
                <w:rFonts w:hint="eastAsia" w:ascii="宋体" w:hAnsi="宋体" w:cs="宋体"/>
                <w:color w:val="auto"/>
                <w:sz w:val="28"/>
                <w:szCs w:val="28"/>
                <w:highlight w:val="none"/>
              </w:rPr>
            </w:pPr>
          </w:p>
        </w:tc>
        <w:tc>
          <w:tcPr>
            <w:tcW w:w="1164" w:type="dxa"/>
            <w:noWrap w:val="0"/>
            <w:vAlign w:val="top"/>
          </w:tcPr>
          <w:p>
            <w:pP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5" w:type="dxa"/>
            <w:noWrap w:val="0"/>
            <w:vAlign w:val="top"/>
          </w:tcPr>
          <w:p>
            <w:pPr>
              <w:rPr>
                <w:rFonts w:hint="eastAsia" w:ascii="宋体" w:hAnsi="宋体" w:cs="宋体"/>
                <w:color w:val="auto"/>
                <w:sz w:val="28"/>
                <w:szCs w:val="28"/>
                <w:highlight w:val="none"/>
              </w:rPr>
            </w:pPr>
          </w:p>
        </w:tc>
        <w:tc>
          <w:tcPr>
            <w:tcW w:w="1773" w:type="dxa"/>
            <w:noWrap w:val="0"/>
            <w:vAlign w:val="top"/>
          </w:tcPr>
          <w:p>
            <w:pPr>
              <w:rPr>
                <w:rFonts w:hint="eastAsia" w:ascii="宋体" w:hAnsi="宋体" w:cs="宋体"/>
                <w:color w:val="auto"/>
                <w:sz w:val="28"/>
                <w:szCs w:val="28"/>
                <w:highlight w:val="none"/>
              </w:rPr>
            </w:pPr>
          </w:p>
        </w:tc>
        <w:tc>
          <w:tcPr>
            <w:tcW w:w="2336" w:type="dxa"/>
            <w:noWrap w:val="0"/>
            <w:vAlign w:val="top"/>
          </w:tcPr>
          <w:p>
            <w:pPr>
              <w:rPr>
                <w:rFonts w:hint="eastAsia" w:ascii="宋体" w:hAnsi="宋体" w:cs="宋体"/>
                <w:color w:val="auto"/>
                <w:sz w:val="28"/>
                <w:szCs w:val="28"/>
                <w:highlight w:val="none"/>
              </w:rPr>
            </w:pPr>
          </w:p>
        </w:tc>
        <w:tc>
          <w:tcPr>
            <w:tcW w:w="2257" w:type="dxa"/>
            <w:noWrap w:val="0"/>
            <w:vAlign w:val="top"/>
          </w:tcPr>
          <w:p>
            <w:pPr>
              <w:rPr>
                <w:rFonts w:hint="eastAsia" w:ascii="宋体" w:hAnsi="宋体" w:cs="宋体"/>
                <w:color w:val="auto"/>
                <w:sz w:val="28"/>
                <w:szCs w:val="28"/>
                <w:highlight w:val="none"/>
              </w:rPr>
            </w:pPr>
          </w:p>
        </w:tc>
        <w:tc>
          <w:tcPr>
            <w:tcW w:w="1432" w:type="dxa"/>
            <w:noWrap w:val="0"/>
            <w:vAlign w:val="top"/>
          </w:tcPr>
          <w:p>
            <w:pPr>
              <w:rPr>
                <w:rFonts w:hint="eastAsia" w:ascii="宋体" w:hAnsi="宋体" w:cs="宋体"/>
                <w:color w:val="auto"/>
                <w:sz w:val="28"/>
                <w:szCs w:val="28"/>
                <w:highlight w:val="none"/>
              </w:rPr>
            </w:pPr>
          </w:p>
        </w:tc>
        <w:tc>
          <w:tcPr>
            <w:tcW w:w="1164" w:type="dxa"/>
            <w:noWrap w:val="0"/>
            <w:vAlign w:val="top"/>
          </w:tcPr>
          <w:p>
            <w:pP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15" w:type="dxa"/>
            <w:noWrap w:val="0"/>
            <w:vAlign w:val="top"/>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w:t>
            </w:r>
          </w:p>
        </w:tc>
        <w:tc>
          <w:tcPr>
            <w:tcW w:w="1773" w:type="dxa"/>
            <w:noWrap w:val="0"/>
            <w:vAlign w:val="top"/>
          </w:tcPr>
          <w:p>
            <w:pPr>
              <w:rPr>
                <w:rFonts w:hint="eastAsia" w:ascii="宋体" w:hAnsi="宋体" w:cs="宋体"/>
                <w:color w:val="auto"/>
                <w:sz w:val="28"/>
                <w:szCs w:val="28"/>
                <w:highlight w:val="none"/>
              </w:rPr>
            </w:pPr>
          </w:p>
        </w:tc>
        <w:tc>
          <w:tcPr>
            <w:tcW w:w="2336" w:type="dxa"/>
            <w:noWrap w:val="0"/>
            <w:vAlign w:val="top"/>
          </w:tcPr>
          <w:p>
            <w:pPr>
              <w:rPr>
                <w:rFonts w:hint="eastAsia" w:ascii="宋体" w:hAnsi="宋体" w:cs="宋体"/>
                <w:color w:val="auto"/>
                <w:sz w:val="28"/>
                <w:szCs w:val="28"/>
                <w:highlight w:val="none"/>
              </w:rPr>
            </w:pPr>
          </w:p>
        </w:tc>
        <w:tc>
          <w:tcPr>
            <w:tcW w:w="2257" w:type="dxa"/>
            <w:noWrap w:val="0"/>
            <w:vAlign w:val="top"/>
          </w:tcPr>
          <w:p>
            <w:pPr>
              <w:rPr>
                <w:rFonts w:hint="eastAsia" w:ascii="宋体" w:hAnsi="宋体" w:cs="宋体"/>
                <w:color w:val="auto"/>
                <w:sz w:val="28"/>
                <w:szCs w:val="28"/>
                <w:highlight w:val="none"/>
              </w:rPr>
            </w:pPr>
          </w:p>
        </w:tc>
        <w:tc>
          <w:tcPr>
            <w:tcW w:w="1432" w:type="dxa"/>
            <w:noWrap w:val="0"/>
            <w:vAlign w:val="top"/>
          </w:tcPr>
          <w:p>
            <w:pPr>
              <w:rPr>
                <w:rFonts w:hint="eastAsia" w:ascii="宋体" w:hAnsi="宋体" w:cs="宋体"/>
                <w:color w:val="auto"/>
                <w:sz w:val="28"/>
                <w:szCs w:val="28"/>
                <w:highlight w:val="none"/>
              </w:rPr>
            </w:pPr>
          </w:p>
        </w:tc>
        <w:tc>
          <w:tcPr>
            <w:tcW w:w="1164" w:type="dxa"/>
            <w:noWrap w:val="0"/>
            <w:vAlign w:val="top"/>
          </w:tcPr>
          <w:p>
            <w:pPr>
              <w:rPr>
                <w:rFonts w:hint="eastAsia" w:ascii="宋体" w:hAnsi="宋体" w:cs="宋体"/>
                <w:color w:val="auto"/>
                <w:sz w:val="28"/>
                <w:szCs w:val="28"/>
                <w:highlight w:val="none"/>
              </w:rPr>
            </w:pPr>
          </w:p>
        </w:tc>
      </w:tr>
    </w:tbl>
    <w:p>
      <w:p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注:若有偏离,请将具体偏离条款在“偏离”一栏中详细说明;若无偏离,请在“偏离”一栏中标注“无”字样。</w:t>
      </w:r>
    </w:p>
    <w:p>
      <w:pPr>
        <w:spacing w:line="60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供应商名称（盖章）：</w:t>
      </w:r>
    </w:p>
    <w:p>
      <w:pPr>
        <w:spacing w:line="60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法定代表人或委托代理人（签字或盖章）：</w:t>
      </w:r>
    </w:p>
    <w:p>
      <w:pPr>
        <w:spacing w:line="60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日期：     年   月   日</w:t>
      </w:r>
      <w:bookmarkStart w:id="790" w:name="_Toc28375"/>
      <w:bookmarkStart w:id="791" w:name="_Toc2824"/>
      <w:bookmarkStart w:id="792" w:name="_Toc5781"/>
    </w:p>
    <w:p>
      <w:pPr>
        <w:spacing w:line="600" w:lineRule="auto"/>
        <w:rPr>
          <w:rStyle w:val="23"/>
          <w:rFonts w:hint="eastAsia" w:ascii="宋体" w:hAnsi="宋体" w:eastAsia="宋体" w:cs="宋体"/>
          <w:color w:val="auto"/>
          <w:sz w:val="32"/>
          <w:szCs w:val="28"/>
          <w:highlight w:val="none"/>
        </w:rPr>
      </w:pPr>
      <w:r>
        <w:rPr>
          <w:rFonts w:hint="eastAsia" w:ascii="宋体" w:hAnsi="宋体" w:cs="宋体"/>
          <w:color w:val="auto"/>
          <w:sz w:val="28"/>
          <w:szCs w:val="28"/>
          <w:highlight w:val="none"/>
        </w:rPr>
        <w:br w:type="page"/>
      </w:r>
      <w:r>
        <w:rPr>
          <w:rStyle w:val="23"/>
          <w:rFonts w:hint="eastAsia" w:ascii="宋体" w:hAnsi="宋体" w:eastAsia="宋体" w:cs="宋体"/>
          <w:b/>
          <w:bCs/>
          <w:color w:val="auto"/>
          <w:sz w:val="32"/>
          <w:szCs w:val="28"/>
          <w:highlight w:val="none"/>
        </w:rPr>
        <w:t>附件10:</w:t>
      </w:r>
      <w:bookmarkEnd w:id="790"/>
      <w:bookmarkEnd w:id="791"/>
      <w:bookmarkEnd w:id="792"/>
    </w:p>
    <w:p>
      <w:pPr>
        <w:pStyle w:val="4"/>
        <w:keepNext w:val="0"/>
        <w:numPr>
          <w:ilvl w:val="0"/>
          <w:numId w:val="0"/>
        </w:numPr>
        <w:jc w:val="center"/>
        <w:rPr>
          <w:rStyle w:val="23"/>
          <w:rFonts w:hint="eastAsia" w:ascii="宋体" w:hAnsi="宋体" w:eastAsia="宋体" w:cs="宋体"/>
          <w:color w:val="auto"/>
          <w:sz w:val="32"/>
          <w:szCs w:val="28"/>
          <w:highlight w:val="none"/>
        </w:rPr>
      </w:pPr>
      <w:bookmarkStart w:id="793" w:name="_Toc8532"/>
      <w:bookmarkStart w:id="794" w:name="_Toc8429"/>
      <w:bookmarkStart w:id="795" w:name="_Toc28929"/>
      <w:r>
        <w:rPr>
          <w:rStyle w:val="23"/>
          <w:rFonts w:hint="eastAsia" w:ascii="宋体" w:hAnsi="宋体" w:eastAsia="宋体" w:cs="宋体"/>
          <w:color w:val="auto"/>
          <w:sz w:val="32"/>
          <w:szCs w:val="28"/>
          <w:highlight w:val="none"/>
        </w:rPr>
        <w:t>技术规格偏离表</w:t>
      </w:r>
      <w:bookmarkEnd w:id="793"/>
      <w:bookmarkEnd w:id="794"/>
      <w:bookmarkEnd w:id="795"/>
    </w:p>
    <w:p>
      <w:pPr>
        <w:pStyle w:val="22"/>
        <w:spacing w:line="480" w:lineRule="exact"/>
        <w:ind w:firstLine="57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项目名称：　　　　　　　　　　　　                                                        </w:t>
      </w:r>
    </w:p>
    <w:tbl>
      <w:tblPr>
        <w:tblStyle w:val="19"/>
        <w:tblW w:w="8758"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29"/>
        <w:gridCol w:w="1809"/>
        <w:gridCol w:w="1278"/>
        <w:gridCol w:w="1235"/>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0"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序号</w:t>
            </w:r>
          </w:p>
        </w:tc>
        <w:tc>
          <w:tcPr>
            <w:tcW w:w="2529"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竞争性磋商文件条目号</w:t>
            </w:r>
          </w:p>
        </w:tc>
        <w:tc>
          <w:tcPr>
            <w:tcW w:w="1809"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竞争性磋商文件的技术条款</w:t>
            </w:r>
          </w:p>
        </w:tc>
        <w:tc>
          <w:tcPr>
            <w:tcW w:w="1278"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响应文件的技术条款</w:t>
            </w:r>
          </w:p>
        </w:tc>
        <w:tc>
          <w:tcPr>
            <w:tcW w:w="1235"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偏离</w:t>
            </w:r>
          </w:p>
        </w:tc>
        <w:tc>
          <w:tcPr>
            <w:tcW w:w="1057"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850" w:type="dxa"/>
            <w:noWrap w:val="0"/>
            <w:vAlign w:val="top"/>
          </w:tcPr>
          <w:p>
            <w:pPr>
              <w:pStyle w:val="22"/>
              <w:spacing w:line="480" w:lineRule="exact"/>
              <w:rPr>
                <w:rFonts w:hint="eastAsia" w:ascii="宋体" w:hAnsi="宋体" w:cs="宋体"/>
                <w:color w:val="auto"/>
                <w:sz w:val="28"/>
                <w:szCs w:val="28"/>
                <w:highlight w:val="none"/>
              </w:rPr>
            </w:pPr>
          </w:p>
        </w:tc>
        <w:tc>
          <w:tcPr>
            <w:tcW w:w="2529" w:type="dxa"/>
            <w:noWrap w:val="0"/>
            <w:vAlign w:val="top"/>
          </w:tcPr>
          <w:p>
            <w:pPr>
              <w:pStyle w:val="22"/>
              <w:spacing w:line="480" w:lineRule="exact"/>
              <w:rPr>
                <w:rFonts w:hint="eastAsia" w:ascii="宋体" w:hAnsi="宋体" w:cs="宋体"/>
                <w:color w:val="auto"/>
                <w:sz w:val="28"/>
                <w:szCs w:val="28"/>
                <w:highlight w:val="none"/>
              </w:rPr>
            </w:pPr>
          </w:p>
        </w:tc>
        <w:tc>
          <w:tcPr>
            <w:tcW w:w="1809" w:type="dxa"/>
            <w:noWrap w:val="0"/>
            <w:vAlign w:val="top"/>
          </w:tcPr>
          <w:p>
            <w:pPr>
              <w:spacing w:line="480" w:lineRule="exact"/>
              <w:jc w:val="left"/>
              <w:rPr>
                <w:rFonts w:hint="eastAsia" w:ascii="宋体" w:hAnsi="宋体" w:cs="宋体"/>
                <w:color w:val="auto"/>
                <w:kern w:val="0"/>
                <w:sz w:val="28"/>
                <w:szCs w:val="28"/>
                <w:highlight w:val="none"/>
              </w:rPr>
            </w:pPr>
          </w:p>
          <w:p>
            <w:pPr>
              <w:pStyle w:val="22"/>
              <w:spacing w:line="480" w:lineRule="exact"/>
              <w:rPr>
                <w:rFonts w:hint="eastAsia" w:ascii="宋体" w:hAnsi="宋体" w:cs="宋体"/>
                <w:color w:val="auto"/>
                <w:sz w:val="28"/>
                <w:szCs w:val="28"/>
                <w:highlight w:val="none"/>
              </w:rPr>
            </w:pPr>
          </w:p>
        </w:tc>
        <w:tc>
          <w:tcPr>
            <w:tcW w:w="1278" w:type="dxa"/>
            <w:noWrap w:val="0"/>
            <w:vAlign w:val="top"/>
          </w:tcPr>
          <w:p>
            <w:pPr>
              <w:pStyle w:val="22"/>
              <w:spacing w:line="480" w:lineRule="exact"/>
              <w:rPr>
                <w:rFonts w:hint="eastAsia" w:ascii="宋体" w:hAnsi="宋体" w:cs="宋体"/>
                <w:color w:val="auto"/>
                <w:sz w:val="28"/>
                <w:szCs w:val="28"/>
                <w:highlight w:val="none"/>
              </w:rPr>
            </w:pPr>
          </w:p>
        </w:tc>
        <w:tc>
          <w:tcPr>
            <w:tcW w:w="1235" w:type="dxa"/>
            <w:noWrap w:val="0"/>
            <w:vAlign w:val="top"/>
          </w:tcPr>
          <w:p>
            <w:pPr>
              <w:pStyle w:val="22"/>
              <w:spacing w:line="480" w:lineRule="exact"/>
              <w:rPr>
                <w:rFonts w:hint="eastAsia" w:ascii="宋体" w:hAnsi="宋体" w:cs="宋体"/>
                <w:color w:val="auto"/>
                <w:sz w:val="28"/>
                <w:szCs w:val="28"/>
                <w:highlight w:val="none"/>
              </w:rPr>
            </w:pPr>
          </w:p>
        </w:tc>
        <w:tc>
          <w:tcPr>
            <w:tcW w:w="1057" w:type="dxa"/>
            <w:noWrap w:val="0"/>
            <w:vAlign w:val="top"/>
          </w:tcPr>
          <w:p>
            <w:pPr>
              <w:pStyle w:val="22"/>
              <w:spacing w:line="480" w:lineRule="exact"/>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850" w:type="dxa"/>
            <w:noWrap w:val="0"/>
            <w:vAlign w:val="top"/>
          </w:tcPr>
          <w:p>
            <w:pPr>
              <w:pStyle w:val="22"/>
              <w:spacing w:line="480" w:lineRule="exact"/>
              <w:rPr>
                <w:rFonts w:hint="eastAsia" w:ascii="宋体" w:hAnsi="宋体" w:cs="宋体"/>
                <w:color w:val="auto"/>
                <w:sz w:val="28"/>
                <w:szCs w:val="28"/>
                <w:highlight w:val="none"/>
              </w:rPr>
            </w:pPr>
          </w:p>
        </w:tc>
        <w:tc>
          <w:tcPr>
            <w:tcW w:w="2529" w:type="dxa"/>
            <w:noWrap w:val="0"/>
            <w:vAlign w:val="top"/>
          </w:tcPr>
          <w:p>
            <w:pPr>
              <w:pStyle w:val="22"/>
              <w:spacing w:line="480" w:lineRule="exact"/>
              <w:rPr>
                <w:rFonts w:hint="eastAsia" w:ascii="宋体" w:hAnsi="宋体" w:cs="宋体"/>
                <w:color w:val="auto"/>
                <w:sz w:val="28"/>
                <w:szCs w:val="28"/>
                <w:highlight w:val="none"/>
              </w:rPr>
            </w:pPr>
          </w:p>
        </w:tc>
        <w:tc>
          <w:tcPr>
            <w:tcW w:w="1809" w:type="dxa"/>
            <w:noWrap w:val="0"/>
            <w:vAlign w:val="top"/>
          </w:tcPr>
          <w:p>
            <w:pPr>
              <w:spacing w:line="480" w:lineRule="exact"/>
              <w:jc w:val="left"/>
              <w:rPr>
                <w:rFonts w:hint="eastAsia" w:ascii="宋体" w:hAnsi="宋体" w:cs="宋体"/>
                <w:color w:val="auto"/>
                <w:kern w:val="0"/>
                <w:sz w:val="28"/>
                <w:szCs w:val="28"/>
                <w:highlight w:val="none"/>
              </w:rPr>
            </w:pPr>
          </w:p>
          <w:p>
            <w:pPr>
              <w:pStyle w:val="22"/>
              <w:spacing w:line="480" w:lineRule="exact"/>
              <w:rPr>
                <w:rFonts w:hint="eastAsia" w:ascii="宋体" w:hAnsi="宋体" w:cs="宋体"/>
                <w:color w:val="auto"/>
                <w:sz w:val="28"/>
                <w:szCs w:val="28"/>
                <w:highlight w:val="none"/>
              </w:rPr>
            </w:pPr>
          </w:p>
        </w:tc>
        <w:tc>
          <w:tcPr>
            <w:tcW w:w="1278" w:type="dxa"/>
            <w:noWrap w:val="0"/>
            <w:vAlign w:val="top"/>
          </w:tcPr>
          <w:p>
            <w:pPr>
              <w:pStyle w:val="22"/>
              <w:spacing w:line="480" w:lineRule="exact"/>
              <w:rPr>
                <w:rFonts w:hint="eastAsia" w:ascii="宋体" w:hAnsi="宋体" w:cs="宋体"/>
                <w:color w:val="auto"/>
                <w:sz w:val="28"/>
                <w:szCs w:val="28"/>
                <w:highlight w:val="none"/>
              </w:rPr>
            </w:pPr>
          </w:p>
        </w:tc>
        <w:tc>
          <w:tcPr>
            <w:tcW w:w="1235" w:type="dxa"/>
            <w:noWrap w:val="0"/>
            <w:vAlign w:val="top"/>
          </w:tcPr>
          <w:p>
            <w:pPr>
              <w:pStyle w:val="22"/>
              <w:spacing w:line="480" w:lineRule="exact"/>
              <w:rPr>
                <w:rFonts w:hint="eastAsia" w:ascii="宋体" w:hAnsi="宋体" w:cs="宋体"/>
                <w:color w:val="auto"/>
                <w:sz w:val="28"/>
                <w:szCs w:val="28"/>
                <w:highlight w:val="none"/>
              </w:rPr>
            </w:pPr>
          </w:p>
        </w:tc>
        <w:tc>
          <w:tcPr>
            <w:tcW w:w="1057" w:type="dxa"/>
            <w:noWrap w:val="0"/>
            <w:vAlign w:val="top"/>
          </w:tcPr>
          <w:p>
            <w:pPr>
              <w:pStyle w:val="22"/>
              <w:spacing w:line="480" w:lineRule="exact"/>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50" w:type="dxa"/>
            <w:noWrap w:val="0"/>
            <w:vAlign w:val="top"/>
          </w:tcPr>
          <w:p>
            <w:pPr>
              <w:pStyle w:val="22"/>
              <w:spacing w:line="480" w:lineRule="exact"/>
              <w:rPr>
                <w:rFonts w:hint="eastAsia" w:ascii="宋体" w:hAnsi="宋体" w:cs="宋体"/>
                <w:color w:val="auto"/>
                <w:sz w:val="28"/>
                <w:szCs w:val="28"/>
                <w:highlight w:val="none"/>
              </w:rPr>
            </w:pPr>
          </w:p>
        </w:tc>
        <w:tc>
          <w:tcPr>
            <w:tcW w:w="2529" w:type="dxa"/>
            <w:noWrap w:val="0"/>
            <w:vAlign w:val="top"/>
          </w:tcPr>
          <w:p>
            <w:pPr>
              <w:pStyle w:val="22"/>
              <w:spacing w:line="480" w:lineRule="exact"/>
              <w:rPr>
                <w:rFonts w:hint="eastAsia" w:ascii="宋体" w:hAnsi="宋体" w:cs="宋体"/>
                <w:color w:val="auto"/>
                <w:sz w:val="28"/>
                <w:szCs w:val="28"/>
                <w:highlight w:val="none"/>
              </w:rPr>
            </w:pPr>
          </w:p>
        </w:tc>
        <w:tc>
          <w:tcPr>
            <w:tcW w:w="1809" w:type="dxa"/>
            <w:noWrap w:val="0"/>
            <w:vAlign w:val="top"/>
          </w:tcPr>
          <w:p>
            <w:pPr>
              <w:spacing w:line="480" w:lineRule="exact"/>
              <w:jc w:val="left"/>
              <w:rPr>
                <w:rFonts w:hint="eastAsia" w:ascii="宋体" w:hAnsi="宋体" w:cs="宋体"/>
                <w:color w:val="auto"/>
                <w:kern w:val="0"/>
                <w:sz w:val="28"/>
                <w:szCs w:val="28"/>
                <w:highlight w:val="none"/>
              </w:rPr>
            </w:pPr>
          </w:p>
          <w:p>
            <w:pPr>
              <w:pStyle w:val="22"/>
              <w:spacing w:line="480" w:lineRule="exact"/>
              <w:rPr>
                <w:rFonts w:hint="eastAsia" w:ascii="宋体" w:hAnsi="宋体" w:cs="宋体"/>
                <w:color w:val="auto"/>
                <w:sz w:val="28"/>
                <w:szCs w:val="28"/>
                <w:highlight w:val="none"/>
              </w:rPr>
            </w:pPr>
          </w:p>
        </w:tc>
        <w:tc>
          <w:tcPr>
            <w:tcW w:w="1278" w:type="dxa"/>
            <w:noWrap w:val="0"/>
            <w:vAlign w:val="top"/>
          </w:tcPr>
          <w:p>
            <w:pPr>
              <w:pStyle w:val="22"/>
              <w:spacing w:line="480" w:lineRule="exact"/>
              <w:rPr>
                <w:rFonts w:hint="eastAsia" w:ascii="宋体" w:hAnsi="宋体" w:cs="宋体"/>
                <w:color w:val="auto"/>
                <w:sz w:val="28"/>
                <w:szCs w:val="28"/>
                <w:highlight w:val="none"/>
              </w:rPr>
            </w:pPr>
          </w:p>
        </w:tc>
        <w:tc>
          <w:tcPr>
            <w:tcW w:w="1235" w:type="dxa"/>
            <w:noWrap w:val="0"/>
            <w:vAlign w:val="top"/>
          </w:tcPr>
          <w:p>
            <w:pPr>
              <w:pStyle w:val="22"/>
              <w:spacing w:line="480" w:lineRule="exact"/>
              <w:rPr>
                <w:rFonts w:hint="eastAsia" w:ascii="宋体" w:hAnsi="宋体" w:cs="宋体"/>
                <w:color w:val="auto"/>
                <w:sz w:val="28"/>
                <w:szCs w:val="28"/>
                <w:highlight w:val="none"/>
              </w:rPr>
            </w:pPr>
          </w:p>
        </w:tc>
        <w:tc>
          <w:tcPr>
            <w:tcW w:w="1057" w:type="dxa"/>
            <w:noWrap w:val="0"/>
            <w:vAlign w:val="top"/>
          </w:tcPr>
          <w:p>
            <w:pPr>
              <w:pStyle w:val="22"/>
              <w:spacing w:line="480" w:lineRule="exact"/>
              <w:rPr>
                <w:rFonts w:hint="eastAsia" w:ascii="宋体" w:hAnsi="宋体" w:cs="宋体"/>
                <w:color w:val="auto"/>
                <w:sz w:val="28"/>
                <w:szCs w:val="28"/>
                <w:highlight w:val="none"/>
              </w:rPr>
            </w:pPr>
          </w:p>
        </w:tc>
      </w:tr>
    </w:tbl>
    <w:p>
      <w:pPr>
        <w:spacing w:line="360" w:lineRule="auto"/>
        <w:rPr>
          <w:rFonts w:hint="eastAsia" w:ascii="宋体" w:hAnsi="宋体" w:cs="宋体"/>
          <w:color w:val="auto"/>
          <w:sz w:val="28"/>
          <w:szCs w:val="28"/>
          <w:highlight w:val="none"/>
        </w:rPr>
      </w:pPr>
      <w:bookmarkStart w:id="796" w:name="_Toc32067"/>
      <w:bookmarkStart w:id="797" w:name="_Toc19858"/>
      <w:r>
        <w:rPr>
          <w:rFonts w:hint="eastAsia" w:ascii="宋体" w:hAnsi="宋体" w:cs="宋体"/>
          <w:color w:val="auto"/>
          <w:sz w:val="28"/>
          <w:szCs w:val="28"/>
          <w:highlight w:val="none"/>
        </w:rPr>
        <w:t>注:若有偏离,请将具体偏离条款在“偏离”一栏中详细说明;若无偏离,请在“偏离”一栏中标注“无”字样。</w:t>
      </w:r>
    </w:p>
    <w:p>
      <w:pPr>
        <w:spacing w:line="60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供应商名称（盖章）：</w:t>
      </w:r>
    </w:p>
    <w:p>
      <w:pPr>
        <w:spacing w:line="60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法定代表人或委托代理人（签字或盖章）：</w:t>
      </w:r>
    </w:p>
    <w:p>
      <w:pPr>
        <w:pStyle w:val="4"/>
        <w:keepNext w:val="0"/>
        <w:numPr>
          <w:ilvl w:val="0"/>
          <w:numId w:val="0"/>
        </w:numPr>
        <w:jc w:val="left"/>
        <w:rPr>
          <w:rFonts w:hint="eastAsia" w:ascii="宋体" w:hAnsi="宋体" w:cs="宋体"/>
          <w:color w:val="auto"/>
          <w:sz w:val="28"/>
          <w:szCs w:val="28"/>
          <w:highlight w:val="none"/>
        </w:rPr>
        <w:sectPr>
          <w:headerReference r:id="rId16" w:type="first"/>
          <w:footerReference r:id="rId18" w:type="first"/>
          <w:headerReference r:id="rId15" w:type="default"/>
          <w:footerReference r:id="rId17" w:type="default"/>
          <w:pgSz w:w="11906" w:h="16838"/>
          <w:pgMar w:top="1417" w:right="1417" w:bottom="1417" w:left="1417" w:header="851" w:footer="850" w:gutter="0"/>
          <w:cols w:space="720" w:num="1"/>
          <w:titlePg/>
          <w:docGrid w:type="linesAndChars" w:linePitch="312" w:charSpace="1228"/>
        </w:sectPr>
      </w:pPr>
      <w:r>
        <w:rPr>
          <w:rFonts w:hint="eastAsia" w:ascii="宋体" w:hAnsi="宋体" w:cs="宋体"/>
          <w:color w:val="auto"/>
          <w:sz w:val="28"/>
          <w:szCs w:val="28"/>
          <w:highlight w:val="none"/>
        </w:rPr>
        <w:t>日期：     年   月   日</w:t>
      </w:r>
      <w:bookmarkEnd w:id="796"/>
      <w:bookmarkEnd w:id="797"/>
      <w:bookmarkStart w:id="798" w:name="_Toc10091"/>
      <w:bookmarkStart w:id="799" w:name="_Toc24389"/>
      <w:bookmarkStart w:id="800" w:name="_Toc6379"/>
    </w:p>
    <w:p>
      <w:pPr>
        <w:pStyle w:val="4"/>
        <w:keepNext w:val="0"/>
        <w:numPr>
          <w:ilvl w:val="0"/>
          <w:numId w:val="0"/>
        </w:numPr>
        <w:jc w:val="left"/>
        <w:rPr>
          <w:rStyle w:val="23"/>
          <w:rFonts w:hint="eastAsia" w:ascii="宋体" w:hAnsi="宋体" w:eastAsia="宋体" w:cs="宋体"/>
          <w:color w:val="auto"/>
          <w:sz w:val="32"/>
          <w:szCs w:val="28"/>
          <w:highlight w:val="none"/>
        </w:rPr>
      </w:pPr>
      <w:r>
        <w:rPr>
          <w:rStyle w:val="23"/>
          <w:rFonts w:hint="eastAsia" w:ascii="宋体" w:hAnsi="宋体" w:eastAsia="宋体" w:cs="宋体"/>
          <w:color w:val="auto"/>
          <w:sz w:val="32"/>
          <w:szCs w:val="28"/>
          <w:highlight w:val="none"/>
        </w:rPr>
        <w:t>附件11:</w:t>
      </w:r>
      <w:bookmarkEnd w:id="798"/>
      <w:bookmarkEnd w:id="799"/>
      <w:bookmarkEnd w:id="800"/>
    </w:p>
    <w:p>
      <w:pPr>
        <w:pStyle w:val="4"/>
        <w:keepNext w:val="0"/>
        <w:numPr>
          <w:ilvl w:val="0"/>
          <w:numId w:val="0"/>
        </w:numPr>
        <w:jc w:val="center"/>
        <w:rPr>
          <w:rStyle w:val="23"/>
          <w:rFonts w:hint="eastAsia" w:ascii="宋体" w:hAnsi="宋体" w:eastAsia="宋体" w:cs="宋体"/>
          <w:color w:val="auto"/>
          <w:sz w:val="32"/>
          <w:szCs w:val="28"/>
          <w:highlight w:val="none"/>
        </w:rPr>
      </w:pPr>
      <w:r>
        <w:rPr>
          <w:rStyle w:val="23"/>
          <w:rFonts w:hint="eastAsia" w:ascii="宋体" w:hAnsi="宋体" w:eastAsia="宋体" w:cs="宋体"/>
          <w:color w:val="auto"/>
          <w:sz w:val="32"/>
          <w:szCs w:val="28"/>
          <w:highlight w:val="none"/>
        </w:rPr>
        <w:t>近三年同类项目业绩表</w:t>
      </w:r>
    </w:p>
    <w:tbl>
      <w:tblPr>
        <w:tblStyle w:val="19"/>
        <w:tblW w:w="4969"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35"/>
        <w:gridCol w:w="1795"/>
        <w:gridCol w:w="1751"/>
        <w:gridCol w:w="1352"/>
        <w:gridCol w:w="1746"/>
        <w:gridCol w:w="164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pPr>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序号</w:t>
            </w:r>
          </w:p>
        </w:tc>
        <w:tc>
          <w:tcPr>
            <w:tcW w:w="983" w:type="pct"/>
            <w:noWrap w:val="0"/>
            <w:vAlign w:val="center"/>
          </w:tcPr>
          <w:p>
            <w:pPr>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项目名称</w:t>
            </w:r>
          </w:p>
        </w:tc>
        <w:tc>
          <w:tcPr>
            <w:tcW w:w="959" w:type="pct"/>
            <w:noWrap w:val="0"/>
            <w:vAlign w:val="center"/>
          </w:tcPr>
          <w:p>
            <w:pPr>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完成时间</w:t>
            </w:r>
          </w:p>
        </w:tc>
        <w:tc>
          <w:tcPr>
            <w:tcW w:w="741" w:type="pct"/>
            <w:noWrap w:val="0"/>
            <w:vAlign w:val="center"/>
          </w:tcPr>
          <w:p>
            <w:pPr>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合同金额</w:t>
            </w:r>
          </w:p>
        </w:tc>
        <w:tc>
          <w:tcPr>
            <w:tcW w:w="957" w:type="pct"/>
            <w:noWrap w:val="0"/>
            <w:vAlign w:val="center"/>
          </w:tcPr>
          <w:p>
            <w:pPr>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采购人名称</w:t>
            </w:r>
          </w:p>
        </w:tc>
        <w:tc>
          <w:tcPr>
            <w:tcW w:w="901" w:type="pct"/>
            <w:tcBorders>
              <w:left w:val="single" w:color="auto" w:sz="4" w:space="0"/>
            </w:tcBorders>
            <w:noWrap w:val="0"/>
            <w:vAlign w:val="center"/>
          </w:tcPr>
          <w:p>
            <w:pPr>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pPr>
              <w:jc w:val="center"/>
              <w:rPr>
                <w:rFonts w:hint="eastAsia" w:ascii="宋体" w:hAnsi="宋体" w:cs="宋体"/>
                <w:bCs/>
                <w:color w:val="auto"/>
                <w:sz w:val="28"/>
                <w:szCs w:val="28"/>
                <w:highlight w:val="none"/>
              </w:rPr>
            </w:pPr>
          </w:p>
        </w:tc>
        <w:tc>
          <w:tcPr>
            <w:tcW w:w="983" w:type="pct"/>
            <w:noWrap w:val="0"/>
            <w:vAlign w:val="center"/>
          </w:tcPr>
          <w:p>
            <w:pPr>
              <w:jc w:val="center"/>
              <w:rPr>
                <w:rFonts w:hint="eastAsia" w:ascii="宋体" w:hAnsi="宋体" w:cs="宋体"/>
                <w:bCs/>
                <w:color w:val="auto"/>
                <w:sz w:val="28"/>
                <w:szCs w:val="28"/>
                <w:highlight w:val="none"/>
              </w:rPr>
            </w:pPr>
          </w:p>
        </w:tc>
        <w:tc>
          <w:tcPr>
            <w:tcW w:w="959" w:type="pct"/>
            <w:noWrap w:val="0"/>
            <w:vAlign w:val="center"/>
          </w:tcPr>
          <w:p>
            <w:pPr>
              <w:jc w:val="center"/>
              <w:rPr>
                <w:rFonts w:hint="eastAsia" w:ascii="宋体" w:hAnsi="宋体" w:cs="宋体"/>
                <w:bCs/>
                <w:color w:val="auto"/>
                <w:sz w:val="28"/>
                <w:szCs w:val="28"/>
                <w:highlight w:val="none"/>
              </w:rPr>
            </w:pPr>
          </w:p>
        </w:tc>
        <w:tc>
          <w:tcPr>
            <w:tcW w:w="741" w:type="pct"/>
            <w:noWrap w:val="0"/>
            <w:vAlign w:val="center"/>
          </w:tcPr>
          <w:p>
            <w:pPr>
              <w:jc w:val="center"/>
              <w:rPr>
                <w:rFonts w:hint="eastAsia" w:ascii="宋体" w:hAnsi="宋体" w:cs="宋体"/>
                <w:bCs/>
                <w:color w:val="auto"/>
                <w:sz w:val="28"/>
                <w:szCs w:val="28"/>
                <w:highlight w:val="none"/>
              </w:rPr>
            </w:pPr>
          </w:p>
        </w:tc>
        <w:tc>
          <w:tcPr>
            <w:tcW w:w="957" w:type="pct"/>
            <w:noWrap w:val="0"/>
            <w:vAlign w:val="center"/>
          </w:tcPr>
          <w:p>
            <w:pPr>
              <w:jc w:val="center"/>
              <w:rPr>
                <w:rFonts w:hint="eastAsia" w:ascii="宋体" w:hAnsi="宋体" w:cs="宋体"/>
                <w:bCs/>
                <w:color w:val="auto"/>
                <w:sz w:val="28"/>
                <w:szCs w:val="28"/>
                <w:highlight w:val="none"/>
              </w:rPr>
            </w:pPr>
          </w:p>
        </w:tc>
        <w:tc>
          <w:tcPr>
            <w:tcW w:w="901" w:type="pct"/>
            <w:tcBorders>
              <w:left w:val="single" w:color="auto" w:sz="4" w:space="0"/>
            </w:tcBorders>
            <w:noWrap w:val="0"/>
            <w:vAlign w:val="center"/>
          </w:tcPr>
          <w:p>
            <w:pPr>
              <w:jc w:val="center"/>
              <w:rPr>
                <w:rFonts w:hint="eastAsia" w:ascii="宋体" w:hAnsi="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pPr>
              <w:jc w:val="center"/>
              <w:rPr>
                <w:rFonts w:hint="eastAsia" w:ascii="宋体" w:hAnsi="宋体" w:cs="宋体"/>
                <w:bCs/>
                <w:color w:val="auto"/>
                <w:sz w:val="28"/>
                <w:szCs w:val="28"/>
                <w:highlight w:val="none"/>
              </w:rPr>
            </w:pPr>
          </w:p>
        </w:tc>
        <w:tc>
          <w:tcPr>
            <w:tcW w:w="983" w:type="pct"/>
            <w:noWrap w:val="0"/>
            <w:vAlign w:val="center"/>
          </w:tcPr>
          <w:p>
            <w:pPr>
              <w:jc w:val="center"/>
              <w:rPr>
                <w:rFonts w:hint="eastAsia" w:ascii="宋体" w:hAnsi="宋体" w:cs="宋体"/>
                <w:bCs/>
                <w:color w:val="auto"/>
                <w:sz w:val="28"/>
                <w:szCs w:val="28"/>
                <w:highlight w:val="none"/>
              </w:rPr>
            </w:pPr>
          </w:p>
        </w:tc>
        <w:tc>
          <w:tcPr>
            <w:tcW w:w="959" w:type="pct"/>
            <w:noWrap w:val="0"/>
            <w:vAlign w:val="center"/>
          </w:tcPr>
          <w:p>
            <w:pPr>
              <w:jc w:val="center"/>
              <w:rPr>
                <w:rFonts w:hint="eastAsia" w:ascii="宋体" w:hAnsi="宋体" w:cs="宋体"/>
                <w:bCs/>
                <w:color w:val="auto"/>
                <w:sz w:val="28"/>
                <w:szCs w:val="28"/>
                <w:highlight w:val="none"/>
              </w:rPr>
            </w:pPr>
          </w:p>
        </w:tc>
        <w:tc>
          <w:tcPr>
            <w:tcW w:w="741" w:type="pct"/>
            <w:noWrap w:val="0"/>
            <w:vAlign w:val="center"/>
          </w:tcPr>
          <w:p>
            <w:pPr>
              <w:jc w:val="center"/>
              <w:rPr>
                <w:rFonts w:hint="eastAsia" w:ascii="宋体" w:hAnsi="宋体" w:cs="宋体"/>
                <w:bCs/>
                <w:color w:val="auto"/>
                <w:sz w:val="28"/>
                <w:szCs w:val="28"/>
                <w:highlight w:val="none"/>
              </w:rPr>
            </w:pPr>
          </w:p>
        </w:tc>
        <w:tc>
          <w:tcPr>
            <w:tcW w:w="957" w:type="pct"/>
            <w:noWrap w:val="0"/>
            <w:vAlign w:val="center"/>
          </w:tcPr>
          <w:p>
            <w:pPr>
              <w:jc w:val="center"/>
              <w:rPr>
                <w:rFonts w:hint="eastAsia" w:ascii="宋体" w:hAnsi="宋体" w:cs="宋体"/>
                <w:bCs/>
                <w:color w:val="auto"/>
                <w:sz w:val="28"/>
                <w:szCs w:val="28"/>
                <w:highlight w:val="none"/>
              </w:rPr>
            </w:pPr>
          </w:p>
        </w:tc>
        <w:tc>
          <w:tcPr>
            <w:tcW w:w="901" w:type="pct"/>
            <w:tcBorders>
              <w:left w:val="single" w:color="auto" w:sz="4" w:space="0"/>
            </w:tcBorders>
            <w:noWrap w:val="0"/>
            <w:vAlign w:val="center"/>
          </w:tcPr>
          <w:p>
            <w:pPr>
              <w:jc w:val="center"/>
              <w:rPr>
                <w:rFonts w:hint="eastAsia" w:ascii="宋体" w:hAnsi="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pPr>
              <w:jc w:val="center"/>
              <w:rPr>
                <w:rFonts w:hint="eastAsia" w:ascii="宋体" w:hAnsi="宋体" w:cs="宋体"/>
                <w:bCs/>
                <w:color w:val="auto"/>
                <w:sz w:val="28"/>
                <w:szCs w:val="28"/>
                <w:highlight w:val="none"/>
              </w:rPr>
            </w:pPr>
          </w:p>
        </w:tc>
        <w:tc>
          <w:tcPr>
            <w:tcW w:w="983" w:type="pct"/>
            <w:noWrap w:val="0"/>
            <w:vAlign w:val="center"/>
          </w:tcPr>
          <w:p>
            <w:pPr>
              <w:jc w:val="center"/>
              <w:rPr>
                <w:rFonts w:hint="eastAsia" w:ascii="宋体" w:hAnsi="宋体" w:cs="宋体"/>
                <w:bCs/>
                <w:color w:val="auto"/>
                <w:sz w:val="28"/>
                <w:szCs w:val="28"/>
                <w:highlight w:val="none"/>
              </w:rPr>
            </w:pPr>
          </w:p>
        </w:tc>
        <w:tc>
          <w:tcPr>
            <w:tcW w:w="959" w:type="pct"/>
            <w:noWrap w:val="0"/>
            <w:vAlign w:val="center"/>
          </w:tcPr>
          <w:p>
            <w:pPr>
              <w:jc w:val="center"/>
              <w:rPr>
                <w:rFonts w:hint="eastAsia" w:ascii="宋体" w:hAnsi="宋体" w:cs="宋体"/>
                <w:bCs/>
                <w:color w:val="auto"/>
                <w:sz w:val="28"/>
                <w:szCs w:val="28"/>
                <w:highlight w:val="none"/>
              </w:rPr>
            </w:pPr>
          </w:p>
        </w:tc>
        <w:tc>
          <w:tcPr>
            <w:tcW w:w="741" w:type="pct"/>
            <w:noWrap w:val="0"/>
            <w:vAlign w:val="center"/>
          </w:tcPr>
          <w:p>
            <w:pPr>
              <w:jc w:val="center"/>
              <w:rPr>
                <w:rFonts w:hint="eastAsia" w:ascii="宋体" w:hAnsi="宋体" w:cs="宋体"/>
                <w:bCs/>
                <w:color w:val="auto"/>
                <w:sz w:val="28"/>
                <w:szCs w:val="28"/>
                <w:highlight w:val="none"/>
              </w:rPr>
            </w:pPr>
          </w:p>
        </w:tc>
        <w:tc>
          <w:tcPr>
            <w:tcW w:w="957" w:type="pct"/>
            <w:noWrap w:val="0"/>
            <w:vAlign w:val="center"/>
          </w:tcPr>
          <w:p>
            <w:pPr>
              <w:jc w:val="center"/>
              <w:rPr>
                <w:rFonts w:hint="eastAsia" w:ascii="宋体" w:hAnsi="宋体" w:cs="宋体"/>
                <w:bCs/>
                <w:color w:val="auto"/>
                <w:sz w:val="28"/>
                <w:szCs w:val="28"/>
                <w:highlight w:val="none"/>
              </w:rPr>
            </w:pPr>
          </w:p>
        </w:tc>
        <w:tc>
          <w:tcPr>
            <w:tcW w:w="901" w:type="pct"/>
            <w:tcBorders>
              <w:left w:val="single" w:color="auto" w:sz="4" w:space="0"/>
            </w:tcBorders>
            <w:noWrap w:val="0"/>
            <w:vAlign w:val="center"/>
          </w:tcPr>
          <w:p>
            <w:pPr>
              <w:jc w:val="center"/>
              <w:rPr>
                <w:rFonts w:hint="eastAsia" w:ascii="宋体" w:hAnsi="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pPr>
              <w:jc w:val="center"/>
              <w:rPr>
                <w:rFonts w:hint="eastAsia" w:ascii="宋体" w:hAnsi="宋体" w:cs="宋体"/>
                <w:bCs/>
                <w:color w:val="auto"/>
                <w:sz w:val="28"/>
                <w:szCs w:val="28"/>
                <w:highlight w:val="none"/>
              </w:rPr>
            </w:pPr>
          </w:p>
        </w:tc>
        <w:tc>
          <w:tcPr>
            <w:tcW w:w="983" w:type="pct"/>
            <w:noWrap w:val="0"/>
            <w:vAlign w:val="center"/>
          </w:tcPr>
          <w:p>
            <w:pPr>
              <w:jc w:val="center"/>
              <w:rPr>
                <w:rFonts w:hint="eastAsia" w:ascii="宋体" w:hAnsi="宋体" w:cs="宋体"/>
                <w:bCs/>
                <w:color w:val="auto"/>
                <w:sz w:val="28"/>
                <w:szCs w:val="28"/>
                <w:highlight w:val="none"/>
              </w:rPr>
            </w:pPr>
          </w:p>
        </w:tc>
        <w:tc>
          <w:tcPr>
            <w:tcW w:w="959" w:type="pct"/>
            <w:noWrap w:val="0"/>
            <w:vAlign w:val="center"/>
          </w:tcPr>
          <w:p>
            <w:pPr>
              <w:jc w:val="center"/>
              <w:rPr>
                <w:rFonts w:hint="eastAsia" w:ascii="宋体" w:hAnsi="宋体" w:cs="宋体"/>
                <w:bCs/>
                <w:color w:val="auto"/>
                <w:sz w:val="28"/>
                <w:szCs w:val="28"/>
                <w:highlight w:val="none"/>
              </w:rPr>
            </w:pPr>
          </w:p>
        </w:tc>
        <w:tc>
          <w:tcPr>
            <w:tcW w:w="741" w:type="pct"/>
            <w:noWrap w:val="0"/>
            <w:vAlign w:val="center"/>
          </w:tcPr>
          <w:p>
            <w:pPr>
              <w:jc w:val="center"/>
              <w:rPr>
                <w:rFonts w:hint="eastAsia" w:ascii="宋体" w:hAnsi="宋体" w:cs="宋体"/>
                <w:bCs/>
                <w:color w:val="auto"/>
                <w:sz w:val="28"/>
                <w:szCs w:val="28"/>
                <w:highlight w:val="none"/>
              </w:rPr>
            </w:pPr>
          </w:p>
        </w:tc>
        <w:tc>
          <w:tcPr>
            <w:tcW w:w="957" w:type="pct"/>
            <w:noWrap w:val="0"/>
            <w:vAlign w:val="center"/>
          </w:tcPr>
          <w:p>
            <w:pPr>
              <w:jc w:val="center"/>
              <w:rPr>
                <w:rFonts w:hint="eastAsia" w:ascii="宋体" w:hAnsi="宋体" w:cs="宋体"/>
                <w:bCs/>
                <w:color w:val="auto"/>
                <w:sz w:val="28"/>
                <w:szCs w:val="28"/>
                <w:highlight w:val="none"/>
              </w:rPr>
            </w:pPr>
          </w:p>
        </w:tc>
        <w:tc>
          <w:tcPr>
            <w:tcW w:w="901" w:type="pct"/>
            <w:tcBorders>
              <w:left w:val="single" w:color="auto" w:sz="4" w:space="0"/>
            </w:tcBorders>
            <w:noWrap w:val="0"/>
            <w:vAlign w:val="center"/>
          </w:tcPr>
          <w:p>
            <w:pPr>
              <w:jc w:val="center"/>
              <w:rPr>
                <w:rFonts w:hint="eastAsia" w:ascii="宋体" w:hAnsi="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pPr>
              <w:jc w:val="center"/>
              <w:rPr>
                <w:rFonts w:hint="eastAsia" w:ascii="宋体" w:hAnsi="宋体" w:cs="宋体"/>
                <w:bCs/>
                <w:color w:val="auto"/>
                <w:sz w:val="28"/>
                <w:szCs w:val="28"/>
                <w:highlight w:val="none"/>
              </w:rPr>
            </w:pPr>
          </w:p>
        </w:tc>
        <w:tc>
          <w:tcPr>
            <w:tcW w:w="983" w:type="pct"/>
            <w:noWrap w:val="0"/>
            <w:vAlign w:val="center"/>
          </w:tcPr>
          <w:p>
            <w:pPr>
              <w:jc w:val="center"/>
              <w:rPr>
                <w:rFonts w:hint="eastAsia" w:ascii="宋体" w:hAnsi="宋体" w:cs="宋体"/>
                <w:bCs/>
                <w:color w:val="auto"/>
                <w:sz w:val="28"/>
                <w:szCs w:val="28"/>
                <w:highlight w:val="none"/>
              </w:rPr>
            </w:pPr>
          </w:p>
        </w:tc>
        <w:tc>
          <w:tcPr>
            <w:tcW w:w="959" w:type="pct"/>
            <w:noWrap w:val="0"/>
            <w:vAlign w:val="center"/>
          </w:tcPr>
          <w:p>
            <w:pPr>
              <w:jc w:val="center"/>
              <w:rPr>
                <w:rFonts w:hint="eastAsia" w:ascii="宋体" w:hAnsi="宋体" w:cs="宋体"/>
                <w:bCs/>
                <w:color w:val="auto"/>
                <w:sz w:val="28"/>
                <w:szCs w:val="28"/>
                <w:highlight w:val="none"/>
              </w:rPr>
            </w:pPr>
          </w:p>
        </w:tc>
        <w:tc>
          <w:tcPr>
            <w:tcW w:w="741" w:type="pct"/>
            <w:noWrap w:val="0"/>
            <w:vAlign w:val="center"/>
          </w:tcPr>
          <w:p>
            <w:pPr>
              <w:jc w:val="center"/>
              <w:rPr>
                <w:rFonts w:hint="eastAsia" w:ascii="宋体" w:hAnsi="宋体" w:cs="宋体"/>
                <w:bCs/>
                <w:color w:val="auto"/>
                <w:sz w:val="28"/>
                <w:szCs w:val="28"/>
                <w:highlight w:val="none"/>
              </w:rPr>
            </w:pPr>
          </w:p>
        </w:tc>
        <w:tc>
          <w:tcPr>
            <w:tcW w:w="957" w:type="pct"/>
            <w:noWrap w:val="0"/>
            <w:vAlign w:val="center"/>
          </w:tcPr>
          <w:p>
            <w:pPr>
              <w:jc w:val="center"/>
              <w:rPr>
                <w:rFonts w:hint="eastAsia" w:ascii="宋体" w:hAnsi="宋体" w:cs="宋体"/>
                <w:bCs/>
                <w:color w:val="auto"/>
                <w:sz w:val="28"/>
                <w:szCs w:val="28"/>
                <w:highlight w:val="none"/>
              </w:rPr>
            </w:pPr>
          </w:p>
        </w:tc>
        <w:tc>
          <w:tcPr>
            <w:tcW w:w="901" w:type="pct"/>
            <w:tcBorders>
              <w:left w:val="single" w:color="auto" w:sz="4" w:space="0"/>
            </w:tcBorders>
            <w:noWrap w:val="0"/>
            <w:vAlign w:val="center"/>
          </w:tcPr>
          <w:p>
            <w:pPr>
              <w:jc w:val="center"/>
              <w:rPr>
                <w:rFonts w:hint="eastAsia" w:ascii="宋体" w:hAnsi="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tcBorders>
            <w:noWrap w:val="0"/>
            <w:vAlign w:val="center"/>
          </w:tcPr>
          <w:p>
            <w:pPr>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w:t>
            </w:r>
          </w:p>
        </w:tc>
        <w:tc>
          <w:tcPr>
            <w:tcW w:w="983" w:type="pct"/>
            <w:noWrap w:val="0"/>
            <w:vAlign w:val="center"/>
          </w:tcPr>
          <w:p>
            <w:pPr>
              <w:jc w:val="center"/>
              <w:rPr>
                <w:rFonts w:hint="eastAsia" w:ascii="宋体" w:hAnsi="宋体" w:cs="宋体"/>
                <w:bCs/>
                <w:color w:val="auto"/>
                <w:sz w:val="28"/>
                <w:szCs w:val="28"/>
                <w:highlight w:val="none"/>
              </w:rPr>
            </w:pPr>
          </w:p>
        </w:tc>
        <w:tc>
          <w:tcPr>
            <w:tcW w:w="959" w:type="pct"/>
            <w:noWrap w:val="0"/>
            <w:vAlign w:val="center"/>
          </w:tcPr>
          <w:p>
            <w:pPr>
              <w:jc w:val="center"/>
              <w:rPr>
                <w:rFonts w:hint="eastAsia" w:ascii="宋体" w:hAnsi="宋体" w:cs="宋体"/>
                <w:bCs/>
                <w:color w:val="auto"/>
                <w:sz w:val="28"/>
                <w:szCs w:val="28"/>
                <w:highlight w:val="none"/>
              </w:rPr>
            </w:pPr>
          </w:p>
        </w:tc>
        <w:tc>
          <w:tcPr>
            <w:tcW w:w="741" w:type="pct"/>
            <w:noWrap w:val="0"/>
            <w:vAlign w:val="center"/>
          </w:tcPr>
          <w:p>
            <w:pPr>
              <w:jc w:val="center"/>
              <w:rPr>
                <w:rFonts w:hint="eastAsia" w:ascii="宋体" w:hAnsi="宋体" w:cs="宋体"/>
                <w:bCs/>
                <w:color w:val="auto"/>
                <w:sz w:val="28"/>
                <w:szCs w:val="28"/>
                <w:highlight w:val="none"/>
              </w:rPr>
            </w:pPr>
          </w:p>
        </w:tc>
        <w:tc>
          <w:tcPr>
            <w:tcW w:w="957" w:type="pct"/>
            <w:noWrap w:val="0"/>
            <w:vAlign w:val="center"/>
          </w:tcPr>
          <w:p>
            <w:pPr>
              <w:jc w:val="center"/>
              <w:rPr>
                <w:rFonts w:hint="eastAsia" w:ascii="宋体" w:hAnsi="宋体" w:cs="宋体"/>
                <w:bCs/>
                <w:color w:val="auto"/>
                <w:sz w:val="28"/>
                <w:szCs w:val="28"/>
                <w:highlight w:val="none"/>
              </w:rPr>
            </w:pPr>
          </w:p>
        </w:tc>
        <w:tc>
          <w:tcPr>
            <w:tcW w:w="901" w:type="pct"/>
            <w:tcBorders>
              <w:left w:val="single" w:color="auto" w:sz="4" w:space="0"/>
            </w:tcBorders>
            <w:noWrap w:val="0"/>
            <w:vAlign w:val="center"/>
          </w:tcPr>
          <w:p>
            <w:pPr>
              <w:jc w:val="center"/>
              <w:rPr>
                <w:rFonts w:hint="eastAsia" w:ascii="宋体" w:hAnsi="宋体" w:cs="宋体"/>
                <w:bCs/>
                <w:color w:val="auto"/>
                <w:sz w:val="28"/>
                <w:szCs w:val="28"/>
                <w:highlight w:val="none"/>
              </w:rPr>
            </w:pPr>
          </w:p>
        </w:tc>
      </w:tr>
    </w:tbl>
    <w:p>
      <w:p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注：1、所提供的业绩应提供其采购人的联系方式及业绩证明材料（否则其业绩不予认可）。</w:t>
      </w:r>
    </w:p>
    <w:p>
      <w:p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2、附业绩证明资料（如成交通知书/中标通知书或合同复印件）</w:t>
      </w:r>
    </w:p>
    <w:p>
      <w:pPr>
        <w:spacing w:line="500" w:lineRule="exact"/>
        <w:rPr>
          <w:rFonts w:hint="eastAsia" w:ascii="宋体" w:hAnsi="宋体" w:cs="宋体"/>
          <w:b/>
          <w:bCs/>
          <w:color w:val="auto"/>
          <w:sz w:val="28"/>
          <w:szCs w:val="28"/>
          <w:highlight w:val="none"/>
        </w:rPr>
      </w:pPr>
    </w:p>
    <w:p>
      <w:pPr>
        <w:spacing w:line="500" w:lineRule="exact"/>
        <w:rPr>
          <w:rFonts w:hint="eastAsia" w:ascii="宋体" w:hAnsi="宋体" w:cs="宋体"/>
          <w:b/>
          <w:bCs/>
          <w:color w:val="auto"/>
          <w:sz w:val="28"/>
          <w:szCs w:val="28"/>
          <w:highlight w:val="none"/>
        </w:rPr>
      </w:pPr>
    </w:p>
    <w:p>
      <w:pPr>
        <w:pStyle w:val="10"/>
        <w:ind w:firstLine="0"/>
        <w:jc w:val="center"/>
        <w:rPr>
          <w:rFonts w:hint="eastAsia" w:ascii="宋体" w:hAnsi="宋体" w:eastAsia="宋体" w:cs="宋体"/>
          <w:bCs/>
          <w:color w:val="auto"/>
          <w:highlight w:val="none"/>
        </w:rPr>
      </w:pPr>
      <w:r>
        <w:rPr>
          <w:rFonts w:hint="eastAsia" w:ascii="宋体" w:hAnsi="宋体" w:eastAsia="宋体" w:cs="宋体"/>
          <w:bCs/>
          <w:color w:val="auto"/>
          <w:highlight w:val="none"/>
        </w:rPr>
        <w:t xml:space="preserve">      供应商名称（盖章）：</w:t>
      </w:r>
    </w:p>
    <w:p>
      <w:pPr>
        <w:pStyle w:val="10"/>
        <w:ind w:left="838" w:firstLine="570" w:firstLineChars="200"/>
        <w:jc w:val="right"/>
        <w:rPr>
          <w:rFonts w:hint="eastAsia" w:ascii="宋体" w:hAnsi="宋体" w:eastAsia="宋体" w:cs="宋体"/>
          <w:bCs/>
          <w:color w:val="auto"/>
          <w:highlight w:val="none"/>
        </w:rPr>
      </w:pPr>
    </w:p>
    <w:p>
      <w:pPr>
        <w:pStyle w:val="10"/>
        <w:ind w:left="838" w:firstLine="570" w:firstLineChars="200"/>
        <w:jc w:val="right"/>
        <w:rPr>
          <w:rFonts w:hint="eastAsia" w:ascii="宋体" w:hAnsi="宋体" w:eastAsia="宋体" w:cs="宋体"/>
          <w:bCs/>
          <w:color w:val="auto"/>
          <w:highlight w:val="none"/>
        </w:rPr>
      </w:pPr>
      <w:r>
        <w:rPr>
          <w:rFonts w:hint="eastAsia" w:ascii="宋体" w:hAnsi="宋体" w:eastAsia="宋体" w:cs="宋体"/>
          <w:bCs/>
          <w:color w:val="auto"/>
          <w:highlight w:val="none"/>
        </w:rPr>
        <w:t xml:space="preserve">    法定代表人或委托代理人（签字或盖章）：</w:t>
      </w:r>
    </w:p>
    <w:p>
      <w:pPr>
        <w:pStyle w:val="22"/>
        <w:wordWrap w:val="0"/>
        <w:spacing w:line="360" w:lineRule="auto"/>
        <w:ind w:firstLine="567"/>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pPr>
        <w:spacing w:line="500" w:lineRule="exact"/>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日期：     年   月   日</w:t>
      </w:r>
      <w:bookmarkStart w:id="801" w:name="_Toc27572"/>
      <w:bookmarkStart w:id="802" w:name="_Toc597"/>
      <w:bookmarkStart w:id="803" w:name="_Toc13500"/>
    </w:p>
    <w:p>
      <w:pPr>
        <w:spacing w:line="500" w:lineRule="exact"/>
        <w:rPr>
          <w:rStyle w:val="23"/>
          <w:rFonts w:hint="eastAsia" w:ascii="宋体" w:hAnsi="宋体" w:eastAsia="宋体" w:cs="宋体"/>
          <w:color w:val="auto"/>
          <w:sz w:val="32"/>
          <w:szCs w:val="28"/>
          <w:highlight w:val="none"/>
        </w:rPr>
      </w:pPr>
      <w:r>
        <w:rPr>
          <w:rFonts w:hint="eastAsia" w:ascii="宋体" w:hAnsi="宋体" w:cs="宋体"/>
          <w:color w:val="auto"/>
          <w:sz w:val="28"/>
          <w:szCs w:val="28"/>
          <w:highlight w:val="none"/>
        </w:rPr>
        <w:br w:type="page"/>
      </w:r>
      <w:r>
        <w:rPr>
          <w:rStyle w:val="23"/>
          <w:rFonts w:hint="eastAsia" w:ascii="宋体" w:hAnsi="宋体" w:eastAsia="宋体" w:cs="宋体"/>
          <w:b/>
          <w:bCs/>
          <w:color w:val="auto"/>
          <w:sz w:val="32"/>
          <w:szCs w:val="28"/>
          <w:highlight w:val="none"/>
        </w:rPr>
        <w:t>附件12:</w:t>
      </w:r>
      <w:bookmarkEnd w:id="801"/>
      <w:bookmarkEnd w:id="802"/>
      <w:bookmarkEnd w:id="803"/>
    </w:p>
    <w:p>
      <w:pPr>
        <w:pStyle w:val="4"/>
        <w:keepNext w:val="0"/>
        <w:numPr>
          <w:ilvl w:val="0"/>
          <w:numId w:val="0"/>
        </w:numPr>
        <w:jc w:val="center"/>
        <w:rPr>
          <w:rStyle w:val="23"/>
          <w:rFonts w:hint="eastAsia" w:ascii="宋体" w:hAnsi="宋体" w:eastAsia="宋体" w:cs="宋体"/>
          <w:color w:val="auto"/>
          <w:sz w:val="32"/>
          <w:szCs w:val="28"/>
          <w:highlight w:val="none"/>
        </w:rPr>
      </w:pPr>
      <w:bookmarkStart w:id="804" w:name="_Toc4298"/>
      <w:bookmarkStart w:id="805" w:name="_Toc15132"/>
      <w:r>
        <w:rPr>
          <w:rStyle w:val="23"/>
          <w:rFonts w:hint="eastAsia" w:ascii="宋体" w:hAnsi="宋体" w:eastAsia="宋体" w:cs="宋体"/>
          <w:color w:val="auto"/>
          <w:sz w:val="32"/>
          <w:szCs w:val="28"/>
          <w:highlight w:val="none"/>
        </w:rPr>
        <w:t>拟派项目负责人简历表</w:t>
      </w:r>
      <w:bookmarkEnd w:id="804"/>
      <w:bookmarkEnd w:id="805"/>
    </w:p>
    <w:tbl>
      <w:tblPr>
        <w:tblStyle w:val="19"/>
        <w:tblW w:w="4872"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313"/>
        <w:gridCol w:w="972"/>
        <w:gridCol w:w="905"/>
        <w:gridCol w:w="375"/>
        <w:gridCol w:w="1367"/>
        <w:gridCol w:w="2970"/>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姓名</w:t>
            </w:r>
          </w:p>
        </w:tc>
        <w:tc>
          <w:tcPr>
            <w:tcW w:w="710"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70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性别</w:t>
            </w:r>
          </w:p>
        </w:tc>
        <w:tc>
          <w:tcPr>
            <w:tcW w:w="754"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年龄</w:t>
            </w: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职务</w:t>
            </w:r>
          </w:p>
        </w:tc>
        <w:tc>
          <w:tcPr>
            <w:tcW w:w="710"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70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职称</w:t>
            </w:r>
          </w:p>
        </w:tc>
        <w:tc>
          <w:tcPr>
            <w:tcW w:w="754"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拟在本项目担任职务</w:t>
            </w: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52" w:type="pct"/>
            <w:gridSpan w:val="3"/>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执业资格证</w:t>
            </w:r>
          </w:p>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或注册证书</w:t>
            </w:r>
          </w:p>
        </w:tc>
        <w:tc>
          <w:tcPr>
            <w:tcW w:w="1462" w:type="pct"/>
            <w:gridSpan w:val="3"/>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u w:val="single"/>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证书编号</w:t>
            </w: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52" w:type="pct"/>
            <w:gridSpan w:val="3"/>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参加工作时间</w:t>
            </w:r>
          </w:p>
        </w:tc>
        <w:tc>
          <w:tcPr>
            <w:tcW w:w="70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2396"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从事本专业工作时间</w:t>
            </w: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5"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年份</w:t>
            </w: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参加过的</w:t>
            </w:r>
          </w:p>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项目名称</w:t>
            </w:r>
          </w:p>
        </w:tc>
        <w:tc>
          <w:tcPr>
            <w:tcW w:w="962"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服务内容</w:t>
            </w: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担任职务</w:t>
            </w: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5"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962"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5"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962"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5"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962"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5"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962"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5"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962"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5"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w:t>
            </w: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962"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r>
    </w:tbl>
    <w:p>
      <w:pPr>
        <w:spacing w:line="360" w:lineRule="auto"/>
        <w:jc w:val="left"/>
        <w:rPr>
          <w:rStyle w:val="24"/>
          <w:rFonts w:hint="eastAsia" w:ascii="宋体" w:hAnsi="宋体" w:cs="宋体"/>
          <w:color w:val="auto"/>
          <w:sz w:val="28"/>
          <w:szCs w:val="28"/>
          <w:highlight w:val="none"/>
        </w:rPr>
      </w:pPr>
      <w:bookmarkStart w:id="806" w:name="_Toc23652"/>
      <w:bookmarkStart w:id="807" w:name="_Toc25963"/>
      <w:bookmarkStart w:id="808" w:name="_Toc27273"/>
      <w:r>
        <w:rPr>
          <w:rStyle w:val="24"/>
          <w:rFonts w:hint="eastAsia" w:ascii="宋体" w:hAnsi="宋体" w:cs="宋体"/>
          <w:color w:val="auto"/>
          <w:sz w:val="28"/>
          <w:szCs w:val="28"/>
          <w:highlight w:val="none"/>
        </w:rPr>
        <w:t>附项目负责人相关资料、业绩证明资料复印件（如成交通知书/中标通知书或合同复印件），作为本表的附件。</w:t>
      </w:r>
    </w:p>
    <w:bookmarkEnd w:id="806"/>
    <w:bookmarkEnd w:id="807"/>
    <w:bookmarkEnd w:id="808"/>
    <w:p>
      <w:pPr>
        <w:pStyle w:val="10"/>
        <w:ind w:firstLine="0"/>
        <w:jc w:val="center"/>
        <w:rPr>
          <w:rFonts w:hint="eastAsia" w:ascii="宋体" w:hAnsi="宋体" w:eastAsia="宋体" w:cs="宋体"/>
          <w:bCs/>
          <w:color w:val="auto"/>
          <w:highlight w:val="none"/>
        </w:rPr>
      </w:pPr>
      <w:r>
        <w:rPr>
          <w:rFonts w:hint="eastAsia" w:ascii="宋体" w:hAnsi="宋体" w:eastAsia="宋体" w:cs="宋体"/>
          <w:bCs/>
          <w:color w:val="auto"/>
          <w:highlight w:val="none"/>
        </w:rPr>
        <w:t xml:space="preserve">             供应商名称（盖章）：</w:t>
      </w:r>
    </w:p>
    <w:p>
      <w:pPr>
        <w:pStyle w:val="10"/>
        <w:ind w:left="838" w:firstLine="570" w:firstLineChars="200"/>
        <w:jc w:val="right"/>
        <w:rPr>
          <w:rFonts w:hint="eastAsia" w:ascii="宋体" w:hAnsi="宋体" w:eastAsia="宋体" w:cs="宋体"/>
          <w:bCs/>
          <w:color w:val="auto"/>
          <w:highlight w:val="none"/>
        </w:rPr>
      </w:pPr>
      <w:r>
        <w:rPr>
          <w:rFonts w:hint="eastAsia" w:ascii="宋体" w:hAnsi="宋体" w:eastAsia="宋体" w:cs="宋体"/>
          <w:bCs/>
          <w:color w:val="auto"/>
          <w:highlight w:val="none"/>
        </w:rPr>
        <w:t>法定代表人或委托代理人（签字或盖章）：</w:t>
      </w:r>
    </w:p>
    <w:p>
      <w:pPr>
        <w:pStyle w:val="22"/>
        <w:wordWrap w:val="0"/>
        <w:spacing w:line="360" w:lineRule="auto"/>
        <w:ind w:firstLine="567"/>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pPr>
        <w:spacing w:line="36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日期：     年   月   日</w:t>
      </w:r>
      <w:bookmarkStart w:id="809" w:name="_Toc4287"/>
      <w:bookmarkStart w:id="810" w:name="_Toc6788"/>
      <w:bookmarkStart w:id="811" w:name="_Toc26982"/>
    </w:p>
    <w:p>
      <w:pPr>
        <w:spacing w:line="360" w:lineRule="auto"/>
        <w:rPr>
          <w:rStyle w:val="23"/>
          <w:rFonts w:hint="eastAsia" w:ascii="宋体" w:hAnsi="宋体" w:eastAsia="宋体" w:cs="宋体"/>
          <w:color w:val="auto"/>
          <w:sz w:val="32"/>
          <w:szCs w:val="28"/>
          <w:highlight w:val="none"/>
        </w:rPr>
      </w:pPr>
      <w:r>
        <w:rPr>
          <w:rFonts w:hint="eastAsia" w:ascii="宋体" w:hAnsi="宋体" w:cs="宋体"/>
          <w:color w:val="auto"/>
          <w:sz w:val="28"/>
          <w:szCs w:val="28"/>
          <w:highlight w:val="none"/>
        </w:rPr>
        <w:br w:type="page"/>
      </w:r>
      <w:r>
        <w:rPr>
          <w:rStyle w:val="23"/>
          <w:rFonts w:hint="eastAsia" w:ascii="宋体" w:hAnsi="宋体" w:eastAsia="宋体" w:cs="宋体"/>
          <w:b/>
          <w:bCs/>
          <w:color w:val="auto"/>
          <w:sz w:val="32"/>
          <w:szCs w:val="28"/>
          <w:highlight w:val="none"/>
        </w:rPr>
        <w:t>附件13:</w:t>
      </w:r>
      <w:bookmarkEnd w:id="809"/>
      <w:bookmarkEnd w:id="810"/>
      <w:bookmarkEnd w:id="811"/>
    </w:p>
    <w:p>
      <w:pPr>
        <w:pStyle w:val="4"/>
        <w:keepNext w:val="0"/>
        <w:numPr>
          <w:ilvl w:val="0"/>
          <w:numId w:val="0"/>
        </w:numPr>
        <w:jc w:val="center"/>
        <w:rPr>
          <w:rStyle w:val="23"/>
          <w:rFonts w:hint="eastAsia" w:ascii="宋体" w:hAnsi="宋体" w:eastAsia="宋体" w:cs="宋体"/>
          <w:color w:val="auto"/>
          <w:sz w:val="32"/>
          <w:szCs w:val="28"/>
          <w:highlight w:val="none"/>
        </w:rPr>
      </w:pPr>
      <w:bookmarkStart w:id="812" w:name="_Toc2396"/>
      <w:bookmarkStart w:id="813" w:name="_Toc445"/>
      <w:bookmarkStart w:id="814" w:name="_Toc14959"/>
      <w:r>
        <w:rPr>
          <w:rStyle w:val="23"/>
          <w:rFonts w:hint="eastAsia" w:ascii="宋体" w:hAnsi="宋体" w:eastAsia="宋体" w:cs="宋体"/>
          <w:color w:val="auto"/>
          <w:sz w:val="32"/>
          <w:szCs w:val="28"/>
          <w:highlight w:val="none"/>
        </w:rPr>
        <w:t>拟派本项目技术人员配置情况表</w:t>
      </w:r>
      <w:bookmarkEnd w:id="812"/>
      <w:bookmarkEnd w:id="813"/>
      <w:bookmarkEnd w:id="814"/>
    </w:p>
    <w:tbl>
      <w:tblPr>
        <w:tblStyle w:val="19"/>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091"/>
        <w:gridCol w:w="941"/>
        <w:gridCol w:w="1473"/>
        <w:gridCol w:w="1145"/>
        <w:gridCol w:w="1105"/>
        <w:gridCol w:w="886"/>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859" w:type="dxa"/>
            <w:tcBorders>
              <w:top w:val="single" w:color="auto" w:sz="8" w:space="0"/>
              <w:left w:val="single" w:color="auto" w:sz="8" w:space="0"/>
            </w:tcBorders>
            <w:noWrap w:val="0"/>
            <w:vAlign w:val="center"/>
          </w:tcPr>
          <w:p>
            <w:pPr>
              <w:spacing w:line="44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职务</w:t>
            </w:r>
          </w:p>
        </w:tc>
        <w:tc>
          <w:tcPr>
            <w:tcW w:w="1091" w:type="dxa"/>
            <w:tcBorders>
              <w:top w:val="single" w:color="auto" w:sz="8" w:space="0"/>
            </w:tcBorders>
            <w:noWrap w:val="0"/>
            <w:vAlign w:val="center"/>
          </w:tcPr>
          <w:p>
            <w:pPr>
              <w:spacing w:line="44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姓名</w:t>
            </w:r>
          </w:p>
        </w:tc>
        <w:tc>
          <w:tcPr>
            <w:tcW w:w="941" w:type="dxa"/>
            <w:tcBorders>
              <w:top w:val="single" w:color="auto" w:sz="8" w:space="0"/>
            </w:tcBorders>
            <w:noWrap w:val="0"/>
            <w:vAlign w:val="center"/>
          </w:tcPr>
          <w:p>
            <w:pPr>
              <w:spacing w:line="44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职称</w:t>
            </w:r>
          </w:p>
        </w:tc>
        <w:tc>
          <w:tcPr>
            <w:tcW w:w="1473" w:type="dxa"/>
            <w:tcBorders>
              <w:top w:val="single" w:color="auto" w:sz="8" w:space="0"/>
              <w:right w:val="single" w:color="auto" w:sz="8" w:space="0"/>
            </w:tcBorders>
            <w:noWrap w:val="0"/>
            <w:vAlign w:val="center"/>
          </w:tcPr>
          <w:p>
            <w:pPr>
              <w:spacing w:line="44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证书名称</w:t>
            </w:r>
          </w:p>
        </w:tc>
        <w:tc>
          <w:tcPr>
            <w:tcW w:w="1145" w:type="dxa"/>
            <w:tcBorders>
              <w:top w:val="single" w:color="auto" w:sz="8" w:space="0"/>
              <w:right w:val="single" w:color="auto" w:sz="8" w:space="0"/>
            </w:tcBorders>
            <w:noWrap w:val="0"/>
            <w:vAlign w:val="center"/>
          </w:tcPr>
          <w:p>
            <w:pPr>
              <w:spacing w:line="44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级别</w:t>
            </w:r>
          </w:p>
        </w:tc>
        <w:tc>
          <w:tcPr>
            <w:tcW w:w="1105" w:type="dxa"/>
            <w:tcBorders>
              <w:top w:val="single" w:color="auto" w:sz="8" w:space="0"/>
              <w:right w:val="single" w:color="auto" w:sz="8" w:space="0"/>
            </w:tcBorders>
            <w:noWrap w:val="0"/>
            <w:vAlign w:val="center"/>
          </w:tcPr>
          <w:p>
            <w:pPr>
              <w:spacing w:line="44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证号</w:t>
            </w:r>
          </w:p>
        </w:tc>
        <w:tc>
          <w:tcPr>
            <w:tcW w:w="886" w:type="dxa"/>
            <w:tcBorders>
              <w:top w:val="single" w:color="auto" w:sz="8" w:space="0"/>
              <w:right w:val="single" w:color="auto" w:sz="8" w:space="0"/>
            </w:tcBorders>
            <w:noWrap w:val="0"/>
            <w:vAlign w:val="center"/>
          </w:tcPr>
          <w:p>
            <w:pPr>
              <w:spacing w:line="44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专业</w:t>
            </w:r>
          </w:p>
        </w:tc>
        <w:tc>
          <w:tcPr>
            <w:tcW w:w="886" w:type="dxa"/>
            <w:tcBorders>
              <w:top w:val="single" w:color="auto" w:sz="8" w:space="0"/>
              <w:right w:val="single" w:color="auto" w:sz="8" w:space="0"/>
            </w:tcBorders>
            <w:noWrap w:val="0"/>
            <w:vAlign w:val="center"/>
          </w:tcPr>
          <w:p>
            <w:pPr>
              <w:spacing w:line="44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86" w:type="dxa"/>
            <w:gridSpan w:val="8"/>
            <w:tcBorders>
              <w:left w:val="single" w:color="auto" w:sz="8" w:space="0"/>
              <w:right w:val="single" w:color="auto" w:sz="8" w:space="0"/>
            </w:tcBorders>
            <w:noWrap w:val="0"/>
            <w:vAlign w:val="center"/>
          </w:tcPr>
          <w:p>
            <w:pPr>
              <w:pStyle w:val="3"/>
              <w:keepNext w:val="0"/>
              <w:rPr>
                <w:rFonts w:hint="eastAsia" w:ascii="宋体" w:hAnsi="宋体" w:eastAsia="宋体" w:cs="宋体"/>
                <w:b/>
                <w:bCs/>
                <w:color w:val="auto"/>
                <w:szCs w:val="28"/>
                <w:highlight w:val="none"/>
              </w:rPr>
            </w:pPr>
            <w:bookmarkStart w:id="815" w:name="_Toc20197"/>
            <w:r>
              <w:rPr>
                <w:rFonts w:hint="eastAsia" w:ascii="宋体" w:hAnsi="宋体" w:eastAsia="宋体" w:cs="宋体"/>
                <w:b/>
                <w:bCs/>
                <w:color w:val="auto"/>
                <w:szCs w:val="28"/>
                <w:highlight w:val="none"/>
              </w:rPr>
              <w:t>一、总部人员</w:t>
            </w:r>
            <w:bookmarkEnd w:id="8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pStyle w:val="3"/>
              <w:keepNext w:val="0"/>
              <w:rPr>
                <w:rFonts w:hint="eastAsia" w:ascii="宋体" w:hAnsi="宋体" w:eastAsia="宋体" w:cs="宋体"/>
                <w:b/>
                <w:bCs/>
                <w:color w:val="auto"/>
                <w:kern w:val="2"/>
                <w:szCs w:val="28"/>
                <w:highlight w:val="none"/>
              </w:rPr>
            </w:pPr>
          </w:p>
        </w:tc>
        <w:tc>
          <w:tcPr>
            <w:tcW w:w="1091" w:type="dxa"/>
            <w:noWrap w:val="0"/>
            <w:vAlign w:val="center"/>
          </w:tcPr>
          <w:p>
            <w:pPr>
              <w:pStyle w:val="3"/>
              <w:keepNext w:val="0"/>
              <w:rPr>
                <w:rFonts w:hint="eastAsia" w:ascii="宋体" w:hAnsi="宋体" w:eastAsia="宋体" w:cs="宋体"/>
                <w:b/>
                <w:bCs/>
                <w:color w:val="auto"/>
                <w:szCs w:val="28"/>
                <w:highlight w:val="none"/>
              </w:rPr>
            </w:pPr>
          </w:p>
        </w:tc>
        <w:tc>
          <w:tcPr>
            <w:tcW w:w="941" w:type="dxa"/>
            <w:noWrap w:val="0"/>
            <w:vAlign w:val="center"/>
          </w:tcPr>
          <w:p>
            <w:pPr>
              <w:pStyle w:val="3"/>
              <w:keepNext w:val="0"/>
              <w:rPr>
                <w:rFonts w:hint="eastAsia" w:ascii="宋体" w:hAnsi="宋体" w:eastAsia="宋体" w:cs="宋体"/>
                <w:b/>
                <w:bCs/>
                <w:color w:val="auto"/>
                <w:szCs w:val="28"/>
                <w:highlight w:val="none"/>
              </w:rPr>
            </w:pPr>
          </w:p>
        </w:tc>
        <w:tc>
          <w:tcPr>
            <w:tcW w:w="1473" w:type="dxa"/>
            <w:noWrap w:val="0"/>
            <w:vAlign w:val="center"/>
          </w:tcPr>
          <w:p>
            <w:pPr>
              <w:pStyle w:val="3"/>
              <w:keepNext w:val="0"/>
              <w:rPr>
                <w:rFonts w:hint="eastAsia" w:ascii="宋体" w:hAnsi="宋体" w:eastAsia="宋体" w:cs="宋体"/>
                <w:b/>
                <w:bCs/>
                <w:color w:val="auto"/>
                <w:szCs w:val="28"/>
                <w:highlight w:val="none"/>
              </w:rPr>
            </w:pPr>
          </w:p>
        </w:tc>
        <w:tc>
          <w:tcPr>
            <w:tcW w:w="1145" w:type="dxa"/>
            <w:noWrap w:val="0"/>
            <w:vAlign w:val="center"/>
          </w:tcPr>
          <w:p>
            <w:pPr>
              <w:pStyle w:val="3"/>
              <w:keepNext w:val="0"/>
              <w:rPr>
                <w:rFonts w:hint="eastAsia" w:ascii="宋体" w:hAnsi="宋体" w:eastAsia="宋体" w:cs="宋体"/>
                <w:b/>
                <w:bCs/>
                <w:color w:val="auto"/>
                <w:szCs w:val="28"/>
                <w:highlight w:val="none"/>
              </w:rPr>
            </w:pPr>
          </w:p>
        </w:tc>
        <w:tc>
          <w:tcPr>
            <w:tcW w:w="1105" w:type="dxa"/>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pStyle w:val="3"/>
              <w:keepNext w:val="0"/>
              <w:rPr>
                <w:rFonts w:hint="eastAsia" w:ascii="宋体" w:hAnsi="宋体" w:eastAsia="宋体" w:cs="宋体"/>
                <w:b/>
                <w:bCs/>
                <w:color w:val="auto"/>
                <w:kern w:val="2"/>
                <w:szCs w:val="28"/>
                <w:highlight w:val="none"/>
              </w:rPr>
            </w:pPr>
          </w:p>
        </w:tc>
        <w:tc>
          <w:tcPr>
            <w:tcW w:w="1091" w:type="dxa"/>
            <w:noWrap w:val="0"/>
            <w:vAlign w:val="center"/>
          </w:tcPr>
          <w:p>
            <w:pPr>
              <w:pStyle w:val="3"/>
              <w:keepNext w:val="0"/>
              <w:rPr>
                <w:rFonts w:hint="eastAsia" w:ascii="宋体" w:hAnsi="宋体" w:eastAsia="宋体" w:cs="宋体"/>
                <w:b/>
                <w:bCs/>
                <w:color w:val="auto"/>
                <w:szCs w:val="28"/>
                <w:highlight w:val="none"/>
              </w:rPr>
            </w:pPr>
          </w:p>
        </w:tc>
        <w:tc>
          <w:tcPr>
            <w:tcW w:w="941" w:type="dxa"/>
            <w:noWrap w:val="0"/>
            <w:vAlign w:val="center"/>
          </w:tcPr>
          <w:p>
            <w:pPr>
              <w:pStyle w:val="3"/>
              <w:keepNext w:val="0"/>
              <w:rPr>
                <w:rFonts w:hint="eastAsia" w:ascii="宋体" w:hAnsi="宋体" w:eastAsia="宋体" w:cs="宋体"/>
                <w:b/>
                <w:bCs/>
                <w:color w:val="auto"/>
                <w:szCs w:val="28"/>
                <w:highlight w:val="none"/>
              </w:rPr>
            </w:pPr>
          </w:p>
        </w:tc>
        <w:tc>
          <w:tcPr>
            <w:tcW w:w="1473" w:type="dxa"/>
            <w:noWrap w:val="0"/>
            <w:vAlign w:val="center"/>
          </w:tcPr>
          <w:p>
            <w:pPr>
              <w:pStyle w:val="3"/>
              <w:keepNext w:val="0"/>
              <w:rPr>
                <w:rFonts w:hint="eastAsia" w:ascii="宋体" w:hAnsi="宋体" w:eastAsia="宋体" w:cs="宋体"/>
                <w:b/>
                <w:bCs/>
                <w:color w:val="auto"/>
                <w:szCs w:val="28"/>
                <w:highlight w:val="none"/>
              </w:rPr>
            </w:pPr>
          </w:p>
        </w:tc>
        <w:tc>
          <w:tcPr>
            <w:tcW w:w="1145" w:type="dxa"/>
            <w:noWrap w:val="0"/>
            <w:vAlign w:val="center"/>
          </w:tcPr>
          <w:p>
            <w:pPr>
              <w:pStyle w:val="3"/>
              <w:keepNext w:val="0"/>
              <w:rPr>
                <w:rFonts w:hint="eastAsia" w:ascii="宋体" w:hAnsi="宋体" w:eastAsia="宋体" w:cs="宋体"/>
                <w:b/>
                <w:bCs/>
                <w:color w:val="auto"/>
                <w:szCs w:val="28"/>
                <w:highlight w:val="none"/>
              </w:rPr>
            </w:pPr>
          </w:p>
        </w:tc>
        <w:tc>
          <w:tcPr>
            <w:tcW w:w="1105" w:type="dxa"/>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pStyle w:val="3"/>
              <w:keepNext w:val="0"/>
              <w:rPr>
                <w:rFonts w:hint="eastAsia" w:ascii="宋体" w:hAnsi="宋体" w:eastAsia="宋体" w:cs="宋体"/>
                <w:b/>
                <w:bCs/>
                <w:color w:val="auto"/>
                <w:kern w:val="2"/>
                <w:szCs w:val="28"/>
                <w:highlight w:val="none"/>
              </w:rPr>
            </w:pPr>
            <w:bookmarkStart w:id="816" w:name="_Toc13981"/>
            <w:r>
              <w:rPr>
                <w:rFonts w:hint="eastAsia" w:ascii="宋体" w:hAnsi="宋体" w:eastAsia="宋体" w:cs="宋体"/>
                <w:b/>
                <w:bCs/>
                <w:color w:val="auto"/>
                <w:szCs w:val="28"/>
                <w:highlight w:val="none"/>
              </w:rPr>
              <w:t>......</w:t>
            </w:r>
            <w:bookmarkEnd w:id="816"/>
          </w:p>
        </w:tc>
        <w:tc>
          <w:tcPr>
            <w:tcW w:w="1091" w:type="dxa"/>
            <w:noWrap w:val="0"/>
            <w:vAlign w:val="center"/>
          </w:tcPr>
          <w:p>
            <w:pPr>
              <w:pStyle w:val="3"/>
              <w:keepNext w:val="0"/>
              <w:rPr>
                <w:rFonts w:hint="eastAsia" w:ascii="宋体" w:hAnsi="宋体" w:eastAsia="宋体" w:cs="宋体"/>
                <w:b/>
                <w:bCs/>
                <w:color w:val="auto"/>
                <w:szCs w:val="28"/>
                <w:highlight w:val="none"/>
              </w:rPr>
            </w:pPr>
          </w:p>
        </w:tc>
        <w:tc>
          <w:tcPr>
            <w:tcW w:w="941" w:type="dxa"/>
            <w:noWrap w:val="0"/>
            <w:vAlign w:val="center"/>
          </w:tcPr>
          <w:p>
            <w:pPr>
              <w:pStyle w:val="3"/>
              <w:keepNext w:val="0"/>
              <w:rPr>
                <w:rFonts w:hint="eastAsia" w:ascii="宋体" w:hAnsi="宋体" w:eastAsia="宋体" w:cs="宋体"/>
                <w:b/>
                <w:bCs/>
                <w:color w:val="auto"/>
                <w:szCs w:val="28"/>
                <w:highlight w:val="none"/>
              </w:rPr>
            </w:pPr>
          </w:p>
        </w:tc>
        <w:tc>
          <w:tcPr>
            <w:tcW w:w="1473" w:type="dxa"/>
            <w:noWrap w:val="0"/>
            <w:vAlign w:val="center"/>
          </w:tcPr>
          <w:p>
            <w:pPr>
              <w:pStyle w:val="3"/>
              <w:keepNext w:val="0"/>
              <w:rPr>
                <w:rFonts w:hint="eastAsia" w:ascii="宋体" w:hAnsi="宋体" w:eastAsia="宋体" w:cs="宋体"/>
                <w:b/>
                <w:bCs/>
                <w:color w:val="auto"/>
                <w:szCs w:val="28"/>
                <w:highlight w:val="none"/>
              </w:rPr>
            </w:pPr>
          </w:p>
        </w:tc>
        <w:tc>
          <w:tcPr>
            <w:tcW w:w="1145" w:type="dxa"/>
            <w:noWrap w:val="0"/>
            <w:vAlign w:val="center"/>
          </w:tcPr>
          <w:p>
            <w:pPr>
              <w:pStyle w:val="3"/>
              <w:keepNext w:val="0"/>
              <w:rPr>
                <w:rFonts w:hint="eastAsia" w:ascii="宋体" w:hAnsi="宋体" w:eastAsia="宋体" w:cs="宋体"/>
                <w:b/>
                <w:bCs/>
                <w:color w:val="auto"/>
                <w:szCs w:val="28"/>
                <w:highlight w:val="none"/>
              </w:rPr>
            </w:pPr>
          </w:p>
        </w:tc>
        <w:tc>
          <w:tcPr>
            <w:tcW w:w="1105" w:type="dxa"/>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86" w:type="dxa"/>
            <w:gridSpan w:val="8"/>
            <w:tcBorders>
              <w:left w:val="single" w:color="auto" w:sz="8" w:space="0"/>
              <w:right w:val="single" w:color="auto" w:sz="8" w:space="0"/>
            </w:tcBorders>
            <w:noWrap w:val="0"/>
            <w:vAlign w:val="center"/>
          </w:tcPr>
          <w:p>
            <w:pPr>
              <w:pStyle w:val="3"/>
              <w:keepNext w:val="0"/>
              <w:rPr>
                <w:rFonts w:hint="eastAsia" w:ascii="宋体" w:hAnsi="宋体" w:eastAsia="宋体" w:cs="宋体"/>
                <w:b/>
                <w:bCs/>
                <w:color w:val="auto"/>
                <w:szCs w:val="28"/>
                <w:highlight w:val="none"/>
              </w:rPr>
            </w:pPr>
            <w:bookmarkStart w:id="817" w:name="_Toc16970"/>
            <w:r>
              <w:rPr>
                <w:rFonts w:hint="eastAsia" w:ascii="宋体" w:hAnsi="宋体" w:eastAsia="宋体" w:cs="宋体"/>
                <w:b/>
                <w:bCs/>
                <w:color w:val="auto"/>
                <w:szCs w:val="28"/>
                <w:highlight w:val="none"/>
              </w:rPr>
              <w:t>二、现场人员</w:t>
            </w:r>
            <w:bookmarkEnd w:id="8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pStyle w:val="3"/>
              <w:keepNext w:val="0"/>
              <w:rPr>
                <w:rFonts w:hint="eastAsia" w:ascii="宋体" w:hAnsi="宋体" w:eastAsia="宋体" w:cs="宋体"/>
                <w:b/>
                <w:bCs/>
                <w:color w:val="auto"/>
                <w:kern w:val="2"/>
                <w:szCs w:val="28"/>
                <w:highlight w:val="none"/>
              </w:rPr>
            </w:pPr>
            <w:bookmarkStart w:id="818" w:name="_Toc26284"/>
            <w:r>
              <w:rPr>
                <w:rFonts w:hint="eastAsia" w:ascii="宋体" w:hAnsi="宋体" w:eastAsia="宋体" w:cs="宋体"/>
                <w:b/>
                <w:bCs/>
                <w:color w:val="auto"/>
                <w:szCs w:val="28"/>
                <w:highlight w:val="none"/>
              </w:rPr>
              <w:t>项目负责人</w:t>
            </w:r>
            <w:bookmarkEnd w:id="818"/>
          </w:p>
        </w:tc>
        <w:tc>
          <w:tcPr>
            <w:tcW w:w="1091" w:type="dxa"/>
            <w:noWrap w:val="0"/>
            <w:vAlign w:val="center"/>
          </w:tcPr>
          <w:p>
            <w:pPr>
              <w:pStyle w:val="3"/>
              <w:keepNext w:val="0"/>
              <w:rPr>
                <w:rFonts w:hint="eastAsia" w:ascii="宋体" w:hAnsi="宋体" w:eastAsia="宋体" w:cs="宋体"/>
                <w:b/>
                <w:bCs/>
                <w:color w:val="auto"/>
                <w:szCs w:val="28"/>
                <w:highlight w:val="none"/>
              </w:rPr>
            </w:pPr>
          </w:p>
        </w:tc>
        <w:tc>
          <w:tcPr>
            <w:tcW w:w="941" w:type="dxa"/>
            <w:noWrap w:val="0"/>
            <w:vAlign w:val="center"/>
          </w:tcPr>
          <w:p>
            <w:pPr>
              <w:pStyle w:val="3"/>
              <w:keepNext w:val="0"/>
              <w:rPr>
                <w:rFonts w:hint="eastAsia" w:ascii="宋体" w:hAnsi="宋体" w:eastAsia="宋体" w:cs="宋体"/>
                <w:b/>
                <w:bCs/>
                <w:color w:val="auto"/>
                <w:szCs w:val="28"/>
                <w:highlight w:val="none"/>
              </w:rPr>
            </w:pPr>
          </w:p>
        </w:tc>
        <w:tc>
          <w:tcPr>
            <w:tcW w:w="1473" w:type="dxa"/>
            <w:noWrap w:val="0"/>
            <w:vAlign w:val="center"/>
          </w:tcPr>
          <w:p>
            <w:pPr>
              <w:pStyle w:val="3"/>
              <w:keepNext w:val="0"/>
              <w:rPr>
                <w:rFonts w:hint="eastAsia" w:ascii="宋体" w:hAnsi="宋体" w:eastAsia="宋体" w:cs="宋体"/>
                <w:b/>
                <w:bCs/>
                <w:color w:val="auto"/>
                <w:szCs w:val="28"/>
                <w:highlight w:val="none"/>
              </w:rPr>
            </w:pPr>
          </w:p>
        </w:tc>
        <w:tc>
          <w:tcPr>
            <w:tcW w:w="1145" w:type="dxa"/>
            <w:noWrap w:val="0"/>
            <w:vAlign w:val="center"/>
          </w:tcPr>
          <w:p>
            <w:pPr>
              <w:pStyle w:val="3"/>
              <w:keepNext w:val="0"/>
              <w:rPr>
                <w:rFonts w:hint="eastAsia" w:ascii="宋体" w:hAnsi="宋体" w:eastAsia="宋体" w:cs="宋体"/>
                <w:b/>
                <w:bCs/>
                <w:color w:val="auto"/>
                <w:szCs w:val="28"/>
                <w:highlight w:val="none"/>
              </w:rPr>
            </w:pPr>
          </w:p>
        </w:tc>
        <w:tc>
          <w:tcPr>
            <w:tcW w:w="1105" w:type="dxa"/>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pStyle w:val="15"/>
              <w:ind w:left="572" w:hanging="572"/>
              <w:jc w:val="center"/>
              <w:rPr>
                <w:rFonts w:hint="eastAsia" w:ascii="宋体" w:hAnsi="宋体" w:cs="宋体"/>
                <w:color w:val="auto"/>
                <w:sz w:val="28"/>
                <w:szCs w:val="28"/>
                <w:highlight w:val="none"/>
                <w:lang w:bidi="ar"/>
              </w:rPr>
            </w:pPr>
          </w:p>
        </w:tc>
        <w:tc>
          <w:tcPr>
            <w:tcW w:w="1091" w:type="dxa"/>
            <w:noWrap w:val="0"/>
            <w:vAlign w:val="center"/>
          </w:tcPr>
          <w:p>
            <w:pPr>
              <w:pStyle w:val="3"/>
              <w:keepNext w:val="0"/>
              <w:rPr>
                <w:rFonts w:hint="eastAsia" w:ascii="宋体" w:hAnsi="宋体" w:eastAsia="宋体" w:cs="宋体"/>
                <w:b/>
                <w:bCs/>
                <w:color w:val="auto"/>
                <w:szCs w:val="28"/>
                <w:highlight w:val="none"/>
              </w:rPr>
            </w:pPr>
          </w:p>
        </w:tc>
        <w:tc>
          <w:tcPr>
            <w:tcW w:w="941" w:type="dxa"/>
            <w:noWrap w:val="0"/>
            <w:vAlign w:val="center"/>
          </w:tcPr>
          <w:p>
            <w:pPr>
              <w:pStyle w:val="3"/>
              <w:keepNext w:val="0"/>
              <w:rPr>
                <w:rFonts w:hint="eastAsia" w:ascii="宋体" w:hAnsi="宋体" w:eastAsia="宋体" w:cs="宋体"/>
                <w:b/>
                <w:bCs/>
                <w:color w:val="auto"/>
                <w:szCs w:val="28"/>
                <w:highlight w:val="none"/>
              </w:rPr>
            </w:pPr>
          </w:p>
        </w:tc>
        <w:tc>
          <w:tcPr>
            <w:tcW w:w="1473" w:type="dxa"/>
            <w:noWrap w:val="0"/>
            <w:vAlign w:val="center"/>
          </w:tcPr>
          <w:p>
            <w:pPr>
              <w:pStyle w:val="3"/>
              <w:keepNext w:val="0"/>
              <w:rPr>
                <w:rFonts w:hint="eastAsia" w:ascii="宋体" w:hAnsi="宋体" w:eastAsia="宋体" w:cs="宋体"/>
                <w:b/>
                <w:bCs/>
                <w:color w:val="auto"/>
                <w:szCs w:val="28"/>
                <w:highlight w:val="none"/>
              </w:rPr>
            </w:pPr>
          </w:p>
        </w:tc>
        <w:tc>
          <w:tcPr>
            <w:tcW w:w="1145" w:type="dxa"/>
            <w:noWrap w:val="0"/>
            <w:vAlign w:val="center"/>
          </w:tcPr>
          <w:p>
            <w:pPr>
              <w:pStyle w:val="3"/>
              <w:keepNext w:val="0"/>
              <w:rPr>
                <w:rFonts w:hint="eastAsia" w:ascii="宋体" w:hAnsi="宋体" w:eastAsia="宋体" w:cs="宋体"/>
                <w:b/>
                <w:bCs/>
                <w:color w:val="auto"/>
                <w:szCs w:val="28"/>
                <w:highlight w:val="none"/>
              </w:rPr>
            </w:pPr>
          </w:p>
        </w:tc>
        <w:tc>
          <w:tcPr>
            <w:tcW w:w="1105" w:type="dxa"/>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pStyle w:val="15"/>
              <w:ind w:left="572" w:hanging="572"/>
              <w:jc w:val="center"/>
              <w:rPr>
                <w:rFonts w:hint="eastAsia" w:ascii="宋体" w:hAnsi="宋体" w:cs="宋体"/>
                <w:color w:val="auto"/>
                <w:sz w:val="28"/>
                <w:szCs w:val="28"/>
                <w:highlight w:val="none"/>
                <w:lang w:bidi="ar"/>
              </w:rPr>
            </w:pPr>
          </w:p>
        </w:tc>
        <w:tc>
          <w:tcPr>
            <w:tcW w:w="1091" w:type="dxa"/>
            <w:noWrap w:val="0"/>
            <w:vAlign w:val="center"/>
          </w:tcPr>
          <w:p>
            <w:pPr>
              <w:pStyle w:val="3"/>
              <w:keepNext w:val="0"/>
              <w:rPr>
                <w:rFonts w:hint="eastAsia" w:ascii="宋体" w:hAnsi="宋体" w:eastAsia="宋体" w:cs="宋体"/>
                <w:b/>
                <w:bCs/>
                <w:color w:val="auto"/>
                <w:szCs w:val="28"/>
                <w:highlight w:val="none"/>
              </w:rPr>
            </w:pPr>
          </w:p>
        </w:tc>
        <w:tc>
          <w:tcPr>
            <w:tcW w:w="941" w:type="dxa"/>
            <w:noWrap w:val="0"/>
            <w:vAlign w:val="center"/>
          </w:tcPr>
          <w:p>
            <w:pPr>
              <w:pStyle w:val="3"/>
              <w:keepNext w:val="0"/>
              <w:rPr>
                <w:rFonts w:hint="eastAsia" w:ascii="宋体" w:hAnsi="宋体" w:eastAsia="宋体" w:cs="宋体"/>
                <w:b/>
                <w:bCs/>
                <w:color w:val="auto"/>
                <w:szCs w:val="28"/>
                <w:highlight w:val="none"/>
              </w:rPr>
            </w:pPr>
          </w:p>
        </w:tc>
        <w:tc>
          <w:tcPr>
            <w:tcW w:w="1473" w:type="dxa"/>
            <w:noWrap w:val="0"/>
            <w:vAlign w:val="center"/>
          </w:tcPr>
          <w:p>
            <w:pPr>
              <w:pStyle w:val="3"/>
              <w:keepNext w:val="0"/>
              <w:rPr>
                <w:rFonts w:hint="eastAsia" w:ascii="宋体" w:hAnsi="宋体" w:eastAsia="宋体" w:cs="宋体"/>
                <w:b/>
                <w:bCs/>
                <w:color w:val="auto"/>
                <w:szCs w:val="28"/>
                <w:highlight w:val="none"/>
              </w:rPr>
            </w:pPr>
          </w:p>
        </w:tc>
        <w:tc>
          <w:tcPr>
            <w:tcW w:w="1145" w:type="dxa"/>
            <w:noWrap w:val="0"/>
            <w:vAlign w:val="center"/>
          </w:tcPr>
          <w:p>
            <w:pPr>
              <w:pStyle w:val="3"/>
              <w:keepNext w:val="0"/>
              <w:rPr>
                <w:rFonts w:hint="eastAsia" w:ascii="宋体" w:hAnsi="宋体" w:eastAsia="宋体" w:cs="宋体"/>
                <w:b/>
                <w:bCs/>
                <w:color w:val="auto"/>
                <w:szCs w:val="28"/>
                <w:highlight w:val="none"/>
              </w:rPr>
            </w:pPr>
          </w:p>
        </w:tc>
        <w:tc>
          <w:tcPr>
            <w:tcW w:w="1105" w:type="dxa"/>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pStyle w:val="15"/>
              <w:ind w:left="572" w:hanging="572"/>
              <w:jc w:val="center"/>
              <w:rPr>
                <w:rFonts w:hint="eastAsia" w:ascii="宋体" w:hAnsi="宋体" w:cs="宋体"/>
                <w:color w:val="auto"/>
                <w:sz w:val="28"/>
                <w:szCs w:val="28"/>
                <w:highlight w:val="none"/>
                <w:lang w:bidi="ar"/>
              </w:rPr>
            </w:pPr>
          </w:p>
        </w:tc>
        <w:tc>
          <w:tcPr>
            <w:tcW w:w="1091" w:type="dxa"/>
            <w:noWrap w:val="0"/>
            <w:vAlign w:val="center"/>
          </w:tcPr>
          <w:p>
            <w:pPr>
              <w:pStyle w:val="3"/>
              <w:keepNext w:val="0"/>
              <w:rPr>
                <w:rFonts w:hint="eastAsia" w:ascii="宋体" w:hAnsi="宋体" w:eastAsia="宋体" w:cs="宋体"/>
                <w:b/>
                <w:bCs/>
                <w:color w:val="auto"/>
                <w:szCs w:val="28"/>
                <w:highlight w:val="none"/>
              </w:rPr>
            </w:pPr>
          </w:p>
        </w:tc>
        <w:tc>
          <w:tcPr>
            <w:tcW w:w="941" w:type="dxa"/>
            <w:noWrap w:val="0"/>
            <w:vAlign w:val="center"/>
          </w:tcPr>
          <w:p>
            <w:pPr>
              <w:pStyle w:val="3"/>
              <w:keepNext w:val="0"/>
              <w:rPr>
                <w:rFonts w:hint="eastAsia" w:ascii="宋体" w:hAnsi="宋体" w:eastAsia="宋体" w:cs="宋体"/>
                <w:b/>
                <w:bCs/>
                <w:color w:val="auto"/>
                <w:szCs w:val="28"/>
                <w:highlight w:val="none"/>
              </w:rPr>
            </w:pPr>
          </w:p>
        </w:tc>
        <w:tc>
          <w:tcPr>
            <w:tcW w:w="1473" w:type="dxa"/>
            <w:noWrap w:val="0"/>
            <w:vAlign w:val="center"/>
          </w:tcPr>
          <w:p>
            <w:pPr>
              <w:pStyle w:val="3"/>
              <w:keepNext w:val="0"/>
              <w:rPr>
                <w:rFonts w:hint="eastAsia" w:ascii="宋体" w:hAnsi="宋体" w:eastAsia="宋体" w:cs="宋体"/>
                <w:b/>
                <w:bCs/>
                <w:color w:val="auto"/>
                <w:szCs w:val="28"/>
                <w:highlight w:val="none"/>
              </w:rPr>
            </w:pPr>
          </w:p>
        </w:tc>
        <w:tc>
          <w:tcPr>
            <w:tcW w:w="1145" w:type="dxa"/>
            <w:noWrap w:val="0"/>
            <w:vAlign w:val="center"/>
          </w:tcPr>
          <w:p>
            <w:pPr>
              <w:pStyle w:val="3"/>
              <w:keepNext w:val="0"/>
              <w:rPr>
                <w:rFonts w:hint="eastAsia" w:ascii="宋体" w:hAnsi="宋体" w:eastAsia="宋体" w:cs="宋体"/>
                <w:b/>
                <w:bCs/>
                <w:color w:val="auto"/>
                <w:szCs w:val="28"/>
                <w:highlight w:val="none"/>
              </w:rPr>
            </w:pPr>
          </w:p>
        </w:tc>
        <w:tc>
          <w:tcPr>
            <w:tcW w:w="1105" w:type="dxa"/>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pStyle w:val="15"/>
              <w:ind w:left="572" w:hanging="572"/>
              <w:jc w:val="center"/>
              <w:rPr>
                <w:rFonts w:hint="eastAsia" w:ascii="宋体" w:hAnsi="宋体" w:cs="宋体"/>
                <w:color w:val="auto"/>
                <w:sz w:val="28"/>
                <w:szCs w:val="28"/>
                <w:highlight w:val="none"/>
                <w:lang w:bidi="ar"/>
              </w:rPr>
            </w:pPr>
          </w:p>
        </w:tc>
        <w:tc>
          <w:tcPr>
            <w:tcW w:w="1091" w:type="dxa"/>
            <w:noWrap w:val="0"/>
            <w:vAlign w:val="center"/>
          </w:tcPr>
          <w:p>
            <w:pPr>
              <w:pStyle w:val="3"/>
              <w:keepNext w:val="0"/>
              <w:rPr>
                <w:rFonts w:hint="eastAsia" w:ascii="宋体" w:hAnsi="宋体" w:eastAsia="宋体" w:cs="宋体"/>
                <w:b/>
                <w:bCs/>
                <w:color w:val="auto"/>
                <w:szCs w:val="28"/>
                <w:highlight w:val="none"/>
              </w:rPr>
            </w:pPr>
          </w:p>
        </w:tc>
        <w:tc>
          <w:tcPr>
            <w:tcW w:w="941" w:type="dxa"/>
            <w:noWrap w:val="0"/>
            <w:vAlign w:val="center"/>
          </w:tcPr>
          <w:p>
            <w:pPr>
              <w:pStyle w:val="3"/>
              <w:keepNext w:val="0"/>
              <w:rPr>
                <w:rFonts w:hint="eastAsia" w:ascii="宋体" w:hAnsi="宋体" w:eastAsia="宋体" w:cs="宋体"/>
                <w:b/>
                <w:bCs/>
                <w:color w:val="auto"/>
                <w:szCs w:val="28"/>
                <w:highlight w:val="none"/>
              </w:rPr>
            </w:pPr>
          </w:p>
        </w:tc>
        <w:tc>
          <w:tcPr>
            <w:tcW w:w="1473" w:type="dxa"/>
            <w:noWrap w:val="0"/>
            <w:vAlign w:val="center"/>
          </w:tcPr>
          <w:p>
            <w:pPr>
              <w:pStyle w:val="3"/>
              <w:keepNext w:val="0"/>
              <w:rPr>
                <w:rFonts w:hint="eastAsia" w:ascii="宋体" w:hAnsi="宋体" w:eastAsia="宋体" w:cs="宋体"/>
                <w:b/>
                <w:bCs/>
                <w:color w:val="auto"/>
                <w:szCs w:val="28"/>
                <w:highlight w:val="none"/>
              </w:rPr>
            </w:pPr>
          </w:p>
        </w:tc>
        <w:tc>
          <w:tcPr>
            <w:tcW w:w="1145" w:type="dxa"/>
            <w:noWrap w:val="0"/>
            <w:vAlign w:val="center"/>
          </w:tcPr>
          <w:p>
            <w:pPr>
              <w:pStyle w:val="3"/>
              <w:keepNext w:val="0"/>
              <w:rPr>
                <w:rFonts w:hint="eastAsia" w:ascii="宋体" w:hAnsi="宋体" w:eastAsia="宋体" w:cs="宋体"/>
                <w:b/>
                <w:bCs/>
                <w:color w:val="auto"/>
                <w:szCs w:val="28"/>
                <w:highlight w:val="none"/>
              </w:rPr>
            </w:pPr>
          </w:p>
        </w:tc>
        <w:tc>
          <w:tcPr>
            <w:tcW w:w="1105" w:type="dxa"/>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pStyle w:val="15"/>
              <w:ind w:left="572" w:hanging="572"/>
              <w:jc w:val="center"/>
              <w:rPr>
                <w:rFonts w:hint="eastAsia" w:ascii="宋体" w:hAnsi="宋体" w:cs="宋体"/>
                <w:color w:val="auto"/>
                <w:sz w:val="28"/>
                <w:szCs w:val="28"/>
                <w:highlight w:val="none"/>
                <w:lang w:bidi="ar"/>
              </w:rPr>
            </w:pPr>
          </w:p>
        </w:tc>
        <w:tc>
          <w:tcPr>
            <w:tcW w:w="1091" w:type="dxa"/>
            <w:noWrap w:val="0"/>
            <w:vAlign w:val="center"/>
          </w:tcPr>
          <w:p>
            <w:pPr>
              <w:pStyle w:val="3"/>
              <w:keepNext w:val="0"/>
              <w:rPr>
                <w:rFonts w:hint="eastAsia" w:ascii="宋体" w:hAnsi="宋体" w:eastAsia="宋体" w:cs="宋体"/>
                <w:b/>
                <w:bCs/>
                <w:color w:val="auto"/>
                <w:szCs w:val="28"/>
                <w:highlight w:val="none"/>
              </w:rPr>
            </w:pPr>
          </w:p>
        </w:tc>
        <w:tc>
          <w:tcPr>
            <w:tcW w:w="941" w:type="dxa"/>
            <w:noWrap w:val="0"/>
            <w:vAlign w:val="center"/>
          </w:tcPr>
          <w:p>
            <w:pPr>
              <w:pStyle w:val="3"/>
              <w:keepNext w:val="0"/>
              <w:rPr>
                <w:rFonts w:hint="eastAsia" w:ascii="宋体" w:hAnsi="宋体" w:eastAsia="宋体" w:cs="宋体"/>
                <w:b/>
                <w:bCs/>
                <w:color w:val="auto"/>
                <w:szCs w:val="28"/>
                <w:highlight w:val="none"/>
              </w:rPr>
            </w:pPr>
          </w:p>
        </w:tc>
        <w:tc>
          <w:tcPr>
            <w:tcW w:w="1473" w:type="dxa"/>
            <w:noWrap w:val="0"/>
            <w:vAlign w:val="center"/>
          </w:tcPr>
          <w:p>
            <w:pPr>
              <w:pStyle w:val="3"/>
              <w:keepNext w:val="0"/>
              <w:rPr>
                <w:rFonts w:hint="eastAsia" w:ascii="宋体" w:hAnsi="宋体" w:eastAsia="宋体" w:cs="宋体"/>
                <w:b/>
                <w:bCs/>
                <w:color w:val="auto"/>
                <w:szCs w:val="28"/>
                <w:highlight w:val="none"/>
              </w:rPr>
            </w:pPr>
          </w:p>
        </w:tc>
        <w:tc>
          <w:tcPr>
            <w:tcW w:w="1145" w:type="dxa"/>
            <w:noWrap w:val="0"/>
            <w:vAlign w:val="center"/>
          </w:tcPr>
          <w:p>
            <w:pPr>
              <w:pStyle w:val="3"/>
              <w:keepNext w:val="0"/>
              <w:rPr>
                <w:rFonts w:hint="eastAsia" w:ascii="宋体" w:hAnsi="宋体" w:eastAsia="宋体" w:cs="宋体"/>
                <w:b/>
                <w:bCs/>
                <w:color w:val="auto"/>
                <w:szCs w:val="28"/>
                <w:highlight w:val="none"/>
              </w:rPr>
            </w:pPr>
          </w:p>
        </w:tc>
        <w:tc>
          <w:tcPr>
            <w:tcW w:w="1105" w:type="dxa"/>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pStyle w:val="15"/>
              <w:ind w:left="572" w:hanging="572"/>
              <w:jc w:val="center"/>
              <w:rPr>
                <w:rFonts w:hint="eastAsia" w:ascii="宋体" w:hAnsi="宋体" w:cs="宋体"/>
                <w:color w:val="auto"/>
                <w:sz w:val="28"/>
                <w:szCs w:val="28"/>
                <w:highlight w:val="none"/>
                <w:lang w:bidi="ar"/>
              </w:rPr>
            </w:pPr>
          </w:p>
        </w:tc>
        <w:tc>
          <w:tcPr>
            <w:tcW w:w="1091" w:type="dxa"/>
            <w:noWrap w:val="0"/>
            <w:vAlign w:val="center"/>
          </w:tcPr>
          <w:p>
            <w:pPr>
              <w:pStyle w:val="3"/>
              <w:keepNext w:val="0"/>
              <w:rPr>
                <w:rFonts w:hint="eastAsia" w:ascii="宋体" w:hAnsi="宋体" w:eastAsia="宋体" w:cs="宋体"/>
                <w:b/>
                <w:bCs/>
                <w:color w:val="auto"/>
                <w:szCs w:val="28"/>
                <w:highlight w:val="none"/>
              </w:rPr>
            </w:pPr>
          </w:p>
        </w:tc>
        <w:tc>
          <w:tcPr>
            <w:tcW w:w="941" w:type="dxa"/>
            <w:noWrap w:val="0"/>
            <w:vAlign w:val="center"/>
          </w:tcPr>
          <w:p>
            <w:pPr>
              <w:pStyle w:val="3"/>
              <w:keepNext w:val="0"/>
              <w:rPr>
                <w:rFonts w:hint="eastAsia" w:ascii="宋体" w:hAnsi="宋体" w:eastAsia="宋体" w:cs="宋体"/>
                <w:b/>
                <w:bCs/>
                <w:color w:val="auto"/>
                <w:szCs w:val="28"/>
                <w:highlight w:val="none"/>
              </w:rPr>
            </w:pPr>
          </w:p>
        </w:tc>
        <w:tc>
          <w:tcPr>
            <w:tcW w:w="1473" w:type="dxa"/>
            <w:noWrap w:val="0"/>
            <w:vAlign w:val="center"/>
          </w:tcPr>
          <w:p>
            <w:pPr>
              <w:pStyle w:val="3"/>
              <w:keepNext w:val="0"/>
              <w:rPr>
                <w:rFonts w:hint="eastAsia" w:ascii="宋体" w:hAnsi="宋体" w:eastAsia="宋体" w:cs="宋体"/>
                <w:b/>
                <w:bCs/>
                <w:color w:val="auto"/>
                <w:szCs w:val="28"/>
                <w:highlight w:val="none"/>
              </w:rPr>
            </w:pPr>
          </w:p>
        </w:tc>
        <w:tc>
          <w:tcPr>
            <w:tcW w:w="1145" w:type="dxa"/>
            <w:noWrap w:val="0"/>
            <w:vAlign w:val="center"/>
          </w:tcPr>
          <w:p>
            <w:pPr>
              <w:pStyle w:val="3"/>
              <w:keepNext w:val="0"/>
              <w:rPr>
                <w:rFonts w:hint="eastAsia" w:ascii="宋体" w:hAnsi="宋体" w:eastAsia="宋体" w:cs="宋体"/>
                <w:b/>
                <w:bCs/>
                <w:color w:val="auto"/>
                <w:szCs w:val="28"/>
                <w:highlight w:val="none"/>
              </w:rPr>
            </w:pPr>
          </w:p>
        </w:tc>
        <w:tc>
          <w:tcPr>
            <w:tcW w:w="1105" w:type="dxa"/>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pStyle w:val="3"/>
              <w:keepNext w:val="0"/>
              <w:rPr>
                <w:rFonts w:hint="eastAsia" w:ascii="宋体" w:hAnsi="宋体" w:eastAsia="宋体" w:cs="宋体"/>
                <w:color w:val="auto"/>
                <w:szCs w:val="28"/>
                <w:highlight w:val="none"/>
              </w:rPr>
            </w:pPr>
            <w:bookmarkStart w:id="819" w:name="_Toc2551"/>
            <w:r>
              <w:rPr>
                <w:rFonts w:hint="eastAsia" w:ascii="宋体" w:hAnsi="宋体" w:eastAsia="宋体" w:cs="宋体"/>
                <w:color w:val="auto"/>
                <w:szCs w:val="28"/>
                <w:highlight w:val="none"/>
              </w:rPr>
              <w:t>......</w:t>
            </w:r>
            <w:bookmarkEnd w:id="819"/>
          </w:p>
        </w:tc>
        <w:tc>
          <w:tcPr>
            <w:tcW w:w="1091" w:type="dxa"/>
            <w:noWrap w:val="0"/>
            <w:vAlign w:val="center"/>
          </w:tcPr>
          <w:p>
            <w:pPr>
              <w:pStyle w:val="3"/>
              <w:keepNext w:val="0"/>
              <w:rPr>
                <w:rFonts w:hint="eastAsia" w:ascii="宋体" w:hAnsi="宋体" w:eastAsia="宋体" w:cs="宋体"/>
                <w:b/>
                <w:bCs/>
                <w:color w:val="auto"/>
                <w:szCs w:val="28"/>
                <w:highlight w:val="none"/>
              </w:rPr>
            </w:pPr>
          </w:p>
        </w:tc>
        <w:tc>
          <w:tcPr>
            <w:tcW w:w="941" w:type="dxa"/>
            <w:noWrap w:val="0"/>
            <w:vAlign w:val="center"/>
          </w:tcPr>
          <w:p>
            <w:pPr>
              <w:pStyle w:val="3"/>
              <w:keepNext w:val="0"/>
              <w:rPr>
                <w:rFonts w:hint="eastAsia" w:ascii="宋体" w:hAnsi="宋体" w:eastAsia="宋体" w:cs="宋体"/>
                <w:b/>
                <w:bCs/>
                <w:color w:val="auto"/>
                <w:szCs w:val="28"/>
                <w:highlight w:val="none"/>
              </w:rPr>
            </w:pPr>
          </w:p>
        </w:tc>
        <w:tc>
          <w:tcPr>
            <w:tcW w:w="1473" w:type="dxa"/>
            <w:noWrap w:val="0"/>
            <w:vAlign w:val="center"/>
          </w:tcPr>
          <w:p>
            <w:pPr>
              <w:pStyle w:val="3"/>
              <w:keepNext w:val="0"/>
              <w:rPr>
                <w:rFonts w:hint="eastAsia" w:ascii="宋体" w:hAnsi="宋体" w:eastAsia="宋体" w:cs="宋体"/>
                <w:b/>
                <w:bCs/>
                <w:color w:val="auto"/>
                <w:szCs w:val="28"/>
                <w:highlight w:val="none"/>
              </w:rPr>
            </w:pPr>
          </w:p>
        </w:tc>
        <w:tc>
          <w:tcPr>
            <w:tcW w:w="1145" w:type="dxa"/>
            <w:noWrap w:val="0"/>
            <w:vAlign w:val="center"/>
          </w:tcPr>
          <w:p>
            <w:pPr>
              <w:pStyle w:val="3"/>
              <w:keepNext w:val="0"/>
              <w:rPr>
                <w:rFonts w:hint="eastAsia" w:ascii="宋体" w:hAnsi="宋体" w:eastAsia="宋体" w:cs="宋体"/>
                <w:b/>
                <w:bCs/>
                <w:color w:val="auto"/>
                <w:szCs w:val="28"/>
                <w:highlight w:val="none"/>
              </w:rPr>
            </w:pPr>
          </w:p>
        </w:tc>
        <w:tc>
          <w:tcPr>
            <w:tcW w:w="1105" w:type="dxa"/>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86" w:type="dxa"/>
            <w:gridSpan w:val="8"/>
            <w:tcBorders>
              <w:left w:val="single" w:color="auto" w:sz="8" w:space="0"/>
              <w:right w:val="single" w:color="auto" w:sz="8" w:space="0"/>
            </w:tcBorders>
            <w:noWrap w:val="0"/>
            <w:vAlign w:val="center"/>
          </w:tcPr>
          <w:p>
            <w:pPr>
              <w:pStyle w:val="3"/>
              <w:keepNext w:val="0"/>
              <w:jc w:val="both"/>
              <w:rPr>
                <w:rStyle w:val="24"/>
                <w:rFonts w:hint="eastAsia" w:ascii="宋体" w:hAnsi="宋体" w:eastAsia="宋体" w:cs="宋体"/>
                <w:color w:val="auto"/>
                <w:sz w:val="28"/>
                <w:szCs w:val="28"/>
                <w:highlight w:val="none"/>
              </w:rPr>
            </w:pPr>
            <w:bookmarkStart w:id="820" w:name="_Toc4716"/>
            <w:bookmarkStart w:id="821" w:name="_Toc27757"/>
            <w:bookmarkStart w:id="822" w:name="_Toc4089"/>
            <w:bookmarkStart w:id="823" w:name="_Toc18266"/>
            <w:bookmarkStart w:id="824" w:name="_Toc31409"/>
            <w:r>
              <w:rPr>
                <w:rFonts w:hint="eastAsia" w:ascii="宋体" w:hAnsi="宋体" w:eastAsia="宋体" w:cs="宋体"/>
                <w:b/>
                <w:bCs/>
                <w:color w:val="auto"/>
                <w:szCs w:val="28"/>
                <w:highlight w:val="none"/>
              </w:rPr>
              <w:t>注：未做说明的人员资料由供应商自行考虑提供并附相关资料。</w:t>
            </w:r>
            <w:bookmarkEnd w:id="820"/>
            <w:bookmarkEnd w:id="821"/>
            <w:bookmarkEnd w:id="822"/>
            <w:bookmarkEnd w:id="823"/>
            <w:r>
              <w:rPr>
                <w:rFonts w:hint="eastAsia" w:ascii="宋体" w:hAnsi="宋体" w:eastAsia="宋体" w:cs="宋体"/>
                <w:b/>
                <w:bCs/>
                <w:color w:val="auto"/>
                <w:szCs w:val="28"/>
                <w:highlight w:val="none"/>
              </w:rPr>
              <w:t>所提供的资料均附于本表后，作为本表的附件。</w:t>
            </w:r>
            <w:bookmarkEnd w:id="824"/>
          </w:p>
        </w:tc>
      </w:tr>
    </w:tbl>
    <w:p>
      <w:pPr>
        <w:pStyle w:val="10"/>
        <w:ind w:firstLine="0"/>
        <w:jc w:val="center"/>
        <w:rPr>
          <w:rFonts w:hint="eastAsia" w:ascii="宋体" w:hAnsi="宋体" w:cs="宋体"/>
          <w:color w:val="auto"/>
          <w:sz w:val="28"/>
          <w:szCs w:val="28"/>
          <w:highlight w:val="none"/>
        </w:rPr>
      </w:pPr>
      <w:r>
        <w:rPr>
          <w:rFonts w:hint="eastAsia" w:ascii="宋体" w:hAnsi="宋体" w:eastAsia="宋体" w:cs="宋体"/>
          <w:bCs/>
          <w:color w:val="auto"/>
          <w:highlight w:val="none"/>
        </w:rPr>
        <w:t xml:space="preserve">       </w:t>
      </w:r>
      <w:bookmarkStart w:id="825" w:name="_Toc2493"/>
      <w:bookmarkStart w:id="826" w:name="_Toc7251"/>
      <w:bookmarkStart w:id="827" w:name="_Toc13542"/>
      <w:r>
        <w:rPr>
          <w:rFonts w:hint="eastAsia" w:ascii="宋体" w:hAnsi="宋体" w:cs="宋体"/>
          <w:color w:val="auto"/>
          <w:sz w:val="28"/>
          <w:szCs w:val="28"/>
          <w:highlight w:val="none"/>
        </w:rPr>
        <w:t xml:space="preserve">          供应商名称（盖章）：</w:t>
      </w:r>
    </w:p>
    <w:p>
      <w:pPr>
        <w:spacing w:line="60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法定代表人或委托代理人（签字或盖章）：</w:t>
      </w:r>
    </w:p>
    <w:p>
      <w:pPr>
        <w:spacing w:line="60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日期：     年   月   日</w:t>
      </w:r>
    </w:p>
    <w:p>
      <w:pPr>
        <w:spacing w:line="600" w:lineRule="auto"/>
        <w:rPr>
          <w:rStyle w:val="23"/>
          <w:rFonts w:hint="eastAsia" w:ascii="宋体" w:hAnsi="宋体" w:eastAsia="宋体" w:cs="宋体"/>
          <w:color w:val="auto"/>
          <w:sz w:val="32"/>
          <w:szCs w:val="28"/>
          <w:highlight w:val="none"/>
        </w:rPr>
      </w:pPr>
      <w:r>
        <w:rPr>
          <w:rFonts w:hint="eastAsia" w:ascii="宋体" w:hAnsi="宋体" w:cs="宋体"/>
          <w:color w:val="auto"/>
          <w:sz w:val="28"/>
          <w:szCs w:val="28"/>
          <w:highlight w:val="none"/>
        </w:rPr>
        <w:br w:type="page"/>
      </w:r>
      <w:r>
        <w:rPr>
          <w:rStyle w:val="23"/>
          <w:rFonts w:hint="eastAsia" w:ascii="宋体" w:hAnsi="宋体" w:eastAsia="宋体" w:cs="宋体"/>
          <w:b/>
          <w:bCs/>
          <w:color w:val="auto"/>
          <w:sz w:val="32"/>
          <w:szCs w:val="28"/>
          <w:highlight w:val="none"/>
        </w:rPr>
        <w:t>附件14:</w:t>
      </w:r>
      <w:bookmarkEnd w:id="825"/>
      <w:bookmarkEnd w:id="826"/>
      <w:bookmarkEnd w:id="827"/>
    </w:p>
    <w:p>
      <w:pPr>
        <w:pStyle w:val="4"/>
        <w:keepNext w:val="0"/>
        <w:numPr>
          <w:ilvl w:val="0"/>
          <w:numId w:val="0"/>
        </w:numPr>
        <w:jc w:val="center"/>
        <w:rPr>
          <w:rStyle w:val="23"/>
          <w:rFonts w:hint="eastAsia" w:ascii="宋体" w:hAnsi="宋体" w:eastAsia="宋体" w:cs="宋体"/>
          <w:color w:val="auto"/>
          <w:sz w:val="32"/>
          <w:szCs w:val="28"/>
          <w:highlight w:val="none"/>
        </w:rPr>
      </w:pPr>
      <w:bookmarkStart w:id="828" w:name="_Toc25373"/>
      <w:bookmarkStart w:id="829" w:name="_Toc19593"/>
      <w:bookmarkStart w:id="830" w:name="_Toc24019"/>
      <w:r>
        <w:rPr>
          <w:rStyle w:val="23"/>
          <w:rFonts w:hint="eastAsia" w:ascii="宋体" w:hAnsi="宋体" w:eastAsia="宋体" w:cs="宋体"/>
          <w:color w:val="auto"/>
          <w:sz w:val="32"/>
          <w:szCs w:val="28"/>
          <w:highlight w:val="none"/>
        </w:rPr>
        <w:t>技术支持及服务承诺书</w:t>
      </w:r>
      <w:bookmarkEnd w:id="828"/>
      <w:bookmarkEnd w:id="829"/>
      <w:bookmarkEnd w:id="830"/>
    </w:p>
    <w:p>
      <w:pPr>
        <w:spacing w:line="360" w:lineRule="auto"/>
        <w:rPr>
          <w:rFonts w:hint="eastAsia" w:ascii="宋体" w:hAnsi="宋体" w:cs="宋体"/>
          <w:color w:val="auto"/>
          <w:sz w:val="28"/>
          <w:szCs w:val="24"/>
          <w:highlight w:val="none"/>
          <w:u w:val="single"/>
        </w:rPr>
      </w:pPr>
      <w:r>
        <w:rPr>
          <w:rFonts w:hint="eastAsia" w:ascii="宋体" w:hAnsi="宋体" w:cs="宋体"/>
          <w:color w:val="auto"/>
          <w:sz w:val="28"/>
          <w:szCs w:val="24"/>
          <w:highlight w:val="none"/>
          <w:u w:val="single"/>
          <w:lang w:val="zh-CN"/>
        </w:rPr>
        <w:t>（采购人名称）</w:t>
      </w:r>
      <w:r>
        <w:rPr>
          <w:rFonts w:hint="eastAsia" w:ascii="宋体" w:hAnsi="宋体" w:cs="宋体"/>
          <w:color w:val="auto"/>
          <w:sz w:val="28"/>
          <w:szCs w:val="24"/>
          <w:highlight w:val="none"/>
        </w:rPr>
        <w:t>：</w:t>
      </w:r>
    </w:p>
    <w:p>
      <w:pPr>
        <w:spacing w:line="360" w:lineRule="auto"/>
        <w:jc w:val="left"/>
        <w:rPr>
          <w:rFonts w:hint="eastAsia" w:ascii="宋体" w:hAnsi="宋体" w:cs="宋体"/>
          <w:bCs/>
          <w:color w:val="auto"/>
          <w:sz w:val="28"/>
          <w:szCs w:val="28"/>
          <w:highlight w:val="none"/>
        </w:rPr>
      </w:pPr>
      <w:r>
        <w:rPr>
          <w:rFonts w:hint="eastAsia" w:ascii="宋体" w:hAnsi="宋体" w:cs="宋体"/>
          <w:bCs/>
          <w:color w:val="auto"/>
          <w:sz w:val="28"/>
          <w:szCs w:val="28"/>
          <w:highlight w:val="none"/>
        </w:rPr>
        <w:t>　　我公司</w:t>
      </w:r>
      <w:r>
        <w:rPr>
          <w:rFonts w:hint="eastAsia" w:ascii="宋体" w:hAnsi="宋体" w:cs="宋体"/>
          <w:bCs/>
          <w:color w:val="auto"/>
          <w:sz w:val="28"/>
          <w:szCs w:val="28"/>
          <w:highlight w:val="none"/>
          <w:u w:val="single"/>
        </w:rPr>
        <w:t xml:space="preserve">  （供应商名称）  </w:t>
      </w:r>
      <w:r>
        <w:rPr>
          <w:rFonts w:hint="eastAsia" w:ascii="宋体" w:hAnsi="宋体" w:cs="宋体"/>
          <w:bCs/>
          <w:color w:val="auto"/>
          <w:sz w:val="28"/>
          <w:szCs w:val="28"/>
          <w:highlight w:val="none"/>
        </w:rPr>
        <w:t>对</w:t>
      </w:r>
      <w:r>
        <w:rPr>
          <w:rFonts w:hint="eastAsia" w:ascii="宋体" w:hAnsi="宋体" w:cs="宋体"/>
          <w:color w:val="auto"/>
          <w:sz w:val="28"/>
          <w:szCs w:val="28"/>
          <w:highlight w:val="none"/>
          <w:u w:val="single"/>
        </w:rPr>
        <w:t xml:space="preserve">  （项目名称）  </w:t>
      </w:r>
      <w:r>
        <w:rPr>
          <w:rFonts w:hint="eastAsia" w:ascii="宋体" w:hAnsi="宋体" w:cs="宋体"/>
          <w:bCs/>
          <w:color w:val="auto"/>
          <w:sz w:val="28"/>
          <w:szCs w:val="28"/>
          <w:highlight w:val="none"/>
        </w:rPr>
        <w:t>竞争性磋商文件中有关服务内容、服务期限、投标有效期、付款方式、服务标准及要求</w:t>
      </w:r>
    </w:p>
    <w:p>
      <w:pPr>
        <w:spacing w:line="360" w:lineRule="auto"/>
        <w:jc w:val="left"/>
        <w:rPr>
          <w:rFonts w:hint="eastAsia" w:ascii="宋体" w:hAnsi="宋体" w:cs="宋体"/>
          <w:bCs/>
          <w:color w:val="auto"/>
          <w:sz w:val="28"/>
          <w:szCs w:val="28"/>
          <w:highlight w:val="none"/>
        </w:rPr>
      </w:pPr>
      <w:r>
        <w:rPr>
          <w:rFonts w:hint="eastAsia" w:ascii="宋体" w:hAnsi="宋体" w:cs="宋体"/>
          <w:bCs/>
          <w:color w:val="auto"/>
          <w:sz w:val="28"/>
          <w:szCs w:val="28"/>
          <w:highlight w:val="none"/>
        </w:rPr>
        <w:t>、废标条件、承诺和采购人不能接受的条件等实质性内容完全响应。如我公司能在本次招标中中标，我公司郑重承诺如下：</w:t>
      </w:r>
    </w:p>
    <w:tbl>
      <w:tblPr>
        <w:tblStyle w:val="19"/>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3797"/>
        <w:gridCol w:w="2550"/>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pPr>
              <w:spacing w:line="500" w:lineRule="exact"/>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序号</w:t>
            </w:r>
          </w:p>
        </w:tc>
        <w:tc>
          <w:tcPr>
            <w:tcW w:w="3797" w:type="dxa"/>
            <w:noWrap w:val="0"/>
            <w:vAlign w:val="center"/>
          </w:tcPr>
          <w:p>
            <w:pPr>
              <w:spacing w:line="500" w:lineRule="exact"/>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内容</w:t>
            </w:r>
          </w:p>
        </w:tc>
        <w:tc>
          <w:tcPr>
            <w:tcW w:w="2550" w:type="dxa"/>
            <w:noWrap w:val="0"/>
            <w:vAlign w:val="center"/>
          </w:tcPr>
          <w:p>
            <w:pPr>
              <w:tabs>
                <w:tab w:val="center" w:pos="1130"/>
                <w:tab w:val="right" w:pos="2140"/>
              </w:tabs>
              <w:spacing w:line="500" w:lineRule="exact"/>
              <w:jc w:val="left"/>
              <w:rPr>
                <w:rFonts w:hint="eastAsia" w:ascii="宋体" w:hAnsi="宋体" w:cs="宋体"/>
                <w:bCs/>
                <w:color w:val="auto"/>
                <w:sz w:val="28"/>
                <w:szCs w:val="28"/>
                <w:highlight w:val="none"/>
              </w:rPr>
            </w:pPr>
            <w:r>
              <w:rPr>
                <w:rFonts w:hint="eastAsia" w:ascii="宋体" w:hAnsi="宋体" w:cs="宋体"/>
                <w:bCs/>
                <w:color w:val="auto"/>
                <w:sz w:val="28"/>
                <w:szCs w:val="28"/>
                <w:highlight w:val="none"/>
              </w:rPr>
              <w:tab/>
            </w:r>
            <w:r>
              <w:rPr>
                <w:rFonts w:hint="eastAsia" w:ascii="宋体" w:hAnsi="宋体" w:cs="宋体"/>
                <w:bCs/>
                <w:color w:val="auto"/>
                <w:sz w:val="28"/>
                <w:szCs w:val="28"/>
                <w:highlight w:val="none"/>
              </w:rPr>
              <w:t>承诺</w:t>
            </w:r>
            <w:r>
              <w:rPr>
                <w:rFonts w:hint="eastAsia" w:ascii="宋体" w:hAnsi="宋体" w:cs="宋体"/>
                <w:bCs/>
                <w:color w:val="auto"/>
                <w:sz w:val="28"/>
                <w:szCs w:val="28"/>
                <w:highlight w:val="none"/>
              </w:rPr>
              <w:tab/>
            </w:r>
          </w:p>
        </w:tc>
        <w:tc>
          <w:tcPr>
            <w:tcW w:w="1561" w:type="dxa"/>
            <w:noWrap w:val="0"/>
            <w:vAlign w:val="center"/>
          </w:tcPr>
          <w:p>
            <w:pPr>
              <w:spacing w:line="500" w:lineRule="exact"/>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pPr>
              <w:spacing w:line="500" w:lineRule="exact"/>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１</w:t>
            </w:r>
          </w:p>
        </w:tc>
        <w:tc>
          <w:tcPr>
            <w:tcW w:w="3797" w:type="dxa"/>
            <w:noWrap w:val="0"/>
            <w:vAlign w:val="center"/>
          </w:tcPr>
          <w:p>
            <w:pPr>
              <w:spacing w:line="500" w:lineRule="exact"/>
              <w:jc w:val="center"/>
              <w:rPr>
                <w:rFonts w:hint="eastAsia" w:ascii="宋体" w:hAnsi="宋体" w:cs="宋体"/>
                <w:bCs/>
                <w:color w:val="auto"/>
                <w:sz w:val="28"/>
                <w:szCs w:val="28"/>
                <w:highlight w:val="none"/>
              </w:rPr>
            </w:pPr>
          </w:p>
        </w:tc>
        <w:tc>
          <w:tcPr>
            <w:tcW w:w="2550" w:type="dxa"/>
            <w:noWrap w:val="0"/>
            <w:vAlign w:val="center"/>
          </w:tcPr>
          <w:p>
            <w:pPr>
              <w:tabs>
                <w:tab w:val="center" w:pos="1130"/>
                <w:tab w:val="right" w:pos="2140"/>
              </w:tabs>
              <w:spacing w:line="500" w:lineRule="exact"/>
              <w:jc w:val="left"/>
              <w:rPr>
                <w:rFonts w:hint="eastAsia" w:ascii="宋体" w:hAnsi="宋体" w:cs="宋体"/>
                <w:bCs/>
                <w:color w:val="auto"/>
                <w:sz w:val="28"/>
                <w:szCs w:val="28"/>
                <w:highlight w:val="none"/>
              </w:rPr>
            </w:pPr>
          </w:p>
        </w:tc>
        <w:tc>
          <w:tcPr>
            <w:tcW w:w="1561" w:type="dxa"/>
            <w:noWrap w:val="0"/>
            <w:vAlign w:val="center"/>
          </w:tcPr>
          <w:p>
            <w:pPr>
              <w:spacing w:line="500" w:lineRule="exact"/>
              <w:jc w:val="center"/>
              <w:rPr>
                <w:rFonts w:hint="eastAsia" w:ascii="宋体" w:hAnsi="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pPr>
              <w:spacing w:line="500" w:lineRule="exact"/>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２</w:t>
            </w:r>
          </w:p>
        </w:tc>
        <w:tc>
          <w:tcPr>
            <w:tcW w:w="3797" w:type="dxa"/>
            <w:noWrap w:val="0"/>
            <w:vAlign w:val="center"/>
          </w:tcPr>
          <w:p>
            <w:pPr>
              <w:spacing w:line="500" w:lineRule="exact"/>
              <w:jc w:val="center"/>
              <w:rPr>
                <w:rFonts w:hint="eastAsia" w:ascii="宋体" w:hAnsi="宋体" w:cs="宋体"/>
                <w:bCs/>
                <w:color w:val="auto"/>
                <w:sz w:val="28"/>
                <w:szCs w:val="28"/>
                <w:highlight w:val="none"/>
              </w:rPr>
            </w:pPr>
          </w:p>
        </w:tc>
        <w:tc>
          <w:tcPr>
            <w:tcW w:w="2550" w:type="dxa"/>
            <w:noWrap w:val="0"/>
            <w:vAlign w:val="center"/>
          </w:tcPr>
          <w:p>
            <w:pPr>
              <w:spacing w:line="500" w:lineRule="exact"/>
              <w:jc w:val="center"/>
              <w:rPr>
                <w:rFonts w:hint="eastAsia" w:ascii="宋体" w:hAnsi="宋体" w:cs="宋体"/>
                <w:bCs/>
                <w:color w:val="auto"/>
                <w:sz w:val="28"/>
                <w:szCs w:val="28"/>
                <w:highlight w:val="none"/>
              </w:rPr>
            </w:pPr>
          </w:p>
        </w:tc>
        <w:tc>
          <w:tcPr>
            <w:tcW w:w="1561" w:type="dxa"/>
            <w:noWrap w:val="0"/>
            <w:vAlign w:val="center"/>
          </w:tcPr>
          <w:p>
            <w:pPr>
              <w:spacing w:line="500" w:lineRule="exact"/>
              <w:jc w:val="center"/>
              <w:rPr>
                <w:rFonts w:hint="eastAsia" w:ascii="宋体" w:hAnsi="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0" w:type="dxa"/>
            <w:noWrap w:val="0"/>
            <w:vAlign w:val="center"/>
          </w:tcPr>
          <w:p>
            <w:pPr>
              <w:spacing w:line="500" w:lineRule="exact"/>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３</w:t>
            </w:r>
          </w:p>
        </w:tc>
        <w:tc>
          <w:tcPr>
            <w:tcW w:w="3797" w:type="dxa"/>
            <w:noWrap w:val="0"/>
            <w:vAlign w:val="center"/>
          </w:tcPr>
          <w:p>
            <w:pPr>
              <w:spacing w:line="500" w:lineRule="exact"/>
              <w:jc w:val="center"/>
              <w:rPr>
                <w:rFonts w:hint="eastAsia" w:ascii="宋体" w:hAnsi="宋体" w:cs="宋体"/>
                <w:bCs/>
                <w:color w:val="auto"/>
                <w:sz w:val="28"/>
                <w:szCs w:val="28"/>
                <w:highlight w:val="none"/>
              </w:rPr>
            </w:pPr>
          </w:p>
        </w:tc>
        <w:tc>
          <w:tcPr>
            <w:tcW w:w="2550" w:type="dxa"/>
            <w:noWrap w:val="0"/>
            <w:vAlign w:val="center"/>
          </w:tcPr>
          <w:p>
            <w:pPr>
              <w:spacing w:line="500" w:lineRule="exact"/>
              <w:jc w:val="center"/>
              <w:rPr>
                <w:rFonts w:hint="eastAsia" w:ascii="宋体" w:hAnsi="宋体" w:cs="宋体"/>
                <w:bCs/>
                <w:color w:val="auto"/>
                <w:sz w:val="28"/>
                <w:szCs w:val="28"/>
                <w:highlight w:val="none"/>
              </w:rPr>
            </w:pPr>
          </w:p>
        </w:tc>
        <w:tc>
          <w:tcPr>
            <w:tcW w:w="1561" w:type="dxa"/>
            <w:noWrap w:val="0"/>
            <w:vAlign w:val="center"/>
          </w:tcPr>
          <w:p>
            <w:pPr>
              <w:spacing w:line="500" w:lineRule="exact"/>
              <w:jc w:val="center"/>
              <w:rPr>
                <w:rFonts w:hint="eastAsia" w:ascii="宋体" w:hAnsi="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pPr>
              <w:spacing w:line="500" w:lineRule="exact"/>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４</w:t>
            </w:r>
          </w:p>
        </w:tc>
        <w:tc>
          <w:tcPr>
            <w:tcW w:w="3797" w:type="dxa"/>
            <w:noWrap w:val="0"/>
            <w:vAlign w:val="center"/>
          </w:tcPr>
          <w:p>
            <w:pPr>
              <w:spacing w:line="500" w:lineRule="exact"/>
              <w:jc w:val="center"/>
              <w:rPr>
                <w:rFonts w:hint="eastAsia" w:ascii="宋体" w:hAnsi="宋体" w:cs="宋体"/>
                <w:bCs/>
                <w:color w:val="auto"/>
                <w:sz w:val="28"/>
                <w:szCs w:val="28"/>
                <w:highlight w:val="none"/>
              </w:rPr>
            </w:pPr>
          </w:p>
        </w:tc>
        <w:tc>
          <w:tcPr>
            <w:tcW w:w="2550" w:type="dxa"/>
            <w:noWrap w:val="0"/>
            <w:vAlign w:val="center"/>
          </w:tcPr>
          <w:p>
            <w:pPr>
              <w:spacing w:line="500" w:lineRule="exact"/>
              <w:jc w:val="center"/>
              <w:rPr>
                <w:rFonts w:hint="eastAsia" w:ascii="宋体" w:hAnsi="宋体" w:cs="宋体"/>
                <w:bCs/>
                <w:color w:val="auto"/>
                <w:sz w:val="28"/>
                <w:szCs w:val="28"/>
                <w:highlight w:val="none"/>
              </w:rPr>
            </w:pPr>
          </w:p>
        </w:tc>
        <w:tc>
          <w:tcPr>
            <w:tcW w:w="1561" w:type="dxa"/>
            <w:noWrap w:val="0"/>
            <w:vAlign w:val="center"/>
          </w:tcPr>
          <w:p>
            <w:pPr>
              <w:spacing w:line="500" w:lineRule="exact"/>
              <w:jc w:val="center"/>
              <w:rPr>
                <w:rFonts w:hint="eastAsia" w:ascii="宋体" w:hAnsi="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pPr>
              <w:spacing w:line="500" w:lineRule="exact"/>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５</w:t>
            </w:r>
          </w:p>
        </w:tc>
        <w:tc>
          <w:tcPr>
            <w:tcW w:w="3797" w:type="dxa"/>
            <w:noWrap w:val="0"/>
            <w:vAlign w:val="center"/>
          </w:tcPr>
          <w:p>
            <w:pPr>
              <w:spacing w:line="500" w:lineRule="exact"/>
              <w:jc w:val="center"/>
              <w:rPr>
                <w:rFonts w:hint="eastAsia" w:ascii="宋体" w:hAnsi="宋体" w:cs="宋体"/>
                <w:bCs/>
                <w:color w:val="auto"/>
                <w:sz w:val="28"/>
                <w:szCs w:val="28"/>
                <w:highlight w:val="none"/>
              </w:rPr>
            </w:pPr>
          </w:p>
        </w:tc>
        <w:tc>
          <w:tcPr>
            <w:tcW w:w="2550" w:type="dxa"/>
            <w:noWrap w:val="0"/>
            <w:vAlign w:val="center"/>
          </w:tcPr>
          <w:p>
            <w:pPr>
              <w:spacing w:line="500" w:lineRule="exact"/>
              <w:jc w:val="center"/>
              <w:rPr>
                <w:rFonts w:hint="eastAsia" w:ascii="宋体" w:hAnsi="宋体" w:cs="宋体"/>
                <w:bCs/>
                <w:color w:val="auto"/>
                <w:sz w:val="28"/>
                <w:szCs w:val="28"/>
                <w:highlight w:val="none"/>
              </w:rPr>
            </w:pPr>
          </w:p>
        </w:tc>
        <w:tc>
          <w:tcPr>
            <w:tcW w:w="1561" w:type="dxa"/>
            <w:noWrap w:val="0"/>
            <w:vAlign w:val="center"/>
          </w:tcPr>
          <w:p>
            <w:pPr>
              <w:spacing w:line="500" w:lineRule="exact"/>
              <w:jc w:val="center"/>
              <w:rPr>
                <w:rFonts w:hint="eastAsia" w:ascii="宋体" w:hAnsi="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pPr>
              <w:spacing w:line="500" w:lineRule="exact"/>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8</w:t>
            </w:r>
          </w:p>
        </w:tc>
        <w:tc>
          <w:tcPr>
            <w:tcW w:w="3797" w:type="dxa"/>
            <w:noWrap w:val="0"/>
            <w:vAlign w:val="center"/>
          </w:tcPr>
          <w:p>
            <w:pPr>
              <w:spacing w:line="500" w:lineRule="exact"/>
              <w:jc w:val="center"/>
              <w:rPr>
                <w:rFonts w:hint="eastAsia" w:ascii="宋体" w:hAnsi="宋体" w:cs="宋体"/>
                <w:bCs/>
                <w:color w:val="auto"/>
                <w:sz w:val="28"/>
                <w:szCs w:val="28"/>
                <w:highlight w:val="none"/>
              </w:rPr>
            </w:pPr>
          </w:p>
        </w:tc>
        <w:tc>
          <w:tcPr>
            <w:tcW w:w="2550" w:type="dxa"/>
            <w:noWrap w:val="0"/>
            <w:vAlign w:val="center"/>
          </w:tcPr>
          <w:p>
            <w:pPr>
              <w:spacing w:line="500" w:lineRule="exact"/>
              <w:jc w:val="center"/>
              <w:rPr>
                <w:rFonts w:hint="eastAsia" w:ascii="宋体" w:hAnsi="宋体" w:cs="宋体"/>
                <w:bCs/>
                <w:color w:val="auto"/>
                <w:sz w:val="28"/>
                <w:szCs w:val="28"/>
                <w:highlight w:val="none"/>
              </w:rPr>
            </w:pPr>
          </w:p>
        </w:tc>
        <w:tc>
          <w:tcPr>
            <w:tcW w:w="1561" w:type="dxa"/>
            <w:noWrap w:val="0"/>
            <w:vAlign w:val="center"/>
          </w:tcPr>
          <w:p>
            <w:pPr>
              <w:spacing w:line="500" w:lineRule="exact"/>
              <w:jc w:val="center"/>
              <w:rPr>
                <w:rFonts w:hint="eastAsia" w:ascii="宋体" w:hAnsi="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0" w:type="dxa"/>
            <w:noWrap w:val="0"/>
            <w:vAlign w:val="center"/>
          </w:tcPr>
          <w:p>
            <w:pPr>
              <w:spacing w:line="500" w:lineRule="exact"/>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9</w:t>
            </w:r>
          </w:p>
        </w:tc>
        <w:tc>
          <w:tcPr>
            <w:tcW w:w="3797" w:type="dxa"/>
            <w:noWrap w:val="0"/>
            <w:vAlign w:val="center"/>
          </w:tcPr>
          <w:p>
            <w:pPr>
              <w:spacing w:line="500" w:lineRule="exact"/>
              <w:jc w:val="center"/>
              <w:rPr>
                <w:rFonts w:hint="eastAsia" w:ascii="宋体" w:hAnsi="宋体" w:cs="宋体"/>
                <w:bCs/>
                <w:color w:val="auto"/>
                <w:sz w:val="28"/>
                <w:szCs w:val="28"/>
                <w:highlight w:val="none"/>
              </w:rPr>
            </w:pPr>
          </w:p>
        </w:tc>
        <w:tc>
          <w:tcPr>
            <w:tcW w:w="2550" w:type="dxa"/>
            <w:noWrap w:val="0"/>
            <w:vAlign w:val="center"/>
          </w:tcPr>
          <w:p>
            <w:pPr>
              <w:spacing w:line="500" w:lineRule="exact"/>
              <w:jc w:val="center"/>
              <w:rPr>
                <w:rFonts w:hint="eastAsia" w:ascii="宋体" w:hAnsi="宋体" w:cs="宋体"/>
                <w:bCs/>
                <w:color w:val="auto"/>
                <w:sz w:val="28"/>
                <w:szCs w:val="28"/>
                <w:highlight w:val="none"/>
              </w:rPr>
            </w:pPr>
          </w:p>
        </w:tc>
        <w:tc>
          <w:tcPr>
            <w:tcW w:w="1561" w:type="dxa"/>
            <w:noWrap w:val="0"/>
            <w:vAlign w:val="center"/>
          </w:tcPr>
          <w:p>
            <w:pPr>
              <w:spacing w:line="500" w:lineRule="exact"/>
              <w:jc w:val="center"/>
              <w:rPr>
                <w:rFonts w:hint="eastAsia" w:ascii="宋体" w:hAnsi="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pPr>
              <w:spacing w:line="500" w:lineRule="exact"/>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10</w:t>
            </w:r>
          </w:p>
        </w:tc>
        <w:tc>
          <w:tcPr>
            <w:tcW w:w="3797" w:type="dxa"/>
            <w:noWrap w:val="0"/>
            <w:vAlign w:val="center"/>
          </w:tcPr>
          <w:p>
            <w:pPr>
              <w:spacing w:line="500" w:lineRule="exact"/>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w:t>
            </w:r>
          </w:p>
        </w:tc>
        <w:tc>
          <w:tcPr>
            <w:tcW w:w="2550" w:type="dxa"/>
            <w:noWrap w:val="0"/>
            <w:vAlign w:val="center"/>
          </w:tcPr>
          <w:p>
            <w:pPr>
              <w:spacing w:line="500" w:lineRule="exact"/>
              <w:jc w:val="center"/>
              <w:rPr>
                <w:rFonts w:hint="eastAsia" w:ascii="宋体" w:hAnsi="宋体" w:cs="宋体"/>
                <w:bCs/>
                <w:color w:val="auto"/>
                <w:sz w:val="28"/>
                <w:szCs w:val="28"/>
                <w:highlight w:val="none"/>
              </w:rPr>
            </w:pPr>
          </w:p>
        </w:tc>
        <w:tc>
          <w:tcPr>
            <w:tcW w:w="1561" w:type="dxa"/>
            <w:noWrap w:val="0"/>
            <w:vAlign w:val="center"/>
          </w:tcPr>
          <w:p>
            <w:pPr>
              <w:spacing w:line="500" w:lineRule="exact"/>
              <w:jc w:val="center"/>
              <w:rPr>
                <w:rFonts w:hint="eastAsia" w:ascii="宋体" w:hAnsi="宋体" w:cs="宋体"/>
                <w:bCs/>
                <w:color w:val="auto"/>
                <w:sz w:val="28"/>
                <w:szCs w:val="28"/>
                <w:highlight w:val="none"/>
              </w:rPr>
            </w:pPr>
          </w:p>
        </w:tc>
      </w:tr>
    </w:tbl>
    <w:p>
      <w:pPr>
        <w:spacing w:line="360" w:lineRule="auto"/>
        <w:rPr>
          <w:rFonts w:hint="eastAsia" w:ascii="宋体" w:hAnsi="宋体" w:cs="宋体"/>
          <w:bCs/>
          <w:color w:val="auto"/>
          <w:sz w:val="28"/>
          <w:szCs w:val="28"/>
          <w:highlight w:val="none"/>
        </w:rPr>
      </w:pPr>
      <w:r>
        <w:rPr>
          <w:rFonts w:hint="eastAsia" w:ascii="宋体" w:hAnsi="宋体" w:cs="宋体"/>
          <w:bCs/>
          <w:color w:val="auto"/>
          <w:sz w:val="28"/>
          <w:szCs w:val="28"/>
          <w:highlight w:val="none"/>
        </w:rPr>
        <w:t xml:space="preserve">    本承诺函为我公司应答此次采购项目正式文件的附件，与其他响应文件具有同等法律效力，经我公司盖章后立即生效。</w:t>
      </w:r>
    </w:p>
    <w:p>
      <w:pPr>
        <w:spacing w:line="360" w:lineRule="auto"/>
        <w:rPr>
          <w:rFonts w:hint="eastAsia" w:ascii="宋体" w:hAnsi="宋体" w:cs="宋体"/>
          <w:bCs/>
          <w:color w:val="auto"/>
          <w:sz w:val="28"/>
          <w:szCs w:val="28"/>
          <w:highlight w:val="none"/>
        </w:rPr>
      </w:pPr>
    </w:p>
    <w:p>
      <w:pPr>
        <w:spacing w:line="600" w:lineRule="auto"/>
        <w:jc w:val="center"/>
        <w:rPr>
          <w:rFonts w:hint="eastAsia" w:ascii="宋体" w:hAnsi="宋体" w:cs="宋体"/>
          <w:color w:val="auto"/>
          <w:sz w:val="28"/>
          <w:szCs w:val="28"/>
          <w:highlight w:val="none"/>
        </w:rPr>
      </w:pPr>
      <w:r>
        <w:rPr>
          <w:rFonts w:hint="eastAsia" w:ascii="宋体" w:hAnsi="宋体" w:cs="宋体"/>
          <w:bCs/>
          <w:color w:val="auto"/>
          <w:highlight w:val="none"/>
        </w:rPr>
        <w:t xml:space="preserve">             </w:t>
      </w:r>
      <w:r>
        <w:rPr>
          <w:rFonts w:hint="eastAsia" w:ascii="宋体" w:hAnsi="宋体" w:cs="宋体"/>
          <w:color w:val="auto"/>
          <w:sz w:val="28"/>
          <w:szCs w:val="28"/>
          <w:highlight w:val="none"/>
        </w:rPr>
        <w:t>供应商名称（盖章）：</w:t>
      </w:r>
    </w:p>
    <w:p>
      <w:pPr>
        <w:spacing w:line="60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法定代表人或委托代理人（签字或盖章）：</w:t>
      </w:r>
    </w:p>
    <w:p>
      <w:pPr>
        <w:spacing w:line="60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日期：     年   月   日</w:t>
      </w:r>
      <w:bookmarkStart w:id="831" w:name="_Toc28079"/>
      <w:bookmarkStart w:id="832" w:name="_Toc12791"/>
      <w:bookmarkStart w:id="833" w:name="_Toc12421"/>
    </w:p>
    <w:p>
      <w:pPr>
        <w:spacing w:line="600" w:lineRule="auto"/>
        <w:rPr>
          <w:rStyle w:val="23"/>
          <w:rFonts w:hint="eastAsia" w:ascii="宋体" w:hAnsi="宋体" w:eastAsia="宋体" w:cs="宋体"/>
          <w:b/>
          <w:color w:val="auto"/>
          <w:sz w:val="32"/>
          <w:szCs w:val="28"/>
          <w:highlight w:val="none"/>
        </w:rPr>
      </w:pPr>
      <w:r>
        <w:rPr>
          <w:rFonts w:hint="eastAsia" w:ascii="宋体" w:hAnsi="宋体" w:cs="宋体"/>
          <w:color w:val="auto"/>
          <w:sz w:val="28"/>
          <w:szCs w:val="28"/>
          <w:highlight w:val="none"/>
        </w:rPr>
        <w:br w:type="page"/>
      </w:r>
      <w:r>
        <w:rPr>
          <w:rStyle w:val="23"/>
          <w:rFonts w:hint="eastAsia" w:ascii="宋体" w:hAnsi="宋体" w:eastAsia="宋体" w:cs="宋体"/>
          <w:b/>
          <w:color w:val="auto"/>
          <w:sz w:val="32"/>
          <w:szCs w:val="28"/>
          <w:highlight w:val="none"/>
        </w:rPr>
        <w:t>附件15:</w:t>
      </w:r>
      <w:bookmarkEnd w:id="831"/>
      <w:bookmarkEnd w:id="832"/>
      <w:bookmarkEnd w:id="833"/>
    </w:p>
    <w:p>
      <w:pPr>
        <w:pStyle w:val="4"/>
        <w:keepNext w:val="0"/>
        <w:numPr>
          <w:ilvl w:val="0"/>
          <w:numId w:val="0"/>
        </w:numPr>
        <w:jc w:val="center"/>
        <w:rPr>
          <w:rStyle w:val="23"/>
          <w:rFonts w:hint="eastAsia" w:ascii="宋体" w:hAnsi="宋体" w:eastAsia="宋体" w:cs="宋体"/>
          <w:color w:val="auto"/>
          <w:sz w:val="32"/>
          <w:szCs w:val="28"/>
          <w:highlight w:val="none"/>
        </w:rPr>
      </w:pPr>
      <w:r>
        <w:rPr>
          <w:rStyle w:val="23"/>
          <w:rFonts w:hint="eastAsia" w:ascii="宋体" w:hAnsi="宋体" w:eastAsia="宋体" w:cs="宋体"/>
          <w:color w:val="auto"/>
          <w:sz w:val="32"/>
          <w:szCs w:val="28"/>
          <w:highlight w:val="none"/>
        </w:rPr>
        <w:t>服务方案</w:t>
      </w:r>
    </w:p>
    <w:p>
      <w:pPr>
        <w:pStyle w:val="4"/>
        <w:keepNext w:val="0"/>
        <w:numPr>
          <w:ilvl w:val="0"/>
          <w:numId w:val="0"/>
        </w:numPr>
        <w:jc w:val="left"/>
        <w:rPr>
          <w:rStyle w:val="23"/>
          <w:rFonts w:hint="eastAsia" w:ascii="宋体" w:hAnsi="宋体" w:eastAsia="宋体" w:cs="宋体"/>
          <w:color w:val="auto"/>
          <w:sz w:val="32"/>
          <w:szCs w:val="28"/>
          <w:highlight w:val="none"/>
        </w:rPr>
      </w:pPr>
      <w:bookmarkStart w:id="834" w:name="_Toc5206"/>
      <w:r>
        <w:rPr>
          <w:rStyle w:val="23"/>
          <w:rFonts w:hint="eastAsia" w:ascii="宋体" w:hAnsi="宋体" w:eastAsia="宋体" w:cs="宋体"/>
          <w:color w:val="auto"/>
          <w:sz w:val="32"/>
          <w:szCs w:val="28"/>
          <w:highlight w:val="none"/>
        </w:rPr>
        <w:br w:type="page"/>
      </w:r>
      <w:r>
        <w:rPr>
          <w:rStyle w:val="23"/>
          <w:rFonts w:hint="eastAsia" w:ascii="宋体" w:hAnsi="宋体" w:eastAsia="宋体" w:cs="宋体"/>
          <w:color w:val="auto"/>
          <w:sz w:val="32"/>
          <w:szCs w:val="28"/>
          <w:highlight w:val="none"/>
        </w:rPr>
        <w:t>附件16:</w:t>
      </w:r>
      <w:bookmarkEnd w:id="834"/>
    </w:p>
    <w:p>
      <w:pPr>
        <w:pStyle w:val="17"/>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不参与围标串标承诺书</w:t>
      </w:r>
    </w:p>
    <w:p>
      <w:p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本人作为经授权经授权投标人代表，清楚知晓我单位本项目活动，对以下事项作出承诺：</w:t>
      </w:r>
    </w:p>
    <w:p>
      <w:pPr>
        <w:spacing w:line="360" w:lineRule="auto"/>
        <w:ind w:firstLine="57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一、我单位和我本人遵循公开、公平、公正、诚实守信的原则，依法依规参与本项目竞标。</w:t>
      </w:r>
    </w:p>
    <w:p>
      <w:pPr>
        <w:spacing w:line="360" w:lineRule="auto"/>
        <w:ind w:firstLine="57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二、我单位和我本人在本项目活动中，未参与围标串标。</w:t>
      </w:r>
    </w:p>
    <w:p>
      <w:pPr>
        <w:spacing w:line="360" w:lineRule="auto"/>
        <w:ind w:firstLine="570" w:firstLineChars="200"/>
        <w:rPr>
          <w:rFonts w:hint="eastAsia" w:ascii="宋体" w:hAnsi="宋体" w:cs="宋体"/>
          <w:color w:val="auto"/>
          <w:sz w:val="24"/>
          <w:szCs w:val="24"/>
          <w:highlight w:val="none"/>
        </w:rPr>
      </w:pPr>
      <w:r>
        <w:rPr>
          <w:rFonts w:hint="eastAsia" w:ascii="宋体" w:hAnsi="宋体" w:cs="宋体"/>
          <w:color w:val="auto"/>
          <w:sz w:val="28"/>
          <w:szCs w:val="28"/>
          <w:highlight w:val="none"/>
        </w:rPr>
        <w:t>三、我单位如被查实在本项目活动中存在围标串标行为的，递交响应文件行为作为实施串通投标违法行为的关键环节，本人承担直接责任人员法律责任，接受相应行政处罚和失信惩戒</w:t>
      </w:r>
      <w:r>
        <w:rPr>
          <w:rFonts w:hint="eastAsia" w:ascii="宋体" w:hAnsi="宋体" w:cs="宋体"/>
          <w:color w:val="auto"/>
          <w:sz w:val="24"/>
          <w:szCs w:val="24"/>
          <w:highlight w:val="none"/>
        </w:rPr>
        <w:t>。</w:t>
      </w:r>
    </w:p>
    <w:p>
      <w:pPr>
        <w:pStyle w:val="4"/>
        <w:keepNext w:val="0"/>
        <w:numPr>
          <w:ilvl w:val="0"/>
          <w:numId w:val="0"/>
        </w:numPr>
        <w:jc w:val="left"/>
        <w:rPr>
          <w:rStyle w:val="23"/>
          <w:rFonts w:hint="eastAsia" w:ascii="宋体" w:hAnsi="宋体" w:eastAsia="宋体" w:cs="宋体"/>
          <w:color w:val="auto"/>
          <w:sz w:val="32"/>
          <w:szCs w:val="28"/>
          <w:highlight w:val="none"/>
        </w:rPr>
      </w:pPr>
    </w:p>
    <w:p>
      <w:pPr>
        <w:pStyle w:val="4"/>
        <w:keepNext w:val="0"/>
        <w:numPr>
          <w:ilvl w:val="0"/>
          <w:numId w:val="0"/>
        </w:numPr>
        <w:jc w:val="left"/>
        <w:rPr>
          <w:rStyle w:val="23"/>
          <w:rFonts w:hint="eastAsia" w:ascii="宋体" w:hAnsi="宋体" w:eastAsia="宋体" w:cs="宋体"/>
          <w:color w:val="auto"/>
          <w:sz w:val="32"/>
          <w:szCs w:val="28"/>
          <w:highlight w:val="none"/>
        </w:rPr>
      </w:pPr>
    </w:p>
    <w:p>
      <w:pPr>
        <w:pStyle w:val="4"/>
        <w:keepNext w:val="0"/>
        <w:numPr>
          <w:ilvl w:val="0"/>
          <w:numId w:val="0"/>
        </w:numPr>
        <w:jc w:val="left"/>
        <w:rPr>
          <w:rStyle w:val="23"/>
          <w:rFonts w:hint="eastAsia" w:ascii="宋体" w:hAnsi="宋体" w:eastAsia="宋体" w:cs="宋体"/>
          <w:color w:val="auto"/>
          <w:sz w:val="32"/>
          <w:szCs w:val="28"/>
          <w:highlight w:val="none"/>
        </w:rPr>
      </w:pPr>
    </w:p>
    <w:p>
      <w:pPr>
        <w:pStyle w:val="4"/>
        <w:keepNext w:val="0"/>
        <w:numPr>
          <w:ilvl w:val="0"/>
          <w:numId w:val="0"/>
        </w:numPr>
        <w:jc w:val="left"/>
        <w:rPr>
          <w:rStyle w:val="23"/>
          <w:rFonts w:hint="eastAsia" w:ascii="宋体" w:hAnsi="宋体" w:eastAsia="宋体" w:cs="宋体"/>
          <w:color w:val="auto"/>
          <w:sz w:val="32"/>
          <w:szCs w:val="28"/>
          <w:highlight w:val="none"/>
        </w:rPr>
      </w:pPr>
    </w:p>
    <w:p>
      <w:pPr>
        <w:pStyle w:val="4"/>
        <w:keepNext w:val="0"/>
        <w:numPr>
          <w:ilvl w:val="0"/>
          <w:numId w:val="0"/>
        </w:numPr>
        <w:jc w:val="left"/>
        <w:rPr>
          <w:rStyle w:val="23"/>
          <w:rFonts w:hint="eastAsia" w:ascii="宋体" w:hAnsi="宋体" w:eastAsia="宋体" w:cs="宋体"/>
          <w:color w:val="auto"/>
          <w:sz w:val="32"/>
          <w:szCs w:val="28"/>
          <w:highlight w:val="none"/>
        </w:rPr>
      </w:pPr>
    </w:p>
    <w:p>
      <w:pPr>
        <w:spacing w:line="600" w:lineRule="auto"/>
        <w:jc w:val="center"/>
        <w:rPr>
          <w:rFonts w:hint="eastAsia" w:ascii="宋体" w:hAnsi="宋体" w:cs="宋体"/>
          <w:color w:val="auto"/>
          <w:sz w:val="28"/>
          <w:szCs w:val="28"/>
          <w:highlight w:val="none"/>
        </w:rPr>
      </w:pPr>
      <w:r>
        <w:rPr>
          <w:rFonts w:hint="eastAsia" w:ascii="宋体" w:hAnsi="宋体" w:cs="宋体"/>
          <w:bCs/>
          <w:color w:val="auto"/>
          <w:highlight w:val="none"/>
        </w:rPr>
        <w:t xml:space="preserve">          </w:t>
      </w:r>
      <w:r>
        <w:rPr>
          <w:rFonts w:hint="eastAsia" w:ascii="宋体" w:hAnsi="宋体" w:cs="宋体"/>
          <w:color w:val="auto"/>
          <w:sz w:val="28"/>
          <w:szCs w:val="28"/>
          <w:highlight w:val="none"/>
        </w:rPr>
        <w:t>供应商名称（盖章）：</w:t>
      </w:r>
    </w:p>
    <w:p>
      <w:pPr>
        <w:spacing w:line="60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法定代表人或委托代理人（签字或盖章）：</w:t>
      </w:r>
    </w:p>
    <w:p>
      <w:pPr>
        <w:spacing w:line="60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日期：     年   月   日</w:t>
      </w:r>
    </w:p>
    <w:p>
      <w:pPr>
        <w:pStyle w:val="4"/>
        <w:keepNext w:val="0"/>
        <w:numPr>
          <w:ilvl w:val="0"/>
          <w:numId w:val="0"/>
        </w:numPr>
        <w:jc w:val="left"/>
        <w:rPr>
          <w:rStyle w:val="23"/>
          <w:rFonts w:hint="eastAsia" w:ascii="宋体" w:hAnsi="宋体" w:eastAsia="宋体" w:cs="宋体"/>
          <w:color w:val="auto"/>
          <w:sz w:val="32"/>
          <w:szCs w:val="28"/>
          <w:highlight w:val="none"/>
        </w:rPr>
      </w:pPr>
    </w:p>
    <w:p>
      <w:pPr>
        <w:rPr>
          <w:rFonts w:hint="eastAsia" w:ascii="宋体" w:hAnsi="宋体" w:cs="宋体"/>
          <w:color w:val="auto"/>
          <w:highlight w:val="none"/>
        </w:rPr>
      </w:pPr>
    </w:p>
    <w:p>
      <w:pPr>
        <w:pStyle w:val="4"/>
        <w:keepNext w:val="0"/>
        <w:numPr>
          <w:ilvl w:val="0"/>
          <w:numId w:val="0"/>
        </w:numPr>
        <w:jc w:val="left"/>
        <w:rPr>
          <w:rStyle w:val="23"/>
          <w:rFonts w:hint="eastAsia" w:ascii="宋体" w:hAnsi="宋体" w:eastAsia="宋体" w:cs="宋体"/>
          <w:color w:val="auto"/>
          <w:sz w:val="32"/>
          <w:szCs w:val="28"/>
          <w:highlight w:val="none"/>
        </w:rPr>
      </w:pPr>
    </w:p>
    <w:p>
      <w:pPr>
        <w:pStyle w:val="4"/>
        <w:keepNext w:val="0"/>
        <w:numPr>
          <w:ilvl w:val="0"/>
          <w:numId w:val="0"/>
        </w:numPr>
        <w:rPr>
          <w:rStyle w:val="23"/>
          <w:rFonts w:hint="eastAsia" w:ascii="宋体" w:hAnsi="宋体" w:eastAsia="宋体" w:cs="宋体"/>
          <w:color w:val="auto"/>
          <w:sz w:val="32"/>
          <w:szCs w:val="28"/>
          <w:highlight w:val="none"/>
        </w:rPr>
        <w:sectPr>
          <w:headerReference r:id="rId20" w:type="first"/>
          <w:footerReference r:id="rId22" w:type="first"/>
          <w:headerReference r:id="rId19" w:type="default"/>
          <w:footerReference r:id="rId21" w:type="default"/>
          <w:pgSz w:w="11906" w:h="16838"/>
          <w:pgMar w:top="1417" w:right="1417" w:bottom="1417" w:left="1417" w:header="851" w:footer="850" w:gutter="0"/>
          <w:cols w:space="720" w:num="1"/>
          <w:titlePg/>
          <w:docGrid w:type="linesAndChars" w:linePitch="312" w:charSpace="1228"/>
        </w:sectPr>
      </w:pPr>
    </w:p>
    <w:p>
      <w:pPr>
        <w:pStyle w:val="4"/>
        <w:keepNext w:val="0"/>
        <w:numPr>
          <w:ilvl w:val="0"/>
          <w:numId w:val="0"/>
        </w:numPr>
        <w:jc w:val="left"/>
        <w:rPr>
          <w:rStyle w:val="23"/>
          <w:rFonts w:hint="eastAsia" w:ascii="宋体" w:hAnsi="宋体" w:eastAsia="宋体" w:cs="宋体"/>
          <w:color w:val="auto"/>
          <w:sz w:val="32"/>
          <w:szCs w:val="28"/>
          <w:highlight w:val="none"/>
        </w:rPr>
      </w:pPr>
      <w:r>
        <w:rPr>
          <w:rStyle w:val="23"/>
          <w:rFonts w:hint="eastAsia" w:ascii="宋体" w:hAnsi="宋体" w:eastAsia="宋体" w:cs="宋体"/>
          <w:color w:val="auto"/>
          <w:sz w:val="32"/>
          <w:szCs w:val="28"/>
          <w:highlight w:val="none"/>
        </w:rPr>
        <w:t>附件17:</w:t>
      </w:r>
    </w:p>
    <w:p>
      <w:pPr>
        <w:pStyle w:val="17"/>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要求提供的其它材料以及供应商认为需要提交的材料</w:t>
      </w:r>
    </w:p>
    <w:p>
      <w:pPr>
        <w:rPr>
          <w:rFonts w:hint="eastAsia"/>
          <w:b/>
          <w:bCs/>
          <w:color w:val="auto"/>
          <w:highlight w:val="none"/>
        </w:rPr>
      </w:pPr>
    </w:p>
    <w:p/>
    <w:sectPr>
      <w:pgSz w:w="11906" w:h="16838"/>
      <w:pgMar w:top="1417" w:right="1417" w:bottom="1417" w:left="1417" w:header="851" w:footer="850" w:gutter="0"/>
      <w:cols w:space="720" w:num="1"/>
      <w:titlePg/>
      <w:docGrid w:type="linesAndChars" w:linePitch="312" w:charSpace="12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hint="eastAsia" w:ascii="宋体" w:hAnsi="宋体" w:cs="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AMx4DUAAAAAwEAAA8AAAAAAAAAAQAgAAAA&#10;IgAAAGRycy9kb3ducmV2LnhtbFBLAQIUABQAAAAIAIdO4kDQiFbh1gEAAKEDAAAOAAAAAAAAAAEA&#10;IAAAACMBAABkcnMvZTJvRG9jLnhtbFBLBQYAAAAABgAGAFkBAABrBQ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14935" cy="13144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wps:spPr>
                    <wps:txbx>
                      <w:txbxContent>
                        <w:p>
                          <w:pPr>
                            <w:pStyle w:val="11"/>
                          </w:pPr>
                          <w:r>
                            <w:fldChar w:fldCharType="begin"/>
                          </w:r>
                          <w:r>
                            <w:instrText xml:space="preserve"> PAGE  \* MERGEFORMAT </w:instrText>
                          </w:r>
                          <w:r>
                            <w:fldChar w:fldCharType="separate"/>
                          </w:r>
                          <w:r>
                            <w:t>73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7456;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AMx4DUAAAAAwEAAA8AAAAAAAAAAQAgAAAA&#10;IgAAAGRycy9kb3ducmV2LnhtbFBLAQIUABQAAAAIAIdO4kAEIMX31gEAAKEDAAAOAAAAAAAAAAEA&#10;IAAAACMBAABkcnMvZTJvRG9jLnhtbFBLBQYAAAAABgAGAFkBAABrBQ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dashDotStroked" w:color="auto" w:sz="24" w:space="1"/>
      </w:pBdr>
      <w:jc w:val="both"/>
    </w:pPr>
  </w:p>
  <w:p>
    <w:pPr>
      <w:pStyle w:val="11"/>
      <w:jc w:val="right"/>
    </w:pPr>
    <w:r>
      <w:rPr>
        <w:rFonts w:hint="eastAsia" w:ascii="仿宋" w:hAnsi="仿宋" w:eastAsia="仿宋" w:cs="仿宋"/>
        <w:b/>
        <w:bCs/>
      </w:rPr>
      <w:t>新疆华域建设工程项目管理咨询有限公司编制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hint="eastAsia" w:ascii="宋体" w:hAnsi="宋体" w:cs="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wps:spPr>
                    <wps:txbx>
                      <w:txbxContent>
                        <w:p>
                          <w:pPr>
                            <w:pStyle w:val="11"/>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AMx4DUAAAAAwEAAA8AAAAAAAAAAQAgAAAA&#10;IgAAAGRycy9kb3ducmV2LnhtbFBLAQIUABQAAAAIAIdO4kAmCZnt1gEAAKEDAAAOAAAAAAAAAAEA&#10;IAAAACMBAABkcnMvZTJvRG9jLnhtbFBLBQYAAAAABgAGAFkBAABrBQ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p>
  <w:p>
    <w:pPr>
      <w:pStyle w:val="11"/>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AMx4DUAAAAAwEAAA8AAAAAAAAAAQAgAAAA&#10;IgAAAGRycy9kb3ducmV2LnhtbFBLAQIUABQAAAAIAIdO4kB0dtzp1gEAAKEDAAAOAAAAAAAAAAEA&#10;IAAAACMBAABkcnMvZTJvRG9jLnhtbFBLBQYAAAAABgAGAFkBAABrBQ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wps:spPr>
                    <wps:txbx>
                      <w:txbxContent>
                        <w:p>
                          <w:pPr>
                            <w:snapToGrid w:val="0"/>
                            <w:rPr>
                              <w:sz w:val="18"/>
                            </w:rPr>
                          </w:pPr>
                          <w:r>
                            <w:rPr>
                              <w:rFonts w:hint="eastAsia"/>
                              <w:sz w:val="18"/>
                            </w:rPr>
                            <w:t>-</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40</w:t>
                          </w:r>
                          <w:r>
                            <w:rPr>
                              <w:rFonts w:hint="eastAsia"/>
                              <w:sz w:val="18"/>
                            </w:rPr>
                            <w:fldChar w:fldCharType="end"/>
                          </w:r>
                          <w:r>
                            <w:rPr>
                              <w:rFonts w:hint="eastAsia"/>
                              <w:sz w:val="1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qRS7NAAAAADAQAADwAAAAAAAAABACAAAAAiAAAAZHJzL2Rvd25y&#10;ZXYueG1sUEsBAhQAFAAAAAgAh07iQEEEMsXNAQAAlwMAAA4AAAAAAAAAAQAgAAAAHwEAAGRycy9l&#10;Mm9Eb2MueG1sUEsFBgAAAAAGAAYAWQEAAF4FAAAAAA==&#10;">
              <v:fill on="f" focussize="0,0"/>
              <v:stroke on="f"/>
              <v:imagedata o:title=""/>
              <o:lock v:ext="edit" aspectratio="f"/>
              <v:textbox inset="0mm,0mm,0mm,0mm" style="mso-fit-shape-to-text:t;">
                <w:txbxContent>
                  <w:p>
                    <w:pPr>
                      <w:snapToGrid w:val="0"/>
                      <w:rPr>
                        <w:sz w:val="18"/>
                      </w:rPr>
                    </w:pPr>
                    <w:r>
                      <w:rPr>
                        <w:rFonts w:hint="eastAsia"/>
                        <w:sz w:val="18"/>
                      </w:rPr>
                      <w:t>-</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40</w:t>
                    </w:r>
                    <w:r>
                      <w:rPr>
                        <w:rFonts w:hint="eastAsia"/>
                        <w:sz w:val="18"/>
                      </w:rPr>
                      <w:fldChar w:fldCharType="end"/>
                    </w:r>
                    <w:r>
                      <w:rPr>
                        <w:rFonts w:hint="eastAsia"/>
                        <w:sz w:val="1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wps:spPr>
                    <wps:txbx>
                      <w:txbxContent>
                        <w:p>
                          <w:pPr>
                            <w:snapToGrid w:val="0"/>
                            <w:rPr>
                              <w:rFonts w:hint="eastAsia"/>
                              <w:sz w:val="18"/>
                            </w:rPr>
                          </w:pPr>
                          <w:r>
                            <w:rPr>
                              <w:rFonts w:hint="eastAsia"/>
                              <w:sz w:val="18"/>
                            </w:rPr>
                            <w:t>-</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- 71 -</w:t>
                          </w:r>
                          <w:r>
                            <w:rPr>
                              <w:rFonts w:hint="eastAsia"/>
                              <w:sz w:val="18"/>
                            </w:rPr>
                            <w:fldChar w:fldCharType="end"/>
                          </w:r>
                          <w:r>
                            <w:rPr>
                              <w:rFonts w:hint="eastAsia"/>
                              <w:sz w:val="1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KkUuzQAAAAAwEAAA8AAAAAAAAAAQAgAAAAIgAAAGRycy9kb3ducmV2&#10;LnhtbFBLAQIUABQAAAAIAIdO4kBe7pssywEAAJcDAAAOAAAAAAAAAAEAIAAAAB8BAABkcnMvZTJv&#10;RG9jLnhtbFBLBQYAAAAABgAGAFkBAABcBQAAAAA=&#10;">
              <v:fill on="f" focussize="0,0"/>
              <v:stroke on="f"/>
              <v:imagedata o:title=""/>
              <o:lock v:ext="edit" aspectratio="f"/>
              <v:textbox inset="0mm,0mm,0mm,0mm" style="mso-fit-shape-to-text:t;">
                <w:txbxContent>
                  <w:p>
                    <w:pPr>
                      <w:snapToGrid w:val="0"/>
                      <w:rPr>
                        <w:rFonts w:hint="eastAsia"/>
                        <w:sz w:val="18"/>
                      </w:rPr>
                    </w:pPr>
                    <w:r>
                      <w:rPr>
                        <w:rFonts w:hint="eastAsia"/>
                        <w:sz w:val="18"/>
                      </w:rPr>
                      <w:t>-</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- 71 -</w:t>
                    </w:r>
                    <w:r>
                      <w:rPr>
                        <w:rFonts w:hint="eastAsia"/>
                        <w:sz w:val="18"/>
                      </w:rPr>
                      <w:fldChar w:fldCharType="end"/>
                    </w:r>
                    <w:r>
                      <w:rPr>
                        <w:rFonts w:hint="eastAsia"/>
                        <w:sz w:val="1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wps:spPr>
                    <wps:txbx>
                      <w:txbxContent>
                        <w:p>
                          <w:pPr>
                            <w:pStyle w:val="11"/>
                          </w:pPr>
                          <w:r>
                            <w:fldChar w:fldCharType="begin"/>
                          </w:r>
                          <w:r>
                            <w:instrText xml:space="preserve"> PAGE  \* MERGEFORMAT </w:instrText>
                          </w:r>
                          <w:r>
                            <w:fldChar w:fldCharType="separate"/>
                          </w:r>
                          <w:r>
                            <w:t>72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ADMeA1AAAAAMBAAAPAAAAAAAAAAEAIAAA&#10;ACIAAABkcnMvZG93bnJldi54bWxQSwECFAAUAAAACACHTuJAfnrAa9cBAACjAwAADgAAAAAAAAAB&#10;ACAAAAAjAQAAZHJzL2Uyb0RvYy54bWxQSwUGAAAAAAYABgBZAQAAbAU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wps:spPr>
                    <wps:txbx>
                      <w:txbxContent>
                        <w:p>
                          <w:pPr>
                            <w:pStyle w:val="11"/>
                          </w:pPr>
                          <w:r>
                            <w:fldChar w:fldCharType="begin"/>
                          </w:r>
                          <w:r>
                            <w:instrText xml:space="preserve"> PAGE  \* MERGEFORMAT </w:instrText>
                          </w:r>
                          <w:r>
                            <w:fldChar w:fldCharType="separate"/>
                          </w:r>
                          <w:r>
                            <w:t>71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5408;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ADMeA1AAAAAMBAAAPAAAAAAAAAAEAIAAA&#10;ACIAAABkcnMvZG93bnJldi54bWxQSwECFAAUAAAACACHTuJATN3Q5tcBAAChAwAADgAAAAAAAAAB&#10;ACAAAAAjAQAAZHJzL2Uyb0RvYy54bWxQSwUGAAAAAAYABgBZAQAAbAU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wps:spPr>
                    <wps:txbx>
                      <w:txbxContent>
                        <w:p>
                          <w:pPr>
                            <w:pStyle w:val="11"/>
                          </w:pPr>
                          <w:r>
                            <w:fldChar w:fldCharType="begin"/>
                          </w:r>
                          <w:r>
                            <w:instrText xml:space="preserve"> PAGE  \* MERGEFORMAT </w:instrText>
                          </w:r>
                          <w:r>
                            <w:fldChar w:fldCharType="separate"/>
                          </w:r>
                          <w:r>
                            <w:t>74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6432;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AMx4DUAAAAAwEAAA8AAAAAAAAAAQAgAAAA&#10;IgAAAGRycy9kb3ducmV2LnhtbFBLAQIUABQAAAAIAIdO4kDKCgb01gEAAKEDAAAOAAAAAAAAAAEA&#10;IAAAACMBAABkcnMvZTJvRG9jLnhtbFBLBQYAAAAABgAGAFkBAABrBQ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rPr>
        <w:rFonts w:hint="eastAsi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thickThinSmallGap" w:color="auto" w:sz="12"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rPr>
        <w:rFonts w:hint="eastAsia" w:ascii="宋体" w:hAnsi="宋体" w:cs="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thinThickSmallGap" w:color="auto" w:sz="12" w:space="1"/>
      </w:pBdr>
      <w:tabs>
        <w:tab w:val="left" w:pos="1795"/>
        <w:tab w:val="clear" w:pos="4153"/>
      </w:tabs>
      <w:jc w:val="both"/>
      <w:rPr>
        <w:rFonts w:hint="eastAsia" w:ascii="宋体" w:hAnsi="宋体" w:cs="宋体"/>
      </w:rPr>
    </w:pPr>
    <w:r>
      <w:rPr>
        <w:rFonts w:hint="eastAsia" w:ascii="宋体" w:hAnsi="宋体" w:cs="宋体"/>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thinThickSmallGap" w:color="auto" w:sz="12" w:space="1"/>
      </w:pBdr>
      <w:tabs>
        <w:tab w:val="left" w:pos="6976"/>
        <w:tab w:val="clear" w:pos="4153"/>
      </w:tabs>
      <w:jc w:val="both"/>
      <w:rPr>
        <w:rFonts w:hint="eastAsia" w:ascii="宋体" w:hAnsi="宋体" w:cs="宋体"/>
      </w:rPr>
    </w:pPr>
    <w:r>
      <w:rPr>
        <w:rFonts w:hint="eastAsia" w:ascii="宋体" w:hAnsi="宋体" w:cs="宋体"/>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9C6A3"/>
    <w:multiLevelType w:val="singleLevel"/>
    <w:tmpl w:val="9469C6A3"/>
    <w:lvl w:ilvl="0" w:tentative="0">
      <w:start w:val="1"/>
      <w:numFmt w:val="chineseCounting"/>
      <w:suff w:val="space"/>
      <w:lvlText w:val="%1、"/>
      <w:lvlJc w:val="left"/>
      <w:rPr>
        <w:rFonts w:hint="eastAsia"/>
      </w:rPr>
    </w:lvl>
  </w:abstractNum>
  <w:abstractNum w:abstractNumId="1">
    <w:nsid w:val="ADC30349"/>
    <w:multiLevelType w:val="singleLevel"/>
    <w:tmpl w:val="ADC30349"/>
    <w:lvl w:ilvl="0" w:tentative="0">
      <w:start w:val="1"/>
      <w:numFmt w:val="bullet"/>
      <w:pStyle w:val="6"/>
      <w:lvlText w:val=""/>
      <w:lvlJc w:val="left"/>
      <w:pPr>
        <w:tabs>
          <w:tab w:val="left" w:pos="360"/>
        </w:tabs>
        <w:ind w:left="360" w:hanging="360"/>
      </w:pPr>
      <w:rPr>
        <w:rFonts w:hint="default" w:ascii="Wingdings" w:hAnsi="Wingdings"/>
      </w:rPr>
    </w:lvl>
  </w:abstractNum>
  <w:abstractNum w:abstractNumId="2">
    <w:nsid w:val="E4A6FF03"/>
    <w:multiLevelType w:val="singleLevel"/>
    <w:tmpl w:val="E4A6FF03"/>
    <w:lvl w:ilvl="0" w:tentative="0">
      <w:start w:val="5"/>
      <w:numFmt w:val="chineseCounting"/>
      <w:suff w:val="nothing"/>
      <w:lvlText w:val="%1、"/>
      <w:lvlJc w:val="left"/>
      <w:rPr>
        <w:rFonts w:hint="eastAsia"/>
      </w:rPr>
    </w:lvl>
  </w:abstractNum>
  <w:abstractNum w:abstractNumId="3">
    <w:nsid w:val="00000003"/>
    <w:multiLevelType w:val="singleLevel"/>
    <w:tmpl w:val="00000003"/>
    <w:lvl w:ilvl="0" w:tentative="0">
      <w:start w:val="1"/>
      <w:numFmt w:val="upperLetter"/>
      <w:pStyle w:val="4"/>
      <w:lvlText w:val="%1."/>
      <w:lvlJc w:val="left"/>
      <w:pPr>
        <w:tabs>
          <w:tab w:val="left" w:pos="330"/>
        </w:tabs>
        <w:ind w:left="330" w:hanging="330"/>
      </w:pPr>
    </w:lvl>
  </w:abstractNum>
  <w:abstractNum w:abstractNumId="4">
    <w:nsid w:val="00000009"/>
    <w:multiLevelType w:val="multilevel"/>
    <w:tmpl w:val="00000009"/>
    <w:lvl w:ilvl="0" w:tentative="0">
      <w:start w:val="1"/>
      <w:numFmt w:val="upperLetter"/>
      <w:pStyle w:val="5"/>
      <w:lvlText w:val="%1."/>
      <w:lvlJc w:val="left"/>
      <w:pPr>
        <w:tabs>
          <w:tab w:val="left" w:pos="752"/>
        </w:tabs>
        <w:ind w:left="752" w:hanging="468"/>
      </w:pPr>
    </w:lvl>
    <w:lvl w:ilvl="1" w:tentative="0">
      <w:start w:val="1"/>
      <w:numFmt w:val="decimal"/>
      <w:lvlText w:val="%2."/>
      <w:lvlJc w:val="left"/>
      <w:pPr>
        <w:tabs>
          <w:tab w:val="left" w:pos="1724"/>
        </w:tabs>
        <w:ind w:left="1724" w:hanging="360"/>
      </w:pPr>
    </w:lvl>
    <w:lvl w:ilvl="2" w:tentative="0">
      <w:start w:val="1"/>
      <w:numFmt w:val="decimal"/>
      <w:lvlText w:val="%3."/>
      <w:lvlJc w:val="left"/>
      <w:pPr>
        <w:tabs>
          <w:tab w:val="left" w:pos="644"/>
        </w:tabs>
        <w:ind w:left="644" w:hanging="360"/>
      </w:pPr>
    </w:lvl>
    <w:lvl w:ilvl="3" w:tentative="0">
      <w:start w:val="1"/>
      <w:numFmt w:val="decimal"/>
      <w:lvlText w:val="%4."/>
      <w:lvlJc w:val="left"/>
      <w:pPr>
        <w:tabs>
          <w:tab w:val="left" w:pos="3164"/>
        </w:tabs>
        <w:ind w:left="3164" w:hanging="360"/>
      </w:pPr>
    </w:lvl>
    <w:lvl w:ilvl="4" w:tentative="0">
      <w:start w:val="1"/>
      <w:numFmt w:val="decimal"/>
      <w:lvlText w:val="%5."/>
      <w:lvlJc w:val="left"/>
      <w:pPr>
        <w:tabs>
          <w:tab w:val="left" w:pos="3884"/>
        </w:tabs>
        <w:ind w:left="3884" w:hanging="360"/>
      </w:pPr>
    </w:lvl>
    <w:lvl w:ilvl="5" w:tentative="0">
      <w:start w:val="1"/>
      <w:numFmt w:val="decimal"/>
      <w:lvlText w:val="%6."/>
      <w:lvlJc w:val="left"/>
      <w:pPr>
        <w:tabs>
          <w:tab w:val="left" w:pos="4604"/>
        </w:tabs>
        <w:ind w:left="4604" w:hanging="360"/>
      </w:pPr>
    </w:lvl>
    <w:lvl w:ilvl="6" w:tentative="0">
      <w:start w:val="1"/>
      <w:numFmt w:val="decimal"/>
      <w:lvlText w:val="%7."/>
      <w:lvlJc w:val="left"/>
      <w:pPr>
        <w:tabs>
          <w:tab w:val="left" w:pos="5324"/>
        </w:tabs>
        <w:ind w:left="5324" w:hanging="360"/>
      </w:pPr>
    </w:lvl>
    <w:lvl w:ilvl="7" w:tentative="0">
      <w:start w:val="1"/>
      <w:numFmt w:val="decimal"/>
      <w:lvlText w:val="%8."/>
      <w:lvlJc w:val="left"/>
      <w:pPr>
        <w:tabs>
          <w:tab w:val="left" w:pos="6044"/>
        </w:tabs>
        <w:ind w:left="6044" w:hanging="360"/>
      </w:pPr>
    </w:lvl>
    <w:lvl w:ilvl="8" w:tentative="0">
      <w:start w:val="1"/>
      <w:numFmt w:val="decimal"/>
      <w:lvlText w:val="%9."/>
      <w:lvlJc w:val="left"/>
      <w:pPr>
        <w:tabs>
          <w:tab w:val="left" w:pos="6764"/>
        </w:tabs>
        <w:ind w:left="6764" w:hanging="360"/>
      </w:pPr>
    </w:lvl>
  </w:abstractNum>
  <w:abstractNum w:abstractNumId="5">
    <w:nsid w:val="00000013"/>
    <w:multiLevelType w:val="multilevel"/>
    <w:tmpl w:val="00000013"/>
    <w:lvl w:ilvl="0" w:tentative="0">
      <w:start w:val="1"/>
      <w:numFmt w:val="decimal"/>
      <w:lvlText w:val="（%1）"/>
      <w:lvlJc w:val="left"/>
      <w:pPr>
        <w:tabs>
          <w:tab w:val="left" w:pos="1080"/>
        </w:tabs>
        <w:ind w:left="1080" w:hanging="1080"/>
      </w:pPr>
    </w:lvl>
    <w:lvl w:ilvl="1" w:tentative="0">
      <w:start w:val="1"/>
      <w:numFmt w:val="bullet"/>
      <w:lvlText w:val=""/>
      <w:lvlJc w:val="left"/>
      <w:pPr>
        <w:tabs>
          <w:tab w:val="left" w:pos="600"/>
        </w:tabs>
        <w:ind w:left="60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1627A7B"/>
    <w:multiLevelType w:val="singleLevel"/>
    <w:tmpl w:val="31627A7B"/>
    <w:lvl w:ilvl="0" w:tentative="0">
      <w:start w:val="1"/>
      <w:numFmt w:val="decimal"/>
      <w:suff w:val="nothing"/>
      <w:lvlText w:val="%1、"/>
      <w:lvlJc w:val="left"/>
    </w:lvl>
  </w:abstractNum>
  <w:abstractNum w:abstractNumId="7">
    <w:nsid w:val="464B27E8"/>
    <w:multiLevelType w:val="singleLevel"/>
    <w:tmpl w:val="464B27E8"/>
    <w:lvl w:ilvl="0" w:tentative="0">
      <w:start w:val="1"/>
      <w:numFmt w:val="decimal"/>
      <w:suff w:val="nothing"/>
      <w:lvlText w:val="（%1）"/>
      <w:lvlJc w:val="left"/>
    </w:lvl>
  </w:abstractNum>
  <w:abstractNum w:abstractNumId="8">
    <w:nsid w:val="55AA849E"/>
    <w:multiLevelType w:val="singleLevel"/>
    <w:tmpl w:val="55AA849E"/>
    <w:lvl w:ilvl="0" w:tentative="0">
      <w:start w:val="1"/>
      <w:numFmt w:val="chineseCounting"/>
      <w:suff w:val="nothing"/>
      <w:lvlText w:val="%1、"/>
      <w:lvlJc w:val="left"/>
      <w:rPr>
        <w:rFonts w:hint="eastAsia"/>
      </w:rPr>
    </w:lvl>
  </w:abstractNum>
  <w:abstractNum w:abstractNumId="9">
    <w:nsid w:val="73F20339"/>
    <w:multiLevelType w:val="singleLevel"/>
    <w:tmpl w:val="73F20339"/>
    <w:lvl w:ilvl="0" w:tentative="0">
      <w:start w:val="3"/>
      <w:numFmt w:val="chineseCounting"/>
      <w:suff w:val="space"/>
      <w:lvlText w:val="第%1章"/>
      <w:lvlJc w:val="left"/>
      <w:rPr>
        <w:rFonts w:hint="eastAsia"/>
      </w:rPr>
    </w:lvl>
  </w:abstractNum>
  <w:abstractNum w:abstractNumId="10">
    <w:nsid w:val="7DE4B4D3"/>
    <w:multiLevelType w:val="singleLevel"/>
    <w:tmpl w:val="7DE4B4D3"/>
    <w:lvl w:ilvl="0" w:tentative="0">
      <w:start w:val="3"/>
      <w:numFmt w:val="chineseCounting"/>
      <w:suff w:val="nothing"/>
      <w:lvlText w:val="%1、"/>
      <w:lvlJc w:val="left"/>
      <w:rPr>
        <w:rFonts w:hint="eastAsia"/>
      </w:rPr>
    </w:lvl>
  </w:abstractNum>
  <w:num w:numId="1">
    <w:abstractNumId w:val="3"/>
  </w:num>
  <w:num w:numId="2">
    <w:abstractNumId w:val="4"/>
  </w:num>
  <w:num w:numId="3">
    <w:abstractNumId w:val="1"/>
  </w:num>
  <w:num w:numId="4">
    <w:abstractNumId w:val="2"/>
  </w:num>
  <w:num w:numId="5">
    <w:abstractNumId w:val="6"/>
  </w:num>
  <w:num w:numId="6">
    <w:abstractNumId w:val="7"/>
  </w:num>
  <w:num w:numId="7">
    <w:abstractNumId w:val="0"/>
  </w:num>
  <w:num w:numId="8">
    <w:abstractNumId w:val="5"/>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hMmRmYzlkMTA3ZTI4YjUwNjBiNDg4ZTliYmI0OGUifQ=="/>
  </w:docVars>
  <w:rsids>
    <w:rsidRoot w:val="6A781B51"/>
    <w:rsid w:val="02105622"/>
    <w:rsid w:val="029B745B"/>
    <w:rsid w:val="03CC5D9D"/>
    <w:rsid w:val="04777B1E"/>
    <w:rsid w:val="06F605B5"/>
    <w:rsid w:val="07FF654C"/>
    <w:rsid w:val="089205CF"/>
    <w:rsid w:val="0D572307"/>
    <w:rsid w:val="112B4775"/>
    <w:rsid w:val="114B543E"/>
    <w:rsid w:val="12804EE0"/>
    <w:rsid w:val="141553B1"/>
    <w:rsid w:val="197B0B31"/>
    <w:rsid w:val="1BD75E2C"/>
    <w:rsid w:val="1D104A7F"/>
    <w:rsid w:val="256369FB"/>
    <w:rsid w:val="26312D21"/>
    <w:rsid w:val="284657F9"/>
    <w:rsid w:val="2A8A54AD"/>
    <w:rsid w:val="2B5E3F8B"/>
    <w:rsid w:val="2BFF6561"/>
    <w:rsid w:val="2D12303B"/>
    <w:rsid w:val="2FCD6000"/>
    <w:rsid w:val="30D959EF"/>
    <w:rsid w:val="339873F0"/>
    <w:rsid w:val="348E4B64"/>
    <w:rsid w:val="360E0F10"/>
    <w:rsid w:val="365F4429"/>
    <w:rsid w:val="373B351F"/>
    <w:rsid w:val="46C92517"/>
    <w:rsid w:val="4ADD68ED"/>
    <w:rsid w:val="50113DEC"/>
    <w:rsid w:val="524036F3"/>
    <w:rsid w:val="534530AA"/>
    <w:rsid w:val="56171238"/>
    <w:rsid w:val="57835F6B"/>
    <w:rsid w:val="57C31166"/>
    <w:rsid w:val="58FE0FB0"/>
    <w:rsid w:val="5C0D33C1"/>
    <w:rsid w:val="5D1641F4"/>
    <w:rsid w:val="5FED519F"/>
    <w:rsid w:val="605C33A2"/>
    <w:rsid w:val="63367C3C"/>
    <w:rsid w:val="65E61FCE"/>
    <w:rsid w:val="6707750E"/>
    <w:rsid w:val="67535261"/>
    <w:rsid w:val="68B659B6"/>
    <w:rsid w:val="6A781B51"/>
    <w:rsid w:val="71F92B1E"/>
    <w:rsid w:val="79762A34"/>
    <w:rsid w:val="79D66099"/>
    <w:rsid w:val="7A152727"/>
    <w:rsid w:val="7DB8249A"/>
    <w:rsid w:val="7E400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3"/>
    <w:qFormat/>
    <w:uiPriority w:val="0"/>
    <w:pPr>
      <w:keepNext/>
      <w:jc w:val="center"/>
      <w:outlineLvl w:val="0"/>
    </w:pPr>
    <w:rPr>
      <w:rFonts w:ascii="仿宋_GB2312" w:eastAsia="仿宋_GB2312"/>
      <w:kern w:val="0"/>
      <w:sz w:val="28"/>
    </w:rPr>
  </w:style>
  <w:style w:type="paragraph" w:styleId="4">
    <w:name w:val="heading 2"/>
    <w:basedOn w:val="1"/>
    <w:next w:val="1"/>
    <w:link w:val="25"/>
    <w:qFormat/>
    <w:uiPriority w:val="99"/>
    <w:pPr>
      <w:keepNext/>
      <w:numPr>
        <w:ilvl w:val="0"/>
        <w:numId w:val="1"/>
      </w:numPr>
      <w:tabs>
        <w:tab w:val="left" w:pos="420"/>
        <w:tab w:val="clear" w:pos="330"/>
      </w:tabs>
      <w:spacing w:line="360" w:lineRule="auto"/>
      <w:outlineLvl w:val="1"/>
    </w:pPr>
    <w:rPr>
      <w:b/>
      <w:sz w:val="24"/>
      <w:szCs w:val="24"/>
    </w:rPr>
  </w:style>
  <w:style w:type="paragraph" w:styleId="5">
    <w:name w:val="heading 3"/>
    <w:basedOn w:val="1"/>
    <w:next w:val="1"/>
    <w:qFormat/>
    <w:uiPriority w:val="99"/>
    <w:pPr>
      <w:keepNext/>
      <w:numPr>
        <w:ilvl w:val="0"/>
        <w:numId w:val="2"/>
      </w:numPr>
      <w:tabs>
        <w:tab w:val="left" w:pos="468"/>
      </w:tabs>
      <w:outlineLvl w:val="2"/>
    </w:pPr>
    <w:rPr>
      <w:b/>
      <w:bCs/>
      <w:sz w:val="28"/>
      <w:szCs w:val="24"/>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6">
    <w:name w:val="List Bullet"/>
    <w:basedOn w:val="1"/>
    <w:next w:val="7"/>
    <w:qFormat/>
    <w:uiPriority w:val="0"/>
    <w:pPr>
      <w:numPr>
        <w:ilvl w:val="0"/>
        <w:numId w:val="3"/>
      </w:numPr>
    </w:pPr>
  </w:style>
  <w:style w:type="paragraph" w:styleId="7">
    <w:name w:val="Normal (Web)"/>
    <w:basedOn w:val="1"/>
    <w:next w:val="1"/>
    <w:qFormat/>
    <w:uiPriority w:val="99"/>
    <w:pPr>
      <w:widowControl/>
      <w:jc w:val="left"/>
    </w:pPr>
    <w:rPr>
      <w:rFonts w:ascii="宋体" w:hAnsi="宋体" w:cs="宋体"/>
      <w:kern w:val="0"/>
      <w:sz w:val="24"/>
      <w:szCs w:val="24"/>
    </w:rPr>
  </w:style>
  <w:style w:type="paragraph" w:styleId="8">
    <w:name w:val="Body Text"/>
    <w:basedOn w:val="1"/>
    <w:next w:val="1"/>
    <w:qFormat/>
    <w:uiPriority w:val="0"/>
    <w:pPr>
      <w:spacing w:after="120" w:afterLines="0"/>
    </w:pPr>
  </w:style>
  <w:style w:type="paragraph" w:styleId="9">
    <w:name w:val="toc 3"/>
    <w:basedOn w:val="1"/>
    <w:next w:val="1"/>
    <w:qFormat/>
    <w:uiPriority w:val="39"/>
    <w:pPr>
      <w:ind w:left="840" w:leftChars="400"/>
    </w:pPr>
  </w:style>
  <w:style w:type="paragraph" w:styleId="10">
    <w:name w:val="Body Text Indent 2"/>
    <w:basedOn w:val="1"/>
    <w:qFormat/>
    <w:uiPriority w:val="0"/>
    <w:pPr>
      <w:spacing w:line="360" w:lineRule="auto"/>
      <w:ind w:firstLine="555"/>
    </w:pPr>
    <w:rPr>
      <w:rFonts w:ascii="仿宋_GB2312" w:eastAsia="仿宋_GB2312"/>
      <w:sz w:val="2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style>
  <w:style w:type="paragraph" w:styleId="14">
    <w:name w:val="Subtitle"/>
    <w:basedOn w:val="1"/>
    <w:next w:val="1"/>
    <w:link w:val="32"/>
    <w:qFormat/>
    <w:uiPriority w:val="11"/>
    <w:pPr>
      <w:wordWrap w:val="0"/>
      <w:spacing w:after="60"/>
      <w:ind w:left="1024" w:firstLine="18"/>
      <w:jc w:val="center"/>
    </w:pPr>
    <w:rPr>
      <w:rFonts w:ascii="Calibri" w:hAnsi="Calibri" w:eastAsia="宋体" w:cs="Times New Roman"/>
      <w:sz w:val="21"/>
      <w:szCs w:val="22"/>
      <w:lang w:val="en-US" w:eastAsia="zh-CN" w:bidi="ar-SA"/>
    </w:rPr>
  </w:style>
  <w:style w:type="paragraph" w:styleId="15">
    <w:name w:val="List"/>
    <w:basedOn w:val="1"/>
    <w:next w:val="16"/>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16">
    <w:name w:val="Body Text Indent 3"/>
    <w:basedOn w:val="1"/>
    <w:next w:val="6"/>
    <w:qFormat/>
    <w:uiPriority w:val="0"/>
    <w:pPr>
      <w:spacing w:after="120"/>
      <w:ind w:left="420" w:leftChars="200"/>
    </w:pPr>
    <w:rPr>
      <w:sz w:val="16"/>
      <w:szCs w:val="16"/>
    </w:rPr>
  </w:style>
  <w:style w:type="paragraph" w:styleId="17">
    <w:name w:val="footnote text"/>
    <w:basedOn w:val="1"/>
    <w:qFormat/>
    <w:uiPriority w:val="0"/>
    <w:pPr>
      <w:snapToGrid w:val="0"/>
      <w:jc w:val="left"/>
    </w:pPr>
    <w:rPr>
      <w:rFonts w:eastAsia="楷体_GB2312"/>
      <w:sz w:val="18"/>
      <w:szCs w:val="18"/>
    </w:rPr>
  </w:style>
  <w:style w:type="paragraph" w:styleId="18">
    <w:name w:val="toc 2"/>
    <w:basedOn w:val="1"/>
    <w:next w:val="1"/>
    <w:qFormat/>
    <w:uiPriority w:val="39"/>
    <w:pPr>
      <w:ind w:left="420" w:leftChars="200"/>
    </w:pPr>
  </w:style>
  <w:style w:type="character" w:styleId="21">
    <w:name w:val="Hyperlink"/>
    <w:qFormat/>
    <w:uiPriority w:val="99"/>
    <w:rPr>
      <w:rFonts w:hint="eastAsia" w:ascii="微软雅黑" w:hAnsi="微软雅黑" w:eastAsia="微软雅黑" w:cs="微软雅黑"/>
      <w:color w:val="02396F"/>
      <w:u w:val="single"/>
    </w:rPr>
  </w:style>
  <w:style w:type="paragraph" w:customStyle="1" w:styleId="2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3">
    <w:name w:val="标题 1 字符"/>
    <w:link w:val="3"/>
    <w:qFormat/>
    <w:uiPriority w:val="0"/>
    <w:rPr>
      <w:rFonts w:ascii="仿宋_GB2312" w:eastAsia="仿宋_GB2312"/>
      <w:kern w:val="0"/>
      <w:sz w:val="28"/>
    </w:rPr>
  </w:style>
  <w:style w:type="character" w:customStyle="1" w:styleId="24">
    <w:name w:val="标题 2 字符"/>
    <w:qFormat/>
    <w:uiPriority w:val="99"/>
    <w:rPr>
      <w:b/>
      <w:kern w:val="2"/>
      <w:sz w:val="24"/>
      <w:szCs w:val="24"/>
    </w:rPr>
  </w:style>
  <w:style w:type="character" w:customStyle="1" w:styleId="25">
    <w:name w:val="标题 2 字符1"/>
    <w:link w:val="4"/>
    <w:qFormat/>
    <w:uiPriority w:val="0"/>
    <w:rPr>
      <w:b/>
      <w:sz w:val="24"/>
      <w:szCs w:val="24"/>
    </w:rPr>
  </w:style>
  <w:style w:type="paragraph" w:styleId="26">
    <w:name w:val="List Paragraph"/>
    <w:basedOn w:val="1"/>
    <w:qFormat/>
    <w:uiPriority w:val="0"/>
    <w:pPr>
      <w:ind w:firstLine="420" w:firstLineChars="200"/>
    </w:pPr>
    <w:rPr>
      <w:szCs w:val="24"/>
    </w:rPr>
  </w:style>
  <w:style w:type="paragraph" w:customStyle="1" w:styleId="27">
    <w:name w:val="_Style 3"/>
    <w:basedOn w:val="1"/>
    <w:qFormat/>
    <w:uiPriority w:val="99"/>
    <w:pPr>
      <w:autoSpaceDE w:val="0"/>
      <w:autoSpaceDN w:val="0"/>
      <w:spacing w:line="360" w:lineRule="auto"/>
      <w:ind w:firstLine="420" w:firstLineChars="200"/>
      <w:jc w:val="left"/>
    </w:pPr>
    <w:rPr>
      <w:rFonts w:cs="Times New Roman"/>
      <w:color w:val="auto"/>
      <w:kern w:val="0"/>
      <w:sz w:val="24"/>
      <w:szCs w:val="21"/>
      <w:lang w:val="zh-CN"/>
    </w:rPr>
  </w:style>
  <w:style w:type="paragraph" w:customStyle="1" w:styleId="28">
    <w:name w:val="正文文字2"/>
    <w:basedOn w:val="8"/>
    <w:qFormat/>
    <w:uiPriority w:val="0"/>
    <w:pPr>
      <w:adjustRightInd w:val="0"/>
      <w:spacing w:after="60" w:line="360" w:lineRule="atLeast"/>
      <w:ind w:left="72" w:leftChars="30" w:right="72" w:rightChars="30"/>
      <w:jc w:val="center"/>
      <w:textAlignment w:val="baseline"/>
    </w:pPr>
    <w:rPr>
      <w:rFonts w:ascii="Arial" w:hAnsi="Times New Roman" w:eastAsia="黑体" w:cs="Arial"/>
      <w:kern w:val="0"/>
    </w:rPr>
  </w:style>
  <w:style w:type="paragraph" w:customStyle="1" w:styleId="2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30">
    <w:name w:val="zhang"/>
    <w:basedOn w:val="1"/>
    <w:qFormat/>
    <w:uiPriority w:val="0"/>
    <w:pPr>
      <w:spacing w:before="100" w:beforeLines="0" w:beforeAutospacing="1" w:after="100" w:afterLines="0" w:afterAutospacing="1"/>
    </w:pPr>
    <w:rPr>
      <w:b/>
      <w:bCs/>
      <w:smallCaps/>
      <w:color w:val="000000"/>
      <w:sz w:val="20"/>
      <w:szCs w:val="20"/>
    </w:rPr>
  </w:style>
  <w:style w:type="paragraph" w:customStyle="1" w:styleId="31">
    <w:name w:val="p0"/>
    <w:basedOn w:val="1"/>
    <w:qFormat/>
    <w:uiPriority w:val="0"/>
    <w:pPr>
      <w:widowControl/>
    </w:pPr>
    <w:rPr>
      <w:rFonts w:ascii="Calibri" w:hAnsi="Calibri" w:cs="宋体"/>
      <w:kern w:val="0"/>
      <w:szCs w:val="21"/>
    </w:rPr>
  </w:style>
  <w:style w:type="character" w:customStyle="1" w:styleId="32">
    <w:name w:val="副标题 字符"/>
    <w:link w:val="14"/>
    <w:qFormat/>
    <w:uiPriority w:val="11"/>
    <w:rPr>
      <w:rFonts w:ascii="Calibri" w:hAnsi="Calibri" w:eastAsia="宋体" w:cs="Times New Roman"/>
      <w:sz w:val="21"/>
      <w:szCs w:val="22"/>
      <w:lang w:val="en-US" w:eastAsia="zh-CN" w:bidi="ar-SA"/>
    </w:rPr>
  </w:style>
  <w:style w:type="paragraph" w:customStyle="1" w:styleId="3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4">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纯文本1 New New New New New New New New"/>
    <w:basedOn w:val="1"/>
    <w:qFormat/>
    <w:uiPriority w:val="0"/>
    <w:pPr>
      <w:widowControl w:val="0"/>
      <w:suppressAutoHyphens/>
    </w:pPr>
    <w:rPr>
      <w:rFonts w:ascii="宋体"/>
      <w:kern w:val="2"/>
      <w:szCs w:val="20"/>
      <w:lang w:eastAsia="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31751</Words>
  <Characters>33764</Characters>
  <Lines>0</Lines>
  <Paragraphs>0</Paragraphs>
  <TotalTime>48</TotalTime>
  <ScaleCrop>false</ScaleCrop>
  <LinksUpToDate>false</LinksUpToDate>
  <CharactersWithSpaces>36432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2022-08-01T04:37:00Z</dcterms:created>
  <dc:creator>卡布奇诺</dc:creator>
  <cp:lastModifiedBy>卡布奇诺</cp:lastModifiedBy>
  <dcterms:modified xsi:type="dcterms:W3CDTF">2022-10-09T02:52:45Z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7199845E71FA4BD58059773D09265BED</vt:lpwstr>
  </property>
</Properties>
</file>