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jc w:val="center"/>
        <w:rPr>
          <w:rFonts w:ascii="方正小标宋简体" w:hAnsi="方正小标宋简体" w:eastAsia="方正小标宋简体" w:cs="方正小标宋简体"/>
          <w:b/>
          <w:bCs/>
          <w:sz w:val="44"/>
          <w:szCs w:val="44"/>
        </w:rPr>
      </w:pPr>
    </w:p>
    <w:p>
      <w:pPr>
        <w:spacing w:before="156" w:beforeLines="50" w:after="156" w:afterLines="50" w:line="560" w:lineRule="exact"/>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新疆文化馆剧场舞台设备及消防设施改造提升项目</w:t>
      </w:r>
    </w:p>
    <w:p>
      <w:pPr>
        <w:pStyle w:val="55"/>
        <w:spacing w:line="560" w:lineRule="exact"/>
        <w:rPr>
          <w:rFonts w:ascii="仿宋" w:hAnsi="仿宋" w:eastAsia="仿宋" w:cs="仿宋"/>
          <w:b/>
          <w:bCs/>
          <w:sz w:val="44"/>
          <w:szCs w:val="44"/>
        </w:rPr>
      </w:pPr>
    </w:p>
    <w:p>
      <w:pPr>
        <w:spacing w:line="560" w:lineRule="exact"/>
        <w:jc w:val="center"/>
        <w:rPr>
          <w:rFonts w:ascii="仿宋" w:hAnsi="仿宋" w:eastAsia="仿宋" w:cs="仿宋"/>
          <w:b/>
          <w:bCs/>
          <w:sz w:val="44"/>
          <w:szCs w:val="44"/>
        </w:rPr>
      </w:pPr>
      <w:r>
        <w:rPr>
          <w:rFonts w:hint="eastAsia" w:ascii="仿宋" w:hAnsi="仿宋" w:eastAsia="仿宋" w:cs="仿宋"/>
          <w:b/>
          <w:bCs/>
          <w:sz w:val="44"/>
          <w:szCs w:val="44"/>
        </w:rPr>
        <w:t>竞争性磋商文件</w:t>
      </w:r>
    </w:p>
    <w:p>
      <w:pPr>
        <w:spacing w:line="560" w:lineRule="exact"/>
        <w:jc w:val="center"/>
        <w:rPr>
          <w:rFonts w:ascii="仿宋_GB2312" w:hAnsi="仿宋_GB2312" w:eastAsia="仿宋_GB2312" w:cs="仿宋_GB2312"/>
          <w:b/>
          <w:bCs/>
          <w:sz w:val="32"/>
          <w:szCs w:val="32"/>
        </w:rPr>
      </w:pPr>
    </w:p>
    <w:p>
      <w:pPr>
        <w:spacing w:line="560" w:lineRule="exact"/>
        <w:jc w:val="center"/>
        <w:rPr>
          <w:rFonts w:ascii="仿宋_GB2312" w:hAnsi="仿宋_GB2312" w:eastAsia="仿宋_GB2312" w:cs="仿宋_GB2312"/>
          <w:b/>
          <w:bCs/>
          <w:sz w:val="32"/>
          <w:szCs w:val="32"/>
        </w:rPr>
      </w:pPr>
    </w:p>
    <w:p>
      <w:pPr>
        <w:spacing w:line="560" w:lineRule="exact"/>
        <w:jc w:val="center"/>
        <w:rPr>
          <w:rFonts w:ascii="仿宋_GB2312" w:hAnsi="仿宋_GB2312" w:eastAsia="仿宋_GB2312" w:cs="仿宋_GB2312"/>
          <w:b/>
          <w:bCs/>
          <w:sz w:val="32"/>
          <w:szCs w:val="32"/>
        </w:rPr>
      </w:pPr>
    </w:p>
    <w:p>
      <w:pPr>
        <w:spacing w:line="560" w:lineRule="exact"/>
        <w:jc w:val="center"/>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jc w:val="left"/>
        <w:rPr>
          <w:rFonts w:ascii="仿宋_GB2312" w:hAnsi="仿宋_GB2312" w:eastAsia="仿宋_GB2312" w:cs="仿宋_GB2312"/>
          <w:b/>
          <w:sz w:val="32"/>
          <w:szCs w:val="32"/>
        </w:rPr>
      </w:pPr>
    </w:p>
    <w:p>
      <w:pPr>
        <w:spacing w:line="560" w:lineRule="exact"/>
        <w:jc w:val="left"/>
        <w:rPr>
          <w:rFonts w:ascii="仿宋_GB2312" w:hAnsi="仿宋_GB2312" w:eastAsia="仿宋_GB2312" w:cs="仿宋_GB2312"/>
          <w:b/>
          <w:sz w:val="32"/>
          <w:szCs w:val="32"/>
        </w:rPr>
      </w:pPr>
    </w:p>
    <w:p>
      <w:pPr>
        <w:spacing w:line="560" w:lineRule="exact"/>
        <w:jc w:val="left"/>
        <w:rPr>
          <w:rFonts w:ascii="仿宋_GB2312" w:hAnsi="仿宋_GB2312" w:eastAsia="仿宋_GB2312" w:cs="仿宋_GB2312"/>
          <w:b/>
          <w:sz w:val="32"/>
          <w:szCs w:val="32"/>
        </w:rPr>
      </w:pPr>
    </w:p>
    <w:p>
      <w:pPr>
        <w:spacing w:line="560" w:lineRule="exact"/>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采  购  人：</w:t>
      </w:r>
      <w:r>
        <w:rPr>
          <w:rFonts w:hint="eastAsia" w:ascii="仿宋_GB2312" w:hAnsi="仿宋_GB2312" w:eastAsia="仿宋_GB2312" w:cs="仿宋_GB2312"/>
          <w:b/>
          <w:sz w:val="32"/>
          <w:szCs w:val="32"/>
          <w:lang w:val="en-US" w:eastAsia="zh-CN"/>
        </w:rPr>
        <w:t>新疆维吾尔自治区文化馆</w:t>
      </w:r>
    </w:p>
    <w:p>
      <w:pPr>
        <w:spacing w:line="560" w:lineRule="exact"/>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采购代理机构：新疆沃图恒辉建设工程项目管理有限公司</w:t>
      </w:r>
    </w:p>
    <w:p>
      <w:pPr>
        <w:spacing w:line="560" w:lineRule="exact"/>
        <w:jc w:val="lef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项 目 编 号：</w:t>
      </w:r>
      <w:r>
        <w:rPr>
          <w:rFonts w:hint="eastAsia" w:ascii="仿宋_GB2312" w:hAnsi="仿宋_GB2312" w:eastAsia="仿宋_GB2312" w:cs="仿宋_GB2312"/>
          <w:b/>
          <w:sz w:val="32"/>
          <w:szCs w:val="32"/>
          <w:lang w:eastAsia="zh-CN"/>
        </w:rPr>
        <w:t>WTHH-ZB20221109</w:t>
      </w: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2022年</w:t>
      </w:r>
      <w:r>
        <w:rPr>
          <w:rFonts w:hint="eastAsia" w:ascii="仿宋_GB2312" w:hAnsi="仿宋_GB2312" w:eastAsia="仿宋_GB2312" w:cs="仿宋_GB2312"/>
          <w:b/>
          <w:sz w:val="32"/>
          <w:szCs w:val="32"/>
          <w:lang w:val="en-US" w:eastAsia="zh-CN"/>
        </w:rPr>
        <w:t>11</w:t>
      </w:r>
      <w:r>
        <w:rPr>
          <w:rFonts w:hint="eastAsia" w:ascii="仿宋_GB2312" w:hAnsi="仿宋_GB2312" w:eastAsia="仿宋_GB2312" w:cs="仿宋_GB2312"/>
          <w:b/>
          <w:sz w:val="32"/>
          <w:szCs w:val="32"/>
        </w:rPr>
        <w:t>月</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t>目    录</w:t>
      </w:r>
    </w:p>
    <w:p>
      <w:pPr>
        <w:pStyle w:val="7"/>
        <w:spacing w:line="560" w:lineRule="exact"/>
        <w:rPr>
          <w:rFonts w:ascii="仿宋_GB2312" w:hAnsi="仿宋_GB2312" w:eastAsia="仿宋_GB2312" w:cs="仿宋_GB2312"/>
          <w:b/>
          <w:bCs/>
          <w:sz w:val="32"/>
          <w:szCs w:val="32"/>
        </w:rPr>
      </w:pPr>
    </w:p>
    <w:p>
      <w:pPr>
        <w:pStyle w:val="7"/>
        <w:spacing w:line="560" w:lineRule="exact"/>
        <w:rPr>
          <w:rFonts w:ascii="仿宋_GB2312" w:hAnsi="仿宋_GB2312" w:eastAsia="仿宋_GB2312" w:cs="仿宋_GB2312"/>
          <w:b/>
          <w:bCs/>
          <w:sz w:val="32"/>
          <w:szCs w:val="32"/>
        </w:rPr>
      </w:pPr>
    </w:p>
    <w:p>
      <w:pPr>
        <w:pStyle w:val="60"/>
        <w:tabs>
          <w:tab w:val="right" w:leader="dot" w:pos="8787"/>
        </w:tabs>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TOC \o "1-1" \h \u </w:instrText>
      </w:r>
      <w:r>
        <w:rPr>
          <w:rFonts w:hint="eastAsia" w:ascii="仿宋_GB2312" w:hAnsi="仿宋_GB2312" w:eastAsia="仿宋_GB2312" w:cs="仿宋_GB2312"/>
          <w:b/>
          <w:bCs/>
          <w:sz w:val="32"/>
          <w:szCs w:val="32"/>
        </w:rPr>
        <w:fldChar w:fldCharType="separate"/>
      </w:r>
      <w:r>
        <w:fldChar w:fldCharType="begin"/>
      </w:r>
      <w:r>
        <w:instrText xml:space="preserve"> HYPERLINK \l "_Toc31210"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_Toc31210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"_Toc26877" </w:instrText>
      </w:r>
      <w:r>
        <w:fldChar w:fldCharType="separate"/>
      </w:r>
      <w:r>
        <w:rPr>
          <w:rFonts w:hint="eastAsia" w:ascii="仿宋_GB2312" w:hAnsi="仿宋_GB2312" w:eastAsia="仿宋_GB2312" w:cs="仿宋_GB2312"/>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_Toc26877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"_Toc12976"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"_Toc28612" </w:instrText>
      </w:r>
      <w:r>
        <w:fldChar w:fldCharType="separate"/>
      </w:r>
      <w:r>
        <w:rPr>
          <w:rFonts w:hint="eastAsia" w:ascii="仿宋_GB2312" w:hAnsi="仿宋_GB2312" w:eastAsia="仿宋_GB2312" w:cs="仿宋_GB2312"/>
          <w:bCs/>
          <w:sz w:val="32"/>
          <w:szCs w:val="32"/>
        </w:rPr>
        <w:t>第四章 合同格式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"_Toc3372" </w:instrText>
      </w:r>
      <w:r>
        <w:fldChar w:fldCharType="separate"/>
      </w:r>
      <w:r>
        <w:rPr>
          <w:rFonts w:hint="eastAsia" w:ascii="仿宋_GB2312" w:hAnsi="仿宋_GB2312" w:eastAsia="仿宋_GB2312" w:cs="仿宋_GB2312"/>
          <w:sz w:val="32"/>
          <w:szCs w:val="32"/>
        </w:rPr>
        <w:t>第五章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_Toc3372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"_Toc3452" </w:instrText>
      </w:r>
      <w:r>
        <w:fldChar w:fldCharType="separate"/>
      </w:r>
      <w:r>
        <w:rPr>
          <w:rFonts w:hint="eastAsia" w:ascii="仿宋_GB2312" w:hAnsi="仿宋_GB2312" w:eastAsia="仿宋_GB2312" w:cs="仿宋_GB2312"/>
          <w:bCs/>
          <w:sz w:val="32"/>
          <w:szCs w:val="32"/>
        </w:rPr>
        <w:t>响 应 文 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"_Toc16293" </w:instrText>
      </w:r>
      <w:r>
        <w:fldChar w:fldCharType="separate"/>
      </w:r>
      <w:r>
        <w:rPr>
          <w:rFonts w:hint="eastAsia" w:ascii="仿宋_GB2312" w:hAnsi="仿宋_GB2312" w:eastAsia="仿宋_GB2312" w:cs="仿宋_GB2312"/>
          <w:sz w:val="32"/>
          <w:szCs w:val="32"/>
        </w:rPr>
        <w:t>一、资格性自查表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_Toc16293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"_Toc6604" </w:instrText>
      </w:r>
      <w:r>
        <w:fldChar w:fldCharType="separate"/>
      </w:r>
      <w:r>
        <w:rPr>
          <w:rFonts w:hint="eastAsia" w:ascii="仿宋_GB2312" w:hAnsi="仿宋_GB2312" w:eastAsia="仿宋_GB2312" w:cs="仿宋_GB2312"/>
          <w:sz w:val="32"/>
          <w:szCs w:val="32"/>
        </w:rPr>
        <w:t>二、投标函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3</w:t>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"_Toc23455" </w:instrText>
      </w:r>
      <w:r>
        <w:fldChar w:fldCharType="separate"/>
      </w:r>
      <w:r>
        <w:rPr>
          <w:rFonts w:hint="eastAsia" w:ascii="仿宋_GB2312" w:hAnsi="仿宋_GB2312" w:eastAsia="仿宋_GB2312" w:cs="仿宋_GB2312"/>
          <w:sz w:val="32"/>
          <w:szCs w:val="32"/>
        </w:rPr>
        <w:t>三、报价一览表及投标报价明细表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_Toc23455 </w:instrText>
      </w:r>
      <w:r>
        <w:rPr>
          <w:rFonts w:hint="eastAsia" w:ascii="仿宋_GB2312" w:hAnsi="仿宋_GB2312" w:eastAsia="仿宋_GB2312" w:cs="仿宋_GB2312"/>
          <w:sz w:val="32"/>
          <w:szCs w:val="32"/>
        </w:rPr>
        <w:fldChar w:fldCharType="separate"/>
      </w:r>
      <w:r>
        <w:rPr>
          <w:b/>
        </w:rPr>
        <w:t>错误！未定义书签。</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"_Toc32447" </w:instrText>
      </w:r>
      <w:r>
        <w:fldChar w:fldCharType="separate"/>
      </w:r>
      <w:r>
        <w:rPr>
          <w:rFonts w:hint="eastAsia" w:ascii="仿宋_GB2312" w:hAnsi="仿宋_GB2312" w:eastAsia="仿宋_GB2312" w:cs="仿宋_GB2312"/>
          <w:sz w:val="32"/>
          <w:szCs w:val="32"/>
        </w:rPr>
        <w:t>四、投标人基本情况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_Toc32447 </w:instrText>
      </w:r>
      <w:r>
        <w:rPr>
          <w:rFonts w:hint="eastAsia" w:ascii="仿宋_GB2312" w:hAnsi="仿宋_GB2312" w:eastAsia="仿宋_GB2312" w:cs="仿宋_GB2312"/>
          <w:sz w:val="32"/>
          <w:szCs w:val="32"/>
        </w:rPr>
        <w:fldChar w:fldCharType="separate"/>
      </w:r>
      <w:r>
        <w:rPr>
          <w:b/>
        </w:rPr>
        <w:t>错误！未定义书签。</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"_Toc3908" </w:instrText>
      </w:r>
      <w:r>
        <w:fldChar w:fldCharType="separate"/>
      </w:r>
      <w:r>
        <w:rPr>
          <w:rFonts w:hint="eastAsia" w:ascii="仿宋_GB2312" w:hAnsi="仿宋_GB2312" w:eastAsia="仿宋_GB2312" w:cs="仿宋_GB2312"/>
          <w:sz w:val="32"/>
          <w:szCs w:val="32"/>
        </w:rPr>
        <w:t>五、投标人的资格审查材料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_Toc3908 </w:instrText>
      </w:r>
      <w:r>
        <w:rPr>
          <w:rFonts w:hint="eastAsia" w:ascii="仿宋_GB2312" w:hAnsi="仿宋_GB2312" w:eastAsia="仿宋_GB2312" w:cs="仿宋_GB2312"/>
          <w:sz w:val="32"/>
          <w:szCs w:val="32"/>
        </w:rPr>
        <w:fldChar w:fldCharType="separate"/>
      </w:r>
      <w:r>
        <w:rPr>
          <w:b/>
        </w:rPr>
        <w:t>错误！未定义书签。</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"_Toc5368" </w:instrText>
      </w:r>
      <w:r>
        <w:fldChar w:fldCharType="separate"/>
      </w:r>
      <w:r>
        <w:rPr>
          <w:rFonts w:hint="eastAsia" w:ascii="仿宋_GB2312" w:hAnsi="仿宋_GB2312" w:eastAsia="仿宋_GB2312" w:cs="仿宋_GB2312"/>
          <w:sz w:val="32"/>
          <w:szCs w:val="32"/>
        </w:rPr>
        <w:t>六、服务方案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_Toc5368 </w:instrText>
      </w:r>
      <w:r>
        <w:rPr>
          <w:rFonts w:hint="eastAsia" w:ascii="仿宋_GB2312" w:hAnsi="仿宋_GB2312" w:eastAsia="仿宋_GB2312" w:cs="仿宋_GB2312"/>
          <w:sz w:val="32"/>
          <w:szCs w:val="32"/>
        </w:rPr>
        <w:fldChar w:fldCharType="separate"/>
      </w:r>
      <w:r>
        <w:rPr>
          <w:b/>
        </w:rPr>
        <w:t>错误！未定义书签。</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"_Toc12101" </w:instrText>
      </w:r>
      <w:r>
        <w:fldChar w:fldCharType="separate"/>
      </w:r>
      <w:r>
        <w:rPr>
          <w:rFonts w:hint="eastAsia" w:ascii="仿宋_GB2312" w:hAnsi="仿宋_GB2312" w:eastAsia="仿宋_GB2312" w:cs="仿宋_GB2312"/>
          <w:sz w:val="32"/>
          <w:szCs w:val="32"/>
        </w:rPr>
        <w:t>七、服务承诺书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_Toc12101 </w:instrText>
      </w:r>
      <w:r>
        <w:rPr>
          <w:rFonts w:hint="eastAsia" w:ascii="仿宋_GB2312" w:hAnsi="仿宋_GB2312" w:eastAsia="仿宋_GB2312" w:cs="仿宋_GB2312"/>
          <w:sz w:val="32"/>
          <w:szCs w:val="32"/>
        </w:rPr>
        <w:fldChar w:fldCharType="separate"/>
      </w:r>
      <w:r>
        <w:rPr>
          <w:b/>
        </w:rPr>
        <w:t>错误！未定义书签。</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0"/>
        <w:tabs>
          <w:tab w:val="right" w:leader="dot" w:pos="8787"/>
        </w:tabs>
        <w:spacing w:line="560" w:lineRule="exact"/>
        <w:rPr>
          <w:rFonts w:ascii="仿宋_GB2312" w:hAnsi="仿宋_GB2312" w:eastAsia="仿宋_GB2312" w:cs="仿宋_GB2312"/>
          <w:sz w:val="32"/>
          <w:szCs w:val="32"/>
        </w:rPr>
      </w:pPr>
      <w:r>
        <w:fldChar w:fldCharType="begin"/>
      </w:r>
      <w:r>
        <w:instrText xml:space="preserve"> HYPERLINK \l "_Toc10900" </w:instrText>
      </w:r>
      <w:r>
        <w:fldChar w:fldCharType="separate"/>
      </w:r>
      <w:r>
        <w:rPr>
          <w:rFonts w:hint="eastAsia" w:ascii="仿宋_GB2312" w:hAnsi="仿宋_GB2312" w:eastAsia="仿宋_GB2312" w:cs="仿宋_GB2312"/>
          <w:sz w:val="32"/>
          <w:szCs w:val="32"/>
        </w:rPr>
        <w:t>八、投标人认为需提供的其它资料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_Toc10900 </w:instrText>
      </w:r>
      <w:r>
        <w:rPr>
          <w:rFonts w:hint="eastAsia" w:ascii="仿宋_GB2312" w:hAnsi="仿宋_GB2312" w:eastAsia="仿宋_GB2312" w:cs="仿宋_GB2312"/>
          <w:sz w:val="32"/>
          <w:szCs w:val="32"/>
        </w:rPr>
        <w:fldChar w:fldCharType="separate"/>
      </w:r>
      <w:r>
        <w:rPr>
          <w:b/>
        </w:rPr>
        <w:t>错误！未定义书签。</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fldChar w:fldCharType="end"/>
      </w:r>
    </w:p>
    <w:p>
      <w:pPr>
        <w:spacing w:line="560" w:lineRule="exact"/>
        <w:rPr>
          <w:rFonts w:ascii="仿宋_GB2312" w:hAnsi="仿宋_GB2312" w:eastAsia="仿宋_GB2312" w:cs="仿宋_GB2312"/>
          <w:b/>
          <w:bCs/>
          <w:sz w:val="32"/>
          <w:szCs w:val="32"/>
        </w:rPr>
      </w:pPr>
    </w:p>
    <w:p>
      <w:pPr>
        <w:spacing w:line="560" w:lineRule="exact"/>
        <w:rPr>
          <w:rFonts w:ascii="仿宋_GB2312" w:hAnsi="仿宋_GB2312" w:eastAsia="仿宋_GB2312" w:cs="仿宋_GB2312"/>
          <w:b/>
          <w:bCs/>
          <w:sz w:val="32"/>
          <w:szCs w:val="32"/>
        </w:rPr>
      </w:pPr>
    </w:p>
    <w:p>
      <w:pPr>
        <w:spacing w:line="560" w:lineRule="exact"/>
        <w:rPr>
          <w:rFonts w:ascii="仿宋_GB2312" w:hAnsi="仿宋_GB2312" w:eastAsia="仿宋_GB2312" w:cs="仿宋_GB2312"/>
          <w:b/>
          <w:bCs/>
          <w:sz w:val="32"/>
          <w:szCs w:val="32"/>
        </w:rPr>
      </w:pPr>
    </w:p>
    <w:p>
      <w:pPr>
        <w:spacing w:line="560" w:lineRule="exact"/>
        <w:rPr>
          <w:rFonts w:ascii="仿宋_GB2312" w:hAnsi="仿宋_GB2312" w:eastAsia="仿宋_GB2312" w:cs="仿宋_GB2312"/>
          <w:b/>
          <w:bCs/>
          <w:sz w:val="32"/>
          <w:szCs w:val="32"/>
        </w:rPr>
      </w:pPr>
    </w:p>
    <w:p>
      <w:pPr>
        <w:keepNext/>
        <w:keepLines/>
        <w:spacing w:before="340" w:after="330" w:line="560" w:lineRule="exact"/>
        <w:jc w:val="center"/>
        <w:rPr>
          <w:rStyle w:val="35"/>
          <w:rFonts w:ascii="仿宋_GB2312" w:hAnsi="仿宋_GB2312" w:eastAsia="仿宋_GB2312" w:cs="仿宋_GB2312"/>
          <w:sz w:val="32"/>
          <w:szCs w:val="32"/>
        </w:rPr>
        <w:sectPr>
          <w:headerReference r:id="rId3" w:type="default"/>
          <w:footerReference r:id="rId4" w:type="default"/>
          <w:footerReference r:id="rId5" w:type="even"/>
          <w:pgSz w:w="11906" w:h="16838"/>
          <w:pgMar w:top="1701" w:right="1418" w:bottom="1418" w:left="1701" w:header="851" w:footer="992" w:gutter="0"/>
          <w:pgNumType w:start="0"/>
          <w:cols w:space="720" w:num="1"/>
          <w:titlePg/>
          <w:docGrid w:type="lines" w:linePitch="312" w:charSpace="0"/>
        </w:sectPr>
      </w:pPr>
      <w:bookmarkStart w:id="0" w:name="_Toc514947734"/>
    </w:p>
    <w:p>
      <w:pPr>
        <w:keepNext/>
        <w:keepLines/>
        <w:spacing w:before="340" w:after="330" w:line="560" w:lineRule="exact"/>
        <w:jc w:val="center"/>
        <w:outlineLvl w:val="0"/>
        <w:rPr>
          <w:rFonts w:ascii="仿宋_GB2312" w:hAnsi="仿宋_GB2312" w:eastAsia="仿宋_GB2312" w:cs="仿宋_GB2312"/>
          <w:b/>
          <w:bCs/>
          <w:kern w:val="44"/>
          <w:sz w:val="32"/>
          <w:szCs w:val="32"/>
        </w:rPr>
      </w:pPr>
      <w:bookmarkStart w:id="1" w:name="_Toc31210"/>
      <w:r>
        <w:rPr>
          <w:rStyle w:val="35"/>
          <w:rFonts w:hint="eastAsia" w:ascii="仿宋_GB2312" w:hAnsi="仿宋_GB2312" w:eastAsia="仿宋_GB2312" w:cs="仿宋_GB2312"/>
          <w:sz w:val="32"/>
          <w:szCs w:val="32"/>
        </w:rPr>
        <w:t xml:space="preserve">第一章 </w:t>
      </w:r>
      <w:bookmarkEnd w:id="0"/>
      <w:r>
        <w:rPr>
          <w:rStyle w:val="35"/>
          <w:rFonts w:hint="eastAsia" w:ascii="仿宋_GB2312" w:hAnsi="仿宋_GB2312" w:eastAsia="仿宋_GB2312" w:cs="仿宋_GB2312"/>
          <w:sz w:val="32"/>
          <w:szCs w:val="32"/>
        </w:rPr>
        <w:t>竞争性磋商公告</w:t>
      </w:r>
      <w:bookmarkEnd w:id="1"/>
    </w:p>
    <w:p>
      <w:pPr>
        <w:spacing w:line="560" w:lineRule="exact"/>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一、采购项目编号：</w:t>
      </w:r>
      <w:r>
        <w:rPr>
          <w:rFonts w:hint="eastAsia" w:asciiTheme="minorEastAsia" w:hAnsiTheme="minorEastAsia" w:eastAsiaTheme="minorEastAsia" w:cstheme="minorEastAsia"/>
          <w:sz w:val="24"/>
          <w:lang w:eastAsia="zh-CN"/>
        </w:rPr>
        <w:t>WTHH-ZB20221109</w:t>
      </w:r>
    </w:p>
    <w:p>
      <w:pPr>
        <w:spacing w:line="5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二、采购组织类型：分散采购-委托中介机构 </w:t>
      </w:r>
    </w:p>
    <w:p>
      <w:pPr>
        <w:spacing w:line="5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三、采购项目概况</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84"/>
        <w:gridCol w:w="858"/>
        <w:gridCol w:w="1416"/>
        <w:gridCol w:w="1559"/>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标项序号</w:t>
            </w:r>
          </w:p>
        </w:tc>
        <w:tc>
          <w:tcPr>
            <w:tcW w:w="30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标项名称</w:t>
            </w:r>
          </w:p>
        </w:tc>
        <w:tc>
          <w:tcPr>
            <w:tcW w:w="8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135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预算金额</w:t>
            </w:r>
          </w:p>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(元)</w:t>
            </w:r>
          </w:p>
        </w:tc>
        <w:tc>
          <w:tcPr>
            <w:tcW w:w="15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简要规格描述</w:t>
            </w:r>
          </w:p>
        </w:tc>
        <w:tc>
          <w:tcPr>
            <w:tcW w:w="8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0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新疆文化馆剧场舞台设备及消防设施改造提升项目</w:t>
            </w:r>
          </w:p>
        </w:tc>
        <w:tc>
          <w:tcPr>
            <w:tcW w:w="8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5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24"/>
                <w:lang w:val="en-US" w:eastAsia="zh-CN"/>
              </w:rPr>
              <w:t>1000000.00</w:t>
            </w:r>
          </w:p>
        </w:tc>
        <w:tc>
          <w:tcPr>
            <w:tcW w:w="15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Theme="minorEastAsia" w:hAnsiTheme="minorEastAsia" w:eastAsiaTheme="minorEastAsia" w:cstheme="minorEastAsia"/>
                <w:sz w:val="24"/>
              </w:rPr>
              <w:t>详见采购文件采购需求</w:t>
            </w:r>
          </w:p>
        </w:tc>
        <w:tc>
          <w:tcPr>
            <w:tcW w:w="8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p>
        </w:tc>
      </w:tr>
    </w:tbl>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四、供应商资格要求:</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2.落实政府采购政策需满足的资格要求：供应商为中小企业/小微企业 </w:t>
      </w:r>
    </w:p>
    <w:p>
      <w:pPr>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3.本项目的特定资格要求：</w:t>
      </w:r>
    </w:p>
    <w:p>
      <w:pPr>
        <w:spacing w:line="560" w:lineRule="exact"/>
        <w:rPr>
          <w:rFonts w:hint="eastAsia"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highlight w:val="yellow"/>
        </w:rPr>
        <w:t>满足《中华人民共和国政府采购法》第二十二条规定，并提供下列材料：</w:t>
      </w:r>
      <w:r>
        <w:rPr>
          <w:rFonts w:hint="eastAsia" w:asciiTheme="minorEastAsia" w:hAnsiTheme="minorEastAsia" w:eastAsiaTheme="minorEastAsia" w:cstheme="minorEastAsia"/>
          <w:sz w:val="24"/>
          <w:highlight w:val="yellow"/>
        </w:rPr>
        <w:br w:type="textWrapping"/>
      </w:r>
      <w:r>
        <w:rPr>
          <w:rFonts w:hint="eastAsia" w:asciiTheme="minorEastAsia" w:hAnsiTheme="minorEastAsia" w:eastAsiaTheme="minorEastAsia" w:cstheme="minorEastAsia"/>
          <w:sz w:val="24"/>
          <w:highlight w:val="yellow"/>
        </w:rPr>
        <w:t>1）法人或者其他组织的营业执照等证明文件，自然人的身份证明；</w:t>
      </w:r>
      <w:r>
        <w:rPr>
          <w:rFonts w:hint="eastAsia" w:asciiTheme="minorEastAsia" w:hAnsiTheme="minorEastAsia" w:eastAsiaTheme="minorEastAsia" w:cstheme="minorEastAsia"/>
          <w:sz w:val="24"/>
          <w:highlight w:val="yellow"/>
        </w:rPr>
        <w:br w:type="textWrapping"/>
      </w:r>
      <w:r>
        <w:rPr>
          <w:rFonts w:hint="eastAsia" w:asciiTheme="minorEastAsia" w:hAnsiTheme="minorEastAsia" w:eastAsiaTheme="minorEastAsia" w:cstheme="minorEastAsia"/>
          <w:sz w:val="24"/>
          <w:highlight w:val="yellow"/>
        </w:rPr>
        <w:t>2）近两年任意年度的财务审计报表；</w:t>
      </w:r>
      <w:r>
        <w:rPr>
          <w:rFonts w:hint="eastAsia" w:asciiTheme="minorEastAsia" w:hAnsiTheme="minorEastAsia" w:eastAsiaTheme="minorEastAsia" w:cstheme="minorEastAsia"/>
          <w:sz w:val="24"/>
          <w:highlight w:val="yellow"/>
        </w:rPr>
        <w:br w:type="textWrapping"/>
      </w:r>
      <w:r>
        <w:rPr>
          <w:rFonts w:hint="eastAsia" w:asciiTheme="minorEastAsia" w:hAnsiTheme="minorEastAsia" w:eastAsiaTheme="minorEastAsia" w:cstheme="minorEastAsia"/>
          <w:sz w:val="24"/>
          <w:highlight w:val="yellow"/>
        </w:rPr>
        <w:t>3）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Theme="minorEastAsia" w:hAnsiTheme="minorEastAsia" w:eastAsiaTheme="minorEastAsia" w:cstheme="minorEastAsia"/>
          <w:sz w:val="24"/>
          <w:highlight w:val="yellow"/>
        </w:rPr>
        <w:br w:type="textWrapping"/>
      </w:r>
      <w:r>
        <w:rPr>
          <w:rFonts w:hint="eastAsia" w:asciiTheme="minorEastAsia" w:hAnsiTheme="minorEastAsia" w:eastAsiaTheme="minorEastAsia" w:cstheme="minorEastAsia"/>
          <w:sz w:val="24"/>
          <w:highlight w:val="yellow"/>
        </w:rPr>
        <w:t>4）具备履行合同所必需的设备和专业技术能力的证明材料；</w:t>
      </w:r>
      <w:r>
        <w:rPr>
          <w:rFonts w:hint="eastAsia" w:asciiTheme="minorEastAsia" w:hAnsiTheme="minorEastAsia" w:eastAsiaTheme="minorEastAsia" w:cstheme="minorEastAsia"/>
          <w:sz w:val="24"/>
          <w:highlight w:val="yellow"/>
        </w:rPr>
        <w:br w:type="textWrapping"/>
      </w:r>
      <w:r>
        <w:rPr>
          <w:rFonts w:hint="eastAsia" w:asciiTheme="minorEastAsia" w:hAnsiTheme="minorEastAsia" w:eastAsiaTheme="minorEastAsia" w:cstheme="minorEastAsia"/>
          <w:sz w:val="24"/>
          <w:highlight w:val="yellow"/>
        </w:rPr>
        <w:t>5）参加政府采购活动前3年内在经营活动中没有重大违法记录的书面声明；</w:t>
      </w:r>
      <w:r>
        <w:rPr>
          <w:rFonts w:hint="eastAsia" w:asciiTheme="minorEastAsia" w:hAnsiTheme="minorEastAsia" w:eastAsiaTheme="minorEastAsia" w:cstheme="minorEastAsia"/>
          <w:sz w:val="24"/>
          <w:highlight w:val="yellow"/>
        </w:rPr>
        <w:br w:type="textWrapping"/>
      </w:r>
      <w:r>
        <w:rPr>
          <w:rFonts w:hint="eastAsia" w:asciiTheme="minorEastAsia" w:hAnsiTheme="minorEastAsia" w:eastAsiaTheme="minorEastAsia" w:cstheme="minorEastAsia"/>
          <w:sz w:val="24"/>
          <w:highlight w:val="yellow"/>
        </w:rPr>
        <w:t>6）未被“信用中国”网站（www.creditchina.gov.cn）列入失信被执行人、税收违法黑名单和中国政府采购网（www.ccgp.gov.cn）无政府采购严重失信行为记录名单。（提供网页截图）</w:t>
      </w:r>
    </w:p>
    <w:p>
      <w:pPr>
        <w:spacing w:line="560" w:lineRule="exact"/>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highlight w:val="yellow"/>
        </w:rPr>
        <w:t>“信用中国”查询：进入“信用中国”首页，点击信用服务，查询失信被执行人和税收违法黑名单保存完整网页截图；进入“信用中国”首页，在信用信息输入单位名称查询并下载信用报告。</w:t>
      </w:r>
      <w:r>
        <w:rPr>
          <w:rFonts w:hint="eastAsia" w:asciiTheme="minorEastAsia" w:hAnsiTheme="minorEastAsia" w:eastAsiaTheme="minorEastAsia" w:cstheme="minorEastAsia"/>
          <w:sz w:val="24"/>
          <w:highlight w:val="yellow"/>
        </w:rPr>
        <w:br w:type="textWrapping"/>
      </w:r>
      <w:r>
        <w:rPr>
          <w:rFonts w:hint="eastAsia" w:asciiTheme="minorEastAsia" w:hAnsiTheme="minorEastAsia" w:eastAsiaTheme="minorEastAsia" w:cstheme="minorEastAsia"/>
          <w:sz w:val="24"/>
          <w:highlight w:val="yellow"/>
        </w:rPr>
        <w:t>“中国政府采购网”查询：进入“中国政府采购网”首页，点击“政府采购严重违法失信行为记录名单”，输入单位名称，查询时间为2019年1月1日至今。</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五、获取采购文件</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时间：2022年</w:t>
      </w: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14</w:t>
      </w:r>
      <w:r>
        <w:rPr>
          <w:rFonts w:hint="eastAsia" w:asciiTheme="minorEastAsia" w:hAnsiTheme="minorEastAsia" w:eastAsiaTheme="minorEastAsia" w:cstheme="minorEastAsia"/>
          <w:sz w:val="24"/>
        </w:rPr>
        <w:t>日至2022年</w:t>
      </w: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18</w:t>
      </w:r>
      <w:r>
        <w:rPr>
          <w:rFonts w:hint="eastAsia" w:asciiTheme="minorEastAsia" w:hAnsiTheme="minorEastAsia" w:eastAsiaTheme="minorEastAsia" w:cstheme="minorEastAsia"/>
          <w:sz w:val="24"/>
        </w:rPr>
        <w:t>日，每天上午10:00至13:30，下午15:30至18:30（北京时间，法定节假日除外）</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地点：新疆乌鲁木齐市水磨沟区万科中央公园S2栋1802 </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方式：现场现金获取 </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六、响应文件提交 </w:t>
      </w:r>
    </w:p>
    <w:p>
      <w:pPr>
        <w:spacing w:line="560" w:lineRule="exact"/>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highlight w:val="yellow"/>
        </w:rPr>
        <w:t>截止时间：2022年</w:t>
      </w:r>
      <w:r>
        <w:rPr>
          <w:rFonts w:hint="eastAsia" w:asciiTheme="minorEastAsia" w:hAnsiTheme="minorEastAsia" w:eastAsiaTheme="minorEastAsia" w:cstheme="minorEastAsia"/>
          <w:sz w:val="24"/>
          <w:highlight w:val="yellow"/>
          <w:lang w:val="en-US" w:eastAsia="zh-CN"/>
        </w:rPr>
        <w:t>11</w:t>
      </w:r>
      <w:r>
        <w:rPr>
          <w:rFonts w:hint="eastAsia" w:asciiTheme="minorEastAsia" w:hAnsiTheme="minorEastAsia" w:eastAsiaTheme="minorEastAsia" w:cstheme="minorEastAsia"/>
          <w:sz w:val="24"/>
          <w:highlight w:val="yellow"/>
        </w:rPr>
        <w:t>月</w:t>
      </w:r>
      <w:r>
        <w:rPr>
          <w:rFonts w:hint="eastAsia" w:asciiTheme="minorEastAsia" w:hAnsiTheme="minorEastAsia" w:eastAsiaTheme="minorEastAsia" w:cstheme="minorEastAsia"/>
          <w:sz w:val="24"/>
          <w:highlight w:val="yellow"/>
          <w:lang w:val="en-US" w:eastAsia="zh-CN"/>
        </w:rPr>
        <w:t>24</w:t>
      </w:r>
      <w:r>
        <w:rPr>
          <w:rFonts w:hint="eastAsia" w:asciiTheme="minorEastAsia" w:hAnsiTheme="minorEastAsia" w:eastAsiaTheme="minorEastAsia" w:cstheme="minorEastAsia"/>
          <w:sz w:val="24"/>
          <w:highlight w:val="yellow"/>
        </w:rPr>
        <w:t>日 1</w:t>
      </w:r>
      <w:r>
        <w:rPr>
          <w:rFonts w:hint="eastAsia" w:asciiTheme="minorEastAsia" w:hAnsiTheme="minorEastAsia" w:eastAsiaTheme="minorEastAsia" w:cstheme="minorEastAsia"/>
          <w:sz w:val="24"/>
          <w:highlight w:val="yellow"/>
          <w:lang w:val="en-US" w:eastAsia="zh-CN"/>
        </w:rPr>
        <w:t>0</w:t>
      </w:r>
      <w:r>
        <w:rPr>
          <w:rFonts w:hint="eastAsia" w:asciiTheme="minorEastAsia" w:hAnsiTheme="minorEastAsia" w:eastAsiaTheme="minorEastAsia" w:cstheme="minorEastAsia"/>
          <w:sz w:val="24"/>
          <w:highlight w:val="yellow"/>
        </w:rPr>
        <w:t>:</w:t>
      </w:r>
      <w:r>
        <w:rPr>
          <w:rFonts w:hint="eastAsia" w:asciiTheme="minorEastAsia" w:hAnsiTheme="minorEastAsia" w:eastAsiaTheme="minorEastAsia" w:cstheme="minorEastAsia"/>
          <w:sz w:val="24"/>
          <w:highlight w:val="yellow"/>
          <w:lang w:val="en-US" w:eastAsia="zh-CN"/>
        </w:rPr>
        <w:t>00</w:t>
      </w:r>
      <w:r>
        <w:rPr>
          <w:rFonts w:hint="eastAsia" w:asciiTheme="minorEastAsia" w:hAnsiTheme="minorEastAsia" w:eastAsiaTheme="minorEastAsia" w:cstheme="minorEastAsia"/>
          <w:sz w:val="24"/>
          <w:highlight w:val="yellow"/>
        </w:rPr>
        <w:t>（北京时间）</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地点：新疆乌鲁木齐市水磨沟区万科中央公园S2栋602室 </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七、响应文件开启 </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开启时间：2022年</w:t>
      </w: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24</w:t>
      </w:r>
      <w:r>
        <w:rPr>
          <w:rFonts w:hint="eastAsia" w:asciiTheme="minorEastAsia" w:hAnsiTheme="minorEastAsia" w:eastAsiaTheme="minorEastAsia" w:cstheme="minorEastAsia"/>
          <w:sz w:val="24"/>
        </w:rPr>
        <w:t>日 1</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00</w:t>
      </w:r>
      <w:r>
        <w:rPr>
          <w:rFonts w:hint="eastAsia" w:asciiTheme="minorEastAsia" w:hAnsiTheme="minorEastAsia" w:eastAsiaTheme="minorEastAsia" w:cstheme="minorEastAsia"/>
          <w:sz w:val="24"/>
        </w:rPr>
        <w:t>（北京时间）</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地点：新疆乌鲁木齐市水磨沟区万科中央公园S2栋602室 </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八、公告期限</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自本公告发布之日起</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个工作日。</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w:t>
      </w:r>
      <w:r>
        <w:rPr>
          <w:rFonts w:asciiTheme="minorEastAsia" w:hAnsiTheme="minorEastAsia" w:eastAsiaTheme="minorEastAsia" w:cstheme="minorEastAsia"/>
          <w:sz w:val="24"/>
        </w:rPr>
        <w:t>、其他补充事宜 </w:t>
      </w:r>
    </w:p>
    <w:p>
      <w:pPr>
        <w:spacing w:line="560" w:lineRule="exact"/>
        <w:rPr>
          <w:rFonts w:asciiTheme="minorEastAsia" w:hAnsiTheme="minorEastAsia" w:eastAsiaTheme="minorEastAsia" w:cstheme="minorEastAsia"/>
          <w:sz w:val="24"/>
        </w:rPr>
      </w:pPr>
      <w:r>
        <w:rPr>
          <w:rFonts w:asciiTheme="minorEastAsia" w:hAnsiTheme="minorEastAsia" w:eastAsiaTheme="minorEastAsia" w:cstheme="minorEastAsia"/>
          <w:sz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560" w:lineRule="exact"/>
        <w:rPr>
          <w:rFonts w:asciiTheme="minorEastAsia" w:hAnsiTheme="minorEastAsia" w:eastAsiaTheme="minorEastAsia" w:cstheme="minorEastAsia"/>
          <w:sz w:val="24"/>
        </w:rPr>
      </w:pPr>
      <w:r>
        <w:rPr>
          <w:rFonts w:asciiTheme="minorEastAsia" w:hAnsiTheme="minorEastAsia" w:eastAsiaTheme="minorEastAsia" w:cstheme="minorEastAsia"/>
          <w:sz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560" w:lineRule="exact"/>
        <w:rPr>
          <w:rFonts w:asciiTheme="minorEastAsia" w:hAnsiTheme="minorEastAsia" w:eastAsiaTheme="minorEastAsia" w:cstheme="minorEastAsia"/>
          <w:sz w:val="24"/>
        </w:rPr>
      </w:pPr>
      <w:r>
        <w:rPr>
          <w:rFonts w:asciiTheme="minorEastAsia" w:hAnsiTheme="minorEastAsia" w:eastAsiaTheme="minorEastAsia" w:cstheme="minorEastAsia"/>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w:t>
      </w:r>
      <w:r>
        <w:rPr>
          <w:rFonts w:asciiTheme="minorEastAsia" w:hAnsiTheme="minorEastAsia" w:eastAsiaTheme="minorEastAsia" w:cstheme="minorEastAsia"/>
          <w:sz w:val="24"/>
        </w:rPr>
        <w:t>、凡对本次招标提出询问，请按以下方式联系</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1.采购人信息</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 称：</w:t>
      </w:r>
      <w:r>
        <w:rPr>
          <w:rFonts w:hint="eastAsia" w:asciiTheme="minorEastAsia" w:hAnsiTheme="minorEastAsia" w:eastAsiaTheme="minorEastAsia" w:cstheme="minorEastAsia"/>
          <w:sz w:val="24"/>
          <w:lang w:val="en-US" w:eastAsia="zh-CN"/>
        </w:rPr>
        <w:t>新疆维吾尔自治区文化馆</w:t>
      </w:r>
    </w:p>
    <w:p>
      <w:pPr>
        <w:spacing w:line="56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lang w:eastAsia="zh-CN"/>
        </w:rPr>
        <w:t>新疆乌鲁木齐市沙依巴克区友好北路167号新疆文化馆</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2.采购代理机构信息</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 称：新疆沃图恒辉建设工程项目管理有限公司</w:t>
      </w: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址：新疆乌鲁木齐市水磨沟区万科中央公园S2栋1802</w:t>
      </w:r>
    </w:p>
    <w:p>
      <w:pPr>
        <w:spacing w:line="56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sz w:val="24"/>
          <w:lang w:eastAsia="zh-CN"/>
        </w:rPr>
        <w:t>15999133890</w:t>
      </w:r>
    </w:p>
    <w:p>
      <w:pPr>
        <w:rPr>
          <w:rStyle w:val="35"/>
          <w:rFonts w:hint="eastAsia" w:ascii="仿宋_GB2312" w:hAnsi="仿宋_GB2312" w:eastAsia="仿宋_GB2312" w:cs="仿宋_GB2312"/>
          <w:sz w:val="32"/>
          <w:szCs w:val="32"/>
        </w:rPr>
      </w:pPr>
      <w:bookmarkStart w:id="2" w:name="_Toc26877"/>
      <w:r>
        <w:rPr>
          <w:rStyle w:val="35"/>
          <w:rFonts w:hint="eastAsia" w:ascii="仿宋_GB2312" w:hAnsi="仿宋_GB2312" w:eastAsia="仿宋_GB2312" w:cs="仿宋_GB2312"/>
          <w:sz w:val="32"/>
          <w:szCs w:val="32"/>
        </w:rPr>
        <w:br w:type="page"/>
      </w:r>
    </w:p>
    <w:p>
      <w:pPr>
        <w:keepNext/>
        <w:keepLines/>
        <w:spacing w:before="340" w:after="330" w:line="560" w:lineRule="exact"/>
        <w:jc w:val="center"/>
        <w:outlineLvl w:val="0"/>
        <w:rPr>
          <w:rStyle w:val="35"/>
          <w:rFonts w:ascii="仿宋_GB2312" w:hAnsi="仿宋_GB2312" w:eastAsia="仿宋_GB2312" w:cs="仿宋_GB2312"/>
          <w:sz w:val="32"/>
          <w:szCs w:val="32"/>
        </w:rPr>
      </w:pPr>
      <w:r>
        <w:rPr>
          <w:rStyle w:val="35"/>
          <w:rFonts w:hint="eastAsia" w:ascii="仿宋_GB2312" w:hAnsi="仿宋_GB2312" w:eastAsia="仿宋_GB2312" w:cs="仿宋_GB2312"/>
          <w:sz w:val="32"/>
          <w:szCs w:val="32"/>
        </w:rPr>
        <w:t>第二章 供应商须知</w:t>
      </w:r>
      <w:bookmarkEnd w:id="2"/>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供应商须知前附表</w:t>
      </w:r>
    </w:p>
    <w:tbl>
      <w:tblPr>
        <w:tblStyle w:val="26"/>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18"/>
        <w:gridCol w:w="1113"/>
        <w:gridCol w:w="1060"/>
        <w:gridCol w:w="5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862" w:type="dxa"/>
            <w:vAlign w:val="center"/>
          </w:tcPr>
          <w:p>
            <w:pPr>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项号</w:t>
            </w:r>
          </w:p>
        </w:tc>
        <w:tc>
          <w:tcPr>
            <w:tcW w:w="1318" w:type="dxa"/>
            <w:vAlign w:val="center"/>
          </w:tcPr>
          <w:p>
            <w:pPr>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条款号</w:t>
            </w:r>
          </w:p>
        </w:tc>
        <w:tc>
          <w:tcPr>
            <w:tcW w:w="7567" w:type="dxa"/>
            <w:gridSpan w:val="3"/>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bookmarkStart w:id="3" w:name="_Hlt76875655"/>
            <w:bookmarkEnd w:id="3"/>
            <w:bookmarkStart w:id="4" w:name="_Hlk18822563"/>
            <w:bookmarkStart w:id="5" w:name="_Hlk18822564"/>
            <w:bookmarkStart w:id="6" w:name="_Hlk18822565"/>
            <w:r>
              <w:rPr>
                <w:rFonts w:hint="eastAsia" w:asciiTheme="minorEastAsia" w:hAnsiTheme="minorEastAsia" w:eastAsiaTheme="minorEastAsia" w:cstheme="minorEastAsia"/>
                <w:sz w:val="24"/>
                <w:szCs w:val="24"/>
              </w:rPr>
              <w:t>1</w:t>
            </w:r>
            <w:bookmarkEnd w:id="4"/>
            <w:bookmarkEnd w:id="5"/>
            <w:bookmarkEnd w:id="6"/>
          </w:p>
        </w:tc>
        <w:tc>
          <w:tcPr>
            <w:tcW w:w="1318" w:type="dxa"/>
            <w:vAlign w:val="center"/>
          </w:tcPr>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1.1.1</w:t>
            </w:r>
          </w:p>
        </w:tc>
        <w:tc>
          <w:tcPr>
            <w:tcW w:w="7567" w:type="dxa"/>
            <w:gridSpan w:val="3"/>
            <w:tcBorders>
              <w:top w:val="nil"/>
            </w:tcBorders>
            <w:vAlign w:val="center"/>
          </w:tcPr>
          <w:p>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val="en-US" w:eastAsia="zh-CN"/>
              </w:rPr>
              <w:t>新疆文化馆剧场舞台设备及消防设施改造提升项目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bookmarkStart w:id="7" w:name="_Hlk23589674"/>
            <w:bookmarkStart w:id="8" w:name="_Hlk23589675"/>
            <w:bookmarkStart w:id="9" w:name="_Hlk23589676"/>
            <w:r>
              <w:rPr>
                <w:rFonts w:hint="eastAsia" w:asciiTheme="minorEastAsia" w:hAnsiTheme="minorEastAsia" w:eastAsiaTheme="minorEastAsia" w:cstheme="minorEastAsia"/>
                <w:sz w:val="24"/>
                <w:szCs w:val="24"/>
              </w:rPr>
              <w:t>2</w:t>
            </w:r>
            <w:bookmarkEnd w:id="7"/>
            <w:bookmarkEnd w:id="8"/>
            <w:bookmarkEnd w:id="9"/>
          </w:p>
        </w:tc>
        <w:tc>
          <w:tcPr>
            <w:tcW w:w="1318" w:type="dxa"/>
            <w:vAlign w:val="center"/>
          </w:tcPr>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1.2.1</w:t>
            </w:r>
          </w:p>
        </w:tc>
        <w:tc>
          <w:tcPr>
            <w:tcW w:w="7567" w:type="dxa"/>
            <w:gridSpan w:val="3"/>
            <w:vAlign w:val="center"/>
          </w:tcPr>
          <w:p>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采购范围：</w:t>
            </w:r>
            <w:r>
              <w:rPr>
                <w:rFonts w:hint="eastAsia" w:asciiTheme="minorEastAsia" w:hAnsiTheme="minorEastAsia" w:eastAsiaTheme="minorEastAsia" w:cstheme="minorEastAsia"/>
                <w:sz w:val="24"/>
                <w:szCs w:val="24"/>
                <w:lang w:val="en-US" w:eastAsia="zh-CN"/>
              </w:rPr>
              <w:t>新疆文化馆剧场舞台设备及消防设施改造提升</w:t>
            </w:r>
            <w:r>
              <w:rPr>
                <w:rFonts w:hint="eastAsia" w:asciiTheme="minorEastAsia" w:hAnsiTheme="minorEastAsia" w:eastAsiaTheme="minorEastAsia" w:cstheme="minorEastAsia"/>
                <w:sz w:val="24"/>
                <w:szCs w:val="24"/>
              </w:rPr>
              <w:t>；（包括招标文件、答疑补充文件）。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18" w:type="dxa"/>
            <w:vAlign w:val="center"/>
          </w:tcPr>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1.3.1</w:t>
            </w:r>
          </w:p>
        </w:tc>
        <w:tc>
          <w:tcPr>
            <w:tcW w:w="2173" w:type="dxa"/>
            <w:gridSpan w:val="2"/>
            <w:vAlign w:val="center"/>
          </w:tcPr>
          <w:p>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w:t>
            </w:r>
          </w:p>
        </w:tc>
        <w:tc>
          <w:tcPr>
            <w:tcW w:w="5394" w:type="dxa"/>
            <w:vAlign w:val="center"/>
          </w:tcPr>
          <w:p>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1"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bookmarkStart w:id="10" w:name="_Hlt70263627"/>
            <w:bookmarkEnd w:id="10"/>
            <w:r>
              <w:rPr>
                <w:rFonts w:hint="eastAsia" w:asciiTheme="minorEastAsia" w:hAnsiTheme="minorEastAsia" w:eastAsiaTheme="minorEastAsia" w:cstheme="minorEastAsia"/>
                <w:sz w:val="24"/>
                <w:szCs w:val="24"/>
              </w:rPr>
              <w:t>4</w:t>
            </w:r>
          </w:p>
        </w:tc>
        <w:tc>
          <w:tcPr>
            <w:tcW w:w="1318" w:type="dxa"/>
            <w:vAlign w:val="center"/>
          </w:tcPr>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1.4.1</w:t>
            </w:r>
          </w:p>
        </w:tc>
        <w:tc>
          <w:tcPr>
            <w:tcW w:w="7567" w:type="dxa"/>
            <w:gridSpan w:val="3"/>
            <w:vAlign w:val="center"/>
          </w:tcPr>
          <w:p>
            <w:pPr>
              <w:spacing w:line="360" w:lineRule="auto"/>
              <w:rPr>
                <w:rFonts w:hint="eastAsia"/>
                <w:sz w:val="22"/>
                <w:szCs w:val="28"/>
              </w:rPr>
            </w:pPr>
            <w:r>
              <w:rPr>
                <w:rFonts w:hint="eastAsia"/>
                <w:sz w:val="22"/>
                <w:szCs w:val="28"/>
              </w:rPr>
              <w:t>供应商资格要求：</w:t>
            </w:r>
          </w:p>
          <w:p>
            <w:pPr>
              <w:spacing w:line="360" w:lineRule="auto"/>
              <w:rPr>
                <w:rFonts w:hint="eastAsia"/>
                <w:sz w:val="22"/>
                <w:szCs w:val="28"/>
              </w:rPr>
            </w:pPr>
            <w:r>
              <w:rPr>
                <w:rFonts w:hint="eastAsia"/>
                <w:sz w:val="22"/>
                <w:szCs w:val="28"/>
              </w:rPr>
              <w:t>1.满足《中华人民共和国政府采购法》第二十二条规定；2.落实政府采购政策需满足的资格要求：供应商为中小企业/小微企业 </w:t>
            </w:r>
          </w:p>
          <w:p>
            <w:pPr>
              <w:spacing w:line="360" w:lineRule="auto"/>
              <w:rPr>
                <w:rFonts w:hint="eastAsia"/>
                <w:sz w:val="22"/>
                <w:szCs w:val="28"/>
              </w:rPr>
            </w:pPr>
            <w:r>
              <w:rPr>
                <w:rFonts w:hint="eastAsia"/>
                <w:sz w:val="22"/>
                <w:szCs w:val="28"/>
              </w:rPr>
              <w:t>3.本项目的特定资格要求：满足《中华人民共和国政府采购法》第二十二条规定，并提供下列材料：1）法人或者其他组织的营业执照等证明文件，自然人的身份证明；2）近两年任意年度的财务审计报表；3）依法缴纳税收和社会保障资金的相关材料（提供提交投标文件截止时间前一年内至少一个月依法缴纳税收及缴纳社会保障资金的证明材料。投标人依法享受缓缴、免缴税收、社会保障资金的提供证明材料。）；4）具备履行合同所必需的设备和专业技术能力的证明材料；5）参加政府采购活动前3年内在经营活动中没有重大违法记录的书面声明；6）未被“信用中国”网站（www.creditchina.gov.cn）列入失信被执行人、税收违法黑名单和中国政府采购网（www.ccgp.gov.cn）无政府采购严重失信行为记录名单。（提供网页截图）</w:t>
            </w:r>
          </w:p>
          <w:p>
            <w:pPr>
              <w:pStyle w:val="18"/>
              <w:rPr>
                <w:rFonts w:hint="eastAsia"/>
                <w:lang w:val="en-US" w:eastAsia="zh-CN"/>
              </w:rPr>
            </w:pPr>
            <w:r>
              <w:rPr>
                <w:rFonts w:hint="eastAsia"/>
                <w:b/>
                <w:bCs/>
                <w:sz w:val="20"/>
                <w:szCs w:val="20"/>
                <w:lang w:val="en-US" w:eastAsia="zh-CN"/>
              </w:rPr>
              <w:t>备注：“信用中国”查询：进入“信用中国”首页，点击信用服务，查询失信被执行人和税收违法黑名单保存完整网页截图；进入“信用中国”首页，在信用信息输入单位名称查询并下载信用报告。“中国政府采购网”查询：进入“中国政府采购网”首页，点击“政府采购严重违法失信行为记录名单”，输入单位名称，查询时间为2019年1月1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318" w:type="dxa"/>
            <w:vAlign w:val="center"/>
          </w:tcPr>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3</w:t>
            </w:r>
          </w:p>
        </w:tc>
        <w:tc>
          <w:tcPr>
            <w:tcW w:w="7567" w:type="dxa"/>
            <w:gridSpan w:val="3"/>
            <w:vAlign w:val="center"/>
          </w:tcPr>
          <w:p>
            <w:pPr>
              <w:numPr>
                <w:ilvl w:val="0"/>
                <w:numId w:val="1"/>
              </w:numPr>
              <w:spacing w:line="44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磋商保证金：</w:t>
            </w:r>
          </w:p>
          <w:p>
            <w:pPr>
              <w:numPr>
                <w:ilvl w:val="0"/>
                <w:numId w:val="0"/>
              </w:numP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大写：</w:t>
            </w:r>
            <w:r>
              <w:rPr>
                <w:rFonts w:hint="eastAsia" w:asciiTheme="minorEastAsia" w:hAnsiTheme="minorEastAsia" w:eastAsiaTheme="minorEastAsia" w:cstheme="minorEastAsia"/>
                <w:bCs/>
                <w:sz w:val="24"/>
                <w:szCs w:val="24"/>
                <w:lang w:val="en-US" w:eastAsia="zh-CN"/>
              </w:rPr>
              <w:t>贰万</w:t>
            </w:r>
            <w:r>
              <w:rPr>
                <w:rFonts w:hint="eastAsia" w:asciiTheme="minorEastAsia" w:hAnsiTheme="minorEastAsia" w:eastAsiaTheme="minorEastAsia" w:cstheme="minorEastAsia"/>
                <w:bCs/>
                <w:sz w:val="24"/>
                <w:szCs w:val="24"/>
              </w:rPr>
              <w:t>元整，小写：</w:t>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00</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0.00元整。</w:t>
            </w:r>
          </w:p>
          <w:p>
            <w:pPr>
              <w:pStyle w:val="34"/>
              <w:rPr>
                <w:rFonts w:hint="eastAsia"/>
                <w:lang w:val="zh-CN"/>
              </w:rPr>
            </w:pPr>
            <w:r>
              <w:rPr>
                <w:rFonts w:hint="eastAsia"/>
                <w:lang w:val="zh-CN"/>
              </w:rPr>
              <w:t>收款单位：新疆沃图恒辉建设工程项目管理有限公司</w:t>
            </w:r>
          </w:p>
          <w:p>
            <w:pPr>
              <w:pStyle w:val="34"/>
              <w:rPr>
                <w:rFonts w:hint="eastAsia"/>
                <w:lang w:val="zh-CN" w:eastAsia="zh-CN"/>
              </w:rPr>
            </w:pPr>
            <w:r>
              <w:rPr>
                <w:rFonts w:hint="eastAsia"/>
                <w:lang w:val="zh-CN" w:eastAsia="zh-CN"/>
              </w:rPr>
              <w:t>开户银行：中国工商银行股份有限公司乌鲁木齐南湖广场支行</w:t>
            </w:r>
          </w:p>
          <w:p>
            <w:pPr>
              <w:pStyle w:val="34"/>
              <w:rPr>
                <w:rFonts w:hint="eastAsia"/>
                <w:lang w:val="zh-CN" w:eastAsia="zh-CN"/>
              </w:rPr>
            </w:pPr>
            <w:r>
              <w:rPr>
                <w:rFonts w:hint="eastAsia"/>
                <w:lang w:val="zh-CN" w:eastAsia="zh-CN"/>
              </w:rPr>
              <w:t>账户账号： 3002016309200163095</w:t>
            </w:r>
          </w:p>
          <w:p>
            <w:pPr>
              <w:pStyle w:val="34"/>
              <w:rPr>
                <w:rFonts w:hint="eastAsia"/>
              </w:rPr>
            </w:pPr>
            <w:r>
              <w:rPr>
                <w:rFonts w:hint="eastAsia"/>
                <w:lang w:val="zh-CN" w:eastAsia="zh-CN"/>
              </w:rPr>
              <w:t>开户行行号： 102881001634</w:t>
            </w:r>
          </w:p>
          <w:p>
            <w:pP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2.递交形式：</w:t>
            </w:r>
            <w:r>
              <w:rPr>
                <w:rFonts w:hint="eastAsia" w:asciiTheme="minorEastAsia" w:hAnsiTheme="minorEastAsia" w:eastAsiaTheme="minorEastAsia" w:cstheme="minorEastAsia"/>
                <w:bCs/>
                <w:sz w:val="24"/>
                <w:szCs w:val="24"/>
                <w:lang w:val="en-US" w:eastAsia="zh-CN"/>
              </w:rPr>
              <w:t>电汇</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3.递交时间：在磋商截止时间前递交；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318" w:type="dxa"/>
            <w:vAlign w:val="center"/>
          </w:tcPr>
          <w:p>
            <w:pPr>
              <w:spacing w:line="440" w:lineRule="exact"/>
              <w:jc w:val="center"/>
              <w:rPr>
                <w:rFonts w:hint="eastAsia" w:asciiTheme="minorEastAsia" w:hAnsiTheme="minorEastAsia" w:eastAsiaTheme="minorEastAsia" w:cstheme="minorEastAsia"/>
                <w:sz w:val="24"/>
                <w:szCs w:val="24"/>
                <w:u w:val="single"/>
              </w:rPr>
            </w:pPr>
          </w:p>
        </w:tc>
        <w:tc>
          <w:tcPr>
            <w:tcW w:w="1113" w:type="dxa"/>
            <w:vAlign w:val="center"/>
          </w:tcPr>
          <w:p>
            <w:pPr>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响应报价</w:t>
            </w:r>
          </w:p>
        </w:tc>
        <w:tc>
          <w:tcPr>
            <w:tcW w:w="6454" w:type="dxa"/>
            <w:gridSpan w:val="2"/>
            <w:vAlign w:val="center"/>
          </w:tcPr>
          <w:p>
            <w:pP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供货商报价应一次性包干，不受市场价格变动影响。费用包括但不限于：资料制作费用、交通费、人工费、税费等。</w:t>
            </w:r>
          </w:p>
          <w:p>
            <w:pPr>
              <w:spacing w:line="44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本项目采购预算：</w:t>
            </w:r>
            <w:r>
              <w:rPr>
                <w:rFonts w:hint="eastAsia" w:asciiTheme="minorEastAsia" w:hAnsiTheme="minorEastAsia" w:eastAsiaTheme="minorEastAsia" w:cstheme="minorEastAsia"/>
                <w:bCs/>
                <w:sz w:val="24"/>
                <w:szCs w:val="24"/>
                <w:lang w:val="en-US" w:eastAsia="zh-CN"/>
              </w:rPr>
              <w:t>1000000.00</w:t>
            </w:r>
            <w:r>
              <w:rPr>
                <w:rFonts w:hint="eastAsia" w:asciiTheme="minorEastAsia" w:hAnsiTheme="minorEastAsia" w:eastAsiaTheme="minorEastAsia" w:cstheme="minorEastAsia"/>
                <w:bCs/>
                <w:sz w:val="24"/>
                <w:szCs w:val="24"/>
              </w:rPr>
              <w:t>元</w:t>
            </w:r>
            <w:r>
              <w:rPr>
                <w:rFonts w:hint="eastAsia" w:asciiTheme="minorEastAsia" w:hAnsiTheme="minorEastAsia" w:eastAsiaTheme="minorEastAsia" w:cstheme="minorEastAsia"/>
                <w:bCs/>
                <w:sz w:val="24"/>
                <w:szCs w:val="24"/>
                <w:lang w:eastAsia="zh-CN"/>
              </w:rPr>
              <w:t>；</w:t>
            </w:r>
          </w:p>
          <w:p>
            <w:pP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供应商超过本项目采购预算的报价将导致投标被拒绝。</w:t>
            </w:r>
          </w:p>
          <w:p>
            <w:pP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318" w:type="dxa"/>
            <w:vAlign w:val="center"/>
          </w:tcPr>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5.2.1</w:t>
            </w:r>
          </w:p>
        </w:tc>
        <w:tc>
          <w:tcPr>
            <w:tcW w:w="1113" w:type="dxa"/>
            <w:vAlign w:val="center"/>
          </w:tcPr>
          <w:p>
            <w:pPr>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响应文件的份数</w:t>
            </w:r>
          </w:p>
        </w:tc>
        <w:tc>
          <w:tcPr>
            <w:tcW w:w="6454" w:type="dxa"/>
            <w:gridSpan w:val="2"/>
            <w:vAlign w:val="center"/>
          </w:tcPr>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纸质版文件：正本一份，副本</w:t>
            </w:r>
            <w:r>
              <w:rPr>
                <w:rFonts w:hint="eastAsia" w:asciiTheme="minorEastAsia" w:hAnsiTheme="minorEastAsia" w:eastAsiaTheme="minorEastAsia" w:cstheme="minorEastAsia"/>
                <w:sz w:val="24"/>
                <w:szCs w:val="24"/>
                <w:lang w:val="en-US" w:eastAsia="zh-CN"/>
              </w:rPr>
              <w:t>叁</w:t>
            </w:r>
            <w:r>
              <w:rPr>
                <w:rFonts w:hint="eastAsia" w:asciiTheme="minorEastAsia" w:hAnsiTheme="minorEastAsia" w:eastAsiaTheme="minorEastAsia" w:cstheme="minorEastAsia"/>
                <w:sz w:val="24"/>
                <w:szCs w:val="24"/>
              </w:rPr>
              <w:t>份；电子版文件：一份（以U盘形式递交，内容为响应文件</w:t>
            </w:r>
            <w:r>
              <w:rPr>
                <w:rFonts w:hint="eastAsia" w:asciiTheme="minorEastAsia" w:hAnsiTheme="minorEastAsia" w:eastAsiaTheme="minorEastAsia" w:cstheme="minorEastAsia"/>
                <w:sz w:val="24"/>
                <w:szCs w:val="24"/>
                <w:lang w:val="en-US" w:eastAsia="zh-CN"/>
              </w:rPr>
              <w:t>word格式及</w:t>
            </w:r>
            <w:r>
              <w:rPr>
                <w:rFonts w:hint="eastAsia" w:asciiTheme="minorEastAsia" w:hAnsiTheme="minorEastAsia" w:eastAsiaTheme="minorEastAsia" w:cstheme="minorEastAsia"/>
                <w:sz w:val="24"/>
                <w:szCs w:val="24"/>
              </w:rPr>
              <w:t>盖章扫描件，PDF格式及word可编辑格式，U盘内不得附带任何与本次磋商无关内容）；</w:t>
            </w:r>
          </w:p>
          <w:p>
            <w:pPr>
              <w:spacing w:line="440" w:lineRule="exac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sz w:val="24"/>
                <w:szCs w:val="24"/>
              </w:rPr>
              <w:t>响应文件电子版要求包含磋商文件全部内容，响应文件电子版与纸质版不一致时以纸质文件为准。正本、副本、电子版单独密封。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318" w:type="dxa"/>
            <w:vAlign w:val="center"/>
          </w:tcPr>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5.5.1</w:t>
            </w:r>
          </w:p>
        </w:tc>
        <w:tc>
          <w:tcPr>
            <w:tcW w:w="1113" w:type="dxa"/>
            <w:vAlign w:val="center"/>
          </w:tcPr>
          <w:p>
            <w:pPr>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响应文件递交</w:t>
            </w:r>
          </w:p>
        </w:tc>
        <w:tc>
          <w:tcPr>
            <w:tcW w:w="6454" w:type="dxa"/>
            <w:gridSpan w:val="2"/>
            <w:vAlign w:val="center"/>
          </w:tcPr>
          <w:p>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u w:val="single"/>
              </w:rPr>
              <w:t>2022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24</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lang w:val="en-US" w:eastAsia="zh-CN"/>
              </w:rPr>
              <w:t>00</w:t>
            </w:r>
            <w:r>
              <w:rPr>
                <w:rFonts w:hint="eastAsia" w:asciiTheme="minorEastAsia" w:hAnsiTheme="minorEastAsia" w:eastAsiaTheme="minorEastAsia" w:cstheme="minorEastAsia"/>
                <w:sz w:val="24"/>
                <w:szCs w:val="24"/>
              </w:rPr>
              <w:t>分（北京时间）</w:t>
            </w:r>
          </w:p>
          <w:p>
            <w:pPr>
              <w:spacing w:line="440" w:lineRule="exac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sz w:val="24"/>
                <w:szCs w:val="24"/>
              </w:rPr>
              <w:t>递交地点</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新疆乌鲁木齐市水磨沟区万科中央公园S2栋602室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318" w:type="dxa"/>
            <w:vAlign w:val="center"/>
          </w:tcPr>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7.1</w:t>
            </w:r>
          </w:p>
        </w:tc>
        <w:tc>
          <w:tcPr>
            <w:tcW w:w="1113" w:type="dxa"/>
            <w:vAlign w:val="center"/>
          </w:tcPr>
          <w:p>
            <w:pPr>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开启时间</w:t>
            </w:r>
          </w:p>
        </w:tc>
        <w:tc>
          <w:tcPr>
            <w:tcW w:w="6454" w:type="dxa"/>
            <w:gridSpan w:val="2"/>
            <w:vAlign w:val="center"/>
          </w:tcPr>
          <w:p>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u w:val="single"/>
              </w:rPr>
              <w:t>2022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24</w:t>
            </w:r>
            <w:bookmarkStart w:id="143" w:name="_GoBack"/>
            <w:bookmarkEnd w:id="143"/>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lang w:val="en-US" w:eastAsia="zh-CN"/>
              </w:rPr>
              <w:t>00</w:t>
            </w:r>
            <w:r>
              <w:rPr>
                <w:rFonts w:hint="eastAsia" w:asciiTheme="minorEastAsia" w:hAnsiTheme="minorEastAsia" w:eastAsiaTheme="minorEastAsia" w:cstheme="minorEastAsia"/>
                <w:sz w:val="24"/>
                <w:szCs w:val="24"/>
              </w:rPr>
              <w:t>分（北京时间）</w:t>
            </w:r>
          </w:p>
          <w:p>
            <w:pPr>
              <w:spacing w:line="440" w:lineRule="exac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sz w:val="24"/>
                <w:szCs w:val="24"/>
              </w:rPr>
              <w:t>开标地点</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新疆乌鲁木齐市水磨沟区万科中央公园S2栋602室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318" w:type="dxa"/>
            <w:vAlign w:val="center"/>
          </w:tcPr>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6.2</w:t>
            </w:r>
          </w:p>
        </w:tc>
        <w:tc>
          <w:tcPr>
            <w:tcW w:w="1113" w:type="dxa"/>
            <w:vAlign w:val="center"/>
          </w:tcPr>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Cs/>
                <w:sz w:val="24"/>
                <w:szCs w:val="24"/>
              </w:rPr>
              <w:t>评标方法</w:t>
            </w:r>
          </w:p>
        </w:tc>
        <w:tc>
          <w:tcPr>
            <w:tcW w:w="6454" w:type="dxa"/>
            <w:gridSpan w:val="2"/>
            <w:vAlign w:val="center"/>
          </w:tcPr>
          <w:p>
            <w:pPr>
              <w:spacing w:line="44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318" w:type="dxa"/>
            <w:vAlign w:val="center"/>
          </w:tcPr>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9.1</w:t>
            </w:r>
          </w:p>
        </w:tc>
        <w:tc>
          <w:tcPr>
            <w:tcW w:w="1113" w:type="dxa"/>
            <w:vAlign w:val="center"/>
          </w:tcPr>
          <w:p>
            <w:pPr>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磋商有效期</w:t>
            </w:r>
          </w:p>
        </w:tc>
        <w:tc>
          <w:tcPr>
            <w:tcW w:w="6454" w:type="dxa"/>
            <w:gridSpan w:val="2"/>
            <w:vAlign w:val="center"/>
          </w:tcPr>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响应文件递交截止时间后90天。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431" w:type="dxa"/>
            <w:gridSpan w:val="2"/>
            <w:vAlign w:val="center"/>
          </w:tcPr>
          <w:p>
            <w:pPr>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磋商答疑要求</w:t>
            </w:r>
          </w:p>
        </w:tc>
        <w:tc>
          <w:tcPr>
            <w:tcW w:w="6454" w:type="dxa"/>
            <w:gridSpan w:val="2"/>
            <w:vAlign w:val="center"/>
          </w:tcPr>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供应商若有疑问需要澄清的，应在</w:t>
            </w:r>
            <w:r>
              <w:rPr>
                <w:rFonts w:hint="eastAsia" w:asciiTheme="minorEastAsia" w:hAnsiTheme="minorEastAsia" w:eastAsiaTheme="minorEastAsia" w:cstheme="minorEastAsia"/>
                <w:bCs/>
                <w:sz w:val="24"/>
                <w:szCs w:val="24"/>
              </w:rPr>
              <w:t>响应文件递交截止时间前5日</w:t>
            </w:r>
            <w:r>
              <w:rPr>
                <w:rFonts w:hint="eastAsia" w:asciiTheme="minorEastAsia" w:hAnsiTheme="minorEastAsia" w:eastAsiaTheme="minorEastAsia" w:cstheme="minorEastAsia"/>
                <w:sz w:val="24"/>
                <w:szCs w:val="24"/>
              </w:rPr>
              <w:t>以书面形式向本代理机构提出，否则采购人不作任何解释。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318" w:type="dxa"/>
            <w:vAlign w:val="center"/>
          </w:tcPr>
          <w:p>
            <w:pPr>
              <w:spacing w:line="440" w:lineRule="exact"/>
              <w:jc w:val="center"/>
              <w:rPr>
                <w:rFonts w:hint="eastAsia" w:asciiTheme="minorEastAsia" w:hAnsiTheme="minorEastAsia" w:eastAsiaTheme="minorEastAsia" w:cstheme="minorEastAsia"/>
                <w:bCs/>
                <w:color w:val="auto"/>
                <w:sz w:val="24"/>
                <w:szCs w:val="24"/>
                <w:highlight w:val="yellow"/>
              </w:rPr>
            </w:pPr>
            <w:r>
              <w:rPr>
                <w:rFonts w:hint="eastAsia" w:asciiTheme="minorEastAsia" w:hAnsiTheme="minorEastAsia" w:eastAsiaTheme="minorEastAsia" w:cstheme="minorEastAsia"/>
                <w:bCs/>
                <w:color w:val="auto"/>
                <w:sz w:val="24"/>
                <w:szCs w:val="24"/>
                <w:highlight w:val="yellow"/>
                <w:lang w:val="en-US" w:eastAsia="zh-CN"/>
              </w:rPr>
              <w:t>交货</w:t>
            </w:r>
            <w:r>
              <w:rPr>
                <w:rFonts w:hint="eastAsia" w:asciiTheme="minorEastAsia" w:hAnsiTheme="minorEastAsia" w:eastAsiaTheme="minorEastAsia" w:cstheme="minorEastAsia"/>
                <w:bCs/>
                <w:color w:val="auto"/>
                <w:sz w:val="24"/>
                <w:szCs w:val="24"/>
                <w:highlight w:val="yellow"/>
              </w:rPr>
              <w:t>期限</w:t>
            </w:r>
          </w:p>
        </w:tc>
        <w:tc>
          <w:tcPr>
            <w:tcW w:w="7567" w:type="dxa"/>
            <w:gridSpan w:val="3"/>
            <w:vAlign w:val="center"/>
          </w:tcPr>
          <w:p>
            <w:pPr>
              <w:spacing w:line="440" w:lineRule="exact"/>
              <w:rPr>
                <w:rFonts w:hint="eastAsia" w:asciiTheme="minorEastAsia" w:hAnsiTheme="minorEastAsia" w:eastAsiaTheme="minorEastAsia" w:cstheme="minorEastAsia"/>
                <w:color w:val="auto"/>
                <w:sz w:val="24"/>
                <w:szCs w:val="24"/>
                <w:highlight w:val="yellow"/>
                <w:lang w:eastAsia="zh-CN"/>
              </w:rPr>
            </w:pPr>
            <w:r>
              <w:rPr>
                <w:rFonts w:hint="eastAsia" w:asciiTheme="minorEastAsia" w:hAnsiTheme="minorEastAsia" w:eastAsiaTheme="minorEastAsia" w:cstheme="minorEastAsia"/>
                <w:color w:val="auto"/>
                <w:sz w:val="24"/>
                <w:szCs w:val="24"/>
                <w:highlight w:val="yellow"/>
              </w:rPr>
              <w:t>合同签订</w:t>
            </w:r>
            <w:r>
              <w:rPr>
                <w:rFonts w:hint="eastAsia" w:asciiTheme="minorEastAsia" w:hAnsiTheme="minorEastAsia" w:eastAsiaTheme="minorEastAsia" w:cstheme="minorEastAsia"/>
                <w:color w:val="auto"/>
                <w:sz w:val="24"/>
                <w:szCs w:val="24"/>
                <w:highlight w:val="yellow"/>
                <w:lang w:val="en-US" w:eastAsia="zh-CN"/>
              </w:rPr>
              <w:t>后30日历日</w:t>
            </w:r>
            <w:r>
              <w:rPr>
                <w:rFonts w:hint="eastAsia" w:asciiTheme="minorEastAsia" w:hAnsiTheme="minorEastAsia" w:eastAsiaTheme="minorEastAsia" w:cstheme="minorEastAsia"/>
                <w:color w:val="auto"/>
                <w:sz w:val="24"/>
                <w:szCs w:val="24"/>
                <w:highlight w:val="yellow"/>
              </w:rPr>
              <w:t>项目完成</w:t>
            </w:r>
            <w:r>
              <w:rPr>
                <w:rFonts w:hint="eastAsia" w:asciiTheme="minorEastAsia" w:hAnsiTheme="minorEastAsia" w:eastAsiaTheme="minorEastAsia" w:cstheme="minorEastAsia"/>
                <w:color w:val="auto"/>
                <w:sz w:val="24"/>
                <w:szCs w:val="24"/>
                <w:highlight w:val="yellow"/>
                <w:lang w:val="en-US" w:eastAsia="zh-CN"/>
              </w:rPr>
              <w:t>并</w:t>
            </w:r>
            <w:r>
              <w:rPr>
                <w:rFonts w:hint="eastAsia" w:asciiTheme="minorEastAsia" w:hAnsiTheme="minorEastAsia" w:eastAsiaTheme="minorEastAsia" w:cstheme="minorEastAsia"/>
                <w:color w:val="auto"/>
                <w:sz w:val="24"/>
                <w:szCs w:val="24"/>
                <w:highlight w:val="yellow"/>
              </w:rPr>
              <w:t>验收。</w:t>
            </w:r>
            <w:r>
              <w:rPr>
                <w:rFonts w:hint="eastAsia" w:asciiTheme="minorEastAsia" w:hAnsiTheme="minorEastAsia" w:eastAsiaTheme="minorEastAsia" w:cstheme="minorEastAsia"/>
                <w:color w:val="auto"/>
                <w:sz w:val="24"/>
                <w:szCs w:val="24"/>
                <w:highlight w:val="yellow"/>
                <w:lang w:eastAsia="zh-CN"/>
              </w:rPr>
              <w:t>（ 如有不可抗因素根据实际情况</w:t>
            </w:r>
            <w:r>
              <w:rPr>
                <w:rFonts w:hint="eastAsia" w:asciiTheme="minorEastAsia" w:hAnsiTheme="minorEastAsia" w:eastAsiaTheme="minorEastAsia" w:cstheme="minorEastAsia"/>
                <w:color w:val="auto"/>
                <w:sz w:val="24"/>
                <w:szCs w:val="24"/>
                <w:highlight w:val="yellow"/>
                <w:lang w:val="en-US" w:eastAsia="zh-CN"/>
              </w:rPr>
              <w:t>适当延长工期</w:t>
            </w:r>
            <w:r>
              <w:rPr>
                <w:rFonts w:hint="eastAsia" w:asciiTheme="minorEastAsia" w:hAnsiTheme="minorEastAsia" w:eastAsiaTheme="minorEastAsia" w:cstheme="minorEastAsia"/>
                <w:color w:val="auto"/>
                <w:sz w:val="24"/>
                <w:szCs w:val="24"/>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p>
        </w:tc>
        <w:tc>
          <w:tcPr>
            <w:tcW w:w="1318"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服务质量</w:t>
            </w:r>
          </w:p>
        </w:tc>
        <w:tc>
          <w:tcPr>
            <w:tcW w:w="7567" w:type="dxa"/>
            <w:gridSpan w:val="3"/>
            <w:vAlign w:val="center"/>
          </w:tcPr>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保质、保量、按时完成各项服务。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862" w:type="dxa"/>
            <w:vAlign w:val="center"/>
          </w:tcPr>
          <w:p>
            <w:pPr>
              <w:spacing w:line="44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p>
        </w:tc>
        <w:tc>
          <w:tcPr>
            <w:tcW w:w="1318" w:type="dxa"/>
            <w:vAlign w:val="center"/>
          </w:tcPr>
          <w:p>
            <w:pPr>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注意事项</w:t>
            </w:r>
          </w:p>
        </w:tc>
        <w:tc>
          <w:tcPr>
            <w:tcW w:w="7567" w:type="dxa"/>
            <w:gridSpan w:val="3"/>
            <w:vAlign w:val="center"/>
          </w:tcPr>
          <w:p>
            <w:pPr>
              <w:numPr>
                <w:ilvl w:val="0"/>
                <w:numId w:val="2"/>
              </w:numPr>
              <w:spacing w:line="440" w:lineRule="exact"/>
              <w:rPr>
                <w:rFonts w:hint="default" w:eastAsiaTheme="minorEastAsia"/>
                <w:lang w:val="en-US" w:eastAsia="zh-CN"/>
              </w:rPr>
            </w:pPr>
            <w:r>
              <w:rPr>
                <w:rFonts w:hint="eastAsia" w:ascii="宋体" w:hAnsi="宋体" w:eastAsia="宋体" w:cs="宋体"/>
              </w:rPr>
              <w:t>开标时请供应商代表随身携带：营业执照复印件加盖公章、法定代表人授权委托书原件及有效身份证明原件（身份证）</w:t>
            </w:r>
            <w:r>
              <w:rPr>
                <w:rFonts w:hint="eastAsia" w:ascii="宋体" w:hAnsi="宋体" w:eastAsia="宋体" w:cs="宋体"/>
                <w:lang w:eastAsia="zh-CN"/>
              </w:rPr>
              <w:t>、</w:t>
            </w:r>
            <w:r>
              <w:rPr>
                <w:rFonts w:hint="eastAsia" w:ascii="宋体" w:hAnsi="宋体" w:eastAsia="宋体" w:cs="宋体"/>
                <w:lang w:val="en-US" w:eastAsia="zh-CN"/>
              </w:rPr>
              <w:t>保证金汇款凭证</w:t>
            </w:r>
            <w:r>
              <w:rPr>
                <w:rFonts w:hint="eastAsia" w:ascii="宋体" w:hAnsi="宋体" w:eastAsia="宋体" w:cs="宋体"/>
              </w:rPr>
              <w:t>。</w:t>
            </w:r>
          </w:p>
        </w:tc>
      </w:tr>
    </w:tbl>
    <w:p>
      <w:pPr>
        <w:spacing w:line="560" w:lineRule="exact"/>
        <w:rPr>
          <w:rFonts w:ascii="仿宋_GB2312" w:hAnsi="仿宋_GB2312" w:eastAsia="仿宋_GB2312" w:cs="仿宋_GB2312"/>
          <w:b/>
          <w:bCs/>
          <w:sz w:val="32"/>
          <w:szCs w:val="32"/>
        </w:rPr>
      </w:pPr>
    </w:p>
    <w:p>
      <w:pPr>
        <w:spacing w:line="5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t>供应商须知正文</w:t>
      </w:r>
    </w:p>
    <w:p>
      <w:pPr>
        <w:spacing w:line="500" w:lineRule="exact"/>
        <w:rPr>
          <w:rFonts w:ascii="仿宋_GB2312" w:hAnsi="仿宋_GB2312" w:eastAsia="仿宋_GB2312" w:cs="仿宋_GB2312"/>
          <w:b/>
          <w:sz w:val="32"/>
          <w:szCs w:val="32"/>
        </w:rPr>
      </w:pPr>
    </w:p>
    <w:p>
      <w:pPr>
        <w:spacing w:line="5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1、总则</w:t>
      </w:r>
    </w:p>
    <w:p>
      <w:pPr>
        <w:spacing w:line="500" w:lineRule="exact"/>
        <w:ind w:firstLine="42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 项目概况</w:t>
      </w:r>
    </w:p>
    <w:p>
      <w:pPr>
        <w:spacing w:line="500" w:lineRule="exact"/>
        <w:ind w:firstLine="420"/>
        <w:rPr>
          <w:rFonts w:ascii="仿宋_GB2312" w:hAnsi="仿宋_GB2312" w:eastAsia="仿宋_GB2312" w:cs="仿宋_GB2312"/>
          <w:sz w:val="32"/>
          <w:szCs w:val="32"/>
        </w:rPr>
      </w:pPr>
      <w:bookmarkStart w:id="11" w:name="_Hlk18990938"/>
      <w:bookmarkStart w:id="12" w:name="_Hlk18990937"/>
      <w:bookmarkStart w:id="13" w:name="_Hlk18990939"/>
      <w:bookmarkStart w:id="14" w:name="_Hlk57105333"/>
      <w:bookmarkStart w:id="15" w:name="_Hlk57105334"/>
      <w:bookmarkStart w:id="16" w:name="_Hlk57105332"/>
      <w:r>
        <w:rPr>
          <w:rFonts w:hint="eastAsia" w:ascii="仿宋_GB2312" w:hAnsi="仿宋_GB2312" w:eastAsia="仿宋_GB2312" w:cs="仿宋_GB2312"/>
          <w:bCs/>
          <w:sz w:val="32"/>
          <w:szCs w:val="32"/>
        </w:rPr>
        <w:t>1.1</w:t>
      </w:r>
      <w:bookmarkEnd w:id="11"/>
      <w:bookmarkEnd w:id="12"/>
      <w:bookmarkEnd w:id="13"/>
      <w:r>
        <w:rPr>
          <w:rFonts w:hint="eastAsia" w:ascii="仿宋_GB2312" w:hAnsi="仿宋_GB2312" w:eastAsia="仿宋_GB2312" w:cs="仿宋_GB2312"/>
          <w:bCs/>
          <w:sz w:val="32"/>
          <w:szCs w:val="32"/>
        </w:rPr>
        <w:t>.1</w:t>
      </w:r>
      <w:bookmarkEnd w:id="14"/>
      <w:bookmarkEnd w:id="15"/>
      <w:bookmarkEnd w:id="16"/>
      <w:r>
        <w:rPr>
          <w:rFonts w:hint="eastAsia" w:ascii="仿宋_GB2312" w:hAnsi="仿宋_GB2312" w:eastAsia="仿宋_GB2312" w:cs="仿宋_GB2312"/>
          <w:bCs/>
          <w:sz w:val="32"/>
          <w:szCs w:val="32"/>
        </w:rPr>
        <w:t xml:space="preserve"> 本竞争性磋商项目的项目概况已在供应商须知前附表第</w:t>
      </w:r>
      <w:bookmarkStart w:id="17" w:name="_Hlt19009661"/>
      <w:bookmarkStart w:id="18" w:name="_Hlt22455311"/>
      <w:bookmarkStart w:id="19" w:name="_Hlt57105328"/>
      <w:bookmarkStart w:id="20" w:name="_Hlt18990941"/>
      <w:bookmarkStart w:id="21" w:name="_Hlt23589652"/>
      <w:bookmarkStart w:id="22" w:name="_Hlt18990926"/>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"_Hlk18822563" \s "1,26,27,0,,1" </w:instrText>
      </w:r>
      <w:r>
        <w:rPr>
          <w:rFonts w:hint="eastAsia" w:ascii="仿宋_GB2312" w:hAnsi="仿宋_GB2312" w:eastAsia="仿宋_GB2312" w:cs="仿宋_GB2312"/>
          <w:bCs/>
          <w:sz w:val="32"/>
          <w:szCs w:val="32"/>
        </w:rPr>
        <w:fldChar w:fldCharType="separate"/>
      </w:r>
      <w:r>
        <w:rPr>
          <w:rStyle w:val="32"/>
          <w:rFonts w:hint="eastAsia" w:ascii="仿宋_GB2312" w:hAnsi="仿宋_GB2312" w:eastAsia="仿宋_GB2312" w:cs="仿宋_GB2312"/>
          <w:color w:val="auto"/>
          <w:sz w:val="32"/>
          <w:szCs w:val="32"/>
        </w:rPr>
        <w:t>1</w:t>
      </w:r>
      <w:r>
        <w:rPr>
          <w:rFonts w:hint="eastAsia" w:ascii="仿宋_GB2312" w:hAnsi="仿宋_GB2312" w:eastAsia="仿宋_GB2312" w:cs="仿宋_GB2312"/>
          <w:bCs/>
          <w:sz w:val="32"/>
          <w:szCs w:val="32"/>
        </w:rPr>
        <w:fldChar w:fldCharType="end"/>
      </w:r>
      <w:bookmarkEnd w:id="17"/>
      <w:bookmarkEnd w:id="18"/>
      <w:bookmarkEnd w:id="19"/>
      <w:bookmarkEnd w:id="20"/>
      <w:bookmarkEnd w:id="21"/>
      <w:bookmarkEnd w:id="22"/>
      <w:r>
        <w:rPr>
          <w:rFonts w:hint="eastAsia" w:ascii="仿宋_GB2312" w:hAnsi="仿宋_GB2312" w:eastAsia="仿宋_GB2312" w:cs="仿宋_GB2312"/>
          <w:bCs/>
          <w:sz w:val="32"/>
          <w:szCs w:val="32"/>
        </w:rPr>
        <w:t>项中说明。</w:t>
      </w:r>
    </w:p>
    <w:p>
      <w:pPr>
        <w:spacing w:line="50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1.2 项目磋商范围</w:t>
      </w:r>
    </w:p>
    <w:p>
      <w:pPr>
        <w:spacing w:line="500" w:lineRule="exact"/>
        <w:ind w:firstLine="420"/>
        <w:rPr>
          <w:rFonts w:ascii="仿宋_GB2312" w:hAnsi="仿宋_GB2312" w:eastAsia="仿宋_GB2312" w:cs="仿宋_GB2312"/>
          <w:bCs/>
          <w:sz w:val="32"/>
          <w:szCs w:val="32"/>
        </w:rPr>
      </w:pPr>
      <w:bookmarkStart w:id="23" w:name="_Hlk57105362"/>
      <w:bookmarkStart w:id="24" w:name="_Hlk57105360"/>
      <w:bookmarkStart w:id="25" w:name="_Hlk57105361"/>
      <w:r>
        <w:rPr>
          <w:rFonts w:hint="eastAsia" w:ascii="仿宋_GB2312" w:hAnsi="仿宋_GB2312" w:eastAsia="仿宋_GB2312" w:cs="仿宋_GB2312"/>
          <w:sz w:val="32"/>
          <w:szCs w:val="32"/>
        </w:rPr>
        <w:t>1.2.1</w:t>
      </w:r>
      <w:bookmarkEnd w:id="23"/>
      <w:bookmarkEnd w:id="24"/>
      <w:bookmarkEnd w:id="25"/>
      <w:r>
        <w:rPr>
          <w:rFonts w:hint="eastAsia" w:ascii="仿宋_GB2312" w:hAnsi="仿宋_GB2312" w:eastAsia="仿宋_GB2312" w:cs="仿宋_GB2312"/>
          <w:sz w:val="32"/>
          <w:szCs w:val="32"/>
        </w:rPr>
        <w:t xml:space="preserve"> 本项目磋商范围</w:t>
      </w:r>
      <w:r>
        <w:rPr>
          <w:rFonts w:hint="eastAsia" w:ascii="仿宋_GB2312" w:hAnsi="仿宋_GB2312" w:eastAsia="仿宋_GB2312" w:cs="仿宋_GB2312"/>
          <w:bCs/>
          <w:sz w:val="32"/>
          <w:szCs w:val="32"/>
        </w:rPr>
        <w:t>已在供应商须知前附表第</w:t>
      </w:r>
      <w:bookmarkStart w:id="26" w:name="_Hlt57355765"/>
      <w:bookmarkStart w:id="27" w:name="_Hlt57105355"/>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"_Hlk23589674" \s "1,1322,1323,0,,2" </w:instrText>
      </w:r>
      <w:r>
        <w:rPr>
          <w:rFonts w:hint="eastAsia" w:ascii="仿宋_GB2312" w:hAnsi="仿宋_GB2312" w:eastAsia="仿宋_GB2312" w:cs="仿宋_GB2312"/>
          <w:sz w:val="32"/>
          <w:szCs w:val="32"/>
        </w:rPr>
        <w:fldChar w:fldCharType="separate"/>
      </w:r>
      <w:r>
        <w:rPr>
          <w:rStyle w:val="32"/>
          <w:rFonts w:hint="eastAsia" w:ascii="仿宋_GB2312" w:hAnsi="仿宋_GB2312" w:eastAsia="仿宋_GB2312" w:cs="仿宋_GB2312"/>
          <w:color w:val="auto"/>
          <w:sz w:val="32"/>
          <w:szCs w:val="32"/>
        </w:rPr>
        <w:t>2</w:t>
      </w:r>
      <w:r>
        <w:rPr>
          <w:rFonts w:hint="eastAsia" w:ascii="仿宋_GB2312" w:hAnsi="仿宋_GB2312" w:eastAsia="仿宋_GB2312" w:cs="仿宋_GB2312"/>
          <w:sz w:val="32"/>
          <w:szCs w:val="32"/>
        </w:rPr>
        <w:fldChar w:fldCharType="end"/>
      </w:r>
      <w:bookmarkEnd w:id="26"/>
      <w:bookmarkEnd w:id="27"/>
      <w:r>
        <w:rPr>
          <w:rFonts w:hint="eastAsia" w:ascii="仿宋_GB2312" w:hAnsi="仿宋_GB2312" w:eastAsia="仿宋_GB2312" w:cs="仿宋_GB2312"/>
          <w:bCs/>
          <w:sz w:val="32"/>
          <w:szCs w:val="32"/>
        </w:rPr>
        <w:t>项中说明，供应商除非接到采购人发布的《磋商文件补充》，否则不得擅自增加或删减项目的磋商范围。</w:t>
      </w:r>
    </w:p>
    <w:p>
      <w:pPr>
        <w:spacing w:line="5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1.3 采购方式及备案</w:t>
      </w:r>
    </w:p>
    <w:p>
      <w:pPr>
        <w:spacing w:line="500" w:lineRule="exact"/>
        <w:ind w:firstLine="480" w:firstLineChars="150"/>
        <w:rPr>
          <w:rFonts w:ascii="仿宋_GB2312" w:hAnsi="仿宋_GB2312" w:eastAsia="仿宋_GB2312" w:cs="仿宋_GB2312"/>
          <w:bCs/>
          <w:sz w:val="32"/>
          <w:szCs w:val="32"/>
        </w:rPr>
      </w:pPr>
      <w:bookmarkStart w:id="28" w:name="_Hlk57105426"/>
      <w:bookmarkStart w:id="29" w:name="_Hlk57105427"/>
      <w:bookmarkStart w:id="30" w:name="_Hlk18991059"/>
      <w:bookmarkStart w:id="31" w:name="_Hlk18991060"/>
      <w:bookmarkStart w:id="32" w:name="_Hlk18991061"/>
      <w:bookmarkStart w:id="33" w:name="_Hlk57105428"/>
      <w:r>
        <w:rPr>
          <w:rFonts w:hint="eastAsia" w:ascii="仿宋_GB2312" w:hAnsi="仿宋_GB2312" w:eastAsia="仿宋_GB2312" w:cs="仿宋_GB2312"/>
          <w:sz w:val="32"/>
          <w:szCs w:val="32"/>
        </w:rPr>
        <w:t>1.3.1</w:t>
      </w:r>
      <w:bookmarkEnd w:id="28"/>
      <w:bookmarkEnd w:id="29"/>
      <w:bookmarkEnd w:id="30"/>
      <w:bookmarkEnd w:id="31"/>
      <w:bookmarkEnd w:id="32"/>
      <w:bookmarkEnd w:id="33"/>
      <w:r>
        <w:rPr>
          <w:rFonts w:hint="eastAsia" w:ascii="仿宋_GB2312" w:hAnsi="仿宋_GB2312" w:eastAsia="仿宋_GB2312" w:cs="仿宋_GB2312"/>
          <w:sz w:val="32"/>
          <w:szCs w:val="32"/>
        </w:rPr>
        <w:t xml:space="preserve"> 本项目采购方式</w:t>
      </w:r>
      <w:r>
        <w:rPr>
          <w:rFonts w:hint="eastAsia" w:ascii="仿宋_GB2312" w:hAnsi="仿宋_GB2312" w:eastAsia="仿宋_GB2312" w:cs="仿宋_GB2312"/>
          <w:bCs/>
          <w:sz w:val="32"/>
          <w:szCs w:val="32"/>
        </w:rPr>
        <w:t>已在供应商须知前附表第</w:t>
      </w:r>
      <w:bookmarkStart w:id="34" w:name="_Hlt57105421"/>
      <w:bookmarkStart w:id="35" w:name="_Hlt18991053"/>
      <w:bookmarkStart w:id="36" w:name="_Hlt23589778"/>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"_Hlk18822791" \s "1,243,244,0,,7" </w:instrText>
      </w:r>
      <w:r>
        <w:rPr>
          <w:rFonts w:hint="eastAsia" w:ascii="仿宋_GB2312" w:hAnsi="仿宋_GB2312" w:eastAsia="仿宋_GB2312" w:cs="仿宋_GB2312"/>
          <w:bCs/>
          <w:sz w:val="32"/>
          <w:szCs w:val="32"/>
        </w:rPr>
        <w:fldChar w:fldCharType="separate"/>
      </w:r>
      <w:r>
        <w:rPr>
          <w:rStyle w:val="32"/>
          <w:rFonts w:hint="eastAsia" w:ascii="仿宋_GB2312" w:hAnsi="仿宋_GB2312" w:eastAsia="仿宋_GB2312" w:cs="仿宋_GB2312"/>
          <w:color w:val="auto"/>
          <w:sz w:val="32"/>
          <w:szCs w:val="32"/>
        </w:rPr>
        <w:t>3</w:t>
      </w:r>
      <w:r>
        <w:rPr>
          <w:rFonts w:hint="eastAsia" w:ascii="仿宋_GB2312" w:hAnsi="仿宋_GB2312" w:eastAsia="仿宋_GB2312" w:cs="仿宋_GB2312"/>
          <w:bCs/>
          <w:sz w:val="32"/>
          <w:szCs w:val="32"/>
        </w:rPr>
        <w:fldChar w:fldCharType="end"/>
      </w:r>
      <w:bookmarkEnd w:id="34"/>
      <w:bookmarkEnd w:id="35"/>
      <w:bookmarkEnd w:id="36"/>
      <w:r>
        <w:rPr>
          <w:rFonts w:hint="eastAsia" w:ascii="仿宋_GB2312" w:hAnsi="仿宋_GB2312" w:eastAsia="仿宋_GB2312" w:cs="仿宋_GB2312"/>
          <w:bCs/>
          <w:sz w:val="32"/>
          <w:szCs w:val="32"/>
        </w:rPr>
        <w:t>项说明。</w:t>
      </w:r>
    </w:p>
    <w:p>
      <w:pPr>
        <w:spacing w:line="5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1.4 合格供应商</w:t>
      </w:r>
    </w:p>
    <w:p>
      <w:pPr>
        <w:spacing w:line="500" w:lineRule="exact"/>
        <w:ind w:firstLine="480" w:firstLineChars="150"/>
        <w:rPr>
          <w:rFonts w:ascii="仿宋_GB2312" w:hAnsi="仿宋_GB2312" w:eastAsia="仿宋_GB2312" w:cs="仿宋_GB2312"/>
          <w:sz w:val="32"/>
          <w:szCs w:val="32"/>
        </w:rPr>
      </w:pPr>
      <w:bookmarkStart w:id="37" w:name="_Hlk57105447"/>
      <w:bookmarkStart w:id="38" w:name="_Hlk57105446"/>
      <w:bookmarkStart w:id="39" w:name="_Hlk18991072"/>
      <w:bookmarkStart w:id="40" w:name="_Hlk57105448"/>
      <w:bookmarkStart w:id="41" w:name="_Hlk18991074"/>
      <w:bookmarkStart w:id="42" w:name="_Hlk18991073"/>
      <w:r>
        <w:rPr>
          <w:rFonts w:hint="eastAsia" w:ascii="仿宋_GB2312" w:hAnsi="仿宋_GB2312" w:eastAsia="仿宋_GB2312" w:cs="仿宋_GB2312"/>
          <w:sz w:val="32"/>
          <w:szCs w:val="32"/>
        </w:rPr>
        <w:t>1.4.1</w:t>
      </w:r>
      <w:bookmarkEnd w:id="37"/>
      <w:bookmarkEnd w:id="38"/>
      <w:bookmarkEnd w:id="39"/>
      <w:bookmarkEnd w:id="40"/>
      <w:bookmarkEnd w:id="41"/>
      <w:bookmarkEnd w:id="42"/>
      <w:r>
        <w:rPr>
          <w:rFonts w:hint="eastAsia" w:ascii="仿宋_GB2312" w:hAnsi="仿宋_GB2312" w:eastAsia="仿宋_GB2312" w:cs="仿宋_GB2312"/>
          <w:sz w:val="32"/>
          <w:szCs w:val="32"/>
        </w:rPr>
        <w:t xml:space="preserve"> 参加磋商的供应商资格要求</w:t>
      </w:r>
      <w:r>
        <w:rPr>
          <w:rFonts w:hint="eastAsia" w:ascii="仿宋_GB2312" w:hAnsi="仿宋_GB2312" w:eastAsia="仿宋_GB2312" w:cs="仿宋_GB2312"/>
          <w:bCs/>
          <w:sz w:val="32"/>
          <w:szCs w:val="32"/>
        </w:rPr>
        <w:t>已在供应商须知前附表第</w:t>
      </w:r>
      <w:bookmarkStart w:id="43" w:name="_Hlt18991067"/>
      <w:bookmarkStart w:id="44" w:name="_Hlt57105441"/>
      <w:bookmarkStart w:id="45" w:name="_Hlt23589819"/>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"_Hlk18822846" \s "1,256,257,0,,8" </w:instrText>
      </w:r>
      <w:r>
        <w:rPr>
          <w:rFonts w:hint="eastAsia" w:ascii="仿宋_GB2312" w:hAnsi="仿宋_GB2312" w:eastAsia="仿宋_GB2312" w:cs="仿宋_GB2312"/>
          <w:bCs/>
          <w:sz w:val="32"/>
          <w:szCs w:val="32"/>
        </w:rPr>
        <w:fldChar w:fldCharType="separate"/>
      </w:r>
      <w:r>
        <w:rPr>
          <w:rStyle w:val="32"/>
          <w:rFonts w:hint="eastAsia" w:ascii="仿宋_GB2312" w:hAnsi="仿宋_GB2312" w:eastAsia="仿宋_GB2312" w:cs="仿宋_GB2312"/>
          <w:color w:val="auto"/>
          <w:sz w:val="32"/>
          <w:szCs w:val="32"/>
        </w:rPr>
        <w:t>4</w:t>
      </w:r>
      <w:r>
        <w:rPr>
          <w:rFonts w:hint="eastAsia" w:ascii="仿宋_GB2312" w:hAnsi="仿宋_GB2312" w:eastAsia="仿宋_GB2312" w:cs="仿宋_GB2312"/>
          <w:bCs/>
          <w:sz w:val="32"/>
          <w:szCs w:val="32"/>
        </w:rPr>
        <w:fldChar w:fldCharType="end"/>
      </w:r>
      <w:bookmarkEnd w:id="43"/>
      <w:bookmarkEnd w:id="44"/>
      <w:bookmarkEnd w:id="45"/>
      <w:r>
        <w:rPr>
          <w:rFonts w:hint="eastAsia" w:ascii="仿宋_GB2312" w:hAnsi="仿宋_GB2312" w:eastAsia="仿宋_GB2312" w:cs="仿宋_GB2312"/>
          <w:bCs/>
          <w:sz w:val="32"/>
          <w:szCs w:val="32"/>
        </w:rPr>
        <w:t>项说明</w:t>
      </w:r>
      <w:r>
        <w:rPr>
          <w:rFonts w:hint="eastAsia" w:ascii="仿宋_GB2312" w:hAnsi="仿宋_GB2312" w:eastAsia="仿宋_GB2312" w:cs="仿宋_GB2312"/>
          <w:sz w:val="32"/>
          <w:szCs w:val="32"/>
        </w:rPr>
        <w:t>。</w:t>
      </w:r>
    </w:p>
    <w:p>
      <w:pPr>
        <w:spacing w:line="5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1.5 磋商费用</w:t>
      </w:r>
    </w:p>
    <w:p>
      <w:pPr>
        <w:pStyle w:val="19"/>
        <w:spacing w:line="5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1.5.1 供应商应承担其编制响应文件与递交响应文件所涉及的一切费用，不论磋商结果如何，采购人对上述费用不做任何补偿。</w:t>
      </w:r>
    </w:p>
    <w:p>
      <w:pPr>
        <w:pStyle w:val="10"/>
        <w:spacing w:line="500" w:lineRule="exact"/>
        <w:ind w:firstLine="0"/>
        <w:rPr>
          <w:rFonts w:ascii="仿宋_GB2312" w:hAnsi="仿宋_GB2312" w:eastAsia="仿宋_GB2312" w:cs="仿宋_GB2312"/>
          <w:b/>
          <w:sz w:val="32"/>
          <w:szCs w:val="32"/>
        </w:rPr>
      </w:pPr>
      <w:r>
        <w:rPr>
          <w:rFonts w:hint="eastAsia" w:ascii="仿宋_GB2312" w:hAnsi="仿宋_GB2312" w:eastAsia="仿宋_GB2312" w:cs="仿宋_GB2312"/>
          <w:b/>
          <w:sz w:val="32"/>
          <w:szCs w:val="32"/>
        </w:rPr>
        <w:t>2、磋商文件</w:t>
      </w:r>
    </w:p>
    <w:p>
      <w:pPr>
        <w:spacing w:line="500" w:lineRule="exact"/>
        <w:ind w:firstLine="480" w:firstLineChars="150"/>
        <w:rPr>
          <w:rFonts w:ascii="仿宋_GB2312" w:hAnsi="仿宋_GB2312" w:eastAsia="仿宋_GB2312" w:cs="仿宋_GB2312"/>
          <w:b/>
          <w:bCs/>
          <w:sz w:val="32"/>
          <w:szCs w:val="32"/>
        </w:rPr>
      </w:pPr>
      <w:r>
        <w:rPr>
          <w:rFonts w:hint="eastAsia" w:ascii="仿宋_GB2312" w:hAnsi="仿宋_GB2312" w:eastAsia="仿宋_GB2312" w:cs="仿宋_GB2312"/>
          <w:sz w:val="32"/>
          <w:szCs w:val="32"/>
        </w:rPr>
        <w:t>2.1 磋商文件的组成</w:t>
      </w:r>
    </w:p>
    <w:p>
      <w:pPr>
        <w:spacing w:line="5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2.1.1 磋商文件由本文件及按本文件有关规定发出的《磋商文件补充》组成。</w:t>
      </w:r>
    </w:p>
    <w:p>
      <w:pPr>
        <w:pStyle w:val="19"/>
        <w:spacing w:line="5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2.1.2 供应商应认真研究本磋商文件所有内容，尤其应注意有</w:t>
      </w:r>
      <w:r>
        <w:rPr>
          <w:rFonts w:hint="eastAsia" w:ascii="仿宋_GB2312" w:hAnsi="仿宋_GB2312" w:eastAsia="仿宋_GB2312" w:cs="仿宋_GB2312"/>
          <w:b/>
          <w:bCs/>
          <w:sz w:val="32"/>
          <w:szCs w:val="32"/>
        </w:rPr>
        <w:t xml:space="preserve"> “拒绝评审”</w:t>
      </w:r>
      <w:r>
        <w:rPr>
          <w:rFonts w:hint="eastAsia" w:ascii="仿宋_GB2312" w:hAnsi="仿宋_GB2312" w:eastAsia="仿宋_GB2312" w:cs="仿宋_GB2312"/>
          <w:sz w:val="32"/>
          <w:szCs w:val="32"/>
        </w:rPr>
        <w:t>字样的条款，以免引起废标，对此产生的后果由供应商自负。</w:t>
      </w:r>
    </w:p>
    <w:p>
      <w:pPr>
        <w:spacing w:line="5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2.2 磋商文件的解释</w:t>
      </w:r>
    </w:p>
    <w:p>
      <w:pPr>
        <w:spacing w:line="5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2.2.1 磋商答疑要求详见</w:t>
      </w:r>
      <w:r>
        <w:rPr>
          <w:rFonts w:hint="eastAsia" w:ascii="仿宋_GB2312" w:hAnsi="仿宋_GB2312" w:eastAsia="仿宋_GB2312" w:cs="仿宋_GB2312"/>
          <w:bCs/>
          <w:sz w:val="32"/>
          <w:szCs w:val="32"/>
        </w:rPr>
        <w:t>供应商</w:t>
      </w:r>
      <w:r>
        <w:rPr>
          <w:rFonts w:hint="eastAsia" w:ascii="仿宋_GB2312" w:hAnsi="仿宋_GB2312" w:eastAsia="仿宋_GB2312" w:cs="仿宋_GB2312"/>
          <w:sz w:val="32"/>
          <w:szCs w:val="32"/>
        </w:rPr>
        <w:t>须知前附表第</w:t>
      </w:r>
      <w:r>
        <w:rPr>
          <w:rFonts w:hint="eastAsia" w:ascii="仿宋_GB2312" w:hAnsi="仿宋_GB2312" w:eastAsia="仿宋_GB2312" w:cs="仿宋_GB2312"/>
          <w:sz w:val="32"/>
          <w:szCs w:val="32"/>
          <w:u w:val="single"/>
        </w:rPr>
        <w:t>12</w:t>
      </w:r>
      <w:r>
        <w:rPr>
          <w:rFonts w:hint="eastAsia" w:ascii="仿宋_GB2312" w:hAnsi="仿宋_GB2312" w:eastAsia="仿宋_GB2312" w:cs="仿宋_GB2312"/>
          <w:sz w:val="32"/>
          <w:szCs w:val="32"/>
        </w:rPr>
        <w:t>项</w:t>
      </w:r>
    </w:p>
    <w:p>
      <w:pPr>
        <w:spacing w:line="5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2.3 磋商文件的修改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2.3.1 在投标截止时间5日前，采购人可以采取《磋商文件补充》的方式修改磋商文件。</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2.3.2 《磋商文件补充》作为磋商文件的组成部分，对供应商起同等约束作用。</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2.3.3 为使供应商在编制响应文件时把《磋商文件补充》内容考虑进去，采购人可以延长递交响应文件的截止时间，具体时间将在《磋商文件补充》中写明。</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2.3.4 磋商文件的澄清、修改、磋商答疑会纪要等书面材料在本竞争性磋商项目中均称《磋商文件补充》。如果《磋商文件补充》内容与在此《磋商文件补充》发出之前的磋商文件等书面材料中相关内容相冲突，请供应商执行《磋商文件补充》的相关规定，先前发出的磋商文件等书面材料中相关内容自动废止。</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bCs/>
          <w:sz w:val="32"/>
          <w:szCs w:val="32"/>
        </w:rPr>
        <w:t>3、磋商保证金详见供应商须知前附表第</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"_Hlk18822791" \s "1,243,244,0,,7" </w:instrText>
      </w:r>
      <w:r>
        <w:rPr>
          <w:rFonts w:hint="eastAsia" w:ascii="仿宋_GB2312" w:hAnsi="仿宋_GB2312" w:eastAsia="仿宋_GB2312" w:cs="仿宋_GB2312"/>
          <w:bCs/>
          <w:sz w:val="32"/>
          <w:szCs w:val="32"/>
        </w:rPr>
        <w:fldChar w:fldCharType="separate"/>
      </w:r>
      <w:r>
        <w:rPr>
          <w:rStyle w:val="32"/>
          <w:rFonts w:hint="eastAsia" w:ascii="仿宋_GB2312" w:hAnsi="仿宋_GB2312" w:eastAsia="仿宋_GB2312" w:cs="仿宋_GB2312"/>
          <w:color w:val="auto"/>
          <w:sz w:val="32"/>
          <w:szCs w:val="32"/>
        </w:rPr>
        <w:t>5</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项说明</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4、本项目代理费的收取由中标单位支付。</w:t>
      </w:r>
    </w:p>
    <w:p>
      <w:pPr>
        <w:spacing w:line="5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5、响应文件</w:t>
      </w:r>
    </w:p>
    <w:p>
      <w:pPr>
        <w:pStyle w:val="9"/>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5.1 响应文件的组成</w:t>
      </w:r>
    </w:p>
    <w:p>
      <w:pPr>
        <w:spacing w:line="5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5.1.1商务部分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（1）资格性自查表</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（2）投标函</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（3）报价一览表及投标报价明细表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（4）投标人基本情况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（5）投标人的资格审查材料</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（6）近三年同类项目业绩一览表</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（7）服务承诺书</w:t>
      </w:r>
    </w:p>
    <w:p>
      <w:pPr>
        <w:spacing w:line="5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商务条款偏离表</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w:t>
      </w:r>
      <w:r>
        <w:rPr>
          <w:rFonts w:hint="eastAsia" w:ascii="仿宋_GB2312" w:hAnsi="仿宋_GB2312" w:eastAsia="仿宋_GB2312" w:cs="仿宋_GB2312"/>
          <w:sz w:val="32"/>
          <w:szCs w:val="32"/>
        </w:rPr>
        <w:t>标人认为需要提供的其它资料</w:t>
      </w:r>
    </w:p>
    <w:p>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5.1.2技术部分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（1）履行合同所必需的能力和专业技术证明材料</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（2）项目实施方案</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（3）详细售后方案（格式自拟），内容包括：相关技术措施、质量保障措施、本地化服务条件 </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（4）售后机构证明（自行提供）</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（5）技术条款偏差表</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（6）供应商认为有必要提供的其它材料</w:t>
      </w:r>
    </w:p>
    <w:p>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5.2</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响应文件的份数和签署</w:t>
      </w:r>
    </w:p>
    <w:p>
      <w:pPr>
        <w:spacing w:line="500" w:lineRule="exact"/>
        <w:ind w:firstLine="640" w:firstLineChars="200"/>
        <w:rPr>
          <w:rFonts w:ascii="仿宋_GB2312" w:hAnsi="仿宋_GB2312" w:eastAsia="仿宋_GB2312" w:cs="仿宋_GB2312"/>
          <w:sz w:val="32"/>
          <w:szCs w:val="32"/>
        </w:rPr>
      </w:pPr>
      <w:bookmarkStart w:id="46" w:name="_Hlk57105526"/>
      <w:bookmarkStart w:id="47" w:name="_Hlk57105525"/>
      <w:bookmarkStart w:id="48" w:name="_Hlk57105527"/>
      <w:r>
        <w:rPr>
          <w:rFonts w:hint="eastAsia" w:ascii="仿宋_GB2312" w:hAnsi="仿宋_GB2312" w:eastAsia="仿宋_GB2312" w:cs="仿宋_GB2312"/>
          <w:sz w:val="32"/>
          <w:szCs w:val="32"/>
        </w:rPr>
        <w:t>5.2.1</w:t>
      </w:r>
      <w:bookmarkEnd w:id="46"/>
      <w:bookmarkEnd w:id="47"/>
      <w:bookmarkEnd w:id="48"/>
      <w:r>
        <w:rPr>
          <w:rFonts w:hint="eastAsia" w:ascii="仿宋_GB2312" w:hAnsi="仿宋_GB2312" w:eastAsia="仿宋_GB2312" w:cs="仿宋_GB2312"/>
          <w:sz w:val="32"/>
          <w:szCs w:val="32"/>
        </w:rPr>
        <w:t xml:space="preserve"> 供应商必须按</w:t>
      </w:r>
      <w:r>
        <w:rPr>
          <w:rFonts w:hint="eastAsia" w:ascii="仿宋_GB2312" w:hAnsi="仿宋_GB2312" w:eastAsia="仿宋_GB2312" w:cs="仿宋_GB2312"/>
          <w:bCs/>
          <w:sz w:val="32"/>
          <w:szCs w:val="32"/>
        </w:rPr>
        <w:t>供应商须知前附表第</w:t>
      </w:r>
      <w:r>
        <w:rPr>
          <w:rFonts w:hint="eastAsia" w:ascii="仿宋_GB2312" w:hAnsi="仿宋_GB2312" w:eastAsia="仿宋_GB2312" w:cs="仿宋_GB2312"/>
          <w:bCs/>
          <w:sz w:val="32"/>
          <w:szCs w:val="32"/>
          <w:u w:val="single"/>
        </w:rPr>
        <w:t>7</w:t>
      </w:r>
      <w:r>
        <w:rPr>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规定，编制响应文件“正本”和“副本”份数，响应文件正本和副本如有不一致之处，以正本为准。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5.2.2 响应文件正本与副本用打印方式编制，严禁涂改和行间插字。</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5.2.3 响应文件中凡是要求盖供应商公章和法定代表人或委托代理人章的，必须加盖。</w:t>
      </w:r>
    </w:p>
    <w:p>
      <w:pPr>
        <w:spacing w:line="500" w:lineRule="exact"/>
        <w:ind w:firstLine="640" w:firstLineChars="200"/>
        <w:rPr>
          <w:rFonts w:ascii="仿宋_GB2312" w:hAnsi="仿宋_GB2312" w:eastAsia="仿宋_GB2312" w:cs="仿宋_GB2312"/>
          <w:sz w:val="32"/>
          <w:szCs w:val="32"/>
        </w:rPr>
      </w:pPr>
      <w:bookmarkStart w:id="49" w:name="_Hlk57022098"/>
      <w:bookmarkStart w:id="50" w:name="_Hlk57022097"/>
      <w:bookmarkStart w:id="51" w:name="_Hlk57022096"/>
      <w:r>
        <w:rPr>
          <w:rFonts w:hint="eastAsia" w:ascii="仿宋_GB2312" w:hAnsi="仿宋_GB2312" w:eastAsia="仿宋_GB2312" w:cs="仿宋_GB2312"/>
          <w:sz w:val="32"/>
          <w:szCs w:val="32"/>
        </w:rPr>
        <w:t>5.2.4</w:t>
      </w:r>
      <w:bookmarkEnd w:id="49"/>
      <w:bookmarkEnd w:id="50"/>
      <w:bookmarkEnd w:id="51"/>
      <w:r>
        <w:rPr>
          <w:rFonts w:hint="eastAsia" w:ascii="仿宋_GB2312" w:hAnsi="仿宋_GB2312" w:eastAsia="仿宋_GB2312" w:cs="仿宋_GB2312"/>
          <w:sz w:val="32"/>
          <w:szCs w:val="32"/>
        </w:rPr>
        <w:t xml:space="preserve"> 响应文件封面右上角必须注明“正本”或“副本”字样。</w:t>
      </w:r>
    </w:p>
    <w:p>
      <w:pPr>
        <w:spacing w:line="5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5.3 全套响应文件应无涂改和行间插字，除非这些删改是根据采购人的指示进行的，或者是供应商造成的必须修改的错误。修改处应加盖供应商公章。</w:t>
      </w:r>
    </w:p>
    <w:p>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5.4 响应文件的密封与标示</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5.4.1 竞争性磋商响应文件正本、所有副本、电子版，应分别封装于不同的密封袋内，密封袋上应分别标上“正本”、“副本”、“电子版”，并注明竞争性磋商采购人和响应人名称、采购项目编号、采购项目名称。</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5.4.2 封袋必须在开启处密封，并加盖供应商公章或法定代表人或委托代理人章（因签名无备案，签名一律无效）。</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5.4.3 如果响应文件未按上述规定密封与标示的，将视为整个响应文件不响应磋商文件,而予以拒绝评审。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5.5 响应文件递交</w:t>
      </w:r>
    </w:p>
    <w:p>
      <w:pPr>
        <w:spacing w:line="500" w:lineRule="exact"/>
        <w:ind w:firstLine="640" w:firstLineChars="200"/>
        <w:rPr>
          <w:rFonts w:ascii="仿宋_GB2312" w:hAnsi="仿宋_GB2312" w:eastAsia="仿宋_GB2312" w:cs="仿宋_GB2312"/>
          <w:sz w:val="32"/>
          <w:szCs w:val="32"/>
        </w:rPr>
      </w:pPr>
      <w:bookmarkStart w:id="52" w:name="_Hlk18820305"/>
      <w:bookmarkStart w:id="53" w:name="_Hlk57105547"/>
      <w:bookmarkStart w:id="54" w:name="_Hlk23651229"/>
      <w:bookmarkStart w:id="55" w:name="_Hlk23746208"/>
      <w:bookmarkStart w:id="56" w:name="_Hlk23746210"/>
      <w:bookmarkStart w:id="57" w:name="_Hlk23746209"/>
      <w:bookmarkStart w:id="58" w:name="_Hlk22461105"/>
      <w:bookmarkStart w:id="59" w:name="_Hlk22461103"/>
      <w:bookmarkStart w:id="60" w:name="_Hlk22461104"/>
      <w:bookmarkStart w:id="61" w:name="_Hlk23651228"/>
      <w:bookmarkStart w:id="62" w:name="_Hlk18820304"/>
      <w:bookmarkStart w:id="63" w:name="_Hlk23651230"/>
      <w:bookmarkStart w:id="64" w:name="_Hlk57105548"/>
      <w:bookmarkStart w:id="65" w:name="_Hlk18820306"/>
      <w:bookmarkStart w:id="66" w:name="_Hlk57105549"/>
      <w:r>
        <w:rPr>
          <w:rFonts w:hint="eastAsia" w:ascii="仿宋_GB2312" w:hAnsi="仿宋_GB2312" w:eastAsia="仿宋_GB2312" w:cs="仿宋_GB2312"/>
          <w:sz w:val="32"/>
          <w:szCs w:val="32"/>
        </w:rPr>
        <w:t>5.5.1</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ascii="仿宋_GB2312" w:hAnsi="仿宋_GB2312" w:eastAsia="仿宋_GB2312" w:cs="仿宋_GB2312"/>
          <w:sz w:val="32"/>
          <w:szCs w:val="32"/>
        </w:rPr>
        <w:t xml:space="preserve"> 供应商必须按</w:t>
      </w:r>
      <w:r>
        <w:rPr>
          <w:rFonts w:hint="eastAsia" w:ascii="仿宋_GB2312" w:hAnsi="仿宋_GB2312" w:eastAsia="仿宋_GB2312" w:cs="仿宋_GB2312"/>
          <w:bCs/>
          <w:sz w:val="32"/>
          <w:szCs w:val="32"/>
        </w:rPr>
        <w:t>供应商须知前附表第</w:t>
      </w:r>
      <w:r>
        <w:rPr>
          <w:rFonts w:hint="eastAsia" w:ascii="仿宋_GB2312" w:hAnsi="仿宋_GB2312" w:eastAsia="仿宋_GB2312" w:cs="仿宋_GB2312"/>
          <w:bCs/>
          <w:sz w:val="32"/>
          <w:szCs w:val="32"/>
          <w:u w:val="single"/>
        </w:rPr>
        <w:t>8</w:t>
      </w:r>
      <w:r>
        <w:rPr>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规定，将响应文件送指定开标地点，递交给招标代理机构。违反的将视为整个响应文件不响应磋商文件,而予以拒绝评审。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5.5.2 采购人事先约定延长投标截止时间的，采购人与供应商以前的磋商截止期方面的全部权利、责任和义务，将适用延长至新的磋商截止期。</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5.6 响应文件修改与撤回</w:t>
      </w:r>
    </w:p>
    <w:p>
      <w:pPr>
        <w:pStyle w:val="19"/>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5.6.1 供应商可以在递交响应文件以后，在规定的磋商截止时间前，以书面形式向采购人递交修改或撤回其响应文件的通知。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5.6.2 响应文件的修改或撤回，同样应按本磋商文件有关规定进行编制、密封、标志、盖章和递交，并且密封袋上应表明“修改”或“撤回”字样。</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5.6.3 投标截止时间后，供应商不得撤回或修改响应文件。 </w:t>
      </w:r>
    </w:p>
    <w:p>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5.7 响应文件的澄清</w:t>
      </w:r>
    </w:p>
    <w:p>
      <w:pPr>
        <w:pStyle w:val="19"/>
        <w:spacing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5.7.1 评审过程中，评审委员会为了有助于响应文件的评审，可以要求供应商就响应文件中非改变实质性内容的部分，做出书面说明并提供相关材料进行澄清，但改变响应文件实质性内容的澄清评审委员会将不予接受。</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5.8 响应文件格式</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5.8.1 响应文件格式见第五章。</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5.8.2 供应商必须使用本磋商文件后面提供的响应文件格式填写，如不够用时，供应商可按同样格式自行编制和填补，如果本磋商文件未提供格式的，供应商可自行编制。</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6、评审及定标方法</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6.1 本竞争性磋商项目评审、定标奉行公开、公平、公正和诚实守信的原则，评审中各评委若发生意见分歧，以少数服从多数为原则决定。</w:t>
      </w:r>
    </w:p>
    <w:p>
      <w:pPr>
        <w:spacing w:line="500" w:lineRule="exact"/>
        <w:ind w:firstLine="640" w:firstLineChars="200"/>
        <w:rPr>
          <w:rFonts w:ascii="仿宋_GB2312" w:hAnsi="仿宋_GB2312" w:eastAsia="仿宋_GB2312" w:cs="仿宋_GB2312"/>
          <w:sz w:val="32"/>
          <w:szCs w:val="32"/>
        </w:rPr>
      </w:pPr>
      <w:bookmarkStart w:id="67" w:name="_Hlk19042295"/>
      <w:bookmarkStart w:id="68" w:name="_Hlk23746271"/>
      <w:bookmarkStart w:id="69" w:name="_Hlk23746270"/>
      <w:bookmarkStart w:id="70" w:name="_Hlk23651617"/>
      <w:bookmarkStart w:id="71" w:name="_Hlk19042294"/>
      <w:bookmarkStart w:id="72" w:name="_Hlk18820511"/>
      <w:bookmarkStart w:id="73" w:name="_Hlk23651618"/>
      <w:bookmarkStart w:id="74" w:name="_Hlk19042293"/>
      <w:bookmarkStart w:id="75" w:name="_Hlk23651619"/>
      <w:bookmarkStart w:id="76" w:name="_Hlk18820513"/>
      <w:bookmarkStart w:id="77" w:name="_Hlk22461066"/>
      <w:bookmarkStart w:id="78" w:name="_Hlk22461068"/>
      <w:bookmarkStart w:id="79" w:name="_Hlk23746272"/>
      <w:bookmarkStart w:id="80" w:name="_Hlk18820512"/>
      <w:bookmarkStart w:id="81" w:name="_Hlk22461067"/>
      <w:r>
        <w:rPr>
          <w:rFonts w:hint="eastAsia" w:ascii="仿宋_GB2312" w:hAnsi="仿宋_GB2312" w:eastAsia="仿宋_GB2312" w:cs="仿宋_GB2312"/>
          <w:sz w:val="32"/>
          <w:szCs w:val="32"/>
        </w:rPr>
        <w:t>6.2</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rFonts w:hint="eastAsia" w:ascii="仿宋_GB2312" w:hAnsi="仿宋_GB2312" w:eastAsia="仿宋_GB2312" w:cs="仿宋_GB2312"/>
          <w:sz w:val="32"/>
          <w:szCs w:val="32"/>
        </w:rPr>
        <w:t xml:space="preserve"> 本次竞争性磋商项目采用</w:t>
      </w:r>
      <w:r>
        <w:rPr>
          <w:rFonts w:hint="eastAsia" w:ascii="仿宋_GB2312" w:hAnsi="仿宋_GB2312" w:eastAsia="仿宋_GB2312" w:cs="仿宋_GB2312"/>
          <w:b/>
          <w:sz w:val="32"/>
          <w:szCs w:val="32"/>
        </w:rPr>
        <w:t>综合评估法</w:t>
      </w:r>
      <w:r>
        <w:rPr>
          <w:rFonts w:hint="eastAsia" w:ascii="仿宋_GB2312" w:hAnsi="仿宋_GB2312" w:eastAsia="仿宋_GB2312" w:cs="仿宋_GB2312"/>
          <w:sz w:val="32"/>
          <w:szCs w:val="32"/>
        </w:rPr>
        <w:t>进行评标。</w:t>
      </w:r>
      <w:r>
        <w:rPr>
          <w:rFonts w:hint="eastAsia" w:ascii="仿宋_GB2312" w:hAnsi="仿宋_GB2312" w:eastAsia="仿宋_GB2312" w:cs="仿宋_GB2312"/>
          <w:b/>
          <w:bCs/>
          <w:sz w:val="32"/>
          <w:szCs w:val="32"/>
        </w:rPr>
        <w:t>综合评估法：评审委员会以评分方式对投标人的企业资质及业绩、项目负责人及团队人员业绩等评分要素能否最大限度地满足磋商文件中规定的各项要求和评价标准进行评估，满分共计100分。</w:t>
      </w:r>
    </w:p>
    <w:p>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6.2.1 响应文件的初步评审</w:t>
      </w:r>
    </w:p>
    <w:p>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评审委员会将对供应商递交的响应文件按《</w:t>
      </w:r>
      <w:r>
        <w:rPr>
          <w:rFonts w:hint="eastAsia" w:ascii="仿宋_GB2312" w:hAnsi="仿宋_GB2312" w:eastAsia="仿宋_GB2312" w:cs="仿宋_GB2312"/>
          <w:sz w:val="32"/>
          <w:szCs w:val="32"/>
        </w:rPr>
        <w:t>响应文件资格性及符合性审查标准》</w:t>
      </w:r>
      <w:r>
        <w:rPr>
          <w:rFonts w:hint="eastAsia" w:ascii="仿宋_GB2312" w:hAnsi="仿宋_GB2312" w:eastAsia="仿宋_GB2312" w:cs="仿宋_GB2312"/>
          <w:bCs/>
          <w:sz w:val="32"/>
          <w:szCs w:val="32"/>
        </w:rPr>
        <w:t>进行审查。如果响应文件中有一项未通过审查标准，评审委员会将认定该响应文件不响应磋商文件而予以废标处理，并且不允许供应商通过修改或撤销其不符合要求的差异或保留，使之成为具有响应性的投标。</w:t>
      </w:r>
    </w:p>
    <w:p>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如果响应文件初步评审造成供应商不足三个的，评审委员会应认定本次竞争性磋商的供应商数量没有竞争力，宣布本次竞争性磋商失败，业主将重新组织采购活动。</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附表：</w:t>
      </w:r>
      <w:r>
        <w:rPr>
          <w:rFonts w:hint="eastAsia" w:ascii="仿宋_GB2312" w:hAnsi="仿宋_GB2312" w:eastAsia="仿宋_GB2312" w:cs="仿宋_GB2312"/>
          <w:sz w:val="32"/>
          <w:szCs w:val="32"/>
        </w:rPr>
        <w:t>响应文件完备性及符合性审查标准</w:t>
      </w:r>
    </w:p>
    <w:p>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spacing w:line="560" w:lineRule="exact"/>
        <w:ind w:firstLine="643" w:firstLineChars="20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《响应文件资格性及符合性审查标准》</w:t>
      </w:r>
    </w:p>
    <w:tbl>
      <w:tblPr>
        <w:tblStyle w:val="26"/>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02" w:type="dxa"/>
            <w:vAlign w:val="center"/>
          </w:tcPr>
          <w:p>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序号</w:t>
            </w:r>
          </w:p>
        </w:tc>
        <w:tc>
          <w:tcPr>
            <w:tcW w:w="8301" w:type="dxa"/>
            <w:vAlign w:val="center"/>
          </w:tcPr>
          <w:p>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2" w:type="dxa"/>
            <w:vAlign w:val="center"/>
          </w:tcPr>
          <w:p>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1</w:t>
            </w:r>
          </w:p>
        </w:tc>
        <w:tc>
          <w:tcPr>
            <w:tcW w:w="8301" w:type="dxa"/>
          </w:tcPr>
          <w:p>
            <w:pPr>
              <w:spacing w:line="48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符合《中华人民共和国政府采购法》第二十二条规定：</w:t>
            </w:r>
          </w:p>
          <w:p>
            <w:pPr>
              <w:spacing w:line="480" w:lineRule="exact"/>
              <w:jc w:val="left"/>
              <w:rPr>
                <w:rFonts w:hint="eastAsia" w:ascii="宋体" w:hAnsi="宋体" w:eastAsia="宋体" w:cs="宋体"/>
                <w:bCs/>
                <w:sz w:val="22"/>
                <w:szCs w:val="22"/>
              </w:rPr>
            </w:pPr>
            <w:r>
              <w:rPr>
                <w:rFonts w:hint="eastAsia" w:ascii="宋体" w:hAnsi="宋体" w:eastAsia="宋体" w:cs="宋体"/>
                <w:bCs/>
                <w:sz w:val="22"/>
                <w:szCs w:val="22"/>
              </w:rPr>
              <w:t>1）法人或者其他组织的营业执照等证明文件，自然人的身份证明；</w:t>
            </w:r>
            <w:r>
              <w:rPr>
                <w:rFonts w:hint="eastAsia" w:ascii="宋体" w:hAnsi="宋体" w:eastAsia="宋体" w:cs="宋体"/>
                <w:bCs/>
                <w:sz w:val="22"/>
                <w:szCs w:val="22"/>
              </w:rPr>
              <w:br w:type="textWrapping"/>
            </w:r>
            <w:r>
              <w:rPr>
                <w:rFonts w:hint="eastAsia" w:ascii="宋体" w:hAnsi="宋体" w:eastAsia="宋体" w:cs="宋体"/>
                <w:bCs/>
                <w:sz w:val="22"/>
                <w:szCs w:val="22"/>
              </w:rPr>
              <w:t>2）近两年任意年度的财务审计报表；</w:t>
            </w:r>
            <w:r>
              <w:rPr>
                <w:rFonts w:hint="eastAsia" w:ascii="宋体" w:hAnsi="宋体" w:eastAsia="宋体" w:cs="宋体"/>
                <w:bCs/>
                <w:sz w:val="22"/>
                <w:szCs w:val="22"/>
              </w:rPr>
              <w:br w:type="textWrapping"/>
            </w:r>
            <w:r>
              <w:rPr>
                <w:rFonts w:hint="eastAsia" w:ascii="宋体" w:hAnsi="宋体" w:eastAsia="宋体" w:cs="宋体"/>
                <w:bCs/>
                <w:sz w:val="22"/>
                <w:szCs w:val="22"/>
              </w:rPr>
              <w:t>3）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宋体" w:hAnsi="宋体" w:eastAsia="宋体" w:cs="宋体"/>
                <w:bCs/>
                <w:sz w:val="22"/>
                <w:szCs w:val="22"/>
              </w:rPr>
              <w:br w:type="textWrapping"/>
            </w:r>
            <w:r>
              <w:rPr>
                <w:rFonts w:hint="eastAsia" w:ascii="宋体" w:hAnsi="宋体" w:eastAsia="宋体" w:cs="宋体"/>
                <w:bCs/>
                <w:sz w:val="22"/>
                <w:szCs w:val="22"/>
              </w:rPr>
              <w:t>4）具备履行合同所必需的设备和专业技术能力的证明材料；</w:t>
            </w:r>
            <w:r>
              <w:rPr>
                <w:rFonts w:hint="eastAsia" w:ascii="宋体" w:hAnsi="宋体" w:eastAsia="宋体" w:cs="宋体"/>
                <w:bCs/>
                <w:sz w:val="22"/>
                <w:szCs w:val="22"/>
              </w:rPr>
              <w:br w:type="textWrapping"/>
            </w:r>
            <w:r>
              <w:rPr>
                <w:rFonts w:hint="eastAsia" w:ascii="宋体" w:hAnsi="宋体" w:eastAsia="宋体" w:cs="宋体"/>
                <w:bCs/>
                <w:sz w:val="22"/>
                <w:szCs w:val="22"/>
              </w:rPr>
              <w:t>5）参加政府采购活动前3年内在经营活动中没有重大违法记录的书面声明；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2" w:type="dxa"/>
            <w:vAlign w:val="center"/>
          </w:tcPr>
          <w:p>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2</w:t>
            </w:r>
          </w:p>
        </w:tc>
        <w:tc>
          <w:tcPr>
            <w:tcW w:w="8301" w:type="dxa"/>
            <w:vAlign w:val="center"/>
          </w:tcPr>
          <w:p>
            <w:pPr>
              <w:spacing w:line="480" w:lineRule="exact"/>
              <w:rPr>
                <w:rFonts w:hint="eastAsia" w:ascii="宋体" w:hAnsi="宋体" w:eastAsia="宋体" w:cs="宋体"/>
                <w:sz w:val="22"/>
                <w:szCs w:val="22"/>
              </w:rPr>
            </w:pPr>
            <w:r>
              <w:rPr>
                <w:rFonts w:hint="eastAsia" w:ascii="宋体" w:hAnsi="宋体" w:eastAsia="宋体" w:cs="宋体"/>
                <w:sz w:val="22"/>
                <w:szCs w:val="22"/>
              </w:rPr>
              <w:t>与采购人、招标代理机构存在利害关系；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2" w:type="dxa"/>
            <w:vAlign w:val="center"/>
          </w:tcPr>
          <w:p>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3</w:t>
            </w:r>
          </w:p>
        </w:tc>
        <w:tc>
          <w:tcPr>
            <w:tcW w:w="8301" w:type="dxa"/>
          </w:tcPr>
          <w:p>
            <w:pPr>
              <w:spacing w:line="480" w:lineRule="exact"/>
              <w:rPr>
                <w:rFonts w:hint="eastAsia" w:ascii="宋体" w:hAnsi="宋体" w:eastAsia="宋体" w:cs="宋体"/>
                <w:sz w:val="22"/>
                <w:szCs w:val="22"/>
              </w:rPr>
            </w:pPr>
            <w:r>
              <w:rPr>
                <w:rFonts w:hint="eastAsia" w:ascii="宋体" w:hAnsi="宋体" w:eastAsia="宋体" w:cs="宋体"/>
                <w:sz w:val="22"/>
                <w:szCs w:val="22"/>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2" w:type="dxa"/>
            <w:vAlign w:val="center"/>
          </w:tcPr>
          <w:p>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4</w:t>
            </w:r>
          </w:p>
        </w:tc>
        <w:tc>
          <w:tcPr>
            <w:tcW w:w="8301" w:type="dxa"/>
          </w:tcPr>
          <w:p>
            <w:pPr>
              <w:spacing w:line="480" w:lineRule="exact"/>
              <w:rPr>
                <w:rFonts w:hint="eastAsia" w:ascii="宋体" w:hAnsi="宋体" w:eastAsia="宋体" w:cs="宋体"/>
                <w:sz w:val="22"/>
                <w:szCs w:val="22"/>
              </w:rPr>
            </w:pPr>
            <w:r>
              <w:rPr>
                <w:rFonts w:hint="eastAsia" w:ascii="宋体" w:hAnsi="宋体" w:eastAsia="宋体" w:cs="宋体"/>
                <w:sz w:val="22"/>
                <w:szCs w:val="22"/>
              </w:rPr>
              <w:t>近三年内（本项目投标截止时间前）投标人被“信用中国”网站列入失信被执行人、重大税收违法案件当事人名单、被“中国政府采购网”网站列入政府采购严重违法失信行为记录名单（处罚决定规定的时间和地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02" w:type="dxa"/>
            <w:vAlign w:val="center"/>
          </w:tcPr>
          <w:p>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5</w:t>
            </w:r>
          </w:p>
        </w:tc>
        <w:tc>
          <w:tcPr>
            <w:tcW w:w="8301" w:type="dxa"/>
            <w:vAlign w:val="center"/>
          </w:tcPr>
          <w:p>
            <w:pPr>
              <w:spacing w:line="480" w:lineRule="exact"/>
              <w:rPr>
                <w:rFonts w:hint="eastAsia" w:ascii="宋体" w:hAnsi="宋体" w:eastAsia="宋体" w:cs="宋体"/>
                <w:kern w:val="2"/>
                <w:sz w:val="22"/>
                <w:szCs w:val="22"/>
                <w:lang w:val="en-US" w:eastAsia="zh-CN" w:bidi="ar-SA"/>
              </w:rPr>
            </w:pPr>
            <w:r>
              <w:rPr>
                <w:rFonts w:hint="eastAsia" w:ascii="宋体" w:hAnsi="宋体" w:eastAsia="宋体" w:cs="宋体"/>
                <w:bCs/>
                <w:sz w:val="22"/>
                <w:szCs w:val="22"/>
              </w:rPr>
              <w:t>响应文件要求加盖供应商单位公章和供应商单位法定代表人或其授权代表签章处，必须加盖；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2" w:type="dxa"/>
            <w:vAlign w:val="center"/>
          </w:tcPr>
          <w:p>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6</w:t>
            </w:r>
          </w:p>
        </w:tc>
        <w:tc>
          <w:tcPr>
            <w:tcW w:w="8301" w:type="dxa"/>
            <w:vAlign w:val="center"/>
          </w:tcPr>
          <w:p>
            <w:pPr>
              <w:spacing w:line="480" w:lineRule="exact"/>
              <w:jc w:val="both"/>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响应文件提供法定代表人授权委托书或提供法定代表人身份证明；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2" w:type="dxa"/>
            <w:vAlign w:val="center"/>
          </w:tcPr>
          <w:p>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7</w:t>
            </w:r>
          </w:p>
        </w:tc>
        <w:tc>
          <w:tcPr>
            <w:tcW w:w="8301" w:type="dxa"/>
            <w:vAlign w:val="top"/>
          </w:tcPr>
          <w:p>
            <w:pPr>
              <w:spacing w:line="480" w:lineRule="exac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已提交磋商保证金，投标人提供缴纳凭证复印件加盖单位公章；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vAlign w:val="center"/>
          </w:tcPr>
          <w:p>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8</w:t>
            </w:r>
          </w:p>
        </w:tc>
        <w:tc>
          <w:tcPr>
            <w:tcW w:w="8301" w:type="dxa"/>
            <w:vAlign w:val="center"/>
          </w:tcPr>
          <w:p>
            <w:pPr>
              <w:spacing w:line="480" w:lineRule="exac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响应文件必须按照本《磋商文件》要求完整提供，且注明</w:t>
            </w:r>
            <w:r>
              <w:rPr>
                <w:rFonts w:hint="eastAsia" w:ascii="宋体" w:hAnsi="宋体" w:eastAsia="宋体" w:cs="宋体"/>
                <w:bCs/>
                <w:sz w:val="22"/>
                <w:szCs w:val="22"/>
                <w:lang w:eastAsia="zh-CN"/>
              </w:rPr>
              <w:t>“</w:t>
            </w:r>
            <w:r>
              <w:rPr>
                <w:rFonts w:hint="eastAsia" w:ascii="宋体" w:hAnsi="宋体" w:eastAsia="宋体" w:cs="宋体"/>
                <w:bCs/>
                <w:sz w:val="22"/>
                <w:szCs w:val="22"/>
              </w:rPr>
              <w:t>正副本</w:t>
            </w:r>
            <w:r>
              <w:rPr>
                <w:rFonts w:hint="eastAsia" w:ascii="宋体" w:hAnsi="宋体" w:eastAsia="宋体" w:cs="宋体"/>
                <w:bCs/>
                <w:sz w:val="22"/>
                <w:szCs w:val="22"/>
                <w:lang w:eastAsia="zh-CN"/>
              </w:rPr>
              <w:t>”</w:t>
            </w:r>
            <w:r>
              <w:rPr>
                <w:rFonts w:hint="eastAsia" w:ascii="宋体" w:hAnsi="宋体" w:eastAsia="宋体" w:cs="宋体"/>
                <w:bCs/>
                <w:sz w:val="22"/>
                <w:szCs w:val="22"/>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2" w:type="dxa"/>
            <w:vAlign w:val="center"/>
          </w:tcPr>
          <w:p>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9</w:t>
            </w:r>
          </w:p>
        </w:tc>
        <w:tc>
          <w:tcPr>
            <w:tcW w:w="8301" w:type="dxa"/>
            <w:vAlign w:val="center"/>
          </w:tcPr>
          <w:p>
            <w:pPr>
              <w:spacing w:line="480" w:lineRule="exac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交货期是否符合招标文件要求；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2" w:type="dxa"/>
            <w:vAlign w:val="center"/>
          </w:tcPr>
          <w:p>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10</w:t>
            </w:r>
          </w:p>
        </w:tc>
        <w:tc>
          <w:tcPr>
            <w:tcW w:w="8301" w:type="dxa"/>
            <w:vAlign w:val="center"/>
          </w:tcPr>
          <w:p>
            <w:pPr>
              <w:spacing w:line="480" w:lineRule="exac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技术要求是否满足招标文件要求；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2" w:type="dxa"/>
            <w:vAlign w:val="center"/>
          </w:tcPr>
          <w:p>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11</w:t>
            </w:r>
          </w:p>
        </w:tc>
        <w:tc>
          <w:tcPr>
            <w:tcW w:w="8301" w:type="dxa"/>
            <w:vAlign w:val="center"/>
          </w:tcPr>
          <w:p>
            <w:pPr>
              <w:spacing w:line="480" w:lineRule="exact"/>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响应文件是否含有采购人不能接受的条件；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9003" w:type="dxa"/>
            <w:gridSpan w:val="2"/>
            <w:vAlign w:val="center"/>
          </w:tcPr>
          <w:p>
            <w:pPr>
              <w:spacing w:line="480" w:lineRule="exact"/>
              <w:rPr>
                <w:rFonts w:hint="eastAsia" w:ascii="宋体" w:hAnsi="宋体" w:eastAsia="宋体" w:cs="宋体"/>
                <w:sz w:val="22"/>
                <w:szCs w:val="22"/>
              </w:rPr>
            </w:pPr>
            <w:r>
              <w:rPr>
                <w:rFonts w:hint="eastAsia" w:ascii="宋体" w:hAnsi="宋体" w:eastAsia="宋体" w:cs="宋体"/>
                <w:bCs/>
                <w:sz w:val="22"/>
                <w:szCs w:val="22"/>
              </w:rPr>
              <w:t>备注：</w:t>
            </w:r>
            <w:r>
              <w:rPr>
                <w:rFonts w:hint="eastAsia" w:ascii="宋体" w:hAnsi="宋体" w:eastAsia="宋体" w:cs="宋体"/>
                <w:sz w:val="22"/>
                <w:szCs w:val="22"/>
              </w:rPr>
              <w:t xml:space="preserve"> 如果资格评审中有一项不满足审查标准的，评标评审委员会将认定该投标人供应商不通过资格审查，不得进入下一阶段评审。并且不允许投标人供应商通过修改或撤销其不符合要求的差异或保留，使之成为具有响应性的投标。</w:t>
            </w:r>
          </w:p>
        </w:tc>
      </w:tr>
    </w:tbl>
    <w:p>
      <w:pPr>
        <w:spacing w:line="400" w:lineRule="exact"/>
        <w:ind w:firstLine="547" w:firstLineChars="17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6.2.2 响应文件的详细评审</w:t>
      </w:r>
    </w:p>
    <w:p>
      <w:pPr>
        <w:spacing w:line="400" w:lineRule="exact"/>
        <w:ind w:firstLine="547" w:firstLineChars="17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6.2.2.1 评审委员会将按照《评分标准》（附后）对通过初评的响应文件进行详细评审。</w:t>
      </w:r>
    </w:p>
    <w:p>
      <w:pPr>
        <w:spacing w:line="400" w:lineRule="exact"/>
        <w:ind w:firstLine="547" w:firstLineChars="17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6.2.2.2 供应商的最终得分以全部评委打分的算术平均值作为该供应商的最终得分。按最终得分由高至低排出各有效供应商的名次，出现最终得分并列时，按供应商商务部分方案的得分情况由高到低顺序排列。</w:t>
      </w:r>
    </w:p>
    <w:p>
      <w:pPr>
        <w:spacing w:line="400" w:lineRule="exact"/>
        <w:ind w:firstLine="547" w:firstLineChars="17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6.3 定标原则</w:t>
      </w:r>
    </w:p>
    <w:p>
      <w:pPr>
        <w:spacing w:line="400" w:lineRule="exact"/>
        <w:ind w:firstLine="547" w:firstLineChars="171"/>
        <w:rPr>
          <w:rFonts w:ascii="仿宋_GB2312" w:hAnsi="仿宋_GB2312" w:eastAsia="仿宋_GB2312" w:cs="仿宋_GB2312"/>
          <w:sz w:val="32"/>
          <w:szCs w:val="32"/>
        </w:rPr>
      </w:pPr>
      <w:r>
        <w:rPr>
          <w:rFonts w:hint="eastAsia" w:ascii="仿宋_GB2312" w:hAnsi="仿宋_GB2312" w:eastAsia="仿宋_GB2312" w:cs="仿宋_GB2312"/>
          <w:sz w:val="32"/>
          <w:szCs w:val="32"/>
        </w:rPr>
        <w:t>6.3.1 评审委员会依照磋商文件的规定推荐前3名中标候选人。</w:t>
      </w:r>
    </w:p>
    <w:p>
      <w:pPr>
        <w:spacing w:line="400" w:lineRule="exact"/>
        <w:ind w:firstLine="649" w:firstLineChars="203"/>
        <w:rPr>
          <w:rFonts w:ascii="仿宋_GB2312" w:hAnsi="仿宋_GB2312" w:eastAsia="仿宋_GB2312" w:cs="仿宋_GB2312"/>
          <w:sz w:val="32"/>
          <w:szCs w:val="32"/>
        </w:rPr>
      </w:pPr>
      <w:r>
        <w:rPr>
          <w:rFonts w:hint="eastAsia" w:ascii="仿宋_GB2312" w:hAnsi="仿宋_GB2312" w:eastAsia="仿宋_GB2312" w:cs="仿宋_GB2312"/>
          <w:sz w:val="32"/>
          <w:szCs w:val="32"/>
        </w:rPr>
        <w:t>6.3.2 招标代理机构应当在评审结束后2个工作日内将评标报告送采购人确认。</w:t>
      </w:r>
    </w:p>
    <w:p>
      <w:pPr>
        <w:spacing w:line="400" w:lineRule="exact"/>
        <w:ind w:firstLine="649" w:firstLineChars="203"/>
        <w:rPr>
          <w:rFonts w:ascii="仿宋_GB2312" w:hAnsi="仿宋_GB2312" w:eastAsia="仿宋_GB2312" w:cs="仿宋_GB2312"/>
          <w:sz w:val="32"/>
          <w:szCs w:val="32"/>
        </w:rPr>
      </w:pPr>
      <w:r>
        <w:rPr>
          <w:rFonts w:hint="eastAsia" w:ascii="仿宋_GB2312" w:hAnsi="仿宋_GB2312" w:eastAsia="仿宋_GB2312" w:cs="仿宋_GB2312"/>
          <w:sz w:val="32"/>
          <w:szCs w:val="32"/>
        </w:rPr>
        <w:t>6.3.3 采购人应当在收到评标报告后5个工作日内，从评标报告提出的3名中标候选人中，应当确定排名第一的中标候选人为中标人，也可以书面授权评审委员会直接确定中标人。</w:t>
      </w:r>
    </w:p>
    <w:p>
      <w:pPr>
        <w:spacing w:line="400" w:lineRule="exact"/>
        <w:ind w:firstLine="652" w:firstLineChars="203"/>
        <w:rPr>
          <w:rFonts w:ascii="仿宋_GB2312" w:hAnsi="仿宋_GB2312" w:eastAsia="仿宋_GB2312" w:cs="仿宋_GB2312"/>
          <w:sz w:val="32"/>
          <w:szCs w:val="32"/>
        </w:rPr>
      </w:pPr>
      <w:r>
        <w:rPr>
          <w:rFonts w:hint="eastAsia" w:ascii="仿宋_GB2312" w:hAnsi="仿宋_GB2312" w:eastAsia="仿宋_GB2312" w:cs="仿宋_GB2312"/>
          <w:b/>
          <w:bCs/>
          <w:sz w:val="32"/>
          <w:szCs w:val="32"/>
        </w:rPr>
        <w:t>7、开标时间、地点</w:t>
      </w:r>
    </w:p>
    <w:p>
      <w:pPr>
        <w:spacing w:line="400" w:lineRule="exact"/>
        <w:ind w:firstLine="640" w:firstLineChars="200"/>
        <w:rPr>
          <w:rFonts w:ascii="仿宋_GB2312" w:hAnsi="仿宋_GB2312" w:eastAsia="仿宋_GB2312" w:cs="仿宋_GB2312"/>
          <w:sz w:val="32"/>
          <w:szCs w:val="32"/>
        </w:rPr>
      </w:pPr>
      <w:bookmarkStart w:id="82" w:name="_Hlk18991693"/>
      <w:bookmarkStart w:id="83" w:name="_Hlk18820336"/>
      <w:bookmarkStart w:id="84" w:name="_Hlk22461085"/>
      <w:bookmarkStart w:id="85" w:name="_Hlk23746246"/>
      <w:bookmarkStart w:id="86" w:name="_Hlk22461164"/>
      <w:bookmarkStart w:id="87" w:name="_Hlk23927164"/>
      <w:bookmarkStart w:id="88" w:name="_Hlk23651793"/>
      <w:bookmarkStart w:id="89" w:name="_Hlk22461163"/>
      <w:bookmarkStart w:id="90" w:name="_Hlk23927165"/>
      <w:bookmarkStart w:id="91" w:name="_Hlk23651822"/>
      <w:bookmarkStart w:id="92" w:name="_Hlk22461162"/>
      <w:bookmarkStart w:id="93" w:name="_Hlk57105579"/>
      <w:bookmarkStart w:id="94" w:name="_Hlk23651820"/>
      <w:bookmarkStart w:id="95" w:name="_Hlk23651821"/>
      <w:bookmarkStart w:id="96" w:name="_Hlk23746245"/>
      <w:bookmarkStart w:id="97" w:name="_Hlk23651791"/>
      <w:bookmarkStart w:id="98" w:name="_Hlk23927166"/>
      <w:bookmarkStart w:id="99" w:name="_Hlk23651792"/>
      <w:bookmarkStart w:id="100" w:name="_Hlk18820334"/>
      <w:bookmarkStart w:id="101" w:name="_Hlk18820335"/>
      <w:bookmarkStart w:id="102" w:name="_Hlk22461086"/>
      <w:bookmarkStart w:id="103" w:name="_Hlk57105580"/>
      <w:bookmarkStart w:id="104" w:name="_Hlk22461084"/>
      <w:bookmarkStart w:id="105" w:name="_Hlk18991694"/>
      <w:bookmarkStart w:id="106" w:name="_Hlk18991692"/>
      <w:bookmarkStart w:id="107" w:name="_Hlk23746247"/>
      <w:bookmarkStart w:id="108" w:name="_Hlk57105578"/>
      <w:r>
        <w:rPr>
          <w:rFonts w:hint="eastAsia" w:ascii="仿宋_GB2312" w:hAnsi="仿宋_GB2312" w:eastAsia="仿宋_GB2312" w:cs="仿宋_GB2312"/>
          <w:sz w:val="32"/>
          <w:szCs w:val="32"/>
        </w:rPr>
        <w:t>7.1</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仿宋_GB2312" w:hAnsi="仿宋_GB2312" w:eastAsia="仿宋_GB2312" w:cs="仿宋_GB2312"/>
          <w:sz w:val="32"/>
          <w:szCs w:val="32"/>
        </w:rPr>
        <w:t xml:space="preserve"> 开标会议的时间、地点已在</w:t>
      </w:r>
      <w:r>
        <w:rPr>
          <w:rFonts w:hint="eastAsia" w:ascii="仿宋_GB2312" w:hAnsi="仿宋_GB2312" w:eastAsia="仿宋_GB2312" w:cs="仿宋_GB2312"/>
          <w:bCs/>
          <w:sz w:val="32"/>
          <w:szCs w:val="32"/>
        </w:rPr>
        <w:t>供应商须知前附表第</w:t>
      </w:r>
      <w:r>
        <w:rPr>
          <w:rFonts w:hint="eastAsia" w:ascii="仿宋_GB2312" w:hAnsi="仿宋_GB2312" w:eastAsia="仿宋_GB2312" w:cs="仿宋_GB2312"/>
          <w:bCs/>
          <w:sz w:val="32"/>
          <w:szCs w:val="32"/>
          <w:u w:val="single"/>
        </w:rPr>
        <w:t>8</w:t>
      </w:r>
      <w:r>
        <w:rPr>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说明。</w:t>
      </w:r>
    </w:p>
    <w:p>
      <w:pPr>
        <w:spacing w:line="4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7.2 </w:t>
      </w:r>
      <w:r>
        <w:rPr>
          <w:rFonts w:hint="eastAsia" w:ascii="仿宋_GB2312" w:hAnsi="仿宋_GB2312" w:eastAsia="仿宋_GB2312" w:cs="仿宋_GB2312"/>
          <w:bCs/>
          <w:sz w:val="32"/>
          <w:szCs w:val="32"/>
        </w:rPr>
        <w:t>采购人将邀请所有供应商拟派代表参加开标会。但请供应商代表随身携带一份营业执照复印件加盖公章、法定代表人授权委托书原件及有效身份证明原件（身份证），接受监督人的检查。</w:t>
      </w:r>
    </w:p>
    <w:p>
      <w:pPr>
        <w:spacing w:line="40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8、开标会程序</w:t>
      </w:r>
    </w:p>
    <w:p>
      <w:pPr>
        <w:spacing w:line="400" w:lineRule="exact"/>
        <w:ind w:firstLine="640" w:firstLineChars="200"/>
        <w:rPr>
          <w:rFonts w:ascii="仿宋_GB2312" w:hAnsi="仿宋_GB2312" w:eastAsia="仿宋_GB2312" w:cs="仿宋_GB2312"/>
          <w:color w:val="C00000"/>
          <w:sz w:val="32"/>
          <w:szCs w:val="32"/>
        </w:rPr>
      </w:pPr>
      <w:r>
        <w:rPr>
          <w:rFonts w:hint="eastAsia" w:ascii="仿宋_GB2312" w:hAnsi="仿宋_GB2312" w:eastAsia="仿宋_GB2312" w:cs="仿宋_GB2312"/>
          <w:sz w:val="32"/>
          <w:szCs w:val="32"/>
        </w:rPr>
        <w:t>8.1 标前会</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8.1.1 采购人和监督人参加。</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8.1.2 标前会由采购人主持。</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8.1.3 采购人在标前会现场确定评审委员会负责人、会议主持人、记录人、唱标人。</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评审委员会负责人职责是宣布评标纪律、结果、中标候选人等内容。评审委员会负责人如果参与评审则与其他评审专家的权利相同。</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会议主持人职责是按本磋商文件规定的程序主持招标会议。</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记录人职责是对整个招标会情况进行记录。</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唱标人职责是公开宣读响应文件的符合性检查结果。</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 招标会议</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8.2.1 请参加磋商的供应商代表签名报到，开标会主持人介绍参加会议的人员。</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8.2.2 监督人查验法定代表人授权委托书及委托代理人身份证。</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 xml:space="preserve">8.2.3 </w:t>
      </w:r>
      <w:r>
        <w:rPr>
          <w:rFonts w:hint="eastAsia" w:ascii="仿宋_GB2312" w:hAnsi="仿宋_GB2312" w:eastAsia="仿宋_GB2312" w:cs="仿宋_GB2312"/>
          <w:bCs/>
          <w:sz w:val="32"/>
          <w:szCs w:val="32"/>
        </w:rPr>
        <w:t>供应商或其推选的代表宣读相应文件送达时间是否符合要求。</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8.2.4 会议主持人宣布响应文件送达时间是否符合磋商文件要求。</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8.2.5 监督人对响应文件是否按磋商文件规定密封与标示进行核查。</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8.2.6 开标会主持人征求各供应商有无书面补充材料，但不能对标书实质性内容更改。</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8.2</w:t>
      </w:r>
      <w:r>
        <w:rPr>
          <w:rFonts w:hint="eastAsia" w:ascii="仿宋_GB2312" w:hAnsi="仿宋_GB2312" w:eastAsia="仿宋_GB2312" w:cs="仿宋_GB2312"/>
          <w:sz w:val="32"/>
          <w:szCs w:val="32"/>
        </w:rPr>
        <w:t>.7</w:t>
      </w:r>
      <w:r>
        <w:rPr>
          <w:rFonts w:hint="eastAsia" w:ascii="仿宋_GB2312" w:hAnsi="仿宋_GB2312" w:eastAsia="仿宋_GB2312" w:cs="仿宋_GB2312"/>
          <w:bCs/>
          <w:sz w:val="32"/>
          <w:szCs w:val="32"/>
        </w:rPr>
        <w:t xml:space="preserve"> 经确认无误后，由工作人员将磋商响应文件递交至磋商小组处。</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8.2</w:t>
      </w:r>
      <w:r>
        <w:rPr>
          <w:rFonts w:hint="eastAsia" w:ascii="仿宋_GB2312" w:hAnsi="仿宋_GB2312" w:eastAsia="仿宋_GB2312" w:cs="仿宋_GB2312"/>
          <w:sz w:val="32"/>
          <w:szCs w:val="32"/>
        </w:rPr>
        <w:t>.8</w:t>
      </w:r>
      <w:r>
        <w:rPr>
          <w:rFonts w:hint="eastAsia" w:ascii="仿宋_GB2312" w:hAnsi="仿宋_GB2312" w:eastAsia="仿宋_GB2312" w:cs="仿宋_GB2312"/>
          <w:bCs/>
          <w:sz w:val="32"/>
          <w:szCs w:val="32"/>
        </w:rPr>
        <w:t xml:space="preserve"> 供应商休会，进入评审阶段。</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8.3 评审准备会</w:t>
      </w:r>
    </w:p>
    <w:p>
      <w:pPr>
        <w:spacing w:line="400" w:lineRule="exact"/>
        <w:ind w:left="319" w:leftChars="152" w:firstLine="310" w:firstLineChars="97"/>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采购人向评审专家提供评审时的重要信息和数据。其中包括：招标的目标、范围和性质；磋商文件中规定的主要技术要求、标准和条款；磋商文件规定的评审标准、评审方法和在评审过程中考虑的相关因素。</w:t>
      </w:r>
    </w:p>
    <w:p>
      <w:pPr>
        <w:spacing w:line="400" w:lineRule="exact"/>
        <w:ind w:left="319" w:leftChars="152" w:firstLine="310" w:firstLineChars="97"/>
        <w:rPr>
          <w:rFonts w:ascii="仿宋_GB2312" w:hAnsi="仿宋_GB2312" w:eastAsia="仿宋_GB2312" w:cs="仿宋_GB2312"/>
          <w:bCs/>
          <w:sz w:val="32"/>
          <w:szCs w:val="32"/>
        </w:rPr>
      </w:pPr>
      <w:r>
        <w:rPr>
          <w:rFonts w:hint="eastAsia" w:ascii="仿宋_GB2312" w:hAnsi="仿宋_GB2312" w:eastAsia="仿宋_GB2312" w:cs="仿宋_GB2312"/>
          <w:sz w:val="32"/>
          <w:szCs w:val="32"/>
        </w:rPr>
        <w:t>8.4</w:t>
      </w:r>
      <w:r>
        <w:rPr>
          <w:rFonts w:hint="eastAsia" w:ascii="仿宋_GB2312" w:hAnsi="仿宋_GB2312" w:eastAsia="仿宋_GB2312" w:cs="仿宋_GB2312"/>
          <w:bCs/>
          <w:sz w:val="32"/>
          <w:szCs w:val="32"/>
        </w:rPr>
        <w:t xml:space="preserve"> 评审委员会对响应文件依据《响应文件完备性及符合性审查标准》进行初评。</w:t>
      </w:r>
    </w:p>
    <w:p>
      <w:pPr>
        <w:spacing w:line="400" w:lineRule="exact"/>
        <w:ind w:left="319" w:leftChars="152" w:firstLine="310" w:firstLineChars="97"/>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8.5 评审委员会对通过初评的响应文件依据《评分标准》（附后）进行详评。</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8.6 第一轮磋商</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磋商小组对实质性响应文件从技术、服务要求等方面进行全面比较与评价，了解和掌握各实质性响应程度，做好磋商准备。按照《政府采购竞争性磋商采购方式管理暂行办法》规定，磋商小组所有成员集中与单一供应商分别进行磋商；</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8.7 最终报价</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最终报价以书面形式由法定代表人或其授权人签字确认后，在规定的时间内送交磋商小组。最终报价逾时不交的，视为自动放弃。</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8.8 汇总出各评委评审、推荐结果，并经所有评委签字确认。</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8.9 评审委员会负责人宣布各供应商评审结果并按有关条款规定宣布中标候选人。</w:t>
      </w:r>
    </w:p>
    <w:p>
      <w:pPr>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8.10 开标会主持人请各供应商对最终结果签字确认并宣布本次招标会议结束。</w:t>
      </w:r>
    </w:p>
    <w:p>
      <w:pPr>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9、投标有效期</w:t>
      </w:r>
    </w:p>
    <w:p>
      <w:pPr>
        <w:spacing w:line="4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评审和定标将在竞争性磋商前附表第</w:t>
      </w:r>
      <w:r>
        <w:rPr>
          <w:rFonts w:hint="eastAsia" w:ascii="仿宋_GB2312" w:hAnsi="仿宋_GB2312" w:eastAsia="仿宋_GB2312" w:cs="仿宋_GB2312"/>
          <w:bCs/>
          <w:sz w:val="32"/>
          <w:szCs w:val="32"/>
          <w:u w:val="single"/>
        </w:rPr>
        <w:t>11</w:t>
      </w:r>
      <w:r>
        <w:rPr>
          <w:rFonts w:hint="eastAsia" w:ascii="仿宋_GB2312" w:hAnsi="仿宋_GB2312" w:eastAsia="仿宋_GB2312" w:cs="仿宋_GB2312"/>
          <w:bCs/>
          <w:sz w:val="32"/>
          <w:szCs w:val="32"/>
        </w:rPr>
        <w:t>项规定内完成，如果不能完成，采购人应通知供应商延长投标有效期。</w:t>
      </w:r>
    </w:p>
    <w:p>
      <w:pPr>
        <w:spacing w:line="560" w:lineRule="exact"/>
        <w:ind w:right="84" w:rightChars="40"/>
        <w:jc w:val="center"/>
        <w:rPr>
          <w:rFonts w:ascii="仿宋_GB2312" w:hAnsi="仿宋_GB2312" w:eastAsia="仿宋_GB2312" w:cs="仿宋_GB2312"/>
          <w:b/>
          <w:sz w:val="32"/>
          <w:szCs w:val="32"/>
        </w:rPr>
      </w:pPr>
      <w:bookmarkStart w:id="109" w:name="_Toc12976"/>
      <w:r>
        <w:rPr>
          <w:rFonts w:hint="eastAsia" w:ascii="仿宋_GB2312" w:hAnsi="仿宋_GB2312" w:eastAsia="仿宋_GB2312" w:cs="仿宋_GB2312"/>
          <w:b/>
          <w:sz w:val="32"/>
          <w:szCs w:val="32"/>
        </w:rPr>
        <w:t>评分标准</w:t>
      </w:r>
    </w:p>
    <w:tbl>
      <w:tblPr>
        <w:tblStyle w:val="26"/>
        <w:tblW w:w="9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948"/>
        <w:gridCol w:w="6755"/>
        <w:gridCol w:w="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4" w:type="dxa"/>
            <w:gridSpan w:val="2"/>
          </w:tcPr>
          <w:p>
            <w:pPr>
              <w:pStyle w:val="48"/>
              <w:spacing w:before="123"/>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6755" w:type="dxa"/>
          </w:tcPr>
          <w:p>
            <w:pPr>
              <w:pStyle w:val="48"/>
              <w:spacing w:before="123"/>
              <w:ind w:left="856"/>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w:t>
            </w:r>
            <w:r>
              <w:rPr>
                <w:rFonts w:hint="eastAsia" w:asciiTheme="minorEastAsia" w:hAnsiTheme="minorEastAsia" w:eastAsiaTheme="minorEastAsia" w:cstheme="minorEastAsia"/>
                <w:b/>
                <w:color w:val="auto"/>
                <w:sz w:val="21"/>
                <w:szCs w:val="21"/>
                <w:highlight w:val="none"/>
                <w:lang w:val="en-US" w:eastAsia="zh-CN"/>
              </w:rPr>
              <w:t>审</w:t>
            </w:r>
            <w:r>
              <w:rPr>
                <w:rFonts w:hint="eastAsia" w:asciiTheme="minorEastAsia" w:hAnsiTheme="minorEastAsia" w:eastAsiaTheme="minorEastAsia" w:cstheme="minorEastAsia"/>
                <w:b/>
                <w:color w:val="auto"/>
                <w:sz w:val="21"/>
                <w:szCs w:val="21"/>
                <w:highlight w:val="none"/>
              </w:rPr>
              <w:t>标准</w:t>
            </w:r>
          </w:p>
        </w:tc>
        <w:tc>
          <w:tcPr>
            <w:tcW w:w="589"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4" w:type="dxa"/>
            <w:gridSpan w:val="2"/>
            <w:vMerge w:val="restart"/>
          </w:tcPr>
          <w:p>
            <w:pPr>
              <w:pStyle w:val="48"/>
              <w:spacing w:before="10"/>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分值构成</w:t>
            </w: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（总分100分)</w:t>
            </w:r>
          </w:p>
        </w:tc>
        <w:tc>
          <w:tcPr>
            <w:tcW w:w="6755" w:type="dxa"/>
          </w:tcPr>
          <w:p>
            <w:pPr>
              <w:pStyle w:val="48"/>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评审价格：</w:t>
            </w: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 xml:space="preserve">0分 </w:t>
            </w:r>
          </w:p>
        </w:tc>
        <w:tc>
          <w:tcPr>
            <w:tcW w:w="589" w:type="dxa"/>
            <w:vMerge w:val="restart"/>
            <w:vAlign w:val="center"/>
          </w:tcPr>
          <w:p>
            <w:pPr>
              <w:pStyle w:val="48"/>
              <w:spacing w:before="65"/>
              <w:ind w:left="4"/>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755" w:type="dxa"/>
          </w:tcPr>
          <w:p>
            <w:pPr>
              <w:pStyle w:val="48"/>
              <w:spacing w:before="87"/>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商务</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评分：</w:t>
            </w:r>
            <w:r>
              <w:rPr>
                <w:rFonts w:hint="eastAsia" w:asciiTheme="minorEastAsia" w:hAnsiTheme="minorEastAsia" w:eastAsiaTheme="minorEastAsia" w:cstheme="minorEastAsia"/>
                <w:b/>
                <w:bCs/>
                <w:color w:val="auto"/>
                <w:sz w:val="21"/>
                <w:szCs w:val="21"/>
                <w:highlight w:val="none"/>
                <w:lang w:val="en-US" w:eastAsia="zh-CN"/>
              </w:rPr>
              <w:t>10</w:t>
            </w:r>
            <w:r>
              <w:rPr>
                <w:rFonts w:hint="eastAsia" w:asciiTheme="minorEastAsia" w:hAnsiTheme="minorEastAsia" w:eastAsiaTheme="minorEastAsia" w:cstheme="minorEastAsia"/>
                <w:b/>
                <w:bCs/>
                <w:color w:val="auto"/>
                <w:sz w:val="21"/>
                <w:szCs w:val="21"/>
                <w:highlight w:val="none"/>
              </w:rPr>
              <w:t xml:space="preserve">分 </w:t>
            </w:r>
          </w:p>
        </w:tc>
        <w:tc>
          <w:tcPr>
            <w:tcW w:w="589" w:type="dxa"/>
            <w:vMerge w:val="continue"/>
          </w:tcPr>
          <w:p>
            <w:pPr>
              <w:pStyle w:val="48"/>
              <w:spacing w:before="87"/>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755" w:type="dxa"/>
          </w:tcPr>
          <w:p>
            <w:pPr>
              <w:pStyle w:val="48"/>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方案：</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 xml:space="preserve">0分 </w:t>
            </w:r>
          </w:p>
        </w:tc>
        <w:tc>
          <w:tcPr>
            <w:tcW w:w="589" w:type="dxa"/>
            <w:vMerge w:val="continue"/>
          </w:tcPr>
          <w:p>
            <w:pPr>
              <w:pStyle w:val="48"/>
              <w:spacing w:before="65"/>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684" w:type="dxa"/>
            <w:gridSpan w:val="2"/>
          </w:tcPr>
          <w:p>
            <w:pPr>
              <w:pStyle w:val="48"/>
              <w:jc w:val="both"/>
              <w:rPr>
                <w:rFonts w:hint="eastAsia" w:asciiTheme="minorEastAsia" w:hAnsiTheme="minorEastAsia" w:eastAsiaTheme="minorEastAsia" w:cstheme="minorEastAsia"/>
                <w:color w:val="auto"/>
                <w:sz w:val="21"/>
                <w:szCs w:val="21"/>
                <w:highlight w:val="none"/>
              </w:rPr>
            </w:pPr>
          </w:p>
          <w:p>
            <w:pPr>
              <w:pStyle w:val="48"/>
              <w:spacing w:before="10"/>
              <w:jc w:val="both"/>
              <w:rPr>
                <w:rFonts w:hint="eastAsia" w:asciiTheme="minorEastAsia" w:hAnsiTheme="minorEastAsia" w:eastAsiaTheme="minorEastAsia" w:cstheme="minorEastAsia"/>
                <w:color w:val="auto"/>
                <w:sz w:val="21"/>
                <w:szCs w:val="21"/>
                <w:highlight w:val="none"/>
              </w:rPr>
            </w:pPr>
          </w:p>
          <w:p>
            <w:pPr>
              <w:pStyle w:val="48"/>
              <w:ind w:left="4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评审价格</w:t>
            </w:r>
          </w:p>
          <w:p>
            <w:pPr>
              <w:pStyle w:val="48"/>
              <w:ind w:left="4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6755" w:type="dxa"/>
            <w:vAlign w:val="center"/>
          </w:tcPr>
          <w:p>
            <w:pPr>
              <w:pStyle w:val="48"/>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满足磋商文件要求且最终报价最低的报价为评审基准价，其价格分为满分。其他满足磋商文件要求的供应商的价格分统一按照下列公式计算：</w:t>
            </w:r>
          </w:p>
          <w:p>
            <w:pPr>
              <w:pStyle w:val="48"/>
              <w:spacing w:before="97" w:line="360" w:lineRule="auto"/>
              <w:ind w:left="4" w:right="-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评审价格分数=（评审基准价/最终报价）×价格权重（</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0%）×</w:t>
            </w:r>
            <w:r>
              <w:rPr>
                <w:rFonts w:hint="eastAsia" w:asciiTheme="minorEastAsia" w:hAnsiTheme="minorEastAsia" w:eastAsiaTheme="minorEastAsia" w:cstheme="minorEastAsia"/>
                <w:color w:val="auto"/>
                <w:spacing w:val="-8"/>
                <w:sz w:val="21"/>
                <w:szCs w:val="21"/>
                <w:highlight w:val="none"/>
                <w:lang w:val="en-US" w:eastAsia="zh-CN"/>
              </w:rPr>
              <w:t>1</w:t>
            </w:r>
            <w:r>
              <w:rPr>
                <w:rFonts w:hint="eastAsia" w:asciiTheme="minorEastAsia" w:hAnsiTheme="minorEastAsia" w:eastAsiaTheme="minorEastAsia" w:cstheme="minorEastAsia"/>
                <w:color w:val="auto"/>
                <w:spacing w:val="-8"/>
                <w:sz w:val="21"/>
                <w:szCs w:val="21"/>
                <w:highlight w:val="none"/>
              </w:rPr>
              <w:t xml:space="preserve">00 </w:t>
            </w:r>
          </w:p>
        </w:tc>
        <w:tc>
          <w:tcPr>
            <w:tcW w:w="589" w:type="dxa"/>
            <w:vAlign w:val="center"/>
          </w:tcPr>
          <w:p>
            <w:pPr>
              <w:pStyle w:val="48"/>
              <w:spacing w:before="2"/>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736" w:type="dxa"/>
            <w:vMerge w:val="restart"/>
            <w:vAlign w:val="center"/>
          </w:tcPr>
          <w:p>
            <w:pPr>
              <w:pStyle w:val="48"/>
              <w:jc w:val="center"/>
              <w:rPr>
                <w:rFonts w:hint="eastAsia" w:asciiTheme="minorEastAsia" w:hAnsiTheme="minorEastAsia" w:eastAsiaTheme="minorEastAsia" w:cstheme="minorEastAsia"/>
                <w:color w:val="auto"/>
                <w:sz w:val="21"/>
                <w:szCs w:val="21"/>
                <w:highlight w:val="none"/>
              </w:rPr>
            </w:pPr>
          </w:p>
          <w:p>
            <w:pPr>
              <w:pStyle w:val="48"/>
              <w:spacing w:before="10"/>
              <w:jc w:val="center"/>
              <w:rPr>
                <w:rFonts w:hint="eastAsia" w:asciiTheme="minorEastAsia" w:hAnsiTheme="minorEastAsia" w:eastAsiaTheme="minorEastAsia" w:cstheme="minorEastAsia"/>
                <w:color w:val="auto"/>
                <w:sz w:val="21"/>
                <w:szCs w:val="21"/>
                <w:highlight w:val="none"/>
              </w:rPr>
            </w:pPr>
          </w:p>
          <w:p>
            <w:pPr>
              <w:pStyle w:val="48"/>
              <w:spacing w:before="1" w:line="319" w:lineRule="auto"/>
              <w:ind w:left="187" w:right="7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商务部分</w:t>
            </w:r>
          </w:p>
          <w:p>
            <w:pPr>
              <w:pStyle w:val="48"/>
              <w:spacing w:before="2"/>
              <w:ind w:right="9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pacing w:val="-32"/>
                <w:sz w:val="21"/>
                <w:szCs w:val="21"/>
                <w:highlight w:val="none"/>
              </w:rPr>
              <w:t>分</w:t>
            </w:r>
            <w:r>
              <w:rPr>
                <w:rFonts w:hint="eastAsia" w:asciiTheme="minorEastAsia" w:hAnsiTheme="minorEastAsia" w:eastAsiaTheme="minorEastAsia" w:cstheme="minorEastAsia"/>
                <w:color w:val="auto"/>
                <w:spacing w:val="-32"/>
                <w:sz w:val="21"/>
                <w:szCs w:val="21"/>
                <w:highlight w:val="none"/>
                <w:lang w:eastAsia="zh-CN"/>
              </w:rPr>
              <w:t>）</w:t>
            </w:r>
          </w:p>
        </w:tc>
        <w:tc>
          <w:tcPr>
            <w:tcW w:w="94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企业类似业绩</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分）</w:t>
            </w:r>
          </w:p>
          <w:p>
            <w:pPr>
              <w:pStyle w:val="48"/>
              <w:spacing w:before="6" w:line="358" w:lineRule="exact"/>
              <w:ind w:right="79"/>
              <w:jc w:val="center"/>
              <w:rPr>
                <w:rFonts w:hint="eastAsia" w:asciiTheme="minorEastAsia" w:hAnsiTheme="minorEastAsia" w:eastAsiaTheme="minorEastAsia" w:cstheme="minorEastAsia"/>
                <w:color w:val="auto"/>
                <w:sz w:val="21"/>
                <w:szCs w:val="21"/>
                <w:highlight w:val="none"/>
              </w:rPr>
            </w:pPr>
          </w:p>
        </w:tc>
        <w:tc>
          <w:tcPr>
            <w:tcW w:w="6755" w:type="dxa"/>
            <w:vAlign w:val="center"/>
          </w:tcPr>
          <w:p>
            <w:pPr>
              <w:pStyle w:val="48"/>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供应商提供近</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年</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lang w:val="en-US" w:eastAsia="zh-CN"/>
              </w:rPr>
              <w:t>2019年11月至投标文件递交截止日前</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lang w:val="en-US" w:eastAsia="zh-CN"/>
              </w:rPr>
              <w:t>独立承担的</w:t>
            </w:r>
            <w:r>
              <w:rPr>
                <w:rFonts w:hint="eastAsia" w:asciiTheme="minorEastAsia" w:hAnsiTheme="minorEastAsia" w:eastAsiaTheme="minorEastAsia" w:cstheme="minorEastAsia"/>
                <w:color w:val="auto"/>
                <w:spacing w:val="-8"/>
                <w:sz w:val="21"/>
                <w:szCs w:val="21"/>
                <w:highlight w:val="none"/>
                <w:lang w:eastAsia="zh-CN"/>
              </w:rPr>
              <w:t>与本项目类似的</w:t>
            </w:r>
            <w:r>
              <w:rPr>
                <w:rFonts w:hint="eastAsia" w:asciiTheme="minorEastAsia" w:hAnsiTheme="minorEastAsia" w:eastAsiaTheme="minorEastAsia" w:cstheme="minorEastAsia"/>
                <w:color w:val="auto"/>
                <w:spacing w:val="-8"/>
                <w:sz w:val="21"/>
                <w:szCs w:val="21"/>
                <w:highlight w:val="none"/>
              </w:rPr>
              <w:t>业绩</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有一项类似项目业绩者得1分，每增加一项业绩增加1分，最多</w:t>
            </w:r>
            <w:r>
              <w:rPr>
                <w:rFonts w:hint="eastAsia" w:asciiTheme="minorEastAsia" w:hAnsiTheme="minorEastAsia" w:eastAsiaTheme="minorEastAsia" w:cstheme="minorEastAsia"/>
                <w:color w:val="auto"/>
                <w:spacing w:val="-8"/>
                <w:sz w:val="21"/>
                <w:szCs w:val="21"/>
                <w:highlight w:val="none"/>
                <w:lang w:val="en-US" w:eastAsia="zh-CN"/>
              </w:rPr>
              <w:t>5</w:t>
            </w:r>
            <w:r>
              <w:rPr>
                <w:rFonts w:hint="eastAsia" w:asciiTheme="minorEastAsia" w:hAnsiTheme="minorEastAsia" w:eastAsiaTheme="minorEastAsia" w:cstheme="minorEastAsia"/>
                <w:color w:val="auto"/>
                <w:spacing w:val="-8"/>
                <w:sz w:val="21"/>
                <w:szCs w:val="21"/>
                <w:highlight w:val="none"/>
              </w:rPr>
              <w:t>分。</w:t>
            </w:r>
          </w:p>
          <w:p>
            <w:pPr>
              <w:pStyle w:val="48"/>
              <w:spacing w:before="97" w:line="360" w:lineRule="auto"/>
              <w:ind w:left="4" w:right="-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备注：</w:t>
            </w:r>
            <w:r>
              <w:rPr>
                <w:rFonts w:hint="eastAsia" w:asciiTheme="minorEastAsia" w:hAnsiTheme="minorEastAsia" w:eastAsiaTheme="minorEastAsia" w:cstheme="minorEastAsia"/>
                <w:color w:val="auto"/>
                <w:spacing w:val="-8"/>
                <w:sz w:val="21"/>
                <w:szCs w:val="21"/>
                <w:highlight w:val="none"/>
              </w:rPr>
              <w:t>业绩证明（以合同</w:t>
            </w:r>
            <w:r>
              <w:rPr>
                <w:rFonts w:hint="eastAsia" w:asciiTheme="minorEastAsia" w:hAnsiTheme="minorEastAsia" w:eastAsiaTheme="minorEastAsia" w:cstheme="minorEastAsia"/>
                <w:color w:val="auto"/>
                <w:spacing w:val="-8"/>
                <w:sz w:val="21"/>
                <w:szCs w:val="21"/>
                <w:highlight w:val="none"/>
                <w:lang w:val="en-US" w:eastAsia="zh-CN"/>
              </w:rPr>
              <w:t>或</w:t>
            </w:r>
            <w:r>
              <w:rPr>
                <w:rFonts w:hint="eastAsia" w:asciiTheme="minorEastAsia" w:hAnsiTheme="minorEastAsia" w:eastAsiaTheme="minorEastAsia" w:cstheme="minorEastAsia"/>
                <w:color w:val="auto"/>
                <w:spacing w:val="-8"/>
                <w:sz w:val="21"/>
                <w:szCs w:val="21"/>
                <w:highlight w:val="none"/>
                <w:lang w:eastAsia="zh-CN"/>
              </w:rPr>
              <w:t>中标通知书</w:t>
            </w:r>
            <w:r>
              <w:rPr>
                <w:rFonts w:hint="eastAsia" w:asciiTheme="minorEastAsia" w:hAnsiTheme="minorEastAsia" w:eastAsiaTheme="minorEastAsia" w:cstheme="minorEastAsia"/>
                <w:color w:val="auto"/>
                <w:spacing w:val="-8"/>
                <w:sz w:val="21"/>
                <w:szCs w:val="21"/>
                <w:highlight w:val="none"/>
              </w:rPr>
              <w:t>为准，在投标文件中附合同扫描件</w:t>
            </w:r>
            <w:r>
              <w:rPr>
                <w:rFonts w:hint="eastAsia" w:asciiTheme="minorEastAsia" w:hAnsiTheme="minorEastAsia" w:eastAsiaTheme="minorEastAsia" w:cstheme="minorEastAsia"/>
                <w:color w:val="auto"/>
                <w:spacing w:val="-8"/>
                <w:sz w:val="21"/>
                <w:szCs w:val="21"/>
                <w:highlight w:val="none"/>
                <w:lang w:val="en-US" w:eastAsia="zh-CN"/>
              </w:rPr>
              <w:t>或</w:t>
            </w:r>
            <w:r>
              <w:rPr>
                <w:rFonts w:hint="eastAsia" w:asciiTheme="minorEastAsia" w:hAnsiTheme="minorEastAsia" w:eastAsiaTheme="minorEastAsia" w:cstheme="minorEastAsia"/>
                <w:color w:val="auto"/>
                <w:spacing w:val="-8"/>
                <w:sz w:val="21"/>
                <w:szCs w:val="21"/>
                <w:highlight w:val="none"/>
                <w:lang w:eastAsia="zh-CN"/>
              </w:rPr>
              <w:t>中标通知书扫描件</w:t>
            </w:r>
            <w:r>
              <w:rPr>
                <w:rFonts w:hint="eastAsia" w:asciiTheme="minorEastAsia" w:hAnsiTheme="minorEastAsia" w:eastAsiaTheme="minorEastAsia" w:cstheme="minorEastAsia"/>
                <w:color w:val="auto"/>
                <w:spacing w:val="-8"/>
                <w:sz w:val="21"/>
                <w:szCs w:val="21"/>
                <w:highlight w:val="none"/>
              </w:rPr>
              <w:t>加盖单位公章，须</w:t>
            </w:r>
            <w:r>
              <w:rPr>
                <w:rFonts w:hint="eastAsia" w:asciiTheme="minorEastAsia" w:hAnsiTheme="minorEastAsia" w:eastAsiaTheme="minorEastAsia" w:cstheme="minorEastAsia"/>
                <w:color w:val="auto"/>
                <w:spacing w:val="-8"/>
                <w:sz w:val="21"/>
                <w:szCs w:val="21"/>
                <w:highlight w:val="none"/>
                <w:lang w:eastAsia="zh-CN"/>
              </w:rPr>
              <w:t>携带原件备查，</w:t>
            </w:r>
            <w:r>
              <w:rPr>
                <w:rFonts w:hint="eastAsia" w:asciiTheme="minorEastAsia" w:hAnsiTheme="minorEastAsia" w:eastAsiaTheme="minorEastAsia" w:cstheme="minorEastAsia"/>
                <w:color w:val="auto"/>
                <w:spacing w:val="-8"/>
                <w:sz w:val="21"/>
                <w:szCs w:val="21"/>
                <w:highlight w:val="none"/>
              </w:rPr>
              <w:t>弄虚作假者取消其投标资格）</w:t>
            </w:r>
            <w:r>
              <w:rPr>
                <w:rFonts w:hint="eastAsia" w:asciiTheme="minorEastAsia" w:hAnsiTheme="minorEastAsia" w:eastAsiaTheme="minorEastAsia" w:cstheme="minorEastAsia"/>
                <w:color w:val="auto"/>
                <w:spacing w:val="-8"/>
                <w:sz w:val="21"/>
                <w:szCs w:val="21"/>
                <w:highlight w:val="none"/>
                <w:lang w:eastAsia="zh-CN"/>
              </w:rPr>
              <w:t>。</w:t>
            </w:r>
          </w:p>
        </w:tc>
        <w:tc>
          <w:tcPr>
            <w:tcW w:w="589" w:type="dxa"/>
            <w:vAlign w:val="center"/>
          </w:tcPr>
          <w:p>
            <w:pPr>
              <w:pStyle w:val="48"/>
              <w:spacing w:before="121" w:line="321" w:lineRule="auto"/>
              <w:ind w:left="4" w:right="12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pStyle w:val="48"/>
              <w:spacing w:before="7"/>
              <w:jc w:val="center"/>
              <w:rPr>
                <w:rFonts w:hint="eastAsia" w:asciiTheme="minorEastAsia" w:hAnsiTheme="minorEastAsia" w:eastAsiaTheme="minorEastAsia" w:cstheme="minorEastAsia"/>
                <w:color w:val="auto"/>
                <w:sz w:val="21"/>
                <w:szCs w:val="21"/>
                <w:highlight w:val="none"/>
              </w:rPr>
            </w:pPr>
          </w:p>
          <w:p>
            <w:pPr>
              <w:jc w:val="center"/>
              <w:rPr>
                <w:rFonts w:hint="eastAsia"/>
                <w:color w:val="auto"/>
                <w:highlight w:val="none"/>
              </w:rPr>
            </w:pPr>
            <w:r>
              <w:rPr>
                <w:rFonts w:hint="eastAsia" w:asciiTheme="minorEastAsia" w:hAnsiTheme="minorEastAsia" w:eastAsiaTheme="minorEastAsia" w:cstheme="minorEastAsia"/>
                <w:color w:val="auto"/>
                <w:spacing w:val="-8"/>
                <w:sz w:val="21"/>
                <w:szCs w:val="21"/>
                <w:highlight w:val="none"/>
              </w:rPr>
              <w:t>项目负责人</w:t>
            </w:r>
          </w:p>
          <w:p>
            <w:pPr>
              <w:pStyle w:val="48"/>
              <w:spacing w:before="1" w:line="321" w:lineRule="auto"/>
              <w:ind w:left="169" w:right="27" w:hanging="13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分）</w:t>
            </w:r>
          </w:p>
        </w:tc>
        <w:tc>
          <w:tcPr>
            <w:tcW w:w="6755" w:type="dxa"/>
            <w:vAlign w:val="center"/>
          </w:tcPr>
          <w:p>
            <w:pPr>
              <w:pStyle w:val="48"/>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项目负责人（满分</w:t>
            </w:r>
            <w:r>
              <w:rPr>
                <w:rFonts w:hint="eastAsia" w:asciiTheme="minorEastAsia" w:hAnsiTheme="minorEastAsia" w:eastAsiaTheme="minorEastAsia" w:cstheme="minorEastAsia"/>
                <w:color w:val="auto"/>
                <w:spacing w:val="-8"/>
                <w:sz w:val="21"/>
                <w:szCs w:val="21"/>
                <w:highlight w:val="none"/>
                <w:lang w:val="en-US" w:eastAsia="zh-CN"/>
              </w:rPr>
              <w:t>5</w:t>
            </w:r>
            <w:r>
              <w:rPr>
                <w:rFonts w:hint="eastAsia" w:asciiTheme="minorEastAsia" w:hAnsiTheme="minorEastAsia" w:eastAsiaTheme="minorEastAsia" w:cstheme="minorEastAsia"/>
                <w:color w:val="auto"/>
                <w:spacing w:val="-8"/>
                <w:sz w:val="21"/>
                <w:szCs w:val="21"/>
                <w:highlight w:val="none"/>
              </w:rPr>
              <w:t>分）</w:t>
            </w:r>
          </w:p>
          <w:p>
            <w:pPr>
              <w:pStyle w:val="48"/>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 xml:space="preserve">项目负责人近三年承担过类似的业绩， 每承担过一个得 1 分，最高得 </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 xml:space="preserve"> 分</w:t>
            </w:r>
            <w:r>
              <w:rPr>
                <w:rFonts w:hint="eastAsia" w:asciiTheme="minorEastAsia" w:hAnsiTheme="minorEastAsia" w:eastAsiaTheme="minorEastAsia" w:cstheme="minorEastAsia"/>
                <w:color w:val="auto"/>
                <w:spacing w:val="-8"/>
                <w:sz w:val="21"/>
                <w:szCs w:val="21"/>
                <w:highlight w:val="none"/>
                <w:lang w:eastAsia="zh-CN"/>
              </w:rPr>
              <w:t>；</w:t>
            </w:r>
          </w:p>
          <w:p>
            <w:pPr>
              <w:pStyle w:val="48"/>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具有高级职称得 2 分，中级职称得 1 分，其他得</w:t>
            </w:r>
            <w:r>
              <w:rPr>
                <w:rFonts w:hint="eastAsia" w:asciiTheme="minorEastAsia" w:hAnsiTheme="minorEastAsia" w:eastAsiaTheme="minorEastAsia" w:cstheme="minorEastAsia"/>
                <w:color w:val="auto"/>
                <w:spacing w:val="-8"/>
                <w:sz w:val="21"/>
                <w:szCs w:val="21"/>
                <w:highlight w:val="none"/>
                <w:lang w:val="en-US" w:eastAsia="zh-CN"/>
              </w:rPr>
              <w:t xml:space="preserve"> </w:t>
            </w:r>
            <w:r>
              <w:rPr>
                <w:rFonts w:hint="eastAsia" w:asciiTheme="minorEastAsia" w:hAnsiTheme="minorEastAsia" w:eastAsiaTheme="minorEastAsia" w:cstheme="minorEastAsia"/>
                <w:color w:val="auto"/>
                <w:spacing w:val="-8"/>
                <w:sz w:val="21"/>
                <w:szCs w:val="21"/>
                <w:highlight w:val="none"/>
              </w:rPr>
              <w:t>0 分</w:t>
            </w:r>
            <w:r>
              <w:rPr>
                <w:rFonts w:hint="eastAsia" w:asciiTheme="minorEastAsia" w:hAnsiTheme="minorEastAsia" w:eastAsiaTheme="minorEastAsia" w:cstheme="minorEastAsia"/>
                <w:color w:val="auto"/>
                <w:spacing w:val="-8"/>
                <w:sz w:val="21"/>
                <w:szCs w:val="21"/>
                <w:highlight w:val="none"/>
                <w:lang w:eastAsia="zh-CN"/>
              </w:rPr>
              <w:t>；</w:t>
            </w:r>
          </w:p>
          <w:p>
            <w:pPr>
              <w:pStyle w:val="48"/>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 xml:space="preserve">提供项目负责人近 </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 xml:space="preserve"> 个月</w:t>
            </w:r>
            <w:r>
              <w:rPr>
                <w:rFonts w:hint="eastAsia" w:asciiTheme="minorEastAsia" w:hAnsiTheme="minorEastAsia" w:eastAsiaTheme="minorEastAsia" w:cstheme="minorEastAsia"/>
                <w:color w:val="auto"/>
                <w:spacing w:val="-8"/>
                <w:sz w:val="21"/>
                <w:szCs w:val="21"/>
                <w:highlight w:val="none"/>
                <w:lang w:val="en-US" w:eastAsia="zh-CN"/>
              </w:rPr>
              <w:t>内</w:t>
            </w:r>
            <w:r>
              <w:rPr>
                <w:rFonts w:hint="eastAsia" w:asciiTheme="minorEastAsia" w:hAnsiTheme="minorEastAsia" w:eastAsiaTheme="minorEastAsia" w:cstheme="minorEastAsia"/>
                <w:color w:val="auto"/>
                <w:spacing w:val="-8"/>
                <w:sz w:val="21"/>
                <w:szCs w:val="21"/>
                <w:highlight w:val="none"/>
              </w:rPr>
              <w:t>在本单位缴纳社保的证明。</w:t>
            </w:r>
          </w:p>
          <w:p>
            <w:pPr>
              <w:pStyle w:val="48"/>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备注：</w:t>
            </w:r>
            <w:r>
              <w:rPr>
                <w:rFonts w:hint="eastAsia" w:asciiTheme="minorEastAsia" w:hAnsiTheme="minorEastAsia" w:eastAsiaTheme="minorEastAsia" w:cstheme="minorEastAsia"/>
                <w:color w:val="auto"/>
                <w:spacing w:val="-8"/>
                <w:sz w:val="21"/>
                <w:szCs w:val="21"/>
                <w:highlight w:val="none"/>
                <w:lang w:val="en-US" w:eastAsia="zh-CN"/>
              </w:rPr>
              <w:t>1.</w:t>
            </w:r>
            <w:r>
              <w:rPr>
                <w:rFonts w:hint="eastAsia" w:asciiTheme="minorEastAsia" w:hAnsiTheme="minorEastAsia" w:eastAsiaTheme="minorEastAsia" w:cstheme="minorEastAsia"/>
                <w:color w:val="auto"/>
                <w:spacing w:val="-8"/>
                <w:sz w:val="21"/>
                <w:szCs w:val="21"/>
                <w:highlight w:val="none"/>
              </w:rPr>
              <w:t>业绩证明文件</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包含显示本项目负责人姓名内容合同复印件或采购人出具的履约证明文件</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 xml:space="preserve"> </w:t>
            </w:r>
          </w:p>
          <w:p>
            <w:pPr>
              <w:pStyle w:val="48"/>
              <w:spacing w:before="97" w:line="360" w:lineRule="auto"/>
              <w:ind w:left="4" w:right="-15"/>
              <w:jc w:val="both"/>
              <w:rPr>
                <w:rFonts w:hint="default" w:asciiTheme="minorEastAsia" w:hAnsiTheme="minorEastAsia" w:eastAsiaTheme="minorEastAsia" w:cstheme="minorEastAsia"/>
                <w:color w:val="auto"/>
                <w:spacing w:val="-8"/>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val="en-US" w:eastAsia="zh-CN"/>
              </w:rPr>
              <w:t>2.提供简历、身份证、学历证书、职称证及其他证明文件。</w:t>
            </w:r>
          </w:p>
        </w:tc>
        <w:tc>
          <w:tcPr>
            <w:tcW w:w="589" w:type="dxa"/>
            <w:vAlign w:val="center"/>
          </w:tcPr>
          <w:p>
            <w:pPr>
              <w:pStyle w:val="48"/>
              <w:spacing w:line="242"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36" w:type="dxa"/>
            <w:vMerge w:val="restart"/>
            <w:vAlign w:val="center"/>
          </w:tcPr>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r>
              <w:rPr>
                <w:rFonts w:hint="eastAsia"/>
                <w:color w:val="auto"/>
                <w:highlight w:val="none"/>
              </w:rPr>
              <w:t>技术部分（</w:t>
            </w:r>
            <w:r>
              <w:rPr>
                <w:rFonts w:hint="eastAsia"/>
                <w:color w:val="auto"/>
                <w:highlight w:val="none"/>
                <w:lang w:val="en-US" w:eastAsia="zh-CN"/>
              </w:rPr>
              <w:t>60</w:t>
            </w:r>
            <w:r>
              <w:rPr>
                <w:rFonts w:hint="eastAsia"/>
                <w:color w:val="auto"/>
                <w:highlight w:val="none"/>
              </w:rPr>
              <w:t>分</w:t>
            </w:r>
            <w:r>
              <w:rPr>
                <w:rFonts w:hint="eastAsia"/>
                <w:color w:val="auto"/>
                <w:highlight w:val="none"/>
                <w:lang w:eastAsia="zh-CN"/>
              </w:rPr>
              <w:t>）</w:t>
            </w:r>
          </w:p>
        </w:tc>
        <w:tc>
          <w:tcPr>
            <w:tcW w:w="948" w:type="dxa"/>
            <w:vAlign w:val="center"/>
          </w:tcPr>
          <w:p>
            <w:pPr>
              <w:jc w:val="center"/>
              <w:rPr>
                <w:rFonts w:hint="eastAsia"/>
                <w:color w:val="auto"/>
                <w:highlight w:val="none"/>
              </w:rPr>
            </w:pPr>
          </w:p>
          <w:p>
            <w:pPr>
              <w:jc w:val="center"/>
              <w:rPr>
                <w:rFonts w:hint="eastAsia"/>
                <w:color w:val="auto"/>
                <w:highlight w:val="none"/>
              </w:rPr>
            </w:pPr>
            <w:r>
              <w:rPr>
                <w:rFonts w:hint="eastAsia" w:asciiTheme="minorEastAsia" w:hAnsiTheme="minorEastAsia" w:eastAsiaTheme="minorEastAsia" w:cstheme="minorEastAsia"/>
                <w:color w:val="auto"/>
                <w:spacing w:val="-8"/>
                <w:sz w:val="21"/>
                <w:szCs w:val="21"/>
                <w:highlight w:val="none"/>
              </w:rPr>
              <w:t>技术响应（</w:t>
            </w:r>
            <w:r>
              <w:rPr>
                <w:rFonts w:hint="eastAsia" w:asciiTheme="minorEastAsia" w:hAnsiTheme="minorEastAsia" w:eastAsiaTheme="minorEastAsia" w:cstheme="minorEastAsia"/>
                <w:color w:val="auto"/>
                <w:spacing w:val="-8"/>
                <w:sz w:val="21"/>
                <w:szCs w:val="21"/>
                <w:highlight w:val="none"/>
                <w:lang w:val="en-US" w:eastAsia="zh-CN"/>
              </w:rPr>
              <w:t>15</w:t>
            </w:r>
            <w:r>
              <w:rPr>
                <w:rFonts w:hint="eastAsia" w:asciiTheme="minorEastAsia" w:hAnsiTheme="minorEastAsia" w:eastAsiaTheme="minorEastAsia" w:cstheme="minorEastAsia"/>
                <w:color w:val="auto"/>
                <w:spacing w:val="-8"/>
                <w:sz w:val="21"/>
                <w:szCs w:val="21"/>
                <w:highlight w:val="none"/>
              </w:rPr>
              <w:t xml:space="preserve"> 分）</w:t>
            </w:r>
          </w:p>
        </w:tc>
        <w:tc>
          <w:tcPr>
            <w:tcW w:w="6755" w:type="dxa"/>
            <w:vAlign w:val="center"/>
          </w:tcPr>
          <w:p>
            <w:pPr>
              <w:pStyle w:val="72"/>
              <w:spacing w:line="360" w:lineRule="auto"/>
              <w:ind w:left="0" w:leftChars="0" w:right="0" w:rightChars="0" w:firstLine="0" w:firstLineChars="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供应商在应充分考虑用户需求，提供的产品应是功能、质量、产品配置、性能优良，并满足用户对产品功能、质量、使用、操作等方面的需求，且是完全满足招标文件技术参数和技术规格要求的产品，没有实质性负偏离的得基本分10分（需在技术参数响应表中体现清楚并提供相关证明材料，包括但不限于检测报告、合格证、</w:t>
            </w:r>
            <w:r>
              <w:rPr>
                <w:rFonts w:hint="eastAsia"/>
                <w:b w:val="0"/>
                <w:i w:val="0"/>
                <w:caps w:val="0"/>
                <w:color w:val="auto"/>
                <w:spacing w:val="0"/>
                <w:w w:val="100"/>
                <w:sz w:val="21"/>
                <w:szCs w:val="21"/>
                <w:highlight w:val="none"/>
                <w:lang w:val="en-US" w:eastAsia="zh-CN"/>
              </w:rPr>
              <w:t>官网和功能截图等</w:t>
            </w:r>
            <w:r>
              <w:rPr>
                <w:rFonts w:hint="eastAsia" w:asciiTheme="minorEastAsia" w:hAnsiTheme="minorEastAsia" w:eastAsiaTheme="minorEastAsia" w:cstheme="minorEastAsia"/>
                <w:color w:val="auto"/>
                <w:kern w:val="0"/>
                <w:sz w:val="21"/>
                <w:szCs w:val="21"/>
                <w:highlight w:val="none"/>
                <w:lang w:val="en-US" w:eastAsia="zh-CN" w:bidi="ar-SA"/>
              </w:rPr>
              <w:t>）；</w:t>
            </w:r>
          </w:p>
          <w:p>
            <w:pPr>
              <w:pStyle w:val="72"/>
              <w:spacing w:line="36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主要产品技术指标和性能高于基本招标要求，有一项正偏离加1分,最多加5分；若有与磋商文件要求有非实质性负偏离的，有一项扣1分，扣完为止。</w:t>
            </w:r>
          </w:p>
        </w:tc>
        <w:tc>
          <w:tcPr>
            <w:tcW w:w="589" w:type="dxa"/>
            <w:vAlign w:val="center"/>
          </w:tcPr>
          <w:p>
            <w:pPr>
              <w:pStyle w:val="48"/>
              <w:spacing w:line="266" w:lineRule="exact"/>
              <w:ind w:left="4"/>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736" w:type="dxa"/>
            <w:vMerge w:val="continue"/>
            <w:vAlign w:val="center"/>
          </w:tcPr>
          <w:p>
            <w:pPr>
              <w:jc w:val="center"/>
              <w:rPr>
                <w:rFonts w:hint="eastAsia"/>
                <w:color w:val="auto"/>
                <w:highlight w:val="none"/>
              </w:rPr>
            </w:pPr>
          </w:p>
        </w:tc>
        <w:tc>
          <w:tcPr>
            <w:tcW w:w="948" w:type="dxa"/>
            <w:vAlign w:val="center"/>
          </w:tcPr>
          <w:p>
            <w:pPr>
              <w:jc w:val="center"/>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bidi="ar-SA"/>
              </w:rPr>
              <w:t>设计方案（15分</w:t>
            </w:r>
            <w:r>
              <w:rPr>
                <w:rFonts w:hint="eastAsia"/>
                <w:color w:val="auto"/>
                <w:highlight w:val="none"/>
                <w:lang w:val="en-US" w:eastAsia="zh-CN"/>
              </w:rPr>
              <w:t>）</w:t>
            </w:r>
          </w:p>
        </w:tc>
        <w:tc>
          <w:tcPr>
            <w:tcW w:w="6755" w:type="dxa"/>
            <w:vAlign w:val="center"/>
          </w:tcPr>
          <w:p>
            <w:pPr>
              <w:pStyle w:val="72"/>
              <w:spacing w:line="360" w:lineRule="auto"/>
              <w:ind w:left="0" w:leftChars="0" w:right="0" w:rightChars="0" w:firstLine="0" w:firstLineChars="0"/>
              <w:jc w:val="both"/>
              <w:rPr>
                <w:rFonts w:hint="eastAsia"/>
                <w:color w:val="auto"/>
                <w:sz w:val="24"/>
                <w:szCs w:val="24"/>
                <w:highlight w:val="none"/>
                <w:lang w:val="zh-CN" w:bidi="he-IL"/>
              </w:rPr>
            </w:pPr>
            <w:r>
              <w:rPr>
                <w:rFonts w:hint="eastAsia" w:asciiTheme="minorEastAsia" w:hAnsiTheme="minorEastAsia" w:eastAsiaTheme="minorEastAsia" w:cstheme="minorEastAsia"/>
                <w:color w:val="auto"/>
                <w:kern w:val="0"/>
                <w:sz w:val="21"/>
                <w:szCs w:val="21"/>
                <w:highlight w:val="none"/>
                <w:lang w:val="en-US" w:eastAsia="zh-CN" w:bidi="ar-SA"/>
              </w:rPr>
              <w:t>供应商根据需求情况结合磋商文件要求进行设计并出具设案及计方施工图和效果图：设计需完整、科学、合理、美观，</w:t>
            </w:r>
            <w:r>
              <w:rPr>
                <w:rFonts w:hint="eastAsia" w:asciiTheme="minorEastAsia" w:hAnsiTheme="minorEastAsia" w:eastAsiaTheme="minorEastAsia" w:cstheme="minorEastAsia"/>
                <w:color w:val="auto"/>
                <w:kern w:val="0"/>
                <w:sz w:val="21"/>
                <w:szCs w:val="21"/>
                <w:highlight w:val="none"/>
                <w:lang w:val="zh-CN" w:eastAsia="zh-CN" w:bidi="ar-SA"/>
              </w:rPr>
              <w:t>进行综合评审：</w:t>
            </w:r>
          </w:p>
          <w:p>
            <w:pPr>
              <w:pStyle w:val="72"/>
              <w:spacing w:line="360" w:lineRule="auto"/>
              <w:ind w:left="0" w:leftChars="0" w:right="0" w:rightChars="0" w:firstLine="0" w:firstLineChars="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 xml:space="preserve">优秀得 </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分；良好得 </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分；一般得 0-</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分。</w:t>
            </w:r>
          </w:p>
        </w:tc>
        <w:tc>
          <w:tcPr>
            <w:tcW w:w="589" w:type="dxa"/>
            <w:vAlign w:val="center"/>
          </w:tcPr>
          <w:p>
            <w:pPr>
              <w:pStyle w:val="48"/>
              <w:spacing w:line="266" w:lineRule="exact"/>
              <w:ind w:left="4"/>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color w:val="auto"/>
                <w:highlight w:val="none"/>
              </w:rPr>
            </w:pPr>
          </w:p>
          <w:p>
            <w:pPr>
              <w:jc w:val="center"/>
              <w:rPr>
                <w:rFonts w:hint="eastAsia"/>
                <w:color w:val="auto"/>
                <w:highlight w:val="none"/>
              </w:rPr>
            </w:pPr>
            <w:r>
              <w:rPr>
                <w:rFonts w:hint="eastAsia"/>
                <w:color w:val="auto"/>
                <w:highlight w:val="none"/>
                <w:lang w:val="en-US" w:eastAsia="zh-CN"/>
              </w:rPr>
              <w:t>实施</w:t>
            </w:r>
            <w:r>
              <w:rPr>
                <w:rFonts w:hint="eastAsia"/>
                <w:color w:val="auto"/>
                <w:highlight w:val="none"/>
              </w:rPr>
              <w:t>方案</w:t>
            </w:r>
            <w:r>
              <w:rPr>
                <w:rFonts w:hint="eastAsia"/>
                <w:color w:val="auto"/>
                <w:highlight w:val="none"/>
                <w:lang w:eastAsia="zh-CN"/>
              </w:rPr>
              <w:t>及技术措施</w:t>
            </w:r>
            <w:r>
              <w:rPr>
                <w:rFonts w:hint="eastAsia"/>
                <w:color w:val="auto"/>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bidi="ar-SA"/>
              </w:rPr>
              <w:t>15</w:t>
            </w:r>
            <w:r>
              <w:rPr>
                <w:rFonts w:hint="eastAsia"/>
                <w:color w:val="auto"/>
                <w:highlight w:val="none"/>
                <w:lang w:val="en-US" w:eastAsia="zh-CN"/>
              </w:rPr>
              <w:t>分）</w:t>
            </w:r>
          </w:p>
        </w:tc>
        <w:tc>
          <w:tcPr>
            <w:tcW w:w="6755" w:type="dxa"/>
            <w:vAlign w:val="center"/>
          </w:tcPr>
          <w:p>
            <w:pPr>
              <w:pStyle w:val="48"/>
              <w:spacing w:before="4" w:line="360" w:lineRule="exact"/>
              <w:ind w:left="4" w:right="12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rPr>
              <w:t>根据供应商供货、安装调试计划日程是否科学、合理、完善等进行综合打分。须提供完善的组织机构及人员（列明管理施工人员、专业技术人员等情况），符合实际情况的供货计划、工作流程，质量保障措施、科学有效的管理、运输配送体系齐全，人员配备合理等情况进行综合评审</w:t>
            </w:r>
            <w:r>
              <w:rPr>
                <w:rFonts w:hint="eastAsia"/>
                <w:color w:val="auto"/>
                <w:sz w:val="24"/>
                <w:szCs w:val="24"/>
                <w:highlight w:val="none"/>
                <w:lang w:val="zh-CN" w:bidi="he-IL"/>
              </w:rPr>
              <w:t>：</w:t>
            </w:r>
            <w:r>
              <w:rPr>
                <w:rFonts w:hint="eastAsia" w:asciiTheme="minorEastAsia" w:hAnsiTheme="minorEastAsia" w:eastAsiaTheme="minorEastAsia" w:cstheme="minorEastAsia"/>
                <w:color w:val="auto"/>
                <w:sz w:val="21"/>
                <w:szCs w:val="21"/>
                <w:highlight w:val="none"/>
                <w:lang w:val="en-US" w:eastAsia="zh-CN"/>
              </w:rPr>
              <w:t>方案合理、严谨、具有创意，且有针对性的方案；</w:t>
            </w:r>
            <w:r>
              <w:rPr>
                <w:rFonts w:hint="eastAsia" w:asciiTheme="minorEastAsia" w:hAnsiTheme="minorEastAsia" w:eastAsiaTheme="minorEastAsia" w:cstheme="minorEastAsia"/>
                <w:color w:val="auto"/>
                <w:sz w:val="21"/>
                <w:szCs w:val="21"/>
                <w:highlight w:val="none"/>
              </w:rPr>
              <w:t>工作进度控制措施有力，合理、详细、可操作性强</w:t>
            </w:r>
            <w:r>
              <w:rPr>
                <w:rFonts w:hint="eastAsia" w:asciiTheme="minorEastAsia" w:hAnsiTheme="minorEastAsia" w:eastAsiaTheme="minorEastAsia" w:cstheme="minorEastAsia"/>
                <w:color w:val="auto"/>
                <w:sz w:val="21"/>
                <w:szCs w:val="21"/>
                <w:highlight w:val="none"/>
                <w:lang w:eastAsia="zh-CN"/>
              </w:rPr>
              <w:t>：</w:t>
            </w:r>
          </w:p>
          <w:p>
            <w:pPr>
              <w:pStyle w:val="48"/>
              <w:spacing w:before="6" w:line="360" w:lineRule="auto"/>
              <w:ind w:left="4" w:leftChars="0" w:right="24" w:right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优秀得10-15分；良好得6-9分；一般得0-5分。 </w:t>
            </w:r>
          </w:p>
        </w:tc>
        <w:tc>
          <w:tcPr>
            <w:tcW w:w="589" w:type="dxa"/>
            <w:vAlign w:val="center"/>
          </w:tcPr>
          <w:p>
            <w:pPr>
              <w:pStyle w:val="48"/>
              <w:spacing w:before="6" w:line="358" w:lineRule="exact"/>
              <w:ind w:left="4" w:leftChars="0" w:right="24"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tcBorders>
              <w:bottom w:val="single" w:color="auto" w:sz="4" w:space="0"/>
            </w:tcBorders>
            <w:vAlign w:val="center"/>
          </w:tcPr>
          <w:p>
            <w:pPr>
              <w:jc w:val="center"/>
              <w:rPr>
                <w:rFonts w:hint="eastAsia"/>
                <w:color w:val="auto"/>
                <w:highlight w:val="none"/>
              </w:rPr>
            </w:pPr>
            <w:r>
              <w:rPr>
                <w:rFonts w:hint="eastAsia"/>
                <w:color w:val="auto"/>
                <w:highlight w:val="none"/>
                <w:lang w:eastAsia="zh-CN"/>
              </w:rPr>
              <w:t>售后服务</w:t>
            </w:r>
            <w:r>
              <w:rPr>
                <w:rFonts w:hint="eastAsia" w:asciiTheme="minorEastAsia" w:hAnsiTheme="minorEastAsia" w:eastAsiaTheme="minorEastAsia" w:cstheme="minorEastAsia"/>
                <w:color w:val="auto"/>
                <w:kern w:val="0"/>
                <w:sz w:val="21"/>
                <w:szCs w:val="21"/>
                <w:highlight w:val="none"/>
                <w:lang w:val="en-US" w:eastAsia="zh-CN" w:bidi="ar-SA"/>
              </w:rPr>
              <w:t>（10 分</w:t>
            </w:r>
            <w:r>
              <w:rPr>
                <w:rFonts w:hint="eastAsia"/>
                <w:color w:val="auto"/>
                <w:highlight w:val="none"/>
              </w:rPr>
              <w:t>）</w:t>
            </w:r>
          </w:p>
        </w:tc>
        <w:tc>
          <w:tcPr>
            <w:tcW w:w="6755" w:type="dxa"/>
            <w:tcBorders>
              <w:bottom w:val="single" w:color="auto" w:sz="4" w:space="0"/>
            </w:tcBorders>
            <w:vAlign w:val="center"/>
          </w:tcPr>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针对本项目的具体售后服务方案（包括售后服务团队的配置及分工、服务内容及承诺、响应时间及保障措施）：方案完善可靠、科学合理、切实可行，</w:t>
            </w:r>
            <w:r>
              <w:rPr>
                <w:rFonts w:hint="eastAsia" w:asciiTheme="minorEastAsia" w:hAnsiTheme="minorEastAsia" w:eastAsiaTheme="minorEastAsia" w:cstheme="minorEastAsia"/>
                <w:color w:val="auto"/>
                <w:sz w:val="21"/>
                <w:szCs w:val="21"/>
                <w:highlight w:val="none"/>
              </w:rPr>
              <w:t>进行横向对比综合赋分：</w:t>
            </w:r>
          </w:p>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 xml:space="preserve">优秀得 </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 xml:space="preserve"> 分；良好得 </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 xml:space="preserve"> 分；一般得</w:t>
            </w:r>
            <w:r>
              <w:rPr>
                <w:rFonts w:hint="eastAsia" w:asciiTheme="minorEastAsia" w:hAnsiTheme="minorEastAsia" w:eastAsiaTheme="minorEastAsia" w:cstheme="minorEastAsia"/>
                <w:color w:val="auto"/>
                <w:sz w:val="21"/>
                <w:szCs w:val="21"/>
                <w:highlight w:val="none"/>
                <w:lang w:val="en-US" w:eastAsia="zh-CN"/>
              </w:rPr>
              <w:t>0-4</w:t>
            </w:r>
            <w:r>
              <w:rPr>
                <w:rFonts w:hint="eastAsia" w:asciiTheme="minorEastAsia" w:hAnsiTheme="minorEastAsia" w:eastAsiaTheme="minorEastAsia" w:cstheme="minorEastAsia"/>
                <w:color w:val="auto"/>
                <w:sz w:val="21"/>
                <w:szCs w:val="21"/>
                <w:highlight w:val="none"/>
                <w:lang w:eastAsia="zh-CN"/>
              </w:rPr>
              <w:t>；不提供者不得分。</w:t>
            </w:r>
            <w:r>
              <w:rPr>
                <w:rFonts w:hint="eastAsia" w:asciiTheme="minorEastAsia" w:hAnsiTheme="minorEastAsia" w:eastAsiaTheme="minorEastAsia" w:cstheme="minorEastAsia"/>
                <w:color w:val="auto"/>
                <w:sz w:val="21"/>
                <w:szCs w:val="21"/>
                <w:highlight w:val="none"/>
              </w:rPr>
              <w:t xml:space="preserve"> </w:t>
            </w:r>
          </w:p>
        </w:tc>
        <w:tc>
          <w:tcPr>
            <w:tcW w:w="589" w:type="dxa"/>
            <w:tcBorders>
              <w:bottom w:val="single" w:color="auto" w:sz="4" w:space="0"/>
            </w:tcBorders>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736" w:type="dxa"/>
            <w:vMerge w:val="continue"/>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tcBorders>
              <w:bottom w:val="single" w:color="auto" w:sz="4" w:space="0"/>
            </w:tcBorders>
            <w:vAlign w:val="center"/>
          </w:tcPr>
          <w:p>
            <w:pPr>
              <w:jc w:val="center"/>
              <w:rPr>
                <w:rFonts w:hint="eastAsia"/>
                <w:color w:val="auto"/>
                <w:highlight w:val="none"/>
                <w:lang w:val="en-US" w:eastAsia="zh-CN"/>
              </w:rPr>
            </w:pPr>
            <w:r>
              <w:rPr>
                <w:rFonts w:hint="eastAsia"/>
                <w:color w:val="auto"/>
                <w:highlight w:val="none"/>
                <w:lang w:val="en-US" w:eastAsia="zh-CN"/>
              </w:rPr>
              <w:t>安全与应急预案</w:t>
            </w:r>
          </w:p>
          <w:p>
            <w:pPr>
              <w:pStyle w:val="72"/>
              <w:ind w:left="0" w:leftChars="0" w:firstLine="0" w:firstLineChars="0"/>
              <w:jc w:val="center"/>
              <w:rPr>
                <w:rFonts w:hint="eastAsia"/>
                <w:color w:val="auto"/>
                <w:highlight w:val="none"/>
                <w:lang w:val="en-US" w:eastAsia="zh-CN"/>
              </w:rPr>
            </w:pPr>
            <w:r>
              <w:rPr>
                <w:rFonts w:hint="eastAsia"/>
                <w:color w:val="auto"/>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bidi="ar-SA"/>
              </w:rPr>
              <w:t>5</w:t>
            </w:r>
            <w:r>
              <w:rPr>
                <w:rFonts w:hint="eastAsia"/>
                <w:color w:val="auto"/>
                <w:highlight w:val="none"/>
                <w:lang w:val="en-US" w:eastAsia="zh-CN"/>
              </w:rPr>
              <w:t>分）</w:t>
            </w:r>
          </w:p>
        </w:tc>
        <w:tc>
          <w:tcPr>
            <w:tcW w:w="6755" w:type="dxa"/>
            <w:tcBorders>
              <w:bottom w:val="single" w:color="auto" w:sz="4" w:space="0"/>
            </w:tcBorders>
            <w:vAlign w:val="center"/>
          </w:tcPr>
          <w:p>
            <w:pPr>
              <w:spacing w:line="360" w:lineRule="auto"/>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具有完善健全的安全保证措施及应急预案，应急预案需按照国家、地方政策及现状和有关规定进行编制，并满足本项目需求（项目执行应在疫情防控下进行，需符合当地疫情防控要求）。根据供应商所提供措施和预案的全面性、针对性、精细性进行横向对比综合赋分：</w:t>
            </w:r>
          </w:p>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 xml:space="preserve">优秀得 </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 xml:space="preserve"> 分；良好得 </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 xml:space="preserve"> 分；一般得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 xml:space="preserve"> 0；不提供者不得分。</w:t>
            </w:r>
          </w:p>
        </w:tc>
        <w:tc>
          <w:tcPr>
            <w:tcW w:w="589" w:type="dxa"/>
            <w:tcBorders>
              <w:bottom w:val="single" w:color="auto" w:sz="4" w:space="0"/>
            </w:tcBorders>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8439" w:type="dxa"/>
            <w:gridSpan w:val="3"/>
            <w:tcBorders>
              <w:top w:val="single" w:color="auto" w:sz="4" w:space="0"/>
              <w:left w:val="single" w:color="auto" w:sz="4" w:space="0"/>
              <w:bottom w:val="single" w:color="auto" w:sz="4" w:space="0"/>
              <w:right w:val="single" w:color="auto" w:sz="4" w:space="0"/>
            </w:tcBorders>
          </w:tcPr>
          <w:p>
            <w:pPr>
              <w:pStyle w:val="48"/>
              <w:spacing w:before="2" w:line="360" w:lineRule="exact"/>
              <w:ind w:left="4" w:right="1495"/>
              <w:rPr>
                <w:rFonts w:hint="default"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b/>
                <w:bCs/>
                <w:color w:val="auto"/>
                <w:spacing w:val="-3"/>
                <w:sz w:val="21"/>
                <w:szCs w:val="21"/>
                <w:highlight w:val="none"/>
                <w:lang w:eastAsia="zh-CN"/>
              </w:rPr>
              <w:t>备注：如果供应商需要剧场图纸，请联系：</w:t>
            </w:r>
            <w:r>
              <w:rPr>
                <w:rFonts w:hint="eastAsia" w:asciiTheme="minorEastAsia" w:hAnsiTheme="minorEastAsia" w:eastAsiaTheme="minorEastAsia" w:cstheme="minorEastAsia"/>
                <w:b/>
                <w:bCs/>
                <w:color w:val="auto"/>
                <w:spacing w:val="-3"/>
                <w:sz w:val="21"/>
                <w:szCs w:val="21"/>
                <w:highlight w:val="none"/>
                <w:lang w:val="en-US" w:eastAsia="zh-CN"/>
              </w:rPr>
              <w:t xml:space="preserve"> 杜树刚   电话：13999207882</w:t>
            </w:r>
          </w:p>
        </w:tc>
        <w:tc>
          <w:tcPr>
            <w:tcW w:w="589" w:type="dxa"/>
            <w:tcBorders>
              <w:top w:val="single" w:color="auto" w:sz="4" w:space="0"/>
              <w:left w:val="single" w:color="auto" w:sz="4" w:space="0"/>
              <w:bottom w:val="single" w:color="auto" w:sz="4" w:space="0"/>
              <w:right w:val="single" w:color="auto" w:sz="4" w:space="0"/>
            </w:tcBorders>
            <w:vAlign w:val="center"/>
          </w:tcPr>
          <w:p>
            <w:pPr>
              <w:pStyle w:val="48"/>
              <w:spacing w:before="2" w:line="360" w:lineRule="exact"/>
              <w:ind w:left="4" w:right="1495"/>
              <w:jc w:val="center"/>
              <w:rPr>
                <w:rFonts w:hint="eastAsia" w:asciiTheme="minorEastAsia" w:hAnsiTheme="minorEastAsia" w:eastAsiaTheme="minorEastAsia" w:cstheme="minorEastAsia"/>
                <w:color w:val="auto"/>
                <w:sz w:val="21"/>
                <w:szCs w:val="21"/>
                <w:highlight w:val="none"/>
              </w:rPr>
            </w:pPr>
          </w:p>
        </w:tc>
      </w:tr>
    </w:tbl>
    <w:p>
      <w:pPr>
        <w:spacing w:line="560" w:lineRule="exact"/>
        <w:jc w:val="center"/>
        <w:outlineLvl w:val="0"/>
        <w:rPr>
          <w:rStyle w:val="35"/>
          <w:rFonts w:hint="eastAsia" w:ascii="仿宋_GB2312" w:hAnsi="仿宋_GB2312" w:eastAsia="仿宋_GB2312" w:cs="仿宋_GB2312"/>
          <w:sz w:val="32"/>
          <w:szCs w:val="32"/>
          <w:lang w:eastAsia="zh-CN"/>
        </w:rPr>
      </w:pPr>
      <w:r>
        <w:rPr>
          <w:rStyle w:val="35"/>
          <w:rFonts w:hint="eastAsia" w:ascii="仿宋_GB2312" w:hAnsi="仿宋_GB2312" w:eastAsia="仿宋_GB2312" w:cs="仿宋_GB2312"/>
          <w:sz w:val="32"/>
          <w:szCs w:val="32"/>
        </w:rPr>
        <w:br w:type="page"/>
      </w:r>
      <w:r>
        <w:rPr>
          <w:rStyle w:val="35"/>
          <w:rFonts w:hint="eastAsia" w:ascii="仿宋_GB2312" w:hAnsi="仿宋_GB2312" w:eastAsia="仿宋_GB2312" w:cs="仿宋_GB2312"/>
          <w:sz w:val="32"/>
          <w:szCs w:val="32"/>
        </w:rPr>
        <w:t>第三章  采购</w:t>
      </w:r>
      <w:bookmarkEnd w:id="109"/>
      <w:bookmarkStart w:id="110" w:name="_Toc28612"/>
      <w:r>
        <w:rPr>
          <w:rStyle w:val="35"/>
          <w:rFonts w:hint="eastAsia" w:ascii="仿宋_GB2312" w:hAnsi="仿宋_GB2312" w:eastAsia="仿宋_GB2312" w:cs="仿宋_GB2312"/>
          <w:sz w:val="32"/>
          <w:szCs w:val="32"/>
          <w:lang w:val="en-US" w:eastAsia="zh-CN"/>
        </w:rPr>
        <w:t>清单</w:t>
      </w:r>
    </w:p>
    <w:tbl>
      <w:tblPr>
        <w:tblStyle w:val="2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
        <w:gridCol w:w="1243"/>
        <w:gridCol w:w="3617"/>
        <w:gridCol w:w="466"/>
        <w:gridCol w:w="523"/>
        <w:gridCol w:w="466"/>
        <w:gridCol w:w="466"/>
        <w:gridCol w:w="1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一、舞台电源线路改造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LED投光灯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光源类型：LED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色温：≥5000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光通量：20000LM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发光角度：≥90°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工作电压：AC165-265V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支架调节：≥300°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灯具材质：压铸铝、钢化玻璃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 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 U型支架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灯具寿命 30000hrs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防水等级：IP66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舞台区域；上、下台口工作照明；栅顶区域工作照明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15W-30W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两侧耳光每层楼梯照明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单色温小于3500K</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两层马道地脚照明、三层门洞以及三层至四层马道钢梯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LED染色灯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带遮光扉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输入电压：AC220V/50Hz，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光源：54颗3W 高亮度LED （ 红14，绿14，蓝14 ，白12）                                                           功率：180W，电源：开关电源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光源寿命：6-10万小时，灯具采用具有PFC功率因数校正的开关电源，PF﹥0.99，效率高达90%，真正绿色环保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颜色：1670万种颜色变化，无闪烁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控制：DMX512、主从控制、自走 声控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 8通道（数码显示）                                   冷却：风扇冷却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特征：@双支架提手，可自支撑，可悬挂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@分体设计，机身全铸铝，温度保护，安全可靠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@独有光学系统设计，均匀的色斑效果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@超高频（64KHz）调光技术，无抖动闪，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尺寸：220×220×235mm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净重：3.5kg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毛重：4kg，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演出时上台口副台、下台口副台照明用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收线筐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采用金属材料制做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灯杆新增加收线筐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电源线、信号线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BV4</w:t>
            </w:r>
            <w:r>
              <w:rPr>
                <w:rStyle w:val="71"/>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铜芯线，专业信号线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由直通柜分出至各灯杆电源转接箱，控制室至灯栅层4条DMX512信号线，由信号分配柜至各灯杆转接箱之间的信号线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扁平缆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r>
              <w:rPr>
                <w:rStyle w:val="71"/>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2*DMX512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栅顶转接箱至灯杆收线筐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电源转接箱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栅顶电源直通柜电源线到电源转接箱，扁平缆从转接箱至灯杆收线筐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100*50防火线槽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每道灯杆上安装防火线槽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电源分线座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线槽固定至灯杆中间，从灯杆上转接箱连接电源线、信号线到线槽各个电源和信号插座点位；电源插座位数量6个航空电源插座，DMX512信号点位2个；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在灯杆线槽上开孔安装航空电源插座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电源线跳线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航空电源插头转40A\10A胶木插插头,跳线长度为1.5米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为不同灯具电源插头提供转接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48路数控电源直通箱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性能特点：接收所有符合DMX512协议的数字控制台发送的信号 ，地址可以任意设置，每台小窗口16*2液晶显示各种运行状态和数据，过流短路保护，过压报警并保护回路输出，每一个回路可以设置为手动控制，自动控制，断零自动保护，漏电自动保护，零线误接火线保护，DMX512信号控制三种控制方式，每一个回路可在过压保护和不保护两种状态下选择设置，48路输出，每路4K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所有灯光电源由数控电源直通箱输出，可通过灯光控制台通控制电源直通柜电源开关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数字放大器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8路信号放大器是采用最新光电隔离技术，达到国际先进水平，输入输出每路都是采用独立的变压器供电，8个光电隔离信号放大来扩大DMX信号输出 ，放大功能可以令连接延长超过标准的DMX512长度。并且支持RDM双向传输协议外观设计轻便，结构坚固，减少问题再发生.是舞台电脑灯，LED灯，灯控台的最佳搭档。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输入电源：AC110V—240V，频率50Hz-60Hz.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输入信号接口：国际标准DMX512信号，三芯/五芯镀金卡侬公座母座并接.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输出信号接口采用三芯镀金卡侬母座.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外形尺寸（mm）：483mm×255mm×45mm  单机重量:3.3KG.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舞台灯光信号从信号放大器输出给每台灯具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NPU网路处理器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·Intel i5 4590处理器，4Gb 内存，金士顿 120G SSD系统硬盘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·实时计算，可同时控制多达4,096控制参数·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·自带8个DMX512输出口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·内置1个7寸TFT触摸显示屏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·UPS无外接电源工作一小时 如需更久时间可定制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·可定制220V通电自动开机  220V电源断开延时一分钟自动关机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无需人工操作，方便工程设备在机房来回跑的操作过程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·内置4口千兆网络交换机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·2个USB 2.0连接接口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·2个快速电源插头级联减少过多的电源线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·标准4U尺寸可上机柜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灯光控制台连接至NPU网路处理器，再从NPU网路处理器信号输出给信号放大器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电缆线3*50+2*25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从主配电柜引至栅顶直通柜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线路改造、线槽、穿线管、照明电源线、辅材、原有预留信号线音箱线焊接接插头等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二、面光灯、耳光灯改造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LED1000W切割摇头灯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出光镜头直径: 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采用强大的1000W LED 光引擎，有效出光直径180mm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色温: 6,000K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缩放角度：5°-52°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光通量：31,000 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显色指数：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Ra≥95, R9≥90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TM-30 Rf: 91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TM-30 Rg: 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线性CMY混色系统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卓越的色彩宏效果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线性CTO色温调节：2700K-6000K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固定图案盘：1个固定图案盘，8种固定图案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旋转图案盘：1个旋转图案盘，7种旋转图案，便于替换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图案片外径：29.8mm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图案片内径：22mm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颜色盘：1个颜色盘，6种固定颜色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动态盘：1个可旋转及更换的动态盘，制造出众的水纹及火焰效果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配备均可双向旋转的一个4棱镜和一个4面直排镜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两片新型材料的高亮度雾化片(轻度、中度）,可有效提升切入雾化模式的亮度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4片切割片实现快速、平滑切割，每片切割片方向及角度可以独立控制；单片可完整闭光,整个切割模块可以旋转±60°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机械线性光圈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在高清摄像机下无闪烁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防尘、防油污设计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 强大的1000W LED 光引擎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LED预期使用寿命: 20000 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光学系统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先进的光学系统确保清晰的成像质量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高效的光学系统，有效出光直径180mm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缩放角度：5°-52°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控制与程序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4个触摸按键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控制面板: 内置彩色 LCD 液晶面板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内置电池：内置充电电池，可在不供应外部电源状态下进行菜单设置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控制协议: DMX512, RDM, Art-Net, sACN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DMX 通道模式: 4种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控制通道: 35,26,29,20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人工智能物联网系统：AIOT丰云系统，“毅•数据”自动管理系统（选配）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X轴/Y轴：16 bit 精度扫描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软件升级：通过 DMX或USB 连接更新软件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X轴/Y轴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X轴运转角度: 540°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Y轴运转角度: 270°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固定锁：水平/垂直锁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X轴/Y轴位置失步自动校正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旋转图案盘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1个旋转图案盘，7种旋转图案，便于替换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图案片外径：29.8mm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图案片内径：22mm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厚度: 1.1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可接受的最大厚度: 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优质的玻璃材料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设有“插槽和锁定”系统，便于更换Gobos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固定图案盘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1个固定图案盘，8种固定图案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1个颜色盘，6种固定颜色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动态盘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1个可旋转及更换的动态盘，制造出众的水纹及火焰效果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切割系统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4片切割片实现快速、平滑切割，每片切割片方向及角度可以独立控制；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运转快速平滑, 速度可调节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切割系统可平滑移动并精准定位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单片可完整闭光,整个切割模块可以旋转±60°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电气与接口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自适配电源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输入电压范围: AC 100-240 V, 50/60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 1350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电源插座：电源连接器输入/输出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信号输入/输出：三芯和五芯卡侬头插座，RJ45接口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灯具规格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 770 mm (30.3")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 308 mm (12.1")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深: 412 mm (16.2")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 43.2kg (95.2lbs)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飞行箱尺寸：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 905 mm (35.6")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 595 mm (23.4")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深: 715 mm (28.1")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 85kg (187.4 lbs)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面光5台，耳光4台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墙面电源箱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定做，内接3路电源航空插座和1路512信号插座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舞台左右两侧副台区墙面安装，可对地面临时增加灯具提供电源及512信号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电源线、信号线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BV2.5</w:t>
            </w:r>
            <w:r>
              <w:rPr>
                <w:rStyle w:val="71"/>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铜芯线，专业信号线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原面光灯、耳光灯、副台区电源线信号线全部引至栅顶层直通柜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安装及辅材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原有灯具拆除、防火线槽、穿线管、五金件等；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切割灯、原面光灯、耳光灯线路改造灯具安装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照明控制改造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观众区域灯光照明控制开关改为双控开关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一层入口处照明控制区做防护，将原有单控开关改为双控开关，另一处控制开关安装于灯光控制室内。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舞台机械控制改造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将舞台机械控制部分迁移至一层舞台下场口处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三、消防器材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水基型灭火器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灭火剂充装量: 42.75-45L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喷射时间: 40~210s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喷射距离:≥6m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喷射剩余率:≤10%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灭火级别: 4A 144B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使用温度: +5°C~+55C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工作压力: 1.2MPa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水压试验压力: 2.1MPa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舞台副台区左右两侧摆放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3KG二氧化碳灭火器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3KG手提式二氧化碳碳火器性能参数：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灭火剂充装量: 2.85-3.0kg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喷射时间:≥8s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喷射距离:≥2.0m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喷射剩余率:≤15%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灭火级别: 21 B C 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使用温度: - 10°C~+55°C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水压试验压力: 25.5MPa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应急指示灯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安装及辅材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应急指示灯安装及所需线材、辅材；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四、剧院监控及热成像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高清球形摄像机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变倍: 23倍光学变倍，16倍数字变倍  400万像素红外网络高清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 4.8~110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视场角: 55~2.7度（广角~望远）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 红外补光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补光灯距离: 50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防补光过曝: 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红外波长范围: 850 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水平范围: 0°~360°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垂直范围: -5°~90°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水平速度: 0.1°~300°/s，速度可设；水平预置点速度：350°/s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垂直速度: 0.1°~160°/s，速度可设；垂直预置点速度：200°/s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主码流帧率分辨率: 50 Hz：25 fps（2560 × 1440） ；60 Hz：30 fps（2560 × 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 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支持萤石接入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网络存储: NAS（NFS，SMB/CIFS）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 120 dB超宽动态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图像增强: 背光补偿，强光抑制，3D数字降噪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 RJ45网口，自适应10 M/100 M网络数据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观众区域2个、上台口1个、下台口1个、副台区2个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热成像摄像机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【400万+声光报警】热成像双光谱网络筒型摄像机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热成像：分辨率：160×120；焦距：6mm；视场角：15.96°× 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可见光：分辨率：2688×1520，400万；焦距：8mm；视场角：39.4°×22.1°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测温精度：±8℃或量程的±8% ℃ （取最大值）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测温范围：-20℃~150℃；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人员周界最远报警距离（以1.8米*0.5米为准）：72m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车辆周界最远报警距离（以4米*1.4米为准）：210m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目标物最远测温距离（以0.1米*0.1米为准）：11m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火点最远报警距离（以0.1米*0.1米为准）：50m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吸烟检测最远报警距离：10m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支持30米红外补光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支持AI开放平台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 12 V（±25%）或PoE (802.3af, class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工作温度和湿度：-40℃~70℃，湿度小于95%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三楼马道2个监控配电柜、栅顶层2个、面光马道2个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星光摄像机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 智能红外网络球机】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具备人脸、人体抓拍并关联输出功能，支持指哪抓哪、多场景轮巡抓拍、远距离卡口抓拍模式；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支持人脸人体车辆同时抓拍，人脸人体关联输出，并实现对人脸、人体、车辆结构化属性特征信息提取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前端建模比对：前端存储15万张人脸图片进行建模后，对场景中抓拍的人脸进行比对并输出结果。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支持GB35114安全加密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 1/1.2＂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 0 Lux with IR,彩色：0.0005Lux @ (F1.6，AGC ON),黑白：0.0001Lux @ (F1.6，AGC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 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 7.5- 300mm，40倍光学变倍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激光照射距离: 500m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防补光过曝: 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水平范围: 360°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垂直范围: -20°-90°(自动翻转)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水平速度: 水平键控速度：0.1°-210°/s,速度可设;水平预置点速度：280°/s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垂直速度: 垂直键控速度：0.1°-150°/s,速度可设;垂直预置点速度：250°/s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主码流帧率分辨率: 50Hz:25fps(3840×2160); 60Hz:24fps(3840×2160)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 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网络存储: NAS (NFS, SMB/ CIFS)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GPS: 内置GPS、北斗卫星定位模块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电子罗盘: 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网络接口: RJ45网口，自适应10M/100M网络数据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光纤接口: 采用FC接口，内置光纤模块（100M网络数据、波长TX1310/RX1550nm、单纤单模、20km传输距离）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安装于观众区监控舞台口及舞台区域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硬盘录像机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硬件规格：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2U标准机架式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2个HDMI，2个VGA,HDMI+VGA组内同源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8盘位，可满配8T硬盘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2个千兆网口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2个USB2.0接口、1个USB3.0接口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1个eSATA接口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支持RAID0、1、5、10，支持全局热备盘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报警IO：16进4出（可选配8出）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软件性能：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输入带宽：320M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32路H.264、H.265混合接入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最大支持16×1080P解码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支持H.265、H.264解码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Smart 2.0/整机热备/ANR/智能检索/智能回放/车牌检索/人脸检索/热度图/客流量统计/分时段回放/超高倍速回放/双系统备份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舞台总监室1台、音响灯光控制室各1台；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硬盘录像机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硬件规格：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1.5U标准机架式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1个HDMI，1个VGA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4盘位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2个千兆网口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2个USB2.0接口、1个USB3.0接口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报警IO：16进4出（选配16进8出）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软件性能：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输入带宽：128M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8路H.264、H.265混合接入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最大支持8×1080P解码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支持H.265、H.264解码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Smart 2.0/ANR/智能检索/智能回放/车牌检索/人脸检索/热度图/客流量统计/分时段回放/超高倍速回放/双系统备份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男女化妆间各安装1台，显示舞台口画面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8T监控专用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录相存储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固定摄像机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摄像机吊架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摄像机专用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每台摄像机用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显示器（65寸）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Android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CPU核心数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人工智能语音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智能语音助手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运行内存/RAM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四核A55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直下式/DLED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WIFI频段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底座材质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屏占比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95%&gt;N≥90%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单屏重量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17.2kg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安装孔距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300*300mm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边框材质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DP接口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HDMI(ARC)接口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RBG接口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不支持RBG接口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USB2.0接口数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HDMI1.4接口数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模拟RF接口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不支持模拟RF接口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数字RF接口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不支持数字RF接口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光纤音频输出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不支持光纤音频输出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HDMI2.0接口数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HDMI2.1接口数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USB3.0接口数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无USB3.0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HDMI1.3接口数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含底座尺寸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宽1455mm；高891mm；厚277mm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单屏尺寸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宽1455mm；高843mm；厚85mm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色域值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VRR可变刷新率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不支持VRR可变刷新率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刷屏率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200-300尼特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HDR显示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支持HDR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屏幕比例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超高清4K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色域标准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BT.709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支持格式（高清）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2160p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音响功率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独立音响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主体参数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是否触摸屏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非触摸屏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认证型号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65V2-Pro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教育电视；体育电视；智能电视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上市时间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护眼电视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65V2-Pro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无线/有线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待机功率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舞台总监室1台 、音响灯光控制室1台，男女化妆间各1台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六类监控专用网线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电源护套线2*0.75监控摄像机专用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网络专用金属机柜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安装硬盘录相机用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类型：双向近场演播室参考监视器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频率响应：45赫兹- 22千赫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频率范围：45至35赫兹KHz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放大器，RMS：如果70 W高频60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信噪比：100 dB典型加权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交叉频率：2.5千赫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高频驱动器：1英寸（32毫米）磁屏蔽天然丝穹顶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输入连接器：1×XLR平衡输入连接器/ 1×TRS平衡不平衡输入连接器，如果驱动器：6英寸（153毫米）凯夫拉尔锥形锥体和高温语音环，阻尼橡胶环绕。磁屏蔽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极性：输出正信号+输入产生低频圆锥位移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输入阻抗：20 K平衡，10 K失衡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指示器：电源开/关后面板指示器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男女 化妆间各2只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安装及辅材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施工安装、高清线、信号线、插线板、穿线管、系统优化等安装所需材料；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五、剧院舞台侧屏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室内P2      LED全彩屏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室内P2 LED屏，单块净尺寸宽2.56米*高1.28米（3.28平方*2块）  单块含边框尺寸：宽2.66米*高1.38米  宽8块*高8块,320*160 3840刷新，两块侧屏。配套视频处理器（三画面同步播放）、电脑、线材、安装及辅材；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舞台两侧各安装一块P2全彩LED侧屏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6、建设要求</w:t>
            </w:r>
          </w:p>
          <w:p>
            <w:pPr>
              <w:keepNext w:val="0"/>
              <w:keepLines w:val="0"/>
              <w:widowControl/>
              <w:suppressLineNumbers w:val="0"/>
              <w:ind w:firstLine="420" w:firstLineChars="200"/>
              <w:jc w:val="left"/>
              <w:textAlignment w:val="center"/>
              <w:rPr>
                <w:rFonts w:hint="eastAsia"/>
                <w:highlight w:val="yellow"/>
                <w:lang w:val="en-US" w:eastAsia="zh-CN"/>
              </w:rPr>
            </w:pPr>
            <w:r>
              <w:rPr>
                <w:rFonts w:hint="eastAsia"/>
                <w:highlight w:val="yellow"/>
                <w:lang w:val="en-US" w:eastAsia="zh-CN"/>
              </w:rPr>
              <w:t>本项目建设中的所有设施设备及施工安装工作必须符合《剧场建筑设计规范 JGJ57-2016》中的相关要求。具体如下：</w:t>
            </w:r>
          </w:p>
          <w:p>
            <w:pPr>
              <w:keepNext w:val="0"/>
              <w:keepLines w:val="0"/>
              <w:widowControl/>
              <w:numPr>
                <w:ilvl w:val="0"/>
                <w:numId w:val="0"/>
              </w:numPr>
              <w:suppressLineNumbers w:val="0"/>
              <w:ind w:firstLine="420" w:firstLineChars="200"/>
              <w:jc w:val="left"/>
              <w:textAlignment w:val="center"/>
              <w:rPr>
                <w:rFonts w:hint="eastAsia"/>
                <w:highlight w:val="yellow"/>
                <w:lang w:val="en-US" w:eastAsia="zh-CN"/>
              </w:rPr>
            </w:pPr>
            <w:r>
              <w:rPr>
                <w:rFonts w:hint="eastAsia"/>
                <w:highlight w:val="yellow"/>
                <w:lang w:val="en-US" w:eastAsia="zh-CN"/>
              </w:rPr>
              <w:t>1、结合新疆文化馆剧场现有设施设备的现状，建设并完成满足消防《剧场建筑设计规范 JGJ57-2016》要求，建造一个完整的电路安全体系，有效保障各类演出活动的安全正常开展。</w:t>
            </w:r>
          </w:p>
          <w:p>
            <w:pPr>
              <w:keepNext w:val="0"/>
              <w:keepLines w:val="0"/>
              <w:widowControl/>
              <w:numPr>
                <w:ilvl w:val="0"/>
                <w:numId w:val="0"/>
              </w:numPr>
              <w:suppressLineNumbers w:val="0"/>
              <w:ind w:firstLine="420" w:firstLineChars="200"/>
              <w:jc w:val="left"/>
              <w:textAlignment w:val="center"/>
              <w:rPr>
                <w:rFonts w:hint="eastAsia"/>
                <w:highlight w:val="yellow"/>
                <w:lang w:val="en-US" w:eastAsia="zh-CN"/>
              </w:rPr>
            </w:pPr>
            <w:r>
              <w:rPr>
                <w:rFonts w:hint="eastAsia"/>
                <w:highlight w:val="yellow"/>
                <w:lang w:val="en-US" w:eastAsia="zh-CN"/>
              </w:rPr>
              <w:t>2、施工方需提供设计方案和效果图，设计方案按照建设方需求，根据《剧场建筑设计规范 JGJ57-2016》指标的要求，进行科学、完整的设计，消除各种安全隐患，获得高性价比的理想效果，并适应剧场综合功能的要求。</w:t>
            </w:r>
          </w:p>
          <w:p>
            <w:pPr>
              <w:keepNext w:val="0"/>
              <w:keepLines w:val="0"/>
              <w:widowControl/>
              <w:suppressLineNumbers w:val="0"/>
              <w:ind w:firstLine="420" w:firstLineChars="200"/>
              <w:jc w:val="left"/>
              <w:textAlignment w:val="center"/>
              <w:rPr>
                <w:rFonts w:hint="default"/>
                <w:highlight w:val="yellow"/>
                <w:lang w:val="en-US" w:eastAsia="zh-CN"/>
              </w:rPr>
            </w:pPr>
            <w:r>
              <w:rPr>
                <w:rFonts w:hint="eastAsia"/>
                <w:highlight w:val="yellow"/>
                <w:lang w:val="en-US" w:eastAsia="zh-CN"/>
              </w:rPr>
              <w:t>3、剧场消防配有原结构烟感和喷淋系统，施工过程不许擅自拆卸或改装。所用设备和材料难燃性、引燃性、产烟毒性、烟密度、热释放及烟气、耐火性能、燃烧性能、燃烧热值、抗火性能、耐高温性能、防火等级测试、阻燃等级、水平燃烧、垂直燃烧、氧指数测试、烟密度测试要达到UL94检测标准，同时要达到国家GB50016-2014号《建筑设计防火规范》标准。空调、强电路、灯光照明方面继续沿用原空调、强电路、灯光照明系统。所有材料参数必须达到A级防火标准。</w:t>
            </w:r>
          </w:p>
          <w:p>
            <w:pPr>
              <w:keepNext w:val="0"/>
              <w:keepLines w:val="0"/>
              <w:widowControl/>
              <w:suppressLineNumbers w:val="0"/>
              <w:ind w:firstLine="420" w:firstLineChars="200"/>
              <w:jc w:val="left"/>
              <w:textAlignment w:val="center"/>
              <w:rPr>
                <w:rFonts w:hint="eastAsia"/>
                <w:highlight w:val="yellow"/>
                <w:lang w:val="en-US" w:eastAsia="zh-CN"/>
              </w:rPr>
            </w:pPr>
            <w:r>
              <w:rPr>
                <w:rFonts w:hint="eastAsia"/>
                <w:highlight w:val="yellow"/>
                <w:lang w:val="en-US" w:eastAsia="zh-CN"/>
              </w:rPr>
              <w:t>4、施工方在施工期间要服从物业方的相关管理和要求，不能擅自修改水、电、风等设施设备，如需修改，必须提前给物业方备案。</w:t>
            </w:r>
          </w:p>
          <w:p>
            <w:pPr>
              <w:keepNext w:val="0"/>
              <w:keepLines w:val="0"/>
              <w:widowControl/>
              <w:suppressLineNumbers w:val="0"/>
              <w:ind w:firstLine="420" w:firstLineChars="200"/>
              <w:jc w:val="left"/>
              <w:textAlignment w:val="center"/>
              <w:rPr>
                <w:rFonts w:hint="eastAsia"/>
                <w:highlight w:val="yellow"/>
                <w:lang w:val="en-US" w:eastAsia="zh-CN"/>
              </w:rPr>
            </w:pPr>
            <w:r>
              <w:rPr>
                <w:rFonts w:hint="eastAsia"/>
                <w:highlight w:val="yellow"/>
                <w:lang w:val="en-US" w:eastAsia="zh-CN"/>
              </w:rPr>
              <w:t>5、项目实施过程中不能耽误我馆正常开展工作，做好施工防护措施，确保施工安全。</w:t>
            </w:r>
          </w:p>
          <w:p>
            <w:pPr>
              <w:keepNext w:val="0"/>
              <w:keepLines w:val="0"/>
              <w:widowControl/>
              <w:suppressLineNumbers w:val="0"/>
              <w:ind w:firstLine="420" w:firstLineChars="200"/>
              <w:jc w:val="left"/>
              <w:textAlignment w:val="center"/>
              <w:rPr>
                <w:rFonts w:hint="eastAsia"/>
                <w:highlight w:val="yellow"/>
                <w:lang w:val="en-US" w:eastAsia="zh-CN"/>
              </w:rPr>
            </w:pPr>
            <w:r>
              <w:rPr>
                <w:rFonts w:hint="eastAsia"/>
                <w:highlight w:val="yellow"/>
                <w:lang w:val="en-US" w:eastAsia="zh-CN"/>
              </w:rPr>
              <w:t>6、项目实施过程中，施工方对原有建筑物品、设备造成的破坏、拆除，由施工方负责恢复，产生的垃圾清理干净并外运，所产生的费用均有施工方承担；</w:t>
            </w:r>
          </w:p>
          <w:p>
            <w:pPr>
              <w:keepNext w:val="0"/>
              <w:keepLines w:val="0"/>
              <w:widowControl/>
              <w:suppressLineNumbers w:val="0"/>
              <w:ind w:firstLine="420" w:firstLineChars="200"/>
              <w:jc w:val="left"/>
              <w:textAlignment w:val="center"/>
              <w:rPr>
                <w:rFonts w:hint="eastAsia"/>
                <w:highlight w:val="yellow"/>
                <w:lang w:val="en-US" w:eastAsia="zh-CN"/>
              </w:rPr>
            </w:pPr>
            <w:r>
              <w:rPr>
                <w:rFonts w:hint="eastAsia"/>
                <w:highlight w:val="yellow"/>
                <w:lang w:val="en-US" w:eastAsia="zh-CN"/>
              </w:rPr>
              <w:t>7、施工方安装调试过程中应充分考虑风险因素，施工过程所发生的一切安全问题由施工方负责。</w:t>
            </w:r>
          </w:p>
          <w:p>
            <w:pPr>
              <w:pStyle w:val="34"/>
              <w:rPr>
                <w:rFonts w:hint="default"/>
                <w:lang w:val="en-US"/>
              </w:rPr>
            </w:pPr>
            <w:r>
              <w:rPr>
                <w:rFonts w:hint="eastAsia" w:ascii="宋体" w:hAnsi="宋体" w:cs="宋体"/>
                <w:i w:val="0"/>
                <w:iCs w:val="0"/>
                <w:color w:val="000000"/>
                <w:kern w:val="0"/>
                <w:sz w:val="20"/>
                <w:szCs w:val="20"/>
                <w:highlight w:val="yellow"/>
                <w:u w:val="none"/>
                <w:lang w:val="en-US" w:eastAsia="zh-CN" w:bidi="ar"/>
              </w:rPr>
              <w:t xml:space="preserve">     8、质保期：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                 （小计1+小计2+小计3+小计4+小计5）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rPr>
          <w:rStyle w:val="35"/>
          <w:rFonts w:hint="eastAsia" w:ascii="仿宋_GB2312" w:hAnsi="仿宋_GB2312" w:eastAsia="仿宋_GB2312" w:cs="仿宋_GB2312"/>
          <w:sz w:val="32"/>
          <w:szCs w:val="32"/>
        </w:rPr>
      </w:pPr>
      <w:r>
        <w:rPr>
          <w:rStyle w:val="35"/>
          <w:rFonts w:hint="eastAsia" w:ascii="仿宋_GB2312" w:hAnsi="仿宋_GB2312" w:eastAsia="仿宋_GB2312" w:cs="仿宋_GB2312"/>
          <w:sz w:val="32"/>
          <w:szCs w:val="32"/>
        </w:rPr>
        <w:br w:type="page"/>
      </w:r>
    </w:p>
    <w:p>
      <w:pPr>
        <w:rPr>
          <w:rStyle w:val="35"/>
          <w:rFonts w:hint="eastAsia" w:ascii="仿宋_GB2312" w:hAnsi="仿宋_GB2312" w:eastAsia="仿宋_GB2312" w:cs="仿宋_GB2312"/>
          <w:sz w:val="32"/>
          <w:szCs w:val="32"/>
        </w:rPr>
      </w:pPr>
    </w:p>
    <w:p>
      <w:pPr>
        <w:spacing w:line="560" w:lineRule="exact"/>
        <w:jc w:val="center"/>
        <w:outlineLvl w:val="0"/>
        <w:rPr>
          <w:rFonts w:ascii="仿宋_GB2312" w:hAnsi="仿宋_GB2312" w:eastAsia="仿宋_GB2312" w:cs="仿宋_GB2312"/>
          <w:b/>
          <w:bCs/>
          <w:sz w:val="32"/>
          <w:szCs w:val="32"/>
        </w:rPr>
      </w:pPr>
      <w:r>
        <w:rPr>
          <w:rStyle w:val="35"/>
          <w:rFonts w:hint="eastAsia" w:ascii="仿宋_GB2312" w:hAnsi="仿宋_GB2312" w:eastAsia="仿宋_GB2312" w:cs="仿宋_GB2312"/>
          <w:sz w:val="32"/>
          <w:szCs w:val="32"/>
        </w:rPr>
        <w:t>第四章 合同格式</w:t>
      </w:r>
      <w:bookmarkEnd w:id="110"/>
    </w:p>
    <w:p>
      <w:pPr>
        <w:widowControl/>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（具体内容甲乙双方签订合同时协商确定）</w:t>
      </w:r>
    </w:p>
    <w:p>
      <w:pPr>
        <w:snapToGrid w:val="0"/>
        <w:spacing w:line="480" w:lineRule="exact"/>
        <w:ind w:firstLine="422" w:firstLineChars="200"/>
        <w:rPr>
          <w:b/>
        </w:rPr>
      </w:pPr>
    </w:p>
    <w:p>
      <w:pPr>
        <w:jc w:val="center"/>
        <w:rPr>
          <w:b/>
          <w:bCs/>
          <w:sz w:val="28"/>
          <w:szCs w:val="32"/>
        </w:rPr>
      </w:pPr>
      <w:r>
        <w:rPr>
          <w:b/>
          <w:bCs/>
          <w:sz w:val="28"/>
          <w:szCs w:val="32"/>
        </w:rPr>
        <w:t>合同一般条款</w:t>
      </w:r>
    </w:p>
    <w:p>
      <w:pPr>
        <w:spacing w:line="360" w:lineRule="auto"/>
        <w:ind w:firstLine="482" w:firstLineChars="200"/>
        <w:rPr>
          <w:rFonts w:ascii="宋体" w:hAnsi="宋体"/>
          <w:b/>
          <w:bCs/>
          <w:sz w:val="24"/>
        </w:rPr>
      </w:pPr>
      <w:r>
        <w:rPr>
          <w:rFonts w:hint="eastAsia" w:ascii="宋体" w:hAnsi="宋体"/>
          <w:b/>
          <w:bCs/>
          <w:sz w:val="24"/>
        </w:rPr>
        <w:t xml:space="preserve">具体合同条款以最终签订为准 </w:t>
      </w:r>
    </w:p>
    <w:p>
      <w:pPr>
        <w:spacing w:line="360" w:lineRule="auto"/>
        <w:ind w:firstLine="480" w:firstLineChars="200"/>
        <w:rPr>
          <w:rFonts w:ascii="宋体" w:hAnsi="宋体"/>
          <w:sz w:val="24"/>
        </w:rPr>
      </w:pPr>
      <w:r>
        <w:rPr>
          <w:rFonts w:hint="eastAsia" w:ascii="宋体" w:hAnsi="宋体"/>
          <w:sz w:val="24"/>
        </w:rPr>
        <w:t xml:space="preserve">1.定义 </w:t>
      </w:r>
    </w:p>
    <w:p>
      <w:pPr>
        <w:spacing w:line="360" w:lineRule="auto"/>
        <w:ind w:firstLine="480" w:firstLineChars="200"/>
        <w:rPr>
          <w:rFonts w:ascii="宋体" w:hAnsi="宋体"/>
          <w:sz w:val="24"/>
        </w:rPr>
      </w:pPr>
      <w:r>
        <w:rPr>
          <w:rFonts w:hint="eastAsia" w:ascii="宋体" w:hAnsi="宋体"/>
          <w:sz w:val="24"/>
        </w:rPr>
        <w:t xml:space="preserve">本合同中和附件中所用的下列术语应解释为： 1.1“买方”系指买服务的单位。 </w:t>
      </w:r>
    </w:p>
    <w:p>
      <w:pPr>
        <w:spacing w:line="360" w:lineRule="auto"/>
        <w:ind w:firstLine="480" w:firstLineChars="200"/>
        <w:rPr>
          <w:rFonts w:ascii="宋体" w:hAnsi="宋体"/>
          <w:sz w:val="24"/>
        </w:rPr>
      </w:pPr>
      <w:r>
        <w:rPr>
          <w:rFonts w:hint="eastAsia" w:ascii="宋体" w:hAnsi="宋体"/>
          <w:sz w:val="24"/>
        </w:rPr>
        <w:t xml:space="preserve">1.2“卖方”系指提供合同服务和服务的经济实体。 </w:t>
      </w:r>
    </w:p>
    <w:p>
      <w:pPr>
        <w:spacing w:line="360" w:lineRule="auto"/>
        <w:ind w:firstLine="480" w:firstLineChars="200"/>
        <w:rPr>
          <w:rFonts w:ascii="宋体" w:hAnsi="宋体"/>
          <w:sz w:val="24"/>
        </w:rPr>
      </w:pPr>
      <w:r>
        <w:rPr>
          <w:rFonts w:hint="eastAsia" w:ascii="宋体" w:hAnsi="宋体"/>
          <w:sz w:val="24"/>
        </w:rPr>
        <w:t xml:space="preserve">1.3“合同”系指买方、卖方双方签署的、合同格式中载明的供需双方所达成的协议，包括所有附件、附表和组成合同的所有文件。 </w:t>
      </w:r>
    </w:p>
    <w:p>
      <w:pPr>
        <w:spacing w:line="360" w:lineRule="auto"/>
        <w:ind w:firstLine="480" w:firstLineChars="200"/>
        <w:rPr>
          <w:rFonts w:ascii="宋体" w:hAnsi="宋体"/>
          <w:sz w:val="24"/>
        </w:rPr>
      </w:pPr>
      <w:r>
        <w:rPr>
          <w:rFonts w:hint="eastAsia" w:ascii="宋体" w:hAnsi="宋体"/>
          <w:sz w:val="24"/>
        </w:rPr>
        <w:t xml:space="preserve">1.4“合同价格”系指根据合同规定，在卖方全面正确的履行合同义务时买方应支付给卖方的货币额。 </w:t>
      </w:r>
    </w:p>
    <w:p>
      <w:pPr>
        <w:spacing w:line="360" w:lineRule="auto"/>
        <w:ind w:firstLine="480" w:firstLineChars="200"/>
        <w:rPr>
          <w:rFonts w:ascii="宋体" w:hAnsi="宋体"/>
          <w:sz w:val="24"/>
        </w:rPr>
      </w:pPr>
      <w:r>
        <w:rPr>
          <w:rFonts w:hint="eastAsia" w:ascii="宋体" w:hAnsi="宋体"/>
          <w:sz w:val="24"/>
        </w:rPr>
        <w:t xml:space="preserve">1.5“服务”系指根据合同所含招标文件中技术规范要求的服务内容及其它类似的义务。 </w:t>
      </w:r>
    </w:p>
    <w:p>
      <w:pPr>
        <w:spacing w:line="360" w:lineRule="auto"/>
        <w:ind w:firstLine="480" w:firstLineChars="200"/>
        <w:rPr>
          <w:rFonts w:ascii="宋体" w:hAnsi="宋体"/>
          <w:sz w:val="24"/>
        </w:rPr>
      </w:pPr>
      <w:r>
        <w:rPr>
          <w:rFonts w:hint="eastAsia" w:ascii="宋体" w:hAnsi="宋体"/>
          <w:sz w:val="24"/>
        </w:rPr>
        <w:t xml:space="preserve">2.合同标的(详见技术规格及要求) </w:t>
      </w:r>
    </w:p>
    <w:p>
      <w:pPr>
        <w:spacing w:line="360" w:lineRule="auto"/>
        <w:ind w:firstLine="480" w:firstLineChars="200"/>
        <w:rPr>
          <w:rFonts w:ascii="宋体" w:hAnsi="宋体"/>
          <w:sz w:val="24"/>
        </w:rPr>
      </w:pPr>
      <w:r>
        <w:rPr>
          <w:rFonts w:hint="eastAsia" w:ascii="宋体" w:hAnsi="宋体"/>
          <w:sz w:val="24"/>
        </w:rPr>
        <w:t xml:space="preserve">3.供货范围 </w:t>
      </w:r>
    </w:p>
    <w:p>
      <w:pPr>
        <w:spacing w:line="360" w:lineRule="auto"/>
        <w:ind w:firstLine="480" w:firstLineChars="200"/>
        <w:rPr>
          <w:rFonts w:ascii="宋体" w:hAnsi="宋体"/>
          <w:sz w:val="24"/>
        </w:rPr>
      </w:pPr>
      <w:r>
        <w:rPr>
          <w:rFonts w:hint="eastAsia" w:ascii="宋体" w:hAnsi="宋体"/>
          <w:sz w:val="24"/>
        </w:rPr>
        <w:t xml:space="preserve">3.1合同的采购范围详见第三章相关条款。 </w:t>
      </w:r>
    </w:p>
    <w:p>
      <w:pPr>
        <w:spacing w:line="360" w:lineRule="auto"/>
        <w:ind w:firstLine="480" w:firstLineChars="200"/>
        <w:rPr>
          <w:rFonts w:ascii="宋体" w:hAnsi="宋体"/>
          <w:sz w:val="24"/>
        </w:rPr>
      </w:pPr>
      <w:r>
        <w:rPr>
          <w:rFonts w:hint="eastAsia" w:ascii="宋体" w:hAnsi="宋体"/>
          <w:sz w:val="24"/>
        </w:rPr>
        <w:t xml:space="preserve">4.合同价格 </w:t>
      </w:r>
    </w:p>
    <w:p>
      <w:pPr>
        <w:spacing w:line="360" w:lineRule="auto"/>
        <w:ind w:firstLine="480" w:firstLineChars="200"/>
        <w:rPr>
          <w:rFonts w:ascii="宋体" w:hAnsi="宋体"/>
          <w:sz w:val="24"/>
        </w:rPr>
      </w:pPr>
      <w:r>
        <w:rPr>
          <w:rFonts w:hint="eastAsia" w:ascii="宋体" w:hAnsi="宋体"/>
          <w:sz w:val="24"/>
        </w:rPr>
        <w:t>4.1 合同价格即合同总价（      ）万元（大写:       万元）。本合同采用的合同价格方式为固定合同总价，包括服务及与合同</w:t>
      </w:r>
    </w:p>
    <w:p>
      <w:pPr>
        <w:spacing w:line="360" w:lineRule="auto"/>
        <w:ind w:firstLine="480" w:firstLineChars="200"/>
        <w:rPr>
          <w:rFonts w:ascii="宋体" w:hAnsi="宋体"/>
          <w:sz w:val="24"/>
        </w:rPr>
      </w:pPr>
      <w:r>
        <w:rPr>
          <w:rFonts w:hint="eastAsia" w:ascii="宋体" w:hAnsi="宋体"/>
          <w:sz w:val="24"/>
        </w:rPr>
        <w:t xml:space="preserve">有关的所有费用。 </w:t>
      </w:r>
    </w:p>
    <w:p>
      <w:pPr>
        <w:spacing w:line="360" w:lineRule="auto"/>
        <w:ind w:firstLine="480" w:firstLineChars="200"/>
        <w:rPr>
          <w:rFonts w:ascii="宋体" w:hAnsi="宋体"/>
          <w:sz w:val="24"/>
        </w:rPr>
      </w:pPr>
      <w:r>
        <w:rPr>
          <w:rFonts w:hint="eastAsia" w:ascii="宋体" w:hAnsi="宋体"/>
          <w:sz w:val="24"/>
        </w:rPr>
        <w:t xml:space="preserve">4.1.1 合同价格为（ ）万元。 </w:t>
      </w:r>
    </w:p>
    <w:p>
      <w:pPr>
        <w:spacing w:line="360" w:lineRule="auto"/>
        <w:ind w:firstLine="480" w:firstLineChars="200"/>
        <w:rPr>
          <w:rFonts w:ascii="宋体" w:hAnsi="宋体"/>
          <w:sz w:val="24"/>
        </w:rPr>
      </w:pPr>
      <w:r>
        <w:rPr>
          <w:rFonts w:hint="eastAsia" w:ascii="宋体" w:hAnsi="宋体"/>
          <w:sz w:val="24"/>
        </w:rPr>
        <w:t xml:space="preserve">4.1.2 合同其他费为（ ）万元。 </w:t>
      </w:r>
    </w:p>
    <w:p>
      <w:pPr>
        <w:spacing w:line="360" w:lineRule="auto"/>
        <w:ind w:firstLine="480" w:firstLineChars="200"/>
        <w:rPr>
          <w:rFonts w:ascii="宋体" w:hAnsi="宋体"/>
          <w:sz w:val="24"/>
        </w:rPr>
      </w:pPr>
      <w:r>
        <w:rPr>
          <w:rFonts w:hint="eastAsia" w:ascii="宋体" w:hAnsi="宋体"/>
          <w:sz w:val="24"/>
        </w:rPr>
        <w:t>4.2合同价格在合同执行期内不得变动。</w:t>
      </w:r>
    </w:p>
    <w:p>
      <w:pPr>
        <w:spacing w:line="360" w:lineRule="auto"/>
        <w:ind w:firstLine="480" w:firstLineChars="200"/>
        <w:rPr>
          <w:rFonts w:ascii="宋体" w:hAnsi="宋体"/>
          <w:sz w:val="24"/>
        </w:rPr>
      </w:pPr>
      <w:r>
        <w:rPr>
          <w:rFonts w:hint="eastAsia" w:ascii="宋体" w:hAnsi="宋体"/>
          <w:sz w:val="24"/>
        </w:rPr>
        <w:t xml:space="preserve">4.2.1如因在合同履行过程中有变更，存在减少有关服务情况， 经甲乙双方现场确认，报财务局审批后，按乙方中标时的固定单价对总价进行调减，并按有关规定签订补充合同。 </w:t>
      </w:r>
    </w:p>
    <w:p>
      <w:pPr>
        <w:spacing w:line="360" w:lineRule="auto"/>
        <w:ind w:firstLine="480" w:firstLineChars="200"/>
        <w:rPr>
          <w:rFonts w:ascii="宋体" w:hAnsi="宋体"/>
          <w:sz w:val="24"/>
        </w:rPr>
      </w:pPr>
      <w:r>
        <w:rPr>
          <w:rFonts w:hint="eastAsia" w:ascii="宋体" w:hAnsi="宋体"/>
          <w:sz w:val="24"/>
        </w:rPr>
        <w:t xml:space="preserve">4.2.2如因在合同履行过程中，需追加与本合同标的相同的服务的，在不改变合同条款的 前提下，经甲乙双方现场确认，按乙方中标时的固定单价对总价进行调增，并按有关规定签订补充合同，但应注意追加增加的服务总价不得超过本合同金额的10%。如追加的服务总价超过本合同金额的10%，由甲方报财务局采购管理处按有关规定处理。 </w:t>
      </w:r>
    </w:p>
    <w:p>
      <w:pPr>
        <w:spacing w:line="360" w:lineRule="auto"/>
        <w:ind w:firstLine="480" w:firstLineChars="200"/>
        <w:rPr>
          <w:rFonts w:ascii="宋体" w:hAnsi="宋体"/>
          <w:sz w:val="24"/>
        </w:rPr>
      </w:pPr>
      <w:r>
        <w:rPr>
          <w:rFonts w:hint="eastAsia" w:ascii="宋体" w:hAnsi="宋体"/>
          <w:sz w:val="24"/>
        </w:rPr>
        <w:t xml:space="preserve">5. 服务期限：1 年 。 </w:t>
      </w:r>
    </w:p>
    <w:p>
      <w:pPr>
        <w:spacing w:line="360" w:lineRule="auto"/>
        <w:ind w:firstLine="480" w:firstLineChars="200"/>
        <w:rPr>
          <w:rFonts w:ascii="宋体" w:hAnsi="宋体"/>
          <w:sz w:val="24"/>
        </w:rPr>
      </w:pPr>
      <w:r>
        <w:rPr>
          <w:rFonts w:hint="eastAsia" w:ascii="宋体" w:hAnsi="宋体"/>
          <w:sz w:val="24"/>
        </w:rPr>
        <w:t xml:space="preserve">6.结算方式： </w:t>
      </w:r>
    </w:p>
    <w:p>
      <w:pPr>
        <w:spacing w:line="360" w:lineRule="auto"/>
        <w:ind w:firstLine="480" w:firstLineChars="200"/>
        <w:rPr>
          <w:rFonts w:ascii="宋体" w:hAnsi="宋体"/>
          <w:sz w:val="24"/>
        </w:rPr>
      </w:pPr>
      <w:r>
        <w:rPr>
          <w:rFonts w:hint="eastAsia" w:ascii="宋体" w:hAnsi="宋体"/>
          <w:sz w:val="24"/>
        </w:rPr>
        <w:t xml:space="preserve">6.1本合同使用的货币种类为人民币。 </w:t>
      </w:r>
    </w:p>
    <w:p>
      <w:pPr>
        <w:spacing w:line="360" w:lineRule="auto"/>
        <w:ind w:firstLine="480" w:firstLineChars="200"/>
        <w:rPr>
          <w:rFonts w:ascii="黑体" w:hAnsi="黑体" w:cs="黑体"/>
          <w:sz w:val="24"/>
        </w:rPr>
      </w:pPr>
      <w:r>
        <w:rPr>
          <w:rFonts w:hint="eastAsia" w:ascii="宋体" w:hAnsi="宋体"/>
          <w:sz w:val="24"/>
        </w:rPr>
        <w:t>6.2费用的支付：</w:t>
      </w:r>
      <w:r>
        <w:rPr>
          <w:rFonts w:hint="eastAsia" w:ascii="黑体" w:hAnsi="黑体" w:eastAsia="黑体" w:cs="黑体"/>
          <w:sz w:val="24"/>
        </w:rPr>
        <w:t>中标后合同签订中约定</w:t>
      </w:r>
    </w:p>
    <w:p>
      <w:pPr>
        <w:spacing w:line="360" w:lineRule="auto"/>
        <w:ind w:firstLine="480" w:firstLineChars="200"/>
        <w:rPr>
          <w:rFonts w:ascii="宋体" w:hAnsi="宋体"/>
          <w:sz w:val="24"/>
        </w:rPr>
      </w:pPr>
      <w:r>
        <w:rPr>
          <w:rFonts w:hint="eastAsia" w:ascii="宋体" w:hAnsi="宋体"/>
          <w:sz w:val="24"/>
        </w:rPr>
        <w:t>7.服务内容</w:t>
      </w:r>
    </w:p>
    <w:p>
      <w:pPr>
        <w:spacing w:line="360" w:lineRule="auto"/>
        <w:ind w:firstLine="480" w:firstLineChars="200"/>
        <w:rPr>
          <w:rFonts w:ascii="宋体" w:hAnsi="宋体"/>
          <w:sz w:val="24"/>
        </w:rPr>
      </w:pPr>
      <w:r>
        <w:rPr>
          <w:rFonts w:hint="eastAsia" w:ascii="宋体" w:hAnsi="宋体"/>
          <w:sz w:val="24"/>
        </w:rPr>
        <w:t xml:space="preserve">7.1本合同服务内容为满足招标文件的要求。 </w:t>
      </w:r>
    </w:p>
    <w:p>
      <w:pPr>
        <w:spacing w:line="360" w:lineRule="auto"/>
        <w:ind w:firstLine="480" w:firstLineChars="200"/>
        <w:rPr>
          <w:rFonts w:ascii="宋体" w:hAnsi="宋体"/>
          <w:sz w:val="24"/>
        </w:rPr>
      </w:pPr>
      <w:r>
        <w:rPr>
          <w:rFonts w:hint="eastAsia" w:ascii="宋体" w:hAnsi="宋体"/>
          <w:sz w:val="24"/>
        </w:rPr>
        <w:t xml:space="preserve">8.违约罚款 </w:t>
      </w:r>
    </w:p>
    <w:p>
      <w:pPr>
        <w:spacing w:line="360" w:lineRule="auto"/>
        <w:ind w:firstLine="480" w:firstLineChars="200"/>
        <w:rPr>
          <w:rFonts w:ascii="宋体" w:hAnsi="宋体"/>
          <w:sz w:val="24"/>
        </w:rPr>
      </w:pPr>
      <w:r>
        <w:rPr>
          <w:rFonts w:hint="eastAsia" w:ascii="宋体" w:hAnsi="宋体"/>
          <w:sz w:val="24"/>
        </w:rPr>
        <w:t>8.1如果卖方没有按照规定的时间完成服务，或没有达到投标文件中任一条款的承诺都是卖方违约。应向买方支付的</w:t>
      </w:r>
      <w:r>
        <w:rPr>
          <w:rFonts w:hint="eastAsia" w:ascii="宋体" w:hAnsi="宋体"/>
          <w:sz w:val="24"/>
          <w:u w:val="single"/>
        </w:rPr>
        <w:t xml:space="preserve">   </w:t>
      </w:r>
      <w:r>
        <w:rPr>
          <w:rFonts w:hint="eastAsia" w:ascii="宋体" w:hAnsi="宋体"/>
          <w:sz w:val="24"/>
        </w:rPr>
        <w:t xml:space="preserve">的违约金。如果达到最高限额，买方将考虑终止合同。 </w:t>
      </w:r>
    </w:p>
    <w:p>
      <w:pPr>
        <w:spacing w:line="360" w:lineRule="auto"/>
        <w:ind w:firstLine="480" w:firstLineChars="200"/>
        <w:rPr>
          <w:rFonts w:ascii="宋体" w:hAnsi="宋体"/>
          <w:sz w:val="24"/>
        </w:rPr>
      </w:pPr>
      <w:r>
        <w:rPr>
          <w:rFonts w:hint="eastAsia" w:ascii="宋体" w:hAnsi="宋体"/>
          <w:sz w:val="24"/>
        </w:rPr>
        <w:t xml:space="preserve">9.不可抗力 </w:t>
      </w:r>
    </w:p>
    <w:p>
      <w:pPr>
        <w:spacing w:line="360" w:lineRule="auto"/>
        <w:ind w:firstLine="480" w:firstLineChars="200"/>
        <w:rPr>
          <w:rFonts w:ascii="宋体" w:hAnsi="宋体"/>
          <w:sz w:val="24"/>
        </w:rPr>
      </w:pPr>
      <w:r>
        <w:rPr>
          <w:rFonts w:hint="eastAsia" w:ascii="宋体" w:hAnsi="宋体"/>
          <w:sz w:val="24"/>
        </w:rPr>
        <w:t xml:space="preserve">9.1如果双方任何一方由于战争、严重的火灾、水灾、台风和地震以及其他双方同意属于不可抗力的事故，致使合同的履行受到影响时，履行合同的期限应予以延长，延长的期限应相当于事故所影响的时间。 </w:t>
      </w:r>
    </w:p>
    <w:p>
      <w:pPr>
        <w:spacing w:line="360" w:lineRule="auto"/>
        <w:ind w:firstLine="480" w:firstLineChars="200"/>
        <w:rPr>
          <w:rFonts w:ascii="宋体" w:hAnsi="宋体"/>
          <w:sz w:val="24"/>
        </w:rPr>
      </w:pPr>
      <w:r>
        <w:rPr>
          <w:rFonts w:hint="eastAsia" w:ascii="宋体" w:hAnsi="宋体"/>
          <w:sz w:val="24"/>
        </w:rPr>
        <w:t>9.2受事故影响的一方应在不可抗力发生后尽快以传真通知另一方，并在事故发生后 天内，将有关部门出具的证明文件用特快</w:t>
      </w:r>
    </w:p>
    <w:p>
      <w:pPr>
        <w:spacing w:line="360" w:lineRule="auto"/>
        <w:ind w:firstLine="480" w:firstLineChars="200"/>
        <w:rPr>
          <w:rFonts w:ascii="宋体" w:hAnsi="宋体"/>
          <w:sz w:val="24"/>
        </w:rPr>
      </w:pPr>
      <w:r>
        <w:rPr>
          <w:rFonts w:hint="eastAsia" w:ascii="宋体" w:hAnsi="宋体"/>
          <w:sz w:val="24"/>
        </w:rPr>
        <w:t>专递寄给另一方，如果不可抗力影响时间延续</w:t>
      </w:r>
      <w:r>
        <w:rPr>
          <w:rFonts w:hint="eastAsia" w:ascii="宋体" w:hAnsi="宋体"/>
          <w:sz w:val="24"/>
          <w:u w:val="single"/>
        </w:rPr>
        <w:t xml:space="preserve">    </w:t>
      </w:r>
      <w:r>
        <w:rPr>
          <w:rFonts w:hint="eastAsia" w:ascii="宋体" w:hAnsi="宋体"/>
          <w:sz w:val="24"/>
        </w:rPr>
        <w:t xml:space="preserve">天以上时，双方应通过友好协商在合理的时间内达成进一步履行合同的协议。 </w:t>
      </w:r>
    </w:p>
    <w:p>
      <w:pPr>
        <w:spacing w:line="360" w:lineRule="auto"/>
        <w:ind w:firstLine="480" w:firstLineChars="200"/>
        <w:rPr>
          <w:rFonts w:ascii="宋体" w:hAnsi="宋体"/>
          <w:sz w:val="24"/>
        </w:rPr>
      </w:pPr>
      <w:r>
        <w:rPr>
          <w:rFonts w:hint="eastAsia" w:ascii="宋体" w:hAnsi="宋体"/>
          <w:sz w:val="24"/>
        </w:rPr>
        <w:t xml:space="preserve">10.税费 </w:t>
      </w:r>
    </w:p>
    <w:p>
      <w:pPr>
        <w:spacing w:line="360" w:lineRule="auto"/>
        <w:ind w:firstLine="480" w:firstLineChars="200"/>
        <w:rPr>
          <w:rFonts w:ascii="宋体" w:hAnsi="宋体"/>
          <w:sz w:val="24"/>
        </w:rPr>
      </w:pPr>
      <w:r>
        <w:rPr>
          <w:rFonts w:hint="eastAsia" w:ascii="宋体" w:hAnsi="宋体"/>
          <w:sz w:val="24"/>
        </w:rPr>
        <w:t xml:space="preserve">10.1本合同价格为含税价。卖方提供的服务等所有税费已全部包含在合同价格内，由卖方承担。 </w:t>
      </w:r>
    </w:p>
    <w:p>
      <w:pPr>
        <w:spacing w:line="360" w:lineRule="auto"/>
        <w:ind w:firstLine="480" w:firstLineChars="200"/>
        <w:rPr>
          <w:rFonts w:ascii="宋体" w:hAnsi="宋体"/>
          <w:sz w:val="24"/>
        </w:rPr>
      </w:pPr>
      <w:r>
        <w:rPr>
          <w:rFonts w:hint="eastAsia" w:ascii="宋体" w:hAnsi="宋体"/>
          <w:sz w:val="24"/>
        </w:rPr>
        <w:t xml:space="preserve">11.合同争议的解决 </w:t>
      </w:r>
    </w:p>
    <w:p>
      <w:pPr>
        <w:spacing w:line="360" w:lineRule="auto"/>
        <w:ind w:firstLine="480" w:firstLineChars="200"/>
        <w:rPr>
          <w:rFonts w:ascii="宋体" w:hAnsi="宋体"/>
          <w:sz w:val="24"/>
        </w:rPr>
      </w:pPr>
      <w:r>
        <w:rPr>
          <w:rFonts w:hint="eastAsia" w:ascii="宋体" w:hAnsi="宋体"/>
          <w:sz w:val="24"/>
        </w:rPr>
        <w:t xml:space="preserve">11.1在执行本合同中所发生的或与本合同有关一切争端，买卖双方通过友好协商解决，如协商不能解决，双方应将争端提交人民法院诉讼解决。 </w:t>
      </w:r>
    </w:p>
    <w:p>
      <w:pPr>
        <w:spacing w:line="360" w:lineRule="auto"/>
        <w:ind w:firstLine="480" w:firstLineChars="200"/>
        <w:rPr>
          <w:rFonts w:ascii="宋体" w:hAnsi="宋体"/>
          <w:sz w:val="24"/>
        </w:rPr>
      </w:pPr>
      <w:r>
        <w:rPr>
          <w:rFonts w:hint="eastAsia" w:ascii="宋体" w:hAnsi="宋体"/>
          <w:sz w:val="24"/>
        </w:rPr>
        <w:t xml:space="preserve">11.2法院判决对双方均有约束力。 </w:t>
      </w:r>
    </w:p>
    <w:p>
      <w:pPr>
        <w:spacing w:line="360" w:lineRule="auto"/>
        <w:ind w:firstLine="480" w:firstLineChars="200"/>
        <w:rPr>
          <w:rFonts w:ascii="宋体" w:hAnsi="宋体"/>
          <w:sz w:val="24"/>
        </w:rPr>
      </w:pPr>
      <w:r>
        <w:rPr>
          <w:rFonts w:hint="eastAsia" w:ascii="宋体" w:hAnsi="宋体"/>
          <w:sz w:val="24"/>
        </w:rPr>
        <w:t xml:space="preserve">11.3由上述过程发生的费用除法院判决另有规定外，应有败诉方负担。 </w:t>
      </w:r>
    </w:p>
    <w:p>
      <w:pPr>
        <w:spacing w:line="360" w:lineRule="auto"/>
        <w:ind w:firstLine="480" w:firstLineChars="200"/>
        <w:rPr>
          <w:rFonts w:ascii="宋体" w:hAnsi="宋体"/>
          <w:sz w:val="24"/>
        </w:rPr>
      </w:pPr>
      <w:r>
        <w:rPr>
          <w:rFonts w:hint="eastAsia" w:ascii="宋体" w:hAnsi="宋体"/>
          <w:sz w:val="24"/>
        </w:rPr>
        <w:t xml:space="preserve">11.4在法院审理期间，除正在进行法院审理的部分外，本合同其他部分应继续执行。 </w:t>
      </w:r>
    </w:p>
    <w:p>
      <w:pPr>
        <w:spacing w:line="360" w:lineRule="auto"/>
        <w:ind w:firstLine="480" w:firstLineChars="200"/>
        <w:rPr>
          <w:rFonts w:ascii="宋体" w:hAnsi="宋体"/>
          <w:sz w:val="24"/>
        </w:rPr>
      </w:pPr>
      <w:r>
        <w:rPr>
          <w:rFonts w:hint="eastAsia" w:ascii="宋体" w:hAnsi="宋体"/>
          <w:sz w:val="24"/>
        </w:rPr>
        <w:t xml:space="preserve">12.违约终止合同 </w:t>
      </w:r>
    </w:p>
    <w:p>
      <w:pPr>
        <w:spacing w:line="360" w:lineRule="auto"/>
        <w:ind w:firstLine="480" w:firstLineChars="200"/>
        <w:rPr>
          <w:rFonts w:ascii="宋体" w:hAnsi="宋体"/>
          <w:sz w:val="24"/>
        </w:rPr>
      </w:pPr>
      <w:r>
        <w:rPr>
          <w:rFonts w:hint="eastAsia" w:ascii="宋体" w:hAnsi="宋体"/>
          <w:sz w:val="24"/>
        </w:rPr>
        <w:t xml:space="preserve">12.1在买方对因卖方违约而采取的任何补救不受损害的情况下，买方可向卖方发出终止部分或全部合同的书面通知书。 </w:t>
      </w:r>
    </w:p>
    <w:p>
      <w:pPr>
        <w:spacing w:line="360" w:lineRule="auto"/>
        <w:ind w:firstLine="480" w:firstLineChars="200"/>
        <w:rPr>
          <w:rFonts w:ascii="宋体" w:hAnsi="宋体"/>
          <w:sz w:val="24"/>
        </w:rPr>
      </w:pPr>
      <w:r>
        <w:rPr>
          <w:rFonts w:hint="eastAsia" w:ascii="宋体" w:hAnsi="宋体"/>
          <w:sz w:val="24"/>
        </w:rPr>
        <w:t xml:space="preserve">A.如果卖方未能按合同规定的期限或买方同意延长的限期内提供部分或者全部服务。 </w:t>
      </w:r>
    </w:p>
    <w:p>
      <w:pPr>
        <w:spacing w:line="360" w:lineRule="auto"/>
        <w:ind w:firstLine="480" w:firstLineChars="200"/>
        <w:rPr>
          <w:rFonts w:ascii="宋体" w:hAnsi="宋体"/>
          <w:sz w:val="24"/>
        </w:rPr>
      </w:pPr>
      <w:r>
        <w:rPr>
          <w:rFonts w:hint="eastAsia" w:ascii="宋体" w:hAnsi="宋体"/>
          <w:sz w:val="24"/>
        </w:rPr>
        <w:t xml:space="preserve">B.如果卖方未能履行合同规定的其他任何义务。 </w:t>
      </w:r>
    </w:p>
    <w:p>
      <w:pPr>
        <w:spacing w:line="360" w:lineRule="auto"/>
        <w:ind w:firstLine="480" w:firstLineChars="200"/>
        <w:rPr>
          <w:rFonts w:ascii="宋体" w:hAnsi="宋体"/>
          <w:sz w:val="24"/>
        </w:rPr>
      </w:pPr>
      <w:r>
        <w:rPr>
          <w:rFonts w:hint="eastAsia" w:ascii="宋体" w:hAnsi="宋体"/>
          <w:sz w:val="24"/>
        </w:rPr>
        <w:t>在上述任一情况下，卖方在收到买方发出的违约通知后</w:t>
      </w:r>
      <w:r>
        <w:rPr>
          <w:rFonts w:hint="eastAsia" w:ascii="宋体" w:hAnsi="宋体"/>
          <w:sz w:val="24"/>
          <w:u w:val="single"/>
        </w:rPr>
        <w:t xml:space="preserve">   </w:t>
      </w:r>
      <w:r>
        <w:rPr>
          <w:rFonts w:hint="eastAsia" w:ascii="宋体" w:hAnsi="宋体"/>
          <w:sz w:val="24"/>
        </w:rPr>
        <w:t xml:space="preserve">天内，或经买方书面认可延长的时间内未能矫正其过失。 </w:t>
      </w:r>
    </w:p>
    <w:p>
      <w:pPr>
        <w:spacing w:line="360" w:lineRule="auto"/>
        <w:ind w:firstLine="480" w:firstLineChars="200"/>
        <w:rPr>
          <w:rFonts w:ascii="宋体" w:hAnsi="宋体"/>
          <w:sz w:val="24"/>
        </w:rPr>
      </w:pPr>
      <w:r>
        <w:rPr>
          <w:rFonts w:hint="eastAsia" w:ascii="宋体" w:hAnsi="宋体"/>
          <w:sz w:val="24"/>
        </w:rPr>
        <w:t xml:space="preserve">12.2在买方根据12.1条规定，终止了全部或部分合同，买方可以依其认为适当的条件和方法购买类似未交的服务，卖方应对购买类似服务所超出的费用部分负责。但是，卖方应继续执行合同中未终止部分。 </w:t>
      </w:r>
    </w:p>
    <w:p>
      <w:pPr>
        <w:spacing w:line="360" w:lineRule="auto"/>
        <w:ind w:firstLine="480" w:firstLineChars="200"/>
        <w:rPr>
          <w:rFonts w:ascii="宋体" w:hAnsi="宋体"/>
          <w:sz w:val="24"/>
        </w:rPr>
      </w:pPr>
      <w:r>
        <w:rPr>
          <w:rFonts w:hint="eastAsia" w:ascii="宋体" w:hAnsi="宋体"/>
          <w:sz w:val="24"/>
        </w:rPr>
        <w:t xml:space="preserve">13.转让和分包 </w:t>
      </w:r>
    </w:p>
    <w:p>
      <w:pPr>
        <w:spacing w:line="360" w:lineRule="auto"/>
        <w:ind w:firstLine="480" w:firstLineChars="200"/>
        <w:rPr>
          <w:rFonts w:ascii="宋体" w:hAnsi="宋体"/>
          <w:sz w:val="24"/>
        </w:rPr>
      </w:pPr>
      <w:r>
        <w:rPr>
          <w:rFonts w:hint="eastAsia" w:ascii="宋体" w:hAnsi="宋体"/>
          <w:sz w:val="24"/>
        </w:rPr>
        <w:t xml:space="preserve">13.1除买方事先书面同意外，卖方不得部分转让或全部转让其应履行的合同义务。 </w:t>
      </w:r>
    </w:p>
    <w:p>
      <w:pPr>
        <w:spacing w:line="360" w:lineRule="auto"/>
        <w:ind w:firstLine="480" w:firstLineChars="200"/>
        <w:rPr>
          <w:rFonts w:ascii="宋体" w:hAnsi="宋体"/>
          <w:sz w:val="24"/>
        </w:rPr>
      </w:pPr>
      <w:r>
        <w:rPr>
          <w:rFonts w:hint="eastAsia" w:ascii="宋体" w:hAnsi="宋体"/>
          <w:sz w:val="24"/>
        </w:rPr>
        <w:t xml:space="preserve">13.2如投标文件中没有明确分包合同，卖方应书面通知买方本合同中卖方所转授出的全部分包合同，但原投标文件或后来发出的通知均不能解除卖方履行本合同的义务。 </w:t>
      </w:r>
    </w:p>
    <w:p>
      <w:pPr>
        <w:spacing w:line="360" w:lineRule="auto"/>
        <w:ind w:firstLine="480" w:firstLineChars="200"/>
        <w:rPr>
          <w:rFonts w:ascii="宋体" w:hAnsi="宋体"/>
          <w:sz w:val="24"/>
        </w:rPr>
      </w:pPr>
      <w:r>
        <w:rPr>
          <w:rFonts w:hint="eastAsia" w:ascii="宋体" w:hAnsi="宋体"/>
          <w:sz w:val="24"/>
        </w:rPr>
        <w:t xml:space="preserve">13.3卖方对部分或全部转让其应履行的义务而确定的分包合同负全部责任，买方不承担任何责任和义务。 </w:t>
      </w:r>
    </w:p>
    <w:p>
      <w:pPr>
        <w:spacing w:line="360" w:lineRule="auto"/>
        <w:ind w:firstLine="480" w:firstLineChars="200"/>
        <w:rPr>
          <w:rFonts w:ascii="宋体" w:hAnsi="宋体"/>
          <w:sz w:val="24"/>
        </w:rPr>
      </w:pPr>
      <w:r>
        <w:rPr>
          <w:rFonts w:hint="eastAsia" w:ascii="宋体" w:hAnsi="宋体"/>
          <w:sz w:val="24"/>
        </w:rPr>
        <w:t xml:space="preserve">14.适用法律 </w:t>
      </w:r>
    </w:p>
    <w:p>
      <w:pPr>
        <w:spacing w:line="360" w:lineRule="auto"/>
        <w:ind w:firstLine="480" w:firstLineChars="200"/>
        <w:rPr>
          <w:rFonts w:ascii="宋体" w:hAnsi="宋体"/>
          <w:sz w:val="24"/>
        </w:rPr>
      </w:pPr>
      <w:r>
        <w:rPr>
          <w:rFonts w:hint="eastAsia" w:ascii="宋体" w:hAnsi="宋体"/>
          <w:sz w:val="24"/>
        </w:rPr>
        <w:t xml:space="preserve">本合同按中华人民共和国的法律进行解释。合同生效及其他： </w:t>
      </w:r>
    </w:p>
    <w:p>
      <w:pPr>
        <w:spacing w:line="360" w:lineRule="auto"/>
        <w:ind w:firstLine="480" w:firstLineChars="200"/>
        <w:rPr>
          <w:rFonts w:ascii="宋体" w:hAnsi="宋体"/>
          <w:sz w:val="24"/>
        </w:rPr>
      </w:pPr>
      <w:r>
        <w:rPr>
          <w:rFonts w:hint="eastAsia" w:ascii="宋体" w:hAnsi="宋体"/>
          <w:sz w:val="24"/>
        </w:rPr>
        <w:t xml:space="preserve">14.1合同在买方、卖方双方签字后即开始生效。 </w:t>
      </w:r>
    </w:p>
    <w:p>
      <w:pPr>
        <w:spacing w:line="360" w:lineRule="auto"/>
        <w:ind w:firstLine="480" w:firstLineChars="200"/>
        <w:rPr>
          <w:rFonts w:ascii="宋体" w:hAnsi="宋体"/>
          <w:sz w:val="24"/>
        </w:rPr>
      </w:pPr>
      <w:r>
        <w:rPr>
          <w:rFonts w:hint="eastAsia" w:ascii="宋体" w:hAnsi="宋体"/>
          <w:sz w:val="24"/>
        </w:rPr>
        <w:t xml:space="preserve">14.2本合同一式四份，以中文书写。买、卖双方各执两份。 </w:t>
      </w:r>
    </w:p>
    <w:p>
      <w:pPr>
        <w:spacing w:line="360" w:lineRule="auto"/>
        <w:ind w:firstLine="480" w:firstLineChars="200"/>
        <w:rPr>
          <w:rFonts w:ascii="宋体" w:hAnsi="宋体"/>
          <w:sz w:val="24"/>
        </w:rPr>
      </w:pPr>
      <w:r>
        <w:rPr>
          <w:rFonts w:hint="eastAsia" w:ascii="宋体" w:hAnsi="宋体"/>
          <w:sz w:val="24"/>
        </w:rPr>
        <w:t xml:space="preserve">14.3招标文件、投标单位的投标文件、评标答疑记录及中标通知书都是本合同不可分割的一部分。 </w:t>
      </w:r>
    </w:p>
    <w:p>
      <w:pPr>
        <w:jc w:val="center"/>
        <w:outlineLvl w:val="0"/>
        <w:rPr>
          <w:rFonts w:ascii="仿宋_GB2312" w:hAnsi="仿宋_GB2312" w:eastAsia="仿宋_GB2312" w:cs="仿宋_GB2312"/>
          <w:b/>
          <w:bCs/>
          <w:sz w:val="32"/>
          <w:szCs w:val="32"/>
        </w:rPr>
      </w:pPr>
      <w:r>
        <w:rPr>
          <w:rFonts w:hint="eastAsia" w:ascii="宋体" w:hAnsi="宋体"/>
          <w:sz w:val="24"/>
        </w:rPr>
        <w:t>14.4如需修改或补充合同内容,经协商，买卖双方应签署书面修改或补充协议，该协议将作为本合同不可分割的一部分。</w:t>
      </w:r>
      <w:r>
        <w:rPr>
          <w:rFonts w:hint="eastAsia" w:ascii="仿宋_GB2312" w:hAnsi="仿宋_GB2312" w:eastAsia="仿宋_GB2312" w:cs="仿宋_GB2312"/>
          <w:b/>
          <w:bCs/>
          <w:sz w:val="32"/>
          <w:szCs w:val="32"/>
        </w:rPr>
        <w:br w:type="page"/>
      </w:r>
      <w:bookmarkStart w:id="111" w:name="_Toc3372"/>
      <w:r>
        <w:rPr>
          <w:rStyle w:val="35"/>
          <w:rFonts w:hint="eastAsia" w:ascii="仿宋_GB2312" w:hAnsi="仿宋_GB2312" w:eastAsia="仿宋_GB2312" w:cs="仿宋_GB2312"/>
          <w:sz w:val="32"/>
          <w:szCs w:val="32"/>
        </w:rPr>
        <w:t>第五章 响应文件格式</w:t>
      </w:r>
      <w:bookmarkEnd w:id="111"/>
    </w:p>
    <w:p>
      <w:pPr>
        <w:adjustRightInd w:val="0"/>
        <w:rPr>
          <w:rFonts w:ascii="仿宋_GB2312" w:hAnsi="仿宋_GB2312" w:eastAsia="仿宋_GB2312" w:cs="仿宋_GB2312"/>
          <w:bCs/>
          <w:sz w:val="32"/>
          <w:szCs w:val="32"/>
        </w:rPr>
      </w:pPr>
    </w:p>
    <w:p>
      <w:pPr>
        <w:adjustRightInd w:val="0"/>
        <w:rPr>
          <w:rFonts w:ascii="仿宋_GB2312" w:hAnsi="仿宋_GB2312" w:eastAsia="仿宋_GB2312" w:cs="仿宋_GB2312"/>
          <w:bCs/>
          <w:sz w:val="32"/>
          <w:szCs w:val="32"/>
        </w:rPr>
      </w:pPr>
    </w:p>
    <w:p>
      <w:pPr>
        <w:adjustRightInd w:val="0"/>
        <w:jc w:val="center"/>
        <w:outlineLvl w:val="0"/>
        <w:rPr>
          <w:rFonts w:ascii="仿宋_GB2312" w:hAnsi="仿宋_GB2312" w:eastAsia="仿宋_GB2312" w:cs="仿宋_GB2312"/>
          <w:bCs/>
          <w:sz w:val="32"/>
          <w:szCs w:val="32"/>
        </w:rPr>
      </w:pPr>
      <w:bookmarkStart w:id="112" w:name="_Toc3452"/>
      <w:r>
        <w:rPr>
          <w:rFonts w:hint="eastAsia" w:ascii="仿宋_GB2312" w:hAnsi="仿宋_GB2312" w:eastAsia="仿宋_GB2312" w:cs="仿宋_GB2312"/>
          <w:bCs/>
          <w:sz w:val="32"/>
          <w:szCs w:val="32"/>
        </w:rPr>
        <w:t>响 应 文 件</w:t>
      </w:r>
      <w:bookmarkEnd w:id="112"/>
    </w:p>
    <w:p>
      <w:pPr>
        <w:spacing w:before="156" w:beforeLines="50" w:after="5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（正本/副本）</w:t>
      </w:r>
    </w:p>
    <w:p>
      <w:pPr>
        <w:spacing w:before="156" w:beforeLines="50" w:after="50"/>
        <w:jc w:val="center"/>
        <w:rPr>
          <w:rFonts w:ascii="仿宋_GB2312" w:hAnsi="仿宋_GB2312" w:eastAsia="仿宋_GB2312" w:cs="仿宋_GB2312"/>
          <w:b/>
          <w:bCs/>
          <w:sz w:val="32"/>
          <w:szCs w:val="32"/>
        </w:rPr>
      </w:pPr>
    </w:p>
    <w:p>
      <w:pPr>
        <w:spacing w:before="156" w:beforeLines="50" w:after="50"/>
        <w:jc w:val="center"/>
        <w:rPr>
          <w:rFonts w:ascii="仿宋_GB2312" w:hAnsi="仿宋_GB2312" w:eastAsia="仿宋_GB2312" w:cs="仿宋_GB2312"/>
          <w:b/>
          <w:bCs/>
          <w:sz w:val="32"/>
          <w:szCs w:val="32"/>
        </w:rPr>
      </w:pPr>
    </w:p>
    <w:p>
      <w:pPr>
        <w:spacing w:before="312" w:beforeLines="100"/>
        <w:jc w:val="center"/>
        <w:rPr>
          <w:rFonts w:ascii="仿宋_GB2312" w:hAnsi="仿宋_GB2312" w:eastAsia="仿宋_GB2312" w:cs="仿宋_GB2312"/>
          <w:b/>
          <w:sz w:val="32"/>
          <w:szCs w:val="32"/>
        </w:rPr>
      </w:pPr>
    </w:p>
    <w:p>
      <w:pPr>
        <w:rPr>
          <w:rFonts w:ascii="仿宋_GB2312" w:hAnsi="仿宋_GB2312" w:eastAsia="仿宋_GB2312" w:cs="仿宋_GB2312"/>
          <w:sz w:val="32"/>
          <w:szCs w:val="32"/>
        </w:rPr>
      </w:pPr>
    </w:p>
    <w:p>
      <w:pPr>
        <w:spacing w:before="312" w:beforeLines="100" w:after="312" w:afterLines="100"/>
        <w:ind w:firstLine="1324" w:firstLineChars="41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 xml:space="preserve"> </w:t>
      </w:r>
    </w:p>
    <w:p>
      <w:pPr>
        <w:spacing w:before="312" w:beforeLines="100" w:after="312" w:afterLines="100"/>
        <w:ind w:firstLine="1314" w:firstLineChars="40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 xml:space="preserve"> </w:t>
      </w:r>
    </w:p>
    <w:p>
      <w:pPr>
        <w:spacing w:before="312" w:beforeLines="100" w:after="312" w:afterLines="100"/>
        <w:ind w:firstLine="1314" w:firstLineChars="409"/>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招标内容：</w:t>
      </w:r>
      <w:r>
        <w:rPr>
          <w:rFonts w:hint="eastAsia" w:ascii="仿宋_GB2312" w:hAnsi="仿宋_GB2312" w:eastAsia="仿宋_GB2312" w:cs="仿宋_GB2312"/>
          <w:b/>
          <w:bCs/>
          <w:sz w:val="32"/>
          <w:szCs w:val="32"/>
          <w:u w:val="single"/>
        </w:rPr>
        <w:t xml:space="preserve">                                   </w:t>
      </w:r>
    </w:p>
    <w:p>
      <w:pPr>
        <w:pStyle w:val="7"/>
        <w:spacing w:before="312" w:beforeLines="100" w:after="312" w:afterLines="100"/>
        <w:ind w:firstLine="1307" w:firstLineChars="407"/>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投标人名称：</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加盖公章）</w:t>
      </w:r>
    </w:p>
    <w:p>
      <w:pPr>
        <w:pStyle w:val="7"/>
        <w:spacing w:before="312" w:beforeLines="100" w:after="312" w:afterLines="100"/>
        <w:ind w:firstLine="1314" w:firstLineChars="409"/>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投标人地址：</w:t>
      </w:r>
      <w:r>
        <w:rPr>
          <w:rFonts w:hint="eastAsia" w:ascii="仿宋_GB2312" w:hAnsi="仿宋_GB2312" w:eastAsia="仿宋_GB2312" w:cs="仿宋_GB2312"/>
          <w:b/>
          <w:bCs/>
          <w:sz w:val="32"/>
          <w:szCs w:val="32"/>
          <w:u w:val="single"/>
        </w:rPr>
        <w:t xml:space="preserve">                                 </w:t>
      </w:r>
    </w:p>
    <w:p>
      <w:pPr>
        <w:pStyle w:val="7"/>
        <w:spacing w:before="312" w:beforeLines="100" w:after="312" w:afterLines="100"/>
        <w:ind w:firstLine="1314" w:firstLineChars="409"/>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投标联系人：</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电话:</w:t>
      </w:r>
      <w:r>
        <w:rPr>
          <w:rFonts w:hint="eastAsia" w:ascii="仿宋_GB2312" w:hAnsi="仿宋_GB2312" w:eastAsia="仿宋_GB2312" w:cs="仿宋_GB2312"/>
          <w:b/>
          <w:bCs/>
          <w:sz w:val="32"/>
          <w:szCs w:val="32"/>
          <w:u w:val="single"/>
        </w:rPr>
        <w:t xml:space="preserve">               </w:t>
      </w:r>
    </w:p>
    <w:p>
      <w:pPr>
        <w:spacing w:before="156" w:beforeLines="50" w:after="50"/>
        <w:ind w:firstLine="838" w:firstLineChars="262"/>
        <w:rPr>
          <w:rFonts w:ascii="仿宋_GB2312" w:hAnsi="仿宋_GB2312" w:eastAsia="仿宋_GB2312" w:cs="仿宋_GB2312"/>
          <w:bCs/>
          <w:sz w:val="32"/>
          <w:szCs w:val="32"/>
        </w:rPr>
      </w:pPr>
    </w:p>
    <w:p>
      <w:pPr>
        <w:autoSpaceDE w:val="0"/>
        <w:autoSpaceDN w:val="0"/>
        <w:adjustRightInd w:val="0"/>
        <w:spacing w:before="156" w:beforeLines="50" w:after="156" w:afterLines="50"/>
        <w:jc w:val="right"/>
        <w:rPr>
          <w:rFonts w:ascii="仿宋_GB2312" w:hAnsi="仿宋_GB2312" w:eastAsia="仿宋_GB2312" w:cs="仿宋_GB2312"/>
          <w:b/>
          <w:sz w:val="32"/>
          <w:szCs w:val="32"/>
        </w:rPr>
      </w:pPr>
      <w:r>
        <w:rPr>
          <w:rFonts w:hint="eastAsia" w:ascii="仿宋_GB2312" w:hAnsi="仿宋_GB2312" w:eastAsia="仿宋_GB2312" w:cs="仿宋_GB2312"/>
          <w:bCs/>
          <w:sz w:val="32"/>
          <w:szCs w:val="32"/>
        </w:rPr>
        <w:t xml:space="preserve">     </w:t>
      </w:r>
      <w:bookmarkStart w:id="113" w:name="_Toc430714682"/>
      <w:r>
        <w:rPr>
          <w:rFonts w:hint="eastAsia" w:ascii="仿宋_GB2312" w:hAnsi="仿宋_GB2312" w:eastAsia="仿宋_GB2312" w:cs="仿宋_GB2312"/>
          <w:bCs/>
          <w:sz w:val="32"/>
          <w:szCs w:val="32"/>
        </w:rPr>
        <w:t>年   月   日</w:t>
      </w:r>
      <w:bookmarkEnd w:id="113"/>
    </w:p>
    <w:p>
      <w:pPr>
        <w:rPr>
          <w:rFonts w:ascii="仿宋_GB2312" w:hAnsi="仿宋_GB2312" w:eastAsia="仿宋_GB2312" w:cs="仿宋_GB2312"/>
          <w:sz w:val="32"/>
          <w:szCs w:val="32"/>
        </w:rPr>
        <w:sectPr>
          <w:footerReference r:id="rId6" w:type="default"/>
          <w:pgSz w:w="11906" w:h="16838"/>
          <w:pgMar w:top="1440" w:right="1800" w:bottom="1440" w:left="1800" w:header="851" w:footer="992" w:gutter="0"/>
          <w:cols w:space="720" w:num="1"/>
          <w:docGrid w:type="lines" w:linePitch="312" w:charSpace="0"/>
        </w:sectPr>
      </w:pPr>
    </w:p>
    <w:p>
      <w:pPr>
        <w:adjustRightInd w:val="0"/>
        <w:spacing w:line="44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目</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录</w:t>
      </w:r>
    </w:p>
    <w:p>
      <w:pPr>
        <w:adjustRightInd w:val="0"/>
        <w:spacing w:line="440" w:lineRule="exact"/>
        <w:jc w:val="left"/>
        <w:outlineLvl w:val="0"/>
        <w:rPr>
          <w:rFonts w:ascii="仿宋_GB2312" w:hAnsi="仿宋_GB2312" w:eastAsia="仿宋_GB2312" w:cs="仿宋_GB2312"/>
          <w:b/>
          <w:sz w:val="32"/>
          <w:szCs w:val="32"/>
        </w:rPr>
      </w:pPr>
      <w:bookmarkStart w:id="114" w:name="_Toc16293"/>
      <w:r>
        <w:rPr>
          <w:rFonts w:hint="eastAsia" w:ascii="仿宋_GB2312" w:hAnsi="仿宋_GB2312" w:eastAsia="仿宋_GB2312" w:cs="仿宋_GB2312"/>
          <w:b/>
          <w:sz w:val="32"/>
          <w:szCs w:val="32"/>
        </w:rPr>
        <w:t>一、资格性自查表</w:t>
      </w:r>
      <w:bookmarkEnd w:id="114"/>
    </w:p>
    <w:p>
      <w:pPr>
        <w:pStyle w:val="12"/>
        <w:adjustRightInd w:val="0"/>
        <w:spacing w:line="440" w:lineRule="exact"/>
        <w:outlineLvl w:val="0"/>
        <w:rPr>
          <w:rFonts w:hint="eastAsia" w:ascii="仿宋_GB2312" w:hAnsi="仿宋_GB2312" w:eastAsia="仿宋_GB2312" w:cs="仿宋_GB2312"/>
          <w:b/>
          <w:sz w:val="32"/>
          <w:szCs w:val="32"/>
          <w:lang w:val="en-US" w:eastAsia="zh-CN"/>
        </w:rPr>
      </w:pPr>
      <w:bookmarkStart w:id="115" w:name="_Toc6604"/>
      <w:r>
        <w:rPr>
          <w:rFonts w:hint="eastAsia" w:ascii="仿宋_GB2312" w:hAnsi="仿宋_GB2312" w:eastAsia="仿宋_GB2312" w:cs="仿宋_GB2312"/>
          <w:b/>
          <w:sz w:val="32"/>
          <w:szCs w:val="32"/>
        </w:rPr>
        <w:t>二、</w:t>
      </w:r>
      <w:bookmarkEnd w:id="115"/>
      <w:r>
        <w:rPr>
          <w:rFonts w:hint="eastAsia" w:ascii="仿宋_GB2312" w:hAnsi="仿宋_GB2312" w:eastAsia="仿宋_GB2312" w:cs="仿宋_GB2312"/>
          <w:b/>
          <w:sz w:val="32"/>
          <w:szCs w:val="32"/>
          <w:lang w:val="en-US" w:eastAsia="zh-CN"/>
        </w:rPr>
        <w:t>商务部分</w:t>
      </w:r>
    </w:p>
    <w:p>
      <w:pPr>
        <w:pStyle w:val="12"/>
        <w:adjustRightInd w:val="0"/>
        <w:spacing w:line="440" w:lineRule="exact"/>
        <w:outlineLvl w:val="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w:t>
      </w:r>
    </w:p>
    <w:p>
      <w:pPr>
        <w:pStyle w:val="12"/>
        <w:numPr>
          <w:ilvl w:val="0"/>
          <w:numId w:val="0"/>
        </w:numPr>
        <w:adjustRightInd w:val="0"/>
        <w:spacing w:line="440" w:lineRule="exact"/>
        <w:ind w:leftChars="0"/>
        <w:outlineLvl w:val="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三、技术部分</w:t>
      </w:r>
    </w:p>
    <w:p>
      <w:pPr>
        <w:pStyle w:val="12"/>
        <w:numPr>
          <w:ilvl w:val="0"/>
          <w:numId w:val="0"/>
        </w:numPr>
        <w:adjustRightInd w:val="0"/>
        <w:spacing w:line="440" w:lineRule="exact"/>
        <w:ind w:leftChars="0"/>
        <w:outlineLvl w:val="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w:t>
      </w:r>
    </w:p>
    <w:p>
      <w:pPr>
        <w:pStyle w:val="12"/>
        <w:adjustRightInd w:val="0"/>
        <w:spacing w:line="440" w:lineRule="exact"/>
        <w:rPr>
          <w:rFonts w:ascii="仿宋_GB2312" w:hAnsi="仿宋_GB2312" w:eastAsia="仿宋_GB2312" w:cs="仿宋_GB2312"/>
          <w:b/>
          <w:sz w:val="32"/>
          <w:szCs w:val="32"/>
        </w:rPr>
      </w:pPr>
    </w:p>
    <w:p>
      <w:pPr>
        <w:adjustRightInd w:val="0"/>
        <w:rPr>
          <w:rFonts w:ascii="仿宋_GB2312" w:hAnsi="仿宋_GB2312" w:eastAsia="仿宋_GB2312" w:cs="仿宋_GB2312"/>
          <w:b/>
          <w:sz w:val="32"/>
          <w:szCs w:val="32"/>
        </w:rPr>
      </w:pPr>
    </w:p>
    <w:p>
      <w:pPr>
        <w:adjustRightInd w:val="0"/>
        <w:rPr>
          <w:rFonts w:ascii="仿宋_GB2312" w:hAnsi="仿宋_GB2312" w:eastAsia="仿宋_GB2312" w:cs="仿宋_GB2312"/>
          <w:b/>
          <w:sz w:val="32"/>
          <w:szCs w:val="32"/>
        </w:rPr>
      </w:pPr>
    </w:p>
    <w:p>
      <w:pPr>
        <w:adjustRightInd w:val="0"/>
        <w:jc w:val="center"/>
        <w:rPr>
          <w:rFonts w:ascii="仿宋_GB2312" w:hAnsi="仿宋_GB2312" w:eastAsia="仿宋_GB2312" w:cs="仿宋_GB2312"/>
          <w:sz w:val="32"/>
          <w:szCs w:val="32"/>
        </w:rPr>
      </w:pPr>
      <w:r>
        <w:rPr>
          <w:rFonts w:hint="eastAsia" w:ascii="仿宋_GB2312" w:hAnsi="仿宋_GB2312" w:eastAsia="仿宋_GB2312" w:cs="仿宋_GB2312"/>
          <w:b/>
          <w:sz w:val="32"/>
          <w:szCs w:val="32"/>
        </w:rPr>
        <w:br w:type="page"/>
      </w:r>
      <w:bookmarkStart w:id="116" w:name="_Toc12898850"/>
      <w:bookmarkStart w:id="117" w:name="_Toc466288481"/>
      <w:bookmarkStart w:id="118" w:name="_Toc13491"/>
      <w:r>
        <w:rPr>
          <w:rFonts w:hint="eastAsia" w:ascii="仿宋_GB2312" w:hAnsi="仿宋_GB2312" w:eastAsia="仿宋_GB2312" w:cs="仿宋_GB2312"/>
          <w:b/>
          <w:bCs/>
          <w:sz w:val="32"/>
          <w:szCs w:val="32"/>
        </w:rPr>
        <w:t>一、</w:t>
      </w:r>
      <w:bookmarkEnd w:id="116"/>
      <w:bookmarkEnd w:id="117"/>
      <w:bookmarkEnd w:id="118"/>
      <w:r>
        <w:rPr>
          <w:rFonts w:hint="eastAsia" w:ascii="仿宋_GB2312" w:hAnsi="仿宋_GB2312" w:eastAsia="仿宋_GB2312" w:cs="仿宋_GB2312"/>
          <w:b/>
          <w:bCs/>
          <w:sz w:val="32"/>
          <w:szCs w:val="32"/>
        </w:rPr>
        <w:t>投标文件审查索引表</w:t>
      </w:r>
    </w:p>
    <w:p>
      <w:pPr>
        <w:rPr>
          <w:rFonts w:ascii="仿宋_GB2312" w:hAnsi="仿宋_GB2312" w:eastAsia="仿宋_GB2312" w:cs="仿宋_GB2312"/>
          <w:b/>
          <w:sz w:val="32"/>
          <w:szCs w:val="32"/>
        </w:rPr>
      </w:pP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43"/>
        <w:gridCol w:w="5263"/>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88" w:type="pct"/>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113" w:type="pct"/>
            <w:gridSpan w:val="2"/>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审查因素</w:t>
            </w:r>
          </w:p>
        </w:tc>
        <w:tc>
          <w:tcPr>
            <w:tcW w:w="1198" w:type="pct"/>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投标文件中</w:t>
            </w:r>
          </w:p>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3801" w:type="pct"/>
            <w:gridSpan w:val="3"/>
            <w:vAlign w:val="center"/>
          </w:tcPr>
          <w:p>
            <w:pPr>
              <w:tabs>
                <w:tab w:val="left" w:pos="1687"/>
              </w:tabs>
              <w:topLinePun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资格审查</w:t>
            </w:r>
          </w:p>
        </w:tc>
        <w:tc>
          <w:tcPr>
            <w:tcW w:w="1198" w:type="pct"/>
            <w:vAlign w:val="center"/>
          </w:tcPr>
          <w:p>
            <w:pPr>
              <w:topLinePun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8" w:type="pct"/>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113" w:type="pct"/>
            <w:gridSpan w:val="2"/>
            <w:vAlign w:val="center"/>
          </w:tcPr>
          <w:p>
            <w:pPr>
              <w:topLinePunct/>
              <w:rPr>
                <w:rFonts w:ascii="仿宋_GB2312" w:hAnsi="仿宋_GB2312" w:eastAsia="仿宋_GB2312" w:cs="仿宋_GB2312"/>
                <w:sz w:val="32"/>
                <w:szCs w:val="32"/>
              </w:rPr>
            </w:pPr>
            <w:r>
              <w:rPr>
                <w:rFonts w:hint="eastAsia" w:ascii="仿宋_GB2312" w:hAnsi="仿宋_GB2312" w:eastAsia="仿宋_GB2312" w:cs="仿宋_GB2312"/>
                <w:sz w:val="32"/>
                <w:szCs w:val="32"/>
              </w:rPr>
              <w:t>有效的营业执照</w:t>
            </w:r>
          </w:p>
        </w:tc>
        <w:tc>
          <w:tcPr>
            <w:tcW w:w="1198" w:type="pct"/>
            <w:vAlign w:val="center"/>
          </w:tcPr>
          <w:p>
            <w:pPr>
              <w:topLinePun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8" w:type="pct"/>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113" w:type="pct"/>
            <w:gridSpan w:val="2"/>
            <w:vAlign w:val="center"/>
          </w:tcPr>
          <w:p>
            <w:pPr>
              <w:topLinePunct/>
              <w:rPr>
                <w:rFonts w:ascii="仿宋_GB2312" w:hAnsi="仿宋_GB2312" w:eastAsia="仿宋_GB2312" w:cs="仿宋_GB2312"/>
                <w:sz w:val="32"/>
                <w:szCs w:val="32"/>
              </w:rPr>
            </w:pPr>
            <w:r>
              <w:rPr>
                <w:rFonts w:hint="eastAsia" w:ascii="仿宋_GB2312" w:hAnsi="仿宋_GB2312" w:eastAsia="仿宋_GB2312" w:cs="仿宋_GB2312"/>
                <w:sz w:val="32"/>
                <w:szCs w:val="32"/>
              </w:rPr>
              <w:t>经审计财务会计报告，或基本开户银行出具的资信证明</w:t>
            </w:r>
          </w:p>
        </w:tc>
        <w:tc>
          <w:tcPr>
            <w:tcW w:w="1198" w:type="pct"/>
            <w:vAlign w:val="center"/>
          </w:tcPr>
          <w:p>
            <w:pPr>
              <w:topLinePun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8" w:type="pct"/>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113" w:type="pct"/>
            <w:gridSpan w:val="2"/>
            <w:vAlign w:val="center"/>
          </w:tcPr>
          <w:p>
            <w:pPr>
              <w:topLinePunct/>
              <w:rPr>
                <w:rFonts w:ascii="仿宋_GB2312" w:hAnsi="仿宋_GB2312" w:eastAsia="仿宋_GB2312" w:cs="仿宋_GB2312"/>
                <w:sz w:val="32"/>
                <w:szCs w:val="32"/>
              </w:rPr>
            </w:pPr>
            <w:r>
              <w:rPr>
                <w:rFonts w:hint="eastAsia" w:ascii="仿宋_GB2312" w:hAnsi="仿宋_GB2312" w:eastAsia="仿宋_GB2312" w:cs="仿宋_GB2312"/>
                <w:sz w:val="32"/>
                <w:szCs w:val="32"/>
              </w:rPr>
              <w:t>税务登记证或开标前近半年内任一月依法缴纳税收凭证</w:t>
            </w:r>
          </w:p>
        </w:tc>
        <w:tc>
          <w:tcPr>
            <w:tcW w:w="1198" w:type="pct"/>
            <w:vAlign w:val="center"/>
          </w:tcPr>
          <w:p>
            <w:pPr>
              <w:topLinePun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8" w:type="pct"/>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113" w:type="pct"/>
            <w:gridSpan w:val="2"/>
            <w:vAlign w:val="center"/>
          </w:tcPr>
          <w:p>
            <w:pPr>
              <w:topLinePunct/>
              <w:rPr>
                <w:rFonts w:ascii="仿宋_GB2312" w:hAnsi="仿宋_GB2312" w:eastAsia="仿宋_GB2312" w:cs="仿宋_GB2312"/>
                <w:sz w:val="32"/>
                <w:szCs w:val="32"/>
              </w:rPr>
            </w:pPr>
            <w:r>
              <w:rPr>
                <w:rFonts w:hint="eastAsia" w:ascii="仿宋_GB2312" w:hAnsi="仿宋_GB2312" w:eastAsia="仿宋_GB2312" w:cs="仿宋_GB2312"/>
                <w:sz w:val="32"/>
                <w:szCs w:val="32"/>
              </w:rPr>
              <w:t>社会保险登记证或社保机构出具的近半年内任一月社保缴纳证明</w:t>
            </w:r>
          </w:p>
        </w:tc>
        <w:tc>
          <w:tcPr>
            <w:tcW w:w="1198" w:type="pct"/>
            <w:vAlign w:val="center"/>
          </w:tcPr>
          <w:p>
            <w:pPr>
              <w:topLinePun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8" w:type="pct"/>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3113" w:type="pct"/>
            <w:gridSpan w:val="2"/>
            <w:vAlign w:val="center"/>
          </w:tcPr>
          <w:p>
            <w:pPr>
              <w:topLinePunct/>
              <w:rPr>
                <w:rFonts w:ascii="仿宋_GB2312" w:hAnsi="仿宋_GB2312" w:eastAsia="仿宋_GB2312" w:cs="仿宋_GB2312"/>
                <w:sz w:val="32"/>
                <w:szCs w:val="32"/>
              </w:rPr>
            </w:pPr>
            <w:r>
              <w:rPr>
                <w:rFonts w:hint="eastAsia" w:ascii="仿宋_GB2312" w:hAnsi="仿宋_GB2312" w:eastAsia="仿宋_GB2312" w:cs="仿宋_GB2312"/>
                <w:sz w:val="32"/>
                <w:szCs w:val="32"/>
              </w:rPr>
              <w:t>近3年内在经营活动中没有重大违法记录的书面声明</w:t>
            </w:r>
          </w:p>
        </w:tc>
        <w:tc>
          <w:tcPr>
            <w:tcW w:w="1198" w:type="pct"/>
            <w:vAlign w:val="center"/>
          </w:tcPr>
          <w:p>
            <w:pPr>
              <w:topLinePun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01" w:type="pct"/>
            <w:gridSpan w:val="3"/>
            <w:vAlign w:val="center"/>
          </w:tcPr>
          <w:p>
            <w:pPr>
              <w:topLinePunct/>
              <w:rPr>
                <w:rFonts w:ascii="仿宋_GB2312" w:hAnsi="仿宋_GB2312" w:eastAsia="仿宋_GB2312" w:cs="仿宋_GB2312"/>
                <w:sz w:val="32"/>
                <w:szCs w:val="32"/>
              </w:rPr>
            </w:pPr>
            <w:r>
              <w:rPr>
                <w:rFonts w:hint="eastAsia" w:ascii="仿宋_GB2312" w:hAnsi="仿宋_GB2312" w:eastAsia="仿宋_GB2312" w:cs="仿宋_GB2312"/>
                <w:sz w:val="32"/>
                <w:szCs w:val="32"/>
              </w:rPr>
              <w:t>商务评分标准</w:t>
            </w:r>
          </w:p>
        </w:tc>
        <w:tc>
          <w:tcPr>
            <w:tcW w:w="1198" w:type="pct"/>
            <w:vAlign w:val="center"/>
          </w:tcPr>
          <w:p>
            <w:pPr>
              <w:topLinePun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8" w:type="pct"/>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113" w:type="pct"/>
            <w:gridSpan w:val="2"/>
            <w:vAlign w:val="center"/>
          </w:tcPr>
          <w:p>
            <w:pPr>
              <w:topLinePun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198" w:type="pct"/>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8" w:type="pct"/>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113" w:type="pct"/>
            <w:gridSpan w:val="2"/>
            <w:vAlign w:val="center"/>
          </w:tcPr>
          <w:p>
            <w:pPr>
              <w:topLinePunct/>
              <w:rPr>
                <w:rFonts w:ascii="仿宋_GB2312" w:hAnsi="仿宋_GB2312" w:eastAsia="仿宋_GB2312" w:cs="仿宋_GB2312"/>
                <w:sz w:val="32"/>
                <w:szCs w:val="32"/>
              </w:rPr>
            </w:pPr>
          </w:p>
        </w:tc>
        <w:tc>
          <w:tcPr>
            <w:tcW w:w="1198" w:type="pct"/>
            <w:vAlign w:val="center"/>
          </w:tcPr>
          <w:p>
            <w:pPr>
              <w:topLinePun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01" w:type="pct"/>
            <w:gridSpan w:val="3"/>
            <w:vAlign w:val="center"/>
          </w:tcPr>
          <w:p>
            <w:pPr>
              <w:topLinePunct/>
              <w:rPr>
                <w:rFonts w:ascii="仿宋_GB2312" w:hAnsi="仿宋_GB2312" w:eastAsia="仿宋_GB2312" w:cs="仿宋_GB2312"/>
                <w:sz w:val="32"/>
                <w:szCs w:val="32"/>
              </w:rPr>
            </w:pPr>
            <w:r>
              <w:rPr>
                <w:rFonts w:hint="eastAsia" w:ascii="仿宋_GB2312" w:hAnsi="仿宋_GB2312" w:eastAsia="仿宋_GB2312" w:cs="仿宋_GB2312"/>
                <w:sz w:val="32"/>
                <w:szCs w:val="32"/>
              </w:rPr>
              <w:t>技术评分标准</w:t>
            </w:r>
          </w:p>
        </w:tc>
        <w:tc>
          <w:tcPr>
            <w:tcW w:w="1198" w:type="pct"/>
            <w:vAlign w:val="center"/>
          </w:tcPr>
          <w:p>
            <w:pPr>
              <w:topLinePun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3" w:type="pct"/>
            <w:gridSpan w:val="2"/>
            <w:vAlign w:val="center"/>
          </w:tcPr>
          <w:p>
            <w:pPr>
              <w:topLinePun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088" w:type="pct"/>
            <w:vAlign w:val="center"/>
          </w:tcPr>
          <w:p>
            <w:pPr>
              <w:topLinePunct/>
              <w:jc w:val="center"/>
              <w:rPr>
                <w:rFonts w:ascii="仿宋_GB2312" w:hAnsi="仿宋_GB2312" w:eastAsia="仿宋_GB2312" w:cs="仿宋_GB2312"/>
                <w:sz w:val="32"/>
                <w:szCs w:val="32"/>
              </w:rPr>
            </w:pPr>
          </w:p>
        </w:tc>
        <w:tc>
          <w:tcPr>
            <w:tcW w:w="1198" w:type="pct"/>
            <w:vAlign w:val="center"/>
          </w:tcPr>
          <w:p>
            <w:pPr>
              <w:topLinePunct/>
              <w:jc w:val="center"/>
              <w:rPr>
                <w:rFonts w:ascii="仿宋_GB2312" w:hAnsi="仿宋_GB2312" w:eastAsia="仿宋_GB2312" w:cs="仿宋_GB2312"/>
                <w:sz w:val="32"/>
                <w:szCs w:val="32"/>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注：以上资料复印件必须加盖投标人单位公章。</w:t>
      </w:r>
    </w:p>
    <w:p>
      <w:pPr>
        <w:pStyle w:val="5"/>
        <w:spacing w:line="440" w:lineRule="exact"/>
        <w:jc w:val="center"/>
        <w:rPr>
          <w:rFonts w:ascii="仿宋_GB2312" w:hAnsi="仿宋_GB2312" w:eastAsia="仿宋_GB2312" w:cs="仿宋_GB2312"/>
        </w:rPr>
      </w:pPr>
      <w:bookmarkStart w:id="119" w:name="_Toc420948023"/>
      <w:bookmarkStart w:id="120" w:name="_Toc12898851"/>
      <w:bookmarkStart w:id="121" w:name="_Toc21028"/>
      <w:r>
        <w:rPr>
          <w:rFonts w:hint="eastAsia" w:ascii="仿宋_GB2312" w:hAnsi="仿宋_GB2312" w:eastAsia="仿宋_GB2312" w:cs="仿宋_GB2312"/>
        </w:rPr>
        <w:t>二、投标</w:t>
      </w:r>
      <w:bookmarkEnd w:id="119"/>
      <w:r>
        <w:rPr>
          <w:rFonts w:hint="eastAsia" w:ascii="仿宋_GB2312" w:hAnsi="仿宋_GB2312" w:eastAsia="仿宋_GB2312" w:cs="仿宋_GB2312"/>
        </w:rPr>
        <w:t>函</w:t>
      </w:r>
      <w:bookmarkEnd w:id="120"/>
      <w:bookmarkEnd w:id="121"/>
    </w:p>
    <w:p>
      <w:pPr>
        <w:adjustRightInd w:val="0"/>
        <w:spacing w:line="440" w:lineRule="exact"/>
        <w:rPr>
          <w:rFonts w:ascii="仿宋_GB2312" w:hAnsi="仿宋_GB2312" w:eastAsia="仿宋_GB2312" w:cs="仿宋_GB2312"/>
          <w:sz w:val="32"/>
          <w:szCs w:val="32"/>
        </w:rPr>
      </w:pPr>
    </w:p>
    <w:p>
      <w:pPr>
        <w:adjustRightInd w:val="0"/>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(采购人或招标代理机构)：</w:t>
      </w:r>
    </w:p>
    <w:p>
      <w:pPr>
        <w:adjustRightInd w:val="0"/>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我方己仔细研究了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项目名称)的招标文件（项目编号：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）的全部内容，知悉参加投标的风险，我方承诺接受招标文件的全部条款且无任何异议。</w:t>
      </w:r>
    </w:p>
    <w:p>
      <w:pPr>
        <w:pStyle w:val="12"/>
        <w:adjustRightInd w:val="0"/>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一、我方同意在招标文件中规定的提交投标文件截止时间起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日内(投标文件有效期)遵守本投标文件中的承诺且在此期限期满之前均具有法律约束力。</w:t>
      </w:r>
    </w:p>
    <w:p>
      <w:pPr>
        <w:pStyle w:val="12"/>
        <w:adjustRightInd w:val="0"/>
        <w:spacing w:line="4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二、我方提交投标文件正本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份和副本一式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份，电子版一份，并保证投标文件提供的数据和材料是真实、准确的。否则，愿承担《政府采购法》</w:t>
      </w:r>
      <w:r>
        <w:rPr>
          <w:rFonts w:hint="eastAsia" w:ascii="仿宋_GB2312" w:hAnsi="仿宋_GB2312" w:eastAsia="仿宋_GB2312" w:cs="仿宋_GB2312"/>
          <w:bCs/>
          <w:sz w:val="32"/>
          <w:szCs w:val="32"/>
        </w:rPr>
        <w:t>第七十七条规定的法律责任。</w:t>
      </w:r>
    </w:p>
    <w:p>
      <w:pPr>
        <w:pStyle w:val="12"/>
        <w:adjustRightInd w:val="0"/>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三、我方愿意向贵方提供任何与本项采购有关的数据、情况和技术资料。若贵方需要，我方愿意提供我方作出的一切承诺的证明材料。</w:t>
      </w:r>
    </w:p>
    <w:p>
      <w:pPr>
        <w:pStyle w:val="12"/>
        <w:adjustRightInd w:val="0"/>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四、我方承诺遵守《政府采购法》的有关规定，保证在获得中标资格后，按照招标文件确定的事项签订政府采购合同，履行双方所签订的合同，并承担合同规定的责任和义务。</w:t>
      </w:r>
    </w:p>
    <w:p>
      <w:pPr>
        <w:pStyle w:val="12"/>
        <w:adjustRightInd w:val="0"/>
        <w:spacing w:line="440" w:lineRule="exact"/>
        <w:ind w:firstLine="640" w:firstLineChars="200"/>
        <w:rPr>
          <w:rFonts w:ascii="仿宋_GB2312" w:hAnsi="仿宋_GB2312" w:eastAsia="仿宋_GB2312" w:cs="仿宋_GB2312"/>
          <w:sz w:val="32"/>
          <w:szCs w:val="32"/>
        </w:rPr>
      </w:pPr>
    </w:p>
    <w:p>
      <w:pPr>
        <w:adjustRightInd w:val="0"/>
        <w:spacing w:line="440" w:lineRule="exact"/>
        <w:ind w:right="24"/>
        <w:rPr>
          <w:rFonts w:ascii="仿宋_GB2312" w:hAnsi="仿宋_GB2312" w:eastAsia="仿宋_GB2312" w:cs="仿宋_GB2312"/>
          <w:sz w:val="32"/>
          <w:szCs w:val="32"/>
        </w:rPr>
      </w:pPr>
      <w:r>
        <w:rPr>
          <w:rFonts w:hint="eastAsia" w:ascii="仿宋_GB2312" w:hAnsi="仿宋_GB2312" w:eastAsia="仿宋_GB2312" w:cs="仿宋_GB2312"/>
          <w:bCs/>
          <w:sz w:val="32"/>
          <w:szCs w:val="32"/>
        </w:rPr>
        <w:t>附件1：</w:t>
      </w:r>
      <w:r>
        <w:rPr>
          <w:rFonts w:hint="eastAsia" w:ascii="仿宋_GB2312" w:hAnsi="仿宋_GB2312" w:eastAsia="仿宋_GB2312" w:cs="仿宋_GB2312"/>
          <w:sz w:val="32"/>
          <w:szCs w:val="32"/>
        </w:rPr>
        <w:t>法定代表人身份证明(法定代表人参加招标)</w:t>
      </w:r>
    </w:p>
    <w:p>
      <w:pPr>
        <w:adjustRightInd w:val="0"/>
        <w:spacing w:line="440" w:lineRule="exact"/>
        <w:ind w:right="24"/>
        <w:rPr>
          <w:rFonts w:ascii="仿宋_GB2312" w:hAnsi="仿宋_GB2312" w:eastAsia="仿宋_GB2312" w:cs="仿宋_GB2312"/>
          <w:sz w:val="32"/>
          <w:szCs w:val="32"/>
        </w:rPr>
      </w:pPr>
      <w:r>
        <w:rPr>
          <w:rFonts w:hint="eastAsia" w:ascii="仿宋_GB2312" w:hAnsi="仿宋_GB2312" w:eastAsia="仿宋_GB2312" w:cs="仿宋_GB2312"/>
          <w:bCs/>
          <w:sz w:val="32"/>
          <w:szCs w:val="32"/>
        </w:rPr>
        <w:t>附件2</w:t>
      </w:r>
      <w:r>
        <w:rPr>
          <w:rFonts w:hint="eastAsia" w:ascii="仿宋_GB2312" w:hAnsi="仿宋_GB2312" w:eastAsia="仿宋_GB2312" w:cs="仿宋_GB2312"/>
          <w:sz w:val="32"/>
          <w:szCs w:val="32"/>
        </w:rPr>
        <w:t>：法定代表人授权书(委托代理人参加招标)</w:t>
      </w:r>
    </w:p>
    <w:p>
      <w:pPr>
        <w:pStyle w:val="12"/>
        <w:adjustRightInd w:val="0"/>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投标人名称(盖单位章)：</w:t>
      </w:r>
    </w:p>
    <w:p>
      <w:pPr>
        <w:adjustRightInd w:val="0"/>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 (签字)：</w:t>
      </w:r>
      <w:r>
        <w:rPr>
          <w:rFonts w:hint="eastAsia" w:ascii="仿宋_GB2312" w:hAnsi="仿宋_GB2312" w:eastAsia="仿宋_GB2312" w:cs="仿宋_GB2312"/>
          <w:sz w:val="32"/>
          <w:szCs w:val="32"/>
          <w:u w:val="single"/>
        </w:rPr>
        <w:t xml:space="preserve">            </w:t>
      </w:r>
    </w:p>
    <w:p>
      <w:pPr>
        <w:adjustRightInd w:val="0"/>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adjustRightInd w:val="0"/>
        <w:spacing w:line="440" w:lineRule="exact"/>
        <w:ind w:right="24"/>
        <w:rPr>
          <w:rFonts w:ascii="仿宋_GB2312" w:hAnsi="仿宋_GB2312" w:eastAsia="仿宋_GB2312" w:cs="仿宋_GB2312"/>
          <w:bCs/>
          <w:sz w:val="32"/>
          <w:szCs w:val="32"/>
        </w:rPr>
      </w:pPr>
    </w:p>
    <w:p>
      <w:pPr>
        <w:adjustRightInd w:val="0"/>
        <w:spacing w:line="440" w:lineRule="exact"/>
        <w:ind w:right="24"/>
        <w:rPr>
          <w:rFonts w:ascii="仿宋_GB2312" w:hAnsi="仿宋_GB2312" w:eastAsia="仿宋_GB2312" w:cs="仿宋_GB2312"/>
          <w:bCs/>
          <w:sz w:val="32"/>
          <w:szCs w:val="32"/>
        </w:rPr>
      </w:pPr>
    </w:p>
    <w:p>
      <w:pPr>
        <w:spacing w:line="44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r>
        <w:rPr>
          <w:rFonts w:hint="eastAsia" w:ascii="仿宋_GB2312" w:hAnsi="仿宋_GB2312" w:eastAsia="仿宋_GB2312" w:cs="仿宋_GB2312"/>
          <w:bCs/>
          <w:sz w:val="32"/>
          <w:szCs w:val="32"/>
        </w:rPr>
        <w:t>附件1</w:t>
      </w:r>
    </w:p>
    <w:p>
      <w:pPr>
        <w:adjustRightInd w:val="0"/>
        <w:ind w:right="24"/>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法定代表人身份证明(法定代表人参加招标)</w:t>
      </w:r>
    </w:p>
    <w:p>
      <w:pPr>
        <w:rPr>
          <w:rFonts w:ascii="仿宋_GB2312" w:hAnsi="仿宋_GB2312" w:eastAsia="仿宋_GB2312" w:cs="仿宋_GB2312"/>
          <w:sz w:val="32"/>
          <w:szCs w:val="32"/>
        </w:rPr>
      </w:pPr>
    </w:p>
    <w:p>
      <w:pPr>
        <w:autoSpaceDE w:val="0"/>
        <w:autoSpaceDN w:val="0"/>
        <w:adjustRightInd w:val="0"/>
        <w:spacing w:before="156" w:beforeLines="5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pPr>
        <w:autoSpaceDE w:val="0"/>
        <w:autoSpaceDN w:val="0"/>
        <w:adjustRightInd w:val="0"/>
        <w:spacing w:before="156" w:beforeLines="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注册号：</w:t>
      </w:r>
      <w:r>
        <w:rPr>
          <w:rFonts w:hint="eastAsia" w:ascii="仿宋_GB2312" w:hAnsi="仿宋_GB2312" w:eastAsia="仿宋_GB2312" w:cs="仿宋_GB2312"/>
          <w:kern w:val="0"/>
          <w:sz w:val="32"/>
          <w:szCs w:val="32"/>
          <w:u w:val="single"/>
        </w:rPr>
        <w:t xml:space="preserve">                  </w:t>
      </w:r>
    </w:p>
    <w:p>
      <w:pPr>
        <w:autoSpaceDE w:val="0"/>
        <w:autoSpaceDN w:val="0"/>
        <w:adjustRightInd w:val="0"/>
        <w:spacing w:before="156" w:beforeLines="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注册地址：</w:t>
      </w:r>
      <w:r>
        <w:rPr>
          <w:rFonts w:hint="eastAsia" w:ascii="仿宋_GB2312" w:hAnsi="仿宋_GB2312" w:eastAsia="仿宋_GB2312" w:cs="仿宋_GB2312"/>
          <w:kern w:val="0"/>
          <w:sz w:val="32"/>
          <w:szCs w:val="32"/>
          <w:u w:val="single"/>
        </w:rPr>
        <w:t xml:space="preserve">                                    </w:t>
      </w:r>
    </w:p>
    <w:p>
      <w:pPr>
        <w:autoSpaceDE w:val="0"/>
        <w:autoSpaceDN w:val="0"/>
        <w:adjustRightInd w:val="0"/>
        <w:spacing w:before="156" w:beforeLines="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成立时间：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日</w:t>
      </w:r>
    </w:p>
    <w:p>
      <w:pPr>
        <w:autoSpaceDE w:val="0"/>
        <w:autoSpaceDN w:val="0"/>
        <w:adjustRightInd w:val="0"/>
        <w:spacing w:before="156" w:beforeLines="50"/>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经营期限：</w:t>
      </w:r>
      <w:r>
        <w:rPr>
          <w:rFonts w:hint="eastAsia" w:ascii="仿宋_GB2312" w:hAnsi="仿宋_GB2312" w:eastAsia="仿宋_GB2312" w:cs="仿宋_GB2312"/>
          <w:kern w:val="0"/>
          <w:sz w:val="32"/>
          <w:szCs w:val="32"/>
          <w:u w:val="single"/>
        </w:rPr>
        <w:t xml:space="preserve">                  </w:t>
      </w:r>
    </w:p>
    <w:p>
      <w:pPr>
        <w:autoSpaceDE w:val="0"/>
        <w:autoSpaceDN w:val="0"/>
        <w:adjustRightInd w:val="0"/>
        <w:spacing w:before="156" w:beforeLines="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性别：</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年龄：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系</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投标人</w:t>
      </w:r>
      <w:r>
        <w:rPr>
          <w:rFonts w:hint="eastAsia" w:ascii="仿宋_GB2312" w:hAnsi="仿宋_GB2312" w:eastAsia="仿宋_GB2312" w:cs="仿宋_GB2312"/>
          <w:kern w:val="0"/>
          <w:sz w:val="32"/>
          <w:szCs w:val="32"/>
        </w:rPr>
        <w:t>名称）的法定代表人。</w:t>
      </w:r>
    </w:p>
    <w:p>
      <w:pPr>
        <w:autoSpaceDE w:val="0"/>
        <w:autoSpaceDN w:val="0"/>
        <w:adjustRightInd w:val="0"/>
        <w:spacing w:before="156" w:beforeLines="5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特此证明</w:t>
      </w:r>
    </w:p>
    <w:p>
      <w:pPr>
        <w:autoSpaceDE w:val="0"/>
        <w:autoSpaceDN w:val="0"/>
        <w:adjustRightInd w:val="0"/>
        <w:spacing w:before="156" w:beforeLines="5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附：法定代表人身份证复印件</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adjustRightInd w:val="0"/>
        <w:rPr>
          <w:rFonts w:ascii="仿宋_GB2312" w:hAnsi="仿宋_GB2312" w:eastAsia="仿宋_GB2312" w:cs="仿宋_GB2312"/>
          <w:sz w:val="32"/>
          <w:szCs w:val="32"/>
        </w:rPr>
      </w:pPr>
    </w:p>
    <w:p>
      <w:pPr>
        <w:adjustRightInd w:val="0"/>
        <w:ind w:right="42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投标人名称（盖单位章）：</w:t>
      </w:r>
    </w:p>
    <w:p>
      <w:pPr>
        <w:adjustRightInd w:val="0"/>
        <w:ind w:right="42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pPr>
        <w:adjustRightInd w:val="0"/>
        <w:spacing w:before="156" w:beforeLines="50"/>
        <w:rPr>
          <w:rFonts w:ascii="仿宋_GB2312" w:hAnsi="仿宋_GB2312" w:eastAsia="仿宋_GB2312" w:cs="仿宋_GB2312"/>
          <w:sz w:val="32"/>
          <w:szCs w:val="32"/>
        </w:rPr>
      </w:pPr>
    </w:p>
    <w:p>
      <w:pPr>
        <w:adjustRightInd w:val="0"/>
        <w:ind w:right="24"/>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Cs/>
          <w:sz w:val="32"/>
          <w:szCs w:val="32"/>
        </w:rPr>
        <w:t>附件2</w:t>
      </w:r>
    </w:p>
    <w:p>
      <w:pPr>
        <w:adjustRightInd w:val="0"/>
        <w:ind w:right="24"/>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法定代表人授权书(委托代理人参加招标)</w:t>
      </w:r>
    </w:p>
    <w:p>
      <w:pPr>
        <w:adjustRightInd w:val="0"/>
        <w:jc w:val="center"/>
        <w:rPr>
          <w:rFonts w:ascii="仿宋_GB2312" w:hAnsi="仿宋_GB2312" w:eastAsia="仿宋_GB2312" w:cs="仿宋_GB2312"/>
          <w:b/>
          <w:sz w:val="32"/>
          <w:szCs w:val="32"/>
        </w:rPr>
      </w:pPr>
    </w:p>
    <w:p>
      <w:pPr>
        <w:autoSpaceDE w:val="0"/>
        <w:autoSpaceDN w:val="0"/>
        <w:adjustRightInd w:val="0"/>
        <w:spacing w:before="156" w:beforeLines="5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（姓名、职务）系</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投标人</w:t>
      </w:r>
      <w:r>
        <w:rPr>
          <w:rFonts w:hint="eastAsia" w:ascii="仿宋_GB2312" w:hAnsi="仿宋_GB2312" w:eastAsia="仿宋_GB2312" w:cs="仿宋_GB2312"/>
          <w:kern w:val="0"/>
          <w:sz w:val="32"/>
          <w:szCs w:val="32"/>
        </w:rPr>
        <w:t>名称）的法定代表人，现授权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（姓名、职务）为我方代理人。代理人根据授权，以我方名义：(1)签署、澄清、补正、修改、撤回、提交</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（项目名称、</w:t>
      </w:r>
      <w:r>
        <w:rPr>
          <w:rFonts w:hint="eastAsia" w:ascii="仿宋_GB2312" w:hAnsi="仿宋_GB2312" w:eastAsia="仿宋_GB2312" w:cs="仿宋_GB2312"/>
          <w:sz w:val="32"/>
          <w:szCs w:val="32"/>
        </w:rPr>
        <w:t>项目</w:t>
      </w:r>
      <w:r>
        <w:rPr>
          <w:rFonts w:hint="eastAsia" w:ascii="仿宋_GB2312" w:hAnsi="仿宋_GB2312" w:eastAsia="仿宋_GB2312" w:cs="仿宋_GB2312"/>
          <w:kern w:val="0"/>
          <w:sz w:val="32"/>
          <w:szCs w:val="32"/>
        </w:rPr>
        <w:t>编号）投标文件及报价； (2)签订合同和处理有关事宜，其法律后果由我方承担。</w:t>
      </w:r>
    </w:p>
    <w:p>
      <w:pPr>
        <w:autoSpaceDE w:val="0"/>
        <w:autoSpaceDN w:val="0"/>
        <w:adjustRightInd w:val="0"/>
        <w:spacing w:before="156" w:beforeLines="5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委托期限：</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pPr>
        <w:ind w:firstLine="43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代理人无转委托权。</w:t>
      </w:r>
    </w:p>
    <w:p>
      <w:pPr>
        <w:ind w:firstLine="435"/>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日签字生效，特此声明。</w:t>
      </w:r>
    </w:p>
    <w:p>
      <w:pPr>
        <w:autoSpaceDE w:val="0"/>
        <w:autoSpaceDN w:val="0"/>
        <w:adjustRightInd w:val="0"/>
        <w:spacing w:before="156" w:beforeLines="5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附：法定代表人身份证复印件</w:t>
      </w:r>
    </w:p>
    <w:p>
      <w:pPr>
        <w:autoSpaceDE w:val="0"/>
        <w:autoSpaceDN w:val="0"/>
        <w:adjustRightInd w:val="0"/>
        <w:spacing w:before="156" w:beforeLines="5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附：被授权人身份证复印件</w:t>
      </w:r>
    </w:p>
    <w:p>
      <w:pPr>
        <w:adjustRightInd w:val="0"/>
        <w:ind w:right="420"/>
        <w:rPr>
          <w:rFonts w:ascii="仿宋_GB2312" w:hAnsi="仿宋_GB2312" w:eastAsia="仿宋_GB2312" w:cs="仿宋_GB2312"/>
          <w:sz w:val="32"/>
          <w:szCs w:val="32"/>
        </w:rPr>
      </w:pPr>
    </w:p>
    <w:p>
      <w:pPr>
        <w:adjustRightInd w:val="0"/>
        <w:ind w:right="420"/>
        <w:rPr>
          <w:rFonts w:ascii="仿宋_GB2312" w:hAnsi="仿宋_GB2312" w:eastAsia="仿宋_GB2312" w:cs="仿宋_GB2312"/>
          <w:sz w:val="32"/>
          <w:szCs w:val="32"/>
        </w:rPr>
      </w:pPr>
    </w:p>
    <w:p>
      <w:pPr>
        <w:adjustRightInd w:val="0"/>
        <w:ind w:right="42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投标人名称(盖单位章)：</w:t>
      </w:r>
    </w:p>
    <w:p>
      <w:pPr>
        <w:adjustRightInd w:val="0"/>
        <w:ind w:right="42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p>
    <w:p>
      <w:pPr>
        <w:adjustRightInd w:val="0"/>
        <w:ind w:right="42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p>
    <w:p>
      <w:pPr>
        <w:adjustRightInd w:val="0"/>
        <w:ind w:right="24"/>
        <w:rPr>
          <w:rFonts w:ascii="仿宋_GB2312" w:hAnsi="仿宋_GB2312" w:eastAsia="仿宋_GB2312" w:cs="仿宋_GB2312"/>
          <w:b/>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adjustRightInd w:val="0"/>
        <w:ind w:right="24"/>
        <w:rPr>
          <w:rFonts w:ascii="仿宋_GB2312" w:hAnsi="仿宋_GB2312" w:eastAsia="仿宋_GB2312" w:cs="仿宋_GB2312"/>
          <w:b/>
          <w:sz w:val="32"/>
          <w:szCs w:val="32"/>
        </w:rPr>
        <w:sectPr>
          <w:pgSz w:w="11906" w:h="16838"/>
          <w:pgMar w:top="1440" w:right="1800" w:bottom="1440" w:left="1800" w:header="851" w:footer="992" w:gutter="0"/>
          <w:cols w:space="720" w:num="1"/>
          <w:docGrid w:type="lines" w:linePitch="312" w:charSpace="0"/>
        </w:sectPr>
      </w:pPr>
      <w:bookmarkStart w:id="122" w:name="_Toc420948025"/>
    </w:p>
    <w:p>
      <w:pPr>
        <w:pStyle w:val="5"/>
        <w:spacing w:line="240" w:lineRule="auto"/>
        <w:jc w:val="center"/>
        <w:rPr>
          <w:rFonts w:ascii="仿宋_GB2312" w:hAnsi="仿宋_GB2312" w:eastAsia="仿宋_GB2312" w:cs="仿宋_GB2312"/>
        </w:rPr>
      </w:pPr>
      <w:bookmarkStart w:id="123" w:name="_Toc420948031"/>
      <w:bookmarkStart w:id="124" w:name="_Toc30358"/>
      <w:bookmarkStart w:id="125" w:name="_Toc12898852"/>
      <w:r>
        <w:rPr>
          <w:rFonts w:hint="eastAsia" w:ascii="仿宋_GB2312" w:hAnsi="仿宋_GB2312" w:eastAsia="仿宋_GB2312" w:cs="仿宋_GB2312"/>
        </w:rPr>
        <w:t>三、报价一览表及</w:t>
      </w:r>
      <w:bookmarkEnd w:id="123"/>
      <w:r>
        <w:rPr>
          <w:rFonts w:hint="eastAsia" w:ascii="仿宋_GB2312" w:hAnsi="仿宋_GB2312" w:eastAsia="仿宋_GB2312" w:cs="仿宋_GB2312"/>
        </w:rPr>
        <w:t>投标报价明细表</w:t>
      </w:r>
      <w:bookmarkEnd w:id="124"/>
      <w:bookmarkEnd w:id="125"/>
    </w:p>
    <w:p>
      <w:pPr>
        <w:adjustRightInd w:val="0"/>
        <w:jc w:val="center"/>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报价一览表 </w:t>
      </w:r>
    </w:p>
    <w:p>
      <w:pPr>
        <w:adjustRightInd w:val="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项目名称：</w:t>
      </w:r>
    </w:p>
    <w:p>
      <w:pPr>
        <w:adjustRightInd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项目编号：</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2447"/>
        <w:gridCol w:w="4027"/>
        <w:gridCol w:w="12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690"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6474" w:type="dxa"/>
            <w:gridSpan w:val="2"/>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内容</w:t>
            </w:r>
          </w:p>
        </w:tc>
        <w:tc>
          <w:tcPr>
            <w:tcW w:w="1294"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90"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447" w:type="dxa"/>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4027" w:type="dxa"/>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32"/>
                <w:szCs w:val="32"/>
              </w:rPr>
            </w:pPr>
          </w:p>
        </w:tc>
        <w:tc>
          <w:tcPr>
            <w:tcW w:w="1294"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90"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447" w:type="dxa"/>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投标内容</w:t>
            </w:r>
          </w:p>
        </w:tc>
        <w:tc>
          <w:tcPr>
            <w:tcW w:w="4027" w:type="dxa"/>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32"/>
                <w:szCs w:val="32"/>
              </w:rPr>
            </w:pPr>
          </w:p>
        </w:tc>
        <w:tc>
          <w:tcPr>
            <w:tcW w:w="1294"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690"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44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投标报价</w:t>
            </w:r>
          </w:p>
        </w:tc>
        <w:tc>
          <w:tcPr>
            <w:tcW w:w="402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32"/>
                <w:szCs w:val="32"/>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c>
          <w:tcPr>
            <w:tcW w:w="129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44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交货</w:t>
            </w:r>
            <w:r>
              <w:rPr>
                <w:rFonts w:hint="eastAsia" w:ascii="仿宋_GB2312" w:hAnsi="仿宋_GB2312" w:eastAsia="仿宋_GB2312" w:cs="仿宋_GB2312"/>
                <w:sz w:val="32"/>
                <w:szCs w:val="32"/>
              </w:rPr>
              <w:t>期限</w:t>
            </w:r>
          </w:p>
        </w:tc>
        <w:tc>
          <w:tcPr>
            <w:tcW w:w="402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u w:val="single"/>
              </w:rPr>
            </w:pPr>
          </w:p>
        </w:tc>
        <w:tc>
          <w:tcPr>
            <w:tcW w:w="129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44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投标有效期</w:t>
            </w:r>
          </w:p>
        </w:tc>
        <w:tc>
          <w:tcPr>
            <w:tcW w:w="402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u w:val="single"/>
              </w:rPr>
            </w:pPr>
          </w:p>
        </w:tc>
        <w:tc>
          <w:tcPr>
            <w:tcW w:w="129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44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其他事项声明</w:t>
            </w:r>
          </w:p>
        </w:tc>
        <w:tc>
          <w:tcPr>
            <w:tcW w:w="4027"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32"/>
                <w:szCs w:val="32"/>
              </w:rPr>
            </w:pPr>
          </w:p>
        </w:tc>
        <w:tc>
          <w:tcPr>
            <w:tcW w:w="1294"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32"/>
                <w:szCs w:val="32"/>
              </w:rPr>
            </w:pPr>
          </w:p>
        </w:tc>
      </w:tr>
    </w:tbl>
    <w:p>
      <w:pPr>
        <w:adjustRightInd w:val="0"/>
        <w:rPr>
          <w:rFonts w:ascii="仿宋_GB2312" w:hAnsi="仿宋_GB2312" w:eastAsia="仿宋_GB2312" w:cs="仿宋_GB2312"/>
          <w:sz w:val="24"/>
          <w:szCs w:val="24"/>
        </w:rPr>
      </w:pPr>
      <w:r>
        <w:rPr>
          <w:rFonts w:hint="eastAsia" w:ascii="仿宋_GB2312" w:hAnsi="仿宋_GB2312" w:eastAsia="仿宋_GB2312" w:cs="仿宋_GB2312"/>
          <w:sz w:val="24"/>
          <w:szCs w:val="24"/>
        </w:rPr>
        <w:t>注: 1、报价一经涂改，应在涂改处加盖单位公章或者由法定代表人或授权委托人签字或盖章，否则其投标作无效标处理。</w:t>
      </w:r>
    </w:p>
    <w:p>
      <w:pPr>
        <w:adjustRightIn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2、完成本项目招标范围内所有服务的全部费用。</w:t>
      </w:r>
    </w:p>
    <w:p>
      <w:pPr>
        <w:adjustRightIn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3、项目须附详细的投标报价明细表，投标报价明细表中金额和报价一览表金额一致。</w:t>
      </w:r>
    </w:p>
    <w:p>
      <w:pPr>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投标人（盖单位章）：</w:t>
      </w:r>
    </w:p>
    <w:p>
      <w:pPr>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w:t>
      </w:r>
      <w:r>
        <w:rPr>
          <w:rFonts w:hint="eastAsia" w:ascii="仿宋_GB2312" w:hAnsi="仿宋_GB2312" w:eastAsia="仿宋_GB2312" w:cs="仿宋_GB2312"/>
          <w:sz w:val="32"/>
          <w:szCs w:val="32"/>
          <w:u w:val="single"/>
        </w:rPr>
        <w:t xml:space="preserve">       </w:t>
      </w:r>
    </w:p>
    <w:p>
      <w:pPr>
        <w:adjustRightInd w:val="0"/>
        <w:jc w:val="right"/>
        <w:rPr>
          <w:rFonts w:ascii="仿宋_GB2312" w:hAnsi="仿宋_GB2312" w:eastAsia="仿宋_GB2312" w:cs="仿宋_GB2312"/>
          <w:b/>
          <w:sz w:val="32"/>
          <w:szCs w:val="32"/>
        </w:rPr>
      </w:pPr>
      <w:bookmarkStart w:id="126" w:name="_Toc446500173"/>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bookmarkEnd w:id="126"/>
    </w:p>
    <w:p>
      <w:pPr>
        <w:adjustRightInd w:val="0"/>
        <w:ind w:right="24"/>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Cs/>
          <w:sz w:val="32"/>
          <w:szCs w:val="32"/>
        </w:rPr>
        <w:t>附件4</w:t>
      </w:r>
    </w:p>
    <w:p>
      <w:pPr>
        <w:adjustRightInd w:val="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投标报价明细表 </w:t>
      </w:r>
    </w:p>
    <w:p>
      <w:pPr>
        <w:adjustRightInd w:val="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（格式自拟）</w:t>
      </w:r>
    </w:p>
    <w:p>
      <w:pPr>
        <w:adjustRightInd w:val="0"/>
        <w:ind w:left="-88" w:leftChars="-42"/>
        <w:rPr>
          <w:rFonts w:ascii="仿宋_GB2312" w:hAnsi="仿宋_GB2312" w:eastAsia="仿宋_GB2312" w:cs="仿宋_GB2312"/>
          <w:sz w:val="32"/>
          <w:szCs w:val="32"/>
        </w:rPr>
      </w:pPr>
    </w:p>
    <w:p>
      <w:pPr>
        <w:adjustRightInd w:val="0"/>
        <w:ind w:left="-88" w:leftChars="-42"/>
        <w:rPr>
          <w:rFonts w:ascii="仿宋_GB2312" w:hAnsi="仿宋_GB2312" w:eastAsia="仿宋_GB2312" w:cs="仿宋_GB2312"/>
          <w:sz w:val="32"/>
          <w:szCs w:val="32"/>
        </w:rPr>
      </w:pPr>
    </w:p>
    <w:p>
      <w:pPr>
        <w:adjustRightInd w:val="0"/>
        <w:ind w:left="-88" w:leftChars="-42"/>
        <w:rPr>
          <w:rFonts w:ascii="仿宋_GB2312" w:hAnsi="仿宋_GB2312" w:eastAsia="仿宋_GB2312" w:cs="仿宋_GB2312"/>
          <w:sz w:val="32"/>
          <w:szCs w:val="32"/>
        </w:rPr>
      </w:pPr>
    </w:p>
    <w:p>
      <w:pPr>
        <w:adjustRightInd w:val="0"/>
        <w:ind w:left="-88" w:leftChars="-42"/>
        <w:rPr>
          <w:rFonts w:ascii="仿宋_GB2312" w:hAnsi="仿宋_GB2312" w:eastAsia="仿宋_GB2312" w:cs="仿宋_GB2312"/>
          <w:sz w:val="32"/>
          <w:szCs w:val="32"/>
        </w:rPr>
      </w:pPr>
      <w:r>
        <w:rPr>
          <w:rFonts w:hint="eastAsia" w:ascii="仿宋_GB2312" w:hAnsi="仿宋_GB2312" w:eastAsia="仿宋_GB2312" w:cs="仿宋_GB2312"/>
          <w:sz w:val="32"/>
          <w:szCs w:val="32"/>
        </w:rPr>
        <w:t>注：1、报价单中应有成本分析、人员安排表等详细信息。</w:t>
      </w:r>
    </w:p>
    <w:p>
      <w:pPr>
        <w:adjustRightInd w:val="0"/>
        <w:rPr>
          <w:rFonts w:ascii="仿宋_GB2312" w:hAnsi="仿宋_GB2312" w:eastAsia="仿宋_GB2312" w:cs="仿宋_GB2312"/>
          <w:sz w:val="32"/>
          <w:szCs w:val="32"/>
        </w:rPr>
      </w:pPr>
    </w:p>
    <w:p>
      <w:pPr>
        <w:adjustRightInd w:val="0"/>
        <w:rPr>
          <w:rFonts w:ascii="仿宋_GB2312" w:hAnsi="仿宋_GB2312" w:eastAsia="仿宋_GB2312" w:cs="仿宋_GB2312"/>
          <w:sz w:val="32"/>
          <w:szCs w:val="32"/>
        </w:rPr>
      </w:pPr>
    </w:p>
    <w:p>
      <w:pPr>
        <w:adjustRightInd w:val="0"/>
        <w:rPr>
          <w:rFonts w:ascii="仿宋_GB2312" w:hAnsi="仿宋_GB2312" w:eastAsia="仿宋_GB2312" w:cs="仿宋_GB2312"/>
          <w:sz w:val="32"/>
          <w:szCs w:val="32"/>
        </w:rPr>
      </w:pPr>
    </w:p>
    <w:p>
      <w:pPr>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投标人（盖单位章）：</w:t>
      </w:r>
    </w:p>
    <w:p>
      <w:pPr>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w:t>
      </w:r>
      <w:r>
        <w:rPr>
          <w:rFonts w:hint="eastAsia" w:ascii="仿宋_GB2312" w:hAnsi="仿宋_GB2312" w:eastAsia="仿宋_GB2312" w:cs="仿宋_GB2312"/>
          <w:sz w:val="32"/>
          <w:szCs w:val="32"/>
          <w:u w:val="single"/>
        </w:rPr>
        <w:t xml:space="preserve">       </w:t>
      </w:r>
    </w:p>
    <w:p>
      <w:pPr>
        <w:adjustRightInd w:val="0"/>
        <w:rPr>
          <w:rFonts w:ascii="仿宋_GB2312" w:hAnsi="仿宋_GB2312" w:eastAsia="仿宋_GB2312" w:cs="仿宋_GB2312"/>
          <w:b/>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b/>
          <w:sz w:val="32"/>
          <w:szCs w:val="32"/>
        </w:rPr>
        <w:t xml:space="preserve"> </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adjustRightInd w:val="0"/>
        <w:jc w:val="center"/>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报价一览表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 </w:t>
      </w:r>
    </w:p>
    <w:p>
      <w:pPr>
        <w:adjustRightInd w:val="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项目名称：</w:t>
      </w:r>
    </w:p>
    <w:p>
      <w:pPr>
        <w:adjustRightInd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项目编号：</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455"/>
        <w:gridCol w:w="4040"/>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0" w:hRule="atLeast"/>
          <w:jc w:val="center"/>
        </w:trPr>
        <w:tc>
          <w:tcPr>
            <w:tcW w:w="693"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6495" w:type="dxa"/>
            <w:gridSpan w:val="2"/>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内容</w:t>
            </w:r>
          </w:p>
        </w:tc>
        <w:tc>
          <w:tcPr>
            <w:tcW w:w="1299"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455" w:type="dxa"/>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4040" w:type="dxa"/>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32"/>
                <w:szCs w:val="32"/>
              </w:rPr>
            </w:pPr>
          </w:p>
        </w:tc>
        <w:tc>
          <w:tcPr>
            <w:tcW w:w="1299"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455" w:type="dxa"/>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投标内容</w:t>
            </w:r>
          </w:p>
        </w:tc>
        <w:tc>
          <w:tcPr>
            <w:tcW w:w="4040" w:type="dxa"/>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32"/>
                <w:szCs w:val="32"/>
              </w:rPr>
            </w:pPr>
          </w:p>
        </w:tc>
        <w:tc>
          <w:tcPr>
            <w:tcW w:w="1299"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45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投标报价</w:t>
            </w:r>
          </w:p>
        </w:tc>
        <w:tc>
          <w:tcPr>
            <w:tcW w:w="404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32"/>
                <w:szCs w:val="32"/>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45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交货</w:t>
            </w:r>
            <w:r>
              <w:rPr>
                <w:rFonts w:hint="eastAsia" w:ascii="仿宋_GB2312" w:hAnsi="仿宋_GB2312" w:eastAsia="仿宋_GB2312" w:cs="仿宋_GB2312"/>
                <w:sz w:val="32"/>
                <w:szCs w:val="32"/>
              </w:rPr>
              <w:t>期限</w:t>
            </w:r>
          </w:p>
        </w:tc>
        <w:tc>
          <w:tcPr>
            <w:tcW w:w="404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45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投标有效期</w:t>
            </w:r>
          </w:p>
        </w:tc>
        <w:tc>
          <w:tcPr>
            <w:tcW w:w="404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45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其他事项声明</w:t>
            </w:r>
          </w:p>
        </w:tc>
        <w:tc>
          <w:tcPr>
            <w:tcW w:w="4040"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32"/>
                <w:szCs w:val="32"/>
              </w:rPr>
            </w:pPr>
          </w:p>
        </w:tc>
        <w:tc>
          <w:tcPr>
            <w:tcW w:w="129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32"/>
                <w:szCs w:val="32"/>
              </w:rPr>
            </w:pPr>
          </w:p>
        </w:tc>
      </w:tr>
    </w:tbl>
    <w:p>
      <w:pPr>
        <w:adjustRightInd w:val="0"/>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 xml:space="preserve">注: </w:t>
      </w:r>
      <w:r>
        <w:rPr>
          <w:rFonts w:hint="eastAsia" w:ascii="仿宋_GB2312" w:hAnsi="仿宋_GB2312" w:eastAsia="仿宋_GB2312" w:cs="仿宋_GB2312"/>
          <w:b/>
          <w:bCs/>
          <w:sz w:val="32"/>
          <w:szCs w:val="32"/>
          <w:lang w:val="en-US" w:eastAsia="zh-CN"/>
        </w:rPr>
        <w:t>供应商须将此表加盖公章后带至开标现场填报；</w:t>
      </w:r>
    </w:p>
    <w:p>
      <w:pPr>
        <w:adjustRightInd w:val="0"/>
        <w:rPr>
          <w:rFonts w:ascii="仿宋_GB2312" w:hAnsi="仿宋_GB2312" w:eastAsia="仿宋_GB2312" w:cs="仿宋_GB2312"/>
          <w:sz w:val="32"/>
          <w:szCs w:val="32"/>
        </w:rPr>
      </w:pPr>
    </w:p>
    <w:p>
      <w:pPr>
        <w:adjustRightInd w:val="0"/>
        <w:rPr>
          <w:rFonts w:ascii="仿宋_GB2312" w:hAnsi="仿宋_GB2312" w:eastAsia="仿宋_GB2312" w:cs="仿宋_GB2312"/>
          <w:sz w:val="32"/>
          <w:szCs w:val="32"/>
        </w:rPr>
      </w:pPr>
    </w:p>
    <w:p>
      <w:pPr>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投标人（盖单位章）：</w:t>
      </w:r>
    </w:p>
    <w:p>
      <w:pPr>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bCs/>
          <w:sz w:val="32"/>
          <w:szCs w:val="32"/>
        </w:rPr>
        <w:br w:type="page"/>
      </w:r>
    </w:p>
    <w:p>
      <w:pPr>
        <w:adjustRightInd w:val="0"/>
        <w:ind w:right="24"/>
        <w:rPr>
          <w:rFonts w:ascii="仿宋_GB2312" w:hAnsi="仿宋_GB2312" w:eastAsia="仿宋_GB2312" w:cs="仿宋_GB2312"/>
          <w:sz w:val="32"/>
          <w:szCs w:val="32"/>
        </w:rPr>
      </w:pPr>
      <w:r>
        <w:rPr>
          <w:rFonts w:hint="eastAsia" w:ascii="仿宋_GB2312" w:hAnsi="仿宋_GB2312" w:eastAsia="仿宋_GB2312" w:cs="仿宋_GB2312"/>
          <w:bCs/>
          <w:sz w:val="32"/>
          <w:szCs w:val="32"/>
        </w:rPr>
        <w:t>附件5</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节能、环境标志产品优惠明细表</w:t>
      </w:r>
    </w:p>
    <w:p>
      <w:pPr>
        <w:ind w:firstLine="4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若有，请如实填写</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（1）节能产品明细清单</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5"/>
        <w:gridCol w:w="1365"/>
        <w:gridCol w:w="900"/>
        <w:gridCol w:w="1680"/>
        <w:gridCol w:w="1890"/>
        <w:gridCol w:w="600"/>
        <w:gridCol w:w="519"/>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制造商</w:t>
            </w:r>
          </w:p>
        </w:tc>
        <w:tc>
          <w:tcPr>
            <w:tcW w:w="4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品牌</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产品名称、规格型号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节字标志认证证书号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节能产品认证证书有效截止日期</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产品所在节能产品政府采购清单页码</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51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4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51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4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51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00"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合计金额</w:t>
            </w:r>
          </w:p>
        </w:tc>
        <w:tc>
          <w:tcPr>
            <w:tcW w:w="363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（2）环保产品明细清单</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1260"/>
        <w:gridCol w:w="1440"/>
        <w:gridCol w:w="1590"/>
        <w:gridCol w:w="510"/>
        <w:gridCol w:w="57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制造商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品牌</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产品名称、规格型号</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中国环境标志认证证书编号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认证证书有效截止日期</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产品所在环境标志产品政府采购清单页码</w:t>
            </w:r>
          </w:p>
        </w:tc>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5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5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5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5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0"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合计金额</w:t>
            </w:r>
          </w:p>
        </w:tc>
        <w:tc>
          <w:tcPr>
            <w:tcW w:w="342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32"/>
                <w:szCs w:val="32"/>
              </w:rPr>
            </w:pPr>
          </w:p>
        </w:tc>
      </w:tr>
    </w:tbl>
    <w:p>
      <w:pPr>
        <w:tabs>
          <w:tab w:val="left" w:pos="13000"/>
        </w:tabs>
        <w:rPr>
          <w:rFonts w:ascii="仿宋_GB2312" w:hAnsi="仿宋_GB2312" w:eastAsia="仿宋_GB2312" w:cs="仿宋_GB2312"/>
          <w:sz w:val="32"/>
          <w:szCs w:val="32"/>
        </w:rPr>
      </w:pPr>
      <w:r>
        <w:rPr>
          <w:rFonts w:hint="eastAsia" w:ascii="仿宋_GB2312" w:hAnsi="仿宋_GB2312" w:eastAsia="仿宋_GB2312" w:cs="仿宋_GB2312"/>
          <w:sz w:val="32"/>
          <w:szCs w:val="32"/>
        </w:rPr>
        <w:t>注：</w:t>
      </w:r>
    </w:p>
    <w:p>
      <w:pPr>
        <w:ind w:right="-153" w:rightChars="-73"/>
        <w:rPr>
          <w:rFonts w:ascii="仿宋_GB2312" w:hAnsi="仿宋_GB2312" w:eastAsia="仿宋_GB2312" w:cs="仿宋_GB2312"/>
          <w:sz w:val="32"/>
          <w:szCs w:val="32"/>
        </w:rPr>
      </w:pPr>
      <w:r>
        <w:rPr>
          <w:rFonts w:hint="eastAsia" w:ascii="仿宋_GB2312" w:hAnsi="仿宋_GB2312" w:eastAsia="仿宋_GB2312" w:cs="仿宋_GB2312"/>
          <w:sz w:val="32"/>
          <w:szCs w:val="32"/>
        </w:rPr>
        <w:t>1、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的节能产品。</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2、若无货物属于优先采购节能、环境标志产品的，则不填写此表。如不填写视同为无。</w:t>
      </w:r>
    </w:p>
    <w:p>
      <w:pPr>
        <w:adjustRightInd w:val="0"/>
        <w:rPr>
          <w:rFonts w:ascii="仿宋_GB2312" w:hAnsi="仿宋_GB2312" w:eastAsia="仿宋_GB2312" w:cs="仿宋_GB2312"/>
          <w:sz w:val="32"/>
          <w:szCs w:val="32"/>
        </w:rPr>
      </w:pPr>
    </w:p>
    <w:p>
      <w:pPr>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投标人（盖单位章）：</w:t>
      </w:r>
    </w:p>
    <w:p>
      <w:pPr>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w:t>
      </w:r>
      <w:r>
        <w:rPr>
          <w:rFonts w:hint="eastAsia" w:ascii="仿宋_GB2312" w:hAnsi="仿宋_GB2312" w:eastAsia="仿宋_GB2312" w:cs="仿宋_GB2312"/>
          <w:sz w:val="32"/>
          <w:szCs w:val="32"/>
          <w:u w:val="single"/>
        </w:rPr>
        <w:t xml:space="preserve">       </w:t>
      </w:r>
    </w:p>
    <w:p>
      <w:pPr>
        <w:adjustRightInd w:val="0"/>
        <w:ind w:right="24"/>
        <w:rPr>
          <w:rFonts w:ascii="仿宋_GB2312" w:hAnsi="仿宋_GB2312" w:eastAsia="仿宋_GB2312" w:cs="仿宋_GB2312"/>
          <w:bCs/>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adjustRightInd w:val="0"/>
        <w:ind w:right="24"/>
        <w:rPr>
          <w:rFonts w:ascii="仿宋_GB2312" w:hAnsi="仿宋_GB2312" w:eastAsia="仿宋_GB2312" w:cs="仿宋_GB2312"/>
          <w:bCs/>
          <w:sz w:val="32"/>
          <w:szCs w:val="32"/>
        </w:rPr>
      </w:pPr>
    </w:p>
    <w:p>
      <w:pPr>
        <w:adjustRightInd w:val="0"/>
        <w:ind w:right="24"/>
        <w:rPr>
          <w:rFonts w:ascii="仿宋_GB2312" w:hAnsi="仿宋_GB2312" w:eastAsia="仿宋_GB2312" w:cs="仿宋_GB2312"/>
          <w:bCs/>
          <w:sz w:val="32"/>
          <w:szCs w:val="32"/>
        </w:rPr>
        <w:sectPr>
          <w:pgSz w:w="11906" w:h="16838"/>
          <w:pgMar w:top="1440" w:right="1800" w:bottom="1440" w:left="1800" w:header="851" w:footer="992" w:gutter="0"/>
          <w:cols w:space="720" w:num="1"/>
          <w:docGrid w:type="lines" w:linePitch="312" w:charSpace="0"/>
        </w:sectPr>
      </w:pPr>
    </w:p>
    <w:p>
      <w:pPr>
        <w:adjustRightInd w:val="0"/>
        <w:ind w:right="24"/>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附件6</w:t>
      </w:r>
    </w:p>
    <w:p>
      <w:pPr>
        <w:adjustRightInd w:val="0"/>
        <w:ind w:right="24"/>
        <w:jc w:val="center"/>
        <w:rPr>
          <w:rFonts w:ascii="仿宋_GB2312" w:hAnsi="仿宋_GB2312" w:eastAsia="仿宋_GB2312" w:cs="仿宋_GB2312"/>
          <w:sz w:val="32"/>
          <w:szCs w:val="32"/>
        </w:rPr>
      </w:pPr>
    </w:p>
    <w:p>
      <w:pPr>
        <w:adjustRightInd w:val="0"/>
        <w:ind w:right="24"/>
        <w:jc w:val="center"/>
        <w:rPr>
          <w:rFonts w:ascii="仿宋_GB2312" w:hAnsi="仿宋_GB2312" w:eastAsia="仿宋_GB2312" w:cs="仿宋_GB2312"/>
          <w:bCs/>
          <w:sz w:val="32"/>
          <w:szCs w:val="32"/>
        </w:rPr>
      </w:pPr>
      <w:r>
        <w:rPr>
          <w:rFonts w:hint="eastAsia" w:ascii="仿宋_GB2312" w:hAnsi="仿宋_GB2312" w:eastAsia="仿宋_GB2312" w:cs="仿宋_GB2312"/>
          <w:sz w:val="32"/>
          <w:szCs w:val="32"/>
        </w:rPr>
        <w:t>节能、环境标志产品证明材料</w:t>
      </w:r>
    </w:p>
    <w:p>
      <w:pPr>
        <w:adjustRightInd w:val="0"/>
        <w:ind w:right="24"/>
        <w:rPr>
          <w:rFonts w:ascii="仿宋_GB2312" w:hAnsi="仿宋_GB2312" w:eastAsia="仿宋_GB2312" w:cs="仿宋_GB2312"/>
          <w:bCs/>
          <w:sz w:val="32"/>
          <w:szCs w:val="32"/>
        </w:rPr>
      </w:pP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1.节能产品：应在</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中国政府采购网（ ht tp://www.ccgp.gov.cn ）</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国家发展改革委网站（ http://hzs.ndrc.gov.cn ）</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中国质量认证心网站（ http://www.cqc.com.cn ）</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2.环境标志产品：应在</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中国政府采购网（ http://www.ccgp.gov.cn ）</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国家环境保护部网（ http://www.sepa.gov.cn ）</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中国绿色采购网（ http://www.cgpn.cn ）</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3.属优先采购节能、环境标志产品须从以上权威媒体网站上下载的网页公告、目录清单、证书等，并注出所在位置。</w:t>
      </w:r>
    </w:p>
    <w:p>
      <w:pPr>
        <w:ind w:firstLine="420"/>
        <w:rPr>
          <w:rFonts w:ascii="仿宋_GB2312" w:hAnsi="仿宋_GB2312" w:eastAsia="仿宋_GB2312" w:cs="仿宋_GB2312"/>
          <w:b/>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4.证明材料加盖投标人公章。</w:t>
      </w:r>
    </w:p>
    <w:p>
      <w:pPr>
        <w:adjustRightInd w:val="0"/>
        <w:ind w:right="24"/>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附件7</w:t>
      </w:r>
    </w:p>
    <w:p>
      <w:pPr>
        <w:spacing w:line="440" w:lineRule="exact"/>
        <w:rPr>
          <w:rFonts w:ascii="仿宋_GB2312" w:hAnsi="仿宋_GB2312" w:eastAsia="仿宋_GB2312" w:cs="仿宋_GB2312"/>
          <w:sz w:val="32"/>
          <w:szCs w:val="32"/>
        </w:rPr>
      </w:pPr>
    </w:p>
    <w:p>
      <w:pPr>
        <w:spacing w:line="44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中小企业生产或销售的产品优惠明细表</w:t>
      </w:r>
    </w:p>
    <w:p>
      <w:pPr>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bCs/>
          <w:sz w:val="32"/>
          <w:szCs w:val="32"/>
        </w:rPr>
        <w:t>（若有，请如实填写）</w:t>
      </w:r>
    </w:p>
    <w:tbl>
      <w:tblPr>
        <w:tblStyle w:val="26"/>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11"/>
        <w:gridCol w:w="806"/>
        <w:gridCol w:w="762"/>
        <w:gridCol w:w="841"/>
        <w:gridCol w:w="1589"/>
        <w:gridCol w:w="108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1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84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589"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标段（包）</w:t>
            </w:r>
          </w:p>
        </w:tc>
        <w:tc>
          <w:tcPr>
            <w:tcW w:w="161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小型和微型企业产品名称</w:t>
            </w: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单价（元）</w:t>
            </w:r>
          </w:p>
        </w:tc>
        <w:tc>
          <w:tcPr>
            <w:tcW w:w="84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合价（元）</w:t>
            </w:r>
          </w:p>
        </w:tc>
        <w:tc>
          <w:tcPr>
            <w:tcW w:w="1589"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价格评审扣除金额（元）</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品牌型号规格</w:t>
            </w: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制造商</w:t>
            </w:r>
          </w:p>
          <w:p>
            <w:pPr>
              <w:tabs>
                <w:tab w:val="left" w:pos="535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6" w:type="dxa"/>
            <w:vMerge w:val="restart"/>
            <w:tcBorders>
              <w:top w:val="single" w:color="auto" w:sz="4" w:space="0"/>
              <w:left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611" w:type="dxa"/>
            <w:tcBorders>
              <w:top w:val="single" w:color="auto" w:sz="4" w:space="0"/>
              <w:left w:val="single" w:color="auto" w:sz="4" w:space="0"/>
              <w:bottom w:val="single" w:color="auto" w:sz="4" w:space="0"/>
              <w:right w:val="single" w:color="auto" w:sz="4" w:space="0"/>
            </w:tcBorders>
          </w:tcPr>
          <w:p>
            <w:pPr>
              <w:tabs>
                <w:tab w:val="left" w:pos="5355"/>
              </w:tabs>
              <w:spacing w:line="440" w:lineRule="exact"/>
              <w:jc w:val="center"/>
              <w:rPr>
                <w:rFonts w:ascii="仿宋_GB2312" w:hAnsi="仿宋_GB2312" w:eastAsia="仿宋_GB2312" w:cs="仿宋_GB2312"/>
                <w:sz w:val="32"/>
                <w:szCs w:val="32"/>
              </w:rPr>
            </w:pP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84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589"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6" w:type="dxa"/>
            <w:vMerge w:val="continue"/>
            <w:tcBorders>
              <w:left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611" w:type="dxa"/>
            <w:tcBorders>
              <w:top w:val="single" w:color="auto" w:sz="4" w:space="0"/>
              <w:left w:val="single" w:color="auto" w:sz="4" w:space="0"/>
              <w:bottom w:val="single" w:color="auto" w:sz="4" w:space="0"/>
              <w:right w:val="single" w:color="auto" w:sz="4" w:space="0"/>
            </w:tcBorders>
          </w:tcPr>
          <w:p>
            <w:pPr>
              <w:tabs>
                <w:tab w:val="left" w:pos="5355"/>
              </w:tabs>
              <w:spacing w:line="440" w:lineRule="exact"/>
              <w:jc w:val="center"/>
              <w:rPr>
                <w:rFonts w:ascii="仿宋_GB2312" w:hAnsi="仿宋_GB2312" w:eastAsia="仿宋_GB2312" w:cs="仿宋_GB2312"/>
                <w:sz w:val="32"/>
                <w:szCs w:val="32"/>
              </w:rPr>
            </w:pP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84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589"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6" w:type="dxa"/>
            <w:vMerge w:val="continue"/>
            <w:tcBorders>
              <w:left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611" w:type="dxa"/>
            <w:tcBorders>
              <w:top w:val="single" w:color="auto" w:sz="4" w:space="0"/>
              <w:left w:val="single" w:color="auto" w:sz="4" w:space="0"/>
              <w:bottom w:val="single" w:color="auto" w:sz="4" w:space="0"/>
              <w:right w:val="single" w:color="auto" w:sz="4" w:space="0"/>
            </w:tcBorders>
          </w:tcPr>
          <w:p>
            <w:pPr>
              <w:tabs>
                <w:tab w:val="left" w:pos="5355"/>
              </w:tabs>
              <w:spacing w:line="440" w:lineRule="exact"/>
              <w:jc w:val="center"/>
              <w:rPr>
                <w:rFonts w:ascii="仿宋_GB2312" w:hAnsi="仿宋_GB2312" w:eastAsia="仿宋_GB2312" w:cs="仿宋_GB2312"/>
                <w:sz w:val="32"/>
                <w:szCs w:val="32"/>
              </w:rPr>
            </w:pP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84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589"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6" w:type="dxa"/>
            <w:vMerge w:val="continue"/>
            <w:tcBorders>
              <w:left w:val="single" w:color="auto" w:sz="4" w:space="0"/>
              <w:right w:val="single" w:color="auto" w:sz="4" w:space="0"/>
            </w:tcBorders>
            <w:vAlign w:val="center"/>
          </w:tcPr>
          <w:p>
            <w:pPr>
              <w:tabs>
                <w:tab w:val="left" w:pos="5355"/>
              </w:tabs>
              <w:spacing w:line="440" w:lineRule="exact"/>
              <w:jc w:val="center"/>
              <w:rPr>
                <w:rFonts w:ascii="仿宋_GB2312" w:hAnsi="仿宋_GB2312" w:eastAsia="仿宋_GB2312" w:cs="仿宋_GB2312"/>
                <w:sz w:val="32"/>
                <w:szCs w:val="32"/>
              </w:rPr>
            </w:pPr>
          </w:p>
        </w:tc>
        <w:tc>
          <w:tcPr>
            <w:tcW w:w="7756" w:type="dxa"/>
            <w:gridSpan w:val="7"/>
            <w:tcBorders>
              <w:top w:val="single" w:color="auto" w:sz="4" w:space="0"/>
              <w:left w:val="single" w:color="auto" w:sz="4" w:space="0"/>
              <w:bottom w:val="single" w:color="auto" w:sz="4" w:space="0"/>
              <w:right w:val="single" w:color="auto" w:sz="4" w:space="0"/>
            </w:tcBorders>
            <w:vAlign w:val="center"/>
          </w:tcPr>
          <w:p>
            <w:pPr>
              <w:tabs>
                <w:tab w:val="left" w:pos="5355"/>
              </w:tabs>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本标段（包）总计：           （元）</w:t>
            </w:r>
          </w:p>
        </w:tc>
      </w:tr>
    </w:tbl>
    <w:p>
      <w:pPr>
        <w:pStyle w:val="51"/>
        <w:spacing w:line="440" w:lineRule="exact"/>
        <w:ind w:left="0" w:firstLine="0"/>
        <w:rPr>
          <w:rFonts w:ascii="仿宋_GB2312" w:hAnsi="仿宋_GB2312" w:eastAsia="仿宋_GB2312" w:cs="仿宋_GB2312"/>
          <w:bCs/>
          <w:sz w:val="32"/>
          <w:szCs w:val="32"/>
        </w:rPr>
      </w:pPr>
      <w:r>
        <w:rPr>
          <w:rFonts w:hint="eastAsia" w:ascii="仿宋_GB2312" w:hAnsi="仿宋_GB2312" w:eastAsia="仿宋_GB2312" w:cs="仿宋_GB2312"/>
          <w:sz w:val="32"/>
          <w:szCs w:val="32"/>
        </w:rPr>
        <w:t xml:space="preserve">      </w:t>
      </w:r>
    </w:p>
    <w:p>
      <w:pPr>
        <w:tabs>
          <w:tab w:val="left" w:pos="13000"/>
        </w:tabs>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注：</w:t>
      </w:r>
    </w:p>
    <w:p>
      <w:pPr>
        <w:spacing w:line="44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1、当一个标段（包）内有多个属于小型和微型企业的产品时， 供应商应按品目号详细填写。</w:t>
      </w:r>
    </w:p>
    <w:p>
      <w:pPr>
        <w:spacing w:line="44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2、栏目6=栏目5×招标文件规定的价格扣除比率的优惠幅度。</w:t>
      </w:r>
    </w:p>
    <w:p>
      <w:pPr>
        <w:spacing w:line="44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3、若所投的产品不具备此类评审优惠条件，本“中小价格扣除明细表” 不必填写。如不填写视同为无。</w:t>
      </w:r>
    </w:p>
    <w:p>
      <w:pPr>
        <w:spacing w:line="440" w:lineRule="exact"/>
        <w:ind w:firstLine="600"/>
        <w:rPr>
          <w:rFonts w:ascii="仿宋_GB2312" w:hAnsi="仿宋_GB2312" w:eastAsia="仿宋_GB2312" w:cs="仿宋_GB2312"/>
          <w:sz w:val="32"/>
          <w:szCs w:val="32"/>
        </w:rPr>
      </w:pPr>
    </w:p>
    <w:p>
      <w:pPr>
        <w:adjustRightInd w:val="0"/>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投标人（盖单位章）：</w:t>
      </w:r>
    </w:p>
    <w:p>
      <w:pPr>
        <w:adjustRightInd w:val="0"/>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w:t>
      </w:r>
      <w:r>
        <w:rPr>
          <w:rFonts w:hint="eastAsia" w:ascii="仿宋_GB2312" w:hAnsi="仿宋_GB2312" w:eastAsia="仿宋_GB2312" w:cs="仿宋_GB2312"/>
          <w:sz w:val="32"/>
          <w:szCs w:val="32"/>
          <w:u w:val="single"/>
        </w:rPr>
        <w:t xml:space="preserve">       </w:t>
      </w:r>
    </w:p>
    <w:p>
      <w:pPr>
        <w:adjustRightInd w:val="0"/>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adjustRightInd w:val="0"/>
        <w:spacing w:line="440" w:lineRule="exact"/>
        <w:jc w:val="center"/>
        <w:rPr>
          <w:rFonts w:ascii="仿宋_GB2312" w:hAnsi="仿宋_GB2312" w:eastAsia="仿宋_GB2312" w:cs="仿宋_GB2312"/>
          <w:b/>
          <w:sz w:val="32"/>
          <w:szCs w:val="32"/>
        </w:rPr>
      </w:pPr>
    </w:p>
    <w:p>
      <w:pPr>
        <w:adjustRightInd w:val="0"/>
        <w:ind w:right="24"/>
        <w:rPr>
          <w:rFonts w:ascii="仿宋_GB2312" w:hAnsi="仿宋_GB2312" w:eastAsia="仿宋_GB2312" w:cs="仿宋_GB2312"/>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Cs/>
          <w:sz w:val="32"/>
          <w:szCs w:val="32"/>
        </w:rPr>
        <w:t>附件8</w:t>
      </w:r>
    </w:p>
    <w:p>
      <w:pPr>
        <w:tabs>
          <w:tab w:val="left" w:pos="3600"/>
        </w:tabs>
        <w:adjustRightInd w:val="0"/>
        <w:spacing w:line="440" w:lineRule="exact"/>
        <w:jc w:val="center"/>
        <w:rPr>
          <w:rFonts w:ascii="仿宋_GB2312" w:hAnsi="仿宋_GB2312" w:eastAsia="仿宋_GB2312" w:cs="仿宋_GB2312"/>
          <w:spacing w:val="6"/>
          <w:kern w:val="0"/>
          <w:sz w:val="32"/>
          <w:szCs w:val="32"/>
        </w:rPr>
      </w:pPr>
      <w:r>
        <w:rPr>
          <w:rFonts w:hint="eastAsia" w:ascii="仿宋_GB2312" w:hAnsi="仿宋_GB2312" w:eastAsia="仿宋_GB2312" w:cs="仿宋_GB2312"/>
          <w:bCs/>
          <w:spacing w:val="6"/>
          <w:kern w:val="0"/>
          <w:sz w:val="32"/>
          <w:szCs w:val="32"/>
        </w:rPr>
        <w:t>中小企业声明函</w:t>
      </w:r>
    </w:p>
    <w:p>
      <w:pPr>
        <w:widowControl/>
        <w:adjustRightInd w:val="0"/>
        <w:spacing w:line="440" w:lineRule="exact"/>
        <w:ind w:firstLine="664"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本公司郑重声明，根据《政府采购促进中小企业发展暂行办法》（财库[2011]181号）的规定，本公司为</w:t>
      </w:r>
      <w:r>
        <w:rPr>
          <w:rFonts w:hint="eastAsia" w:ascii="仿宋_GB2312" w:hAnsi="仿宋_GB2312" w:eastAsia="仿宋_GB2312" w:cs="仿宋_GB2312"/>
          <w:spacing w:val="6"/>
          <w:kern w:val="0"/>
          <w:sz w:val="32"/>
          <w:szCs w:val="32"/>
          <w:u w:val="single"/>
        </w:rPr>
        <w:t xml:space="preserve">    </w:t>
      </w:r>
      <w:r>
        <w:rPr>
          <w:rFonts w:hint="eastAsia" w:ascii="仿宋_GB2312" w:hAnsi="仿宋_GB2312" w:eastAsia="仿宋_GB2312" w:cs="仿宋_GB2312"/>
          <w:spacing w:val="6"/>
          <w:kern w:val="0"/>
          <w:sz w:val="32"/>
          <w:szCs w:val="32"/>
        </w:rPr>
        <w:t>（请填写：中型、小型、微型）企业。即，本公司同时满足以下条件：</w:t>
      </w:r>
    </w:p>
    <w:p>
      <w:pPr>
        <w:widowControl/>
        <w:adjustRightInd w:val="0"/>
        <w:spacing w:line="440" w:lineRule="exact"/>
        <w:ind w:firstLine="664"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1.根据《工业和信息化部、国家统计局、国家发展和改革委员会、财政部关于印发中小企业划型标准规定的通知》（工信部联企业[2011]300号）规定的划分标准，本公司为</w:t>
      </w:r>
      <w:r>
        <w:rPr>
          <w:rFonts w:hint="eastAsia" w:ascii="仿宋_GB2312" w:hAnsi="仿宋_GB2312" w:eastAsia="仿宋_GB2312" w:cs="仿宋_GB2312"/>
          <w:spacing w:val="6"/>
          <w:kern w:val="0"/>
          <w:sz w:val="32"/>
          <w:szCs w:val="32"/>
          <w:u w:val="single"/>
        </w:rPr>
        <w:t xml:space="preserve">     </w:t>
      </w:r>
      <w:r>
        <w:rPr>
          <w:rFonts w:hint="eastAsia" w:ascii="仿宋_GB2312" w:hAnsi="仿宋_GB2312" w:eastAsia="仿宋_GB2312" w:cs="仿宋_GB2312"/>
          <w:spacing w:val="6"/>
          <w:kern w:val="0"/>
          <w:sz w:val="32"/>
          <w:szCs w:val="32"/>
        </w:rPr>
        <w:t>（请填写：中型、小型、微型）企业。</w:t>
      </w:r>
    </w:p>
    <w:p>
      <w:pPr>
        <w:widowControl/>
        <w:adjustRightInd w:val="0"/>
        <w:spacing w:line="440" w:lineRule="exact"/>
        <w:ind w:firstLine="664"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2.本公司参加</w:t>
      </w:r>
      <w:r>
        <w:rPr>
          <w:rFonts w:hint="eastAsia" w:ascii="仿宋_GB2312" w:hAnsi="仿宋_GB2312" w:eastAsia="仿宋_GB2312" w:cs="仿宋_GB2312"/>
          <w:spacing w:val="6"/>
          <w:kern w:val="0"/>
          <w:sz w:val="32"/>
          <w:szCs w:val="32"/>
          <w:u w:val="single"/>
        </w:rPr>
        <w:t xml:space="preserve">            </w:t>
      </w:r>
      <w:r>
        <w:rPr>
          <w:rFonts w:hint="eastAsia" w:ascii="仿宋_GB2312" w:hAnsi="仿宋_GB2312" w:eastAsia="仿宋_GB2312" w:cs="仿宋_GB2312"/>
          <w:spacing w:val="6"/>
          <w:kern w:val="0"/>
          <w:sz w:val="32"/>
          <w:szCs w:val="32"/>
        </w:rPr>
        <w:t>单位的</w:t>
      </w:r>
      <w:r>
        <w:rPr>
          <w:rFonts w:hint="eastAsia" w:ascii="仿宋_GB2312" w:hAnsi="仿宋_GB2312" w:eastAsia="仿宋_GB2312" w:cs="仿宋_GB2312"/>
          <w:spacing w:val="6"/>
          <w:kern w:val="0"/>
          <w:sz w:val="32"/>
          <w:szCs w:val="32"/>
          <w:u w:val="single"/>
        </w:rPr>
        <w:t xml:space="preserve">            </w:t>
      </w:r>
      <w:r>
        <w:rPr>
          <w:rFonts w:hint="eastAsia" w:ascii="仿宋_GB2312" w:hAnsi="仿宋_GB2312" w:eastAsia="仿宋_GB2312" w:cs="仿宋_GB2312"/>
          <w:spacing w:val="6"/>
          <w:kern w:val="0"/>
          <w:sz w:val="32"/>
          <w:szCs w:val="32"/>
        </w:rPr>
        <w:t xml:space="preserve"> 项目采购活动提供本企业制造的货物，由本企业承担工程、提供服务，或者提供其他</w:t>
      </w:r>
      <w:r>
        <w:rPr>
          <w:rFonts w:hint="eastAsia" w:ascii="仿宋_GB2312" w:hAnsi="仿宋_GB2312" w:eastAsia="仿宋_GB2312" w:cs="仿宋_GB2312"/>
          <w:spacing w:val="6"/>
          <w:kern w:val="0"/>
          <w:sz w:val="32"/>
          <w:szCs w:val="32"/>
          <w:u w:val="single"/>
        </w:rPr>
        <w:t xml:space="preserve">     </w:t>
      </w:r>
      <w:r>
        <w:rPr>
          <w:rFonts w:hint="eastAsia" w:ascii="仿宋_GB2312" w:hAnsi="仿宋_GB2312" w:eastAsia="仿宋_GB2312" w:cs="仿宋_GB2312"/>
          <w:spacing w:val="6"/>
          <w:kern w:val="0"/>
          <w:sz w:val="32"/>
          <w:szCs w:val="32"/>
        </w:rPr>
        <w:t>（请填写：中型、小型、微型）企业制造的货物。本条所称货物不包括使用大型企业注册商标的货物。</w:t>
      </w:r>
    </w:p>
    <w:p>
      <w:pPr>
        <w:widowControl/>
        <w:adjustRightInd w:val="0"/>
        <w:spacing w:line="440" w:lineRule="exact"/>
        <w:ind w:firstLine="664"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本公司对上述声明的真实性负责。如有虚假，将依法承担相应责任。</w:t>
      </w:r>
    </w:p>
    <w:p>
      <w:pPr>
        <w:widowControl/>
        <w:adjustRightInd w:val="0"/>
        <w:spacing w:line="440" w:lineRule="exact"/>
        <w:ind w:firstLine="640" w:firstLineChars="200"/>
        <w:jc w:val="left"/>
        <w:rPr>
          <w:rFonts w:ascii="仿宋_GB2312" w:hAnsi="仿宋_GB2312" w:eastAsia="仿宋_GB2312" w:cs="仿宋_GB2312"/>
          <w:kern w:val="0"/>
          <w:sz w:val="32"/>
          <w:szCs w:val="32"/>
        </w:rPr>
      </w:pPr>
    </w:p>
    <w:p>
      <w:pPr>
        <w:widowControl/>
        <w:adjustRightInd w:val="0"/>
        <w:spacing w:line="440" w:lineRule="exact"/>
        <w:ind w:firstLine="664" w:firstLineChars="200"/>
        <w:jc w:val="center"/>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 xml:space="preserve">            供应商名称（盖单位章）： </w:t>
      </w:r>
    </w:p>
    <w:p>
      <w:pPr>
        <w:widowControl/>
        <w:adjustRightInd w:val="0"/>
        <w:spacing w:line="440" w:lineRule="exact"/>
        <w:ind w:firstLine="664" w:firstLineChars="200"/>
        <w:jc w:val="center"/>
        <w:rPr>
          <w:rFonts w:ascii="仿宋_GB2312" w:hAnsi="仿宋_GB2312" w:eastAsia="仿宋_GB2312" w:cs="仿宋_GB2312"/>
          <w:sz w:val="32"/>
          <w:szCs w:val="32"/>
        </w:rPr>
      </w:pPr>
      <w:r>
        <w:rPr>
          <w:rFonts w:hint="eastAsia" w:ascii="仿宋_GB2312" w:hAnsi="仿宋_GB2312" w:eastAsia="仿宋_GB2312" w:cs="仿宋_GB2312"/>
          <w:spacing w:val="6"/>
          <w:kern w:val="0"/>
          <w:sz w:val="32"/>
          <w:szCs w:val="32"/>
        </w:rPr>
        <w:t xml:space="preserve">             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widowControl/>
        <w:adjustRightInd w:val="0"/>
        <w:spacing w:line="440" w:lineRule="exact"/>
        <w:ind w:firstLine="640" w:firstLineChars="200"/>
        <w:jc w:val="center"/>
        <w:rPr>
          <w:rFonts w:ascii="仿宋_GB2312" w:hAnsi="仿宋_GB2312" w:eastAsia="仿宋_GB2312" w:cs="仿宋_GB2312"/>
          <w:sz w:val="32"/>
          <w:szCs w:val="32"/>
        </w:rPr>
      </w:pPr>
    </w:p>
    <w:p>
      <w:pPr>
        <w:adjustRightInd w:val="0"/>
        <w:spacing w:line="440" w:lineRule="exact"/>
        <w:ind w:firstLine="800" w:firstLineChars="250"/>
        <w:rPr>
          <w:rFonts w:ascii="仿宋_GB2312" w:hAnsi="仿宋_GB2312" w:eastAsia="仿宋_GB2312" w:cs="仿宋_GB2312"/>
          <w:sz w:val="32"/>
          <w:szCs w:val="32"/>
        </w:rPr>
      </w:pPr>
    </w:p>
    <w:p>
      <w:pPr>
        <w:adjustRightInd w:val="0"/>
        <w:spacing w:line="440" w:lineRule="exact"/>
        <w:ind w:firstLine="800" w:firstLineChars="250"/>
        <w:rPr>
          <w:rFonts w:ascii="仿宋_GB2312" w:hAnsi="仿宋_GB2312" w:eastAsia="仿宋_GB2312" w:cs="仿宋_GB2312"/>
          <w:sz w:val="32"/>
          <w:szCs w:val="32"/>
        </w:rPr>
      </w:pPr>
    </w:p>
    <w:p>
      <w:pPr>
        <w:adjustRightInd w:val="0"/>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说明：1、填写前请认真阅读</w:t>
      </w:r>
      <w:r>
        <w:rPr>
          <w:rFonts w:hint="eastAsia" w:ascii="仿宋_GB2312" w:hAnsi="仿宋_GB2312" w:eastAsia="仿宋_GB2312" w:cs="仿宋_GB2312"/>
          <w:spacing w:val="6"/>
          <w:kern w:val="0"/>
          <w:sz w:val="32"/>
          <w:szCs w:val="32"/>
        </w:rPr>
        <w:t>《工业和信息化部、国家统计局、国家发展和改革委员会、财政部关于印发中小企业划型标准规定的通知》（工信部联企业[2011]300号）和</w:t>
      </w:r>
      <w:r>
        <w:rPr>
          <w:rFonts w:hint="eastAsia" w:ascii="仿宋_GB2312" w:hAnsi="仿宋_GB2312" w:eastAsia="仿宋_GB2312" w:cs="仿宋_GB2312"/>
          <w:spacing w:val="6"/>
          <w:sz w:val="32"/>
          <w:szCs w:val="32"/>
        </w:rPr>
        <w:t>《财政部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工业和信息化部</w:t>
      </w:r>
      <w:r>
        <w:rPr>
          <w:rFonts w:hint="eastAsia" w:ascii="仿宋_GB2312" w:hAnsi="仿宋_GB2312" w:eastAsia="仿宋_GB2312" w:cs="仿宋_GB2312"/>
          <w:bCs/>
          <w:sz w:val="32"/>
          <w:szCs w:val="32"/>
        </w:rPr>
        <w:t>关于印发＜政府采购促进中小企业发展暂行办法＞的通知》(</w:t>
      </w:r>
      <w:r>
        <w:rPr>
          <w:rFonts w:hint="eastAsia" w:ascii="仿宋_GB2312" w:hAnsi="仿宋_GB2312" w:eastAsia="仿宋_GB2312" w:cs="仿宋_GB2312"/>
          <w:sz w:val="32"/>
          <w:szCs w:val="32"/>
        </w:rPr>
        <w:t>财库[2011]181号)相关规定。</w:t>
      </w:r>
    </w:p>
    <w:p>
      <w:pPr>
        <w:adjustRightInd w:val="0"/>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2、中小企业部分提供其他中小企业制造货物的应另附说明，并与后面的报价一栏表保持一致。</w:t>
      </w:r>
    </w:p>
    <w:p>
      <w:pPr>
        <w:adjustRightInd w:val="0"/>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3、未按上述要求提供、填写的，评审时不予以考虑。</w:t>
      </w:r>
    </w:p>
    <w:p>
      <w:pPr>
        <w:tabs>
          <w:tab w:val="left" w:pos="3600"/>
        </w:tabs>
        <w:adjustRightInd w:val="0"/>
        <w:jc w:val="center"/>
        <w:rPr>
          <w:rFonts w:ascii="仿宋_GB2312" w:hAnsi="仿宋_GB2312" w:eastAsia="仿宋_GB2312" w:cs="仿宋_GB2312"/>
          <w:b/>
          <w:bCs/>
          <w:spacing w:val="6"/>
          <w:kern w:val="0"/>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Cs/>
          <w:spacing w:val="6"/>
          <w:kern w:val="0"/>
          <w:sz w:val="32"/>
          <w:szCs w:val="32"/>
        </w:rPr>
        <w:t>残疾人福利性单位声明函</w:t>
      </w:r>
    </w:p>
    <w:p>
      <w:pPr>
        <w:autoSpaceDE w:val="0"/>
        <w:autoSpaceDN w:val="0"/>
        <w:adjustRightInd w:val="0"/>
        <w:rPr>
          <w:rFonts w:ascii="仿宋_GB2312" w:hAnsi="仿宋_GB2312" w:eastAsia="仿宋_GB2312" w:cs="仿宋_GB2312"/>
          <w:b/>
          <w:bCs/>
          <w:spacing w:val="6"/>
          <w:kern w:val="0"/>
          <w:sz w:val="32"/>
          <w:szCs w:val="32"/>
        </w:rPr>
      </w:pPr>
    </w:p>
    <w:p>
      <w:pPr>
        <w:autoSpaceDE w:val="0"/>
        <w:autoSpaceDN w:val="0"/>
        <w:adjustRightInd w:val="0"/>
        <w:ind w:firstLine="624"/>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lang w:val="zh-CN"/>
        </w:rPr>
        <w:t>本单位郑重声明，根据《财政部</w:t>
      </w:r>
      <w:r>
        <w:rPr>
          <w:rFonts w:hint="eastAsia" w:ascii="仿宋_GB2312" w:hAnsi="仿宋_GB2312" w:eastAsia="仿宋_GB2312" w:cs="仿宋_GB2312"/>
          <w:spacing w:val="6"/>
          <w:kern w:val="0"/>
          <w:sz w:val="32"/>
          <w:szCs w:val="32"/>
        </w:rPr>
        <w:t xml:space="preserve"> </w:t>
      </w:r>
      <w:r>
        <w:rPr>
          <w:rFonts w:hint="eastAsia" w:ascii="仿宋_GB2312" w:hAnsi="仿宋_GB2312" w:eastAsia="仿宋_GB2312" w:cs="仿宋_GB2312"/>
          <w:spacing w:val="6"/>
          <w:kern w:val="0"/>
          <w:sz w:val="32"/>
          <w:szCs w:val="32"/>
          <w:lang w:val="zh-CN"/>
        </w:rPr>
        <w:t>民政部</w:t>
      </w:r>
      <w:r>
        <w:rPr>
          <w:rFonts w:hint="eastAsia" w:ascii="仿宋_GB2312" w:hAnsi="仿宋_GB2312" w:eastAsia="仿宋_GB2312" w:cs="仿宋_GB2312"/>
          <w:spacing w:val="6"/>
          <w:kern w:val="0"/>
          <w:sz w:val="32"/>
          <w:szCs w:val="32"/>
        </w:rPr>
        <w:t xml:space="preserve"> </w:t>
      </w:r>
      <w:r>
        <w:rPr>
          <w:rFonts w:hint="eastAsia" w:ascii="仿宋_GB2312" w:hAnsi="仿宋_GB2312" w:eastAsia="仿宋_GB2312" w:cs="仿宋_GB2312"/>
          <w:spacing w:val="6"/>
          <w:kern w:val="0"/>
          <w:sz w:val="32"/>
          <w:szCs w:val="32"/>
          <w:lang w:val="zh-CN"/>
        </w:rPr>
        <w:t>中国残疾人联合会关于促进残疾人就业政府采购政策的通知》（财库</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 xml:space="preserve"> 141</w:t>
      </w:r>
      <w:r>
        <w:rPr>
          <w:rFonts w:hint="eastAsia" w:ascii="仿宋_GB2312" w:hAnsi="仿宋_GB2312" w:eastAsia="仿宋_GB2312" w:cs="仿宋_GB2312"/>
          <w:spacing w:val="6"/>
          <w:kern w:val="0"/>
          <w:sz w:val="32"/>
          <w:szCs w:val="32"/>
          <w:lang w:val="zh-CN"/>
        </w:rPr>
        <w:t>号）的规定，本单位为符合条件的残疾人福利性单位，且本单位参加</w:t>
      </w:r>
      <w:r>
        <w:rPr>
          <w:rFonts w:hint="eastAsia" w:ascii="仿宋_GB2312" w:hAnsi="仿宋_GB2312" w:eastAsia="仿宋_GB2312" w:cs="仿宋_GB2312"/>
          <w:spacing w:val="6"/>
          <w:kern w:val="0"/>
          <w:sz w:val="32"/>
          <w:szCs w:val="32"/>
        </w:rPr>
        <w:t>______</w:t>
      </w:r>
      <w:r>
        <w:rPr>
          <w:rFonts w:hint="eastAsia" w:ascii="仿宋_GB2312" w:hAnsi="仿宋_GB2312" w:eastAsia="仿宋_GB2312" w:cs="仿宋_GB2312"/>
          <w:spacing w:val="6"/>
          <w:kern w:val="0"/>
          <w:sz w:val="32"/>
          <w:szCs w:val="32"/>
          <w:lang w:val="zh-CN"/>
        </w:rPr>
        <w:t>单位的</w:t>
      </w:r>
      <w:r>
        <w:rPr>
          <w:rFonts w:hint="eastAsia" w:ascii="仿宋_GB2312" w:hAnsi="仿宋_GB2312" w:eastAsia="仿宋_GB2312" w:cs="仿宋_GB2312"/>
          <w:spacing w:val="6"/>
          <w:kern w:val="0"/>
          <w:sz w:val="32"/>
          <w:szCs w:val="32"/>
        </w:rPr>
        <w:t>______</w:t>
      </w:r>
      <w:r>
        <w:rPr>
          <w:rFonts w:hint="eastAsia" w:ascii="仿宋_GB2312" w:hAnsi="仿宋_GB2312" w:eastAsia="仿宋_GB2312" w:cs="仿宋_GB2312"/>
          <w:spacing w:val="6"/>
          <w:kern w:val="0"/>
          <w:sz w:val="32"/>
          <w:szCs w:val="32"/>
          <w:lang w:val="zh-CN"/>
        </w:rPr>
        <w:t>项目采购活动提供本单位制造的货物（由本单位承担工程</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val="zh-CN"/>
        </w:rPr>
        <w:t>提供服务），或者提供其他残疾人福利性单位制造的货物（不包括使用非残疾人福利性单位注册商标的货物）。</w:t>
      </w:r>
    </w:p>
    <w:p>
      <w:pPr>
        <w:autoSpaceDE w:val="0"/>
        <w:autoSpaceDN w:val="0"/>
        <w:adjustRightInd w:val="0"/>
        <w:ind w:firstLine="624"/>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lang w:val="zh-CN"/>
        </w:rPr>
        <w:t>本单位对上述声明的真实性负责。如有虚假，将依法承担相应责任。</w:t>
      </w:r>
    </w:p>
    <w:p>
      <w:pPr>
        <w:autoSpaceDE w:val="0"/>
        <w:autoSpaceDN w:val="0"/>
        <w:adjustRightInd w:val="0"/>
        <w:ind w:firstLine="624"/>
        <w:rPr>
          <w:rFonts w:ascii="仿宋_GB2312" w:hAnsi="仿宋_GB2312" w:eastAsia="仿宋_GB2312" w:cs="仿宋_GB2312"/>
          <w:spacing w:val="6"/>
          <w:kern w:val="0"/>
          <w:sz w:val="32"/>
          <w:szCs w:val="32"/>
        </w:rPr>
      </w:pPr>
    </w:p>
    <w:p>
      <w:pPr>
        <w:autoSpaceDE w:val="0"/>
        <w:autoSpaceDN w:val="0"/>
        <w:adjustRightInd w:val="0"/>
        <w:ind w:firstLine="624"/>
        <w:rPr>
          <w:rFonts w:ascii="仿宋_GB2312" w:hAnsi="仿宋_GB2312" w:eastAsia="仿宋_GB2312" w:cs="仿宋_GB2312"/>
          <w:spacing w:val="6"/>
          <w:kern w:val="0"/>
          <w:sz w:val="32"/>
          <w:szCs w:val="32"/>
        </w:rPr>
      </w:pPr>
    </w:p>
    <w:p>
      <w:pPr>
        <w:tabs>
          <w:tab w:val="left" w:pos="4860"/>
        </w:tabs>
        <w:autoSpaceDE w:val="0"/>
        <w:autoSpaceDN w:val="0"/>
        <w:adjustRightInd w:val="0"/>
        <w:ind w:right="1560" w:firstLine="624"/>
        <w:jc w:val="center"/>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 xml:space="preserve">               </w:t>
      </w:r>
      <w:r>
        <w:rPr>
          <w:rFonts w:hint="eastAsia" w:ascii="仿宋_GB2312" w:hAnsi="仿宋_GB2312" w:eastAsia="仿宋_GB2312" w:cs="仿宋_GB2312"/>
          <w:spacing w:val="6"/>
          <w:kern w:val="0"/>
          <w:sz w:val="32"/>
          <w:szCs w:val="32"/>
          <w:lang w:val="zh-CN"/>
        </w:rPr>
        <w:t>单位名称（盖章）：</w:t>
      </w:r>
    </w:p>
    <w:p>
      <w:pPr>
        <w:tabs>
          <w:tab w:val="left" w:pos="4860"/>
        </w:tabs>
        <w:autoSpaceDE w:val="0"/>
        <w:autoSpaceDN w:val="0"/>
        <w:adjustRightInd w:val="0"/>
        <w:ind w:right="1560" w:firstLine="624"/>
        <w:jc w:val="center"/>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 xml:space="preserve">       </w:t>
      </w:r>
      <w:r>
        <w:rPr>
          <w:rFonts w:hint="eastAsia" w:ascii="仿宋_GB2312" w:hAnsi="仿宋_GB2312" w:eastAsia="仿宋_GB2312" w:cs="仿宋_GB2312"/>
          <w:spacing w:val="6"/>
          <w:kern w:val="0"/>
          <w:sz w:val="32"/>
          <w:szCs w:val="32"/>
          <w:lang w:val="zh-CN"/>
        </w:rPr>
        <w:t>日</w:t>
      </w:r>
      <w:r>
        <w:rPr>
          <w:rFonts w:hint="eastAsia" w:ascii="仿宋_GB2312" w:hAnsi="仿宋_GB2312" w:eastAsia="仿宋_GB2312" w:cs="仿宋_GB2312"/>
          <w:spacing w:val="6"/>
          <w:kern w:val="0"/>
          <w:sz w:val="32"/>
          <w:szCs w:val="32"/>
        </w:rPr>
        <w:t xml:space="preserve">  </w:t>
      </w:r>
      <w:r>
        <w:rPr>
          <w:rFonts w:hint="eastAsia" w:ascii="仿宋_GB2312" w:hAnsi="仿宋_GB2312" w:eastAsia="仿宋_GB2312" w:cs="仿宋_GB2312"/>
          <w:spacing w:val="6"/>
          <w:kern w:val="0"/>
          <w:sz w:val="32"/>
          <w:szCs w:val="32"/>
          <w:lang w:val="zh-CN"/>
        </w:rPr>
        <w:t>期：</w:t>
      </w:r>
    </w:p>
    <w:p>
      <w:pPr>
        <w:widowControl/>
        <w:adjustRightInd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r>
        <w:rPr>
          <w:rFonts w:hint="eastAsia" w:ascii="仿宋_GB2312" w:hAnsi="仿宋_GB2312" w:eastAsia="仿宋_GB2312" w:cs="仿宋_GB2312"/>
          <w:bCs/>
          <w:sz w:val="32"/>
          <w:szCs w:val="32"/>
        </w:rPr>
        <w:t>附件9</w:t>
      </w:r>
    </w:p>
    <w:p>
      <w:pPr>
        <w:ind w:firstLine="420"/>
        <w:jc w:val="center"/>
        <w:rPr>
          <w:rFonts w:ascii="仿宋_GB2312" w:hAnsi="仿宋_GB2312" w:eastAsia="仿宋_GB2312" w:cs="仿宋_GB2312"/>
          <w:b/>
          <w:sz w:val="32"/>
          <w:szCs w:val="32"/>
        </w:rPr>
      </w:pPr>
    </w:p>
    <w:p>
      <w:pPr>
        <w:ind w:firstLine="420"/>
        <w:jc w:val="center"/>
        <w:rPr>
          <w:rFonts w:ascii="仿宋_GB2312" w:hAnsi="仿宋_GB2312" w:eastAsia="仿宋_GB2312" w:cs="仿宋_GB2312"/>
          <w:b/>
          <w:sz w:val="32"/>
          <w:szCs w:val="32"/>
        </w:rPr>
      </w:pPr>
      <w:r>
        <w:rPr>
          <w:rFonts w:hint="eastAsia" w:ascii="仿宋_GB2312" w:hAnsi="仿宋_GB2312" w:eastAsia="仿宋_GB2312" w:cs="仿宋_GB2312"/>
          <w:bCs/>
          <w:spacing w:val="6"/>
          <w:kern w:val="0"/>
          <w:sz w:val="32"/>
          <w:szCs w:val="32"/>
        </w:rPr>
        <w:t>中小企业证明材料</w:t>
      </w:r>
    </w:p>
    <w:p>
      <w:pPr>
        <w:ind w:firstLine="420"/>
        <w:rPr>
          <w:rFonts w:ascii="仿宋_GB2312" w:hAnsi="仿宋_GB2312" w:eastAsia="仿宋_GB2312" w:cs="仿宋_GB2312"/>
          <w:b/>
          <w:sz w:val="32"/>
          <w:szCs w:val="32"/>
        </w:rPr>
      </w:pP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1.供应商工商行政注册地管理部门出具的小微企业证明材料；</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2.所代理产品生产厂家的属地主管部门出具的小微企业证明材料；</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 监狱企业证明（如属于监狱企业，需提供由省级以上监狱管理局、戒毒管理局（含新疆生产建设兵团）出具的属于监狱企业的证明文件）</w:t>
      </w:r>
    </w:p>
    <w:p>
      <w:pPr>
        <w:ind w:firstLine="420"/>
        <w:rPr>
          <w:rFonts w:ascii="仿宋_GB2312" w:hAnsi="仿宋_GB2312" w:eastAsia="仿宋_GB2312" w:cs="仿宋_GB2312"/>
          <w:b/>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4.证明材料加盖投标人公章。</w:t>
      </w:r>
    </w:p>
    <w:p>
      <w:pPr>
        <w:adjustRightInd w:val="0"/>
        <w:ind w:right="24"/>
        <w:rPr>
          <w:rFonts w:ascii="仿宋_GB2312" w:hAnsi="仿宋_GB2312" w:eastAsia="仿宋_GB2312" w:cs="仿宋_GB2312"/>
          <w:sz w:val="32"/>
          <w:szCs w:val="32"/>
        </w:rPr>
      </w:pPr>
      <w:bookmarkStart w:id="127" w:name="_Toc12898853"/>
      <w:bookmarkStart w:id="128" w:name="_Toc480804909"/>
      <w:bookmarkStart w:id="129" w:name="_Toc465444057"/>
      <w:bookmarkStart w:id="130" w:name="_Toc16991"/>
      <w:r>
        <w:rPr>
          <w:rFonts w:hint="eastAsia" w:ascii="仿宋_GB2312" w:hAnsi="仿宋_GB2312" w:eastAsia="仿宋_GB2312" w:cs="仿宋_GB2312"/>
          <w:bCs/>
          <w:sz w:val="32"/>
          <w:szCs w:val="32"/>
        </w:rPr>
        <w:t>附件10</w:t>
      </w:r>
    </w:p>
    <w:p>
      <w:pPr>
        <w:pStyle w:val="5"/>
        <w:spacing w:line="240" w:lineRule="auto"/>
        <w:jc w:val="center"/>
        <w:rPr>
          <w:rFonts w:ascii="仿宋_GB2312" w:hAnsi="仿宋_GB2312" w:eastAsia="仿宋_GB2312" w:cs="仿宋_GB2312"/>
        </w:rPr>
      </w:pPr>
      <w:r>
        <w:rPr>
          <w:rFonts w:hint="eastAsia" w:ascii="仿宋_GB2312" w:hAnsi="仿宋_GB2312" w:eastAsia="仿宋_GB2312" w:cs="仿宋_GB2312"/>
        </w:rPr>
        <w:t>四、投标人基本情况</w:t>
      </w:r>
      <w:bookmarkEnd w:id="127"/>
      <w:bookmarkEnd w:id="128"/>
      <w:bookmarkEnd w:id="129"/>
      <w:bookmarkEnd w:id="130"/>
    </w:p>
    <w:p>
      <w:pPr>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盖投标人单位章</w:t>
      </w:r>
    </w:p>
    <w:tbl>
      <w:tblPr>
        <w:tblStyle w:val="26"/>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1300"/>
        <w:gridCol w:w="627"/>
        <w:gridCol w:w="428"/>
        <w:gridCol w:w="90"/>
        <w:gridCol w:w="794"/>
        <w:gridCol w:w="1083"/>
        <w:gridCol w:w="2196"/>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58" w:type="dxa"/>
            <w:gridSpan w:val="3"/>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3022" w:type="dxa"/>
            <w:gridSpan w:val="5"/>
            <w:vAlign w:val="center"/>
          </w:tcPr>
          <w:p>
            <w:pPr>
              <w:topLinePunct/>
              <w:spacing w:line="440" w:lineRule="exact"/>
              <w:jc w:val="center"/>
              <w:rPr>
                <w:rFonts w:ascii="仿宋_GB2312" w:hAnsi="仿宋_GB2312" w:eastAsia="仿宋_GB2312" w:cs="仿宋_GB2312"/>
                <w:sz w:val="32"/>
                <w:szCs w:val="32"/>
              </w:rPr>
            </w:pPr>
          </w:p>
        </w:tc>
        <w:tc>
          <w:tcPr>
            <w:tcW w:w="2196" w:type="dxa"/>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684" w:type="dxa"/>
            <w:vAlign w:val="center"/>
          </w:tcPr>
          <w:p>
            <w:pPr>
              <w:topLinePunct/>
              <w:spacing w:line="44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558" w:type="dxa"/>
            <w:gridSpan w:val="3"/>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组织机构代码</w:t>
            </w:r>
          </w:p>
        </w:tc>
        <w:tc>
          <w:tcPr>
            <w:tcW w:w="3022" w:type="dxa"/>
            <w:gridSpan w:val="5"/>
            <w:vAlign w:val="center"/>
          </w:tcPr>
          <w:p>
            <w:pPr>
              <w:topLinePunct/>
              <w:spacing w:line="440" w:lineRule="exact"/>
              <w:jc w:val="center"/>
              <w:rPr>
                <w:rFonts w:ascii="仿宋_GB2312" w:hAnsi="仿宋_GB2312" w:eastAsia="仿宋_GB2312" w:cs="仿宋_GB2312"/>
                <w:sz w:val="32"/>
                <w:szCs w:val="32"/>
              </w:rPr>
            </w:pPr>
          </w:p>
        </w:tc>
        <w:tc>
          <w:tcPr>
            <w:tcW w:w="2196" w:type="dxa"/>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p>
        </w:tc>
        <w:tc>
          <w:tcPr>
            <w:tcW w:w="684" w:type="dxa"/>
            <w:vAlign w:val="center"/>
          </w:tcPr>
          <w:p>
            <w:pPr>
              <w:topLinePunct/>
              <w:spacing w:line="44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58" w:type="dxa"/>
            <w:gridSpan w:val="3"/>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w:t>
            </w:r>
          </w:p>
        </w:tc>
        <w:tc>
          <w:tcPr>
            <w:tcW w:w="3022" w:type="dxa"/>
            <w:gridSpan w:val="5"/>
            <w:vAlign w:val="center"/>
          </w:tcPr>
          <w:p>
            <w:pPr>
              <w:topLinePunct/>
              <w:spacing w:line="440" w:lineRule="exact"/>
              <w:jc w:val="center"/>
              <w:rPr>
                <w:rFonts w:ascii="仿宋_GB2312" w:hAnsi="仿宋_GB2312" w:eastAsia="仿宋_GB2312" w:cs="仿宋_GB2312"/>
                <w:sz w:val="32"/>
                <w:szCs w:val="32"/>
              </w:rPr>
            </w:pPr>
          </w:p>
        </w:tc>
        <w:tc>
          <w:tcPr>
            <w:tcW w:w="2196" w:type="dxa"/>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684" w:type="dxa"/>
            <w:vAlign w:val="center"/>
          </w:tcPr>
          <w:p>
            <w:pPr>
              <w:topLinePunct/>
              <w:spacing w:line="44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58" w:type="dxa"/>
            <w:gridSpan w:val="3"/>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上年营业收入</w:t>
            </w:r>
          </w:p>
        </w:tc>
        <w:tc>
          <w:tcPr>
            <w:tcW w:w="3022" w:type="dxa"/>
            <w:gridSpan w:val="5"/>
            <w:vAlign w:val="center"/>
          </w:tcPr>
          <w:p>
            <w:pPr>
              <w:topLinePunct/>
              <w:spacing w:line="440" w:lineRule="exact"/>
              <w:jc w:val="center"/>
              <w:rPr>
                <w:rFonts w:ascii="仿宋_GB2312" w:hAnsi="仿宋_GB2312" w:eastAsia="仿宋_GB2312" w:cs="仿宋_GB2312"/>
                <w:sz w:val="32"/>
                <w:szCs w:val="32"/>
              </w:rPr>
            </w:pPr>
          </w:p>
        </w:tc>
        <w:tc>
          <w:tcPr>
            <w:tcW w:w="2196" w:type="dxa"/>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员工总人数</w:t>
            </w:r>
          </w:p>
        </w:tc>
        <w:tc>
          <w:tcPr>
            <w:tcW w:w="684" w:type="dxa"/>
            <w:vAlign w:val="center"/>
          </w:tcPr>
          <w:p>
            <w:pPr>
              <w:topLinePunct/>
              <w:spacing w:line="44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58" w:type="dxa"/>
            <w:gridSpan w:val="3"/>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固定电话</w:t>
            </w:r>
          </w:p>
        </w:tc>
        <w:tc>
          <w:tcPr>
            <w:tcW w:w="3022" w:type="dxa"/>
            <w:gridSpan w:val="5"/>
            <w:vAlign w:val="center"/>
          </w:tcPr>
          <w:p>
            <w:pPr>
              <w:topLinePunct/>
              <w:spacing w:line="440" w:lineRule="exact"/>
              <w:jc w:val="center"/>
              <w:rPr>
                <w:rFonts w:ascii="仿宋_GB2312" w:hAnsi="仿宋_GB2312" w:eastAsia="仿宋_GB2312" w:cs="仿宋_GB2312"/>
                <w:sz w:val="32"/>
                <w:szCs w:val="32"/>
              </w:rPr>
            </w:pPr>
          </w:p>
        </w:tc>
        <w:tc>
          <w:tcPr>
            <w:tcW w:w="2196" w:type="dxa"/>
            <w:vAlign w:val="center"/>
          </w:tcPr>
          <w:p>
            <w:pPr>
              <w:topLinePunct/>
              <w:spacing w:line="440" w:lineRule="exact"/>
              <w:jc w:val="center"/>
              <w:rPr>
                <w:rFonts w:ascii="仿宋_GB2312" w:hAnsi="仿宋_GB2312" w:eastAsia="仿宋_GB2312" w:cs="仿宋_GB2312"/>
                <w:sz w:val="32"/>
                <w:szCs w:val="32"/>
              </w:rPr>
            </w:pPr>
          </w:p>
        </w:tc>
        <w:tc>
          <w:tcPr>
            <w:tcW w:w="684" w:type="dxa"/>
            <w:vAlign w:val="center"/>
          </w:tcPr>
          <w:p>
            <w:pPr>
              <w:topLinePunct/>
              <w:spacing w:line="44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营业执照</w:t>
            </w:r>
          </w:p>
        </w:tc>
        <w:tc>
          <w:tcPr>
            <w:tcW w:w="2466" w:type="dxa"/>
            <w:gridSpan w:val="3"/>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注册号码</w:t>
            </w:r>
          </w:p>
        </w:tc>
        <w:tc>
          <w:tcPr>
            <w:tcW w:w="518" w:type="dxa"/>
            <w:gridSpan w:val="2"/>
            <w:vAlign w:val="center"/>
          </w:tcPr>
          <w:p>
            <w:pPr>
              <w:topLinePunct/>
              <w:spacing w:line="440" w:lineRule="exact"/>
              <w:jc w:val="center"/>
              <w:rPr>
                <w:rFonts w:ascii="仿宋_GB2312" w:hAnsi="仿宋_GB2312" w:eastAsia="仿宋_GB2312" w:cs="仿宋_GB2312"/>
                <w:sz w:val="32"/>
                <w:szCs w:val="32"/>
              </w:rPr>
            </w:pPr>
          </w:p>
        </w:tc>
        <w:tc>
          <w:tcPr>
            <w:tcW w:w="1877" w:type="dxa"/>
            <w:gridSpan w:val="2"/>
            <w:vAlign w:val="center"/>
          </w:tcPr>
          <w:p>
            <w:pPr>
              <w:topLinePunct/>
              <w:spacing w:line="440" w:lineRule="exact"/>
              <w:ind w:firstLine="160" w:firstLineChars="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注册地址</w:t>
            </w:r>
          </w:p>
        </w:tc>
        <w:tc>
          <w:tcPr>
            <w:tcW w:w="2880" w:type="dxa"/>
            <w:gridSpan w:val="2"/>
            <w:vAlign w:val="center"/>
          </w:tcPr>
          <w:p>
            <w:pPr>
              <w:topLinePunct/>
              <w:spacing w:line="440" w:lineRule="exact"/>
              <w:ind w:firstLine="160" w:firstLineChars="50"/>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仿宋_GB2312" w:hAnsi="仿宋_GB2312" w:eastAsia="仿宋_GB2312" w:cs="仿宋_GB2312"/>
                <w:sz w:val="32"/>
                <w:szCs w:val="32"/>
              </w:rPr>
            </w:pPr>
          </w:p>
        </w:tc>
        <w:tc>
          <w:tcPr>
            <w:tcW w:w="2466" w:type="dxa"/>
            <w:gridSpan w:val="3"/>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发证机关</w:t>
            </w:r>
          </w:p>
        </w:tc>
        <w:tc>
          <w:tcPr>
            <w:tcW w:w="518" w:type="dxa"/>
            <w:gridSpan w:val="2"/>
            <w:vAlign w:val="center"/>
          </w:tcPr>
          <w:p>
            <w:pPr>
              <w:topLinePunct/>
              <w:spacing w:line="440" w:lineRule="exact"/>
              <w:jc w:val="center"/>
              <w:rPr>
                <w:rFonts w:ascii="仿宋_GB2312" w:hAnsi="仿宋_GB2312" w:eastAsia="仿宋_GB2312" w:cs="仿宋_GB2312"/>
                <w:sz w:val="32"/>
                <w:szCs w:val="32"/>
              </w:rPr>
            </w:pPr>
          </w:p>
        </w:tc>
        <w:tc>
          <w:tcPr>
            <w:tcW w:w="1877" w:type="dxa"/>
            <w:gridSpan w:val="2"/>
            <w:vAlign w:val="center"/>
          </w:tcPr>
          <w:p>
            <w:pPr>
              <w:topLinePunct/>
              <w:spacing w:line="440" w:lineRule="exact"/>
              <w:ind w:firstLine="160" w:firstLineChars="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发证日期</w:t>
            </w:r>
          </w:p>
        </w:tc>
        <w:tc>
          <w:tcPr>
            <w:tcW w:w="2880" w:type="dxa"/>
            <w:gridSpan w:val="2"/>
            <w:vAlign w:val="center"/>
          </w:tcPr>
          <w:p>
            <w:pPr>
              <w:topLinePunct/>
              <w:spacing w:line="440" w:lineRule="exact"/>
              <w:ind w:firstLine="160" w:firstLineChars="50"/>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仿宋_GB2312" w:hAnsi="仿宋_GB2312" w:eastAsia="仿宋_GB2312" w:cs="仿宋_GB2312"/>
                <w:sz w:val="32"/>
                <w:szCs w:val="32"/>
              </w:rPr>
            </w:pPr>
          </w:p>
        </w:tc>
        <w:tc>
          <w:tcPr>
            <w:tcW w:w="2466" w:type="dxa"/>
            <w:gridSpan w:val="3"/>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营业范围（主营）</w:t>
            </w:r>
          </w:p>
        </w:tc>
        <w:tc>
          <w:tcPr>
            <w:tcW w:w="5275" w:type="dxa"/>
            <w:gridSpan w:val="6"/>
            <w:vAlign w:val="center"/>
          </w:tcPr>
          <w:p>
            <w:pPr>
              <w:topLinePunct/>
              <w:spacing w:line="440" w:lineRule="exact"/>
              <w:ind w:firstLine="160" w:firstLineChars="50"/>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仿宋_GB2312" w:hAnsi="仿宋_GB2312" w:eastAsia="仿宋_GB2312" w:cs="仿宋_GB2312"/>
                <w:sz w:val="32"/>
                <w:szCs w:val="32"/>
              </w:rPr>
            </w:pPr>
          </w:p>
        </w:tc>
        <w:tc>
          <w:tcPr>
            <w:tcW w:w="2466" w:type="dxa"/>
            <w:gridSpan w:val="3"/>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营业范围（兼营）</w:t>
            </w:r>
          </w:p>
        </w:tc>
        <w:tc>
          <w:tcPr>
            <w:tcW w:w="5275" w:type="dxa"/>
            <w:gridSpan w:val="6"/>
            <w:vAlign w:val="center"/>
          </w:tcPr>
          <w:p>
            <w:pPr>
              <w:topLinePunct/>
              <w:spacing w:line="440" w:lineRule="exact"/>
              <w:ind w:firstLine="160" w:firstLineChars="50"/>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3185" w:type="dxa"/>
            <w:gridSpan w:val="4"/>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基本账户开户行及帐号</w:t>
            </w:r>
          </w:p>
        </w:tc>
        <w:tc>
          <w:tcPr>
            <w:tcW w:w="5275" w:type="dxa"/>
            <w:gridSpan w:val="6"/>
            <w:vAlign w:val="center"/>
          </w:tcPr>
          <w:p>
            <w:pPr>
              <w:topLinePunct/>
              <w:spacing w:line="44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3185" w:type="dxa"/>
            <w:gridSpan w:val="4"/>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税务登记机关</w:t>
            </w:r>
          </w:p>
        </w:tc>
        <w:tc>
          <w:tcPr>
            <w:tcW w:w="5275" w:type="dxa"/>
            <w:gridSpan w:val="6"/>
            <w:vAlign w:val="center"/>
          </w:tcPr>
          <w:p>
            <w:pPr>
              <w:topLinePunct/>
              <w:spacing w:line="44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资质名称</w:t>
            </w:r>
          </w:p>
        </w:tc>
        <w:tc>
          <w:tcPr>
            <w:tcW w:w="884" w:type="dxa"/>
            <w:gridSpan w:val="2"/>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等级</w:t>
            </w:r>
          </w:p>
        </w:tc>
        <w:tc>
          <w:tcPr>
            <w:tcW w:w="1083" w:type="dxa"/>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发证机关</w:t>
            </w:r>
          </w:p>
        </w:tc>
        <w:tc>
          <w:tcPr>
            <w:tcW w:w="2880" w:type="dxa"/>
            <w:gridSpan w:val="2"/>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仿宋_GB2312" w:hAnsi="仿宋_GB2312" w:eastAsia="仿宋_GB2312" w:cs="仿宋_GB2312"/>
                <w:sz w:val="32"/>
                <w:szCs w:val="32"/>
              </w:rPr>
            </w:pPr>
          </w:p>
        </w:tc>
        <w:tc>
          <w:tcPr>
            <w:tcW w:w="884" w:type="dxa"/>
            <w:gridSpan w:val="2"/>
            <w:vAlign w:val="center"/>
          </w:tcPr>
          <w:p>
            <w:pPr>
              <w:topLinePunct/>
              <w:spacing w:line="440" w:lineRule="exact"/>
              <w:jc w:val="center"/>
              <w:rPr>
                <w:rFonts w:ascii="仿宋_GB2312" w:hAnsi="仿宋_GB2312" w:eastAsia="仿宋_GB2312" w:cs="仿宋_GB2312"/>
                <w:sz w:val="32"/>
                <w:szCs w:val="32"/>
              </w:rPr>
            </w:pPr>
          </w:p>
        </w:tc>
        <w:tc>
          <w:tcPr>
            <w:tcW w:w="1083" w:type="dxa"/>
            <w:vAlign w:val="center"/>
          </w:tcPr>
          <w:p>
            <w:pPr>
              <w:topLinePunct/>
              <w:spacing w:line="440" w:lineRule="exact"/>
              <w:jc w:val="center"/>
              <w:rPr>
                <w:rFonts w:ascii="仿宋_GB2312" w:hAnsi="仿宋_GB2312" w:eastAsia="仿宋_GB2312" w:cs="仿宋_GB2312"/>
                <w:sz w:val="32"/>
                <w:szCs w:val="32"/>
              </w:rPr>
            </w:pPr>
          </w:p>
        </w:tc>
        <w:tc>
          <w:tcPr>
            <w:tcW w:w="2880" w:type="dxa"/>
            <w:gridSpan w:val="2"/>
            <w:vAlign w:val="center"/>
          </w:tcPr>
          <w:p>
            <w:pPr>
              <w:topLinePunct/>
              <w:spacing w:line="44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vAlign w:val="center"/>
          </w:tcPr>
          <w:p>
            <w:pPr>
              <w:topLinePunct/>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202" w:type="dxa"/>
            <w:gridSpan w:val="8"/>
            <w:vAlign w:val="center"/>
          </w:tcPr>
          <w:p>
            <w:pPr>
              <w:topLinePunct/>
              <w:spacing w:line="440" w:lineRule="exact"/>
            </w:pPr>
          </w:p>
          <w:p>
            <w:pPr>
              <w:pStyle w:val="9"/>
            </w:pPr>
          </w:p>
          <w:p/>
          <w:p>
            <w:pPr>
              <w:pStyle w:val="9"/>
            </w:pPr>
          </w:p>
          <w:p/>
          <w:p>
            <w:pPr>
              <w:pStyle w:val="9"/>
            </w:pPr>
          </w:p>
          <w:p/>
        </w:tc>
      </w:tr>
    </w:tbl>
    <w:p>
      <w:pPr>
        <w:rPr>
          <w:rFonts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adjustRightInd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附件11</w:t>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项目负责人简历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项目名称： </w:t>
      </w:r>
    </w:p>
    <w:tbl>
      <w:tblPr>
        <w:tblStyle w:val="26"/>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60"/>
        <w:gridCol w:w="180"/>
        <w:gridCol w:w="1092"/>
        <w:gridCol w:w="348"/>
        <w:gridCol w:w="1620"/>
        <w:gridCol w:w="540"/>
        <w:gridCol w:w="77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9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年龄</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19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参加工作时间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328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从事项目经理年限</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工作经历简介</w:t>
            </w:r>
          </w:p>
          <w:p>
            <w:pPr>
              <w:jc w:val="center"/>
              <w:rPr>
                <w:rFonts w:ascii="仿宋_GB2312" w:hAnsi="仿宋_GB2312" w:eastAsia="仿宋_GB2312" w:cs="仿宋_GB2312"/>
                <w:sz w:val="32"/>
                <w:szCs w:val="32"/>
              </w:rPr>
            </w:pPr>
          </w:p>
        </w:tc>
        <w:tc>
          <w:tcPr>
            <w:tcW w:w="7616"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344"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承担项目的情况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建设规模</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服务周期</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担负的技术职务</w:t>
            </w:r>
          </w:p>
        </w:tc>
        <w:tc>
          <w:tcPr>
            <w:tcW w:w="25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5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5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5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5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344" w:type="dxa"/>
            <w:gridSpan w:val="9"/>
            <w:tcBorders>
              <w:top w:val="single" w:color="auto" w:sz="4" w:space="0"/>
              <w:left w:val="single" w:color="auto" w:sz="4" w:space="0"/>
              <w:bottom w:val="single" w:color="auto" w:sz="4" w:space="0"/>
              <w:right w:val="single" w:color="auto" w:sz="4" w:space="0"/>
            </w:tcBorders>
            <w:vAlign w:val="center"/>
          </w:tcPr>
          <w:p>
            <w:pPr>
              <w:ind w:firstLine="5640"/>
              <w:rPr>
                <w:rFonts w:ascii="仿宋_GB2312" w:hAnsi="仿宋_GB2312" w:eastAsia="仿宋_GB2312" w:cs="仿宋_GB2312"/>
                <w:sz w:val="32"/>
                <w:szCs w:val="32"/>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备注：1、如上表不够填写，可照此表样扩展使用；</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2、此表请本人签字并加盖单位公章。 </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3、项目负责人简历中应附资格证书及职称证书复印件并加盖公章。</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4、若需要更换本项目项目负责人时须经采购人同意。未经采购人同意，擅自更换人员，中标单位方应承担违约责任，并且按照中标价 5 ％给委托方支付违约金。</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ind w:firstLine="960" w:firstLineChars="30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法定代表人（盖章）：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附件12</w:t>
      </w:r>
    </w:p>
    <w:p>
      <w:pPr>
        <w:pStyle w:val="51"/>
        <w:ind w:left="0" w:firstLine="0"/>
        <w:jc w:val="center"/>
        <w:rPr>
          <w:rFonts w:ascii="仿宋_GB2312" w:hAnsi="仿宋_GB2312" w:eastAsia="仿宋_GB2312" w:cs="仿宋_GB2312"/>
          <w:b/>
          <w:bCs/>
          <w:sz w:val="32"/>
          <w:szCs w:val="32"/>
        </w:rPr>
      </w:pPr>
      <w:bookmarkStart w:id="131" w:name="_Toc479941369"/>
      <w:bookmarkStart w:id="132" w:name="_Toc484087385"/>
      <w:bookmarkStart w:id="133" w:name="_Toc479941632"/>
      <w:r>
        <w:rPr>
          <w:rFonts w:hint="eastAsia" w:ascii="仿宋_GB2312" w:hAnsi="仿宋_GB2312" w:eastAsia="仿宋_GB2312" w:cs="仿宋_GB2312"/>
          <w:b/>
          <w:bCs/>
          <w:sz w:val="32"/>
          <w:szCs w:val="32"/>
        </w:rPr>
        <w:t>项目专业人员介绍</w:t>
      </w:r>
      <w:bookmarkEnd w:id="131"/>
      <w:bookmarkEnd w:id="132"/>
      <w:bookmarkEnd w:id="133"/>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项目名称： </w:t>
      </w:r>
    </w:p>
    <w:tbl>
      <w:tblPr>
        <w:tblStyle w:val="2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376"/>
        <w:gridCol w:w="969"/>
        <w:gridCol w:w="938"/>
        <w:gridCol w:w="938"/>
        <w:gridCol w:w="1595"/>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年龄</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所学专业</w:t>
            </w:r>
          </w:p>
        </w:tc>
        <w:tc>
          <w:tcPr>
            <w:tcW w:w="26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承担的项目、专业及目前的进展情况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6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6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6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6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6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c>
          <w:tcPr>
            <w:tcW w:w="26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32"/>
                <w:szCs w:val="32"/>
              </w:rPr>
            </w:pPr>
          </w:p>
        </w:tc>
      </w:tr>
    </w:tbl>
    <w:p>
      <w:pPr>
        <w:ind w:left="1440" w:hanging="1440" w:hangingChars="450"/>
        <w:rPr>
          <w:rFonts w:ascii="仿宋_GB2312" w:hAnsi="仿宋_GB2312" w:eastAsia="仿宋_GB2312" w:cs="仿宋_GB2312"/>
          <w:sz w:val="32"/>
          <w:szCs w:val="32"/>
        </w:rPr>
      </w:pPr>
      <w:r>
        <w:rPr>
          <w:rFonts w:hint="eastAsia" w:ascii="仿宋_GB2312" w:hAnsi="仿宋_GB2312" w:eastAsia="仿宋_GB2312" w:cs="仿宋_GB2312"/>
          <w:sz w:val="32"/>
          <w:szCs w:val="32"/>
        </w:rPr>
        <w:t>备注：1、本项目一旦我单位成交，将配备上述项目专业人员。上述填报内容真实，如不真实，将按照有关规定接受处理。</w:t>
      </w:r>
    </w:p>
    <w:p>
      <w:pPr>
        <w:ind w:left="1438" w:leftChars="456" w:hanging="480" w:hangingChars="15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成交方若需要更换本项目响应文件中原有人员时须经采购人同意。未经采购人同意，擅自更换人员，成交方应承担违约责任，并且按照中标价 5 ％ 给委托方支付违约金。</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单位名称（盖章）：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法定代表人（盖章）：</w:t>
      </w:r>
    </w:p>
    <w:p>
      <w:pPr>
        <w:rPr>
          <w:rFonts w:ascii="仿宋_GB2312" w:hAnsi="仿宋_GB2312" w:eastAsia="仿宋_GB2312" w:cs="仿宋_GB2312"/>
          <w:b/>
          <w:sz w:val="32"/>
          <w:szCs w:val="32"/>
        </w:rPr>
      </w:pPr>
      <w:r>
        <w:rPr>
          <w:rFonts w:hint="eastAsia" w:ascii="仿宋_GB2312" w:hAnsi="仿宋_GB2312" w:eastAsia="仿宋_GB2312" w:cs="仿宋_GB2312"/>
          <w:sz w:val="32"/>
          <w:szCs w:val="32"/>
        </w:rPr>
        <w:t>日期：       年     月    日</w:t>
      </w:r>
      <w:r>
        <w:rPr>
          <w:rFonts w:hint="eastAsia" w:ascii="仿宋_GB2312" w:hAnsi="仿宋_GB2312" w:eastAsia="仿宋_GB2312" w:cs="仿宋_GB2312"/>
          <w:b/>
          <w:sz w:val="32"/>
          <w:szCs w:val="32"/>
        </w:rPr>
        <w:t xml:space="preserve"> </w:t>
      </w:r>
    </w:p>
    <w:p>
      <w:pPr>
        <w:pStyle w:val="5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51"/>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设备投入的情况</w:t>
      </w:r>
    </w:p>
    <w:p>
      <w:pPr>
        <w:adjustRightIn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（格式自拟）</w:t>
      </w:r>
    </w:p>
    <w:p>
      <w:pPr>
        <w:adjustRightInd w:val="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Cs/>
          <w:sz w:val="32"/>
          <w:szCs w:val="32"/>
        </w:rPr>
        <w:t>附件13</w:t>
      </w:r>
    </w:p>
    <w:p>
      <w:pPr>
        <w:pStyle w:val="12"/>
        <w:spacing w:before="295" w:after="295"/>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t>投标人主要业绩</w:t>
      </w:r>
    </w:p>
    <w:tbl>
      <w:tblPr>
        <w:tblStyle w:val="26"/>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053" w:type="dxa"/>
            <w:vAlign w:val="center"/>
          </w:tcPr>
          <w:p>
            <w:pPr>
              <w:jc w:val="center"/>
              <w:rPr>
                <w:rFonts w:ascii="仿宋_GB2312" w:hAnsi="仿宋_GB2312" w:eastAsia="仿宋_GB2312" w:cs="仿宋_GB2312"/>
                <w:spacing w:val="-16"/>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6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采购人</w:t>
            </w:r>
          </w:p>
        </w:tc>
        <w:tc>
          <w:tcPr>
            <w:tcW w:w="6053" w:type="dxa"/>
            <w:vAlign w:val="center"/>
          </w:tcPr>
          <w:p>
            <w:pPr>
              <w:jc w:val="center"/>
              <w:rPr>
                <w:rFonts w:ascii="仿宋_GB2312" w:hAnsi="仿宋_GB2312" w:eastAsia="仿宋_GB2312" w:cs="仿宋_GB2312"/>
                <w:spacing w:val="-16"/>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采购人联系人</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及联系电话</w:t>
            </w:r>
          </w:p>
        </w:tc>
        <w:tc>
          <w:tcPr>
            <w:tcW w:w="6053" w:type="dxa"/>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项目地点</w:t>
            </w:r>
          </w:p>
        </w:tc>
        <w:tc>
          <w:tcPr>
            <w:tcW w:w="6053" w:type="dxa"/>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服务期限</w:t>
            </w:r>
          </w:p>
        </w:tc>
        <w:tc>
          <w:tcPr>
            <w:tcW w:w="6053" w:type="dxa"/>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pacing w:val="-16"/>
                <w:sz w:val="32"/>
                <w:szCs w:val="32"/>
              </w:rPr>
              <w:t>签约合同金额</w:t>
            </w:r>
          </w:p>
        </w:tc>
        <w:tc>
          <w:tcPr>
            <w:tcW w:w="6053" w:type="dxa"/>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4" w:type="dxa"/>
            <w:vAlign w:val="center"/>
          </w:tcPr>
          <w:p>
            <w:pPr>
              <w:jc w:val="center"/>
              <w:rPr>
                <w:rFonts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项目描述</w:t>
            </w:r>
          </w:p>
        </w:tc>
        <w:tc>
          <w:tcPr>
            <w:tcW w:w="6053" w:type="dxa"/>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4"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6053" w:type="dxa"/>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8747" w:type="dxa"/>
            <w:gridSpan w:val="2"/>
            <w:vAlign w:val="center"/>
          </w:tcPr>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说明：1、附近三年证明材料。20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年1月1日-至今类似业绩；</w:t>
            </w:r>
          </w:p>
          <w:p>
            <w:pPr>
              <w:ind w:left="1440" w:hanging="1440" w:hangingChars="4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2、本表后附合同或中标通知书等其他有效证明材料复印件。每张表格只填写一个项目，并标明序号。</w:t>
            </w:r>
          </w:p>
        </w:tc>
      </w:tr>
    </w:tbl>
    <w:p>
      <w:pPr>
        <w:rPr>
          <w:rFonts w:ascii="仿宋_GB2312" w:hAnsi="仿宋_GB2312" w:eastAsia="仿宋_GB2312" w:cs="仿宋_GB2312"/>
          <w:sz w:val="32"/>
          <w:szCs w:val="32"/>
        </w:rPr>
      </w:pPr>
    </w:p>
    <w:p>
      <w:pPr>
        <w:pStyle w:val="13"/>
        <w:adjustRightInd w:val="0"/>
        <w:ind w:left="0" w:leftChars="0"/>
        <w:rPr>
          <w:rFonts w:ascii="仿宋_GB2312" w:hAnsi="仿宋_GB2312" w:eastAsia="仿宋_GB2312" w:cs="仿宋_GB2312"/>
          <w:bCs/>
          <w:sz w:val="32"/>
          <w:szCs w:val="32"/>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w:t>
      </w:r>
    </w:p>
    <w:p>
      <w:pPr>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w:t>
      </w:r>
      <w:r>
        <w:rPr>
          <w:rFonts w:hint="eastAsia" w:ascii="仿宋_GB2312" w:hAnsi="仿宋_GB2312" w:eastAsia="仿宋_GB2312" w:cs="仿宋_GB2312"/>
          <w:sz w:val="32"/>
          <w:szCs w:val="32"/>
          <w:u w:val="single"/>
        </w:rPr>
        <w:t xml:space="preserve">                   </w:t>
      </w:r>
    </w:p>
    <w:p>
      <w:pPr>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日</w:t>
      </w:r>
    </w:p>
    <w:p>
      <w:pPr>
        <w:adjustRightInd w:val="0"/>
        <w:rPr>
          <w:rFonts w:ascii="仿宋_GB2312" w:hAnsi="仿宋_GB2312" w:eastAsia="仿宋_GB2312" w:cs="仿宋_GB2312"/>
          <w:bCs/>
          <w:sz w:val="32"/>
          <w:szCs w:val="32"/>
        </w:rPr>
        <w:sectPr>
          <w:headerReference r:id="rId7" w:type="default"/>
          <w:footerReference r:id="rId8" w:type="even"/>
          <w:pgSz w:w="11906" w:h="16838"/>
          <w:pgMar w:top="1440" w:right="1800" w:bottom="1440" w:left="1800" w:header="851" w:footer="992" w:gutter="0"/>
          <w:cols w:space="720" w:num="1"/>
          <w:docGrid w:type="lines" w:linePitch="312" w:charSpace="0"/>
        </w:sectPr>
      </w:pPr>
    </w:p>
    <w:p>
      <w:pPr>
        <w:pStyle w:val="5"/>
        <w:spacing w:line="240" w:lineRule="auto"/>
        <w:jc w:val="center"/>
        <w:rPr>
          <w:rFonts w:ascii="仿宋_GB2312" w:hAnsi="仿宋_GB2312" w:eastAsia="仿宋_GB2312" w:cs="仿宋_GB2312"/>
        </w:rPr>
      </w:pPr>
      <w:bookmarkStart w:id="134" w:name="_Toc480804910"/>
      <w:bookmarkStart w:id="135" w:name="_Toc25939"/>
      <w:bookmarkStart w:id="136" w:name="_Toc12898854"/>
      <w:r>
        <w:rPr>
          <w:rFonts w:hint="eastAsia" w:ascii="仿宋_GB2312" w:hAnsi="仿宋_GB2312" w:eastAsia="仿宋_GB2312" w:cs="仿宋_GB2312"/>
        </w:rPr>
        <w:t>五、投标人的资格审查材料</w:t>
      </w:r>
      <w:bookmarkEnd w:id="134"/>
      <w:bookmarkEnd w:id="135"/>
      <w:bookmarkEnd w:id="136"/>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1、企业法人营业执照副本或事业单位法人证书副本复印件</w:t>
      </w:r>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2、税务登记证复印件（营业执照“三证合一”不需提供）</w:t>
      </w:r>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3、组织机构代码证复印件（营业执照“三证合一”不需提供）</w:t>
      </w:r>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4、投标人须具有良好的商业信誉和健全的财务会计制度，须提供相关证明材料，其中：</w:t>
      </w:r>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供应商是法人的，应提供上一年度经审计的财务报告复印件（报告中须包括资产负债表、利润表、现金流量表及财务报表附注），或其基本开户银行出具的资信证明原件；</w:t>
      </w:r>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供应商是其他组织或自然人的，应提供银行出具的资信证明原件。</w:t>
      </w:r>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5、投标人须具有履行合同所必需的设备和专业技术能力，须附相关证明材料或声明：</w:t>
      </w:r>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6、投标人须具有依法缴纳税收和社会保障资金的良好记录，须提供相关证明材料，其中：</w:t>
      </w:r>
    </w:p>
    <w:p>
      <w:pPr>
        <w:adjustRightInd w:val="0"/>
        <w:spacing w:line="500" w:lineRule="exact"/>
        <w:ind w:right="-153" w:rightChars="-7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供应商是法人的，缴纳税收的证明材料，应提供税务登记证复印件或开标前半年内任意一个月的纳税凭据复印件；；</w:t>
      </w:r>
    </w:p>
    <w:p>
      <w:pPr>
        <w:adjustRightInd w:val="0"/>
        <w:spacing w:line="500" w:lineRule="exact"/>
        <w:ind w:right="-153" w:rightChars="-7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供应商是法人的，缴纳社会保障资金的证明材料，应提供社会保险登记证或开标前半年内任意一个月的缴纳社会保险的凭据（专用收据或社会保险缴纳清单）复印件；</w:t>
      </w:r>
    </w:p>
    <w:p>
      <w:pPr>
        <w:adjustRightInd w:val="0"/>
        <w:spacing w:line="500" w:lineRule="exact"/>
        <w:ind w:right="-153" w:rightChars="-7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供应商是其他组织和自然人的，需要提供开标前半年内任意一个月的缴纳税收和社会保险的凭据。</w:t>
      </w:r>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7、近三年内，投标人在经营活动中没有重大违法记录，其中：</w:t>
      </w:r>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重大违法记录是指供应商因违法经营受到刑事处罚或者责令停产停业、吊销许可证或者执照、较大数额罚款等行政处罚；</w:t>
      </w:r>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供应商须提供参与本采购活动前三年内在经营活动中没有重大违法记录的书面声明。</w:t>
      </w:r>
    </w:p>
    <w:p>
      <w:pPr>
        <w:adjustRightInd w:val="0"/>
        <w:spacing w:line="500" w:lineRule="exact"/>
        <w:ind w:right="-153" w:rightChars="-73"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8、近三年内（本项目投标截止期前）被“信用中国”网站列入失信被执行人和重大税收违法案件当事人名单的、被“中国政府采购网”网站列入政府采购严重违法失信行为记录名单</w:t>
      </w:r>
      <w:r>
        <w:rPr>
          <w:rFonts w:hint="eastAsia" w:ascii="仿宋_GB2312" w:hAnsi="仿宋_GB2312" w:eastAsia="仿宋_GB2312" w:cs="仿宋_GB2312"/>
          <w:kern w:val="0"/>
          <w:sz w:val="32"/>
          <w:szCs w:val="32"/>
        </w:rPr>
        <w:t>（处罚决定规定的时间和地域范围内）</w:t>
      </w:r>
      <w:r>
        <w:rPr>
          <w:rFonts w:hint="eastAsia" w:ascii="仿宋_GB2312" w:hAnsi="仿宋_GB2312" w:eastAsia="仿宋_GB2312" w:cs="仿宋_GB2312"/>
          <w:sz w:val="32"/>
          <w:szCs w:val="32"/>
        </w:rPr>
        <w:t>，不得参与本项目的政府采购活动，供应商须提供没有上述失信行为和重大税收违法案件记录的证明材料，其中证明材料指：供应商在“信用中国”和“中国政府采购网”网站上的查询记录截图。</w:t>
      </w:r>
    </w:p>
    <w:p>
      <w:pPr>
        <w:spacing w:line="500" w:lineRule="exact"/>
        <w:ind w:right="-153" w:rightChars="-73"/>
        <w:rPr>
          <w:rFonts w:ascii="仿宋_GB2312" w:hAnsi="仿宋_GB2312" w:eastAsia="仿宋_GB2312" w:cs="仿宋_GB2312"/>
          <w:sz w:val="32"/>
          <w:szCs w:val="32"/>
        </w:rPr>
      </w:pPr>
      <w:r>
        <w:rPr>
          <w:rFonts w:hint="eastAsia" w:ascii="仿宋_GB2312" w:hAnsi="仿宋_GB2312" w:eastAsia="仿宋_GB2312" w:cs="仿宋_GB2312"/>
          <w:sz w:val="32"/>
          <w:szCs w:val="32"/>
        </w:rPr>
        <w:t>注：1、以上复印件均需要加盖投标人行政原章。</w:t>
      </w:r>
    </w:p>
    <w:p>
      <w:pPr>
        <w:spacing w:line="500" w:lineRule="exact"/>
        <w:ind w:right="-153" w:rightChars="-73"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2、依法免税或不需要缴纳社会保障资金的投标人，应提供相应文件证明其依法免税或不需要缴纳社会保障资金。</w:t>
      </w:r>
    </w:p>
    <w:p>
      <w:pPr>
        <w:spacing w:line="500" w:lineRule="exact"/>
        <w:ind w:right="-153" w:rightChars="-73"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3、部分其他组织和自然人，没有经审计的财务报告，可以提供银行出具的资信证明。</w:t>
      </w:r>
    </w:p>
    <w:p>
      <w:pPr>
        <w:adjustRightInd w:val="0"/>
        <w:spacing w:line="500" w:lineRule="exact"/>
        <w:ind w:right="24"/>
        <w:rPr>
          <w:rFonts w:ascii="仿宋_GB2312" w:hAnsi="仿宋_GB2312" w:eastAsia="仿宋_GB2312" w:cs="仿宋_GB2312"/>
          <w:bCs/>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Cs/>
          <w:sz w:val="32"/>
          <w:szCs w:val="32"/>
        </w:rPr>
        <w:t>附件14</w:t>
      </w:r>
    </w:p>
    <w:p>
      <w:pPr>
        <w:adjustRightInd w:val="0"/>
        <w:spacing w:before="156" w:beforeLines="5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近3年内在经营活动中没有重大违法记录的书面声明</w:t>
      </w:r>
    </w:p>
    <w:p>
      <w:pPr>
        <w:adjustRightInd w:val="0"/>
        <w:spacing w:before="156" w:beforeLines="50"/>
        <w:jc w:val="center"/>
        <w:rPr>
          <w:rFonts w:ascii="仿宋_GB2312" w:hAnsi="仿宋_GB2312" w:eastAsia="仿宋_GB2312" w:cs="仿宋_GB2312"/>
          <w:sz w:val="32"/>
          <w:szCs w:val="32"/>
        </w:rPr>
      </w:pP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我公司参与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pPr>
        <w:adjustRightInd w:val="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 xml:space="preserve">特此声明  </w:t>
      </w:r>
    </w:p>
    <w:p>
      <w:pPr>
        <w:adjustRightInd w:val="0"/>
        <w:ind w:firstLine="4150" w:firstLineChars="1297"/>
        <w:rPr>
          <w:rFonts w:ascii="仿宋_GB2312" w:hAnsi="仿宋_GB2312" w:eastAsia="仿宋_GB2312" w:cs="仿宋_GB2312"/>
          <w:sz w:val="32"/>
          <w:szCs w:val="32"/>
        </w:rPr>
      </w:pPr>
    </w:p>
    <w:p>
      <w:pPr>
        <w:ind w:firstLine="5337" w:firstLineChars="1668"/>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投标人名称（盖单位公章）：</w:t>
      </w:r>
      <w:r>
        <w:rPr>
          <w:rFonts w:hint="eastAsia" w:ascii="仿宋_GB2312" w:hAnsi="仿宋_GB2312" w:eastAsia="仿宋_GB2312" w:cs="仿宋_GB2312"/>
          <w:sz w:val="32"/>
          <w:szCs w:val="32"/>
          <w:u w:val="single"/>
        </w:rPr>
        <w:t xml:space="preserve">                 </w:t>
      </w:r>
    </w:p>
    <w:p>
      <w:pPr>
        <w:ind w:firstLine="5337" w:firstLineChars="1668"/>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法定代表人（签名）：</w:t>
      </w:r>
      <w:r>
        <w:rPr>
          <w:rFonts w:hint="eastAsia" w:ascii="仿宋_GB2312" w:hAnsi="仿宋_GB2312" w:eastAsia="仿宋_GB2312" w:cs="仿宋_GB2312"/>
          <w:sz w:val="32"/>
          <w:szCs w:val="32"/>
          <w:u w:val="single"/>
        </w:rPr>
        <w:t xml:space="preserve">                </w:t>
      </w:r>
    </w:p>
    <w:p>
      <w:pPr>
        <w:ind w:firstLine="5337" w:firstLineChars="166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ind w:firstLine="5337" w:firstLineChars="1668"/>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注：近三年：成立三年以上的，为提交首次投标文件截止时间前三年内；成立不足三年的，为实际时间。</w:t>
      </w:r>
      <w:r>
        <w:rPr>
          <w:rFonts w:hint="eastAsia" w:ascii="仿宋_GB2312" w:hAnsi="仿宋_GB2312" w:eastAsia="仿宋_GB2312" w:cs="仿宋_GB2312"/>
          <w:bCs/>
          <w:sz w:val="32"/>
          <w:szCs w:val="32"/>
        </w:rPr>
        <w:br w:type="page"/>
      </w:r>
      <w:r>
        <w:rPr>
          <w:rFonts w:hint="eastAsia" w:ascii="仿宋_GB2312" w:hAnsi="仿宋_GB2312" w:eastAsia="仿宋_GB2312" w:cs="仿宋_GB2312"/>
          <w:bCs/>
          <w:sz w:val="32"/>
          <w:szCs w:val="32"/>
        </w:rPr>
        <w:t>附件15</w:t>
      </w:r>
    </w:p>
    <w:p>
      <w:pPr>
        <w:autoSpaceDE w:val="0"/>
        <w:autoSpaceDN w:val="0"/>
        <w:adjustRightInd w:val="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信用记录</w:t>
      </w:r>
    </w:p>
    <w:p>
      <w:pPr>
        <w:widowControl/>
        <w:adjustRightInd w:val="0"/>
        <w:ind w:firstLine="664" w:firstLineChars="200"/>
        <w:jc w:val="center"/>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（复印件并加盖投标单位公章）</w:t>
      </w:r>
    </w:p>
    <w:p>
      <w:pPr>
        <w:widowControl/>
        <w:adjustRightInd w:val="0"/>
        <w:ind w:firstLine="664" w:firstLineChars="200"/>
        <w:jc w:val="left"/>
        <w:rPr>
          <w:rFonts w:ascii="仿宋_GB2312" w:hAnsi="仿宋_GB2312" w:eastAsia="仿宋_GB2312" w:cs="仿宋_GB2312"/>
          <w:spacing w:val="6"/>
          <w:kern w:val="0"/>
          <w:sz w:val="32"/>
          <w:szCs w:val="32"/>
        </w:rPr>
      </w:pPr>
    </w:p>
    <w:p>
      <w:pPr>
        <w:widowControl/>
        <w:adjustRightInd w:val="0"/>
        <w:ind w:firstLine="664" w:firstLineChars="200"/>
        <w:jc w:val="left"/>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依据财库[2016]125号文件规定，投标人须符合《关于在政府采购活动中查询及使用信用记录有关问题的通知》的相关要求，即具有良好的信用记录。</w:t>
      </w:r>
    </w:p>
    <w:p>
      <w:pPr>
        <w:widowControl/>
        <w:adjustRightInd w:val="0"/>
        <w:ind w:firstLine="664" w:firstLineChars="200"/>
        <w:jc w:val="left"/>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投标人须提供本单位近3年（本项目至递交投标文件截止日前）“信用中国”网站（www.creditchina.gov.cn）及中国政府采购网（www.ccgp.gov.cn）已公布的信用记录查询截图。</w:t>
      </w:r>
    </w:p>
    <w:p>
      <w:pPr>
        <w:widowControl/>
        <w:adjustRightInd w:val="0"/>
        <w:ind w:firstLine="664" w:firstLineChars="200"/>
        <w:jc w:val="left"/>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截图含1）被列入失信被执行人</w:t>
      </w:r>
    </w:p>
    <w:p>
      <w:pPr>
        <w:widowControl/>
        <w:adjustRightInd w:val="0"/>
        <w:ind w:firstLine="1826" w:firstLineChars="550"/>
        <w:jc w:val="left"/>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2）重大税收违法案件当事人名单的供应商</w:t>
      </w:r>
    </w:p>
    <w:p>
      <w:pPr>
        <w:widowControl/>
        <w:adjustRightInd w:val="0"/>
        <w:ind w:firstLine="1826" w:firstLineChars="550"/>
        <w:jc w:val="left"/>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3）列入政府采购严重违法失信行为记录名单</w:t>
      </w:r>
    </w:p>
    <w:p>
      <w:pPr>
        <w:widowControl/>
        <w:adjustRightInd w:val="0"/>
        <w:ind w:firstLine="664" w:firstLineChars="200"/>
        <w:jc w:val="left"/>
        <w:rPr>
          <w:rFonts w:ascii="仿宋_GB2312" w:hAnsi="仿宋_GB2312" w:eastAsia="仿宋_GB2312" w:cs="仿宋_GB2312"/>
          <w:spacing w:val="6"/>
          <w:kern w:val="0"/>
          <w:sz w:val="32"/>
          <w:szCs w:val="32"/>
        </w:rPr>
      </w:pPr>
    </w:p>
    <w:p>
      <w:pPr>
        <w:widowControl/>
        <w:adjustRightInd w:val="0"/>
        <w:ind w:firstLine="664" w:firstLineChars="200"/>
        <w:jc w:val="left"/>
        <w:rPr>
          <w:rFonts w:ascii="仿宋_GB2312" w:hAnsi="仿宋_GB2312" w:eastAsia="仿宋_GB2312" w:cs="仿宋_GB2312"/>
          <w:spacing w:val="6"/>
          <w:kern w:val="0"/>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pacing w:val="6"/>
          <w:kern w:val="0"/>
          <w:sz w:val="32"/>
          <w:szCs w:val="32"/>
        </w:rPr>
        <w:t>例如：网站搜索页输入投标单位名称，截图查询结果。</w:t>
      </w:r>
    </w:p>
    <w:bookmarkEnd w:id="122"/>
    <w:p>
      <w:pPr>
        <w:pStyle w:val="5"/>
        <w:spacing w:line="240" w:lineRule="auto"/>
        <w:jc w:val="center"/>
        <w:rPr>
          <w:rFonts w:ascii="仿宋_GB2312" w:hAnsi="仿宋_GB2312" w:eastAsia="仿宋_GB2312" w:cs="仿宋_GB2312"/>
        </w:rPr>
      </w:pPr>
      <w:bookmarkStart w:id="137" w:name="_Toc12898855"/>
      <w:bookmarkStart w:id="138" w:name="_Toc5247"/>
      <w:r>
        <w:rPr>
          <w:rFonts w:hint="eastAsia" w:ascii="仿宋_GB2312" w:hAnsi="仿宋_GB2312" w:eastAsia="仿宋_GB2312" w:cs="仿宋_GB2312"/>
        </w:rPr>
        <w:t>六、服务方案</w:t>
      </w:r>
      <w:bookmarkEnd w:id="137"/>
      <w:bookmarkEnd w:id="138"/>
    </w:p>
    <w:p>
      <w:pPr>
        <w:topLinePunct/>
        <w:rPr>
          <w:rFonts w:ascii="仿宋_GB2312" w:hAnsi="仿宋_GB2312" w:eastAsia="仿宋_GB2312" w:cs="仿宋_GB2312"/>
          <w:sz w:val="32"/>
          <w:szCs w:val="32"/>
        </w:rPr>
      </w:pPr>
    </w:p>
    <w:p>
      <w:pPr>
        <w:topLinePunct/>
        <w:rPr>
          <w:rFonts w:ascii="仿宋_GB2312" w:hAnsi="仿宋_GB2312" w:eastAsia="仿宋_GB2312" w:cs="仿宋_GB2312"/>
          <w:sz w:val="32"/>
          <w:szCs w:val="32"/>
        </w:rPr>
      </w:pPr>
    </w:p>
    <w:p>
      <w:pPr>
        <w:pStyle w:val="12"/>
        <w:adjustRightInd w:val="0"/>
        <w:jc w:val="center"/>
        <w:outlineLvl w:val="0"/>
        <w:rPr>
          <w:rFonts w:ascii="仿宋_GB2312" w:hAnsi="仿宋_GB2312" w:eastAsia="仿宋_GB2312" w:cs="仿宋_GB2312"/>
          <w:b/>
          <w:sz w:val="32"/>
          <w:szCs w:val="32"/>
        </w:rPr>
      </w:pPr>
      <w:r>
        <w:rPr>
          <w:rFonts w:hint="eastAsia" w:ascii="仿宋_GB2312" w:hAnsi="仿宋_GB2312" w:eastAsia="仿宋_GB2312" w:cs="仿宋_GB2312"/>
          <w:sz w:val="32"/>
          <w:szCs w:val="32"/>
        </w:rPr>
        <w:br w:type="page"/>
      </w:r>
      <w:bookmarkStart w:id="139" w:name="_Toc12898856"/>
      <w:bookmarkStart w:id="140" w:name="_Toc32280"/>
      <w:r>
        <w:rPr>
          <w:rStyle w:val="45"/>
          <w:rFonts w:hint="eastAsia" w:ascii="仿宋_GB2312" w:hAnsi="仿宋_GB2312" w:eastAsia="仿宋_GB2312" w:cs="仿宋_GB2312"/>
          <w:sz w:val="32"/>
        </w:rPr>
        <w:t>七、服务承诺书</w:t>
      </w:r>
      <w:bookmarkEnd w:id="139"/>
      <w:bookmarkEnd w:id="140"/>
    </w:p>
    <w:p>
      <w:pPr>
        <w:topLinePun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格式自拟</w:t>
      </w:r>
    </w:p>
    <w:p>
      <w:pPr>
        <w:pStyle w:val="12"/>
        <w:adjustRightIn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12"/>
        <w:spacing w:before="295" w:after="295"/>
        <w:rPr>
          <w:rFonts w:ascii="仿宋_GB2312" w:hAnsi="仿宋_GB2312" w:eastAsia="仿宋_GB2312" w:cs="仿宋_GB2312"/>
          <w:sz w:val="32"/>
          <w:szCs w:val="32"/>
        </w:rPr>
        <w:sectPr>
          <w:headerReference r:id="rId9" w:type="default"/>
          <w:footerReference r:id="rId10" w:type="even"/>
          <w:pgSz w:w="11906" w:h="16838"/>
          <w:pgMar w:top="1440" w:right="1800" w:bottom="1440" w:left="1800" w:header="851" w:footer="992" w:gutter="0"/>
          <w:cols w:space="720" w:num="1"/>
          <w:docGrid w:type="lines" w:linePitch="312" w:charSpace="0"/>
        </w:sectPr>
      </w:pPr>
    </w:p>
    <w:p>
      <w:pPr>
        <w:pStyle w:val="5"/>
        <w:spacing w:line="240" w:lineRule="auto"/>
        <w:jc w:val="center"/>
        <w:rPr>
          <w:rFonts w:ascii="仿宋_GB2312" w:hAnsi="仿宋_GB2312" w:eastAsia="仿宋_GB2312" w:cs="仿宋_GB2312"/>
        </w:rPr>
      </w:pPr>
      <w:bookmarkStart w:id="141" w:name="_Toc12898857"/>
      <w:bookmarkStart w:id="142" w:name="_Toc24162"/>
      <w:r>
        <w:rPr>
          <w:rFonts w:hint="eastAsia" w:ascii="仿宋_GB2312" w:hAnsi="仿宋_GB2312" w:eastAsia="仿宋_GB2312" w:cs="仿宋_GB2312"/>
        </w:rPr>
        <w:t>八、投标人认为需要提供的其它资料</w:t>
      </w:r>
      <w:bookmarkEnd w:id="141"/>
      <w:bookmarkEnd w:id="142"/>
    </w:p>
    <w:p>
      <w:pPr>
        <w:rPr>
          <w:rFonts w:ascii="仿宋_GB2312" w:hAnsi="仿宋_GB2312" w:eastAsia="仿宋_GB2312" w:cs="仿宋_GB2312"/>
          <w:bCs/>
          <w:sz w:val="32"/>
          <w:szCs w:val="32"/>
        </w:rPr>
      </w:pPr>
    </w:p>
    <w:p>
      <w:pPr>
        <w:rPr>
          <w:rFonts w:ascii="仿宋_GB2312" w:hAnsi="仿宋_GB2312" w:eastAsia="仿宋_GB2312" w:cs="仿宋_GB2312"/>
          <w:bCs/>
          <w:sz w:val="32"/>
          <w:szCs w:val="32"/>
        </w:rPr>
      </w:pPr>
    </w:p>
    <w:p>
      <w:pPr>
        <w:rPr>
          <w:rFonts w:ascii="仿宋_GB2312" w:hAnsi="仿宋_GB2312" w:eastAsia="仿宋_GB2312" w:cs="仿宋_GB2312"/>
          <w:bCs/>
          <w:sz w:val="32"/>
          <w:szCs w:val="32"/>
        </w:rPr>
      </w:pPr>
    </w:p>
    <w:p>
      <w:pPr>
        <w:rPr>
          <w:rFonts w:ascii="仿宋_GB2312" w:hAnsi="仿宋_GB2312" w:eastAsia="仿宋_GB2312" w:cs="仿宋_GB2312"/>
          <w:b/>
          <w:bCs/>
          <w:sz w:val="32"/>
          <w:szCs w:val="32"/>
        </w:rPr>
      </w:pPr>
    </w:p>
    <w:sectPr>
      <w:footerReference r:id="rId12" w:type="first"/>
      <w:footerReference r:id="rId11" w:type="default"/>
      <w:pgSz w:w="11906" w:h="16838"/>
      <w:pgMar w:top="1701" w:right="1418" w:bottom="1418"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nt0000000022270c28">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ont0000000022270c27">
    <w:altName w:val="微软雅黑"/>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0"/>
      </w:rPr>
    </w:pPr>
    <w:r>
      <w:fldChar w:fldCharType="begin"/>
    </w:r>
    <w:r>
      <w:rPr>
        <w:rStyle w:val="30"/>
      </w:rPr>
      <w:instrText xml:space="preserve">PAGE  </w:instrText>
    </w:r>
    <w:r>
      <w:fldChar w:fldCharType="separate"/>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jc w:val="center"/>
                          </w:pPr>
                          <w:r>
                            <w:fldChar w:fldCharType="begin"/>
                          </w:r>
                          <w:r>
                            <w:instrText xml:space="preserve"> PAGE   \* MERGEFORMAT </w:instrText>
                          </w:r>
                          <w:r>
                            <w:fldChar w:fldCharType="separate"/>
                          </w:r>
                          <w:r>
                            <w:rPr>
                              <w:lang w:val="zh-CN"/>
                            </w:rPr>
                            <w:t>5</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w1q/M4AEAALwDAAAO&#10;AAAAAAAAAAEAIAAAACIBAABkcnMvZTJvRG9jLnhtbFBLBQYAAAAABgAGAFkBAAB0BQAAAAA=&#10;">
              <v:fill on="f" focussize="0,0"/>
              <v:stroke on="f" weight="1.2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5</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30"/>
                            </w:rPr>
                          </w:pPr>
                          <w:r>
                            <w:fldChar w:fldCharType="begin"/>
                          </w:r>
                          <w:r>
                            <w:rPr>
                              <w:rStyle w:val="30"/>
                            </w:rPr>
                            <w:instrText xml:space="preserve"> PAGE </w:instrText>
                          </w:r>
                          <w:r>
                            <w:fldChar w:fldCharType="separate"/>
                          </w:r>
                          <w:r>
                            <w:rPr>
                              <w:rStyle w:val="30"/>
                            </w:rPr>
                            <w:t>2</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a76DB4AEAALwDAAAO&#10;AAAAAAAAAAEAIAAAACIBAABkcnMvZTJvRG9jLnhtbFBLBQYAAAAABgAGAFkBAAB0BQAAAAA=&#10;">
              <v:fill on="f" focussize="0,0"/>
              <v:stroke on="f" weight="1.25pt"/>
              <v:imagedata o:title=""/>
              <o:lock v:ext="edit" aspectratio="f"/>
              <v:textbox inset="0mm,0mm,0mm,0mm" style="mso-fit-shape-to-text:t;">
                <w:txbxContent>
                  <w:p>
                    <w:pPr>
                      <w:pStyle w:val="15"/>
                      <w:rPr>
                        <w:rStyle w:val="30"/>
                      </w:rPr>
                    </w:pPr>
                    <w:r>
                      <w:fldChar w:fldCharType="begin"/>
                    </w:r>
                    <w:r>
                      <w:rPr>
                        <w:rStyle w:val="30"/>
                      </w:rPr>
                      <w:instrText xml:space="preserve"> PAGE </w:instrText>
                    </w:r>
                    <w:r>
                      <w:fldChar w:fldCharType="separate"/>
                    </w:r>
                    <w:r>
                      <w:rPr>
                        <w:rStyle w:val="30"/>
                      </w:rP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30"/>
                            </w:rPr>
                          </w:pPr>
                          <w:r>
                            <w:fldChar w:fldCharType="begin"/>
                          </w:r>
                          <w:r>
                            <w:rPr>
                              <w:rStyle w:val="30"/>
                            </w:rPr>
                            <w:instrText xml:space="preserve"> PAGE </w:instrText>
                          </w:r>
                          <w:r>
                            <w:fldChar w:fldCharType="separate"/>
                          </w:r>
                          <w:r>
                            <w:rPr>
                              <w:rStyle w:val="30"/>
                            </w:rPr>
                            <w:t>1</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cfbG++EBAAC8AwAA&#10;DgAAAAAAAAABACAAAAAiAQAAZHJzL2Uyb0RvYy54bWxQSwUGAAAAAAYABgBZAQAAdQUAAAAA&#10;">
              <v:fill on="f" focussize="0,0"/>
              <v:stroke on="f" weight="1.25pt"/>
              <v:imagedata o:title=""/>
              <o:lock v:ext="edit" aspectratio="f"/>
              <v:textbox inset="0mm,0mm,0mm,0mm" style="mso-fit-shape-to-text:t;">
                <w:txbxContent>
                  <w:p>
                    <w:pPr>
                      <w:pStyle w:val="15"/>
                      <w:rPr>
                        <w:rStyle w:val="30"/>
                      </w:rPr>
                    </w:pPr>
                    <w:r>
                      <w:fldChar w:fldCharType="begin"/>
                    </w:r>
                    <w:r>
                      <w:rPr>
                        <w:rStyle w:val="30"/>
                      </w:rPr>
                      <w:instrText xml:space="preserve"> PAGE </w:instrText>
                    </w:r>
                    <w:r>
                      <w:fldChar w:fldCharType="separate"/>
                    </w:r>
                    <w:r>
                      <w:rPr>
                        <w:rStyle w:val="30"/>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71722"/>
    <w:multiLevelType w:val="singleLevel"/>
    <w:tmpl w:val="8CB71722"/>
    <w:lvl w:ilvl="0" w:tentative="0">
      <w:start w:val="1"/>
      <w:numFmt w:val="decimal"/>
      <w:lvlText w:val="%1."/>
      <w:lvlJc w:val="left"/>
      <w:pPr>
        <w:tabs>
          <w:tab w:val="left" w:pos="312"/>
        </w:tabs>
      </w:pPr>
    </w:lvl>
  </w:abstractNum>
  <w:abstractNum w:abstractNumId="1">
    <w:nsid w:val="274D681B"/>
    <w:multiLevelType w:val="singleLevel"/>
    <w:tmpl w:val="274D681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TU0MTUwYjMxYWE3YzZlOWJlNjMyZDZjZDU1NDIifQ=="/>
  </w:docVars>
  <w:rsids>
    <w:rsidRoot w:val="00172A27"/>
    <w:rsid w:val="0000070B"/>
    <w:rsid w:val="0000143D"/>
    <w:rsid w:val="00011124"/>
    <w:rsid w:val="000122B1"/>
    <w:rsid w:val="00033B9F"/>
    <w:rsid w:val="000345AE"/>
    <w:rsid w:val="000355F0"/>
    <w:rsid w:val="0003651B"/>
    <w:rsid w:val="0004403C"/>
    <w:rsid w:val="00045571"/>
    <w:rsid w:val="000539D9"/>
    <w:rsid w:val="0005711A"/>
    <w:rsid w:val="00063E2C"/>
    <w:rsid w:val="00064498"/>
    <w:rsid w:val="00067777"/>
    <w:rsid w:val="00067EC4"/>
    <w:rsid w:val="000702CC"/>
    <w:rsid w:val="0008013C"/>
    <w:rsid w:val="000868CD"/>
    <w:rsid w:val="00086F98"/>
    <w:rsid w:val="000931C4"/>
    <w:rsid w:val="000938E5"/>
    <w:rsid w:val="000957FF"/>
    <w:rsid w:val="00097BFB"/>
    <w:rsid w:val="000A0B8D"/>
    <w:rsid w:val="000A6F41"/>
    <w:rsid w:val="000B591F"/>
    <w:rsid w:val="000C1BCD"/>
    <w:rsid w:val="000C2ABE"/>
    <w:rsid w:val="000C4740"/>
    <w:rsid w:val="000C496B"/>
    <w:rsid w:val="000C7A9B"/>
    <w:rsid w:val="000D3AFC"/>
    <w:rsid w:val="000D5221"/>
    <w:rsid w:val="000D6D5D"/>
    <w:rsid w:val="000E4D3E"/>
    <w:rsid w:val="000E6933"/>
    <w:rsid w:val="000E7554"/>
    <w:rsid w:val="000F6145"/>
    <w:rsid w:val="000F7761"/>
    <w:rsid w:val="00101B5F"/>
    <w:rsid w:val="00103B6E"/>
    <w:rsid w:val="0010712B"/>
    <w:rsid w:val="00107B98"/>
    <w:rsid w:val="001113DF"/>
    <w:rsid w:val="00114ADB"/>
    <w:rsid w:val="00114D7C"/>
    <w:rsid w:val="001152C8"/>
    <w:rsid w:val="001175DE"/>
    <w:rsid w:val="00117829"/>
    <w:rsid w:val="0012071C"/>
    <w:rsid w:val="00120F0B"/>
    <w:rsid w:val="00122985"/>
    <w:rsid w:val="00122E18"/>
    <w:rsid w:val="00124EE0"/>
    <w:rsid w:val="001348E2"/>
    <w:rsid w:val="00135675"/>
    <w:rsid w:val="0013692D"/>
    <w:rsid w:val="00145B13"/>
    <w:rsid w:val="00146F32"/>
    <w:rsid w:val="0015296B"/>
    <w:rsid w:val="00153244"/>
    <w:rsid w:val="00154124"/>
    <w:rsid w:val="001542AF"/>
    <w:rsid w:val="00156C48"/>
    <w:rsid w:val="0015733F"/>
    <w:rsid w:val="00165433"/>
    <w:rsid w:val="001669B0"/>
    <w:rsid w:val="00172A27"/>
    <w:rsid w:val="00173E3A"/>
    <w:rsid w:val="001760BE"/>
    <w:rsid w:val="001764C4"/>
    <w:rsid w:val="00176BA0"/>
    <w:rsid w:val="00182335"/>
    <w:rsid w:val="001868D8"/>
    <w:rsid w:val="0019016F"/>
    <w:rsid w:val="00197458"/>
    <w:rsid w:val="00197FDB"/>
    <w:rsid w:val="001A07CA"/>
    <w:rsid w:val="001A1A82"/>
    <w:rsid w:val="001A1B43"/>
    <w:rsid w:val="001A3EEC"/>
    <w:rsid w:val="001A579A"/>
    <w:rsid w:val="001B2FD7"/>
    <w:rsid w:val="001B43AC"/>
    <w:rsid w:val="001B7072"/>
    <w:rsid w:val="001C0EF7"/>
    <w:rsid w:val="001C3A7B"/>
    <w:rsid w:val="001D54F1"/>
    <w:rsid w:val="001E618F"/>
    <w:rsid w:val="001E6399"/>
    <w:rsid w:val="001F1B2B"/>
    <w:rsid w:val="001F31E3"/>
    <w:rsid w:val="001F76B5"/>
    <w:rsid w:val="00200534"/>
    <w:rsid w:val="00202020"/>
    <w:rsid w:val="00202B67"/>
    <w:rsid w:val="00203B8A"/>
    <w:rsid w:val="0020582A"/>
    <w:rsid w:val="002303AA"/>
    <w:rsid w:val="002324D7"/>
    <w:rsid w:val="00240411"/>
    <w:rsid w:val="00246F78"/>
    <w:rsid w:val="00250558"/>
    <w:rsid w:val="00252727"/>
    <w:rsid w:val="002540AB"/>
    <w:rsid w:val="00257B89"/>
    <w:rsid w:val="00260775"/>
    <w:rsid w:val="00263133"/>
    <w:rsid w:val="002644A1"/>
    <w:rsid w:val="002702D3"/>
    <w:rsid w:val="0027107A"/>
    <w:rsid w:val="002714CD"/>
    <w:rsid w:val="00273395"/>
    <w:rsid w:val="00273509"/>
    <w:rsid w:val="00276E35"/>
    <w:rsid w:val="00277406"/>
    <w:rsid w:val="00277D9D"/>
    <w:rsid w:val="00281059"/>
    <w:rsid w:val="00284EB7"/>
    <w:rsid w:val="002857FF"/>
    <w:rsid w:val="002867E2"/>
    <w:rsid w:val="0028787C"/>
    <w:rsid w:val="002902D3"/>
    <w:rsid w:val="002910CB"/>
    <w:rsid w:val="00292F3B"/>
    <w:rsid w:val="002A2C8D"/>
    <w:rsid w:val="002A3695"/>
    <w:rsid w:val="002A5E8B"/>
    <w:rsid w:val="002A7E17"/>
    <w:rsid w:val="002B0716"/>
    <w:rsid w:val="002B3CD9"/>
    <w:rsid w:val="002C017D"/>
    <w:rsid w:val="002C43B0"/>
    <w:rsid w:val="002C700A"/>
    <w:rsid w:val="002C7166"/>
    <w:rsid w:val="002D0A84"/>
    <w:rsid w:val="002D11D6"/>
    <w:rsid w:val="002E10B5"/>
    <w:rsid w:val="002E3532"/>
    <w:rsid w:val="002F6121"/>
    <w:rsid w:val="003008F5"/>
    <w:rsid w:val="00302059"/>
    <w:rsid w:val="00311A50"/>
    <w:rsid w:val="00313E0B"/>
    <w:rsid w:val="00317471"/>
    <w:rsid w:val="003214ED"/>
    <w:rsid w:val="00324E9E"/>
    <w:rsid w:val="00335247"/>
    <w:rsid w:val="003413A5"/>
    <w:rsid w:val="00344968"/>
    <w:rsid w:val="003453AD"/>
    <w:rsid w:val="00347224"/>
    <w:rsid w:val="00354174"/>
    <w:rsid w:val="00354747"/>
    <w:rsid w:val="00357FEF"/>
    <w:rsid w:val="00371E5F"/>
    <w:rsid w:val="0037360C"/>
    <w:rsid w:val="00381F86"/>
    <w:rsid w:val="00382F5A"/>
    <w:rsid w:val="0038309A"/>
    <w:rsid w:val="00392CC1"/>
    <w:rsid w:val="00393154"/>
    <w:rsid w:val="00393864"/>
    <w:rsid w:val="00393C59"/>
    <w:rsid w:val="003958DB"/>
    <w:rsid w:val="003A19F1"/>
    <w:rsid w:val="003A6149"/>
    <w:rsid w:val="003A6D14"/>
    <w:rsid w:val="003B0209"/>
    <w:rsid w:val="003B4CBE"/>
    <w:rsid w:val="003B5DF8"/>
    <w:rsid w:val="003C1CAC"/>
    <w:rsid w:val="003C3137"/>
    <w:rsid w:val="003E1B23"/>
    <w:rsid w:val="003E20A4"/>
    <w:rsid w:val="003E337B"/>
    <w:rsid w:val="003E755E"/>
    <w:rsid w:val="003F3454"/>
    <w:rsid w:val="003F4291"/>
    <w:rsid w:val="003F48A8"/>
    <w:rsid w:val="003F5B77"/>
    <w:rsid w:val="003F6824"/>
    <w:rsid w:val="003F6F6B"/>
    <w:rsid w:val="00407AB7"/>
    <w:rsid w:val="004105BC"/>
    <w:rsid w:val="00412AB3"/>
    <w:rsid w:val="0041549A"/>
    <w:rsid w:val="004205DF"/>
    <w:rsid w:val="004232BF"/>
    <w:rsid w:val="00425466"/>
    <w:rsid w:val="004256C3"/>
    <w:rsid w:val="00427F8D"/>
    <w:rsid w:val="00433CDB"/>
    <w:rsid w:val="00434A42"/>
    <w:rsid w:val="004451C9"/>
    <w:rsid w:val="00447CC9"/>
    <w:rsid w:val="00450160"/>
    <w:rsid w:val="00457275"/>
    <w:rsid w:val="00464B2B"/>
    <w:rsid w:val="004660B7"/>
    <w:rsid w:val="0047101D"/>
    <w:rsid w:val="00472234"/>
    <w:rsid w:val="00476773"/>
    <w:rsid w:val="00485EEF"/>
    <w:rsid w:val="004A2064"/>
    <w:rsid w:val="004A2DC6"/>
    <w:rsid w:val="004A7032"/>
    <w:rsid w:val="004B16DC"/>
    <w:rsid w:val="004B5925"/>
    <w:rsid w:val="004C126F"/>
    <w:rsid w:val="004C4A39"/>
    <w:rsid w:val="004D16EE"/>
    <w:rsid w:val="004E0E55"/>
    <w:rsid w:val="004E7B0E"/>
    <w:rsid w:val="004F0937"/>
    <w:rsid w:val="004F19D5"/>
    <w:rsid w:val="004F2DA8"/>
    <w:rsid w:val="004F47F5"/>
    <w:rsid w:val="004F4ECD"/>
    <w:rsid w:val="004F5445"/>
    <w:rsid w:val="004F6806"/>
    <w:rsid w:val="0051074E"/>
    <w:rsid w:val="00510EA2"/>
    <w:rsid w:val="00514678"/>
    <w:rsid w:val="005163D9"/>
    <w:rsid w:val="00517633"/>
    <w:rsid w:val="00525655"/>
    <w:rsid w:val="005328E3"/>
    <w:rsid w:val="00533236"/>
    <w:rsid w:val="00534C61"/>
    <w:rsid w:val="00541A0E"/>
    <w:rsid w:val="00545E8F"/>
    <w:rsid w:val="0055473D"/>
    <w:rsid w:val="005567C6"/>
    <w:rsid w:val="00561694"/>
    <w:rsid w:val="0056231F"/>
    <w:rsid w:val="005644A3"/>
    <w:rsid w:val="00566915"/>
    <w:rsid w:val="005749B4"/>
    <w:rsid w:val="005752C9"/>
    <w:rsid w:val="00585940"/>
    <w:rsid w:val="00586B79"/>
    <w:rsid w:val="00590C75"/>
    <w:rsid w:val="00595E1C"/>
    <w:rsid w:val="005A0997"/>
    <w:rsid w:val="005A6086"/>
    <w:rsid w:val="005A71B3"/>
    <w:rsid w:val="005A7638"/>
    <w:rsid w:val="005B1093"/>
    <w:rsid w:val="005B2DD4"/>
    <w:rsid w:val="005B544D"/>
    <w:rsid w:val="005C0E4C"/>
    <w:rsid w:val="005D364D"/>
    <w:rsid w:val="005D5710"/>
    <w:rsid w:val="005D5E66"/>
    <w:rsid w:val="005E0933"/>
    <w:rsid w:val="005E16F6"/>
    <w:rsid w:val="005E4AEC"/>
    <w:rsid w:val="005F16B6"/>
    <w:rsid w:val="005F47C9"/>
    <w:rsid w:val="006019F8"/>
    <w:rsid w:val="00601EE2"/>
    <w:rsid w:val="0060353E"/>
    <w:rsid w:val="0060736A"/>
    <w:rsid w:val="00607612"/>
    <w:rsid w:val="00607FF1"/>
    <w:rsid w:val="00610B1B"/>
    <w:rsid w:val="00620C24"/>
    <w:rsid w:val="00623AD1"/>
    <w:rsid w:val="0063122E"/>
    <w:rsid w:val="00634498"/>
    <w:rsid w:val="006364C8"/>
    <w:rsid w:val="006373C5"/>
    <w:rsid w:val="00645E81"/>
    <w:rsid w:val="0065586A"/>
    <w:rsid w:val="00660B98"/>
    <w:rsid w:val="00674405"/>
    <w:rsid w:val="006773CF"/>
    <w:rsid w:val="00682D10"/>
    <w:rsid w:val="00683355"/>
    <w:rsid w:val="006840D8"/>
    <w:rsid w:val="0068424F"/>
    <w:rsid w:val="006858C3"/>
    <w:rsid w:val="006868F9"/>
    <w:rsid w:val="006879B9"/>
    <w:rsid w:val="0069284B"/>
    <w:rsid w:val="00695F0D"/>
    <w:rsid w:val="006A32F9"/>
    <w:rsid w:val="006A4A90"/>
    <w:rsid w:val="006A580D"/>
    <w:rsid w:val="006B2ECE"/>
    <w:rsid w:val="006B3C78"/>
    <w:rsid w:val="006C2657"/>
    <w:rsid w:val="006C31AA"/>
    <w:rsid w:val="006C3655"/>
    <w:rsid w:val="006C7A60"/>
    <w:rsid w:val="006D7805"/>
    <w:rsid w:val="006E18CC"/>
    <w:rsid w:val="006F0D57"/>
    <w:rsid w:val="00701D69"/>
    <w:rsid w:val="00702E33"/>
    <w:rsid w:val="00702FF0"/>
    <w:rsid w:val="007051AA"/>
    <w:rsid w:val="00721B8B"/>
    <w:rsid w:val="00724736"/>
    <w:rsid w:val="00724B42"/>
    <w:rsid w:val="00730D47"/>
    <w:rsid w:val="0073109D"/>
    <w:rsid w:val="007334AC"/>
    <w:rsid w:val="007336D7"/>
    <w:rsid w:val="0073770A"/>
    <w:rsid w:val="007436FC"/>
    <w:rsid w:val="00744ACD"/>
    <w:rsid w:val="007452E5"/>
    <w:rsid w:val="00750800"/>
    <w:rsid w:val="007546B9"/>
    <w:rsid w:val="00761570"/>
    <w:rsid w:val="007714F0"/>
    <w:rsid w:val="00776B61"/>
    <w:rsid w:val="00776EF0"/>
    <w:rsid w:val="0078276F"/>
    <w:rsid w:val="0078356F"/>
    <w:rsid w:val="0079012A"/>
    <w:rsid w:val="0079410F"/>
    <w:rsid w:val="00794595"/>
    <w:rsid w:val="00794CCE"/>
    <w:rsid w:val="007A0AC9"/>
    <w:rsid w:val="007A6957"/>
    <w:rsid w:val="007B2938"/>
    <w:rsid w:val="007B4A97"/>
    <w:rsid w:val="007B56BC"/>
    <w:rsid w:val="007B6B6A"/>
    <w:rsid w:val="007B77A1"/>
    <w:rsid w:val="007C3755"/>
    <w:rsid w:val="007C5FFC"/>
    <w:rsid w:val="007C72B2"/>
    <w:rsid w:val="007D4B74"/>
    <w:rsid w:val="007E58D9"/>
    <w:rsid w:val="007F0F91"/>
    <w:rsid w:val="007F2E5B"/>
    <w:rsid w:val="00803F72"/>
    <w:rsid w:val="00811AD7"/>
    <w:rsid w:val="00815E30"/>
    <w:rsid w:val="00816D07"/>
    <w:rsid w:val="0081768D"/>
    <w:rsid w:val="00820848"/>
    <w:rsid w:val="008208AE"/>
    <w:rsid w:val="008208F9"/>
    <w:rsid w:val="00821A73"/>
    <w:rsid w:val="00822832"/>
    <w:rsid w:val="00823E70"/>
    <w:rsid w:val="00831516"/>
    <w:rsid w:val="00831961"/>
    <w:rsid w:val="00831B6E"/>
    <w:rsid w:val="008332AB"/>
    <w:rsid w:val="008336AD"/>
    <w:rsid w:val="0083481A"/>
    <w:rsid w:val="00834F20"/>
    <w:rsid w:val="008359AD"/>
    <w:rsid w:val="00835A31"/>
    <w:rsid w:val="008402B1"/>
    <w:rsid w:val="00841795"/>
    <w:rsid w:val="00855B88"/>
    <w:rsid w:val="00856B5E"/>
    <w:rsid w:val="008601B0"/>
    <w:rsid w:val="00861E4D"/>
    <w:rsid w:val="00865366"/>
    <w:rsid w:val="00870158"/>
    <w:rsid w:val="0087199E"/>
    <w:rsid w:val="00872F94"/>
    <w:rsid w:val="0087340D"/>
    <w:rsid w:val="00873FA6"/>
    <w:rsid w:val="00884201"/>
    <w:rsid w:val="00884739"/>
    <w:rsid w:val="00884B65"/>
    <w:rsid w:val="00890BE7"/>
    <w:rsid w:val="00891864"/>
    <w:rsid w:val="00892B8D"/>
    <w:rsid w:val="00897A39"/>
    <w:rsid w:val="008A0387"/>
    <w:rsid w:val="008A30FB"/>
    <w:rsid w:val="008A7F51"/>
    <w:rsid w:val="008B249A"/>
    <w:rsid w:val="008B5CF3"/>
    <w:rsid w:val="008B6ED0"/>
    <w:rsid w:val="008B7265"/>
    <w:rsid w:val="008B7B86"/>
    <w:rsid w:val="008C3613"/>
    <w:rsid w:val="008C3C9D"/>
    <w:rsid w:val="008D18CF"/>
    <w:rsid w:val="008D767E"/>
    <w:rsid w:val="008E0FD8"/>
    <w:rsid w:val="008E40C9"/>
    <w:rsid w:val="008F26BC"/>
    <w:rsid w:val="008F76AE"/>
    <w:rsid w:val="00901A96"/>
    <w:rsid w:val="009028D3"/>
    <w:rsid w:val="0090323C"/>
    <w:rsid w:val="00906D07"/>
    <w:rsid w:val="0091267C"/>
    <w:rsid w:val="00915FA9"/>
    <w:rsid w:val="00916094"/>
    <w:rsid w:val="0092107B"/>
    <w:rsid w:val="0093261B"/>
    <w:rsid w:val="00940E63"/>
    <w:rsid w:val="009414ED"/>
    <w:rsid w:val="00944DA0"/>
    <w:rsid w:val="00954388"/>
    <w:rsid w:val="00955411"/>
    <w:rsid w:val="0096056A"/>
    <w:rsid w:val="00965F2D"/>
    <w:rsid w:val="009740C6"/>
    <w:rsid w:val="00974D3E"/>
    <w:rsid w:val="0097609E"/>
    <w:rsid w:val="009802CA"/>
    <w:rsid w:val="00982BC1"/>
    <w:rsid w:val="00985D42"/>
    <w:rsid w:val="009878F3"/>
    <w:rsid w:val="00990469"/>
    <w:rsid w:val="009908DD"/>
    <w:rsid w:val="00991AAA"/>
    <w:rsid w:val="0099237C"/>
    <w:rsid w:val="00993E57"/>
    <w:rsid w:val="00996804"/>
    <w:rsid w:val="0099747B"/>
    <w:rsid w:val="009979C7"/>
    <w:rsid w:val="009A3373"/>
    <w:rsid w:val="009A4A2C"/>
    <w:rsid w:val="009A554A"/>
    <w:rsid w:val="009A6C36"/>
    <w:rsid w:val="009B1579"/>
    <w:rsid w:val="009B3AF6"/>
    <w:rsid w:val="009C368A"/>
    <w:rsid w:val="009C4E4A"/>
    <w:rsid w:val="009D0A65"/>
    <w:rsid w:val="009D1733"/>
    <w:rsid w:val="009D3786"/>
    <w:rsid w:val="009D3DC0"/>
    <w:rsid w:val="009D477B"/>
    <w:rsid w:val="009F18B2"/>
    <w:rsid w:val="009F32B5"/>
    <w:rsid w:val="009F6710"/>
    <w:rsid w:val="00A05341"/>
    <w:rsid w:val="00A133C7"/>
    <w:rsid w:val="00A13D9D"/>
    <w:rsid w:val="00A13E4F"/>
    <w:rsid w:val="00A17D6C"/>
    <w:rsid w:val="00A22A33"/>
    <w:rsid w:val="00A2433A"/>
    <w:rsid w:val="00A311A6"/>
    <w:rsid w:val="00A32746"/>
    <w:rsid w:val="00A333B6"/>
    <w:rsid w:val="00A41302"/>
    <w:rsid w:val="00A41598"/>
    <w:rsid w:val="00A43D98"/>
    <w:rsid w:val="00A442D7"/>
    <w:rsid w:val="00A4507C"/>
    <w:rsid w:val="00A45E2F"/>
    <w:rsid w:val="00A47938"/>
    <w:rsid w:val="00A51069"/>
    <w:rsid w:val="00A5125A"/>
    <w:rsid w:val="00A512F6"/>
    <w:rsid w:val="00A52BC9"/>
    <w:rsid w:val="00A557FD"/>
    <w:rsid w:val="00A559C6"/>
    <w:rsid w:val="00A6133E"/>
    <w:rsid w:val="00A626F3"/>
    <w:rsid w:val="00A63D04"/>
    <w:rsid w:val="00A70E4B"/>
    <w:rsid w:val="00A71BEF"/>
    <w:rsid w:val="00A74C98"/>
    <w:rsid w:val="00A835B1"/>
    <w:rsid w:val="00A90162"/>
    <w:rsid w:val="00A90C80"/>
    <w:rsid w:val="00A93838"/>
    <w:rsid w:val="00A96D7F"/>
    <w:rsid w:val="00AA31A6"/>
    <w:rsid w:val="00AB14E3"/>
    <w:rsid w:val="00AB2FC5"/>
    <w:rsid w:val="00AB5519"/>
    <w:rsid w:val="00AB715E"/>
    <w:rsid w:val="00AB7CCE"/>
    <w:rsid w:val="00AC5B03"/>
    <w:rsid w:val="00AC606A"/>
    <w:rsid w:val="00AD0A31"/>
    <w:rsid w:val="00AD35E9"/>
    <w:rsid w:val="00AE31CF"/>
    <w:rsid w:val="00AF3D9C"/>
    <w:rsid w:val="00AF56AE"/>
    <w:rsid w:val="00AF7A55"/>
    <w:rsid w:val="00AF7EF8"/>
    <w:rsid w:val="00B02AEE"/>
    <w:rsid w:val="00B139FE"/>
    <w:rsid w:val="00B21807"/>
    <w:rsid w:val="00B223C8"/>
    <w:rsid w:val="00B26D8B"/>
    <w:rsid w:val="00B373C0"/>
    <w:rsid w:val="00B43C93"/>
    <w:rsid w:val="00B50419"/>
    <w:rsid w:val="00B50D0C"/>
    <w:rsid w:val="00B60427"/>
    <w:rsid w:val="00B63956"/>
    <w:rsid w:val="00B658AC"/>
    <w:rsid w:val="00B70546"/>
    <w:rsid w:val="00B81F86"/>
    <w:rsid w:val="00B830D4"/>
    <w:rsid w:val="00B8445C"/>
    <w:rsid w:val="00B86DB2"/>
    <w:rsid w:val="00B87ABD"/>
    <w:rsid w:val="00B92AA3"/>
    <w:rsid w:val="00B94D29"/>
    <w:rsid w:val="00B95067"/>
    <w:rsid w:val="00BA0D1E"/>
    <w:rsid w:val="00BA2CB2"/>
    <w:rsid w:val="00BA389C"/>
    <w:rsid w:val="00BB3E01"/>
    <w:rsid w:val="00BB430C"/>
    <w:rsid w:val="00BC3173"/>
    <w:rsid w:val="00BC31DC"/>
    <w:rsid w:val="00BC365D"/>
    <w:rsid w:val="00BC525F"/>
    <w:rsid w:val="00BC5307"/>
    <w:rsid w:val="00BC7445"/>
    <w:rsid w:val="00BD0562"/>
    <w:rsid w:val="00BD0D59"/>
    <w:rsid w:val="00BD5329"/>
    <w:rsid w:val="00BE2DA3"/>
    <w:rsid w:val="00BE3C17"/>
    <w:rsid w:val="00BF195D"/>
    <w:rsid w:val="00BF5143"/>
    <w:rsid w:val="00BF7F00"/>
    <w:rsid w:val="00C005F5"/>
    <w:rsid w:val="00C01F24"/>
    <w:rsid w:val="00C03569"/>
    <w:rsid w:val="00C03F51"/>
    <w:rsid w:val="00C05EDD"/>
    <w:rsid w:val="00C071D8"/>
    <w:rsid w:val="00C101E9"/>
    <w:rsid w:val="00C1048F"/>
    <w:rsid w:val="00C1535D"/>
    <w:rsid w:val="00C23401"/>
    <w:rsid w:val="00C24A07"/>
    <w:rsid w:val="00C35985"/>
    <w:rsid w:val="00C35F4A"/>
    <w:rsid w:val="00C3669F"/>
    <w:rsid w:val="00C45241"/>
    <w:rsid w:val="00C4607E"/>
    <w:rsid w:val="00C4675D"/>
    <w:rsid w:val="00C46EE8"/>
    <w:rsid w:val="00C57B1D"/>
    <w:rsid w:val="00C631DB"/>
    <w:rsid w:val="00C67C1B"/>
    <w:rsid w:val="00C707A5"/>
    <w:rsid w:val="00C71212"/>
    <w:rsid w:val="00C714AC"/>
    <w:rsid w:val="00C74F45"/>
    <w:rsid w:val="00C75327"/>
    <w:rsid w:val="00C76B9E"/>
    <w:rsid w:val="00C804BD"/>
    <w:rsid w:val="00C831E0"/>
    <w:rsid w:val="00C84509"/>
    <w:rsid w:val="00C85B85"/>
    <w:rsid w:val="00C960C8"/>
    <w:rsid w:val="00CA1956"/>
    <w:rsid w:val="00CA25AF"/>
    <w:rsid w:val="00CA7EA2"/>
    <w:rsid w:val="00CB0F98"/>
    <w:rsid w:val="00CB1164"/>
    <w:rsid w:val="00CB4C2C"/>
    <w:rsid w:val="00CC7BE0"/>
    <w:rsid w:val="00CD09A2"/>
    <w:rsid w:val="00CD187C"/>
    <w:rsid w:val="00CD2105"/>
    <w:rsid w:val="00CD427D"/>
    <w:rsid w:val="00CD50F7"/>
    <w:rsid w:val="00CD5F89"/>
    <w:rsid w:val="00CE2066"/>
    <w:rsid w:val="00CE5756"/>
    <w:rsid w:val="00CE7FD5"/>
    <w:rsid w:val="00CF4073"/>
    <w:rsid w:val="00CF6DAB"/>
    <w:rsid w:val="00D00052"/>
    <w:rsid w:val="00D03745"/>
    <w:rsid w:val="00D05029"/>
    <w:rsid w:val="00D127FE"/>
    <w:rsid w:val="00D14721"/>
    <w:rsid w:val="00D20713"/>
    <w:rsid w:val="00D341CD"/>
    <w:rsid w:val="00D35B5D"/>
    <w:rsid w:val="00D37F89"/>
    <w:rsid w:val="00D42860"/>
    <w:rsid w:val="00D505C8"/>
    <w:rsid w:val="00D54839"/>
    <w:rsid w:val="00D553AA"/>
    <w:rsid w:val="00D57E37"/>
    <w:rsid w:val="00D618A2"/>
    <w:rsid w:val="00D61DD8"/>
    <w:rsid w:val="00D63656"/>
    <w:rsid w:val="00D65AB2"/>
    <w:rsid w:val="00D71198"/>
    <w:rsid w:val="00D73816"/>
    <w:rsid w:val="00D76D5A"/>
    <w:rsid w:val="00D8043A"/>
    <w:rsid w:val="00D81928"/>
    <w:rsid w:val="00D81CB1"/>
    <w:rsid w:val="00D82374"/>
    <w:rsid w:val="00D83F53"/>
    <w:rsid w:val="00D901DF"/>
    <w:rsid w:val="00D901F1"/>
    <w:rsid w:val="00D90438"/>
    <w:rsid w:val="00D97A9A"/>
    <w:rsid w:val="00DA23D9"/>
    <w:rsid w:val="00DA64F4"/>
    <w:rsid w:val="00DA6F84"/>
    <w:rsid w:val="00DB018D"/>
    <w:rsid w:val="00DB0D20"/>
    <w:rsid w:val="00DB6D0C"/>
    <w:rsid w:val="00DC603C"/>
    <w:rsid w:val="00DD0808"/>
    <w:rsid w:val="00DD3174"/>
    <w:rsid w:val="00DE38BE"/>
    <w:rsid w:val="00DE549D"/>
    <w:rsid w:val="00DE6008"/>
    <w:rsid w:val="00DE6A73"/>
    <w:rsid w:val="00DE7061"/>
    <w:rsid w:val="00E00B53"/>
    <w:rsid w:val="00E051BA"/>
    <w:rsid w:val="00E108AF"/>
    <w:rsid w:val="00E15398"/>
    <w:rsid w:val="00E31322"/>
    <w:rsid w:val="00E3621A"/>
    <w:rsid w:val="00E41DA1"/>
    <w:rsid w:val="00E457F8"/>
    <w:rsid w:val="00E462D7"/>
    <w:rsid w:val="00E468B2"/>
    <w:rsid w:val="00E523A1"/>
    <w:rsid w:val="00E5325B"/>
    <w:rsid w:val="00E5462B"/>
    <w:rsid w:val="00E56F29"/>
    <w:rsid w:val="00E578F8"/>
    <w:rsid w:val="00E63086"/>
    <w:rsid w:val="00E63DA2"/>
    <w:rsid w:val="00E703E1"/>
    <w:rsid w:val="00E73359"/>
    <w:rsid w:val="00E7392B"/>
    <w:rsid w:val="00E815C1"/>
    <w:rsid w:val="00E91694"/>
    <w:rsid w:val="00E97B9F"/>
    <w:rsid w:val="00EA677E"/>
    <w:rsid w:val="00EC6522"/>
    <w:rsid w:val="00EC6958"/>
    <w:rsid w:val="00EC7657"/>
    <w:rsid w:val="00EC798A"/>
    <w:rsid w:val="00ED020C"/>
    <w:rsid w:val="00ED0A2E"/>
    <w:rsid w:val="00ED2DF9"/>
    <w:rsid w:val="00ED52CC"/>
    <w:rsid w:val="00EE0564"/>
    <w:rsid w:val="00EE49A9"/>
    <w:rsid w:val="00EE68A9"/>
    <w:rsid w:val="00EF1395"/>
    <w:rsid w:val="00EF6E72"/>
    <w:rsid w:val="00F031F1"/>
    <w:rsid w:val="00F04248"/>
    <w:rsid w:val="00F04854"/>
    <w:rsid w:val="00F07CCA"/>
    <w:rsid w:val="00F1433B"/>
    <w:rsid w:val="00F16AFF"/>
    <w:rsid w:val="00F17125"/>
    <w:rsid w:val="00F25EAA"/>
    <w:rsid w:val="00F272FE"/>
    <w:rsid w:val="00F277C9"/>
    <w:rsid w:val="00F3165C"/>
    <w:rsid w:val="00F328EF"/>
    <w:rsid w:val="00F35581"/>
    <w:rsid w:val="00F4357E"/>
    <w:rsid w:val="00F43FD1"/>
    <w:rsid w:val="00F51CB4"/>
    <w:rsid w:val="00F52921"/>
    <w:rsid w:val="00F54691"/>
    <w:rsid w:val="00F55EEA"/>
    <w:rsid w:val="00F63C6A"/>
    <w:rsid w:val="00F64E4D"/>
    <w:rsid w:val="00F703C1"/>
    <w:rsid w:val="00F71D1E"/>
    <w:rsid w:val="00F76928"/>
    <w:rsid w:val="00F81B6C"/>
    <w:rsid w:val="00F86524"/>
    <w:rsid w:val="00F935CE"/>
    <w:rsid w:val="00F94E7F"/>
    <w:rsid w:val="00FA134C"/>
    <w:rsid w:val="00FA4F1C"/>
    <w:rsid w:val="00FC1188"/>
    <w:rsid w:val="00FC2D13"/>
    <w:rsid w:val="00FC4420"/>
    <w:rsid w:val="00FC5797"/>
    <w:rsid w:val="00FC6D42"/>
    <w:rsid w:val="00FC7DEB"/>
    <w:rsid w:val="00FD39C7"/>
    <w:rsid w:val="00FD5400"/>
    <w:rsid w:val="00FE2C81"/>
    <w:rsid w:val="00FE30D6"/>
    <w:rsid w:val="00FE3246"/>
    <w:rsid w:val="00FE461E"/>
    <w:rsid w:val="00FE4AEE"/>
    <w:rsid w:val="00FF1807"/>
    <w:rsid w:val="00FF2AE5"/>
    <w:rsid w:val="00FF4CB4"/>
    <w:rsid w:val="02FC6355"/>
    <w:rsid w:val="03165668"/>
    <w:rsid w:val="064F6AC0"/>
    <w:rsid w:val="071501E6"/>
    <w:rsid w:val="078608E3"/>
    <w:rsid w:val="09A872EA"/>
    <w:rsid w:val="0B7558B6"/>
    <w:rsid w:val="0C55328D"/>
    <w:rsid w:val="0CDB522D"/>
    <w:rsid w:val="0D925DEE"/>
    <w:rsid w:val="0EE25A3C"/>
    <w:rsid w:val="0F0E1033"/>
    <w:rsid w:val="0F626359"/>
    <w:rsid w:val="0FBA4661"/>
    <w:rsid w:val="101747CE"/>
    <w:rsid w:val="105C6685"/>
    <w:rsid w:val="134D74D4"/>
    <w:rsid w:val="14F71C0D"/>
    <w:rsid w:val="15D373E9"/>
    <w:rsid w:val="163906DC"/>
    <w:rsid w:val="16442095"/>
    <w:rsid w:val="172306A6"/>
    <w:rsid w:val="19720CC7"/>
    <w:rsid w:val="19834C82"/>
    <w:rsid w:val="1A734CF7"/>
    <w:rsid w:val="1B902901"/>
    <w:rsid w:val="1C9710D5"/>
    <w:rsid w:val="1DF66F31"/>
    <w:rsid w:val="1E180293"/>
    <w:rsid w:val="1F5D220B"/>
    <w:rsid w:val="207E43F5"/>
    <w:rsid w:val="219C2D85"/>
    <w:rsid w:val="25E03E16"/>
    <w:rsid w:val="25E1571B"/>
    <w:rsid w:val="25E3753C"/>
    <w:rsid w:val="26AD6313"/>
    <w:rsid w:val="28925C46"/>
    <w:rsid w:val="28B43F99"/>
    <w:rsid w:val="29B64270"/>
    <w:rsid w:val="2BD5060D"/>
    <w:rsid w:val="2BDA67DF"/>
    <w:rsid w:val="2C0C2336"/>
    <w:rsid w:val="2D546629"/>
    <w:rsid w:val="2D765527"/>
    <w:rsid w:val="2EDC29DB"/>
    <w:rsid w:val="304149B1"/>
    <w:rsid w:val="311120CD"/>
    <w:rsid w:val="321F6823"/>
    <w:rsid w:val="325A322E"/>
    <w:rsid w:val="325E2DCE"/>
    <w:rsid w:val="367F44D4"/>
    <w:rsid w:val="38AE2D42"/>
    <w:rsid w:val="3905382A"/>
    <w:rsid w:val="39CB13B4"/>
    <w:rsid w:val="3BFE04B7"/>
    <w:rsid w:val="3C280DDE"/>
    <w:rsid w:val="3C5178CC"/>
    <w:rsid w:val="3C770EC5"/>
    <w:rsid w:val="3DC56C0B"/>
    <w:rsid w:val="3E9866E6"/>
    <w:rsid w:val="3F8C3FE1"/>
    <w:rsid w:val="41D2434F"/>
    <w:rsid w:val="41F503C3"/>
    <w:rsid w:val="43153A67"/>
    <w:rsid w:val="46F626D7"/>
    <w:rsid w:val="47555600"/>
    <w:rsid w:val="4981448B"/>
    <w:rsid w:val="4AA73F93"/>
    <w:rsid w:val="4B530301"/>
    <w:rsid w:val="4B5763C5"/>
    <w:rsid w:val="4BA36A86"/>
    <w:rsid w:val="4E2E44FF"/>
    <w:rsid w:val="4E775129"/>
    <w:rsid w:val="53D715CF"/>
    <w:rsid w:val="55AA2FBB"/>
    <w:rsid w:val="56D26326"/>
    <w:rsid w:val="5B105BDF"/>
    <w:rsid w:val="5B2124F3"/>
    <w:rsid w:val="5B950463"/>
    <w:rsid w:val="5BE11F4F"/>
    <w:rsid w:val="5C9D597D"/>
    <w:rsid w:val="5D992EFB"/>
    <w:rsid w:val="5E443FAD"/>
    <w:rsid w:val="5F2879D1"/>
    <w:rsid w:val="62595B4D"/>
    <w:rsid w:val="64576DBC"/>
    <w:rsid w:val="654C5958"/>
    <w:rsid w:val="67E70F08"/>
    <w:rsid w:val="6BE57C76"/>
    <w:rsid w:val="6C1901DC"/>
    <w:rsid w:val="6CE329DD"/>
    <w:rsid w:val="6E902574"/>
    <w:rsid w:val="6EEF2090"/>
    <w:rsid w:val="71EC6565"/>
    <w:rsid w:val="7268281D"/>
    <w:rsid w:val="72A92685"/>
    <w:rsid w:val="74827185"/>
    <w:rsid w:val="753F0BD2"/>
    <w:rsid w:val="7561536F"/>
    <w:rsid w:val="76C017BE"/>
    <w:rsid w:val="774D3337"/>
    <w:rsid w:val="7853565D"/>
    <w:rsid w:val="7B856EDE"/>
    <w:rsid w:val="7C4347AA"/>
    <w:rsid w:val="7D67438F"/>
    <w:rsid w:val="CDECFA08"/>
    <w:rsid w:val="F47F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0"/>
    <w:pPr>
      <w:keepNext/>
      <w:keepLines/>
      <w:spacing w:before="340" w:after="330" w:line="578" w:lineRule="auto"/>
      <w:outlineLvl w:val="0"/>
    </w:pPr>
    <w:rPr>
      <w:b/>
      <w:bCs/>
      <w:kern w:val="44"/>
      <w:sz w:val="28"/>
      <w:szCs w:val="44"/>
    </w:rPr>
  </w:style>
  <w:style w:type="paragraph" w:styleId="5">
    <w:name w:val="heading 2"/>
    <w:basedOn w:val="1"/>
    <w:next w:val="1"/>
    <w:link w:val="36"/>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7"/>
    <w:unhideWhenUsed/>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pacing w:line="600" w:lineRule="exact"/>
      <w:jc w:val="both"/>
      <w:textAlignment w:val="baseline"/>
    </w:pPr>
    <w:rPr>
      <w:rFonts w:ascii="Times New Roman" w:hAnsi="Times New Roman" w:eastAsia="方正仿宋_GBK"/>
      <w:kern w:val="2"/>
      <w:sz w:val="32"/>
      <w:szCs w:val="24"/>
      <w:lang w:val="en-US" w:eastAsia="zh-CN" w:bidi="ar-SA"/>
    </w:rPr>
  </w:style>
  <w:style w:type="paragraph" w:customStyle="1" w:styleId="3">
    <w:name w:val="180"/>
    <w:basedOn w:val="1"/>
    <w:next w:val="1"/>
    <w:qFormat/>
    <w:uiPriority w:val="0"/>
    <w:pPr>
      <w:spacing w:line="600" w:lineRule="exact"/>
      <w:jc w:val="both"/>
      <w:textAlignment w:val="baseline"/>
    </w:pPr>
    <w:rPr>
      <w:rFonts w:eastAsia="方正仿宋_GBK"/>
      <w:i/>
      <w:iCs/>
      <w:color w:val="000000"/>
      <w:kern w:val="2"/>
      <w:sz w:val="32"/>
      <w:szCs w:val="24"/>
      <w:lang w:val="en-US" w:eastAsia="zh-CN" w:bidi="ar-SA"/>
    </w:rPr>
  </w:style>
  <w:style w:type="paragraph" w:styleId="7">
    <w:name w:val="Normal Indent"/>
    <w:basedOn w:val="1"/>
    <w:qFormat/>
    <w:uiPriority w:val="0"/>
    <w:pPr>
      <w:widowControl/>
      <w:ind w:firstLine="420"/>
      <w:jc w:val="left"/>
    </w:pPr>
    <w:rPr>
      <w:kern w:val="0"/>
      <w:sz w:val="20"/>
      <w:szCs w:val="20"/>
    </w:rPr>
  </w:style>
  <w:style w:type="paragraph" w:styleId="8">
    <w:name w:val="annotation text"/>
    <w:basedOn w:val="1"/>
    <w:link w:val="38"/>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qFormat/>
    <w:uiPriority w:val="0"/>
    <w:pPr>
      <w:ind w:firstLine="630"/>
    </w:pPr>
    <w:rPr>
      <w:rFonts w:eastAsia="楷体_GB2312"/>
      <w:sz w:val="30"/>
      <w:szCs w:val="20"/>
    </w:rPr>
  </w:style>
  <w:style w:type="paragraph" w:styleId="1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link w:val="39"/>
    <w:qFormat/>
    <w:uiPriority w:val="0"/>
    <w:rPr>
      <w:rFonts w:ascii="宋体" w:hAnsi="Courier New"/>
      <w:szCs w:val="21"/>
    </w:rPr>
  </w:style>
  <w:style w:type="paragraph" w:styleId="13">
    <w:name w:val="Date"/>
    <w:basedOn w:val="1"/>
    <w:next w:val="1"/>
    <w:link w:val="40"/>
    <w:qFormat/>
    <w:uiPriority w:val="0"/>
    <w:pPr>
      <w:ind w:left="100" w:leftChars="2500"/>
    </w:pPr>
  </w:style>
  <w:style w:type="paragraph" w:styleId="14">
    <w:name w:val="Balloon Text"/>
    <w:basedOn w:val="1"/>
    <w:semiHidden/>
    <w:qFormat/>
    <w:uiPriority w:val="0"/>
    <w:rPr>
      <w:sz w:val="18"/>
      <w:szCs w:val="18"/>
    </w:rPr>
  </w:style>
  <w:style w:type="paragraph" w:styleId="15">
    <w:name w:val="footer"/>
    <w:basedOn w:val="1"/>
    <w:link w:val="4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footnote text"/>
    <w:basedOn w:val="1"/>
    <w:qFormat/>
    <w:uiPriority w:val="0"/>
    <w:pPr>
      <w:snapToGrid w:val="0"/>
      <w:jc w:val="left"/>
    </w:pPr>
    <w:rPr>
      <w:rFonts w:eastAsia="楷体_GB2312"/>
      <w:sz w:val="18"/>
      <w:szCs w:val="18"/>
    </w:rPr>
  </w:style>
  <w:style w:type="paragraph" w:styleId="19">
    <w:name w:val="Body Text Indent 3"/>
    <w:basedOn w:val="1"/>
    <w:qFormat/>
    <w:uiPriority w:val="0"/>
    <w:pPr>
      <w:spacing w:line="440" w:lineRule="exact"/>
      <w:ind w:firstLine="412" w:firstLineChars="200"/>
    </w:pPr>
    <w:rPr>
      <w:rFonts w:ascii="宋体" w:hAnsi="宋体"/>
      <w:szCs w:val="20"/>
    </w:rPr>
  </w:style>
  <w:style w:type="paragraph" w:styleId="2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2">
    <w:name w:val="Title"/>
    <w:basedOn w:val="1"/>
    <w:next w:val="1"/>
    <w:link w:val="42"/>
    <w:qFormat/>
    <w:uiPriority w:val="0"/>
    <w:pPr>
      <w:spacing w:before="240" w:after="60"/>
      <w:jc w:val="center"/>
      <w:outlineLvl w:val="0"/>
    </w:pPr>
    <w:rPr>
      <w:rFonts w:ascii="Cambria" w:hAnsi="Cambria"/>
      <w:b/>
      <w:bCs/>
      <w:sz w:val="32"/>
      <w:szCs w:val="32"/>
    </w:rPr>
  </w:style>
  <w:style w:type="paragraph" w:styleId="23">
    <w:name w:val="annotation subject"/>
    <w:basedOn w:val="8"/>
    <w:next w:val="8"/>
    <w:link w:val="43"/>
    <w:qFormat/>
    <w:uiPriority w:val="0"/>
    <w:rPr>
      <w:b/>
      <w:bCs/>
    </w:rPr>
  </w:style>
  <w:style w:type="paragraph" w:styleId="24">
    <w:name w:val="Body Text First Indent"/>
    <w:basedOn w:val="9"/>
    <w:qFormat/>
    <w:uiPriority w:val="0"/>
    <w:pPr>
      <w:tabs>
        <w:tab w:val="left" w:pos="630"/>
      </w:tabs>
      <w:ind w:firstLine="100" w:firstLineChars="100"/>
    </w:pPr>
  </w:style>
  <w:style w:type="paragraph" w:styleId="25">
    <w:name w:val="Body Text First Indent 2"/>
    <w:basedOn w:val="10"/>
    <w:next w:val="9"/>
    <w:semiHidden/>
    <w:qFormat/>
    <w:uiPriority w:val="0"/>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basedOn w:val="28"/>
    <w:qFormat/>
    <w:uiPriority w:val="0"/>
  </w:style>
  <w:style w:type="character" w:styleId="31">
    <w:name w:val="FollowedHyperlink"/>
    <w:qFormat/>
    <w:uiPriority w:val="0"/>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paragraph" w:customStyle="1" w:styleId="34">
    <w:name w:val="Style1"/>
    <w:basedOn w:val="1"/>
    <w:qFormat/>
    <w:uiPriority w:val="0"/>
    <w:pPr>
      <w:tabs>
        <w:tab w:val="left" w:pos="-720"/>
      </w:tabs>
      <w:jc w:val="both"/>
    </w:pPr>
    <w:rPr>
      <w:spacing w:val="-3"/>
      <w:sz w:val="24"/>
      <w:lang w:val="en-AU" w:eastAsia="en-US"/>
    </w:rPr>
  </w:style>
  <w:style w:type="character" w:customStyle="1" w:styleId="35">
    <w:name w:val="标题 1 字符"/>
    <w:link w:val="4"/>
    <w:qFormat/>
    <w:uiPriority w:val="0"/>
    <w:rPr>
      <w:rFonts w:ascii="Times New Roman" w:hAnsi="Times New Roman" w:eastAsia="宋体"/>
      <w:b/>
      <w:bCs/>
      <w:kern w:val="44"/>
      <w:sz w:val="28"/>
      <w:szCs w:val="44"/>
    </w:rPr>
  </w:style>
  <w:style w:type="character" w:customStyle="1" w:styleId="36">
    <w:name w:val="标题 2 字符"/>
    <w:link w:val="5"/>
    <w:semiHidden/>
    <w:qFormat/>
    <w:uiPriority w:val="0"/>
    <w:rPr>
      <w:rFonts w:ascii="Cambria" w:hAnsi="Cambria" w:eastAsia="宋体" w:cs="Times New Roman"/>
      <w:b/>
      <w:bCs/>
      <w:kern w:val="2"/>
      <w:sz w:val="32"/>
      <w:szCs w:val="32"/>
    </w:rPr>
  </w:style>
  <w:style w:type="character" w:customStyle="1" w:styleId="37">
    <w:name w:val="标题 3 字符"/>
    <w:link w:val="6"/>
    <w:semiHidden/>
    <w:qFormat/>
    <w:uiPriority w:val="0"/>
    <w:rPr>
      <w:b/>
      <w:bCs/>
      <w:kern w:val="2"/>
      <w:sz w:val="32"/>
      <w:szCs w:val="32"/>
    </w:rPr>
  </w:style>
  <w:style w:type="character" w:customStyle="1" w:styleId="38">
    <w:name w:val="批注文字 字符"/>
    <w:link w:val="8"/>
    <w:qFormat/>
    <w:uiPriority w:val="0"/>
    <w:rPr>
      <w:kern w:val="2"/>
      <w:sz w:val="21"/>
      <w:szCs w:val="24"/>
    </w:rPr>
  </w:style>
  <w:style w:type="character" w:customStyle="1" w:styleId="39">
    <w:name w:val="纯文本 字符1"/>
    <w:link w:val="12"/>
    <w:qFormat/>
    <w:uiPriority w:val="0"/>
    <w:rPr>
      <w:rFonts w:ascii="宋体" w:hAnsi="Courier New" w:cs="Courier New"/>
      <w:kern w:val="2"/>
      <w:sz w:val="21"/>
      <w:szCs w:val="21"/>
    </w:rPr>
  </w:style>
  <w:style w:type="character" w:customStyle="1" w:styleId="40">
    <w:name w:val="日期 字符"/>
    <w:link w:val="13"/>
    <w:qFormat/>
    <w:uiPriority w:val="0"/>
    <w:rPr>
      <w:kern w:val="2"/>
      <w:sz w:val="21"/>
      <w:szCs w:val="24"/>
    </w:rPr>
  </w:style>
  <w:style w:type="character" w:customStyle="1" w:styleId="41">
    <w:name w:val="页脚 字符"/>
    <w:link w:val="15"/>
    <w:qFormat/>
    <w:uiPriority w:val="99"/>
    <w:rPr>
      <w:kern w:val="2"/>
      <w:sz w:val="18"/>
      <w:szCs w:val="18"/>
    </w:rPr>
  </w:style>
  <w:style w:type="character" w:customStyle="1" w:styleId="42">
    <w:name w:val="标题 字符"/>
    <w:link w:val="22"/>
    <w:qFormat/>
    <w:uiPriority w:val="0"/>
    <w:rPr>
      <w:rFonts w:ascii="Cambria" w:hAnsi="Cambria" w:cs="Times New Roman"/>
      <w:b/>
      <w:bCs/>
      <w:kern w:val="2"/>
      <w:sz w:val="32"/>
      <w:szCs w:val="32"/>
    </w:rPr>
  </w:style>
  <w:style w:type="character" w:customStyle="1" w:styleId="43">
    <w:name w:val="批注主题 字符"/>
    <w:link w:val="23"/>
    <w:qFormat/>
    <w:uiPriority w:val="0"/>
    <w:rPr>
      <w:b/>
      <w:bCs/>
      <w:kern w:val="2"/>
      <w:sz w:val="21"/>
      <w:szCs w:val="24"/>
    </w:rPr>
  </w:style>
  <w:style w:type="character" w:customStyle="1" w:styleId="44">
    <w:name w:val="fontstyle21"/>
    <w:qFormat/>
    <w:uiPriority w:val="0"/>
    <w:rPr>
      <w:rFonts w:hint="default" w:ascii="font0000000022270c28" w:hAnsi="font0000000022270c28"/>
      <w:color w:val="000000"/>
      <w:sz w:val="22"/>
      <w:szCs w:val="22"/>
    </w:rPr>
  </w:style>
  <w:style w:type="character" w:customStyle="1" w:styleId="45">
    <w:name w:val="标题 2 Char1"/>
    <w:qFormat/>
    <w:uiPriority w:val="0"/>
    <w:rPr>
      <w:rFonts w:ascii="Arial" w:hAnsi="Arial" w:eastAsia="宋体"/>
      <w:b/>
      <w:bCs/>
      <w:kern w:val="2"/>
      <w:sz w:val="24"/>
      <w:szCs w:val="32"/>
      <w:lang w:val="en-US" w:eastAsia="zh-CN" w:bidi="ar-SA"/>
    </w:rPr>
  </w:style>
  <w:style w:type="character" w:customStyle="1" w:styleId="46">
    <w:name w:val="纯文本 字符"/>
    <w:qFormat/>
    <w:uiPriority w:val="0"/>
    <w:rPr>
      <w:rFonts w:ascii="宋体" w:hAnsi="Courier New" w:cs="Courier New"/>
      <w:kern w:val="2"/>
      <w:sz w:val="21"/>
      <w:szCs w:val="21"/>
    </w:rPr>
  </w:style>
  <w:style w:type="character" w:customStyle="1" w:styleId="47">
    <w:name w:val="fontstyle01"/>
    <w:qFormat/>
    <w:uiPriority w:val="0"/>
    <w:rPr>
      <w:rFonts w:hint="default" w:ascii="font0000000022270c27" w:hAnsi="font0000000022270c27"/>
      <w:color w:val="000000"/>
      <w:sz w:val="22"/>
      <w:szCs w:val="22"/>
    </w:rPr>
  </w:style>
  <w:style w:type="paragraph" w:customStyle="1" w:styleId="48">
    <w:name w:val="Table Paragraph"/>
    <w:basedOn w:val="1"/>
    <w:qFormat/>
    <w:uiPriority w:val="1"/>
    <w:rPr>
      <w:rFonts w:ascii="宋体" w:hAnsi="宋体" w:cs="宋体"/>
      <w:kern w:val="0"/>
      <w:szCs w:val="20"/>
      <w:lang w:val="zh-CN" w:bidi="zh-CN"/>
    </w:rPr>
  </w:style>
  <w:style w:type="paragraph" w:customStyle="1" w:styleId="49">
    <w:name w:val="_Style 42"/>
    <w:basedOn w:val="4"/>
    <w:next w:val="1"/>
    <w:unhideWhenUsed/>
    <w:qFormat/>
    <w:uiPriority w:val="39"/>
    <w:pPr>
      <w:widowControl/>
      <w:spacing w:before="480" w:after="0" w:line="276" w:lineRule="auto"/>
      <w:jc w:val="left"/>
      <w:outlineLvl w:val="9"/>
    </w:pPr>
    <w:rPr>
      <w:rFonts w:ascii="Cambria" w:hAnsi="Cambria"/>
      <w:color w:val="365F91"/>
      <w:kern w:val="0"/>
      <w:szCs w:val="28"/>
    </w:rPr>
  </w:style>
  <w:style w:type="paragraph" w:customStyle="1" w:styleId="50">
    <w:name w:val="xl25"/>
    <w:basedOn w:val="1"/>
    <w:qFormat/>
    <w:uiPriority w:val="0"/>
    <w:pPr>
      <w:widowControl/>
      <w:spacing w:before="100" w:beforeAutospacing="1" w:after="100" w:afterAutospacing="1"/>
      <w:textAlignment w:val="center"/>
    </w:pPr>
    <w:rPr>
      <w:rFonts w:ascii="宋体" w:hAnsi="宋体"/>
      <w:kern w:val="0"/>
      <w:sz w:val="18"/>
      <w:szCs w:val="18"/>
    </w:rPr>
  </w:style>
  <w:style w:type="paragraph" w:customStyle="1" w:styleId="5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52">
    <w:name w:val="CM55"/>
    <w:basedOn w:val="1"/>
    <w:next w:val="1"/>
    <w:qFormat/>
    <w:uiPriority w:val="99"/>
    <w:pPr>
      <w:autoSpaceDE w:val="0"/>
      <w:autoSpaceDN w:val="0"/>
      <w:adjustRightInd w:val="0"/>
      <w:jc w:val="left"/>
    </w:pPr>
    <w:rPr>
      <w:rFonts w:ascii="宋体" w:hAnsi="Calibri"/>
      <w:kern w:val="0"/>
      <w:sz w:val="24"/>
    </w:rPr>
  </w:style>
  <w:style w:type="paragraph" w:customStyle="1" w:styleId="53">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styleId="55">
    <w:name w:val="No Spacing"/>
    <w:qFormat/>
    <w:uiPriority w:val="1"/>
    <w:pPr>
      <w:widowControl w:val="0"/>
      <w:jc w:val="both"/>
    </w:pPr>
    <w:rPr>
      <w:rFonts w:ascii="Calibri" w:hAnsi="Calibri" w:eastAsia="宋体" w:cs="Times New Roman"/>
      <w:kern w:val="2"/>
      <w:sz w:val="21"/>
      <w:lang w:val="en-US" w:eastAsia="zh-CN" w:bidi="ar-SA"/>
    </w:rPr>
  </w:style>
  <w:style w:type="paragraph" w:customStyle="1" w:styleId="56">
    <w:name w:val="报告正文"/>
    <w:basedOn w:val="1"/>
    <w:qFormat/>
    <w:uiPriority w:val="99"/>
    <w:pPr>
      <w:adjustRightInd w:val="0"/>
      <w:snapToGrid w:val="0"/>
      <w:spacing w:line="288" w:lineRule="auto"/>
      <w:ind w:left="3060" w:leftChars="1700"/>
    </w:pPr>
    <w:rPr>
      <w:rFonts w:ascii="华文细黑" w:hAnsi="华文细黑" w:eastAsia="华文细黑" w:cs="宋体"/>
      <w:szCs w:val="20"/>
    </w:rPr>
  </w:style>
  <w:style w:type="paragraph" w:customStyle="1" w:styleId="57">
    <w:name w:val="Char"/>
    <w:basedOn w:val="1"/>
    <w:qFormat/>
    <w:uiPriority w:val="0"/>
    <w:pPr>
      <w:widowControl/>
      <w:spacing w:after="160" w:line="240" w:lineRule="exact"/>
      <w:ind w:firstLine="200" w:firstLineChars="200"/>
      <w:jc w:val="left"/>
    </w:pPr>
    <w:rPr>
      <w:rFonts w:ascii="Verdana" w:hAnsi="Verdana"/>
      <w:kern w:val="0"/>
      <w:sz w:val="24"/>
      <w:szCs w:val="20"/>
      <w:lang w:eastAsia="en-US"/>
    </w:rPr>
  </w:style>
  <w:style w:type="paragraph" w:customStyle="1" w:styleId="58">
    <w:name w:val="_Style 51"/>
    <w:unhideWhenUsed/>
    <w:qFormat/>
    <w:uiPriority w:val="99"/>
    <w:rPr>
      <w:rFonts w:ascii="Times New Roman" w:hAnsi="Times New Roman" w:eastAsia="宋体" w:cs="Times New Roman"/>
      <w:kern w:val="2"/>
      <w:sz w:val="21"/>
      <w:szCs w:val="24"/>
      <w:lang w:val="en-US" w:eastAsia="zh-CN" w:bidi="ar-SA"/>
    </w:rPr>
  </w:style>
  <w:style w:type="paragraph" w:styleId="59">
    <w:name w:val="List Paragraph"/>
    <w:basedOn w:val="1"/>
    <w:qFormat/>
    <w:uiPriority w:val="34"/>
    <w:pPr>
      <w:spacing w:line="360" w:lineRule="auto"/>
      <w:ind w:firstLine="420" w:firstLineChars="200"/>
      <w:jc w:val="left"/>
    </w:pPr>
    <w:rPr>
      <w:sz w:val="28"/>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目录 81"/>
    <w:basedOn w:val="1"/>
    <w:next w:val="1"/>
    <w:qFormat/>
    <w:uiPriority w:val="0"/>
    <w:pPr>
      <w:ind w:left="1470"/>
      <w:jc w:val="left"/>
    </w:pPr>
    <w:rPr>
      <w:szCs w:val="21"/>
    </w:rPr>
  </w:style>
  <w:style w:type="character" w:customStyle="1" w:styleId="62">
    <w:name w:val="20"/>
    <w:qFormat/>
    <w:uiPriority w:val="0"/>
    <w:rPr>
      <w:rFonts w:hint="eastAsia" w:ascii="楷体_GB2312" w:eastAsia="楷体_GB2312"/>
      <w:sz w:val="21"/>
      <w:szCs w:val="21"/>
    </w:rPr>
  </w:style>
  <w:style w:type="paragraph" w:customStyle="1" w:styleId="63">
    <w:name w:val="正文文字 1"/>
    <w:basedOn w:val="1"/>
    <w:next w:val="1"/>
    <w:qFormat/>
    <w:uiPriority w:val="0"/>
    <w:pPr>
      <w:ind w:left="240"/>
    </w:pPr>
    <w:rPr>
      <w:rFonts w:ascii="Calibri" w:hAnsi="Calibri" w:eastAsia="仿宋_GB2312"/>
      <w:sz w:val="28"/>
    </w:rPr>
  </w:style>
  <w:style w:type="paragraph" w:customStyle="1" w:styleId="64">
    <w:name w:val="_正文段落"/>
    <w:basedOn w:val="1"/>
    <w:qFormat/>
    <w:uiPriority w:val="0"/>
    <w:pPr>
      <w:ind w:firstLine="560"/>
    </w:pPr>
    <w:rPr>
      <w:rFonts w:eastAsia="仿宋"/>
      <w:color w:val="000000"/>
      <w:kern w:val="44"/>
      <w:szCs w:val="28"/>
    </w:rPr>
  </w:style>
  <w:style w:type="paragraph" w:customStyle="1" w:styleId="65">
    <w:name w:val="表格(五号)"/>
    <w:basedOn w:val="1"/>
    <w:qFormat/>
    <w:uiPriority w:val="0"/>
    <w:pPr>
      <w:adjustRightInd w:val="0"/>
      <w:snapToGrid w:val="0"/>
      <w:spacing w:before="60" w:after="60"/>
      <w:ind w:left="11"/>
      <w:jc w:val="center"/>
      <w:textAlignment w:val="baseline"/>
    </w:pPr>
    <w:rPr>
      <w:color w:val="000000"/>
      <w:kern w:val="0"/>
      <w:szCs w:val="20"/>
    </w:rPr>
  </w:style>
  <w:style w:type="paragraph" w:customStyle="1" w:styleId="66">
    <w:name w:val="Default Text"/>
    <w:qFormat/>
    <w:uiPriority w:val="0"/>
    <w:pPr>
      <w:widowControl w:val="0"/>
      <w:autoSpaceDE w:val="0"/>
      <w:autoSpaceDN w:val="0"/>
      <w:adjustRightInd w:val="0"/>
      <w:spacing w:after="200" w:line="276" w:lineRule="auto"/>
    </w:pPr>
    <w:rPr>
      <w:rFonts w:ascii="Calibri" w:hAnsi="Calibri" w:eastAsia="宋体" w:cs="Times New Roman"/>
      <w:color w:val="000000"/>
      <w:sz w:val="24"/>
      <w:szCs w:val="24"/>
      <w:lang w:val="en-US" w:eastAsia="zh-CN" w:bidi="ar-SA"/>
    </w:rPr>
  </w:style>
  <w:style w:type="paragraph" w:customStyle="1" w:styleId="67">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68">
    <w:name w:val="_Style 2"/>
    <w:qFormat/>
    <w:uiPriority w:val="1"/>
    <w:pPr>
      <w:widowControl w:val="0"/>
      <w:jc w:val="both"/>
    </w:pPr>
    <w:rPr>
      <w:rFonts w:ascii="Calibri" w:hAnsi="Calibri" w:eastAsia="宋体" w:cs="宋体"/>
      <w:kern w:val="2"/>
      <w:sz w:val="21"/>
      <w:szCs w:val="22"/>
      <w:lang w:val="en-US" w:eastAsia="zh-CN" w:bidi="ar-SA"/>
    </w:rPr>
  </w:style>
  <w:style w:type="paragraph" w:customStyle="1" w:styleId="69">
    <w:name w:val="正文1"/>
    <w:qFormat/>
    <w:uiPriority w:val="0"/>
    <w:rPr>
      <w:rFonts w:ascii="Calibri" w:hAnsi="Calibri" w:eastAsia="Times New Roman" w:cs="Times New Roman"/>
      <w:sz w:val="24"/>
      <w:szCs w:val="24"/>
      <w:lang w:val="en-US" w:eastAsia="zh-CN" w:bidi="ar-SA"/>
    </w:rPr>
  </w:style>
  <w:style w:type="character" w:customStyle="1" w:styleId="70">
    <w:name w:val="font11"/>
    <w:basedOn w:val="28"/>
    <w:qFormat/>
    <w:uiPriority w:val="0"/>
    <w:rPr>
      <w:rFonts w:hint="eastAsia" w:ascii="宋体" w:hAnsi="宋体" w:eastAsia="宋体" w:cs="宋体"/>
      <w:color w:val="000000"/>
      <w:sz w:val="24"/>
      <w:szCs w:val="24"/>
      <w:u w:val="none"/>
    </w:rPr>
  </w:style>
  <w:style w:type="character" w:customStyle="1" w:styleId="71">
    <w:name w:val="font51"/>
    <w:basedOn w:val="28"/>
    <w:qFormat/>
    <w:uiPriority w:val="0"/>
    <w:rPr>
      <w:rFonts w:ascii="Arial Unicode MS" w:hAnsi="Arial Unicode MS" w:eastAsia="Arial Unicode MS" w:cs="Arial Unicode MS"/>
      <w:color w:val="000000"/>
      <w:sz w:val="20"/>
      <w:szCs w:val="20"/>
      <w:u w:val="none"/>
    </w:rPr>
  </w:style>
  <w:style w:type="paragraph" w:customStyle="1" w:styleId="7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市招标办</Company>
  <Pages>66</Pages>
  <Words>21548</Words>
  <Characters>24095</Characters>
  <Lines>203</Lines>
  <Paragraphs>57</Paragraphs>
  <TotalTime>1</TotalTime>
  <ScaleCrop>false</ScaleCrop>
  <LinksUpToDate>false</LinksUpToDate>
  <CharactersWithSpaces>25951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2019-09-09T13:29:00Z</dcterms:created>
  <dc:creator>zxxz</dc:creator>
  <cp:lastModifiedBy>Melon.Guo</cp:lastModifiedBy>
  <cp:lastPrinted>2022-08-08T06:23:00Z</cp:lastPrinted>
  <dcterms:modified xsi:type="dcterms:W3CDTF">2022-11-11T07:06:17Z</dcterms:modified>
  <dc:title>施 工 监 理 招 标 文 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E06CCE30B37B4E92BEA6B40873DA92CD</vt:lpwstr>
  </property>
  <property fmtid="{D5CDD505-2E9C-101B-9397-08002B2CF9AE}" pid="4" name="commondata">
    <vt:lpwstr>eyJoZGlkIjoiMmE3ZWJmYThjNTUxMTYwOGE3YjliYzg0MTE3YzA1YTkifQ==</vt:lpwstr>
  </property>
</Properties>
</file>