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auto"/>
          <w:highlight w:val="none"/>
        </w:rPr>
      </w:pPr>
      <w:r>
        <w:rPr>
          <w:rFonts w:hint="eastAsia" w:ascii="宋体" w:hAnsi="宋体" w:eastAsia="宋体" w:cs="宋体"/>
          <w:color w:val="auto"/>
          <w:sz w:val="20"/>
          <w:highlight w:val="none"/>
        </w:rPr>
        <w:t xml:space="preserve">  </w:t>
      </w:r>
    </w:p>
    <w:p>
      <w:pPr>
        <w:tabs>
          <w:tab w:val="left" w:pos="1134"/>
          <w:tab w:val="left" w:pos="5481"/>
          <w:tab w:val="left" w:pos="5859"/>
        </w:tabs>
        <w:jc w:val="center"/>
        <w:rPr>
          <w:rFonts w:hint="eastAsia" w:ascii="宋体" w:hAnsi="宋体" w:eastAsia="宋体" w:cs="宋体"/>
          <w:color w:val="auto"/>
          <w:sz w:val="72"/>
          <w:szCs w:val="72"/>
          <w:highlight w:val="none"/>
        </w:rPr>
      </w:pPr>
    </w:p>
    <w:p>
      <w:pPr>
        <w:tabs>
          <w:tab w:val="left" w:pos="1134"/>
          <w:tab w:val="left" w:pos="5160"/>
        </w:tabs>
        <w:jc w:val="center"/>
        <w:rPr>
          <w:rFonts w:hint="eastAsia" w:ascii="仿宋" w:hAnsi="仿宋" w:eastAsia="仿宋" w:cs="仿宋"/>
          <w:b w:val="0"/>
          <w:bCs w:val="0"/>
          <w:color w:val="auto"/>
          <w:sz w:val="52"/>
          <w:szCs w:val="52"/>
          <w:highlight w:val="none"/>
          <w:lang w:val="en-US" w:eastAsia="zh-CN"/>
        </w:rPr>
      </w:pPr>
      <w:r>
        <w:rPr>
          <w:rFonts w:hint="eastAsia" w:ascii="仿宋" w:hAnsi="仿宋" w:eastAsia="仿宋" w:cs="仿宋"/>
          <w:b w:val="0"/>
          <w:bCs w:val="0"/>
          <w:color w:val="auto"/>
          <w:sz w:val="52"/>
          <w:szCs w:val="52"/>
          <w:highlight w:val="none"/>
          <w:lang w:val="en-US" w:eastAsia="zh-CN"/>
        </w:rPr>
        <w:t>哈密市图书馆智慧场馆配套设备及软件</w:t>
      </w:r>
    </w:p>
    <w:p>
      <w:pPr>
        <w:tabs>
          <w:tab w:val="left" w:pos="1134"/>
          <w:tab w:val="left" w:pos="5160"/>
        </w:tabs>
        <w:jc w:val="center"/>
        <w:rPr>
          <w:rFonts w:hint="eastAsia" w:ascii="仿宋" w:hAnsi="仿宋" w:eastAsia="仿宋" w:cs="仿宋"/>
          <w:b w:val="0"/>
          <w:bCs w:val="0"/>
          <w:color w:val="auto"/>
          <w:sz w:val="56"/>
          <w:szCs w:val="56"/>
          <w:highlight w:val="none"/>
          <w:lang w:val="en-US" w:eastAsia="zh-CN"/>
        </w:rPr>
      </w:pPr>
      <w:r>
        <w:rPr>
          <w:rFonts w:hint="eastAsia" w:ascii="仿宋" w:hAnsi="仿宋" w:eastAsia="仿宋" w:cs="仿宋"/>
          <w:b w:val="0"/>
          <w:bCs w:val="0"/>
          <w:color w:val="auto"/>
          <w:sz w:val="56"/>
          <w:szCs w:val="56"/>
          <w:highlight w:val="none"/>
          <w:lang w:val="en-US" w:eastAsia="zh-CN"/>
        </w:rPr>
        <w:t>采购项目</w:t>
      </w:r>
    </w:p>
    <w:p>
      <w:pPr>
        <w:pStyle w:val="2"/>
        <w:rPr>
          <w:rFonts w:hint="eastAsia"/>
        </w:rPr>
      </w:pPr>
    </w:p>
    <w:p>
      <w:pPr>
        <w:rPr>
          <w:rFonts w:hint="eastAsia" w:ascii="宋体" w:hAnsi="宋体" w:eastAsia="宋体" w:cs="宋体"/>
          <w:color w:val="auto"/>
          <w:highlight w:val="none"/>
        </w:rPr>
      </w:pPr>
    </w:p>
    <w:p>
      <w:pPr>
        <w:tabs>
          <w:tab w:val="left" w:pos="1134"/>
          <w:tab w:val="left" w:pos="5160"/>
        </w:tabs>
        <w:jc w:val="center"/>
        <w:rPr>
          <w:rFonts w:hint="eastAsia" w:ascii="宋体" w:hAnsi="宋体" w:eastAsia="宋体" w:cs="宋体"/>
          <w:b/>
          <w:bCs/>
          <w:color w:val="auto"/>
          <w:sz w:val="72"/>
          <w:szCs w:val="72"/>
          <w:highlight w:val="none"/>
        </w:rPr>
      </w:pPr>
      <w:r>
        <w:rPr>
          <w:rFonts w:hint="eastAsia" w:ascii="宋体" w:hAnsi="宋体" w:cs="宋体"/>
          <w:b/>
          <w:bCs/>
          <w:color w:val="auto"/>
          <w:sz w:val="72"/>
          <w:szCs w:val="72"/>
          <w:highlight w:val="none"/>
          <w:lang w:val="en-US" w:eastAsia="zh-CN"/>
        </w:rPr>
        <w:t xml:space="preserve"> </w:t>
      </w:r>
      <w:r>
        <w:rPr>
          <w:rFonts w:hint="eastAsia" w:ascii="宋体" w:hAnsi="宋体" w:eastAsia="宋体" w:cs="宋体"/>
          <w:b/>
          <w:bCs/>
          <w:color w:val="auto"/>
          <w:sz w:val="72"/>
          <w:szCs w:val="72"/>
          <w:highlight w:val="none"/>
        </w:rPr>
        <w:t>竞争性</w:t>
      </w:r>
      <w:r>
        <w:rPr>
          <w:rFonts w:hint="eastAsia" w:ascii="宋体" w:hAnsi="宋体" w:eastAsia="宋体" w:cs="宋体"/>
          <w:b/>
          <w:bCs/>
          <w:color w:val="auto"/>
          <w:sz w:val="72"/>
          <w:szCs w:val="72"/>
          <w:highlight w:val="none"/>
          <w:lang w:eastAsia="zh-CN"/>
        </w:rPr>
        <w:t>磋商</w:t>
      </w:r>
      <w:r>
        <w:rPr>
          <w:rFonts w:hint="eastAsia" w:ascii="宋体" w:hAnsi="宋体" w:eastAsia="宋体" w:cs="宋体"/>
          <w:b/>
          <w:bCs/>
          <w:color w:val="auto"/>
          <w:sz w:val="72"/>
          <w:szCs w:val="72"/>
          <w:highlight w:val="none"/>
        </w:rPr>
        <w:t>文件</w:t>
      </w:r>
    </w:p>
    <w:p>
      <w:pPr>
        <w:tabs>
          <w:tab w:val="left" w:pos="1134"/>
          <w:tab w:val="left" w:pos="5481"/>
          <w:tab w:val="left" w:pos="5859"/>
        </w:tabs>
        <w:jc w:val="both"/>
        <w:rPr>
          <w:rFonts w:hint="eastAsia" w:ascii="宋体" w:hAnsi="宋体" w:eastAsia="宋体" w:cs="宋体"/>
          <w:b/>
          <w:color w:val="auto"/>
          <w:sz w:val="32"/>
          <w:highlight w:val="none"/>
        </w:rPr>
      </w:pPr>
    </w:p>
    <w:p>
      <w:pPr>
        <w:pStyle w:val="67"/>
        <w:rPr>
          <w:rFonts w:hint="eastAsia" w:ascii="宋体" w:hAnsi="宋体" w:eastAsia="宋体" w:cs="宋体"/>
          <w:b/>
          <w:color w:val="auto"/>
          <w:sz w:val="32"/>
          <w:highlight w:val="none"/>
        </w:rPr>
      </w:pPr>
    </w:p>
    <w:p>
      <w:pPr>
        <w:pStyle w:val="67"/>
        <w:rPr>
          <w:rFonts w:hint="eastAsia" w:ascii="宋体" w:hAnsi="宋体" w:eastAsia="宋体" w:cs="宋体"/>
          <w:b/>
          <w:color w:val="auto"/>
          <w:sz w:val="32"/>
          <w:highlight w:val="none"/>
        </w:rPr>
      </w:pPr>
    </w:p>
    <w:p>
      <w:pPr>
        <w:pStyle w:val="67"/>
        <w:rPr>
          <w:rFonts w:hint="eastAsia" w:ascii="宋体" w:hAnsi="宋体" w:eastAsia="宋体" w:cs="宋体"/>
          <w:b/>
          <w:color w:val="auto"/>
          <w:sz w:val="32"/>
          <w:highlight w:val="none"/>
        </w:rPr>
      </w:pPr>
    </w:p>
    <w:p>
      <w:pPr>
        <w:rPr>
          <w:rFonts w:hint="eastAsia" w:ascii="宋体" w:hAnsi="宋体" w:eastAsia="宋体" w:cs="宋体"/>
          <w:color w:val="auto"/>
          <w:highlight w:val="none"/>
        </w:rPr>
      </w:pPr>
    </w:p>
    <w:p>
      <w:pPr>
        <w:pStyle w:val="21"/>
        <w:spacing w:line="240" w:lineRule="auto"/>
        <w:jc w:val="left"/>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eastAsia="zh-CN"/>
        </w:rPr>
        <w:t>项目</w:t>
      </w:r>
      <w:r>
        <w:rPr>
          <w:rFonts w:hint="eastAsia" w:ascii="宋体" w:hAnsi="宋体" w:eastAsia="宋体" w:cs="宋体"/>
          <w:b/>
          <w:color w:val="auto"/>
          <w:highlight w:val="none"/>
        </w:rPr>
        <w:t>名称：</w:t>
      </w:r>
      <w:r>
        <w:rPr>
          <w:rFonts w:hint="eastAsia" w:ascii="宋体" w:hAnsi="宋体" w:eastAsia="宋体" w:cs="宋体"/>
          <w:b/>
          <w:color w:val="auto"/>
          <w:highlight w:val="none"/>
          <w:lang w:val="en-US" w:eastAsia="zh-CN"/>
        </w:rPr>
        <w:t>哈密市图书馆智慧场馆配套设备及软件采购项目</w:t>
      </w:r>
    </w:p>
    <w:p>
      <w:pPr>
        <w:pStyle w:val="21"/>
        <w:spacing w:line="720" w:lineRule="auto"/>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eastAsia="zh-CN"/>
        </w:rPr>
        <w:t>项目</w:t>
      </w:r>
      <w:r>
        <w:rPr>
          <w:rFonts w:hint="eastAsia" w:ascii="宋体" w:hAnsi="宋体" w:eastAsia="宋体" w:cs="宋体"/>
          <w:b/>
          <w:color w:val="auto"/>
          <w:highlight w:val="none"/>
        </w:rPr>
        <w:t>编号：</w:t>
      </w:r>
      <w:r>
        <w:rPr>
          <w:rFonts w:hint="eastAsia" w:ascii="宋体" w:hAnsi="宋体" w:eastAsia="宋体" w:cs="宋体"/>
          <w:b/>
          <w:color w:val="auto"/>
          <w:highlight w:val="none"/>
          <w:lang w:val="en-US" w:eastAsia="zh-CN"/>
        </w:rPr>
        <w:t>SSQYZB-CG2022【HM】004</w:t>
      </w:r>
    </w:p>
    <w:p>
      <w:pPr>
        <w:pStyle w:val="21"/>
        <w:spacing w:line="720" w:lineRule="auto"/>
        <w:rPr>
          <w:rFonts w:hint="default"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采购人：哈密市图书馆</w:t>
      </w:r>
    </w:p>
    <w:p>
      <w:pPr>
        <w:pStyle w:val="21"/>
        <w:spacing w:line="720" w:lineRule="auto"/>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rPr>
        <w:t>采购代理机构：</w:t>
      </w:r>
      <w:r>
        <w:rPr>
          <w:rFonts w:hint="eastAsia" w:ascii="宋体" w:hAnsi="宋体" w:eastAsia="宋体" w:cs="宋体"/>
          <w:b/>
          <w:color w:val="auto"/>
          <w:highlight w:val="none"/>
          <w:lang w:val="en-US" w:eastAsia="zh-CN"/>
        </w:rPr>
        <w:t>新疆盛世乾元工程项目管理咨询有限公司</w:t>
      </w:r>
    </w:p>
    <w:p>
      <w:pPr>
        <w:spacing w:before="0" w:beforeLines="0" w:after="0" w:afterLines="0" w:line="240" w:lineRule="auto"/>
        <w:ind w:left="0" w:leftChars="0" w:right="0" w:rightChars="0" w:firstLine="0" w:firstLineChars="0"/>
        <w:jc w:val="center"/>
        <w:rPr>
          <w:rFonts w:ascii="宋体" w:hAnsi="宋体" w:eastAsia="宋体" w:cs="Times New Roman"/>
          <w:b/>
          <w:bCs/>
          <w:color w:val="auto"/>
          <w:kern w:val="2"/>
          <w:sz w:val="32"/>
          <w:szCs w:val="32"/>
          <w:highlight w:val="none"/>
          <w:lang w:val="en-US" w:eastAsia="zh-CN" w:bidi="ar-SA"/>
        </w:rPr>
      </w:pPr>
    </w:p>
    <w:p>
      <w:pPr>
        <w:pStyle w:val="2"/>
        <w:jc w:val="center"/>
        <w:rPr>
          <w:rFonts w:hint="default"/>
          <w:lang w:val="en-US" w:eastAsia="zh-CN"/>
        </w:rPr>
        <w:sectPr>
          <w:headerReference r:id="rId4" w:type="first"/>
          <w:headerReference r:id="rId3" w:type="default"/>
          <w:pgSz w:w="11906" w:h="16838"/>
          <w:pgMar w:top="1440" w:right="1230" w:bottom="1440" w:left="1230"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r>
        <w:rPr>
          <w:rFonts w:hint="eastAsia" w:ascii="宋体" w:hAnsi="宋体" w:eastAsia="宋体" w:cs="Times New Roman"/>
          <w:b/>
          <w:bCs/>
          <w:color w:val="auto"/>
          <w:kern w:val="2"/>
          <w:sz w:val="32"/>
          <w:szCs w:val="32"/>
          <w:highlight w:val="none"/>
          <w:lang w:val="en-US" w:eastAsia="zh-CN" w:bidi="ar-SA"/>
        </w:rPr>
        <w:t>2022年11月</w:t>
      </w:r>
    </w:p>
    <w:sdt>
      <w:sdtPr>
        <w:rPr>
          <w:rFonts w:ascii="宋体" w:hAnsi="宋体" w:eastAsia="宋体" w:cs="Times New Roman"/>
          <w:b/>
          <w:bCs/>
          <w:color w:val="auto"/>
          <w:kern w:val="2"/>
          <w:sz w:val="32"/>
          <w:szCs w:val="32"/>
          <w:highlight w:val="none"/>
          <w:lang w:val="en-US" w:eastAsia="zh-CN" w:bidi="ar-SA"/>
        </w:rPr>
        <w:id w:val="147482195"/>
        <w15:color w:val="DBDBDB"/>
        <w:docPartObj>
          <w:docPartGallery w:val="Table of Contents"/>
          <w:docPartUnique/>
        </w:docPartObj>
      </w:sdtPr>
      <w:sdtEndPr>
        <w:rPr>
          <w:rFonts w:ascii="宋体" w:hAnsi="宋体" w:eastAsia="宋体" w:cs="Times New Roman"/>
          <w:b/>
          <w:bCs/>
          <w:color w:val="auto"/>
          <w:kern w:val="2"/>
          <w:sz w:val="21"/>
          <w:szCs w:val="22"/>
          <w:highlight w:val="none"/>
          <w:lang w:val="en-US" w:eastAsia="zh-CN" w:bidi="ar-SA"/>
        </w:rPr>
      </w:sdtEndPr>
      <w:sdtContent>
        <w:p>
          <w:pPr>
            <w:spacing w:before="0" w:beforeLines="0" w:after="0" w:afterLines="0" w:line="240" w:lineRule="auto"/>
            <w:ind w:left="0" w:leftChars="0" w:right="0" w:rightChars="0" w:firstLine="0" w:firstLineChars="0"/>
            <w:jc w:val="center"/>
            <w:rPr>
              <w:b/>
              <w:bCs/>
              <w:sz w:val="32"/>
              <w:szCs w:val="32"/>
              <w:highlight w:val="none"/>
            </w:rPr>
          </w:pPr>
          <w:r>
            <w:rPr>
              <w:rFonts w:ascii="宋体" w:hAnsi="宋体" w:eastAsia="宋体"/>
              <w:b/>
              <w:bCs/>
              <w:sz w:val="32"/>
              <w:szCs w:val="32"/>
              <w:highlight w:val="none"/>
            </w:rPr>
            <w:t>目</w:t>
          </w:r>
          <w:r>
            <w:rPr>
              <w:rFonts w:hint="eastAsia" w:ascii="宋体" w:hAnsi="宋体" w:eastAsia="宋体"/>
              <w:b/>
              <w:bCs/>
              <w:sz w:val="32"/>
              <w:szCs w:val="32"/>
              <w:highlight w:val="none"/>
              <w:lang w:val="en-US" w:eastAsia="zh-CN"/>
            </w:rPr>
            <w:t xml:space="preserve">  </w:t>
          </w:r>
          <w:r>
            <w:rPr>
              <w:rFonts w:ascii="宋体" w:hAnsi="宋体" w:eastAsia="宋体"/>
              <w:b/>
              <w:bCs/>
              <w:sz w:val="32"/>
              <w:szCs w:val="32"/>
              <w:highlight w:val="none"/>
            </w:rPr>
            <w:t>录</w:t>
          </w:r>
        </w:p>
        <w:p>
          <w:pPr>
            <w:pStyle w:val="32"/>
            <w:tabs>
              <w:tab w:val="right" w:leader="dot" w:pos="9446"/>
            </w:tabs>
            <w:rPr>
              <w:rFonts w:hint="eastAsia" w:ascii="宋体" w:hAnsi="宋体" w:eastAsia="宋体" w:cs="宋体"/>
              <w:b w:val="0"/>
              <w:bCs w:val="0"/>
              <w:color w:val="auto"/>
              <w:sz w:val="28"/>
              <w:szCs w:val="28"/>
              <w:highlight w:val="none"/>
            </w:rPr>
          </w:pPr>
        </w:p>
        <w:p>
          <w:pPr>
            <w:pStyle w:val="32"/>
            <w:tabs>
              <w:tab w:val="right" w:leader="dot" w:pos="9446"/>
            </w:tabs>
            <w:rPr>
              <w:rFonts w:hint="eastAsia" w:ascii="宋体" w:hAnsi="宋体" w:eastAsia="宋体" w:cs="宋体"/>
              <w:b w:val="0"/>
              <w:bCs w:val="0"/>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"1-2"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_Toc1291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 xml:space="preserve">第一章 </w:t>
          </w:r>
          <w:r>
            <w:rPr>
              <w:rFonts w:hint="eastAsia" w:ascii="宋体" w:hAnsi="宋体" w:eastAsia="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rPr>
            <w:t>竞争性</w:t>
          </w:r>
          <w:r>
            <w:rPr>
              <w:rFonts w:hint="eastAsia" w:ascii="宋体" w:hAnsi="宋体" w:eastAsia="宋体" w:cs="宋体"/>
              <w:b w:val="0"/>
              <w:bCs w:val="0"/>
              <w:sz w:val="28"/>
              <w:szCs w:val="28"/>
              <w:highlight w:val="none"/>
              <w:lang w:eastAsia="zh-CN"/>
            </w:rPr>
            <w:t>磋商</w:t>
          </w:r>
          <w:r>
            <w:rPr>
              <w:rFonts w:hint="eastAsia" w:ascii="宋体" w:hAnsi="宋体" w:eastAsia="宋体" w:cs="宋体"/>
              <w:b w:val="0"/>
              <w:bCs w:val="0"/>
              <w:sz w:val="28"/>
              <w:szCs w:val="28"/>
              <w:highlight w:val="none"/>
            </w:rPr>
            <w:t>公告</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_Toc1291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1</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32"/>
            <w:tabs>
              <w:tab w:val="right" w:leader="dot" w:pos="9446"/>
            </w:tabs>
            <w:rPr>
              <w:rFonts w:hint="eastAsia" w:ascii="宋体" w:hAnsi="宋体" w:eastAsia="宋体" w:cs="宋体"/>
              <w:b w:val="0"/>
              <w:bCs w:val="0"/>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_Toc18729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kern w:val="0"/>
              <w:sz w:val="28"/>
              <w:szCs w:val="28"/>
              <w:highlight w:val="none"/>
              <w:lang w:val="en-US" w:eastAsia="zh-CN" w:bidi="ar-SA"/>
            </w:rPr>
            <w:t>第二章  磋商须知</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_Toc18729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4</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32"/>
            <w:tabs>
              <w:tab w:val="right" w:leader="dot" w:pos="9446"/>
            </w:tabs>
            <w:rPr>
              <w:rFonts w:hint="eastAsia" w:ascii="宋体" w:hAnsi="宋体" w:eastAsia="宋体" w:cs="宋体"/>
              <w:b w:val="0"/>
              <w:bCs w:val="0"/>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_Toc25005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第三</w:t>
          </w:r>
          <w:r>
            <w:rPr>
              <w:rFonts w:hint="eastAsia" w:ascii="宋体" w:hAnsi="宋体" w:eastAsia="宋体" w:cs="宋体"/>
              <w:b w:val="0"/>
              <w:bCs w:val="0"/>
              <w:sz w:val="28"/>
              <w:szCs w:val="28"/>
              <w:highlight w:val="none"/>
              <w:lang w:val="en-US" w:eastAsia="zh-CN"/>
            </w:rPr>
            <w:t>章</w:t>
          </w:r>
          <w:r>
            <w:rPr>
              <w:rFonts w:hint="eastAsia" w:ascii="宋体" w:hAnsi="宋体" w:eastAsia="宋体" w:cs="宋体"/>
              <w:b w:val="0"/>
              <w:bCs w:val="0"/>
              <w:sz w:val="28"/>
              <w:szCs w:val="28"/>
              <w:highlight w:val="none"/>
            </w:rPr>
            <w:t xml:space="preserve">  采购需求</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_Toc25005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23</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32"/>
            <w:tabs>
              <w:tab w:val="right" w:leader="dot" w:pos="9446"/>
            </w:tabs>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第四章  </w:t>
          </w:r>
          <w:r>
            <w:rPr>
              <w:rFonts w:hint="eastAsia" w:ascii="宋体" w:hAnsi="宋体" w:eastAsia="宋体" w:cs="宋体"/>
              <w:b w:val="0"/>
              <w:bCs w:val="0"/>
              <w:color w:val="auto"/>
              <w:kern w:val="0"/>
              <w:sz w:val="28"/>
              <w:szCs w:val="28"/>
              <w:highlight w:val="none"/>
            </w:rPr>
            <w:t>评审方法</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lang w:val="en-US" w:eastAsia="zh-CN"/>
            </w:rPr>
            <w:t>2</w:t>
          </w:r>
          <w:r>
            <w:rPr>
              <w:rFonts w:hint="eastAsia" w:ascii="宋体" w:hAnsi="宋体" w:cs="宋体"/>
              <w:b w:val="0"/>
              <w:bCs w:val="0"/>
              <w:sz w:val="28"/>
              <w:szCs w:val="28"/>
              <w:highlight w:val="none"/>
              <w:lang w:val="en-US" w:eastAsia="zh-CN"/>
            </w:rPr>
            <w:t>6</w:t>
          </w:r>
        </w:p>
        <w:p>
          <w:pPr>
            <w:pStyle w:val="32"/>
            <w:tabs>
              <w:tab w:val="right" w:leader="dot" w:pos="9446"/>
            </w:tabs>
            <w:rPr>
              <w:rFonts w:hint="eastAsia" w:ascii="宋体" w:hAnsi="宋体" w:eastAsia="宋体" w:cs="宋体"/>
              <w:b w:val="0"/>
              <w:bCs w:val="0"/>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_Toc7937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w:t>
          </w:r>
          <w:r>
            <w:rPr>
              <w:rFonts w:hint="eastAsia" w:ascii="宋体" w:hAnsi="宋体" w:eastAsia="宋体" w:cs="宋体"/>
              <w:b w:val="0"/>
              <w:bCs w:val="0"/>
              <w:sz w:val="28"/>
              <w:szCs w:val="28"/>
              <w:highlight w:val="none"/>
              <w:lang w:eastAsia="zh-CN"/>
            </w:rPr>
            <w:t>五</w:t>
          </w:r>
          <w:r>
            <w:rPr>
              <w:rFonts w:hint="eastAsia" w:ascii="宋体" w:hAnsi="宋体" w:eastAsia="宋体" w:cs="宋体"/>
              <w:b w:val="0"/>
              <w:bCs w:val="0"/>
              <w:sz w:val="28"/>
              <w:szCs w:val="28"/>
              <w:highlight w:val="none"/>
            </w:rPr>
            <w:t>章</w:t>
          </w:r>
          <w:r>
            <w:rPr>
              <w:rFonts w:hint="eastAsia" w:ascii="宋体" w:hAnsi="宋体" w:eastAsia="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rPr>
            <w:t>合同格式及合同条款</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_Toc7937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3</w:t>
          </w:r>
          <w:r>
            <w:rPr>
              <w:rFonts w:hint="eastAsia" w:ascii="宋体" w:hAnsi="宋体" w:cs="宋体"/>
              <w:b w:val="0"/>
              <w:bCs w:val="0"/>
              <w:sz w:val="28"/>
              <w:szCs w:val="28"/>
              <w:highlight w:val="none"/>
              <w:lang w:val="en-US" w:eastAsia="zh-CN"/>
            </w:rPr>
            <w:t>4</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32"/>
            <w:tabs>
              <w:tab w:val="right" w:leader="dot" w:pos="9446"/>
            </w:tabs>
            <w:rPr>
              <w:rFonts w:hint="default" w:ascii="宋体" w:hAnsi="宋体" w:eastAsia="宋体" w:cs="宋体"/>
              <w:b w:val="0"/>
              <w:bCs w:val="0"/>
              <w:sz w:val="28"/>
              <w:szCs w:val="28"/>
              <w:highlight w:val="none"/>
              <w:lang w:val="en-US" w:eastAsia="zh-CN"/>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_Toc20893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第六章</w:t>
          </w:r>
          <w:r>
            <w:rPr>
              <w:rFonts w:hint="eastAsia" w:ascii="宋体" w:hAnsi="宋体" w:eastAsia="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rPr>
            <w:t xml:space="preserve"> 响应文件格式</w:t>
          </w:r>
          <w:r>
            <w:rPr>
              <w:rFonts w:hint="eastAsia" w:ascii="宋体" w:hAnsi="宋体" w:eastAsia="宋体" w:cs="宋体"/>
              <w:b w:val="0"/>
              <w:bCs w:val="0"/>
              <w:sz w:val="28"/>
              <w:szCs w:val="28"/>
              <w:highlight w:val="none"/>
            </w:rPr>
            <w:tab/>
          </w:r>
          <w:r>
            <w:rPr>
              <w:rFonts w:hint="eastAsia" w:ascii="宋体" w:hAnsi="宋体" w:cs="宋体"/>
              <w:b w:val="0"/>
              <w:bCs w:val="0"/>
              <w:sz w:val="28"/>
              <w:szCs w:val="28"/>
              <w:highlight w:val="none"/>
              <w:lang w:val="en-US" w:eastAsia="zh-CN"/>
            </w:rPr>
            <w:t>3</w:t>
          </w: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8</w:t>
          </w:r>
        </w:p>
        <w:p>
          <w:pPr>
            <w:rPr>
              <w:color w:val="auto"/>
              <w:highlight w:val="none"/>
            </w:rPr>
          </w:pPr>
          <w:r>
            <w:rPr>
              <w:rFonts w:hint="eastAsia" w:ascii="宋体" w:hAnsi="宋体" w:eastAsia="宋体" w:cs="宋体"/>
              <w:b w:val="0"/>
              <w:bCs w:val="0"/>
              <w:color w:val="auto"/>
              <w:sz w:val="28"/>
              <w:szCs w:val="28"/>
              <w:highlight w:val="none"/>
            </w:rPr>
            <w:fldChar w:fldCharType="end"/>
          </w:r>
        </w:p>
      </w:sdtContent>
    </w:sdt>
    <w:p>
      <w:pPr>
        <w:shd w:val="clear" w:fill="FFFFFF" w:themeFill="background1"/>
        <w:tabs>
          <w:tab w:val="left" w:pos="3019"/>
        </w:tabs>
        <w:bidi w:val="0"/>
        <w:jc w:val="left"/>
        <w:rPr>
          <w:rFonts w:hint="eastAsia"/>
          <w:color w:val="auto"/>
          <w:highlight w:val="none"/>
          <w:lang w:eastAsia="zh-CN"/>
        </w:rPr>
      </w:pPr>
      <w:r>
        <w:rPr>
          <w:rFonts w:hint="eastAsia"/>
          <w:color w:val="auto"/>
          <w:highlight w:val="none"/>
          <w:lang w:eastAsia="zh-CN"/>
        </w:rPr>
        <w:tab/>
      </w:r>
    </w:p>
    <w:p>
      <w:pPr>
        <w:pStyle w:val="67"/>
        <w:rPr>
          <w:rFonts w:hint="eastAsia"/>
          <w:color w:val="auto"/>
          <w:highlight w:val="none"/>
          <w:lang w:eastAsia="zh-CN"/>
        </w:rPr>
      </w:pPr>
    </w:p>
    <w:p>
      <w:pPr>
        <w:pStyle w:val="67"/>
        <w:rPr>
          <w:rFonts w:hint="eastAsia"/>
          <w:color w:val="auto"/>
          <w:highlight w:val="none"/>
          <w:lang w:eastAsia="zh-CN"/>
        </w:rPr>
      </w:pPr>
    </w:p>
    <w:p>
      <w:pPr>
        <w:pStyle w:val="67"/>
        <w:rPr>
          <w:rFonts w:hint="eastAsia"/>
          <w:color w:val="auto"/>
          <w:highlight w:val="none"/>
          <w:lang w:eastAsia="zh-CN"/>
        </w:rPr>
      </w:pPr>
    </w:p>
    <w:p>
      <w:pPr>
        <w:pStyle w:val="67"/>
        <w:rPr>
          <w:rFonts w:hint="eastAsia"/>
          <w:color w:val="auto"/>
          <w:highlight w:val="none"/>
          <w:lang w:eastAsia="zh-CN"/>
        </w:rPr>
      </w:pPr>
    </w:p>
    <w:p>
      <w:pPr>
        <w:pStyle w:val="67"/>
        <w:rPr>
          <w:rFonts w:hint="eastAsia"/>
          <w:color w:val="auto"/>
          <w:highlight w:val="none"/>
          <w:lang w:eastAsia="zh-CN"/>
        </w:rPr>
      </w:pPr>
    </w:p>
    <w:p>
      <w:pPr>
        <w:pStyle w:val="67"/>
        <w:rPr>
          <w:rFonts w:hint="eastAsia"/>
          <w:color w:val="auto"/>
          <w:highlight w:val="none"/>
          <w:lang w:eastAsia="zh-CN"/>
        </w:rPr>
      </w:pPr>
    </w:p>
    <w:p>
      <w:pPr>
        <w:pStyle w:val="67"/>
        <w:rPr>
          <w:rFonts w:hint="eastAsia"/>
          <w:color w:val="auto"/>
          <w:highlight w:val="none"/>
          <w:lang w:eastAsia="zh-CN"/>
        </w:rPr>
      </w:pPr>
    </w:p>
    <w:p>
      <w:pPr>
        <w:pStyle w:val="67"/>
        <w:rPr>
          <w:rFonts w:hint="eastAsia"/>
          <w:color w:val="auto"/>
          <w:highlight w:val="none"/>
          <w:lang w:eastAsia="zh-CN"/>
        </w:rPr>
      </w:pPr>
    </w:p>
    <w:p>
      <w:pPr>
        <w:pStyle w:val="67"/>
        <w:rPr>
          <w:rFonts w:hint="eastAsia"/>
          <w:color w:val="auto"/>
          <w:highlight w:val="none"/>
          <w:lang w:eastAsia="zh-CN"/>
        </w:rPr>
      </w:pPr>
    </w:p>
    <w:p>
      <w:pPr>
        <w:pStyle w:val="67"/>
        <w:rPr>
          <w:rFonts w:hint="eastAsia"/>
          <w:color w:val="auto"/>
          <w:highlight w:val="none"/>
          <w:lang w:eastAsia="zh-CN"/>
        </w:rPr>
      </w:pPr>
    </w:p>
    <w:p>
      <w:pPr>
        <w:pStyle w:val="67"/>
        <w:rPr>
          <w:rFonts w:hint="eastAsia"/>
          <w:color w:val="auto"/>
          <w:highlight w:val="none"/>
          <w:lang w:eastAsia="zh-CN"/>
        </w:rPr>
      </w:pPr>
    </w:p>
    <w:p>
      <w:pPr>
        <w:pStyle w:val="67"/>
        <w:rPr>
          <w:rFonts w:hint="eastAsia"/>
          <w:color w:val="auto"/>
          <w:highlight w:val="none"/>
          <w:lang w:eastAsia="zh-CN"/>
        </w:rPr>
      </w:pPr>
    </w:p>
    <w:p>
      <w:pPr>
        <w:pStyle w:val="67"/>
        <w:rPr>
          <w:rFonts w:hint="eastAsia"/>
          <w:color w:val="auto"/>
          <w:highlight w:val="none"/>
          <w:lang w:eastAsia="zh-CN"/>
        </w:rPr>
      </w:pPr>
    </w:p>
    <w:p>
      <w:pPr>
        <w:pStyle w:val="67"/>
        <w:rPr>
          <w:rFonts w:hint="eastAsia"/>
          <w:color w:val="auto"/>
          <w:highlight w:val="none"/>
          <w:lang w:eastAsia="zh-CN"/>
        </w:rPr>
      </w:pPr>
    </w:p>
    <w:p>
      <w:pPr>
        <w:pStyle w:val="67"/>
        <w:rPr>
          <w:rFonts w:hint="eastAsia"/>
          <w:color w:val="auto"/>
          <w:highlight w:val="none"/>
          <w:lang w:eastAsia="zh-CN"/>
        </w:rPr>
      </w:pPr>
    </w:p>
    <w:p>
      <w:pPr>
        <w:pStyle w:val="67"/>
        <w:rPr>
          <w:rFonts w:hint="eastAsia"/>
          <w:color w:val="auto"/>
          <w:highlight w:val="none"/>
          <w:lang w:eastAsia="zh-CN"/>
        </w:rPr>
      </w:pPr>
    </w:p>
    <w:p>
      <w:pPr>
        <w:pStyle w:val="67"/>
        <w:rPr>
          <w:rFonts w:hint="eastAsia"/>
          <w:color w:val="auto"/>
          <w:highlight w:val="none"/>
          <w:lang w:eastAsia="zh-CN"/>
        </w:rPr>
      </w:pPr>
    </w:p>
    <w:p>
      <w:pPr>
        <w:pStyle w:val="157"/>
        <w:pageBreakBefore w:val="0"/>
        <w:numPr>
          <w:ilvl w:val="0"/>
          <w:numId w:val="2"/>
        </w:numPr>
        <w:kinsoku/>
        <w:overflowPunct/>
        <w:topLinePunct w:val="0"/>
        <w:autoSpaceDE/>
        <w:autoSpaceDN/>
        <w:bidi w:val="0"/>
        <w:adjustRightInd/>
        <w:spacing w:before="0" w:after="0" w:line="360" w:lineRule="auto"/>
        <w:ind w:left="0" w:firstLine="643" w:firstLineChars="200"/>
        <w:rPr>
          <w:rFonts w:hint="eastAsia" w:ascii="宋体" w:hAnsi="宋体" w:eastAsia="宋体" w:cs="宋体"/>
          <w:color w:val="auto"/>
          <w:sz w:val="32"/>
          <w:szCs w:val="32"/>
          <w:highlight w:val="none"/>
        </w:rPr>
        <w:sectPr>
          <w:footerReference r:id="rId6" w:type="first"/>
          <w:footerReference r:id="rId5" w:type="default"/>
          <w:pgSz w:w="11906" w:h="16838"/>
          <w:pgMar w:top="1440" w:right="1230" w:bottom="1440" w:left="123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0" w:name="_Toc14524"/>
      <w:bookmarkStart w:id="1" w:name="_Toc4153"/>
      <w:bookmarkStart w:id="2" w:name="_Toc1291"/>
    </w:p>
    <w:p>
      <w:pPr>
        <w:pStyle w:val="157"/>
        <w:pageBreakBefore w:val="0"/>
        <w:numPr>
          <w:ilvl w:val="0"/>
          <w:numId w:val="2"/>
        </w:numPr>
        <w:kinsoku/>
        <w:overflowPunct/>
        <w:topLinePunct w:val="0"/>
        <w:autoSpaceDE/>
        <w:autoSpaceDN/>
        <w:bidi w:val="0"/>
        <w:adjustRightInd/>
        <w:spacing w:before="0" w:after="0" w:line="360" w:lineRule="auto"/>
        <w:ind w:left="0" w:firstLine="643" w:firstLineChars="200"/>
        <w:rPr>
          <w:rFonts w:hint="eastAsia" w:ascii="宋体" w:hAnsi="宋体" w:eastAsia="宋体" w:cs="宋体"/>
          <w:color w:val="auto"/>
          <w:sz w:val="32"/>
          <w:szCs w:val="32"/>
          <w:highlight w:val="none"/>
        </w:rPr>
      </w:pPr>
      <w:r>
        <w:rPr>
          <w:rFonts w:hint="eastAsia"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竞争性</w:t>
      </w:r>
      <w:r>
        <w:rPr>
          <w:rFonts w:hint="eastAsia" w:ascii="宋体" w:hAnsi="宋体" w:eastAsia="宋体" w:cs="宋体"/>
          <w:color w:val="auto"/>
          <w:sz w:val="32"/>
          <w:szCs w:val="32"/>
          <w:highlight w:val="none"/>
          <w:lang w:eastAsia="zh-CN"/>
        </w:rPr>
        <w:t>磋商</w:t>
      </w:r>
      <w:r>
        <w:rPr>
          <w:rFonts w:hint="eastAsia" w:ascii="宋体" w:hAnsi="宋体" w:eastAsia="宋体" w:cs="宋体"/>
          <w:color w:val="auto"/>
          <w:sz w:val="32"/>
          <w:szCs w:val="32"/>
          <w:highlight w:val="none"/>
        </w:rPr>
        <w:t>公告</w:t>
      </w:r>
      <w:bookmarkEnd w:id="0"/>
      <w:bookmarkEnd w:id="1"/>
      <w:bookmarkEnd w:id="2"/>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Style w:val="13"/>
              <w:spacing w:line="360" w:lineRule="exact"/>
              <w:ind w:firstLine="0"/>
              <w:jc w:val="both"/>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项目概况</w:t>
            </w:r>
          </w:p>
          <w:p>
            <w:pPr>
              <w:pStyle w:val="13"/>
              <w:spacing w:line="360" w:lineRule="exact"/>
              <w:ind w:firstLine="420" w:firstLineChars="200"/>
              <w:jc w:val="both"/>
              <w:rPr>
                <w:rFonts w:hint="eastAsia" w:ascii="宋体" w:hAnsi="宋体" w:eastAsia="宋体" w:cs="宋体"/>
                <w:b/>
                <w:bCs/>
                <w:sz w:val="21"/>
                <w:szCs w:val="21"/>
                <w:highlight w:val="none"/>
              </w:rPr>
            </w:pPr>
            <w:r>
              <w:rPr>
                <w:rFonts w:hint="eastAsia" w:ascii="宋体" w:hAnsi="宋体" w:cs="宋体"/>
                <w:sz w:val="21"/>
                <w:szCs w:val="21"/>
                <w:highlight w:val="none"/>
                <w:lang w:eastAsia="zh-CN"/>
              </w:rPr>
              <w:t>哈密市图书馆智慧场馆配套设备及软件采购项目</w:t>
            </w:r>
            <w:r>
              <w:rPr>
                <w:rFonts w:hint="eastAsia" w:ascii="宋体" w:hAnsi="宋体" w:eastAsia="宋体" w:cs="宋体"/>
                <w:sz w:val="21"/>
                <w:szCs w:val="21"/>
                <w:highlight w:val="none"/>
              </w:rPr>
              <w:t>的潜在</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应在政采云平台获取</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文件，并于202</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11</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27日</w:t>
            </w:r>
            <w:r>
              <w:rPr>
                <w:rFonts w:hint="eastAsia" w:ascii="宋体" w:hAnsi="宋体" w:cs="宋体"/>
                <w:sz w:val="21"/>
                <w:szCs w:val="21"/>
                <w:highlight w:val="none"/>
                <w:lang w:eastAsia="zh-CN"/>
              </w:rPr>
              <w:t>16:00</w:t>
            </w:r>
            <w:r>
              <w:rPr>
                <w:rFonts w:hint="eastAsia" w:ascii="宋体" w:hAnsi="宋体" w:eastAsia="宋体" w:cs="宋体"/>
                <w:sz w:val="21"/>
                <w:szCs w:val="21"/>
                <w:highlight w:val="none"/>
              </w:rPr>
              <w:t>（北京时间）前</w:t>
            </w:r>
            <w:r>
              <w:rPr>
                <w:rFonts w:hint="eastAsia" w:ascii="宋体" w:hAnsi="宋体" w:eastAsia="宋体" w:cs="宋体"/>
                <w:sz w:val="21"/>
                <w:szCs w:val="21"/>
                <w:highlight w:val="none"/>
                <w:lang w:val="en-US" w:eastAsia="zh-CN"/>
              </w:rPr>
              <w:t>提交响应文件</w:t>
            </w:r>
            <w:r>
              <w:rPr>
                <w:rFonts w:hint="eastAsia" w:ascii="宋体" w:hAnsi="宋体" w:eastAsia="宋体" w:cs="宋体"/>
                <w:sz w:val="21"/>
                <w:szCs w:val="21"/>
                <w:highlight w:val="none"/>
              </w:rPr>
              <w:t>。</w:t>
            </w:r>
          </w:p>
        </w:tc>
      </w:tr>
    </w:tbl>
    <w:p>
      <w:pPr>
        <w:pStyle w:val="39"/>
        <w:widowControl/>
        <w:spacing w:before="0" w:beforeAutospacing="0" w:after="0" w:afterAutospacing="0" w:line="360" w:lineRule="exact"/>
        <w:jc w:val="both"/>
        <w:rPr>
          <w:rFonts w:hint="eastAsia" w:ascii="宋体" w:hAnsi="宋体" w:eastAsia="宋体" w:cs="宋体"/>
          <w:sz w:val="21"/>
          <w:szCs w:val="21"/>
          <w:highlight w:val="none"/>
        </w:rPr>
      </w:pPr>
      <w:r>
        <w:rPr>
          <w:rStyle w:val="49"/>
          <w:rFonts w:hint="eastAsia" w:ascii="宋体" w:hAnsi="宋体" w:eastAsia="宋体" w:cs="宋体"/>
          <w:sz w:val="21"/>
          <w:szCs w:val="21"/>
          <w:highlight w:val="none"/>
        </w:rPr>
        <w:t>一、项目基本情况</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项目编号：</w:t>
      </w:r>
      <w:r>
        <w:rPr>
          <w:rFonts w:hint="eastAsia" w:ascii="宋体" w:hAnsi="宋体" w:cs="宋体"/>
          <w:sz w:val="21"/>
          <w:szCs w:val="21"/>
          <w:highlight w:val="none"/>
          <w:lang w:eastAsia="zh-CN"/>
        </w:rPr>
        <w:t>SSQYZB-CG2022【HM】004</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项目名称：</w:t>
      </w:r>
      <w:r>
        <w:rPr>
          <w:rFonts w:hint="eastAsia" w:ascii="宋体" w:hAnsi="宋体" w:cs="宋体"/>
          <w:sz w:val="21"/>
          <w:szCs w:val="21"/>
          <w:highlight w:val="none"/>
          <w:lang w:eastAsia="zh-CN"/>
        </w:rPr>
        <w:t>哈密市图书馆智慧场馆配套设备及软件采购项目</w:t>
      </w:r>
    </w:p>
    <w:p>
      <w:pPr>
        <w:pStyle w:val="39"/>
        <w:widowControl/>
        <w:spacing w:before="0" w:beforeAutospacing="0" w:after="0" w:afterAutospacing="0" w:line="360" w:lineRule="exact"/>
        <w:ind w:firstLine="420" w:firstLineChars="200"/>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预算金额（元）：</w:t>
      </w:r>
      <w:r>
        <w:rPr>
          <w:rFonts w:hint="eastAsia" w:ascii="宋体" w:hAnsi="宋体" w:cs="宋体"/>
          <w:sz w:val="21"/>
          <w:szCs w:val="21"/>
          <w:highlight w:val="none"/>
          <w:lang w:val="en-US" w:eastAsia="zh-CN"/>
        </w:rPr>
        <w:t>300000</w:t>
      </w:r>
    </w:p>
    <w:p>
      <w:pPr>
        <w:pStyle w:val="39"/>
        <w:widowControl/>
        <w:spacing w:before="0" w:beforeAutospacing="0" w:after="0" w:afterAutospacing="0" w:line="360" w:lineRule="exact"/>
        <w:ind w:firstLine="420" w:firstLineChars="200"/>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最高限价（元）：</w:t>
      </w:r>
      <w:r>
        <w:rPr>
          <w:rFonts w:hint="eastAsia" w:ascii="宋体" w:hAnsi="宋体" w:cs="宋体"/>
          <w:sz w:val="21"/>
          <w:szCs w:val="21"/>
          <w:highlight w:val="none"/>
          <w:lang w:val="en-US" w:eastAsia="zh-CN"/>
        </w:rPr>
        <w:t>300000</w:t>
      </w:r>
    </w:p>
    <w:p>
      <w:pPr>
        <w:pStyle w:val="39"/>
        <w:widowControl/>
        <w:spacing w:before="0" w:beforeAutospacing="0" w:after="0" w:afterAutospacing="0" w:line="360" w:lineRule="exact"/>
        <w:ind w:firstLine="420" w:firstLineChars="200"/>
        <w:jc w:val="both"/>
        <w:rPr>
          <w:rFonts w:hint="eastAsia" w:ascii="宋体" w:hAnsi="宋体" w:cs="宋体"/>
          <w:sz w:val="21"/>
          <w:szCs w:val="21"/>
          <w:highlight w:val="none"/>
          <w:lang w:eastAsia="zh-CN"/>
        </w:rPr>
      </w:pPr>
      <w:r>
        <w:rPr>
          <w:rFonts w:hint="eastAsia" w:ascii="宋体" w:hAnsi="宋体" w:eastAsia="宋体" w:cs="宋体"/>
          <w:sz w:val="21"/>
          <w:szCs w:val="21"/>
          <w:highlight w:val="none"/>
        </w:rPr>
        <w:t>采购需求：</w:t>
      </w:r>
      <w:r>
        <w:rPr>
          <w:rFonts w:hint="eastAsia" w:ascii="宋体" w:hAnsi="宋体" w:cs="宋体"/>
          <w:sz w:val="21"/>
          <w:szCs w:val="21"/>
          <w:highlight w:val="none"/>
          <w:lang w:val="en-US" w:eastAsia="zh-CN"/>
        </w:rPr>
        <w:t>哈密市图书馆智慧场馆互动滑轨屏建设配套设备及软件采购，包括滑轨屏配套硬件设备、智慧背景文化墙配套安装、滑轨屏系统软件及播放素材数字资源内容制作等。</w:t>
      </w:r>
    </w:p>
    <w:p>
      <w:pPr>
        <w:pStyle w:val="39"/>
        <w:widowControl/>
        <w:spacing w:before="0" w:beforeAutospacing="0" w:after="0" w:afterAutospacing="0" w:line="360" w:lineRule="exact"/>
        <w:ind w:firstLine="420" w:firstLineChars="200"/>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合同履约期限：</w:t>
      </w:r>
      <w:r>
        <w:rPr>
          <w:rFonts w:hint="eastAsia" w:ascii="宋体" w:hAnsi="宋体" w:cs="宋体"/>
          <w:sz w:val="21"/>
          <w:szCs w:val="21"/>
          <w:highlight w:val="none"/>
          <w:lang w:val="en-US" w:eastAsia="zh-CN"/>
        </w:rPr>
        <w:t>合同签订后30（日历）日内。</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本项目（否）接受联合体投标。</w:t>
      </w:r>
    </w:p>
    <w:p>
      <w:pPr>
        <w:pStyle w:val="39"/>
        <w:widowControl/>
        <w:spacing w:before="0" w:beforeAutospacing="0" w:after="0" w:afterAutospacing="0" w:line="360" w:lineRule="exact"/>
        <w:jc w:val="both"/>
        <w:rPr>
          <w:rFonts w:hint="eastAsia" w:ascii="宋体" w:hAnsi="宋体" w:eastAsia="宋体" w:cs="宋体"/>
          <w:sz w:val="21"/>
          <w:szCs w:val="21"/>
          <w:highlight w:val="none"/>
        </w:rPr>
      </w:pPr>
      <w:r>
        <w:rPr>
          <w:rStyle w:val="49"/>
          <w:rFonts w:hint="eastAsia" w:ascii="宋体" w:hAnsi="宋体" w:eastAsia="宋体" w:cs="宋体"/>
          <w:sz w:val="21"/>
          <w:szCs w:val="21"/>
          <w:highlight w:val="none"/>
        </w:rPr>
        <w:t>二、申请人的资格要求：</w:t>
      </w:r>
    </w:p>
    <w:p>
      <w:pPr>
        <w:tabs>
          <w:tab w:val="left" w:pos="1185"/>
        </w:tabs>
        <w:spacing w:line="4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1.满足《中华人民共和国政府采购法》第二十二条规定；</w:t>
      </w:r>
    </w:p>
    <w:p>
      <w:pPr>
        <w:tabs>
          <w:tab w:val="left" w:pos="1185"/>
        </w:tabs>
        <w:spacing w:line="46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落实政府采购政策需满足的资格要求：</w:t>
      </w:r>
      <w:r>
        <w:rPr>
          <w:rFonts w:hint="eastAsia" w:ascii="宋体" w:hAnsi="宋体" w:eastAsia="宋体" w:cs="宋体"/>
          <w:sz w:val="21"/>
          <w:szCs w:val="21"/>
          <w:highlight w:val="none"/>
          <w:lang w:val="en-US" w:eastAsia="zh-CN"/>
        </w:rPr>
        <w:t>供应商是小微企业。</w:t>
      </w:r>
    </w:p>
    <w:p>
      <w:pPr>
        <w:pStyle w:val="2"/>
        <w:numPr>
          <w:ilvl w:val="0"/>
          <w:numId w:val="0"/>
        </w:numPr>
        <w:ind w:right="246" w:rightChars="0"/>
        <w:rPr>
          <w:rFonts w:hint="default"/>
          <w:lang w:val="en-US" w:eastAsia="zh-CN"/>
        </w:rPr>
      </w:pPr>
      <w:r>
        <w:rPr>
          <w:rFonts w:hint="eastAsia"/>
          <w:lang w:val="en-US" w:eastAsia="zh-CN"/>
        </w:rPr>
        <w:t>政策依据：</w:t>
      </w:r>
    </w:p>
    <w:p>
      <w:pPr>
        <w:tabs>
          <w:tab w:val="left" w:pos="1185"/>
        </w:tabs>
        <w:spacing w:line="46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财政部、工业和信息化部《关于印发〈政府</w:t>
      </w:r>
      <w:r>
        <w:rPr>
          <w:rFonts w:hint="eastAsia" w:ascii="宋体" w:hAnsi="宋体" w:eastAsia="宋体" w:cs="宋体"/>
          <w:kern w:val="2"/>
          <w:sz w:val="21"/>
          <w:szCs w:val="21"/>
          <w:highlight w:val="none"/>
          <w:lang w:val="en-US" w:eastAsia="zh-CN" w:bidi="ar-SA"/>
        </w:rPr>
        <w:t xml:space="preserve">采购促进中小企业发展管理办法〉的通知》(财库〔2020〕46号）； </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w:t>
      </w:r>
      <w:r>
        <w:rPr>
          <w:rFonts w:hint="eastAsia" w:ascii="宋体" w:hAnsi="宋体" w:eastAsia="宋体" w:cs="宋体"/>
          <w:kern w:val="2"/>
          <w:sz w:val="21"/>
          <w:szCs w:val="21"/>
          <w:highlight w:val="none"/>
          <w:lang w:val="en-US" w:eastAsia="zh-CN" w:bidi="ar-SA"/>
        </w:rPr>
        <w:t xml:space="preserve">财政部、司法部《关于政府采购支持监狱企业发展有关问题的通知》（财库[2014]68号文）。 </w:t>
      </w:r>
    </w:p>
    <w:p>
      <w:pPr>
        <w:tabs>
          <w:tab w:val="left" w:pos="1185"/>
        </w:tabs>
        <w:spacing w:line="46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kern w:val="2"/>
          <w:sz w:val="21"/>
          <w:szCs w:val="21"/>
          <w:highlight w:val="none"/>
          <w:lang w:val="en-US" w:eastAsia="zh-CN" w:bidi="ar-SA"/>
        </w:rPr>
        <w:t>财政部、民政部、中国残疾人联合会《关于促进残疾人就业政府采购政策的通知》（财库[2017]141号）。</w:t>
      </w:r>
    </w:p>
    <w:p>
      <w:pPr>
        <w:tabs>
          <w:tab w:val="left" w:pos="1185"/>
        </w:tabs>
        <w:spacing w:line="460" w:lineRule="exact"/>
        <w:ind w:firstLine="420" w:firstLineChars="20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 xml:space="preserve">）财政部、国家发展改革委、生态环境部、市场监管总局《关于调整优化节能产品、环境标志产品政府采购执行机制的通知》（财库[2019]9号文）； </w:t>
      </w:r>
    </w:p>
    <w:p>
      <w:pPr>
        <w:tabs>
          <w:tab w:val="left" w:pos="1185"/>
        </w:tabs>
        <w:spacing w:line="460" w:lineRule="exact"/>
        <w:ind w:firstLine="420" w:firstLineChars="20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 xml:space="preserve">）财政部、生态环境部《关于印发环境标志产品政府采购品目清单的通知》（财库[2019]18号文）； </w:t>
      </w:r>
    </w:p>
    <w:p>
      <w:pPr>
        <w:tabs>
          <w:tab w:val="left" w:pos="1185"/>
        </w:tabs>
        <w:spacing w:line="460" w:lineRule="exact"/>
        <w:ind w:firstLine="420" w:firstLineChars="20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）财政部、发展改革委《关于印发节能产品政府采购品目清单的通知》（财库[2019]19号文）；</w:t>
      </w:r>
    </w:p>
    <w:p>
      <w:pPr>
        <w:tabs>
          <w:tab w:val="left" w:pos="1185"/>
        </w:tabs>
        <w:spacing w:line="460" w:lineRule="exact"/>
        <w:ind w:firstLine="420" w:firstLineChars="20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 xml:space="preserve">）市场监管总局《市场监管总局关于发布参与实施政府采购节能产品、环境标志产品认证机构名录的公告》（2019年第16号）； </w:t>
      </w:r>
    </w:p>
    <w:p>
      <w:pPr>
        <w:tabs>
          <w:tab w:val="left" w:pos="1185"/>
        </w:tabs>
        <w:spacing w:line="4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8）财政部、生态环境部、国家邮政局《关于印发《商品包装政府采购需求标准（试行）》、《快递包装政府采购需求标准（试行）》的通知》（财办库〔2020〕123号）。</w:t>
      </w:r>
    </w:p>
    <w:p>
      <w:pPr>
        <w:pStyle w:val="2"/>
        <w:ind w:left="0" w:leftChars="0" w:firstLine="0" w:firstLineChars="0"/>
        <w:rPr>
          <w:rFonts w:hint="eastAsia"/>
          <w:lang w:val="en-US" w:eastAsia="zh-CN"/>
        </w:rPr>
      </w:pP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3.本项目的特定资格要求：</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1）具有独立承担民事责任能力的在中华人民共和国境内注册的法人、其他组织或者自然人；企业营业执照或三证合一营业执照； </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2）供应商</w:t>
      </w:r>
      <w:r>
        <w:rPr>
          <w:rFonts w:hint="eastAsia" w:ascii="宋体" w:hAnsi="宋体" w:eastAsia="宋体" w:cs="宋体"/>
          <w:sz w:val="21"/>
          <w:szCs w:val="21"/>
          <w:highlight w:val="none"/>
        </w:rPr>
        <w:t>须在“信用中国”（www.creditchina.gov.cn）和“中国政府采购网 （</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www.ccgp.gov.cn%EF%BC%89%E2%80%9D%E7%BD%91%E7%AB%99%E4%B8%8A%E6%9C%AA%E8%A2%AB%E5%88%97%E5%85%A5%E5%A4%B1%E4%BF%A1%E8%A2%AB%E6%89%A7%E8%A1%8C%E4%BA%BA%E3%80%81%E9%87%8D%E5%A4%A7%E7%A8%8E%E6%94%B6%E8%BF%9D%E6%B3%95%E6%A1%88%E4%BB%B6%E5%BD%93%E4%BA%8B%E4%BA%BA%E5%90%8D%E5%8D%95%E3%80%81%E6%94%BF%E5%BA%9C%E9%87%87%E8%B4%AD%E4%B8%A5%E9%87%8D%E8%BF%9D%E6%B3%95%E5%A4%B1%E4%BF%A1%E8%A1%8C/"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www.ccgp.gov.cn）”网站上未被列入失信被执行人、重大税收违法案件当事人名单、政府采购严重违法失信行</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为记录名单；</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p>
    <w:p>
      <w:pPr>
        <w:pStyle w:val="39"/>
        <w:widowControl/>
        <w:spacing w:before="0" w:beforeAutospacing="0" w:after="0" w:afterAutospacing="0" w:line="360" w:lineRule="exact"/>
        <w:jc w:val="both"/>
        <w:rPr>
          <w:rFonts w:hint="eastAsia" w:ascii="宋体" w:hAnsi="宋体" w:eastAsia="宋体" w:cs="宋体"/>
          <w:sz w:val="21"/>
          <w:szCs w:val="21"/>
          <w:highlight w:val="none"/>
        </w:rPr>
      </w:pPr>
      <w:r>
        <w:rPr>
          <w:rStyle w:val="49"/>
          <w:rFonts w:hint="eastAsia" w:ascii="宋体" w:hAnsi="宋体" w:eastAsia="宋体" w:cs="宋体"/>
          <w:sz w:val="21"/>
          <w:szCs w:val="21"/>
          <w:highlight w:val="none"/>
        </w:rPr>
        <w:t>三、获取招标文件</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时间：202</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11</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11</w:t>
      </w:r>
      <w:r>
        <w:rPr>
          <w:rFonts w:hint="eastAsia" w:ascii="宋体" w:hAnsi="宋体" w:eastAsia="宋体" w:cs="宋体"/>
          <w:sz w:val="21"/>
          <w:szCs w:val="21"/>
          <w:highlight w:val="none"/>
        </w:rPr>
        <w:t>日至202</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11</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22</w:t>
      </w:r>
      <w:r>
        <w:rPr>
          <w:rFonts w:hint="eastAsia" w:ascii="宋体" w:hAnsi="宋体" w:eastAsia="宋体" w:cs="宋体"/>
          <w:sz w:val="21"/>
          <w:szCs w:val="21"/>
          <w:highlight w:val="none"/>
        </w:rPr>
        <w:t>日</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上午</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:00至</w:t>
      </w: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:00，下午</w:t>
      </w: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:00至</w:t>
      </w:r>
      <w:r>
        <w:rPr>
          <w:rFonts w:hint="eastAsia" w:ascii="宋体" w:hAnsi="宋体" w:cs="宋体"/>
          <w:sz w:val="21"/>
          <w:szCs w:val="21"/>
          <w:highlight w:val="none"/>
          <w:lang w:val="en-US" w:eastAsia="zh-CN"/>
        </w:rPr>
        <w:t>19</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00</w:t>
      </w:r>
      <w:r>
        <w:rPr>
          <w:rFonts w:hint="eastAsia" w:ascii="宋体" w:hAnsi="宋体" w:eastAsia="宋体" w:cs="宋体"/>
          <w:sz w:val="21"/>
          <w:szCs w:val="21"/>
          <w:highlight w:val="none"/>
        </w:rPr>
        <w:t>（北京时间）</w:t>
      </w:r>
    </w:p>
    <w:p>
      <w:pPr>
        <w:pStyle w:val="39"/>
        <w:widowControl/>
        <w:spacing w:before="0" w:beforeAutospacing="0" w:after="0" w:afterAutospacing="0" w:line="360" w:lineRule="exact"/>
        <w:ind w:firstLine="420" w:firstLineChars="200"/>
        <w:jc w:val="both"/>
        <w:rPr>
          <w:rFonts w:hint="eastAsia" w:ascii="宋体" w:hAnsi="宋体" w:eastAsia="宋体" w:cs="宋体"/>
          <w:spacing w:val="-6"/>
          <w:sz w:val="21"/>
          <w:szCs w:val="21"/>
          <w:highlight w:val="none"/>
          <w:lang w:eastAsia="zh-CN"/>
        </w:rPr>
      </w:pPr>
      <w:r>
        <w:rPr>
          <w:rFonts w:hint="eastAsia" w:ascii="宋体" w:hAnsi="宋体" w:eastAsia="宋体" w:cs="宋体"/>
          <w:sz w:val="21"/>
          <w:szCs w:val="21"/>
          <w:highlight w:val="none"/>
        </w:rPr>
        <w:t>地点：</w:t>
      </w:r>
      <w:r>
        <w:rPr>
          <w:rFonts w:hint="eastAsia" w:ascii="宋体" w:hAnsi="宋体" w:cs="宋体"/>
          <w:sz w:val="21"/>
          <w:szCs w:val="21"/>
          <w:highlight w:val="none"/>
          <w:lang w:eastAsia="zh-CN"/>
        </w:rPr>
        <w:t>新疆政府采购网http://www.ccgp-xinjiang.gov.cn/</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方式：</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登陆“政采云”平台在线申请获取采购文件（进入“项目采购”应用，在获取采购文件菜单中选择项目，申请获取采购文件）。获取采购文件需上传以下资料（加盖公章彩色扫描件）：</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（1）企业营业执照、组织机构代码证、税务登记证（或三证合一的营业执照）；</w:t>
      </w:r>
    </w:p>
    <w:p>
      <w:pPr>
        <w:pStyle w:val="39"/>
        <w:widowControl/>
        <w:spacing w:before="0" w:beforeAutospacing="0" w:after="0" w:afterAutospacing="0" w:line="360" w:lineRule="exact"/>
        <w:ind w:left="420" w:leftChars="200" w:firstLine="0" w:firstLineChars="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（2）法人身份证明书及身份证或法人授权委托书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需包含法人及被授权人身份证正、反面复印件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p>
    <w:p>
      <w:pPr>
        <w:pStyle w:val="39"/>
        <w:widowControl/>
        <w:spacing w:before="0" w:beforeAutospacing="0" w:after="0" w:afterAutospacing="0" w:line="360" w:lineRule="exact"/>
        <w:ind w:left="420" w:leftChars="200" w:firstLine="0" w:firstLineChars="0"/>
        <w:jc w:val="both"/>
        <w:rPr>
          <w:rFonts w:hint="default" w:ascii="宋体" w:hAnsi="宋体" w:eastAsia="宋体" w:cs="宋体"/>
          <w:sz w:val="21"/>
          <w:szCs w:val="21"/>
          <w:highlight w:val="none"/>
          <w:lang w:val="en-US"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3</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中小企业声明函</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售价（元）：0</w:t>
      </w:r>
    </w:p>
    <w:p>
      <w:pPr>
        <w:pStyle w:val="39"/>
        <w:widowControl/>
        <w:spacing w:before="0" w:beforeAutospacing="0" w:after="0" w:afterAutospacing="0" w:line="360" w:lineRule="exact"/>
        <w:jc w:val="both"/>
        <w:rPr>
          <w:rFonts w:hint="eastAsia" w:ascii="宋体" w:hAnsi="宋体" w:eastAsia="宋体" w:cs="宋体"/>
          <w:sz w:val="21"/>
          <w:szCs w:val="21"/>
          <w:highlight w:val="none"/>
        </w:rPr>
      </w:pPr>
      <w:r>
        <w:rPr>
          <w:rStyle w:val="49"/>
          <w:rFonts w:hint="eastAsia" w:ascii="宋体" w:hAnsi="宋体" w:eastAsia="宋体" w:cs="宋体"/>
          <w:sz w:val="21"/>
          <w:szCs w:val="21"/>
          <w:highlight w:val="none"/>
        </w:rPr>
        <w:t>四、提交</w:t>
      </w:r>
      <w:r>
        <w:rPr>
          <w:rStyle w:val="49"/>
          <w:rFonts w:hint="eastAsia" w:ascii="宋体" w:hAnsi="宋体" w:cs="宋体"/>
          <w:sz w:val="21"/>
          <w:szCs w:val="21"/>
          <w:highlight w:val="none"/>
          <w:lang w:eastAsia="zh-CN"/>
        </w:rPr>
        <w:t>响应文件</w:t>
      </w:r>
      <w:r>
        <w:rPr>
          <w:rStyle w:val="49"/>
          <w:rFonts w:hint="eastAsia" w:ascii="宋体" w:hAnsi="宋体" w:eastAsia="宋体" w:cs="宋体"/>
          <w:sz w:val="21"/>
          <w:szCs w:val="21"/>
          <w:highlight w:val="none"/>
        </w:rPr>
        <w:t>截止时间、开标时间和地点</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提交</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截止时间：202</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11</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27日16:00</w:t>
      </w:r>
      <w:r>
        <w:rPr>
          <w:rFonts w:hint="eastAsia" w:ascii="宋体" w:hAnsi="宋体" w:eastAsia="宋体" w:cs="宋体"/>
          <w:sz w:val="21"/>
          <w:szCs w:val="21"/>
          <w:highlight w:val="none"/>
        </w:rPr>
        <w:t>（北京时间）</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投标地点（网址）：</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应在此之前将加密的</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上传至政采云</w:t>
      </w:r>
      <w:r>
        <w:rPr>
          <w:rFonts w:hint="eastAsia" w:ascii="宋体" w:hAnsi="宋体" w:cs="宋体"/>
          <w:sz w:val="21"/>
          <w:szCs w:val="21"/>
          <w:highlight w:val="none"/>
          <w:lang w:eastAsia="zh-CN"/>
        </w:rPr>
        <w:t>http://www.ccgp-xinjiang.gov.cn/</w:t>
      </w:r>
      <w:r>
        <w:rPr>
          <w:rFonts w:hint="eastAsia" w:ascii="宋体" w:hAnsi="宋体" w:eastAsia="宋体" w:cs="宋体"/>
          <w:sz w:val="21"/>
          <w:szCs w:val="21"/>
          <w:highlight w:val="none"/>
        </w:rPr>
        <w:t>(逾期未上传的或不符合规定的</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将被拒绝接收) 。</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开标时间：202</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11</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27日16:00</w:t>
      </w:r>
      <w:r>
        <w:rPr>
          <w:rFonts w:hint="eastAsia" w:ascii="宋体" w:hAnsi="宋体" w:eastAsia="宋体" w:cs="宋体"/>
          <w:sz w:val="21"/>
          <w:szCs w:val="21"/>
          <w:highlight w:val="none"/>
        </w:rPr>
        <w:t>（北京时间）</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开标地点：</w:t>
      </w:r>
      <w:r>
        <w:rPr>
          <w:rFonts w:hint="eastAsia" w:ascii="宋体" w:hAnsi="宋体" w:cs="宋体"/>
          <w:sz w:val="21"/>
          <w:szCs w:val="21"/>
          <w:highlight w:val="none"/>
          <w:lang w:eastAsia="zh-CN"/>
        </w:rPr>
        <w:t>新疆政府采购网http://www.ccgp-xinjiang.gov.cn/</w:t>
      </w:r>
      <w:r>
        <w:rPr>
          <w:rFonts w:hint="eastAsia" w:ascii="宋体" w:hAnsi="宋体" w:eastAsia="宋体" w:cs="宋体"/>
          <w:sz w:val="21"/>
          <w:szCs w:val="21"/>
          <w:highlight w:val="none"/>
        </w:rPr>
        <w:t>不见面开标大厅  </w:t>
      </w:r>
    </w:p>
    <w:p>
      <w:pPr>
        <w:pStyle w:val="39"/>
        <w:widowControl/>
        <w:spacing w:before="0" w:beforeAutospacing="0" w:after="0" w:afterAutospacing="0" w:line="360" w:lineRule="exact"/>
        <w:jc w:val="both"/>
        <w:rPr>
          <w:rFonts w:hint="eastAsia" w:ascii="宋体" w:hAnsi="宋体" w:eastAsia="宋体" w:cs="宋体"/>
          <w:sz w:val="21"/>
          <w:szCs w:val="21"/>
          <w:highlight w:val="none"/>
        </w:rPr>
      </w:pPr>
      <w:r>
        <w:rPr>
          <w:rStyle w:val="49"/>
          <w:rFonts w:hint="eastAsia" w:ascii="宋体" w:hAnsi="宋体" w:eastAsia="宋体" w:cs="宋体"/>
          <w:sz w:val="21"/>
          <w:szCs w:val="21"/>
          <w:highlight w:val="none"/>
        </w:rPr>
        <w:t>五、公告期限</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自本公告发布之日起</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个工作日。</w:t>
      </w:r>
    </w:p>
    <w:p>
      <w:pPr>
        <w:pStyle w:val="39"/>
        <w:widowControl/>
        <w:spacing w:before="0" w:beforeAutospacing="0" w:after="0" w:afterAutospacing="0" w:line="360" w:lineRule="exact"/>
        <w:jc w:val="both"/>
        <w:rPr>
          <w:rFonts w:hint="eastAsia" w:ascii="宋体" w:hAnsi="宋体" w:eastAsia="宋体" w:cs="宋体"/>
          <w:sz w:val="21"/>
          <w:szCs w:val="21"/>
          <w:highlight w:val="none"/>
        </w:rPr>
      </w:pPr>
      <w:r>
        <w:rPr>
          <w:rStyle w:val="49"/>
          <w:rFonts w:hint="eastAsia" w:ascii="宋体" w:hAnsi="宋体" w:eastAsia="宋体" w:cs="宋体"/>
          <w:sz w:val="21"/>
          <w:szCs w:val="21"/>
          <w:highlight w:val="none"/>
        </w:rPr>
        <w:t>六、其他补充事宜</w:t>
      </w:r>
    </w:p>
    <w:p>
      <w:pPr>
        <w:pStyle w:val="39"/>
        <w:widowControl/>
        <w:spacing w:before="0" w:beforeAutospacing="0" w:after="0" w:afterAutospacing="0" w:line="360" w:lineRule="exact"/>
        <w:ind w:firstLine="420" w:firstLineChars="200"/>
        <w:jc w:val="both"/>
        <w:rPr>
          <w:rStyle w:val="49"/>
          <w:rFonts w:hint="eastAsia" w:ascii="宋体" w:hAnsi="宋体" w:eastAsia="宋体" w:cs="宋体"/>
          <w:b w:val="0"/>
          <w:bCs w:val="0"/>
          <w:sz w:val="21"/>
          <w:szCs w:val="21"/>
          <w:highlight w:val="none"/>
        </w:rPr>
      </w:pPr>
      <w:r>
        <w:rPr>
          <w:rStyle w:val="49"/>
          <w:rFonts w:hint="eastAsia" w:ascii="宋体" w:hAnsi="宋体" w:eastAsia="宋体" w:cs="宋体"/>
          <w:b w:val="0"/>
          <w:bCs w:val="0"/>
          <w:sz w:val="21"/>
          <w:szCs w:val="21"/>
          <w:highlight w:val="none"/>
        </w:rPr>
        <w:t>1、本项目实行网上投标，采用电子</w:t>
      </w:r>
      <w:r>
        <w:rPr>
          <w:rStyle w:val="49"/>
          <w:rFonts w:hint="eastAsia" w:ascii="宋体" w:hAnsi="宋体" w:cs="宋体"/>
          <w:b w:val="0"/>
          <w:bCs w:val="0"/>
          <w:sz w:val="21"/>
          <w:szCs w:val="21"/>
          <w:highlight w:val="none"/>
          <w:lang w:eastAsia="zh-CN"/>
        </w:rPr>
        <w:t>响应文件</w:t>
      </w:r>
      <w:r>
        <w:rPr>
          <w:rStyle w:val="49"/>
          <w:rFonts w:hint="eastAsia" w:ascii="宋体" w:hAnsi="宋体" w:eastAsia="宋体" w:cs="宋体"/>
          <w:b w:val="0"/>
          <w:bCs w:val="0"/>
          <w:sz w:val="21"/>
          <w:szCs w:val="21"/>
          <w:highlight w:val="none"/>
        </w:rPr>
        <w:t>；</w:t>
      </w:r>
    </w:p>
    <w:p>
      <w:pPr>
        <w:pStyle w:val="39"/>
        <w:widowControl/>
        <w:spacing w:before="0" w:beforeAutospacing="0" w:after="0" w:afterAutospacing="0" w:line="360" w:lineRule="exact"/>
        <w:ind w:firstLine="420" w:firstLineChars="200"/>
        <w:jc w:val="both"/>
        <w:rPr>
          <w:rStyle w:val="49"/>
          <w:rFonts w:hint="eastAsia" w:ascii="宋体" w:hAnsi="宋体" w:eastAsia="宋体" w:cs="宋体"/>
          <w:b w:val="0"/>
          <w:bCs w:val="0"/>
          <w:sz w:val="21"/>
          <w:szCs w:val="21"/>
          <w:highlight w:val="none"/>
        </w:rPr>
      </w:pPr>
      <w:r>
        <w:rPr>
          <w:rStyle w:val="49"/>
          <w:rFonts w:hint="eastAsia" w:ascii="宋体" w:hAnsi="宋体" w:eastAsia="宋体" w:cs="宋体"/>
          <w:b w:val="0"/>
          <w:bCs w:val="0"/>
          <w:sz w:val="21"/>
          <w:szCs w:val="21"/>
          <w:highlight w:val="none"/>
        </w:rPr>
        <w:t>2、各</w:t>
      </w:r>
      <w:r>
        <w:rPr>
          <w:rStyle w:val="49"/>
          <w:rFonts w:hint="eastAsia" w:ascii="宋体" w:hAnsi="宋体" w:eastAsia="宋体" w:cs="宋体"/>
          <w:b w:val="0"/>
          <w:bCs w:val="0"/>
          <w:sz w:val="21"/>
          <w:szCs w:val="21"/>
          <w:highlight w:val="none"/>
          <w:lang w:eastAsia="zh-CN"/>
        </w:rPr>
        <w:t>供应商</w:t>
      </w:r>
      <w:r>
        <w:rPr>
          <w:rStyle w:val="49"/>
          <w:rFonts w:hint="eastAsia" w:ascii="宋体" w:hAnsi="宋体" w:eastAsia="宋体" w:cs="宋体"/>
          <w:b w:val="0"/>
          <w:bCs w:val="0"/>
          <w:sz w:val="21"/>
          <w:szCs w:val="21"/>
          <w:highlight w:val="none"/>
        </w:rPr>
        <w:t>应在开标前应确保成为新疆政府采购网正式注册入库</w:t>
      </w:r>
      <w:r>
        <w:rPr>
          <w:rStyle w:val="49"/>
          <w:rFonts w:hint="eastAsia" w:ascii="宋体" w:hAnsi="宋体" w:eastAsia="宋体" w:cs="宋体"/>
          <w:b w:val="0"/>
          <w:bCs w:val="0"/>
          <w:sz w:val="21"/>
          <w:szCs w:val="21"/>
          <w:highlight w:val="none"/>
          <w:lang w:eastAsia="zh-CN"/>
        </w:rPr>
        <w:t>供应商</w:t>
      </w:r>
      <w:r>
        <w:rPr>
          <w:rStyle w:val="49"/>
          <w:rFonts w:hint="eastAsia" w:ascii="宋体" w:hAnsi="宋体" w:eastAsia="宋体" w:cs="宋体"/>
          <w:b w:val="0"/>
          <w:bCs w:val="0"/>
          <w:sz w:val="21"/>
          <w:szCs w:val="21"/>
          <w:highlight w:val="none"/>
        </w:rPr>
        <w:t>，并完成CA数字证书（符合国密标准）申领。因未注册入库、未办理CA数字证书等原因造成无法投标或投标失败等后果由</w:t>
      </w:r>
      <w:r>
        <w:rPr>
          <w:rStyle w:val="49"/>
          <w:rFonts w:hint="eastAsia" w:ascii="宋体" w:hAnsi="宋体" w:eastAsia="宋体" w:cs="宋体"/>
          <w:b w:val="0"/>
          <w:bCs w:val="0"/>
          <w:sz w:val="21"/>
          <w:szCs w:val="21"/>
          <w:highlight w:val="none"/>
          <w:lang w:eastAsia="zh-CN"/>
        </w:rPr>
        <w:t>供应商</w:t>
      </w:r>
      <w:r>
        <w:rPr>
          <w:rStyle w:val="49"/>
          <w:rFonts w:hint="eastAsia" w:ascii="宋体" w:hAnsi="宋体" w:eastAsia="宋体" w:cs="宋体"/>
          <w:b w:val="0"/>
          <w:bCs w:val="0"/>
          <w:sz w:val="21"/>
          <w:szCs w:val="21"/>
          <w:highlight w:val="none"/>
        </w:rPr>
        <w:t>自行承担。有意向参与电子开评标的</w:t>
      </w:r>
      <w:r>
        <w:rPr>
          <w:rStyle w:val="49"/>
          <w:rFonts w:hint="eastAsia" w:ascii="宋体" w:hAnsi="宋体" w:eastAsia="宋体" w:cs="宋体"/>
          <w:b w:val="0"/>
          <w:bCs w:val="0"/>
          <w:sz w:val="21"/>
          <w:szCs w:val="21"/>
          <w:highlight w:val="none"/>
          <w:lang w:eastAsia="zh-CN"/>
        </w:rPr>
        <w:t>供应商</w:t>
      </w:r>
      <w:r>
        <w:rPr>
          <w:rStyle w:val="49"/>
          <w:rFonts w:hint="eastAsia" w:ascii="宋体" w:hAnsi="宋体" w:eastAsia="宋体" w:cs="宋体"/>
          <w:b w:val="0"/>
          <w:bCs w:val="0"/>
          <w:sz w:val="21"/>
          <w:szCs w:val="21"/>
          <w:highlight w:val="none"/>
        </w:rPr>
        <w:t>，可访问新疆数字证书认证中心官方网站（https://www.xjca.com.cn/）或下载“新疆政务通”APP自行进行申领。如需咨询，请联系新疆CA服务热线0991-2819290；</w:t>
      </w:r>
    </w:p>
    <w:p>
      <w:pPr>
        <w:pStyle w:val="39"/>
        <w:widowControl/>
        <w:spacing w:before="0" w:beforeAutospacing="0" w:after="0" w:afterAutospacing="0" w:line="360" w:lineRule="exact"/>
        <w:ind w:firstLine="420" w:firstLineChars="200"/>
        <w:jc w:val="both"/>
        <w:rPr>
          <w:rStyle w:val="49"/>
          <w:rFonts w:hint="eastAsia" w:ascii="宋体" w:hAnsi="宋体" w:eastAsia="宋体" w:cs="宋体"/>
          <w:b w:val="0"/>
          <w:bCs w:val="0"/>
          <w:sz w:val="21"/>
          <w:szCs w:val="21"/>
          <w:highlight w:val="none"/>
        </w:rPr>
      </w:pPr>
      <w:r>
        <w:rPr>
          <w:rStyle w:val="49"/>
          <w:rFonts w:hint="eastAsia" w:ascii="宋体" w:hAnsi="宋体" w:eastAsia="宋体" w:cs="宋体"/>
          <w:b w:val="0"/>
          <w:bCs w:val="0"/>
          <w:sz w:val="21"/>
          <w:szCs w:val="21"/>
          <w:highlight w:val="none"/>
        </w:rPr>
        <w:t>3、</w:t>
      </w:r>
      <w:r>
        <w:rPr>
          <w:rStyle w:val="49"/>
          <w:rFonts w:hint="eastAsia" w:ascii="宋体" w:hAnsi="宋体" w:eastAsia="宋体" w:cs="宋体"/>
          <w:b w:val="0"/>
          <w:bCs w:val="0"/>
          <w:sz w:val="21"/>
          <w:szCs w:val="21"/>
          <w:highlight w:val="none"/>
          <w:lang w:eastAsia="zh-CN"/>
        </w:rPr>
        <w:t>供应商</w:t>
      </w:r>
      <w:r>
        <w:rPr>
          <w:rStyle w:val="49"/>
          <w:rFonts w:hint="eastAsia" w:ascii="宋体" w:hAnsi="宋体" w:eastAsia="宋体" w:cs="宋体"/>
          <w:b w:val="0"/>
          <w:bCs w:val="0"/>
          <w:sz w:val="21"/>
          <w:szCs w:val="21"/>
          <w:highlight w:val="none"/>
        </w:rPr>
        <w:t>将政采云电子交易客户端下载、安装完成后，可通过账号密码或CA登录客户端进行</w:t>
      </w:r>
      <w:r>
        <w:rPr>
          <w:rStyle w:val="49"/>
          <w:rFonts w:hint="eastAsia" w:ascii="宋体" w:hAnsi="宋体" w:cs="宋体"/>
          <w:b w:val="0"/>
          <w:bCs w:val="0"/>
          <w:sz w:val="21"/>
          <w:szCs w:val="21"/>
          <w:highlight w:val="none"/>
          <w:lang w:eastAsia="zh-CN"/>
        </w:rPr>
        <w:t>响应文件</w:t>
      </w:r>
      <w:r>
        <w:rPr>
          <w:rStyle w:val="49"/>
          <w:rFonts w:hint="eastAsia" w:ascii="宋体" w:hAnsi="宋体" w:eastAsia="宋体" w:cs="宋体"/>
          <w:b w:val="0"/>
          <w:bCs w:val="0"/>
          <w:sz w:val="21"/>
          <w:szCs w:val="21"/>
          <w:highlight w:val="none"/>
        </w:rPr>
        <w:t>的制作。在使用政采云投标客户端时，建议使用WIN7及以上操作系统。客户端请至</w:t>
      </w:r>
      <w:r>
        <w:rPr>
          <w:rStyle w:val="49"/>
          <w:rFonts w:hint="eastAsia" w:ascii="宋体" w:hAnsi="宋体" w:cs="宋体"/>
          <w:b w:val="0"/>
          <w:bCs w:val="0"/>
          <w:sz w:val="21"/>
          <w:szCs w:val="21"/>
          <w:highlight w:val="none"/>
          <w:lang w:eastAsia="zh-CN"/>
        </w:rPr>
        <w:t>新疆政府采购网</w:t>
      </w:r>
      <w:r>
        <w:rPr>
          <w:rStyle w:val="49"/>
          <w:rFonts w:hint="eastAsia" w:ascii="宋体" w:hAnsi="宋体" w:eastAsia="宋体" w:cs="宋体"/>
          <w:b w:val="0"/>
          <w:bCs w:val="0"/>
          <w:sz w:val="21"/>
          <w:szCs w:val="21"/>
          <w:highlight w:val="none"/>
        </w:rPr>
        <w:t>（</w:t>
      </w:r>
      <w:r>
        <w:rPr>
          <w:rStyle w:val="49"/>
          <w:rFonts w:hint="eastAsia" w:ascii="宋体" w:hAnsi="宋体" w:cs="宋体"/>
          <w:b w:val="0"/>
          <w:bCs w:val="0"/>
          <w:sz w:val="21"/>
          <w:szCs w:val="21"/>
          <w:highlight w:val="none"/>
          <w:lang w:eastAsia="zh-CN"/>
        </w:rPr>
        <w:t>http://www.ccgp-xinjiang.gov.cn/</w:t>
      </w:r>
      <w:r>
        <w:rPr>
          <w:rStyle w:val="49"/>
          <w:rFonts w:hint="eastAsia" w:ascii="宋体" w:hAnsi="宋体" w:eastAsia="宋体" w:cs="宋体"/>
          <w:b w:val="0"/>
          <w:bCs w:val="0"/>
          <w:sz w:val="21"/>
          <w:szCs w:val="21"/>
          <w:highlight w:val="none"/>
        </w:rPr>
        <w:t>）下载专区查看，如有问题可拨打政采云客户服务热线400-881-7190进行咨询。如因</w:t>
      </w:r>
      <w:r>
        <w:rPr>
          <w:rStyle w:val="49"/>
          <w:rFonts w:hint="eastAsia" w:ascii="宋体" w:hAnsi="宋体" w:eastAsia="宋体" w:cs="宋体"/>
          <w:b w:val="0"/>
          <w:bCs w:val="0"/>
          <w:sz w:val="21"/>
          <w:szCs w:val="21"/>
          <w:highlight w:val="none"/>
          <w:lang w:eastAsia="zh-CN"/>
        </w:rPr>
        <w:t>供应商</w:t>
      </w:r>
      <w:r>
        <w:rPr>
          <w:rStyle w:val="49"/>
          <w:rFonts w:hint="eastAsia" w:ascii="宋体" w:hAnsi="宋体" w:eastAsia="宋体" w:cs="宋体"/>
          <w:b w:val="0"/>
          <w:bCs w:val="0"/>
          <w:sz w:val="21"/>
          <w:szCs w:val="21"/>
          <w:highlight w:val="none"/>
        </w:rPr>
        <w:t>自身原因导致在规定时间内无法正常解密的（如：浏览器故障、未安装相关驱动、网络故障、加密CA与解密CA不一致等），采购中心/代理机构不予异常处理，视为</w:t>
      </w:r>
      <w:r>
        <w:rPr>
          <w:rStyle w:val="49"/>
          <w:rFonts w:hint="eastAsia" w:ascii="宋体" w:hAnsi="宋体" w:eastAsia="宋体" w:cs="宋体"/>
          <w:b w:val="0"/>
          <w:bCs w:val="0"/>
          <w:sz w:val="21"/>
          <w:szCs w:val="21"/>
          <w:highlight w:val="none"/>
          <w:lang w:eastAsia="zh-CN"/>
        </w:rPr>
        <w:t>供应商</w:t>
      </w:r>
      <w:r>
        <w:rPr>
          <w:rStyle w:val="49"/>
          <w:rFonts w:hint="eastAsia" w:ascii="宋体" w:hAnsi="宋体" w:eastAsia="宋体" w:cs="宋体"/>
          <w:b w:val="0"/>
          <w:bCs w:val="0"/>
          <w:sz w:val="21"/>
          <w:szCs w:val="21"/>
          <w:highlight w:val="none"/>
        </w:rPr>
        <w:t>自动弃标。</w:t>
      </w:r>
    </w:p>
    <w:p>
      <w:pPr>
        <w:pStyle w:val="39"/>
        <w:widowControl/>
        <w:spacing w:before="0" w:beforeAutospacing="0" w:after="0" w:afterAutospacing="0" w:line="360" w:lineRule="exact"/>
        <w:ind w:firstLine="420" w:firstLineChars="200"/>
        <w:jc w:val="both"/>
        <w:rPr>
          <w:rStyle w:val="49"/>
          <w:rFonts w:hint="eastAsia" w:ascii="宋体" w:hAnsi="宋体" w:eastAsia="宋体" w:cs="宋体"/>
          <w:b w:val="0"/>
          <w:bCs w:val="0"/>
          <w:sz w:val="21"/>
          <w:szCs w:val="21"/>
          <w:highlight w:val="none"/>
        </w:rPr>
      </w:pPr>
      <w:r>
        <w:rPr>
          <w:rStyle w:val="49"/>
          <w:rFonts w:hint="eastAsia" w:ascii="宋体" w:hAnsi="宋体" w:eastAsia="宋体" w:cs="宋体"/>
          <w:b w:val="0"/>
          <w:bCs w:val="0"/>
          <w:sz w:val="21"/>
          <w:szCs w:val="21"/>
          <w:highlight w:val="none"/>
        </w:rPr>
        <w:t>4、</w:t>
      </w:r>
      <w:r>
        <w:rPr>
          <w:rStyle w:val="49"/>
          <w:rFonts w:hint="eastAsia" w:ascii="宋体" w:hAnsi="宋体" w:eastAsia="宋体" w:cs="宋体"/>
          <w:b w:val="0"/>
          <w:bCs w:val="0"/>
          <w:sz w:val="21"/>
          <w:szCs w:val="21"/>
          <w:highlight w:val="none"/>
          <w:lang w:eastAsia="zh-CN"/>
        </w:rPr>
        <w:t>供应商</w:t>
      </w:r>
      <w:r>
        <w:rPr>
          <w:rStyle w:val="49"/>
          <w:rFonts w:hint="eastAsia" w:ascii="宋体" w:hAnsi="宋体" w:eastAsia="宋体" w:cs="宋体"/>
          <w:b w:val="0"/>
          <w:bCs w:val="0"/>
          <w:sz w:val="21"/>
          <w:szCs w:val="21"/>
          <w:highlight w:val="none"/>
        </w:rPr>
        <w:t>操作指南详见</w:t>
      </w:r>
      <w:r>
        <w:rPr>
          <w:rStyle w:val="49"/>
          <w:rFonts w:hint="eastAsia" w:ascii="宋体" w:hAnsi="宋体" w:cs="宋体"/>
          <w:b w:val="0"/>
          <w:bCs w:val="0"/>
          <w:sz w:val="21"/>
          <w:szCs w:val="21"/>
          <w:highlight w:val="none"/>
          <w:lang w:val="en-US" w:eastAsia="zh-CN"/>
        </w:rPr>
        <w:t>新疆</w:t>
      </w:r>
      <w:r>
        <w:rPr>
          <w:rStyle w:val="49"/>
          <w:rFonts w:hint="eastAsia" w:ascii="宋体" w:hAnsi="宋体" w:eastAsia="宋体" w:cs="宋体"/>
          <w:b w:val="0"/>
          <w:bCs w:val="0"/>
          <w:sz w:val="21"/>
          <w:szCs w:val="21"/>
          <w:highlight w:val="none"/>
        </w:rPr>
        <w:t>政府采购网（</w:t>
      </w:r>
      <w:r>
        <w:rPr>
          <w:rStyle w:val="49"/>
          <w:rFonts w:hint="eastAsia" w:ascii="宋体" w:hAnsi="宋体" w:cs="宋体"/>
          <w:b w:val="0"/>
          <w:bCs w:val="0"/>
          <w:sz w:val="21"/>
          <w:szCs w:val="21"/>
          <w:highlight w:val="none"/>
          <w:lang w:eastAsia="zh-CN"/>
        </w:rPr>
        <w:t>http://www.ccgp-xinjiang.gov.cn/</w:t>
      </w:r>
      <w:r>
        <w:rPr>
          <w:rStyle w:val="49"/>
          <w:rFonts w:hint="eastAsia" w:ascii="宋体" w:hAnsi="宋体" w:eastAsia="宋体" w:cs="宋体"/>
          <w:b w:val="0"/>
          <w:bCs w:val="0"/>
          <w:sz w:val="21"/>
          <w:szCs w:val="21"/>
          <w:highlight w:val="none"/>
        </w:rPr>
        <w:t xml:space="preserve">）—办事指南—操作指南。 </w:t>
      </w:r>
    </w:p>
    <w:p>
      <w:pPr>
        <w:pStyle w:val="39"/>
        <w:widowControl/>
        <w:spacing w:before="0" w:beforeAutospacing="0" w:after="0" w:afterAutospacing="0" w:line="360" w:lineRule="exact"/>
        <w:ind w:firstLine="420" w:firstLineChars="200"/>
        <w:jc w:val="both"/>
        <w:rPr>
          <w:rStyle w:val="49"/>
          <w:rFonts w:hint="eastAsia" w:ascii="宋体" w:hAnsi="宋体" w:eastAsia="宋体" w:cs="宋体"/>
          <w:b w:val="0"/>
          <w:bCs w:val="0"/>
          <w:sz w:val="21"/>
          <w:szCs w:val="21"/>
          <w:highlight w:val="none"/>
        </w:rPr>
      </w:pPr>
      <w:r>
        <w:rPr>
          <w:rStyle w:val="49"/>
          <w:rFonts w:hint="eastAsia" w:ascii="宋体" w:hAnsi="宋体" w:eastAsia="宋体" w:cs="宋体"/>
          <w:b w:val="0"/>
          <w:bCs w:val="0"/>
          <w:sz w:val="21"/>
          <w:szCs w:val="21"/>
          <w:highlight w:val="none"/>
        </w:rPr>
        <w:t>5、关于政采云平台</w:t>
      </w:r>
      <w:r>
        <w:rPr>
          <w:rStyle w:val="49"/>
          <w:rFonts w:hint="eastAsia" w:ascii="宋体" w:hAnsi="宋体" w:eastAsia="宋体" w:cs="宋体"/>
          <w:b w:val="0"/>
          <w:bCs w:val="0"/>
          <w:sz w:val="21"/>
          <w:szCs w:val="21"/>
          <w:highlight w:val="none"/>
          <w:lang w:eastAsia="zh-CN"/>
        </w:rPr>
        <w:t>供应商</w:t>
      </w:r>
      <w:r>
        <w:rPr>
          <w:rStyle w:val="49"/>
          <w:rFonts w:hint="eastAsia" w:ascii="宋体" w:hAnsi="宋体" w:eastAsia="宋体" w:cs="宋体"/>
          <w:b w:val="0"/>
          <w:bCs w:val="0"/>
          <w:sz w:val="21"/>
          <w:szCs w:val="21"/>
          <w:highlight w:val="none"/>
        </w:rPr>
        <w:t>相关培训指导请加钉钉群35948845。</w:t>
      </w:r>
    </w:p>
    <w:p>
      <w:pPr>
        <w:pStyle w:val="39"/>
        <w:widowControl/>
        <w:spacing w:before="0" w:beforeAutospacing="0" w:after="0" w:afterAutospacing="0" w:line="360" w:lineRule="exact"/>
        <w:jc w:val="both"/>
        <w:rPr>
          <w:rFonts w:hint="eastAsia" w:ascii="宋体" w:hAnsi="宋体" w:eastAsia="宋体" w:cs="宋体"/>
          <w:sz w:val="21"/>
          <w:szCs w:val="21"/>
          <w:highlight w:val="none"/>
        </w:rPr>
      </w:pPr>
      <w:r>
        <w:rPr>
          <w:rStyle w:val="49"/>
          <w:rFonts w:hint="eastAsia" w:ascii="宋体" w:hAnsi="宋体" w:eastAsia="宋体" w:cs="宋体"/>
          <w:sz w:val="21"/>
          <w:szCs w:val="21"/>
          <w:highlight w:val="none"/>
        </w:rPr>
        <w:t>七、对本次采购提出询问，请按以下方式联系</w:t>
      </w:r>
    </w:p>
    <w:p>
      <w:pPr>
        <w:pStyle w:val="39"/>
        <w:widowControl/>
        <w:spacing w:before="0" w:beforeAutospacing="0" w:after="0" w:afterAutospacing="0" w:line="360" w:lineRule="exact"/>
        <w:ind w:firstLine="42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b/>
          <w:bCs/>
          <w:color w:val="000000"/>
          <w:sz w:val="21"/>
          <w:szCs w:val="21"/>
          <w:highlight w:val="none"/>
        </w:rPr>
        <w:t>.招标人信息</w:t>
      </w:r>
    </w:p>
    <w:p>
      <w:pPr>
        <w:pStyle w:val="39"/>
        <w:widowControl/>
        <w:spacing w:before="0" w:beforeAutospacing="0" w:after="0" w:afterAutospacing="0" w:line="360" w:lineRule="exact"/>
        <w:ind w:firstLine="420"/>
        <w:jc w:val="both"/>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名称：</w:t>
      </w:r>
      <w:r>
        <w:rPr>
          <w:rFonts w:hint="eastAsia" w:ascii="宋体" w:hAnsi="宋体" w:cs="宋体"/>
          <w:color w:val="000000"/>
          <w:sz w:val="21"/>
          <w:szCs w:val="21"/>
          <w:highlight w:val="none"/>
          <w:lang w:eastAsia="zh-CN"/>
        </w:rPr>
        <w:t>哈密市图书馆</w:t>
      </w:r>
    </w:p>
    <w:p>
      <w:pPr>
        <w:pStyle w:val="39"/>
        <w:widowControl/>
        <w:spacing w:before="0" w:beforeAutospacing="0" w:after="0" w:afterAutospacing="0" w:line="360" w:lineRule="exact"/>
        <w:ind w:firstLine="42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地址：</w:t>
      </w:r>
      <w:r>
        <w:rPr>
          <w:rFonts w:hint="eastAsia" w:ascii="宋体" w:hAnsi="宋体" w:cs="宋体"/>
          <w:color w:val="000000"/>
          <w:sz w:val="21"/>
          <w:szCs w:val="21"/>
          <w:highlight w:val="none"/>
          <w:lang w:eastAsia="zh-CN"/>
        </w:rPr>
        <w:t>哈密市伊州区天山南路40号</w:t>
      </w:r>
    </w:p>
    <w:p>
      <w:pPr>
        <w:pStyle w:val="39"/>
        <w:widowControl/>
        <w:spacing w:before="0" w:beforeAutospacing="0" w:after="0" w:afterAutospacing="0" w:line="360" w:lineRule="exact"/>
        <w:ind w:firstLine="42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联系人：</w:t>
      </w:r>
      <w:r>
        <w:rPr>
          <w:rFonts w:hint="eastAsia" w:ascii="宋体" w:hAnsi="宋体" w:cs="宋体"/>
          <w:color w:val="000000"/>
          <w:sz w:val="21"/>
          <w:szCs w:val="21"/>
          <w:highlight w:val="none"/>
          <w:lang w:val="en-US" w:eastAsia="zh-CN"/>
        </w:rPr>
        <w:t>蔡丹阳</w:t>
      </w:r>
    </w:p>
    <w:p>
      <w:pPr>
        <w:pStyle w:val="39"/>
        <w:widowControl/>
        <w:spacing w:before="0" w:beforeAutospacing="0" w:after="0" w:afterAutospacing="0" w:line="360" w:lineRule="exact"/>
        <w:ind w:firstLine="420"/>
        <w:jc w:val="both"/>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联系方</w:t>
      </w:r>
      <w:r>
        <w:rPr>
          <w:rFonts w:hint="eastAsia" w:ascii="宋体" w:hAnsi="宋体" w:cs="宋体"/>
          <w:color w:val="000000"/>
          <w:sz w:val="21"/>
          <w:szCs w:val="21"/>
          <w:highlight w:val="none"/>
          <w:lang w:eastAsia="zh-CN"/>
        </w:rPr>
        <w:t>式：</w:t>
      </w:r>
      <w:r>
        <w:rPr>
          <w:rFonts w:hint="eastAsia" w:ascii="宋体" w:hAnsi="宋体" w:cs="宋体"/>
          <w:color w:val="000000"/>
          <w:sz w:val="21"/>
          <w:szCs w:val="21"/>
          <w:highlight w:val="none"/>
          <w:lang w:val="en-US" w:eastAsia="zh-CN"/>
        </w:rPr>
        <w:t>18196917601</w:t>
      </w:r>
    </w:p>
    <w:p>
      <w:pPr>
        <w:pStyle w:val="39"/>
        <w:widowControl/>
        <w:spacing w:before="0" w:beforeAutospacing="0" w:after="0" w:afterAutospacing="0" w:line="360" w:lineRule="exact"/>
        <w:ind w:firstLine="420"/>
        <w:jc w:val="both"/>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2.招标代理机构信息</w:t>
      </w:r>
    </w:p>
    <w:p>
      <w:pPr>
        <w:pStyle w:val="39"/>
        <w:widowControl/>
        <w:spacing w:before="0" w:beforeAutospacing="0" w:after="0" w:afterAutospacing="0" w:line="360" w:lineRule="exact"/>
        <w:ind w:firstLine="420"/>
        <w:jc w:val="both"/>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名称：新疆盛世乾元工程项目管理咨询有限公司</w:t>
      </w:r>
      <w:r>
        <w:rPr>
          <w:rFonts w:hint="eastAsia" w:ascii="宋体" w:hAnsi="宋体" w:cs="宋体"/>
          <w:color w:val="000000"/>
          <w:sz w:val="21"/>
          <w:szCs w:val="21"/>
          <w:highlight w:val="none"/>
          <w:lang w:val="en-US" w:eastAsia="zh-CN"/>
        </w:rPr>
        <w:t>哈密市分公司</w:t>
      </w:r>
    </w:p>
    <w:p>
      <w:pPr>
        <w:pStyle w:val="39"/>
        <w:widowControl/>
        <w:spacing w:before="0" w:beforeAutospacing="0" w:after="0" w:afterAutospacing="0" w:line="360" w:lineRule="exact"/>
        <w:ind w:firstLine="420"/>
        <w:jc w:val="both"/>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地址：</w:t>
      </w:r>
      <w:r>
        <w:rPr>
          <w:rFonts w:hint="eastAsia" w:ascii="宋体" w:hAnsi="宋体" w:cs="宋体"/>
          <w:color w:val="000000"/>
          <w:sz w:val="21"/>
          <w:szCs w:val="21"/>
          <w:highlight w:val="none"/>
          <w:lang w:val="en-US" w:eastAsia="zh-CN"/>
        </w:rPr>
        <w:t>新疆哈密市伊州区天山西路瑞华大厦1901</w:t>
      </w:r>
    </w:p>
    <w:p>
      <w:pPr>
        <w:pStyle w:val="39"/>
        <w:widowControl/>
        <w:spacing w:before="0" w:beforeAutospacing="0" w:after="0" w:afterAutospacing="0" w:line="360" w:lineRule="exact"/>
        <w:ind w:firstLine="420"/>
        <w:jc w:val="both"/>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联系方式：</w:t>
      </w:r>
      <w:r>
        <w:rPr>
          <w:rFonts w:hint="eastAsia" w:ascii="宋体" w:hAnsi="宋体" w:cs="宋体"/>
          <w:color w:val="000000"/>
          <w:sz w:val="21"/>
          <w:szCs w:val="21"/>
          <w:highlight w:val="none"/>
          <w:lang w:val="en-US" w:eastAsia="zh-CN"/>
        </w:rPr>
        <w:t>13999685315</w:t>
      </w:r>
    </w:p>
    <w:p>
      <w:pPr>
        <w:pStyle w:val="39"/>
        <w:widowControl/>
        <w:numPr>
          <w:ilvl w:val="0"/>
          <w:numId w:val="0"/>
        </w:numPr>
        <w:spacing w:before="0" w:beforeAutospacing="0" w:after="0" w:afterAutospacing="0" w:line="360" w:lineRule="exact"/>
        <w:ind w:left="420" w:leftChars="0" w:right="0" w:rightChars="0"/>
        <w:jc w:val="both"/>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lang w:val="en-US" w:eastAsia="zh-CN"/>
        </w:rPr>
        <w:t>3.</w:t>
      </w:r>
      <w:r>
        <w:rPr>
          <w:rFonts w:hint="eastAsia" w:ascii="宋体" w:hAnsi="宋体" w:eastAsia="宋体" w:cs="宋体"/>
          <w:b/>
          <w:bCs/>
          <w:color w:val="000000"/>
          <w:sz w:val="21"/>
          <w:szCs w:val="21"/>
          <w:highlight w:val="none"/>
        </w:rPr>
        <w:t>项目联系方式</w:t>
      </w:r>
    </w:p>
    <w:p>
      <w:pPr>
        <w:pStyle w:val="39"/>
        <w:widowControl/>
        <w:numPr>
          <w:ilvl w:val="0"/>
          <w:numId w:val="0"/>
        </w:numPr>
        <w:spacing w:before="0" w:beforeAutospacing="0" w:after="0" w:afterAutospacing="0" w:line="360" w:lineRule="exact"/>
        <w:ind w:left="420" w:leftChars="0" w:right="0" w:rightChars="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项目联系人：</w:t>
      </w:r>
      <w:r>
        <w:rPr>
          <w:rFonts w:hint="eastAsia" w:ascii="宋体" w:hAnsi="宋体" w:cs="宋体"/>
          <w:color w:val="000000"/>
          <w:sz w:val="21"/>
          <w:szCs w:val="21"/>
          <w:highlight w:val="none"/>
          <w:lang w:val="en-US" w:eastAsia="zh-CN"/>
        </w:rPr>
        <w:t>邵丽伟</w:t>
      </w:r>
    </w:p>
    <w:p>
      <w:pPr>
        <w:pStyle w:val="39"/>
        <w:widowControl/>
        <w:numPr>
          <w:ilvl w:val="0"/>
          <w:numId w:val="0"/>
        </w:numPr>
        <w:spacing w:before="0" w:beforeAutospacing="0" w:after="0" w:afterAutospacing="0" w:line="360" w:lineRule="exact"/>
        <w:ind w:left="420" w:leftChars="0" w:right="0" w:rightChars="0"/>
        <w:jc w:val="both"/>
        <w:rPr>
          <w:rFonts w:hint="default"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rPr>
        <w:t>电话：</w:t>
      </w:r>
      <w:r>
        <w:rPr>
          <w:rFonts w:hint="eastAsia" w:ascii="宋体" w:hAnsi="宋体" w:cs="宋体"/>
          <w:color w:val="000000"/>
          <w:sz w:val="21"/>
          <w:szCs w:val="21"/>
          <w:highlight w:val="none"/>
          <w:lang w:val="en-US" w:eastAsia="zh-CN"/>
        </w:rPr>
        <w:t>13999685315</w:t>
      </w:r>
    </w:p>
    <w:p>
      <w:pPr>
        <w:pStyle w:val="3"/>
        <w:jc w:val="center"/>
        <w:rPr>
          <w:rFonts w:hint="eastAsia" w:ascii="宋体" w:hAnsi="宋体" w:eastAsia="宋体" w:cs="宋体"/>
          <w:b/>
          <w:bCs/>
          <w:color w:val="auto"/>
          <w:kern w:val="0"/>
          <w:sz w:val="32"/>
          <w:szCs w:val="32"/>
          <w:highlight w:val="none"/>
          <w:lang w:val="en-US" w:eastAsia="zh-CN" w:bidi="ar-SA"/>
        </w:rPr>
      </w:pPr>
      <w:bookmarkStart w:id="3" w:name="_Toc456291524"/>
      <w:bookmarkStart w:id="4" w:name="_Toc456291152"/>
      <w:bookmarkStart w:id="5" w:name="_Toc456291341"/>
      <w:bookmarkStart w:id="6" w:name="_Toc456291247"/>
      <w:r>
        <w:rPr>
          <w:rFonts w:hint="eastAsia" w:ascii="宋体" w:hAnsi="宋体" w:eastAsia="宋体" w:cs="宋体"/>
          <w:color w:val="auto"/>
          <w:highlight w:val="none"/>
        </w:rPr>
        <w:br w:type="page"/>
      </w:r>
      <w:bookmarkStart w:id="7" w:name="_Toc12216"/>
      <w:bookmarkStart w:id="8" w:name="_Toc253"/>
      <w:bookmarkStart w:id="9" w:name="_Toc18729"/>
      <w:r>
        <w:rPr>
          <w:rFonts w:hint="eastAsia" w:ascii="宋体" w:hAnsi="宋体" w:eastAsia="宋体" w:cs="宋体"/>
          <w:b/>
          <w:bCs/>
          <w:color w:val="auto"/>
          <w:kern w:val="0"/>
          <w:sz w:val="32"/>
          <w:szCs w:val="32"/>
          <w:highlight w:val="none"/>
          <w:lang w:val="en-US" w:eastAsia="zh-CN" w:bidi="ar-SA"/>
        </w:rPr>
        <w:t>第二章  磋商须知</w:t>
      </w:r>
      <w:bookmarkEnd w:id="3"/>
      <w:bookmarkEnd w:id="4"/>
      <w:bookmarkEnd w:id="5"/>
      <w:bookmarkEnd w:id="6"/>
      <w:bookmarkEnd w:id="7"/>
      <w:bookmarkEnd w:id="8"/>
    </w:p>
    <w:p>
      <w:pPr>
        <w:pStyle w:val="3"/>
        <w:jc w:val="center"/>
        <w:rPr>
          <w:rFonts w:hint="default" w:ascii="宋体" w:hAnsi="宋体" w:eastAsia="宋体" w:cs="宋体"/>
          <w:b/>
          <w:bCs/>
          <w:color w:val="auto"/>
          <w:kern w:val="0"/>
          <w:sz w:val="32"/>
          <w:szCs w:val="32"/>
          <w:highlight w:val="none"/>
          <w:lang w:val="en-US" w:eastAsia="zh-CN" w:bidi="ar-SA"/>
        </w:rPr>
      </w:pPr>
      <w:r>
        <w:rPr>
          <w:rFonts w:hint="eastAsia" w:ascii="宋体" w:hAnsi="宋体" w:eastAsia="宋体" w:cs="宋体"/>
          <w:b w:val="0"/>
          <w:bCs w:val="0"/>
          <w:color w:val="auto"/>
          <w:kern w:val="0"/>
          <w:sz w:val="30"/>
          <w:szCs w:val="30"/>
          <w:highlight w:val="none"/>
          <w:lang w:val="en-US" w:eastAsia="zh-CN" w:bidi="ar-SA"/>
        </w:rPr>
        <w:t>磋商须知前附表</w:t>
      </w:r>
      <w:bookmarkEnd w:id="9"/>
    </w:p>
    <w:tbl>
      <w:tblPr>
        <w:tblStyle w:val="46"/>
        <w:tblW w:w="9448"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2240"/>
        <w:gridCol w:w="607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6" w:hRule="atLeast"/>
          <w:tblHeader/>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color w:val="auto"/>
                <w:sz w:val="21"/>
                <w:szCs w:val="21"/>
                <w:highlight w:val="none"/>
              </w:rPr>
            </w:pPr>
            <w:bookmarkStart w:id="10" w:name="EB7883d461127a49cd9e888155c8623983"/>
            <w:r>
              <w:rPr>
                <w:rFonts w:hint="eastAsia" w:ascii="宋体" w:hAnsi="宋体" w:eastAsia="宋体" w:cs="宋体"/>
                <w:b/>
                <w:color w:val="auto"/>
                <w:sz w:val="21"/>
                <w:szCs w:val="21"/>
                <w:highlight w:val="none"/>
              </w:rPr>
              <w:t>序列号</w:t>
            </w:r>
          </w:p>
        </w:tc>
        <w:tc>
          <w:tcPr>
            <w:tcW w:w="2240"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607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p>
        </w:tc>
        <w:tc>
          <w:tcPr>
            <w:tcW w:w="2240"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项目名称及</w:t>
            </w:r>
          </w:p>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p>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项目</w:t>
            </w:r>
            <w:r>
              <w:rPr>
                <w:rFonts w:hint="eastAsia" w:ascii="宋体" w:hAnsi="宋体" w:eastAsia="宋体" w:cs="宋体"/>
                <w:b/>
                <w:bCs/>
                <w:color w:val="auto"/>
                <w:sz w:val="21"/>
                <w:szCs w:val="21"/>
                <w:highlight w:val="none"/>
              </w:rPr>
              <w:t>编号</w:t>
            </w:r>
          </w:p>
        </w:tc>
        <w:tc>
          <w:tcPr>
            <w:tcW w:w="607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哈密市图书馆智慧场馆配套设备及软件采购项目</w:t>
            </w:r>
          </w:p>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SSQYZB-CG2022【HM】004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2240"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采购人</w:t>
            </w:r>
          </w:p>
        </w:tc>
        <w:tc>
          <w:tcPr>
            <w:tcW w:w="6074" w:type="dxa"/>
            <w:vAlign w:val="center"/>
          </w:tcPr>
          <w:p>
            <w:pPr>
              <w:pStyle w:val="39"/>
              <w:widowControl/>
              <w:spacing w:before="0" w:beforeAutospacing="0" w:after="0" w:afterAutospacing="0"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eastAsia="zh-CN"/>
              </w:rPr>
              <w:t>哈密市图书馆</w:t>
            </w:r>
          </w:p>
          <w:p>
            <w:pPr>
              <w:pStyle w:val="39"/>
              <w:widowControl/>
              <w:spacing w:before="0" w:beforeAutospacing="0" w:after="0" w:afterAutospacing="0" w:line="360" w:lineRule="exact"/>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w:t>
            </w:r>
            <w:r>
              <w:rPr>
                <w:rFonts w:hint="eastAsia" w:ascii="宋体" w:hAnsi="宋体" w:cs="宋体"/>
                <w:color w:val="auto"/>
                <w:sz w:val="21"/>
                <w:szCs w:val="21"/>
                <w:highlight w:val="none"/>
                <w:lang w:val="en-US" w:eastAsia="zh-CN"/>
              </w:rPr>
              <w:t>哈密市伊州区天山南路40号</w:t>
            </w:r>
          </w:p>
          <w:p>
            <w:pPr>
              <w:pStyle w:val="39"/>
              <w:widowControl/>
              <w:spacing w:before="0" w:beforeAutospacing="0" w:after="0" w:afterAutospacing="0"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蔡丹阳</w:t>
            </w:r>
          </w:p>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eastAsia="zh-CN"/>
              </w:rPr>
              <w:t>18196917601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p>
        </w:tc>
        <w:tc>
          <w:tcPr>
            <w:tcW w:w="2240"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采购代理机构</w:t>
            </w:r>
          </w:p>
        </w:tc>
        <w:tc>
          <w:tcPr>
            <w:tcW w:w="6074" w:type="dxa"/>
            <w:vAlign w:val="center"/>
          </w:tcPr>
          <w:p>
            <w:pPr>
              <w:widowControl/>
              <w:jc w:val="left"/>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名  称：新疆盛世乾元工程项目管理咨询有限公司</w:t>
            </w:r>
            <w:r>
              <w:rPr>
                <w:rFonts w:hint="eastAsia" w:ascii="宋体" w:hAnsi="宋体" w:eastAsia="宋体" w:cs="宋体"/>
                <w:bCs/>
                <w:color w:val="auto"/>
                <w:sz w:val="21"/>
                <w:szCs w:val="21"/>
                <w:highlight w:val="none"/>
                <w:lang w:val="en-US" w:eastAsia="zh-CN"/>
              </w:rPr>
              <w:t>哈密市分公司</w:t>
            </w:r>
          </w:p>
          <w:p>
            <w:pPr>
              <w:widowControl/>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lang w:val="en-US" w:eastAsia="zh-CN"/>
              </w:rPr>
              <w:t>新疆</w:t>
            </w:r>
            <w:r>
              <w:rPr>
                <w:rFonts w:hint="eastAsia" w:ascii="宋体" w:hAnsi="宋体" w:cs="宋体"/>
                <w:bCs/>
                <w:color w:val="auto"/>
                <w:sz w:val="21"/>
                <w:szCs w:val="21"/>
                <w:highlight w:val="none"/>
                <w:lang w:val="en-US" w:eastAsia="zh-CN"/>
              </w:rPr>
              <w:t>哈密市伊州区天山西路瑞华大厦1901室</w:t>
            </w:r>
          </w:p>
          <w:p>
            <w:pPr>
              <w:widowControl/>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联系人：</w:t>
            </w:r>
            <w:r>
              <w:rPr>
                <w:rFonts w:hint="eastAsia" w:ascii="宋体" w:hAnsi="宋体" w:cs="宋体"/>
                <w:bCs/>
                <w:color w:val="auto"/>
                <w:sz w:val="21"/>
                <w:szCs w:val="21"/>
                <w:highlight w:val="none"/>
                <w:lang w:val="en-US" w:eastAsia="zh-CN"/>
              </w:rPr>
              <w:t>邵丽伟</w:t>
            </w:r>
          </w:p>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电  话：</w:t>
            </w:r>
            <w:r>
              <w:rPr>
                <w:rFonts w:hint="eastAsia" w:ascii="宋体" w:hAnsi="宋体" w:eastAsia="宋体" w:cs="宋体"/>
                <w:bCs/>
                <w:color w:val="auto"/>
                <w:sz w:val="21"/>
                <w:szCs w:val="21"/>
                <w:highlight w:val="none"/>
                <w:lang w:val="en-US" w:eastAsia="zh-CN"/>
              </w:rPr>
              <w:t>13999685315</w:t>
            </w:r>
            <w:r>
              <w:rPr>
                <w:rFonts w:hint="eastAsia" w:ascii="宋体" w:hAnsi="宋体" w:eastAsia="宋体" w:cs="宋体"/>
                <w:color w:val="auto"/>
                <w:sz w:val="21"/>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p>
        </w:tc>
        <w:tc>
          <w:tcPr>
            <w:tcW w:w="2240"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供应商资格条件</w:t>
            </w:r>
          </w:p>
        </w:tc>
        <w:tc>
          <w:tcPr>
            <w:tcW w:w="6074" w:type="dxa"/>
            <w:vAlign w:val="center"/>
          </w:tcPr>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1.满足《中华人民共和国政府采购法》第二十二条规定；</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2.落实政府采购政策需满足的资格要求：</w:t>
            </w:r>
            <w:r>
              <w:rPr>
                <w:rFonts w:hint="eastAsia" w:ascii="宋体" w:hAnsi="宋体" w:eastAsia="宋体" w:cs="宋体"/>
                <w:sz w:val="21"/>
                <w:szCs w:val="21"/>
                <w:highlight w:val="none"/>
                <w:lang w:val="en-US" w:eastAsia="zh-CN"/>
              </w:rPr>
              <w:t>供应商是小微企业。</w:t>
            </w:r>
          </w:p>
          <w:p>
            <w:pPr>
              <w:pStyle w:val="2"/>
              <w:numPr>
                <w:ilvl w:val="0"/>
                <w:numId w:val="0"/>
              </w:numPr>
              <w:ind w:right="246" w:rightChars="0"/>
              <w:rPr>
                <w:rFonts w:hint="default"/>
                <w:lang w:val="en-US" w:eastAsia="zh-CN"/>
              </w:rPr>
            </w:pPr>
            <w:r>
              <w:rPr>
                <w:rFonts w:hint="eastAsia"/>
                <w:lang w:val="en-US" w:eastAsia="zh-CN"/>
              </w:rPr>
              <w:t>政策依据：</w:t>
            </w:r>
          </w:p>
          <w:p>
            <w:pPr>
              <w:tabs>
                <w:tab w:val="left" w:pos="1185"/>
              </w:tabs>
              <w:spacing w:line="46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财政部、工业和信息化部《关于印发〈政府</w:t>
            </w:r>
            <w:r>
              <w:rPr>
                <w:rFonts w:hint="eastAsia" w:ascii="宋体" w:hAnsi="宋体" w:eastAsia="宋体" w:cs="宋体"/>
                <w:kern w:val="2"/>
                <w:sz w:val="21"/>
                <w:szCs w:val="21"/>
                <w:highlight w:val="none"/>
                <w:lang w:val="en-US" w:eastAsia="zh-CN" w:bidi="ar-SA"/>
              </w:rPr>
              <w:t xml:space="preserve">采购促进中小企业发展管理办法〉的通知》(财库〔2020〕46号）； </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w:t>
            </w:r>
            <w:r>
              <w:rPr>
                <w:rFonts w:hint="eastAsia" w:ascii="宋体" w:hAnsi="宋体" w:eastAsia="宋体" w:cs="宋体"/>
                <w:kern w:val="2"/>
                <w:sz w:val="21"/>
                <w:szCs w:val="21"/>
                <w:highlight w:val="none"/>
                <w:lang w:val="en-US" w:eastAsia="zh-CN" w:bidi="ar-SA"/>
              </w:rPr>
              <w:t xml:space="preserve">财政部、司法部《关于政府采购支持监狱企业发展有关问题的通知》（财库[2014]68号文）。 </w:t>
            </w:r>
          </w:p>
          <w:p>
            <w:pPr>
              <w:tabs>
                <w:tab w:val="left" w:pos="1185"/>
              </w:tabs>
              <w:spacing w:line="46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kern w:val="2"/>
                <w:sz w:val="21"/>
                <w:szCs w:val="21"/>
                <w:highlight w:val="none"/>
                <w:lang w:val="en-US" w:eastAsia="zh-CN" w:bidi="ar-SA"/>
              </w:rPr>
              <w:t>财政部、民政部、中国残疾人联合会《关于促进残疾人就业政府采购政策的通知》（财库[2017]141号）。</w:t>
            </w:r>
          </w:p>
          <w:p>
            <w:pPr>
              <w:tabs>
                <w:tab w:val="left" w:pos="1185"/>
              </w:tabs>
              <w:spacing w:line="460" w:lineRule="exact"/>
              <w:ind w:firstLine="420" w:firstLineChars="20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 xml:space="preserve">）财政部、国家发展改革委、生态环境部、市场监管总局《关于调整优化节能产品、环境标志产品政府采购执行机制的通知》（财库[2019]9号文）； </w:t>
            </w:r>
          </w:p>
          <w:p>
            <w:pPr>
              <w:tabs>
                <w:tab w:val="left" w:pos="1185"/>
              </w:tabs>
              <w:spacing w:line="460" w:lineRule="exact"/>
              <w:ind w:firstLine="420" w:firstLineChars="20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 xml:space="preserve">）财政部、生态环境部《关于印发环境标志产品政府采购品目清单的通知》（财库[2019]18号文）； </w:t>
            </w:r>
          </w:p>
          <w:p>
            <w:pPr>
              <w:tabs>
                <w:tab w:val="left" w:pos="1185"/>
              </w:tabs>
              <w:spacing w:line="460" w:lineRule="exact"/>
              <w:ind w:firstLine="420" w:firstLineChars="20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）财政部、发展改革委《关于印发节能产品政府采购品目清单的通知》（财库[2019]19号文）；</w:t>
            </w:r>
          </w:p>
          <w:p>
            <w:pPr>
              <w:tabs>
                <w:tab w:val="left" w:pos="1185"/>
              </w:tabs>
              <w:spacing w:line="460" w:lineRule="exact"/>
              <w:ind w:firstLine="420" w:firstLineChars="20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 xml:space="preserve">）市场监管总局《市场监管总局关于发布参与实施政府采购节能产品、环境标志产品认证机构名录的公告》（2019年第16号）； </w:t>
            </w:r>
          </w:p>
          <w:p>
            <w:pPr>
              <w:tabs>
                <w:tab w:val="left" w:pos="1185"/>
              </w:tabs>
              <w:spacing w:line="4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8）财政部、生态环境部、国家邮政局《关于印发《商品包装政府采购需求标准（试行）》、《快递包装政府采购需求标准（试行）》的通知》（财办库〔2020〕123号）。</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3.本项目的特定资格要求：</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1）具有独立承担民事责任能力的在中华人民共和国境内注册的法人、其他组织或者自然人；企业营业执照或三证合一营业执照； </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2）供应商</w:t>
            </w:r>
            <w:r>
              <w:rPr>
                <w:rFonts w:hint="eastAsia" w:ascii="宋体" w:hAnsi="宋体" w:eastAsia="宋体" w:cs="宋体"/>
                <w:sz w:val="21"/>
                <w:szCs w:val="21"/>
                <w:highlight w:val="none"/>
              </w:rPr>
              <w:t>须在“信用中国”（www.creditchina.gov.cn）和“中国政府采购网 （</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www.ccgp.gov.cn%EF%BC%89%E2%80%9D%E7%BD%91%E7%AB%99%E4%B8%8A%E6%9C%AA%E8%A2%AB%E5%88%97%E5%85%A5%E5%A4%B1%E4%BF%A1%E8%A2%AB%E6%89%A7%E8%A1%8C%E4%BA%BA%E3%80%81%E9%87%8D%E5%A4%A7%E7%A8%8E%E6%94%B6%E8%BF%9D%E6%B3%95%E6%A1%88%E4%BB%B6%E5%BD%93%E4%BA%8B%E4%BA%BA%E5%90%8D%E5%8D%95%E3%80%81%E6%94%BF%E5%BA%9C%E9%87%87%E8%B4%AD%E4%B8%A5%E9%87%8D%E8%BF%9D%E6%B3%95%E5%A4%B1%E4%BF%A1%E8%A1%8C/"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www.ccgp.gov.cn）”网站上未被列入失信被执行人、重大税收违法案件当事人名单、政府采购严重违法失信行</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为记录名单；</w:t>
            </w:r>
          </w:p>
          <w:p>
            <w:pPr>
              <w:pStyle w:val="39"/>
              <w:widowControl/>
              <w:spacing w:before="0" w:beforeAutospacing="0" w:after="0" w:afterAutospacing="0" w:line="360" w:lineRule="exact"/>
              <w:ind w:firstLine="420" w:firstLineChars="200"/>
              <w:jc w:val="both"/>
              <w:rPr>
                <w:rFonts w:hint="eastAsia" w:ascii="宋体" w:hAnsi="宋体" w:eastAsia="宋体" w:cs="宋体"/>
                <w:color w:val="auto"/>
                <w:sz w:val="21"/>
                <w:szCs w:val="21"/>
                <w:highlight w:val="none"/>
                <w:u w:val="none"/>
                <w:lang w:val="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w:t>
            </w:r>
          </w:p>
        </w:tc>
        <w:tc>
          <w:tcPr>
            <w:tcW w:w="2240"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联合体投标</w:t>
            </w:r>
          </w:p>
        </w:tc>
        <w:tc>
          <w:tcPr>
            <w:tcW w:w="607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不接受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w:t>
            </w:r>
          </w:p>
        </w:tc>
        <w:tc>
          <w:tcPr>
            <w:tcW w:w="2240"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备选方案</w:t>
            </w:r>
          </w:p>
        </w:tc>
        <w:tc>
          <w:tcPr>
            <w:tcW w:w="607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不接受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w:t>
            </w:r>
          </w:p>
        </w:tc>
        <w:tc>
          <w:tcPr>
            <w:tcW w:w="2240"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信息公告媒体</w:t>
            </w:r>
          </w:p>
        </w:tc>
        <w:tc>
          <w:tcPr>
            <w:tcW w:w="6074" w:type="dxa"/>
            <w:vAlign w:val="center"/>
          </w:tcPr>
          <w:p>
            <w:pPr>
              <w:pStyle w:val="89"/>
              <w:keepNext w:val="0"/>
              <w:keepLines w:val="0"/>
              <w:pageBreakBefore w:val="0"/>
              <w:kinsoku/>
              <w:wordWrap w:val="0"/>
              <w:overflowPunct/>
              <w:topLinePunct w:val="0"/>
              <w:bidi w:val="0"/>
              <w:spacing w:before="20" w:beforeAutospacing="0" w:after="20" w:afterAutospacing="0" w:line="240" w:lineRule="auto"/>
              <w:ind w:left="0" w:leftChars="0" w:right="0"/>
              <w:jc w:val="both"/>
              <w:textAlignment w:val="auto"/>
              <w:rPr>
                <w:rFonts w:hint="eastAsia" w:ascii="宋体" w:hAnsi="宋体" w:eastAsia="宋体" w:cs="宋体"/>
                <w:color w:val="auto"/>
                <w:sz w:val="21"/>
                <w:szCs w:val="21"/>
                <w:highlight w:val="none"/>
                <w:u w:val="single"/>
                <w:lang w:val="en-US" w:eastAsia="zh-CN"/>
              </w:rPr>
            </w:pPr>
            <w:r>
              <w:rPr>
                <w:rFonts w:hint="eastAsia" w:cs="宋体"/>
                <w:b/>
                <w:bCs/>
                <w:color w:val="auto"/>
                <w:sz w:val="21"/>
                <w:szCs w:val="21"/>
                <w:highlight w:val="none"/>
                <w:lang w:val="en-US" w:eastAsia="zh-CN"/>
              </w:rPr>
              <w:t>新疆政府采购网</w:t>
            </w:r>
            <w:r>
              <w:rPr>
                <w:rFonts w:hint="eastAsia" w:ascii="宋体" w:hAnsi="宋体" w:eastAsia="宋体" w:cs="宋体"/>
                <w:b/>
                <w:bCs/>
                <w:color w:val="auto"/>
                <w:sz w:val="21"/>
                <w:szCs w:val="21"/>
                <w:highlight w:val="none"/>
                <w:lang w:eastAsia="zh-CN"/>
              </w:rPr>
              <w:t>（</w:t>
            </w:r>
            <w:r>
              <w:rPr>
                <w:rFonts w:hint="eastAsia" w:cs="宋体"/>
                <w:b/>
                <w:bCs/>
                <w:color w:val="auto"/>
                <w:sz w:val="21"/>
                <w:szCs w:val="21"/>
                <w:highlight w:val="none"/>
                <w:lang w:eastAsia="zh-CN"/>
              </w:rPr>
              <w:t>http://www.ccgp-xinjiang.gov.cn/</w:t>
            </w:r>
            <w:r>
              <w:rPr>
                <w:rFonts w:hint="eastAsia" w:ascii="宋体" w:hAnsi="宋体" w:eastAsia="宋体" w:cs="宋体"/>
                <w:b/>
                <w:bCs/>
                <w:color w:val="auto"/>
                <w:sz w:val="21"/>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w:t>
            </w:r>
          </w:p>
        </w:tc>
        <w:tc>
          <w:tcPr>
            <w:tcW w:w="2240"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响应文件递交截止时间</w:t>
            </w:r>
          </w:p>
        </w:tc>
        <w:tc>
          <w:tcPr>
            <w:tcW w:w="607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lang w:val="en-US" w:eastAsia="zh-CN"/>
              </w:rPr>
              <w:t>2022</w:t>
            </w:r>
            <w:r>
              <w:rPr>
                <w:rFonts w:hint="eastAsia" w:ascii="宋体" w:hAnsi="宋体" w:eastAsia="宋体" w:cs="宋体"/>
                <w:b/>
                <w:bCs/>
                <w:color w:val="auto"/>
                <w:sz w:val="21"/>
                <w:szCs w:val="21"/>
                <w:highlight w:val="none"/>
                <w:u w:val="single"/>
              </w:rPr>
              <w:t>年</w:t>
            </w:r>
            <w:r>
              <w:rPr>
                <w:rFonts w:hint="eastAsia" w:ascii="宋体" w:hAnsi="宋体" w:eastAsia="宋体" w:cs="宋体"/>
                <w:b/>
                <w:bCs/>
                <w:color w:val="auto"/>
                <w:sz w:val="21"/>
                <w:szCs w:val="21"/>
                <w:highlight w:val="none"/>
                <w:u w:val="single"/>
                <w:lang w:val="en-US" w:eastAsia="zh-CN"/>
              </w:rPr>
              <w:t>11</w:t>
            </w:r>
            <w:r>
              <w:rPr>
                <w:rFonts w:hint="eastAsia" w:ascii="宋体" w:hAnsi="宋体" w:eastAsia="宋体" w:cs="宋体"/>
                <w:b/>
                <w:bCs/>
                <w:color w:val="auto"/>
                <w:sz w:val="21"/>
                <w:szCs w:val="21"/>
                <w:highlight w:val="none"/>
                <w:u w:val="single"/>
              </w:rPr>
              <w:t>月</w:t>
            </w:r>
            <w:r>
              <w:rPr>
                <w:rFonts w:hint="eastAsia" w:ascii="宋体" w:hAnsi="宋体" w:eastAsia="宋体" w:cs="宋体"/>
                <w:b/>
                <w:bCs/>
                <w:color w:val="auto"/>
                <w:sz w:val="21"/>
                <w:szCs w:val="21"/>
                <w:highlight w:val="none"/>
                <w:u w:val="single"/>
                <w:lang w:val="en-US" w:eastAsia="zh-CN"/>
              </w:rPr>
              <w:t>27日16时00</w:t>
            </w:r>
            <w:r>
              <w:rPr>
                <w:rFonts w:hint="eastAsia" w:ascii="宋体" w:hAnsi="宋体" w:eastAsia="宋体" w:cs="宋体"/>
                <w:b/>
                <w:bCs/>
                <w:color w:val="auto"/>
                <w:sz w:val="21"/>
                <w:szCs w:val="21"/>
                <w:highlight w:val="none"/>
                <w:u w:val="single"/>
              </w:rPr>
              <w:t>分</w:t>
            </w:r>
            <w:r>
              <w:rPr>
                <w:rFonts w:hint="eastAsia" w:ascii="宋体" w:hAnsi="宋体" w:eastAsia="宋体" w:cs="宋体"/>
                <w:b/>
                <w:bCs/>
                <w:color w:val="auto"/>
                <w:sz w:val="21"/>
                <w:szCs w:val="21"/>
                <w:highlight w:val="none"/>
              </w:rPr>
              <w:t>（北京时间）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w:t>
            </w:r>
          </w:p>
        </w:tc>
        <w:tc>
          <w:tcPr>
            <w:tcW w:w="2240" w:type="dxa"/>
            <w:vAlign w:val="center"/>
          </w:tcPr>
          <w:p>
            <w:pPr>
              <w:pStyle w:val="90"/>
              <w:keepNext w:val="0"/>
              <w:keepLines w:val="0"/>
              <w:pageBreakBefore w:val="0"/>
              <w:kinsoku/>
              <w:overflowPunct/>
              <w:topLinePunct w:val="0"/>
              <w:bidi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时间、地点</w:t>
            </w:r>
          </w:p>
        </w:tc>
        <w:tc>
          <w:tcPr>
            <w:tcW w:w="6074" w:type="dxa"/>
            <w:vAlign w:val="center"/>
          </w:tcPr>
          <w:p>
            <w:pPr>
              <w:pStyle w:val="58"/>
              <w:keepNext w:val="0"/>
              <w:keepLines w:val="0"/>
              <w:pageBreakBefore w:val="0"/>
              <w:widowControl/>
              <w:kinsoku/>
              <w:overflowPunct/>
              <w:topLinePunct w:val="0"/>
              <w:bidi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采用不见面开标：</w:t>
            </w:r>
          </w:p>
          <w:p>
            <w:pPr>
              <w:pStyle w:val="58"/>
              <w:keepNext w:val="0"/>
              <w:keepLines w:val="0"/>
              <w:pageBreakBefore w:val="0"/>
              <w:kinsoku/>
              <w:overflowPunct/>
              <w:topLinePunct w:val="0"/>
              <w:bidi w:val="0"/>
              <w:spacing w:before="20" w:beforeAutospacing="0" w:after="20" w:afterAutospacing="0" w:line="240" w:lineRule="auto"/>
              <w:ind w:left="2" w:leftChars="0" w:right="0" w:hanging="2" w:hangingChars="1"/>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开标时间：</w:t>
            </w:r>
            <w:r>
              <w:rPr>
                <w:rFonts w:hint="eastAsia" w:ascii="宋体" w:hAnsi="宋体" w:eastAsia="宋体" w:cs="宋体"/>
                <w:b/>
                <w:bCs/>
                <w:color w:val="auto"/>
                <w:sz w:val="21"/>
                <w:szCs w:val="21"/>
                <w:highlight w:val="none"/>
                <w:u w:val="single"/>
                <w:lang w:val="en-US" w:eastAsia="zh-CN"/>
              </w:rPr>
              <w:t>202</w:t>
            </w:r>
            <w:r>
              <w:rPr>
                <w:rFonts w:hint="eastAsia" w:ascii="宋体" w:hAnsi="宋体" w:cs="宋体"/>
                <w:b/>
                <w:bCs/>
                <w:color w:val="auto"/>
                <w:sz w:val="21"/>
                <w:szCs w:val="21"/>
                <w:highlight w:val="none"/>
                <w:u w:val="single"/>
                <w:lang w:val="en-US" w:eastAsia="zh-CN"/>
              </w:rPr>
              <w:t>2</w:t>
            </w:r>
            <w:r>
              <w:rPr>
                <w:rFonts w:hint="eastAsia" w:ascii="宋体" w:hAnsi="宋体" w:eastAsia="宋体" w:cs="宋体"/>
                <w:b/>
                <w:bCs/>
                <w:color w:val="auto"/>
                <w:sz w:val="21"/>
                <w:szCs w:val="21"/>
                <w:highlight w:val="none"/>
                <w:u w:val="single"/>
              </w:rPr>
              <w:t>年</w:t>
            </w:r>
            <w:r>
              <w:rPr>
                <w:rFonts w:hint="eastAsia" w:ascii="宋体" w:hAnsi="宋体" w:cs="宋体"/>
                <w:b/>
                <w:bCs/>
                <w:color w:val="auto"/>
                <w:sz w:val="21"/>
                <w:szCs w:val="21"/>
                <w:highlight w:val="none"/>
                <w:u w:val="single"/>
                <w:lang w:val="en-US" w:eastAsia="zh-CN"/>
              </w:rPr>
              <w:t>11</w:t>
            </w:r>
            <w:r>
              <w:rPr>
                <w:rFonts w:hint="eastAsia" w:ascii="宋体" w:hAnsi="宋体" w:eastAsia="宋体" w:cs="宋体"/>
                <w:b/>
                <w:bCs/>
                <w:color w:val="auto"/>
                <w:sz w:val="21"/>
                <w:szCs w:val="21"/>
                <w:highlight w:val="none"/>
                <w:u w:val="single"/>
              </w:rPr>
              <w:t>月</w:t>
            </w:r>
            <w:r>
              <w:rPr>
                <w:rFonts w:hint="eastAsia" w:ascii="宋体" w:hAnsi="宋体" w:cs="宋体"/>
                <w:b/>
                <w:bCs/>
                <w:color w:val="auto"/>
                <w:sz w:val="21"/>
                <w:szCs w:val="21"/>
                <w:highlight w:val="none"/>
                <w:u w:val="single"/>
                <w:lang w:val="en-US" w:eastAsia="zh-CN"/>
              </w:rPr>
              <w:t>27日</w:t>
            </w:r>
            <w:r>
              <w:rPr>
                <w:rFonts w:hint="eastAsia" w:ascii="宋体" w:hAnsi="宋体" w:eastAsia="宋体" w:cs="宋体"/>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16：00</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（北京时间）</w:t>
            </w:r>
          </w:p>
          <w:p>
            <w:pPr>
              <w:pStyle w:val="58"/>
              <w:keepNext w:val="0"/>
              <w:keepLines w:val="0"/>
              <w:pageBreakBefore w:val="0"/>
              <w:kinsoku/>
              <w:overflowPunct/>
              <w:topLinePunct w:val="0"/>
              <w:bidi w:val="0"/>
              <w:spacing w:before="20" w:beforeAutospacing="0" w:after="20" w:afterAutospacing="0" w:line="240" w:lineRule="auto"/>
              <w:ind w:left="0" w:leftChars="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开标地点：供应商在政采云平台</w:t>
            </w:r>
            <w:r>
              <w:rPr>
                <w:rFonts w:hint="eastAsia" w:ascii="宋体" w:hAnsi="宋体" w:cs="宋体"/>
                <w:b/>
                <w:bCs/>
                <w:color w:val="auto"/>
                <w:sz w:val="21"/>
                <w:szCs w:val="21"/>
                <w:highlight w:val="none"/>
                <w:lang w:eastAsia="zh-CN"/>
              </w:rPr>
              <w:t>http://www.ccgp-xinjiang.gov.cn/</w:t>
            </w:r>
            <w:r>
              <w:rPr>
                <w:rFonts w:hint="eastAsia" w:ascii="宋体" w:hAnsi="宋体" w:eastAsia="宋体" w:cs="宋体"/>
                <w:b/>
                <w:bCs/>
                <w:color w:val="auto"/>
                <w:sz w:val="21"/>
                <w:szCs w:val="21"/>
                <w:highlight w:val="none"/>
              </w:rPr>
              <w:t>不见面开标大厅远程参加开标活动。</w:t>
            </w:r>
          </w:p>
          <w:p>
            <w:pPr>
              <w:pStyle w:val="58"/>
              <w:keepNext w:val="0"/>
              <w:keepLines w:val="0"/>
              <w:pageBreakBefore w:val="0"/>
              <w:kinsoku/>
              <w:overflowPunct/>
              <w:topLinePunct w:val="0"/>
              <w:bidi w:val="0"/>
              <w:spacing w:before="20" w:beforeAutospacing="0" w:after="20" w:afterAutospacing="0" w:line="240" w:lineRule="auto"/>
              <w:ind w:left="0" w:leftChars="0" w:right="0"/>
              <w:textAlignment w:val="auto"/>
              <w:rPr>
                <w:rFonts w:hint="eastAsia" w:ascii="宋体" w:hAnsi="宋体" w:cs="宋体"/>
                <w:b/>
                <w:bCs/>
                <w:color w:val="auto"/>
                <w:sz w:val="21"/>
                <w:szCs w:val="21"/>
                <w:highlight w:val="none"/>
                <w:u w:val="single"/>
                <w:lang w:val="en-US" w:eastAsia="zh-CN"/>
              </w:rPr>
            </w:pPr>
            <w:r>
              <w:rPr>
                <w:rFonts w:hint="eastAsia" w:ascii="宋体" w:hAnsi="宋体" w:eastAsia="宋体" w:cs="宋体"/>
                <w:color w:val="auto"/>
                <w:sz w:val="21"/>
                <w:szCs w:val="21"/>
                <w:highlight w:val="none"/>
              </w:rPr>
              <w:t>开标默认解密时长：</w:t>
            </w:r>
            <w:r>
              <w:rPr>
                <w:rFonts w:hint="eastAsia" w:ascii="宋体" w:hAnsi="宋体" w:cs="宋体"/>
                <w:b/>
                <w:bCs/>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分钟</w:t>
            </w:r>
            <w:r>
              <w:rPr>
                <w:rFonts w:hint="eastAsia" w:ascii="宋体" w:hAnsi="宋体" w:cs="宋体"/>
                <w:b/>
                <w:bCs/>
                <w:color w:val="auto"/>
                <w:sz w:val="21"/>
                <w:szCs w:val="21"/>
                <w:highlight w:val="none"/>
                <w:u w:val="single"/>
                <w:lang w:val="en-US" w:eastAsia="zh-CN"/>
              </w:rPr>
              <w:t xml:space="preserve"> </w:t>
            </w:r>
          </w:p>
          <w:p>
            <w:pPr>
              <w:pStyle w:val="58"/>
              <w:keepNext w:val="0"/>
              <w:keepLines w:val="0"/>
              <w:pageBreakBefore w:val="0"/>
              <w:kinsoku/>
              <w:overflowPunct/>
              <w:topLinePunct w:val="0"/>
              <w:bidi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关于能否延长解密时间的约定：开标现场若发现默认解密时长不足，由采购人决定是否延长解密时长。</w:t>
            </w:r>
          </w:p>
          <w:p>
            <w:pPr>
              <w:pStyle w:val="65"/>
              <w:keepNext w:val="0"/>
              <w:keepLines w:val="0"/>
              <w:pageBreakBefore w:val="0"/>
              <w:kinsoku/>
              <w:overflowPunct/>
              <w:topLinePunct w:val="0"/>
              <w:bidi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地点：</w:t>
            </w:r>
            <w:r>
              <w:rPr>
                <w:rFonts w:hint="eastAsia" w:ascii="宋体" w:hAnsi="宋体" w:cs="宋体"/>
                <w:color w:val="auto"/>
                <w:sz w:val="21"/>
                <w:szCs w:val="21"/>
                <w:highlight w:val="none"/>
                <w:lang w:val="en-US" w:eastAsia="zh-CN"/>
              </w:rPr>
              <w:t>新疆哈密市伊州区天山西路瑞华大厦1901室</w:t>
            </w:r>
            <w:r>
              <w:rPr>
                <w:rFonts w:hint="eastAsia" w:ascii="宋体" w:hAnsi="宋体" w:eastAsia="宋体" w:cs="宋体"/>
                <w:color w:val="auto"/>
                <w:sz w:val="21"/>
                <w:szCs w:val="21"/>
                <w:highlight w:val="none"/>
              </w:rPr>
              <w:t>评标室通过</w:t>
            </w:r>
            <w:r>
              <w:rPr>
                <w:rFonts w:hint="eastAsia" w:ascii="宋体" w:hAnsi="宋体" w:cs="宋体"/>
                <w:color w:val="auto"/>
                <w:sz w:val="21"/>
                <w:szCs w:val="21"/>
                <w:highlight w:val="none"/>
                <w:lang w:eastAsia="zh-CN"/>
              </w:rPr>
              <w:t>政采云平台</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http://www.ccgp-xinjiang.gov.cn/</w:t>
            </w:r>
            <w:r>
              <w:rPr>
                <w:rFonts w:hint="eastAsia" w:ascii="宋体" w:hAnsi="宋体" w:eastAsia="宋体" w:cs="宋体"/>
                <w:color w:val="auto"/>
                <w:sz w:val="21"/>
                <w:szCs w:val="21"/>
                <w:highlight w:val="none"/>
              </w:rPr>
              <w:t>）线上电子评审。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6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w:t>
            </w:r>
          </w:p>
        </w:tc>
        <w:tc>
          <w:tcPr>
            <w:tcW w:w="2240"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小组的组建及确定方式</w:t>
            </w:r>
          </w:p>
        </w:tc>
        <w:tc>
          <w:tcPr>
            <w:tcW w:w="607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采购人依法组建</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小组共</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人组成，其中采购人代表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人和专家评委</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w:t>
            </w:r>
          </w:p>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小组确定方式：</w:t>
            </w:r>
          </w:p>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☑计算机随机抽取语音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短信</w:t>
            </w:r>
            <w:r>
              <w:rPr>
                <w:rFonts w:hint="eastAsia" w:ascii="宋体" w:hAnsi="宋体" w:eastAsia="宋体" w:cs="宋体"/>
                <w:color w:val="auto"/>
                <w:sz w:val="21"/>
                <w:szCs w:val="21"/>
                <w:highlight w:val="none"/>
              </w:rPr>
              <w:t xml:space="preserve">通知方式 </w:t>
            </w:r>
          </w:p>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□其他方式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Merge w:val="restart"/>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w:t>
            </w:r>
          </w:p>
        </w:tc>
        <w:tc>
          <w:tcPr>
            <w:tcW w:w="2240" w:type="dxa"/>
            <w:vMerge w:val="restart"/>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firstLine="535" w:firstLineChars="254"/>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保证金</w:t>
            </w:r>
          </w:p>
        </w:tc>
        <w:tc>
          <w:tcPr>
            <w:tcW w:w="6074" w:type="dxa"/>
            <w:vAlign w:val="center"/>
          </w:tcPr>
          <w:p>
            <w:pPr>
              <w:pStyle w:val="90"/>
              <w:keepNext w:val="0"/>
              <w:keepLines w:val="0"/>
              <w:pageBreakBefore w:val="0"/>
              <w:kinsoku/>
              <w:overflowPunct/>
              <w:topLinePunct w:val="0"/>
              <w:bidi w:val="0"/>
              <w:spacing w:before="20" w:beforeAutospacing="0" w:after="20" w:afterAutospacing="0" w:line="240" w:lineRule="auto"/>
              <w:ind w:left="14" w:leftChars="0" w:right="0" w:hanging="14" w:hangingChars="7"/>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缴纳方式：</w:t>
            </w:r>
            <w:r>
              <w:rPr>
                <w:rFonts w:hint="eastAsia" w:ascii="宋体" w:hAnsi="宋体" w:eastAsia="宋体" w:cs="宋体"/>
                <w:color w:val="auto"/>
                <w:sz w:val="21"/>
                <w:szCs w:val="21"/>
                <w:highlight w:val="none"/>
                <w:lang w:val="en-US" w:eastAsia="zh-CN"/>
              </w:rPr>
              <w:t>网银、电汇、支票、汇票、本票、投标保函等非现金方式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Merge w:val="continue"/>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p>
        </w:tc>
        <w:tc>
          <w:tcPr>
            <w:tcW w:w="2240" w:type="dxa"/>
            <w:vMerge w:val="continue"/>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firstLine="535" w:firstLineChars="254"/>
              <w:jc w:val="center"/>
              <w:textAlignment w:val="auto"/>
              <w:rPr>
                <w:rFonts w:hint="eastAsia" w:ascii="宋体" w:hAnsi="宋体" w:eastAsia="宋体" w:cs="宋体"/>
                <w:b/>
                <w:bCs/>
                <w:color w:val="auto"/>
                <w:sz w:val="21"/>
                <w:szCs w:val="21"/>
                <w:highlight w:val="none"/>
              </w:rPr>
            </w:pPr>
          </w:p>
        </w:tc>
        <w:tc>
          <w:tcPr>
            <w:tcW w:w="6074" w:type="dxa"/>
            <w:vAlign w:val="center"/>
          </w:tcPr>
          <w:p>
            <w:pPr>
              <w:pStyle w:val="90"/>
              <w:keepNext w:val="0"/>
              <w:keepLines w:val="0"/>
              <w:pageBreakBefore w:val="0"/>
              <w:kinsoku/>
              <w:overflowPunct/>
              <w:topLinePunct w:val="0"/>
              <w:bidi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金额（小写）：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5000</w:t>
            </w:r>
            <w:r>
              <w:rPr>
                <w:rFonts w:hint="eastAsia" w:ascii="宋体" w:hAnsi="宋体" w:eastAsia="宋体" w:cs="宋体"/>
                <w:color w:val="auto"/>
                <w:sz w:val="21"/>
                <w:szCs w:val="21"/>
                <w:highlight w:val="none"/>
                <w:u w:val="single"/>
              </w:rPr>
              <w:t xml:space="preserve">元  </w:t>
            </w:r>
          </w:p>
          <w:p>
            <w:pPr>
              <w:pStyle w:val="90"/>
              <w:keepNext w:val="0"/>
              <w:keepLines w:val="0"/>
              <w:pageBreakBefore w:val="0"/>
              <w:kinsoku/>
              <w:overflowPunct/>
              <w:topLinePunct w:val="0"/>
              <w:bidi w:val="0"/>
              <w:spacing w:before="20" w:beforeAutospacing="0" w:after="20" w:afterAutospacing="0" w:line="240" w:lineRule="auto"/>
              <w:ind w:left="453" w:leftChars="0" w:right="0" w:hanging="453" w:hangingChars="21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金额（大写）：</w:t>
            </w:r>
            <w:r>
              <w:rPr>
                <w:rFonts w:hint="eastAsia" w:ascii="宋体" w:hAnsi="宋体" w:eastAsia="宋体" w:cs="宋体"/>
                <w:color w:val="auto"/>
                <w:sz w:val="21"/>
                <w:szCs w:val="21"/>
                <w:highlight w:val="none"/>
                <w:u w:val="single"/>
                <w:lang w:val="en-US" w:eastAsia="zh-CN"/>
              </w:rPr>
              <w:t xml:space="preserve">伍仟元整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Merge w:val="continue"/>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p>
        </w:tc>
        <w:tc>
          <w:tcPr>
            <w:tcW w:w="2240" w:type="dxa"/>
            <w:vMerge w:val="continue"/>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firstLine="535" w:firstLineChars="254"/>
              <w:jc w:val="center"/>
              <w:textAlignment w:val="auto"/>
              <w:rPr>
                <w:rFonts w:hint="eastAsia" w:ascii="宋体" w:hAnsi="宋体" w:eastAsia="宋体" w:cs="宋体"/>
                <w:b/>
                <w:bCs/>
                <w:color w:val="auto"/>
                <w:sz w:val="21"/>
                <w:szCs w:val="21"/>
                <w:highlight w:val="none"/>
              </w:rPr>
            </w:pPr>
          </w:p>
        </w:tc>
        <w:tc>
          <w:tcPr>
            <w:tcW w:w="6074" w:type="dxa"/>
            <w:vAlign w:val="center"/>
          </w:tcPr>
          <w:p>
            <w:pPr>
              <w:spacing w:line="440" w:lineRule="exact"/>
              <w:jc w:val="left"/>
              <w:rPr>
                <w:rFonts w:hint="eastAsia" w:ascii="宋体"/>
                <w:sz w:val="24"/>
              </w:rPr>
            </w:pPr>
            <w:r>
              <w:rPr>
                <w:rFonts w:hint="eastAsia" w:ascii="宋体"/>
                <w:sz w:val="24"/>
              </w:rPr>
              <w:t>接收</w:t>
            </w:r>
            <w:r>
              <w:rPr>
                <w:rFonts w:hint="eastAsia" w:ascii="宋体"/>
                <w:sz w:val="24"/>
                <w:lang w:eastAsia="zh-CN"/>
              </w:rPr>
              <w:t>磋商保证金</w:t>
            </w:r>
            <w:r>
              <w:rPr>
                <w:rFonts w:hint="eastAsia" w:ascii="宋体"/>
                <w:sz w:val="24"/>
              </w:rPr>
              <w:t>帐户信息：</w:t>
            </w:r>
          </w:p>
          <w:p>
            <w:pPr>
              <w:pStyle w:val="96"/>
              <w:spacing w:before="78" w:line="242" w:lineRule="auto"/>
              <w:ind w:right="148"/>
              <w:jc w:val="center"/>
              <w:rPr>
                <w:rFonts w:hint="eastAsia" w:ascii="宋体" w:hAnsi="宋体" w:eastAsia="宋体" w:cs="宋体"/>
                <w:color w:val="000000"/>
                <w:sz w:val="24"/>
                <w:lang w:val="en-US" w:eastAsia="zh-CN"/>
              </w:rPr>
            </w:pPr>
            <w:r>
              <w:rPr>
                <w:rFonts w:hint="eastAsia" w:ascii="宋体"/>
                <w:sz w:val="24"/>
              </w:rPr>
              <w:t>单位名称：</w:t>
            </w:r>
            <w:r>
              <w:rPr>
                <w:rFonts w:hint="eastAsia" w:ascii="宋体" w:hAnsi="宋体" w:eastAsia="宋体" w:cs="宋体"/>
                <w:color w:val="000000"/>
                <w:sz w:val="24"/>
                <w:lang w:val="en-US" w:eastAsia="zh-CN"/>
              </w:rPr>
              <w:t>新疆盛世乾元工程项目管理咨询有限公司哈密市分公司</w:t>
            </w:r>
          </w:p>
          <w:p>
            <w:pPr>
              <w:spacing w:line="440" w:lineRule="exact"/>
              <w:jc w:val="left"/>
              <w:rPr>
                <w:rFonts w:hint="eastAsia" w:ascii="宋体"/>
                <w:sz w:val="24"/>
              </w:rPr>
            </w:pPr>
            <w:r>
              <w:rPr>
                <w:rFonts w:hint="eastAsia" w:ascii="宋体"/>
                <w:sz w:val="24"/>
              </w:rPr>
              <w:t>开户行：</w:t>
            </w:r>
            <w:r>
              <w:rPr>
                <w:rFonts w:hint="eastAsia" w:ascii="宋体" w:hAnsi="宋体"/>
                <w:color w:val="000000"/>
                <w:sz w:val="24"/>
                <w:lang w:val="en-US" w:eastAsia="zh-CN"/>
              </w:rPr>
              <w:t>中国农业银行哈密丽园支行</w:t>
            </w:r>
          </w:p>
          <w:p>
            <w:pPr>
              <w:spacing w:line="440" w:lineRule="exact"/>
              <w:jc w:val="left"/>
              <w:rPr>
                <w:rFonts w:hint="default" w:ascii="宋体" w:hAnsi="宋体"/>
                <w:color w:val="000000"/>
                <w:sz w:val="24"/>
                <w:lang w:val="en-US" w:eastAsia="zh-CN"/>
              </w:rPr>
            </w:pPr>
            <w:r>
              <w:rPr>
                <w:rFonts w:hint="eastAsia" w:ascii="宋体"/>
                <w:sz w:val="24"/>
              </w:rPr>
              <w:t>账  号：</w:t>
            </w:r>
            <w:r>
              <w:rPr>
                <w:rFonts w:hint="eastAsia" w:ascii="宋体" w:hAnsi="宋体"/>
                <w:color w:val="000000"/>
                <w:sz w:val="24"/>
                <w:lang w:val="en-US" w:eastAsia="zh-CN"/>
              </w:rPr>
              <w:t xml:space="preserve">30287201040005140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center"/>
              <w:rPr>
                <w:rFonts w:hint="eastAsia" w:ascii="微软雅黑" w:hAnsi="微软雅黑" w:eastAsia="微软雅黑" w:cs="微软雅黑"/>
                <w:i w:val="0"/>
                <w:iCs w:val="0"/>
                <w:caps w:val="0"/>
                <w:spacing w:val="0"/>
                <w:sz w:val="16"/>
                <w:szCs w:val="16"/>
              </w:rPr>
            </w:pPr>
            <w:r>
              <w:rPr>
                <w:rFonts w:hint="eastAsia" w:ascii="宋体" w:hAnsi="宋体" w:eastAsia="宋体" w:cs="宋体"/>
                <w:color w:val="000000"/>
                <w:kern w:val="0"/>
                <w:sz w:val="24"/>
                <w:szCs w:val="22"/>
                <w:lang w:val="en-US" w:eastAsia="zh-CN" w:bidi="ja-JP"/>
              </w:rPr>
              <w:t>磋商保证金缴纳截止时间</w:t>
            </w:r>
            <w:r>
              <w:rPr>
                <w:rFonts w:hint="eastAsia" w:ascii="宋体" w:hAnsi="宋体" w:cs="宋体"/>
                <w:color w:val="000000"/>
                <w:kern w:val="0"/>
                <w:sz w:val="24"/>
                <w:szCs w:val="22"/>
                <w:lang w:val="en-US" w:eastAsia="zh-CN" w:bidi="ja-JP"/>
              </w:rPr>
              <w:t>：2022年11月27日 16:00</w:t>
            </w:r>
          </w:p>
          <w:p>
            <w:pPr>
              <w:pStyle w:val="2"/>
              <w:rPr>
                <w:rFonts w:hint="eastAsia"/>
              </w:rPr>
            </w:pPr>
          </w:p>
          <w:p>
            <w:pPr>
              <w:pStyle w:val="71"/>
              <w:keepNext w:val="0"/>
              <w:keepLines w:val="0"/>
              <w:pageBreakBefore w:val="0"/>
              <w:numPr>
                <w:ilvl w:val="0"/>
                <w:numId w:val="0"/>
              </w:numPr>
              <w:kinsoku/>
              <w:overflowPunct/>
              <w:topLinePunct w:val="0"/>
              <w:bidi w:val="0"/>
              <w:spacing w:before="20" w:beforeAutospacing="0" w:after="20" w:afterAutospacing="0" w:line="240" w:lineRule="auto"/>
              <w:ind w:leftChars="0" w:right="0" w:righ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1）供应商需自行评估因异地、跨行、公休日等因素造成的投标保证金到账延迟风险，并承担相应责任。（2）投标保证金的交纳须从供应商开户许可证所列账号（结算卡等关联账号不予认可,自然人投标的从与其名称一致的个人账户）进行，否则将导致投标被拒绝。</w:t>
            </w:r>
          </w:p>
          <w:p>
            <w:pPr>
              <w:pStyle w:val="60"/>
              <w:keepNext w:val="0"/>
              <w:keepLines w:val="0"/>
              <w:pageBreakBefore w:val="0"/>
              <w:kinsoku/>
              <w:overflowPunct/>
              <w:topLinePunct w:val="0"/>
              <w:bidi w:val="0"/>
              <w:spacing w:line="360" w:lineRule="exact"/>
              <w:ind w:left="0"/>
              <w:textAlignment w:val="auto"/>
              <w:rPr>
                <w:rFonts w:hint="eastAsia" w:ascii="宋体" w:hAnsi="宋体" w:cs="宋体"/>
                <w:color w:val="auto"/>
                <w:sz w:val="21"/>
                <w:szCs w:val="21"/>
                <w:highlight w:val="none"/>
              </w:rPr>
            </w:pPr>
          </w:p>
          <w:p>
            <w:pPr>
              <w:pStyle w:val="60"/>
              <w:keepNext w:val="0"/>
              <w:keepLines w:val="0"/>
              <w:pageBreakBefore w:val="0"/>
              <w:kinsoku/>
              <w:overflowPunct/>
              <w:topLinePunct w:val="0"/>
              <w:bidi w:val="0"/>
              <w:spacing w:line="360" w:lineRule="exact"/>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注意</w:t>
            </w:r>
            <w:r>
              <w:rPr>
                <w:rFonts w:hint="eastAsia" w:ascii="宋体" w:hAnsi="宋体" w:eastAsia="宋体" w:cs="宋体"/>
                <w:b/>
                <w:bCs/>
                <w:color w:val="auto"/>
                <w:kern w:val="2"/>
                <w:sz w:val="21"/>
                <w:szCs w:val="21"/>
                <w:highlight w:val="none"/>
                <w:u w:val="single"/>
                <w:lang w:val="en-US" w:eastAsia="zh-CN" w:bidi="ar-SA"/>
              </w:rPr>
              <w:t>：递交保证金时须注明（xxx项目名称）保证金。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w:t>
            </w:r>
          </w:p>
        </w:tc>
        <w:tc>
          <w:tcPr>
            <w:tcW w:w="2240"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有效期</w:t>
            </w:r>
          </w:p>
        </w:tc>
        <w:tc>
          <w:tcPr>
            <w:tcW w:w="607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 xml:space="preserve">0 </w:t>
            </w:r>
            <w:r>
              <w:rPr>
                <w:rFonts w:hint="eastAsia" w:ascii="宋体" w:hAnsi="宋体" w:eastAsia="宋体" w:cs="宋体"/>
                <w:color w:val="auto"/>
                <w:sz w:val="21"/>
                <w:szCs w:val="21"/>
                <w:highlight w:val="none"/>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0" w:hRule="atLeast"/>
        </w:trPr>
        <w:tc>
          <w:tcPr>
            <w:tcW w:w="1134" w:type="dxa"/>
            <w:tcBorders>
              <w:bottom w:val="single" w:color="auto" w:sz="4" w:space="0"/>
            </w:tcBorders>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w:t>
            </w:r>
          </w:p>
        </w:tc>
        <w:tc>
          <w:tcPr>
            <w:tcW w:w="2240" w:type="dxa"/>
            <w:tcBorders>
              <w:bottom w:val="single" w:color="auto" w:sz="4" w:space="0"/>
            </w:tcBorders>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响应文件份数</w:t>
            </w:r>
          </w:p>
        </w:tc>
        <w:tc>
          <w:tcPr>
            <w:tcW w:w="6074" w:type="dxa"/>
            <w:tcBorders>
              <w:bottom w:val="single" w:color="auto" w:sz="4" w:space="0"/>
            </w:tcBorders>
            <w:vAlign w:val="center"/>
          </w:tcPr>
          <w:p>
            <w:pPr>
              <w:pStyle w:val="62"/>
              <w:keepNext w:val="0"/>
              <w:keepLines w:val="0"/>
              <w:pageBreakBefore w:val="0"/>
              <w:kinsoku/>
              <w:overflowPunct/>
              <w:topLinePunct w:val="0"/>
              <w:bidi w:val="0"/>
              <w:spacing w:before="20" w:beforeAutospacing="0" w:after="20" w:afterAutospacing="0" w:line="240" w:lineRule="auto"/>
              <w:ind w:left="0" w:leftChars="0" w:right="0" w:firstLine="0" w:firstLineChars="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采用不见面开标：</w:t>
            </w:r>
          </w:p>
          <w:p>
            <w:pPr>
              <w:pStyle w:val="62"/>
              <w:keepNext w:val="0"/>
              <w:keepLines w:val="0"/>
              <w:pageBreakBefore w:val="0"/>
              <w:kinsoku/>
              <w:overflowPunct/>
              <w:topLinePunct w:val="0"/>
              <w:bidi w:val="0"/>
              <w:spacing w:before="20" w:beforeAutospacing="0" w:after="20" w:afterAutospacing="0" w:line="240" w:lineRule="auto"/>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本项目采用不见面开标、</w:t>
            </w:r>
            <w:r>
              <w:rPr>
                <w:rFonts w:hint="eastAsia"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需要递交电子</w:t>
            </w:r>
            <w:r>
              <w:rPr>
                <w:rFonts w:hint="eastAsia"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，加密的电子</w:t>
            </w:r>
            <w:r>
              <w:rPr>
                <w:rFonts w:hint="eastAsia"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，在投标截止时间前通过</w:t>
            </w:r>
            <w:r>
              <w:rPr>
                <w:rFonts w:hint="eastAsia" w:hAnsi="宋体" w:eastAsia="宋体" w:cs="宋体"/>
                <w:color w:val="auto"/>
                <w:sz w:val="21"/>
                <w:szCs w:val="21"/>
                <w:highlight w:val="none"/>
                <w:lang w:eastAsia="zh-CN"/>
              </w:rPr>
              <w:t>新疆政府采购网</w:t>
            </w:r>
            <w:r>
              <w:rPr>
                <w:rFonts w:hint="eastAsia" w:ascii="宋体" w:hAnsi="宋体" w:eastAsia="宋体" w:cs="宋体"/>
                <w:color w:val="auto"/>
                <w:sz w:val="21"/>
                <w:szCs w:val="21"/>
                <w:highlight w:val="none"/>
              </w:rPr>
              <w:t>（</w:t>
            </w:r>
            <w:r>
              <w:rPr>
                <w:rFonts w:hint="eastAsia" w:hAnsi="宋体" w:eastAsia="宋体" w:cs="宋体"/>
                <w:color w:val="auto"/>
                <w:sz w:val="21"/>
                <w:szCs w:val="21"/>
                <w:highlight w:val="none"/>
                <w:lang w:eastAsia="zh-CN"/>
              </w:rPr>
              <w:t>http://www.ccgp-xinjiang.gov.cn/</w:t>
            </w:r>
            <w:r>
              <w:rPr>
                <w:rFonts w:hint="eastAsia" w:ascii="宋体" w:hAnsi="宋体" w:eastAsia="宋体" w:cs="宋体"/>
                <w:color w:val="auto"/>
                <w:sz w:val="21"/>
                <w:szCs w:val="21"/>
                <w:highlight w:val="none"/>
              </w:rPr>
              <w:t>）上传到指定位置。无需递交纸质文件。</w:t>
            </w:r>
          </w:p>
          <w:p>
            <w:pPr>
              <w:pStyle w:val="62"/>
              <w:keepNext w:val="0"/>
              <w:keepLines w:val="0"/>
              <w:pageBreakBefore w:val="0"/>
              <w:kinsoku/>
              <w:overflowPunct/>
              <w:topLinePunct w:val="0"/>
              <w:bidi w:val="0"/>
              <w:spacing w:before="20" w:beforeAutospacing="0" w:after="20" w:afterAutospacing="0" w:line="240" w:lineRule="auto"/>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2.本项目采用远程不见面交易的模式。开标当日，</w:t>
            </w:r>
            <w:r>
              <w:rPr>
                <w:rFonts w:hint="eastAsia"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无需到达开标现场，仅需在任意地点通过</w:t>
            </w:r>
            <w:r>
              <w:rPr>
                <w:rFonts w:hint="eastAsia" w:hAnsi="宋体" w:eastAsia="宋体" w:cs="宋体"/>
                <w:color w:val="auto"/>
                <w:sz w:val="21"/>
                <w:szCs w:val="21"/>
                <w:highlight w:val="none"/>
                <w:lang w:eastAsia="zh-CN"/>
              </w:rPr>
              <w:t>新疆政府采购网</w:t>
            </w:r>
            <w:r>
              <w:rPr>
                <w:rFonts w:hint="eastAsia" w:ascii="宋体" w:hAnsi="宋体" w:eastAsia="宋体" w:cs="宋体"/>
                <w:color w:val="auto"/>
                <w:sz w:val="21"/>
                <w:szCs w:val="21"/>
                <w:highlight w:val="none"/>
              </w:rPr>
              <w:t>（</w:t>
            </w:r>
            <w:r>
              <w:rPr>
                <w:rFonts w:hint="eastAsia" w:hAnsi="宋体" w:eastAsia="宋体" w:cs="宋体"/>
                <w:color w:val="auto"/>
                <w:sz w:val="21"/>
                <w:szCs w:val="21"/>
                <w:highlight w:val="none"/>
                <w:lang w:eastAsia="zh-CN"/>
              </w:rPr>
              <w:t>http://www.ccgp-xinjiang.gov.cn/</w:t>
            </w:r>
            <w:r>
              <w:rPr>
                <w:rFonts w:hint="eastAsia" w:ascii="宋体" w:hAnsi="宋体" w:eastAsia="宋体" w:cs="宋体"/>
                <w:color w:val="auto"/>
                <w:sz w:val="21"/>
                <w:szCs w:val="21"/>
                <w:highlight w:val="none"/>
              </w:rPr>
              <w:t>）平台完成远程解密、提疑澄清、开标唱标、结果公布等交互环节。</w:t>
            </w:r>
            <w:r>
              <w:rPr>
                <w:rFonts w:hint="eastAsia"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必须使用能正确解密</w:t>
            </w:r>
            <w:r>
              <w:rPr>
                <w:rFonts w:hint="eastAsia"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的“CA锁”在规定的时间内完成远程解密，因</w:t>
            </w:r>
            <w:r>
              <w:rPr>
                <w:rFonts w:hint="eastAsia"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原因未能解密、解密失败或解密超时，视为</w:t>
            </w:r>
            <w:r>
              <w:rPr>
                <w:rFonts w:hint="eastAsia"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撤销其</w:t>
            </w:r>
            <w:r>
              <w:rPr>
                <w:rFonts w:hint="eastAsia"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，系统内</w:t>
            </w:r>
            <w:r>
              <w:rPr>
                <w:rFonts w:hint="eastAsia"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将被退回；因采购人原因或网上招投标平台发生故障，导致无法按时完成</w:t>
            </w:r>
            <w:r>
              <w:rPr>
                <w:rFonts w:hint="eastAsia"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解密或开、评标工作无法进行的，可根据实际情况相应延迟解密时间或调整开、评标时间（友情提示：若</w:t>
            </w:r>
            <w:r>
              <w:rPr>
                <w:rFonts w:hint="eastAsia"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已领取副锁（含多把副锁）请注意正副锁的使用差别，务必使用生成</w:t>
            </w:r>
            <w:r>
              <w:rPr>
                <w:rFonts w:hint="eastAsia"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的CA锁解密）。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1134" w:type="dxa"/>
            <w:tcBorders>
              <w:top w:val="single" w:color="auto" w:sz="4" w:space="0"/>
              <w:bottom w:val="single" w:color="auto" w:sz="4" w:space="0"/>
            </w:tcBorders>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15</w:t>
            </w:r>
          </w:p>
        </w:tc>
        <w:tc>
          <w:tcPr>
            <w:tcW w:w="2240" w:type="dxa"/>
            <w:tcBorders>
              <w:top w:val="single" w:color="auto" w:sz="4" w:space="0"/>
              <w:bottom w:val="single" w:color="auto" w:sz="4" w:space="0"/>
            </w:tcBorders>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评审办法</w:t>
            </w:r>
          </w:p>
        </w:tc>
        <w:tc>
          <w:tcPr>
            <w:tcW w:w="6074" w:type="dxa"/>
            <w:tcBorders>
              <w:top w:val="single" w:color="auto" w:sz="4" w:space="0"/>
              <w:bottom w:val="single" w:color="auto" w:sz="4" w:space="0"/>
            </w:tcBorders>
            <w:vAlign w:val="center"/>
          </w:tcPr>
          <w:p>
            <w:pPr>
              <w:pStyle w:val="62"/>
              <w:keepNext w:val="0"/>
              <w:keepLines w:val="0"/>
              <w:pageBreakBefore w:val="0"/>
              <w:kinsoku/>
              <w:overflowPunct/>
              <w:topLinePunct w:val="0"/>
              <w:bidi w:val="0"/>
              <w:spacing w:before="20" w:beforeAutospacing="0" w:after="20" w:afterAutospacing="0" w:line="240" w:lineRule="auto"/>
              <w:ind w:left="0" w:leftChars="0" w:right="0" w:firstLine="0" w:firstLineChars="0"/>
              <w:jc w:val="left"/>
              <w:textAlignment w:val="auto"/>
              <w:rPr>
                <w:rFonts w:hint="eastAsia" w:hAnsi="宋体" w:eastAsia="宋体" w:cs="宋体"/>
                <w:color w:val="auto"/>
                <w:sz w:val="21"/>
                <w:szCs w:val="21"/>
                <w:highlight w:val="none"/>
                <w:lang w:eastAsia="zh-CN"/>
              </w:rPr>
            </w:pPr>
            <w:r>
              <w:rPr>
                <w:rFonts w:hint="eastAsia" w:hAnsi="宋体" w:eastAsia="宋体" w:cs="宋体"/>
                <w:b/>
                <w:bCs/>
                <w:color w:val="auto"/>
                <w:sz w:val="21"/>
                <w:szCs w:val="21"/>
                <w:highlight w:val="none"/>
                <w:lang w:eastAsia="zh-CN"/>
              </w:rPr>
              <w:t>采用综合评分法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5" w:hRule="atLeast"/>
        </w:trPr>
        <w:tc>
          <w:tcPr>
            <w:tcW w:w="1134" w:type="dxa"/>
            <w:tcBorders>
              <w:top w:val="single" w:color="auto" w:sz="4" w:space="0"/>
              <w:bottom w:val="single" w:color="auto" w:sz="4" w:space="0"/>
            </w:tcBorders>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16</w:t>
            </w:r>
          </w:p>
        </w:tc>
        <w:tc>
          <w:tcPr>
            <w:tcW w:w="2240" w:type="dxa"/>
            <w:tcBorders>
              <w:top w:val="single" w:color="auto" w:sz="4" w:space="0"/>
              <w:bottom w:val="single" w:color="auto" w:sz="4" w:space="0"/>
            </w:tcBorders>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b/>
                <w:color w:val="auto"/>
                <w:sz w:val="21"/>
                <w:szCs w:val="21"/>
                <w:highlight w:val="none"/>
              </w:rPr>
              <w:t>评审方法</w:t>
            </w:r>
          </w:p>
        </w:tc>
        <w:tc>
          <w:tcPr>
            <w:tcW w:w="6074" w:type="dxa"/>
            <w:tcBorders>
              <w:top w:val="single" w:color="auto" w:sz="4" w:space="0"/>
              <w:bottom w:val="single" w:color="auto" w:sz="4" w:space="0"/>
            </w:tcBorders>
            <w:vAlign w:val="center"/>
          </w:tcPr>
          <w:p>
            <w:pPr>
              <w:pStyle w:val="60"/>
              <w:spacing w:line="360" w:lineRule="auto"/>
              <w:rPr>
                <w:rFonts w:ascii="宋体" w:hAnsi="宋体" w:eastAsia="宋体"/>
                <w:color w:val="auto"/>
                <w:sz w:val="21"/>
                <w:szCs w:val="21"/>
                <w:highlight w:val="none"/>
              </w:rPr>
            </w:pPr>
            <w:r>
              <w:rPr>
                <w:rFonts w:hint="eastAsia" w:ascii="宋体" w:hAnsi="宋体" w:eastAsia="宋体"/>
                <w:b/>
                <w:bCs/>
                <w:color w:val="auto"/>
                <w:sz w:val="21"/>
                <w:szCs w:val="21"/>
                <w:highlight w:val="none"/>
              </w:rPr>
              <w:t>资格后审</w:t>
            </w:r>
          </w:p>
          <w:p>
            <w:pPr>
              <w:pStyle w:val="60"/>
              <w:spacing w:line="360" w:lineRule="auto"/>
              <w:rPr>
                <w:rFonts w:ascii="宋体" w:hAnsi="宋体" w:eastAsia="宋体"/>
                <w:color w:val="auto"/>
                <w:sz w:val="21"/>
                <w:szCs w:val="21"/>
                <w:highlight w:val="none"/>
              </w:rPr>
            </w:pPr>
            <w:bookmarkStart w:id="11" w:name="EB0074e2ed01924d5f940b01ce03dab020"/>
            <w:bookmarkEnd w:id="11"/>
            <w:r>
              <w:rPr>
                <w:rFonts w:hint="eastAsia" w:ascii="宋体" w:hAnsi="宋体" w:eastAsia="宋体"/>
                <w:b/>
                <w:bCs/>
                <w:color w:val="auto"/>
                <w:sz w:val="21"/>
                <w:szCs w:val="21"/>
                <w:highlight w:val="none"/>
              </w:rPr>
              <w:t>综合评分法</w:t>
            </w:r>
          </w:p>
          <w:p>
            <w:pPr>
              <w:pStyle w:val="60"/>
              <w:spacing w:line="24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pStyle w:val="60"/>
              <w:spacing w:line="240" w:lineRule="auto"/>
              <w:ind w:firstLine="420"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1、最低评标价法，是指以价格为主要因素确定中标供应商的评标方法，即在全部满足招标文件实质性要求前提下，依据统一的价格要素评定最低报价，以提出最低报价的</w:t>
            </w:r>
            <w:r>
              <w:rPr>
                <w:rFonts w:hint="eastAsia" w:ascii="宋体" w:hAnsi="宋体"/>
                <w:color w:val="auto"/>
                <w:kern w:val="2"/>
                <w:sz w:val="21"/>
                <w:szCs w:val="21"/>
                <w:highlight w:val="none"/>
                <w:lang w:eastAsia="zh-CN"/>
              </w:rPr>
              <w:t>供应商</w:t>
            </w:r>
            <w:r>
              <w:rPr>
                <w:rFonts w:hint="eastAsia" w:ascii="宋体" w:hAnsi="宋体" w:eastAsia="宋体"/>
                <w:color w:val="auto"/>
                <w:kern w:val="2"/>
                <w:sz w:val="21"/>
                <w:szCs w:val="21"/>
                <w:highlight w:val="none"/>
              </w:rPr>
              <w:t>作为中标候选供应商或者中标供应商的评标方法。投标报价相同的，按技术指标优劣顺序排列，技术指标较优的一方为中标人。</w:t>
            </w:r>
          </w:p>
          <w:p>
            <w:pPr>
              <w:pStyle w:val="60"/>
              <w:spacing w:line="240" w:lineRule="auto"/>
              <w:ind w:firstLine="420" w:firstLineChars="200"/>
              <w:rPr>
                <w:rFonts w:ascii="宋体" w:hAnsi="宋体" w:eastAsia="宋体"/>
                <w:color w:val="auto"/>
                <w:kern w:val="2"/>
                <w:sz w:val="21"/>
                <w:szCs w:val="21"/>
                <w:highlight w:val="none"/>
              </w:rPr>
            </w:pPr>
            <w:r>
              <w:rPr>
                <w:rFonts w:ascii="宋体" w:hAnsi="宋体" w:eastAsia="宋体"/>
                <w:color w:val="auto"/>
                <w:kern w:val="2"/>
                <w:sz w:val="21"/>
                <w:szCs w:val="21"/>
                <w:highlight w:val="none"/>
              </w:rPr>
              <w:t>采用最低评标价法的采购项目，提供相同品牌产品的不同</w:t>
            </w:r>
            <w:r>
              <w:rPr>
                <w:rFonts w:hint="eastAsia" w:ascii="宋体" w:hAnsi="宋体"/>
                <w:color w:val="auto"/>
                <w:kern w:val="2"/>
                <w:sz w:val="21"/>
                <w:szCs w:val="21"/>
                <w:highlight w:val="none"/>
                <w:lang w:eastAsia="zh-CN"/>
              </w:rPr>
              <w:t>供应商</w:t>
            </w:r>
            <w:r>
              <w:rPr>
                <w:rFonts w:ascii="宋体" w:hAnsi="宋体" w:eastAsia="宋体"/>
                <w:color w:val="auto"/>
                <w:kern w:val="2"/>
                <w:sz w:val="21"/>
                <w:szCs w:val="21"/>
                <w:highlight w:val="none"/>
              </w:rPr>
              <w:t>参加同一合同项下投标的，以其中通过资格审查、符合性审查且报价最低的参加评标；报价相同的，由采购人或者采购人委托评标委员会按照招标文件规定的方式确定一个参加评标的</w:t>
            </w:r>
            <w:r>
              <w:rPr>
                <w:rFonts w:hint="eastAsia" w:ascii="宋体" w:hAnsi="宋体"/>
                <w:color w:val="auto"/>
                <w:kern w:val="2"/>
                <w:sz w:val="21"/>
                <w:szCs w:val="21"/>
                <w:highlight w:val="none"/>
                <w:lang w:eastAsia="zh-CN"/>
              </w:rPr>
              <w:t>供应商</w:t>
            </w:r>
            <w:r>
              <w:rPr>
                <w:rFonts w:ascii="宋体" w:hAnsi="宋体" w:eastAsia="宋体"/>
                <w:color w:val="auto"/>
                <w:kern w:val="2"/>
                <w:sz w:val="21"/>
                <w:szCs w:val="21"/>
                <w:highlight w:val="none"/>
              </w:rPr>
              <w:t>，招标文件未规定的采取随机抽取方式确定，其他投标无效。</w:t>
            </w:r>
          </w:p>
          <w:p>
            <w:pPr>
              <w:pStyle w:val="60"/>
              <w:spacing w:line="240" w:lineRule="auto"/>
              <w:ind w:firstLine="420" w:firstLineChars="200"/>
              <w:rPr>
                <w:rFonts w:ascii="宋体" w:hAnsi="宋体" w:eastAsia="宋体"/>
                <w:color w:val="auto"/>
                <w:kern w:val="2"/>
                <w:sz w:val="21"/>
                <w:szCs w:val="21"/>
                <w:highlight w:val="none"/>
              </w:rPr>
            </w:pPr>
            <w:r>
              <w:rPr>
                <w:rFonts w:hint="eastAsia" w:ascii="宋体" w:hAnsi="宋体" w:eastAsia="宋体"/>
                <w:color w:val="auto"/>
                <w:sz w:val="21"/>
                <w:szCs w:val="21"/>
                <w:highlight w:val="none"/>
              </w:rPr>
              <w:t>2、</w:t>
            </w:r>
            <w:r>
              <w:rPr>
                <w:rFonts w:hint="eastAsia" w:ascii="宋体" w:hAnsi="宋体" w:eastAsia="宋体"/>
                <w:b/>
                <w:bCs/>
                <w:color w:val="auto"/>
                <w:kern w:val="2"/>
                <w:sz w:val="21"/>
                <w:szCs w:val="21"/>
                <w:highlight w:val="none"/>
              </w:rPr>
              <w:t>综合评分法是</w:t>
            </w:r>
            <w:r>
              <w:rPr>
                <w:rFonts w:hint="eastAsia" w:ascii="宋体" w:hAnsi="宋体" w:eastAsia="宋体"/>
                <w:color w:val="auto"/>
                <w:kern w:val="2"/>
                <w:sz w:val="21"/>
                <w:szCs w:val="21"/>
                <w:highlight w:val="none"/>
              </w:rPr>
              <w:t>指在最大限度地满足招标文件实质性要求前提下，按照招标文件中规定的评分细则评审后，以评标最终得分最高的</w:t>
            </w:r>
            <w:r>
              <w:rPr>
                <w:rFonts w:hint="eastAsia" w:ascii="宋体" w:hAnsi="宋体"/>
                <w:color w:val="auto"/>
                <w:kern w:val="2"/>
                <w:sz w:val="21"/>
                <w:szCs w:val="21"/>
                <w:highlight w:val="none"/>
                <w:lang w:eastAsia="zh-CN"/>
              </w:rPr>
              <w:t>供应商</w:t>
            </w:r>
            <w:r>
              <w:rPr>
                <w:rFonts w:hint="eastAsia" w:ascii="宋体" w:hAnsi="宋体" w:eastAsia="宋体"/>
                <w:color w:val="auto"/>
                <w:kern w:val="2"/>
                <w:sz w:val="21"/>
                <w:szCs w:val="21"/>
                <w:highlight w:val="none"/>
              </w:rPr>
              <w:t>作为中标人的评标方法。每一</w:t>
            </w:r>
            <w:r>
              <w:rPr>
                <w:rFonts w:hint="eastAsia" w:ascii="宋体" w:hAnsi="宋体"/>
                <w:color w:val="auto"/>
                <w:kern w:val="2"/>
                <w:sz w:val="21"/>
                <w:szCs w:val="21"/>
                <w:highlight w:val="none"/>
                <w:lang w:eastAsia="zh-CN"/>
              </w:rPr>
              <w:t>供应商</w:t>
            </w:r>
            <w:r>
              <w:rPr>
                <w:rFonts w:hint="eastAsia" w:ascii="宋体" w:hAnsi="宋体" w:eastAsia="宋体"/>
                <w:color w:val="auto"/>
                <w:kern w:val="2"/>
                <w:sz w:val="21"/>
                <w:szCs w:val="21"/>
                <w:highlight w:val="none"/>
              </w:rPr>
              <w:t>的最终得分为所有评委评分的算术平均值。得分相同的，报价较低的一方为中标人。得分且投标报价相同的，技术指标较优的一方为中标人。</w:t>
            </w:r>
          </w:p>
          <w:p>
            <w:pPr>
              <w:pStyle w:val="60"/>
              <w:spacing w:line="240" w:lineRule="auto"/>
              <w:ind w:firstLine="420" w:firstLineChars="200"/>
              <w:rPr>
                <w:rFonts w:hint="eastAsia" w:hAnsi="宋体" w:eastAsia="宋体" w:cs="宋体"/>
                <w:b/>
                <w:bCs/>
                <w:color w:val="auto"/>
                <w:sz w:val="21"/>
                <w:szCs w:val="21"/>
                <w:highlight w:val="none"/>
                <w:lang w:eastAsia="zh-CN"/>
              </w:rPr>
            </w:pPr>
            <w:r>
              <w:rPr>
                <w:rFonts w:ascii="宋体" w:hAnsi="宋体" w:eastAsia="宋体"/>
                <w:color w:val="auto"/>
                <w:kern w:val="2"/>
                <w:sz w:val="21"/>
                <w:szCs w:val="21"/>
                <w:highlight w:val="none"/>
              </w:rPr>
              <w:t>使用综合评分法的采购项目，提供相同品牌产品且通过资格审查、符合性审查的不同</w:t>
            </w:r>
            <w:r>
              <w:rPr>
                <w:rFonts w:hint="eastAsia" w:ascii="宋体" w:hAnsi="宋体"/>
                <w:color w:val="auto"/>
                <w:kern w:val="2"/>
                <w:sz w:val="21"/>
                <w:szCs w:val="21"/>
                <w:highlight w:val="none"/>
                <w:lang w:eastAsia="zh-CN"/>
              </w:rPr>
              <w:t>供应商</w:t>
            </w:r>
            <w:r>
              <w:rPr>
                <w:rFonts w:ascii="宋体" w:hAnsi="宋体" w:eastAsia="宋体"/>
                <w:color w:val="auto"/>
                <w:kern w:val="2"/>
                <w:sz w:val="21"/>
                <w:szCs w:val="21"/>
                <w:highlight w:val="none"/>
              </w:rPr>
              <w:t>参加同一合同项下投标的，按一家</w:t>
            </w:r>
            <w:r>
              <w:rPr>
                <w:rFonts w:hint="eastAsia" w:ascii="宋体" w:hAnsi="宋体"/>
                <w:color w:val="auto"/>
                <w:kern w:val="2"/>
                <w:sz w:val="21"/>
                <w:szCs w:val="21"/>
                <w:highlight w:val="none"/>
                <w:lang w:eastAsia="zh-CN"/>
              </w:rPr>
              <w:t>供应商</w:t>
            </w:r>
            <w:r>
              <w:rPr>
                <w:rFonts w:ascii="宋体" w:hAnsi="宋体" w:eastAsia="宋体"/>
                <w:color w:val="auto"/>
                <w:kern w:val="2"/>
                <w:sz w:val="21"/>
                <w:szCs w:val="21"/>
                <w:highlight w:val="none"/>
              </w:rPr>
              <w:t>计算，评审后得分最高的同品牌</w:t>
            </w:r>
            <w:r>
              <w:rPr>
                <w:rFonts w:hint="eastAsia" w:ascii="宋体" w:hAnsi="宋体"/>
                <w:color w:val="auto"/>
                <w:kern w:val="2"/>
                <w:sz w:val="21"/>
                <w:szCs w:val="21"/>
                <w:highlight w:val="none"/>
                <w:lang w:eastAsia="zh-CN"/>
              </w:rPr>
              <w:t>供应商</w:t>
            </w:r>
            <w:r>
              <w:rPr>
                <w:rFonts w:ascii="宋体" w:hAnsi="宋体" w:eastAsia="宋体"/>
                <w:color w:val="auto"/>
                <w:kern w:val="2"/>
                <w:sz w:val="21"/>
                <w:szCs w:val="21"/>
                <w:highlight w:val="none"/>
              </w:rPr>
              <w:t>获得中标人推荐资格；评审得分相同的，由采购人或者采购人委托评标委员会按照招标文件规定的方式确定一个</w:t>
            </w:r>
            <w:r>
              <w:rPr>
                <w:rFonts w:hint="eastAsia" w:ascii="宋体" w:hAnsi="宋体"/>
                <w:color w:val="auto"/>
                <w:kern w:val="2"/>
                <w:sz w:val="21"/>
                <w:szCs w:val="21"/>
                <w:highlight w:val="none"/>
                <w:lang w:eastAsia="zh-CN"/>
              </w:rPr>
              <w:t>供应商</w:t>
            </w:r>
            <w:r>
              <w:rPr>
                <w:rFonts w:ascii="宋体" w:hAnsi="宋体" w:eastAsia="宋体"/>
                <w:color w:val="auto"/>
                <w:kern w:val="2"/>
                <w:sz w:val="21"/>
                <w:szCs w:val="21"/>
                <w:highlight w:val="none"/>
              </w:rPr>
              <w:t>获得中标人推荐资格，招标文件未规定的采取随机抽取方式确定，其他同品牌</w:t>
            </w:r>
            <w:r>
              <w:rPr>
                <w:rFonts w:hint="eastAsia" w:ascii="宋体" w:hAnsi="宋体"/>
                <w:color w:val="auto"/>
                <w:kern w:val="2"/>
                <w:sz w:val="21"/>
                <w:szCs w:val="21"/>
                <w:highlight w:val="none"/>
                <w:lang w:eastAsia="zh-CN"/>
              </w:rPr>
              <w:t>供应商</w:t>
            </w:r>
            <w:r>
              <w:rPr>
                <w:rFonts w:ascii="宋体" w:hAnsi="宋体" w:eastAsia="宋体"/>
                <w:color w:val="auto"/>
                <w:kern w:val="2"/>
                <w:sz w:val="21"/>
                <w:szCs w:val="21"/>
                <w:highlight w:val="none"/>
              </w:rPr>
              <w:t>不作为中标候选人。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1134" w:type="dxa"/>
            <w:tcBorders>
              <w:top w:val="single" w:color="auto" w:sz="4" w:space="0"/>
              <w:bottom w:val="single" w:color="auto" w:sz="4" w:space="0"/>
            </w:tcBorders>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17</w:t>
            </w:r>
          </w:p>
        </w:tc>
        <w:tc>
          <w:tcPr>
            <w:tcW w:w="2240" w:type="dxa"/>
            <w:tcBorders>
              <w:top w:val="single" w:color="auto" w:sz="4" w:space="0"/>
              <w:bottom w:val="single" w:color="auto" w:sz="4" w:space="0"/>
            </w:tcBorders>
            <w:vAlign w:val="center"/>
          </w:tcPr>
          <w:p>
            <w:pPr>
              <w:pStyle w:val="25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踏勘现场</w:t>
            </w:r>
          </w:p>
        </w:tc>
        <w:tc>
          <w:tcPr>
            <w:tcW w:w="6074" w:type="dxa"/>
            <w:tcBorders>
              <w:top w:val="single" w:color="auto" w:sz="4" w:space="0"/>
              <w:bottom w:val="single" w:color="auto" w:sz="4" w:space="0"/>
            </w:tcBorders>
            <w:vAlign w:val="center"/>
          </w:tcPr>
          <w:p>
            <w:pPr>
              <w:pStyle w:val="250"/>
              <w:autoSpaceDE w:val="0"/>
              <w:autoSpaceDN w:val="0"/>
              <w:adjustRightIn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sym w:font="Wingdings" w:char="00FE"/>
            </w:r>
            <w:r>
              <w:rPr>
                <w:rFonts w:hint="eastAsia" w:ascii="宋体" w:hAnsi="宋体" w:eastAsia="宋体" w:cs="宋体"/>
                <w:color w:val="auto"/>
                <w:kern w:val="0"/>
                <w:sz w:val="21"/>
                <w:szCs w:val="21"/>
                <w:highlight w:val="none"/>
                <w:lang w:val="en-US" w:eastAsia="zh-CN" w:bidi="ar-SA"/>
              </w:rPr>
              <w:t>自行踏勘。</w:t>
            </w:r>
          </w:p>
          <w:p>
            <w:pPr>
              <w:pStyle w:val="250"/>
              <w:autoSpaceDE w:val="0"/>
              <w:autoSpaceDN w:val="0"/>
              <w:adjustRightIn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□统一组织。</w:t>
            </w:r>
          </w:p>
          <w:p>
            <w:pPr>
              <w:pStyle w:val="250"/>
              <w:autoSpaceDE w:val="0"/>
              <w:autoSpaceDN w:val="0"/>
              <w:adjustRightIn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注：本项目不组织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trPr>
        <w:tc>
          <w:tcPr>
            <w:tcW w:w="1134" w:type="dxa"/>
            <w:tcBorders>
              <w:top w:val="single" w:color="auto" w:sz="4" w:space="0"/>
            </w:tcBorders>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18</w:t>
            </w:r>
          </w:p>
        </w:tc>
        <w:tc>
          <w:tcPr>
            <w:tcW w:w="2240" w:type="dxa"/>
            <w:tcBorders>
              <w:top w:val="single" w:color="auto" w:sz="4" w:space="0"/>
            </w:tcBorders>
            <w:vAlign w:val="center"/>
          </w:tcPr>
          <w:p>
            <w:pPr>
              <w:pStyle w:val="25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节能、环保要求</w:t>
            </w:r>
          </w:p>
        </w:tc>
        <w:tc>
          <w:tcPr>
            <w:tcW w:w="6074" w:type="dxa"/>
            <w:tcBorders>
              <w:top w:val="single" w:color="auto" w:sz="4" w:space="0"/>
            </w:tcBorders>
            <w:vAlign w:val="center"/>
          </w:tcPr>
          <w:p>
            <w:pPr>
              <w:pStyle w:val="25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按国家有关节能环保政策执行：本项目不涉及。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19</w:t>
            </w:r>
          </w:p>
        </w:tc>
        <w:tc>
          <w:tcPr>
            <w:tcW w:w="2240" w:type="dxa"/>
            <w:vAlign w:val="center"/>
          </w:tcPr>
          <w:p>
            <w:pPr>
              <w:pStyle w:val="90"/>
              <w:keepNext w:val="0"/>
              <w:keepLines w:val="0"/>
              <w:pageBreakBefore w:val="0"/>
              <w:kinsoku/>
              <w:overflowPunct/>
              <w:topLinePunct w:val="0"/>
              <w:bidi w:val="0"/>
              <w:spacing w:before="20" w:beforeAutospacing="0" w:after="20" w:afterAutospacing="0" w:line="240" w:lineRule="auto"/>
              <w:ind w:left="0" w:leftChars="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中小微型企业</w:t>
            </w:r>
          </w:p>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有关政策</w:t>
            </w:r>
          </w:p>
        </w:tc>
        <w:tc>
          <w:tcPr>
            <w:tcW w:w="6074" w:type="dxa"/>
            <w:vAlign w:val="center"/>
          </w:tcPr>
          <w:p>
            <w:pPr>
              <w:pStyle w:val="90"/>
              <w:keepNext w:val="0"/>
              <w:keepLines w:val="0"/>
              <w:pageBreakBefore w:val="0"/>
              <w:numPr>
                <w:ilvl w:val="0"/>
                <w:numId w:val="0"/>
              </w:numPr>
              <w:kinsoku/>
              <w:overflowPunct/>
              <w:topLinePunct w:val="0"/>
              <w:bidi w:val="0"/>
              <w:spacing w:before="20" w:beforeAutospacing="0" w:after="20" w:afterAutospacing="0" w:line="240" w:lineRule="auto"/>
              <w:ind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1"/>
                <w:szCs w:val="21"/>
                <w:highlight w:val="none"/>
              </w:rPr>
              <w:t>根据财政部、工业和信息化部印发的《政府采购促进中小企业发展暂行办法》（财库[2020]46 号）及《新疆维吾尔自治区政府采购促进中小企业发展管理实施办法》（新财规[2021]6号）规定执行；</w:t>
            </w:r>
          </w:p>
          <w:p>
            <w:pPr>
              <w:pStyle w:val="132"/>
              <w:keepNext w:val="0"/>
              <w:keepLines w:val="0"/>
              <w:pageBreakBefore w:val="0"/>
              <w:kinsoku/>
              <w:wordWrap/>
              <w:overflowPunct/>
              <w:topLinePunct w:val="0"/>
              <w:bidi w:val="0"/>
              <w:spacing w:line="300" w:lineRule="exact"/>
              <w:textAlignment w:val="auto"/>
              <w:rPr>
                <w:rFonts w:hint="eastAsia" w:ascii="宋体" w:hAnsi="宋体" w:eastAsia="宋体" w:cs="宋体"/>
                <w:i/>
                <w:iCs/>
                <w:color w:val="auto"/>
                <w:sz w:val="21"/>
                <w:szCs w:val="21"/>
                <w:u w:val="single"/>
                <w:lang w:val="en-US" w:eastAsia="zh-CN"/>
              </w:rPr>
            </w:pPr>
            <w:r>
              <w:rPr>
                <w:rFonts w:hint="eastAsia" w:ascii="宋体" w:hAnsi="宋体" w:eastAsia="宋体" w:cs="宋体"/>
                <w:kern w:val="2"/>
                <w:sz w:val="21"/>
                <w:szCs w:val="21"/>
                <w:lang w:val="en-US" w:eastAsia="zh-CN" w:bidi="ar-SA"/>
              </w:rPr>
              <w:t>2、本项目符合政府采购支持中小企业发展优惠政策，专门面向中小企业预留份额100%，其中专门面向小微预留份额100%。</w:t>
            </w:r>
            <w:r>
              <w:rPr>
                <w:rFonts w:hint="eastAsia" w:ascii="宋体" w:hAnsi="宋体" w:eastAsia="宋体" w:cs="宋体"/>
                <w:color w:val="auto"/>
                <w:sz w:val="21"/>
                <w:szCs w:val="21"/>
                <w:lang w:val="en-US" w:eastAsia="zh-CN"/>
              </w:rPr>
              <w:t>专门面向中小企业采购的项目或者采购包，不再执行价格评审优惠的扶持政策。</w:t>
            </w:r>
          </w:p>
          <w:p>
            <w:pPr>
              <w:pStyle w:val="132"/>
              <w:keepNext w:val="0"/>
              <w:keepLines w:val="0"/>
              <w:pageBreakBefore w:val="0"/>
              <w:numPr>
                <w:ilvl w:val="0"/>
                <w:numId w:val="0"/>
              </w:numPr>
              <w:kinsoku/>
              <w:wordWrap/>
              <w:overflowPunct/>
              <w:topLinePunct w:val="0"/>
              <w:bidi w:val="0"/>
              <w:spacing w:line="300" w:lineRule="exac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根据工信部等部委发布的《关于印发中小企业划型标准规定的通知》（工信部联企业〔2011〕300号），</w:t>
            </w:r>
            <w:r>
              <w:rPr>
                <w:rFonts w:hint="eastAsia" w:ascii="宋体" w:hAnsi="宋体" w:eastAsia="宋体" w:cs="宋体"/>
                <w:b/>
                <w:bCs/>
                <w:color w:val="auto"/>
                <w:sz w:val="21"/>
                <w:szCs w:val="21"/>
                <w:lang w:eastAsia="zh-CN"/>
              </w:rPr>
              <w:t>本次采购项目所属行业为</w:t>
            </w:r>
            <w:r>
              <w:rPr>
                <w:rFonts w:hint="eastAsia" w:ascii="宋体" w:hAnsi="宋体" w:eastAsia="宋体" w:cs="宋体"/>
                <w:b/>
                <w:bCs/>
                <w:color w:val="auto"/>
                <w:sz w:val="21"/>
                <w:szCs w:val="21"/>
                <w:highlight w:val="none"/>
                <w:lang w:eastAsia="zh-CN"/>
              </w:rPr>
              <w:t>“第</w:t>
            </w:r>
            <w:r>
              <w:rPr>
                <w:rFonts w:hint="eastAsia" w:ascii="宋体" w:hAnsi="宋体" w:eastAsia="宋体" w:cs="宋体"/>
                <w:b/>
                <w:bCs/>
                <w:color w:val="auto"/>
                <w:sz w:val="21"/>
                <w:szCs w:val="21"/>
                <w:highlight w:val="none"/>
                <w:lang w:val="en-US" w:eastAsia="zh-CN"/>
              </w:rPr>
              <w:t>十</w:t>
            </w:r>
            <w:r>
              <w:rPr>
                <w:rFonts w:hint="eastAsia" w:ascii="宋体" w:hAnsi="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项</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lang w:eastAsia="zh-CN"/>
              </w:rPr>
              <w:t>软件和信息技术服务业</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lang w:eastAsia="zh-CN"/>
              </w:rPr>
              <w:t>。</w:t>
            </w:r>
            <w:r>
              <w:rPr>
                <w:rFonts w:hint="eastAsia" w:ascii="宋体" w:hAnsi="宋体" w:eastAsia="宋体" w:cs="宋体"/>
                <w:b w:val="0"/>
                <w:bCs w:val="0"/>
                <w:color w:val="auto"/>
                <w:sz w:val="21"/>
                <w:szCs w:val="21"/>
                <w:lang w:eastAsia="zh-CN"/>
              </w:rPr>
              <w:t>对于符合本次采购项目所属行业</w:t>
            </w:r>
            <w:r>
              <w:rPr>
                <w:rFonts w:hint="eastAsia" w:ascii="宋体" w:hAnsi="宋体" w:eastAsia="宋体" w:cs="宋体"/>
                <w:color w:val="auto"/>
                <w:sz w:val="21"/>
                <w:szCs w:val="21"/>
              </w:rPr>
              <w:t>条件的中小</w:t>
            </w:r>
            <w:r>
              <w:rPr>
                <w:rFonts w:hint="eastAsia" w:ascii="宋体" w:hAnsi="宋体" w:eastAsia="宋体" w:cs="宋体"/>
                <w:color w:val="auto"/>
                <w:sz w:val="21"/>
                <w:szCs w:val="21"/>
                <w:lang w:val="en-US" w:eastAsia="zh-CN"/>
              </w:rPr>
              <w:t>微</w:t>
            </w:r>
            <w:r>
              <w:rPr>
                <w:rFonts w:hint="eastAsia" w:ascii="宋体" w:hAnsi="宋体" w:eastAsia="宋体" w:cs="宋体"/>
                <w:color w:val="auto"/>
                <w:sz w:val="21"/>
                <w:szCs w:val="21"/>
              </w:rPr>
              <w:t>企业应按照</w:t>
            </w:r>
            <w:r>
              <w:rPr>
                <w:rFonts w:hint="eastAsia" w:ascii="宋体" w:hAnsi="宋体" w:eastAsia="宋体" w:cs="宋体"/>
                <w:color w:val="auto"/>
                <w:sz w:val="21"/>
                <w:szCs w:val="21"/>
                <w:lang w:val="en-US" w:eastAsia="zh-CN"/>
              </w:rPr>
              <w:t>竞争性</w:t>
            </w:r>
            <w:r>
              <w:rPr>
                <w:rFonts w:hint="eastAsia" w:ascii="宋体" w:hAnsi="宋体" w:cs="宋体"/>
                <w:color w:val="auto"/>
                <w:sz w:val="21"/>
                <w:szCs w:val="21"/>
                <w:lang w:val="en-US" w:eastAsia="zh-CN"/>
              </w:rPr>
              <w:t>磋商</w:t>
            </w:r>
            <w:r>
              <w:rPr>
                <w:rFonts w:hint="eastAsia" w:ascii="宋体" w:hAnsi="宋体" w:eastAsia="宋体" w:cs="宋体"/>
                <w:color w:val="auto"/>
                <w:sz w:val="21"/>
                <w:szCs w:val="21"/>
                <w:lang w:val="en-US" w:eastAsia="zh-CN"/>
              </w:rPr>
              <w:t>文件</w:t>
            </w:r>
            <w:r>
              <w:rPr>
                <w:rFonts w:hint="eastAsia" w:ascii="宋体" w:hAnsi="宋体" w:eastAsia="宋体" w:cs="宋体"/>
                <w:color w:val="auto"/>
                <w:sz w:val="21"/>
                <w:szCs w:val="21"/>
              </w:rPr>
              <w:t>格式要求提供《中小企业声明函》。</w:t>
            </w:r>
          </w:p>
          <w:p>
            <w:pPr>
              <w:pStyle w:val="90"/>
              <w:keepNext w:val="0"/>
              <w:keepLines w:val="0"/>
              <w:pageBreakBefore w:val="0"/>
              <w:numPr>
                <w:ilvl w:val="0"/>
                <w:numId w:val="0"/>
              </w:numPr>
              <w:kinsoku/>
              <w:overflowPunct/>
              <w:topLinePunct w:val="0"/>
              <w:bidi w:val="0"/>
              <w:spacing w:before="20" w:beforeAutospacing="0" w:after="20" w:afterAutospacing="0" w:line="240" w:lineRule="auto"/>
              <w:ind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监狱企业、残疾人福利性单位</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视同为小型和微型企业。供应商若为监狱企业、残疾人福利性单位，须在</w:t>
            </w:r>
            <w:r>
              <w:rPr>
                <w:rFonts w:hint="eastAsia" w:ascii="宋体" w:hAnsi="宋体" w:eastAsia="宋体" w:cs="宋体"/>
                <w:color w:val="auto"/>
                <w:sz w:val="21"/>
                <w:szCs w:val="21"/>
                <w:lang w:val="en-US" w:eastAsia="zh-CN"/>
              </w:rPr>
              <w:t>响应文件</w:t>
            </w:r>
            <w:r>
              <w:rPr>
                <w:rFonts w:hint="eastAsia" w:ascii="宋体" w:hAnsi="宋体" w:eastAsia="宋体" w:cs="宋体"/>
                <w:color w:val="auto"/>
                <w:sz w:val="21"/>
                <w:szCs w:val="21"/>
              </w:rPr>
              <w:t>中提供《监狱企业声明函》、《残疾人福利性单位声明函》。供应商须对其声明的真实性负责，若与事实不符的，将依照《政府采购法》第七十七条第一款的规定追究法律责任。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shd w:val="clear" w:color="auto" w:fill="auto"/>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21</w:t>
            </w:r>
          </w:p>
        </w:tc>
        <w:tc>
          <w:tcPr>
            <w:tcW w:w="2240" w:type="dxa"/>
            <w:shd w:val="clear" w:color="auto" w:fill="auto"/>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服务期限</w:t>
            </w:r>
          </w:p>
        </w:tc>
        <w:tc>
          <w:tcPr>
            <w:tcW w:w="6074" w:type="dxa"/>
            <w:shd w:val="clear" w:color="auto" w:fill="auto"/>
            <w:vAlign w:val="center"/>
          </w:tcPr>
          <w:p>
            <w:pPr>
              <w:pStyle w:val="90"/>
              <w:keepNext w:val="0"/>
              <w:keepLines w:val="0"/>
              <w:pageBreakBefore w:val="0"/>
              <w:kinsoku/>
              <w:overflowPunct/>
              <w:topLinePunct w:val="0"/>
              <w:bidi w:val="0"/>
              <w:spacing w:before="20" w:beforeAutospacing="0" w:after="20" w:afterAutospacing="0" w:line="240" w:lineRule="auto"/>
              <w:ind w:left="0" w:leftChars="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合同签订后30个日历日</w:t>
            </w:r>
            <w:r>
              <w:rPr>
                <w:rFonts w:hint="eastAsia" w:ascii="宋体" w:hAnsi="宋体" w:eastAsia="宋体" w:cs="宋体"/>
                <w:color w:val="auto"/>
                <w:sz w:val="21"/>
                <w:szCs w:val="21"/>
                <w:highlight w:val="non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1134" w:type="dxa"/>
            <w:tcBorders>
              <w:bottom w:val="single" w:color="auto" w:sz="4" w:space="0"/>
            </w:tcBorders>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22</w:t>
            </w:r>
          </w:p>
        </w:tc>
        <w:tc>
          <w:tcPr>
            <w:tcW w:w="2240" w:type="dxa"/>
            <w:tcBorders>
              <w:bottom w:val="single" w:color="auto" w:sz="4" w:space="0"/>
            </w:tcBorders>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付款方式</w:t>
            </w:r>
          </w:p>
        </w:tc>
        <w:tc>
          <w:tcPr>
            <w:tcW w:w="6074" w:type="dxa"/>
            <w:tcBorders>
              <w:bottom w:val="single" w:color="auto" w:sz="4" w:space="0"/>
            </w:tcBorders>
            <w:vAlign w:val="center"/>
          </w:tcPr>
          <w:p>
            <w:pPr>
              <w:pStyle w:val="90"/>
              <w:keepNext w:val="0"/>
              <w:keepLines w:val="0"/>
              <w:pageBreakBefore w:val="0"/>
              <w:kinsoku/>
              <w:overflowPunct/>
              <w:topLinePunct w:val="0"/>
              <w:bidi w:val="0"/>
              <w:spacing w:before="20" w:beforeAutospacing="0" w:after="20" w:afterAutospacing="0" w:line="240" w:lineRule="auto"/>
              <w:ind w:left="0" w:leftChars="0" w:right="0"/>
              <w:textAlignment w:val="auto"/>
              <w:rPr>
                <w:rFonts w:hint="default"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合同签订后支付40%，项目验收合格后支付60%。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5" w:hRule="atLeast"/>
        </w:trPr>
        <w:tc>
          <w:tcPr>
            <w:tcW w:w="1134" w:type="dxa"/>
            <w:tcBorders>
              <w:top w:val="single" w:color="auto" w:sz="4" w:space="0"/>
              <w:bottom w:val="single" w:color="auto" w:sz="4" w:space="0"/>
            </w:tcBorders>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23</w:t>
            </w:r>
          </w:p>
        </w:tc>
        <w:tc>
          <w:tcPr>
            <w:tcW w:w="2240" w:type="dxa"/>
            <w:tcBorders>
              <w:top w:val="single" w:color="auto" w:sz="4" w:space="0"/>
              <w:bottom w:val="single" w:color="auto" w:sz="4" w:space="0"/>
            </w:tcBorders>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交付地点</w:t>
            </w:r>
          </w:p>
        </w:tc>
        <w:tc>
          <w:tcPr>
            <w:tcW w:w="6074" w:type="dxa"/>
            <w:tcBorders>
              <w:top w:val="single" w:color="auto" w:sz="4" w:space="0"/>
              <w:bottom w:val="single" w:color="auto" w:sz="4" w:space="0"/>
            </w:tcBorders>
            <w:vAlign w:val="center"/>
          </w:tcPr>
          <w:p>
            <w:pPr>
              <w:pStyle w:val="90"/>
              <w:keepNext w:val="0"/>
              <w:keepLines w:val="0"/>
              <w:pageBreakBefore w:val="0"/>
              <w:kinsoku/>
              <w:overflowPunct/>
              <w:topLinePunct w:val="0"/>
              <w:bidi w:val="0"/>
              <w:spacing w:before="20" w:beforeAutospacing="0" w:after="20" w:afterAutospacing="0" w:line="240" w:lineRule="auto"/>
              <w:ind w:left="0" w:leftChars="0" w:right="0" w:rightChars="0"/>
              <w:textAlignment w:val="auto"/>
              <w:rPr>
                <w:rFonts w:hint="default"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哈密市图书馆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tcBorders>
              <w:top w:val="single" w:color="auto" w:sz="4" w:space="0"/>
            </w:tcBorders>
            <w:shd w:val="clear" w:color="auto" w:fill="auto"/>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24</w:t>
            </w:r>
          </w:p>
        </w:tc>
        <w:tc>
          <w:tcPr>
            <w:tcW w:w="2240" w:type="dxa"/>
            <w:tcBorders>
              <w:top w:val="single" w:color="auto" w:sz="4" w:space="0"/>
            </w:tcBorders>
            <w:shd w:val="clear" w:color="auto" w:fill="auto"/>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rightChars="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履约保证金</w:t>
            </w:r>
          </w:p>
        </w:tc>
        <w:tc>
          <w:tcPr>
            <w:tcW w:w="6074"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outlineLvl w:val="9"/>
              <w:rPr>
                <w:rFonts w:hint="eastAsia" w:ascii="宋体" w:hAnsi="宋体" w:eastAsia="宋体" w:cs="宋体"/>
                <w:color w:val="auto"/>
                <w:kern w:val="2"/>
                <w:sz w:val="21"/>
                <w:szCs w:val="21"/>
                <w:highlight w:val="none"/>
                <w:u w:val="none"/>
                <w:shd w:val="clear" w:color="auto" w:fill="auto"/>
                <w:lang w:val="zh-TW" w:eastAsia="zh-TW" w:bidi="zh-TW"/>
              </w:rPr>
            </w:pPr>
            <w:r>
              <w:rPr>
                <w:rFonts w:hint="eastAsia" w:ascii="宋体" w:hAnsi="宋体" w:eastAsia="宋体" w:cs="宋体"/>
                <w:color w:val="auto"/>
                <w:kern w:val="2"/>
                <w:sz w:val="21"/>
                <w:szCs w:val="21"/>
                <w:highlight w:val="none"/>
                <w:u w:val="none"/>
                <w:shd w:val="clear" w:color="auto" w:fill="auto"/>
                <w:lang w:val="zh-TW" w:eastAsia="zh-CN" w:bidi="zh-TW"/>
              </w:rPr>
              <w:t>成交候选人</w:t>
            </w:r>
            <w:r>
              <w:rPr>
                <w:rFonts w:hint="eastAsia" w:ascii="宋体" w:hAnsi="宋体" w:eastAsia="宋体" w:cs="宋体"/>
                <w:color w:val="auto"/>
                <w:kern w:val="2"/>
                <w:sz w:val="21"/>
                <w:szCs w:val="21"/>
                <w:highlight w:val="none"/>
                <w:u w:val="none"/>
                <w:shd w:val="clear" w:color="auto" w:fill="auto"/>
                <w:lang w:val="zh-TW" w:eastAsia="zh-TW" w:bidi="zh-TW"/>
              </w:rPr>
              <w:t>在收到</w:t>
            </w:r>
            <w:r>
              <w:rPr>
                <w:rFonts w:hint="eastAsia" w:ascii="宋体" w:hAnsi="宋体" w:eastAsia="宋体" w:cs="宋体"/>
                <w:color w:val="auto"/>
                <w:kern w:val="2"/>
                <w:sz w:val="21"/>
                <w:szCs w:val="21"/>
                <w:highlight w:val="none"/>
                <w:u w:val="none"/>
                <w:shd w:val="clear" w:color="auto" w:fill="auto"/>
                <w:lang w:val="zh-TW" w:eastAsia="zh-CN" w:bidi="zh-TW"/>
              </w:rPr>
              <w:t>成交通知书</w:t>
            </w:r>
            <w:r>
              <w:rPr>
                <w:rFonts w:hint="eastAsia" w:ascii="宋体" w:hAnsi="宋体" w:eastAsia="宋体" w:cs="宋体"/>
                <w:color w:val="auto"/>
                <w:kern w:val="2"/>
                <w:sz w:val="21"/>
                <w:szCs w:val="21"/>
                <w:highlight w:val="none"/>
                <w:u w:val="none"/>
                <w:shd w:val="clear" w:color="auto" w:fill="auto"/>
                <w:lang w:val="zh-TW" w:eastAsia="zh-TW" w:bidi="zh-TW"/>
              </w:rPr>
              <w:t>签订合同前须向</w:t>
            </w:r>
            <w:r>
              <w:rPr>
                <w:rFonts w:hint="eastAsia" w:ascii="宋体" w:hAnsi="宋体" w:eastAsia="宋体" w:cs="宋体"/>
                <w:color w:val="auto"/>
                <w:kern w:val="2"/>
                <w:sz w:val="21"/>
                <w:szCs w:val="21"/>
                <w:highlight w:val="none"/>
                <w:u w:val="none"/>
                <w:shd w:val="clear" w:color="auto" w:fill="auto"/>
                <w:lang w:val="zh-TW" w:eastAsia="zh-CN" w:bidi="zh-TW"/>
              </w:rPr>
              <w:t>采购人</w:t>
            </w:r>
            <w:r>
              <w:rPr>
                <w:rFonts w:hint="eastAsia" w:ascii="宋体" w:hAnsi="宋体" w:eastAsia="宋体" w:cs="宋体"/>
                <w:color w:val="auto"/>
                <w:kern w:val="2"/>
                <w:sz w:val="21"/>
                <w:szCs w:val="21"/>
                <w:highlight w:val="none"/>
                <w:u w:val="none"/>
                <w:shd w:val="clear" w:color="auto" w:fill="auto"/>
                <w:lang w:val="zh-TW" w:eastAsia="zh-TW" w:bidi="zh-TW"/>
              </w:rPr>
              <w:t>提交签约合同价</w:t>
            </w:r>
            <w:r>
              <w:rPr>
                <w:rFonts w:hint="eastAsia" w:ascii="宋体" w:hAnsi="宋体" w:eastAsia="宋体" w:cs="宋体"/>
                <w:color w:val="auto"/>
                <w:kern w:val="2"/>
                <w:sz w:val="21"/>
                <w:szCs w:val="21"/>
                <w:highlight w:val="none"/>
                <w:u w:val="none"/>
                <w:shd w:val="clear" w:color="auto" w:fill="auto"/>
                <w:lang w:val="en-US" w:eastAsia="zh-CN" w:bidi="zh-TW"/>
              </w:rPr>
              <w:t>5</w:t>
            </w:r>
            <w:r>
              <w:rPr>
                <w:rFonts w:hint="eastAsia" w:ascii="宋体" w:hAnsi="宋体" w:eastAsia="宋体" w:cs="宋体"/>
                <w:color w:val="auto"/>
                <w:kern w:val="2"/>
                <w:sz w:val="21"/>
                <w:szCs w:val="21"/>
                <w:highlight w:val="none"/>
                <w:u w:val="none"/>
                <w:shd w:val="clear" w:color="auto" w:fill="auto"/>
                <w:lang w:val="zh-TW" w:eastAsia="zh-TW" w:bidi="zh-TW"/>
              </w:rPr>
              <w:t>%的履约保证金，履约保证金在合同执行完毕后无息退还。</w:t>
            </w:r>
          </w:p>
          <w:p>
            <w:pPr>
              <w:pStyle w:val="75"/>
              <w:keepNext w:val="0"/>
              <w:keepLines w:val="0"/>
              <w:pageBreakBefore w:val="0"/>
              <w:widowControl w:val="0"/>
              <w:shd w:val="clear" w:color="auto" w:fill="auto"/>
              <w:tabs>
                <w:tab w:val="left" w:pos="9460"/>
              </w:tabs>
              <w:kinsoku/>
              <w:wordWrap/>
              <w:overflowPunct/>
              <w:topLinePunct w:val="0"/>
              <w:autoSpaceDE/>
              <w:autoSpaceDN/>
              <w:bidi w:val="0"/>
              <w:adjustRightInd w:val="0"/>
              <w:snapToGrid w:val="0"/>
              <w:spacing w:before="20" w:beforeAutospacing="0" w:after="20" w:afterAutospacing="0" w:line="240" w:lineRule="auto"/>
              <w:ind w:left="0" w:leftChars="0" w:right="0" w:rightChars="0"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val="none"/>
                <w:shd w:val="clear" w:color="auto" w:fill="auto"/>
                <w:lang w:val="en-US" w:eastAsia="zh-CN" w:bidi="zh-TW"/>
              </w:rPr>
              <w:t>如成交候选人不能提供则取消其成交资格。供应商须承诺如成为成交候选人能够及时提供该笔资金。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tcBorders>
              <w:top w:val="single" w:color="auto" w:sz="4" w:space="0"/>
            </w:tcBorders>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25</w:t>
            </w:r>
          </w:p>
        </w:tc>
        <w:tc>
          <w:tcPr>
            <w:tcW w:w="2240" w:type="dxa"/>
            <w:tcBorders>
              <w:top w:val="single" w:color="auto" w:sz="4" w:space="0"/>
            </w:tcBorders>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代理服务费</w:t>
            </w:r>
          </w:p>
        </w:tc>
        <w:tc>
          <w:tcPr>
            <w:tcW w:w="6074" w:type="dxa"/>
            <w:tcBorders>
              <w:top w:val="single" w:color="auto" w:sz="4" w:space="0"/>
            </w:tcBorders>
            <w:vAlign w:val="center"/>
          </w:tcPr>
          <w:p>
            <w:pPr>
              <w:pStyle w:val="75"/>
              <w:keepNext w:val="0"/>
              <w:keepLines w:val="0"/>
              <w:pageBreakBefore w:val="0"/>
              <w:widowControl w:val="0"/>
              <w:shd w:val="clear" w:color="auto" w:fill="auto"/>
              <w:tabs>
                <w:tab w:val="left" w:pos="9460"/>
              </w:tabs>
              <w:kinsoku/>
              <w:wordWrap/>
              <w:overflowPunct/>
              <w:topLinePunct w:val="0"/>
              <w:bidi w:val="0"/>
              <w:snapToGrid/>
              <w:spacing w:before="20" w:beforeAutospacing="0" w:after="20" w:afterAutospacing="0" w:line="240" w:lineRule="auto"/>
              <w:ind w:left="0" w:leftChars="0" w:right="0" w:righ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支付，在领取</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时向采购代理机构一次性支付</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服务费。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26</w:t>
            </w:r>
          </w:p>
        </w:tc>
        <w:tc>
          <w:tcPr>
            <w:tcW w:w="2240"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收费标准</w:t>
            </w:r>
          </w:p>
        </w:tc>
        <w:tc>
          <w:tcPr>
            <w:tcW w:w="6074" w:type="dxa"/>
            <w:vAlign w:val="center"/>
          </w:tcPr>
          <w:p>
            <w:pPr>
              <w:pStyle w:val="75"/>
              <w:keepNext w:val="0"/>
              <w:keepLines w:val="0"/>
              <w:pageBreakBefore w:val="0"/>
              <w:widowControl w:val="0"/>
              <w:shd w:val="clear" w:color="auto" w:fill="auto"/>
              <w:tabs>
                <w:tab w:val="left" w:pos="9460"/>
              </w:tabs>
              <w:kinsoku/>
              <w:wordWrap/>
              <w:overflowPunct/>
              <w:topLinePunct w:val="0"/>
              <w:bidi w:val="0"/>
              <w:snapToGrid/>
              <w:spacing w:before="20" w:beforeAutospacing="0" w:after="20" w:afterAutospacing="0" w:line="240" w:lineRule="auto"/>
              <w:ind w:left="0" w:leftChars="0" w:right="0" w:rightChars="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计算标准和方法参照发改价格[2011]534号文件规定标准执行。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2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27</w:t>
            </w:r>
          </w:p>
        </w:tc>
        <w:tc>
          <w:tcPr>
            <w:tcW w:w="2240" w:type="dxa"/>
            <w:vAlign w:val="center"/>
          </w:tcPr>
          <w:p>
            <w:pPr>
              <w:pStyle w:val="75"/>
              <w:keepNext w:val="0"/>
              <w:keepLines w:val="0"/>
              <w:pageBreakBefore w:val="0"/>
              <w:widowControl w:val="0"/>
              <w:shd w:val="clear" w:color="auto" w:fill="auto"/>
              <w:tabs>
                <w:tab w:val="left" w:pos="9460"/>
              </w:tabs>
              <w:kinsoku/>
              <w:wordWrap/>
              <w:overflowPunct/>
              <w:topLinePunct w:val="0"/>
              <w:bidi w:val="0"/>
              <w:snapToGrid/>
              <w:spacing w:before="20" w:beforeAutospacing="0" w:after="20" w:afterAutospacing="0" w:line="240" w:lineRule="auto"/>
              <w:ind w:left="0" w:leftChars="0" w:right="0" w:rightChars="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采购答疑</w:t>
            </w:r>
          </w:p>
        </w:tc>
        <w:tc>
          <w:tcPr>
            <w:tcW w:w="6074" w:type="dxa"/>
            <w:vAlign w:val="center"/>
          </w:tcPr>
          <w:p>
            <w:pPr>
              <w:pStyle w:val="75"/>
              <w:keepNext w:val="0"/>
              <w:keepLines w:val="0"/>
              <w:pageBreakBefore w:val="0"/>
              <w:widowControl w:val="0"/>
              <w:shd w:val="clear" w:color="auto" w:fill="auto"/>
              <w:tabs>
                <w:tab w:val="left" w:pos="9460"/>
              </w:tabs>
              <w:kinsoku/>
              <w:wordWrap/>
              <w:overflowPunct/>
              <w:topLinePunct w:val="0"/>
              <w:bidi w:val="0"/>
              <w:snapToGrid/>
              <w:spacing w:before="20" w:beforeAutospacing="0" w:after="20" w:afterAutospacing="0" w:line="240" w:lineRule="auto"/>
              <w:ind w:left="0" w:leftChars="0" w:right="0" w:right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如有质疑，请在法定质疑期内一次性提出针对同一采购程序环节的质疑。（政府采购质疑和投诉办法（财政部令第94号）</w:t>
            </w:r>
            <w:r>
              <w:rPr>
                <w:rFonts w:hint="eastAsia" w:ascii="宋体" w:hAnsi="宋体" w:eastAsia="宋体" w:cs="宋体"/>
                <w:color w:val="auto"/>
                <w:kern w:val="0"/>
                <w:sz w:val="21"/>
                <w:szCs w:val="21"/>
                <w:highlight w:val="none"/>
                <w:lang w:val="en-US" w:eastAsia="zh-CN"/>
              </w:rPr>
              <w:t>超过时间的质疑将不予接受。</w:t>
            </w:r>
          </w:p>
          <w:p>
            <w:pPr>
              <w:pStyle w:val="75"/>
              <w:keepNext w:val="0"/>
              <w:keepLines w:val="0"/>
              <w:pageBreakBefore w:val="0"/>
              <w:widowControl w:val="0"/>
              <w:shd w:val="clear" w:color="auto" w:fill="auto"/>
              <w:tabs>
                <w:tab w:val="left" w:pos="9460"/>
              </w:tabs>
              <w:kinsoku/>
              <w:wordWrap/>
              <w:overflowPunct/>
              <w:topLinePunct w:val="0"/>
              <w:bidi w:val="0"/>
              <w:snapToGrid/>
              <w:spacing w:before="20" w:beforeAutospacing="0" w:after="20" w:afterAutospacing="0" w:line="240" w:lineRule="auto"/>
              <w:ind w:left="0" w:leftChars="0" w:right="0" w:rightChars="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联系人：邵丽伟</w:t>
            </w:r>
          </w:p>
          <w:p>
            <w:pPr>
              <w:pStyle w:val="75"/>
              <w:keepNext w:val="0"/>
              <w:keepLines w:val="0"/>
              <w:pageBreakBefore w:val="0"/>
              <w:widowControl w:val="0"/>
              <w:shd w:val="clear" w:color="auto" w:fill="auto"/>
              <w:tabs>
                <w:tab w:val="left" w:pos="9460"/>
              </w:tabs>
              <w:kinsoku/>
              <w:wordWrap/>
              <w:overflowPunct/>
              <w:topLinePunct w:val="0"/>
              <w:bidi w:val="0"/>
              <w:snapToGrid/>
              <w:spacing w:before="20" w:beforeAutospacing="0" w:after="20" w:afterAutospacing="0" w:line="240" w:lineRule="auto"/>
              <w:ind w:left="0" w:leftChars="0" w:right="0" w:rightChars="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联系电话：13999685315</w:t>
            </w:r>
          </w:p>
          <w:p>
            <w:pPr>
              <w:pStyle w:val="75"/>
              <w:keepNext w:val="0"/>
              <w:keepLines w:val="0"/>
              <w:pageBreakBefore w:val="0"/>
              <w:widowControl w:val="0"/>
              <w:shd w:val="clear" w:color="auto" w:fill="auto"/>
              <w:tabs>
                <w:tab w:val="left" w:pos="9460"/>
              </w:tabs>
              <w:kinsoku/>
              <w:wordWrap/>
              <w:overflowPunct/>
              <w:topLinePunct w:val="0"/>
              <w:bidi w:val="0"/>
              <w:snapToGrid/>
              <w:spacing w:before="20" w:beforeAutospacing="0" w:after="20" w:afterAutospacing="0" w:line="240" w:lineRule="auto"/>
              <w:ind w:left="0" w:leftChars="0" w:right="0" w:rightChars="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邮箱：469024930@qq.com</w:t>
            </w:r>
          </w:p>
          <w:p>
            <w:pPr>
              <w:pStyle w:val="75"/>
              <w:keepNext w:val="0"/>
              <w:keepLines w:val="0"/>
              <w:pageBreakBefore w:val="0"/>
              <w:widowControl w:val="0"/>
              <w:shd w:val="clear" w:color="auto" w:fill="auto"/>
              <w:tabs>
                <w:tab w:val="left" w:pos="9460"/>
              </w:tabs>
              <w:kinsoku/>
              <w:wordWrap/>
              <w:overflowPunct/>
              <w:topLinePunct w:val="0"/>
              <w:bidi w:val="0"/>
              <w:snapToGrid/>
              <w:spacing w:before="20" w:beforeAutospacing="0" w:after="20" w:afterAutospacing="0" w:line="240" w:lineRule="auto"/>
              <w:ind w:left="0" w:leftChars="0" w:right="0" w:right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提交方式：提交答疑材料、营业执照复印件和授权委托书加盖供应商公章的扫描件及WORD文档,发送至采购代理机构邮箱，并联系告知代理机构人员。</w:t>
            </w:r>
          </w:p>
          <w:p>
            <w:pPr>
              <w:pStyle w:val="75"/>
              <w:keepNext w:val="0"/>
              <w:keepLines w:val="0"/>
              <w:pageBreakBefore w:val="0"/>
              <w:widowControl w:val="0"/>
              <w:shd w:val="clear" w:color="auto" w:fill="auto"/>
              <w:tabs>
                <w:tab w:val="left" w:pos="9460"/>
              </w:tabs>
              <w:kinsoku/>
              <w:wordWrap/>
              <w:overflowPunct/>
              <w:topLinePunct w:val="0"/>
              <w:bidi w:val="0"/>
              <w:snapToGrid/>
              <w:spacing w:before="20" w:beforeAutospacing="0" w:after="20" w:afterAutospacing="0" w:line="240" w:lineRule="auto"/>
              <w:ind w:left="0" w:leftChars="0" w:right="0" w:right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en-US" w:eastAsia="zh-CN"/>
              </w:rPr>
              <w:t>注：澄清、修改文件发出后，供应商必须按照最新的澄清、答疑文件制作响应文件，否则投标内容有误将有供应商自行承担。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28</w:t>
            </w:r>
          </w:p>
        </w:tc>
        <w:tc>
          <w:tcPr>
            <w:tcW w:w="2240"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注意事项</w:t>
            </w:r>
          </w:p>
        </w:tc>
        <w:tc>
          <w:tcPr>
            <w:tcW w:w="6074" w:type="dxa"/>
            <w:vAlign w:val="center"/>
          </w:tcPr>
          <w:p>
            <w:pPr>
              <w:pStyle w:val="59"/>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firstLine="420" w:firstLineChars="200"/>
              <w:jc w:val="left"/>
              <w:textAlignment w:val="auto"/>
              <w:rPr>
                <w:rFonts w:hint="eastAsia" w:ascii="宋体" w:hAnsi="宋体" w:eastAsia="宋体" w:cs="宋体"/>
                <w:color w:val="auto"/>
                <w:kern w:val="0"/>
                <w:sz w:val="21"/>
                <w:szCs w:val="21"/>
                <w:highlight w:val="none"/>
                <w:u w:val="none"/>
                <w:shd w:val="clear" w:color="auto" w:fill="auto"/>
                <w:lang w:val="en-US" w:eastAsia="zh-CN" w:bidi="zh-TW"/>
              </w:rPr>
            </w:pPr>
            <w:r>
              <w:rPr>
                <w:rFonts w:hint="eastAsia" w:ascii="宋体" w:hAnsi="宋体" w:eastAsia="宋体" w:cs="宋体"/>
                <w:color w:val="auto"/>
                <w:kern w:val="0"/>
                <w:sz w:val="21"/>
                <w:szCs w:val="21"/>
                <w:highlight w:val="none"/>
                <w:u w:val="none"/>
                <w:shd w:val="clear" w:color="auto" w:fill="auto"/>
                <w:lang w:val="en-US" w:eastAsia="zh-CN" w:bidi="zh-TW"/>
              </w:rPr>
              <w:t>1、</w:t>
            </w:r>
            <w:r>
              <w:rPr>
                <w:rFonts w:hint="eastAsia" w:ascii="宋体" w:hAnsi="宋体" w:cs="宋体"/>
                <w:color w:val="auto"/>
                <w:kern w:val="0"/>
                <w:sz w:val="21"/>
                <w:szCs w:val="21"/>
                <w:highlight w:val="none"/>
                <w:u w:val="none"/>
                <w:shd w:val="clear" w:color="auto" w:fill="auto"/>
                <w:lang w:val="en-US" w:eastAsia="zh-CN" w:bidi="zh-TW"/>
              </w:rPr>
              <w:t>供应商</w:t>
            </w:r>
            <w:r>
              <w:rPr>
                <w:rFonts w:hint="eastAsia" w:ascii="宋体" w:hAnsi="宋体" w:eastAsia="宋体" w:cs="宋体"/>
                <w:color w:val="auto"/>
                <w:kern w:val="0"/>
                <w:sz w:val="21"/>
                <w:szCs w:val="21"/>
                <w:highlight w:val="none"/>
                <w:u w:val="none"/>
                <w:shd w:val="clear" w:color="auto" w:fill="auto"/>
                <w:lang w:val="en-US" w:eastAsia="zh-CN" w:bidi="zh-TW"/>
              </w:rPr>
              <w:t>应依照招标文件要求在</w:t>
            </w:r>
            <w:r>
              <w:rPr>
                <w:rFonts w:hint="eastAsia" w:ascii="宋体" w:hAnsi="宋体" w:cs="宋体"/>
                <w:color w:val="auto"/>
                <w:kern w:val="0"/>
                <w:sz w:val="21"/>
                <w:szCs w:val="21"/>
                <w:highlight w:val="none"/>
                <w:u w:val="none"/>
                <w:shd w:val="clear" w:color="auto" w:fill="auto"/>
                <w:lang w:val="en-US" w:eastAsia="zh-CN" w:bidi="zh-TW"/>
              </w:rPr>
              <w:t>响应文件</w:t>
            </w:r>
            <w:r>
              <w:rPr>
                <w:rFonts w:hint="eastAsia" w:ascii="宋体" w:hAnsi="宋体" w:eastAsia="宋体" w:cs="宋体"/>
                <w:color w:val="auto"/>
                <w:kern w:val="0"/>
                <w:sz w:val="21"/>
                <w:szCs w:val="21"/>
                <w:highlight w:val="none"/>
                <w:u w:val="none"/>
                <w:shd w:val="clear" w:color="auto" w:fill="auto"/>
                <w:lang w:val="en-US" w:eastAsia="zh-CN" w:bidi="zh-TW"/>
              </w:rPr>
              <w:t>中提供相关材料原件的扫描件。无论何种原因，即使</w:t>
            </w:r>
            <w:r>
              <w:rPr>
                <w:rFonts w:hint="eastAsia" w:ascii="宋体" w:hAnsi="宋体" w:cs="宋体"/>
                <w:color w:val="auto"/>
                <w:kern w:val="0"/>
                <w:sz w:val="21"/>
                <w:szCs w:val="21"/>
                <w:highlight w:val="none"/>
                <w:u w:val="none"/>
                <w:shd w:val="clear" w:color="auto" w:fill="auto"/>
                <w:lang w:val="en-US" w:eastAsia="zh-CN" w:bidi="zh-TW"/>
              </w:rPr>
              <w:t>供应商</w:t>
            </w:r>
            <w:r>
              <w:rPr>
                <w:rFonts w:hint="eastAsia" w:ascii="宋体" w:hAnsi="宋体" w:eastAsia="宋体" w:cs="宋体"/>
                <w:color w:val="auto"/>
                <w:kern w:val="0"/>
                <w:sz w:val="21"/>
                <w:szCs w:val="21"/>
                <w:highlight w:val="none"/>
                <w:u w:val="none"/>
                <w:shd w:val="clear" w:color="auto" w:fill="auto"/>
                <w:lang w:val="en-US" w:eastAsia="zh-CN" w:bidi="zh-TW"/>
              </w:rPr>
              <w:t>开标时携带了相关材料的原件，但在</w:t>
            </w:r>
            <w:r>
              <w:rPr>
                <w:rFonts w:hint="eastAsia" w:ascii="宋体" w:hAnsi="宋体" w:cs="宋体"/>
                <w:color w:val="auto"/>
                <w:kern w:val="0"/>
                <w:sz w:val="21"/>
                <w:szCs w:val="21"/>
                <w:highlight w:val="none"/>
                <w:u w:val="none"/>
                <w:shd w:val="clear" w:color="auto" w:fill="auto"/>
                <w:lang w:val="en-US" w:eastAsia="zh-CN" w:bidi="zh-TW"/>
              </w:rPr>
              <w:t>响应文件</w:t>
            </w:r>
            <w:r>
              <w:rPr>
                <w:rFonts w:hint="eastAsia" w:ascii="宋体" w:hAnsi="宋体" w:eastAsia="宋体" w:cs="宋体"/>
                <w:color w:val="auto"/>
                <w:kern w:val="0"/>
                <w:sz w:val="21"/>
                <w:szCs w:val="21"/>
                <w:highlight w:val="none"/>
                <w:u w:val="none"/>
                <w:shd w:val="clear" w:color="auto" w:fill="auto"/>
                <w:lang w:val="en-US" w:eastAsia="zh-CN" w:bidi="zh-TW"/>
              </w:rPr>
              <w:t>中未提供与之内容完全一致的扫描件，评标委员会可以视同其未提供。</w:t>
            </w:r>
          </w:p>
          <w:p>
            <w:pPr>
              <w:pStyle w:val="59"/>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firstLine="420" w:firstLineChars="200"/>
              <w:jc w:val="left"/>
              <w:textAlignment w:val="auto"/>
              <w:rPr>
                <w:rFonts w:hint="eastAsia" w:ascii="宋体" w:hAnsi="宋体" w:eastAsia="宋体" w:cs="宋体"/>
                <w:color w:val="auto"/>
                <w:kern w:val="0"/>
                <w:sz w:val="21"/>
                <w:szCs w:val="21"/>
                <w:highlight w:val="none"/>
                <w:u w:val="none"/>
                <w:shd w:val="clear" w:color="auto" w:fill="auto"/>
                <w:lang w:val="en-US" w:eastAsia="zh-CN" w:bidi="zh-TW"/>
              </w:rPr>
            </w:pPr>
            <w:r>
              <w:rPr>
                <w:rFonts w:hint="eastAsia" w:ascii="宋体" w:hAnsi="宋体" w:eastAsia="宋体" w:cs="宋体"/>
                <w:color w:val="auto"/>
                <w:kern w:val="0"/>
                <w:sz w:val="21"/>
                <w:szCs w:val="21"/>
                <w:highlight w:val="none"/>
                <w:u w:val="none"/>
                <w:shd w:val="clear" w:color="auto" w:fill="auto"/>
                <w:lang w:val="en-US" w:eastAsia="zh-CN" w:bidi="zh-TW"/>
              </w:rPr>
              <w:t>2、符合资格条件的</w:t>
            </w:r>
            <w:r>
              <w:rPr>
                <w:rFonts w:hint="eastAsia" w:ascii="宋体" w:hAnsi="宋体" w:cs="宋体"/>
                <w:color w:val="auto"/>
                <w:kern w:val="0"/>
                <w:sz w:val="21"/>
                <w:szCs w:val="21"/>
                <w:highlight w:val="none"/>
                <w:u w:val="none"/>
                <w:shd w:val="clear" w:color="auto" w:fill="auto"/>
                <w:lang w:val="en-US" w:eastAsia="zh-CN" w:bidi="zh-TW"/>
              </w:rPr>
              <w:t>供应商</w:t>
            </w:r>
            <w:r>
              <w:rPr>
                <w:rFonts w:hint="eastAsia" w:ascii="宋体" w:hAnsi="宋体" w:eastAsia="宋体" w:cs="宋体"/>
                <w:color w:val="auto"/>
                <w:kern w:val="0"/>
                <w:sz w:val="21"/>
                <w:szCs w:val="21"/>
                <w:highlight w:val="none"/>
                <w:u w:val="none"/>
                <w:shd w:val="clear" w:color="auto" w:fill="auto"/>
                <w:lang w:val="en-US" w:eastAsia="zh-CN" w:bidi="zh-TW"/>
              </w:rPr>
              <w:t>，在领取招标文件后请及时关注本项目在政采云平台（</w:t>
            </w:r>
            <w:r>
              <w:rPr>
                <w:rFonts w:hint="eastAsia" w:ascii="宋体" w:hAnsi="宋体" w:cs="宋体"/>
                <w:color w:val="auto"/>
                <w:kern w:val="0"/>
                <w:sz w:val="21"/>
                <w:szCs w:val="21"/>
                <w:highlight w:val="none"/>
                <w:u w:val="none"/>
                <w:shd w:val="clear" w:color="auto" w:fill="auto"/>
                <w:lang w:val="en-US" w:eastAsia="zh-CN" w:bidi="zh-TW"/>
              </w:rPr>
              <w:t>http://www.ccgp-xinjiang.gov.cn/</w:t>
            </w:r>
            <w:r>
              <w:rPr>
                <w:rFonts w:hint="eastAsia" w:ascii="宋体" w:hAnsi="宋体" w:eastAsia="宋体" w:cs="宋体"/>
                <w:color w:val="auto"/>
                <w:kern w:val="0"/>
                <w:sz w:val="21"/>
                <w:szCs w:val="21"/>
                <w:highlight w:val="none"/>
                <w:u w:val="none"/>
                <w:shd w:val="clear" w:color="auto" w:fill="auto"/>
                <w:lang w:val="en-US" w:eastAsia="zh-CN" w:bidi="zh-TW"/>
              </w:rPr>
              <w:t>）的信息动态（招标文件澄清、答疑等发布及变更信息），以免造成信息获取遗漏，若截止开标时间后</w:t>
            </w:r>
            <w:r>
              <w:rPr>
                <w:rFonts w:hint="eastAsia" w:ascii="宋体" w:hAnsi="宋体" w:cs="宋体"/>
                <w:color w:val="auto"/>
                <w:kern w:val="0"/>
                <w:sz w:val="21"/>
                <w:szCs w:val="21"/>
                <w:highlight w:val="none"/>
                <w:u w:val="none"/>
                <w:shd w:val="clear" w:color="auto" w:fill="auto"/>
                <w:lang w:val="en-US" w:eastAsia="zh-CN" w:bidi="zh-TW"/>
              </w:rPr>
              <w:t>供应商</w:t>
            </w:r>
            <w:r>
              <w:rPr>
                <w:rFonts w:hint="eastAsia" w:ascii="宋体" w:hAnsi="宋体" w:eastAsia="宋体" w:cs="宋体"/>
                <w:color w:val="auto"/>
                <w:kern w:val="0"/>
                <w:sz w:val="21"/>
                <w:szCs w:val="21"/>
                <w:highlight w:val="none"/>
                <w:u w:val="none"/>
                <w:shd w:val="clear" w:color="auto" w:fill="auto"/>
                <w:lang w:val="en-US" w:eastAsia="zh-CN" w:bidi="zh-TW"/>
              </w:rPr>
              <w:t>所递交的</w:t>
            </w:r>
            <w:r>
              <w:rPr>
                <w:rFonts w:hint="eastAsia" w:ascii="宋体" w:hAnsi="宋体" w:cs="宋体"/>
                <w:color w:val="auto"/>
                <w:kern w:val="0"/>
                <w:sz w:val="21"/>
                <w:szCs w:val="21"/>
                <w:highlight w:val="none"/>
                <w:u w:val="none"/>
                <w:shd w:val="clear" w:color="auto" w:fill="auto"/>
                <w:lang w:val="en-US" w:eastAsia="zh-CN" w:bidi="zh-TW"/>
              </w:rPr>
              <w:t>响应文件</w:t>
            </w:r>
            <w:r>
              <w:rPr>
                <w:rFonts w:hint="eastAsia" w:ascii="宋体" w:hAnsi="宋体" w:eastAsia="宋体" w:cs="宋体"/>
                <w:color w:val="auto"/>
                <w:kern w:val="0"/>
                <w:sz w:val="21"/>
                <w:szCs w:val="21"/>
                <w:highlight w:val="none"/>
                <w:u w:val="none"/>
                <w:shd w:val="clear" w:color="auto" w:fill="auto"/>
                <w:lang w:val="en-US" w:eastAsia="zh-CN" w:bidi="zh-TW"/>
              </w:rPr>
              <w:t>因未及时关注下载项目信息通知而造成的失误，由各</w:t>
            </w:r>
            <w:r>
              <w:rPr>
                <w:rFonts w:hint="eastAsia" w:ascii="宋体" w:hAnsi="宋体" w:cs="宋体"/>
                <w:color w:val="auto"/>
                <w:kern w:val="0"/>
                <w:sz w:val="21"/>
                <w:szCs w:val="21"/>
                <w:highlight w:val="none"/>
                <w:u w:val="none"/>
                <w:shd w:val="clear" w:color="auto" w:fill="auto"/>
                <w:lang w:val="en-US" w:eastAsia="zh-CN" w:bidi="zh-TW"/>
              </w:rPr>
              <w:t>供应商</w:t>
            </w:r>
            <w:r>
              <w:rPr>
                <w:rFonts w:hint="eastAsia" w:ascii="宋体" w:hAnsi="宋体" w:eastAsia="宋体" w:cs="宋体"/>
                <w:color w:val="auto"/>
                <w:kern w:val="0"/>
                <w:sz w:val="21"/>
                <w:szCs w:val="21"/>
                <w:highlight w:val="none"/>
                <w:u w:val="none"/>
                <w:shd w:val="clear" w:color="auto" w:fill="auto"/>
                <w:lang w:val="en-US" w:eastAsia="zh-CN" w:bidi="zh-TW"/>
              </w:rPr>
              <w:t>请自行承担后果。</w:t>
            </w:r>
          </w:p>
          <w:p>
            <w:pPr>
              <w:pStyle w:val="59"/>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firstLine="420" w:firstLineChars="200"/>
              <w:jc w:val="left"/>
              <w:textAlignment w:val="auto"/>
              <w:rPr>
                <w:rFonts w:hint="eastAsia" w:ascii="宋体" w:hAnsi="宋体" w:eastAsia="宋体" w:cs="宋体"/>
                <w:color w:val="auto"/>
                <w:kern w:val="0"/>
                <w:sz w:val="21"/>
                <w:szCs w:val="21"/>
                <w:highlight w:val="none"/>
                <w:u w:val="none"/>
                <w:shd w:val="clear" w:color="auto" w:fill="auto"/>
                <w:lang w:val="en-US" w:eastAsia="zh-CN" w:bidi="zh-TW"/>
              </w:rPr>
            </w:pPr>
            <w:r>
              <w:rPr>
                <w:rFonts w:hint="eastAsia" w:ascii="宋体" w:hAnsi="宋体" w:eastAsia="宋体" w:cs="宋体"/>
                <w:color w:val="auto"/>
                <w:kern w:val="0"/>
                <w:sz w:val="21"/>
                <w:szCs w:val="21"/>
                <w:highlight w:val="none"/>
                <w:u w:val="none"/>
                <w:shd w:val="clear" w:color="auto" w:fill="auto"/>
                <w:lang w:val="en-US" w:eastAsia="zh-CN" w:bidi="zh-TW"/>
              </w:rPr>
              <w:t>3、本项目所述时间以政采云平台（</w:t>
            </w:r>
            <w:r>
              <w:rPr>
                <w:rFonts w:hint="eastAsia" w:ascii="宋体" w:hAnsi="宋体" w:cs="宋体"/>
                <w:color w:val="auto"/>
                <w:kern w:val="0"/>
                <w:sz w:val="21"/>
                <w:szCs w:val="21"/>
                <w:highlight w:val="none"/>
                <w:u w:val="none"/>
                <w:shd w:val="clear" w:color="auto" w:fill="auto"/>
                <w:lang w:val="en-US" w:eastAsia="zh-CN" w:bidi="zh-TW"/>
              </w:rPr>
              <w:t>http://www.ccgp-xinjiang.gov.cn/</w:t>
            </w:r>
            <w:r>
              <w:rPr>
                <w:rFonts w:hint="eastAsia" w:ascii="宋体" w:hAnsi="宋体" w:eastAsia="宋体" w:cs="宋体"/>
                <w:color w:val="auto"/>
                <w:kern w:val="0"/>
                <w:sz w:val="21"/>
                <w:szCs w:val="21"/>
                <w:highlight w:val="none"/>
                <w:u w:val="none"/>
                <w:shd w:val="clear" w:color="auto" w:fill="auto"/>
                <w:lang w:val="en-US" w:eastAsia="zh-CN" w:bidi="zh-TW"/>
              </w:rPr>
              <w:t>）服务器时间为准。“不见面”开标时间以政采云电子交易客户端“不见面”开标系统显示时间为准。</w:t>
            </w:r>
          </w:p>
          <w:p>
            <w:pPr>
              <w:pStyle w:val="59"/>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firstLine="420" w:firstLineChars="200"/>
              <w:jc w:val="left"/>
              <w:textAlignment w:val="auto"/>
              <w:rPr>
                <w:rFonts w:hint="eastAsia" w:ascii="宋体" w:hAnsi="宋体" w:eastAsia="宋体" w:cs="宋体"/>
                <w:color w:val="auto"/>
                <w:kern w:val="0"/>
                <w:sz w:val="21"/>
                <w:szCs w:val="21"/>
                <w:highlight w:val="none"/>
                <w:u w:val="none"/>
                <w:shd w:val="clear" w:color="auto" w:fill="auto"/>
                <w:lang w:val="en-US" w:eastAsia="zh-CN" w:bidi="zh-TW"/>
              </w:rPr>
            </w:pPr>
            <w:r>
              <w:rPr>
                <w:rFonts w:hint="eastAsia" w:ascii="宋体" w:hAnsi="宋体" w:eastAsia="宋体" w:cs="宋体"/>
                <w:color w:val="auto"/>
                <w:kern w:val="0"/>
                <w:sz w:val="21"/>
                <w:szCs w:val="21"/>
                <w:highlight w:val="none"/>
                <w:u w:val="none"/>
                <w:shd w:val="clear" w:color="auto" w:fill="auto"/>
                <w:lang w:val="en-US" w:eastAsia="zh-CN" w:bidi="zh-TW"/>
              </w:rPr>
              <w:t>4、参与不见面开标的采购人或其委托代理机构、供应商等各交易主体，应当按照规定使用CA数字证书及电子签章。各方主体在系统中所有操作均具有法律效力，并承担法律责任。</w:t>
            </w:r>
          </w:p>
          <w:p>
            <w:pPr>
              <w:pStyle w:val="59"/>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firstLine="420" w:firstLineChars="200"/>
              <w:jc w:val="left"/>
              <w:textAlignment w:val="auto"/>
              <w:rPr>
                <w:rFonts w:hint="eastAsia" w:ascii="宋体" w:hAnsi="宋体" w:eastAsia="宋体" w:cs="宋体"/>
                <w:color w:val="auto"/>
                <w:kern w:val="0"/>
                <w:sz w:val="21"/>
                <w:szCs w:val="21"/>
                <w:highlight w:val="none"/>
                <w:u w:val="none"/>
                <w:shd w:val="clear" w:color="auto" w:fill="auto"/>
                <w:lang w:val="en-US" w:eastAsia="zh-CN" w:bidi="zh-TW"/>
              </w:rPr>
            </w:pPr>
            <w:r>
              <w:rPr>
                <w:rFonts w:hint="eastAsia" w:ascii="宋体" w:hAnsi="宋体" w:eastAsia="宋体" w:cs="宋体"/>
                <w:color w:val="auto"/>
                <w:kern w:val="0"/>
                <w:sz w:val="21"/>
                <w:szCs w:val="21"/>
                <w:highlight w:val="none"/>
                <w:u w:val="none"/>
                <w:shd w:val="clear" w:color="auto" w:fill="auto"/>
                <w:lang w:val="en-US" w:eastAsia="zh-CN" w:bidi="zh-TW"/>
              </w:rPr>
              <w:t>5、供应商参加电子不见面开标项目，应通过账号密码或CA登录政采云电子交易客户端严格按采购文件模版要求制作，在投标截止时间前完成经过CA数字证书电子签章并加密的交易文件上传(加密和解密须用同一数字证书)。</w:t>
            </w:r>
          </w:p>
          <w:p>
            <w:pPr>
              <w:pStyle w:val="59"/>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firstLine="420" w:firstLineChars="200"/>
              <w:jc w:val="left"/>
              <w:textAlignment w:val="auto"/>
              <w:rPr>
                <w:rFonts w:hint="eastAsia" w:ascii="宋体" w:hAnsi="宋体" w:eastAsia="宋体" w:cs="宋体"/>
                <w:color w:val="auto"/>
                <w:kern w:val="0"/>
                <w:sz w:val="21"/>
                <w:szCs w:val="21"/>
                <w:highlight w:val="none"/>
                <w:u w:val="none"/>
                <w:shd w:val="clear" w:color="auto" w:fill="auto"/>
                <w:lang w:val="en-US" w:eastAsia="zh-CN" w:bidi="zh-TW"/>
              </w:rPr>
            </w:pPr>
            <w:r>
              <w:rPr>
                <w:rFonts w:hint="eastAsia" w:ascii="宋体" w:hAnsi="宋体" w:eastAsia="宋体" w:cs="宋体"/>
                <w:color w:val="auto"/>
                <w:kern w:val="0"/>
                <w:sz w:val="21"/>
                <w:szCs w:val="21"/>
                <w:highlight w:val="none"/>
                <w:u w:val="none"/>
                <w:shd w:val="clear" w:color="auto" w:fill="auto"/>
                <w:lang w:val="en-US" w:eastAsia="zh-CN" w:bidi="zh-TW"/>
              </w:rPr>
              <w:t xml:space="preserve"> 6、供应商由于数字证书遗失、损坏、更换、续期等情况导致</w:t>
            </w:r>
            <w:r>
              <w:rPr>
                <w:rFonts w:hint="eastAsia" w:ascii="宋体" w:hAnsi="宋体" w:cs="宋体"/>
                <w:color w:val="auto"/>
                <w:kern w:val="0"/>
                <w:sz w:val="21"/>
                <w:szCs w:val="21"/>
                <w:highlight w:val="none"/>
                <w:u w:val="none"/>
                <w:shd w:val="clear" w:color="auto" w:fill="auto"/>
                <w:lang w:val="en-US" w:eastAsia="zh-CN" w:bidi="zh-TW"/>
              </w:rPr>
              <w:t>响应文件</w:t>
            </w:r>
            <w:r>
              <w:rPr>
                <w:rFonts w:hint="eastAsia" w:ascii="宋体" w:hAnsi="宋体" w:eastAsia="宋体" w:cs="宋体"/>
                <w:color w:val="auto"/>
                <w:kern w:val="0"/>
                <w:sz w:val="21"/>
                <w:szCs w:val="21"/>
                <w:highlight w:val="none"/>
                <w:u w:val="none"/>
                <w:shd w:val="clear" w:color="auto" w:fill="auto"/>
                <w:lang w:val="en-US" w:eastAsia="zh-CN" w:bidi="zh-TW"/>
              </w:rPr>
              <w:t>无法解密，由供应商自行承担责任。</w:t>
            </w:r>
          </w:p>
          <w:p>
            <w:pPr>
              <w:pStyle w:val="59"/>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firstLine="420" w:firstLineChars="200"/>
              <w:jc w:val="left"/>
              <w:textAlignment w:val="auto"/>
              <w:rPr>
                <w:rFonts w:hint="eastAsia" w:ascii="宋体" w:hAnsi="宋体" w:eastAsia="宋体" w:cs="宋体"/>
                <w:color w:val="auto"/>
                <w:kern w:val="0"/>
                <w:sz w:val="21"/>
                <w:szCs w:val="21"/>
                <w:highlight w:val="none"/>
                <w:u w:val="none"/>
                <w:shd w:val="clear" w:color="auto" w:fill="auto"/>
                <w:lang w:val="en-US" w:eastAsia="zh-CN" w:bidi="zh-TW"/>
              </w:rPr>
            </w:pPr>
            <w:r>
              <w:rPr>
                <w:rFonts w:hint="eastAsia" w:ascii="宋体" w:hAnsi="宋体" w:eastAsia="宋体" w:cs="宋体"/>
                <w:color w:val="auto"/>
                <w:kern w:val="0"/>
                <w:sz w:val="21"/>
                <w:szCs w:val="21"/>
                <w:highlight w:val="none"/>
                <w:u w:val="none"/>
                <w:shd w:val="clear" w:color="auto" w:fill="auto"/>
                <w:lang w:val="en-US" w:eastAsia="zh-CN" w:bidi="zh-TW"/>
              </w:rPr>
              <w:t xml:space="preserve"> 7、开标、评标过程中，供应商的法人代表或授权委托人应始终为同一人，不得更换，并保持通讯畅通。供应商端口操作人员均被视为供应商法人代表或授权委托人，供应商自行承担随意更换人员导致的一切后果。</w:t>
            </w:r>
          </w:p>
          <w:p>
            <w:pPr>
              <w:pStyle w:val="132"/>
              <w:keepNext w:val="0"/>
              <w:keepLines w:val="0"/>
              <w:pageBreakBefore w:val="0"/>
              <w:numPr>
                <w:ilvl w:val="0"/>
                <w:numId w:val="0"/>
              </w:numPr>
              <w:kinsoku/>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kern w:val="0"/>
                <w:sz w:val="21"/>
                <w:szCs w:val="21"/>
                <w:highlight w:val="none"/>
                <w:u w:val="none"/>
                <w:shd w:val="clear" w:color="auto" w:fill="auto"/>
                <w:lang w:val="zh-CN" w:eastAsia="zh-CN" w:bidi="zh-TW"/>
              </w:rPr>
            </w:pPr>
            <w:r>
              <w:rPr>
                <w:rFonts w:hint="eastAsia" w:ascii="宋体" w:hAnsi="宋体" w:eastAsia="宋体" w:cs="宋体"/>
                <w:color w:val="auto"/>
                <w:kern w:val="0"/>
                <w:sz w:val="21"/>
                <w:szCs w:val="21"/>
                <w:highlight w:val="none"/>
                <w:u w:val="none"/>
                <w:shd w:val="clear" w:color="auto" w:fill="auto"/>
                <w:lang w:val="en-US" w:eastAsia="zh-CN" w:bidi="zh-TW"/>
              </w:rPr>
              <w:t>8、根据《财政部关于在政府采购活动中查询及使用信用记录有关问题的通知》财库〔1616〕125号的规定，各供应商应在本项目采购公告发布之日起到响应文件递交截止时间期间，通过“信用中国”网站（</w:t>
            </w:r>
            <w:r>
              <w:rPr>
                <w:rFonts w:hint="eastAsia" w:ascii="宋体" w:hAnsi="宋体" w:eastAsia="宋体" w:cs="宋体"/>
                <w:color w:val="auto"/>
                <w:kern w:val="0"/>
                <w:sz w:val="21"/>
                <w:szCs w:val="21"/>
                <w:highlight w:val="none"/>
                <w:u w:val="none"/>
                <w:shd w:val="clear" w:color="auto" w:fill="auto"/>
                <w:lang w:val="en-US" w:eastAsia="zh-CN" w:bidi="zh-TW"/>
              </w:rPr>
              <w:fldChar w:fldCharType="begin"/>
            </w:r>
            <w:r>
              <w:rPr>
                <w:rFonts w:hint="eastAsia" w:ascii="宋体" w:hAnsi="宋体" w:eastAsia="宋体" w:cs="宋体"/>
                <w:color w:val="auto"/>
                <w:kern w:val="0"/>
                <w:sz w:val="21"/>
                <w:szCs w:val="21"/>
                <w:highlight w:val="none"/>
                <w:u w:val="none"/>
                <w:shd w:val="clear" w:color="auto" w:fill="auto"/>
                <w:lang w:val="en-US" w:eastAsia="zh-CN" w:bidi="zh-TW"/>
              </w:rPr>
              <w:instrText xml:space="preserve"> HYPERLINK "qq://txfile/" </w:instrText>
            </w:r>
            <w:r>
              <w:rPr>
                <w:rFonts w:hint="eastAsia" w:ascii="宋体" w:hAnsi="宋体" w:eastAsia="宋体" w:cs="宋体"/>
                <w:color w:val="auto"/>
                <w:kern w:val="0"/>
                <w:sz w:val="21"/>
                <w:szCs w:val="21"/>
                <w:highlight w:val="none"/>
                <w:u w:val="none"/>
                <w:shd w:val="clear" w:color="auto" w:fill="auto"/>
                <w:lang w:val="en-US" w:eastAsia="zh-CN" w:bidi="zh-TW"/>
              </w:rPr>
              <w:fldChar w:fldCharType="separate"/>
            </w:r>
            <w:r>
              <w:rPr>
                <w:rFonts w:hint="eastAsia" w:ascii="宋体" w:hAnsi="宋体" w:eastAsia="宋体" w:cs="宋体"/>
                <w:color w:val="auto"/>
                <w:kern w:val="0"/>
                <w:sz w:val="21"/>
                <w:szCs w:val="21"/>
                <w:highlight w:val="none"/>
                <w:u w:val="none"/>
                <w:shd w:val="clear" w:color="auto" w:fill="auto"/>
                <w:lang w:val="en-US" w:eastAsia="zh-CN" w:bidi="zh-TW"/>
              </w:rPr>
              <w:t>www.creditchina.gov.cn</w:t>
            </w:r>
            <w:r>
              <w:rPr>
                <w:rFonts w:hint="eastAsia" w:ascii="宋体" w:hAnsi="宋体" w:eastAsia="宋体" w:cs="宋体"/>
                <w:color w:val="auto"/>
                <w:kern w:val="0"/>
                <w:sz w:val="21"/>
                <w:szCs w:val="21"/>
                <w:highlight w:val="none"/>
                <w:u w:val="none"/>
                <w:shd w:val="clear" w:color="auto" w:fill="auto"/>
                <w:lang w:val="en-US" w:eastAsia="zh-CN" w:bidi="zh-TW"/>
              </w:rPr>
              <w:fldChar w:fldCharType="end"/>
            </w:r>
            <w:r>
              <w:rPr>
                <w:rFonts w:hint="eastAsia" w:ascii="宋体" w:hAnsi="宋体" w:eastAsia="宋体" w:cs="宋体"/>
                <w:color w:val="auto"/>
                <w:kern w:val="0"/>
                <w:sz w:val="21"/>
                <w:szCs w:val="21"/>
                <w:highlight w:val="none"/>
                <w:u w:val="none"/>
                <w:shd w:val="clear" w:color="auto" w:fill="auto"/>
                <w:lang w:val="en-US" w:eastAsia="zh-CN" w:bidi="zh-TW"/>
              </w:rPr>
              <w:t>）、中国政府采购网（</w:t>
            </w:r>
            <w:r>
              <w:rPr>
                <w:rFonts w:hint="eastAsia" w:ascii="宋体" w:hAnsi="宋体" w:eastAsia="宋体" w:cs="宋体"/>
                <w:color w:val="auto"/>
                <w:kern w:val="0"/>
                <w:sz w:val="21"/>
                <w:szCs w:val="21"/>
                <w:highlight w:val="none"/>
                <w:u w:val="none"/>
                <w:shd w:val="clear" w:color="auto" w:fill="auto"/>
                <w:lang w:val="en-US" w:eastAsia="zh-CN" w:bidi="zh-TW"/>
              </w:rPr>
              <w:fldChar w:fldCharType="begin"/>
            </w:r>
            <w:r>
              <w:rPr>
                <w:rFonts w:hint="eastAsia" w:ascii="宋体" w:hAnsi="宋体" w:eastAsia="宋体" w:cs="宋体"/>
                <w:color w:val="auto"/>
                <w:kern w:val="0"/>
                <w:sz w:val="21"/>
                <w:szCs w:val="21"/>
                <w:highlight w:val="none"/>
                <w:u w:val="none"/>
                <w:shd w:val="clear" w:color="auto" w:fill="auto"/>
                <w:lang w:val="en-US" w:eastAsia="zh-CN" w:bidi="zh-TW"/>
              </w:rPr>
              <w:instrText xml:space="preserve"> HYPERLINK "qq://txfile/" </w:instrText>
            </w:r>
            <w:r>
              <w:rPr>
                <w:rFonts w:hint="eastAsia" w:ascii="宋体" w:hAnsi="宋体" w:eastAsia="宋体" w:cs="宋体"/>
                <w:color w:val="auto"/>
                <w:kern w:val="0"/>
                <w:sz w:val="21"/>
                <w:szCs w:val="21"/>
                <w:highlight w:val="none"/>
                <w:u w:val="none"/>
                <w:shd w:val="clear" w:color="auto" w:fill="auto"/>
                <w:lang w:val="en-US" w:eastAsia="zh-CN" w:bidi="zh-TW"/>
              </w:rPr>
              <w:fldChar w:fldCharType="separate"/>
            </w:r>
            <w:r>
              <w:rPr>
                <w:rFonts w:hint="eastAsia" w:ascii="宋体" w:hAnsi="宋体" w:eastAsia="宋体" w:cs="宋体"/>
                <w:color w:val="auto"/>
                <w:kern w:val="0"/>
                <w:sz w:val="21"/>
                <w:szCs w:val="21"/>
                <w:highlight w:val="none"/>
                <w:u w:val="none"/>
                <w:shd w:val="clear" w:color="auto" w:fill="auto"/>
                <w:lang w:val="en-US" w:eastAsia="zh-CN" w:bidi="zh-TW"/>
              </w:rPr>
              <w:t>www.ccgp.gov.cn</w:t>
            </w:r>
            <w:r>
              <w:rPr>
                <w:rFonts w:hint="eastAsia" w:ascii="宋体" w:hAnsi="宋体" w:eastAsia="宋体" w:cs="宋体"/>
                <w:color w:val="auto"/>
                <w:kern w:val="0"/>
                <w:sz w:val="21"/>
                <w:szCs w:val="21"/>
                <w:highlight w:val="none"/>
                <w:u w:val="none"/>
                <w:shd w:val="clear" w:color="auto" w:fill="auto"/>
                <w:lang w:val="en-US" w:eastAsia="zh-CN" w:bidi="zh-TW"/>
              </w:rPr>
              <w:fldChar w:fldCharType="end"/>
            </w:r>
            <w:r>
              <w:rPr>
                <w:rFonts w:hint="eastAsia" w:ascii="宋体" w:hAnsi="宋体" w:eastAsia="宋体" w:cs="宋体"/>
                <w:color w:val="auto"/>
                <w:kern w:val="0"/>
                <w:sz w:val="21"/>
                <w:szCs w:val="21"/>
                <w:highlight w:val="none"/>
                <w:u w:val="none"/>
                <w:shd w:val="clear" w:color="auto" w:fill="auto"/>
                <w:lang w:val="en-US" w:eastAsia="zh-CN" w:bidi="zh-TW"/>
              </w:rPr>
              <w:t>）、全国法院失信被执行人名单信息公布与查询平台查询记录（http://zxgk.court.gov.cn/shixin/）等渠道查询主体信用记录，并将信用信息查询记录作为响应文件组成部分。</w:t>
            </w:r>
          </w:p>
          <w:p>
            <w:pPr>
              <w:pStyle w:val="62"/>
              <w:ind w:left="0" w:leftChars="0" w:firstLine="420" w:firstLineChars="200"/>
              <w:rPr>
                <w:rFonts w:hint="eastAsia" w:ascii="宋体" w:hAnsi="宋体" w:eastAsia="宋体" w:cs="宋体"/>
                <w:color w:val="auto"/>
                <w:kern w:val="0"/>
                <w:sz w:val="21"/>
                <w:szCs w:val="21"/>
                <w:highlight w:val="none"/>
                <w:u w:val="none"/>
                <w:shd w:val="clear" w:color="auto" w:fill="auto"/>
                <w:lang w:val="zh-CN" w:eastAsia="zh-CN" w:bidi="zh-TW"/>
              </w:rPr>
            </w:pPr>
            <w:r>
              <w:rPr>
                <w:rFonts w:hint="eastAsia" w:ascii="宋体" w:hAnsi="宋体" w:eastAsia="宋体" w:cs="宋体"/>
                <w:color w:val="auto"/>
                <w:kern w:val="0"/>
                <w:sz w:val="21"/>
                <w:szCs w:val="21"/>
                <w:highlight w:val="none"/>
                <w:u w:val="none"/>
                <w:shd w:val="clear" w:color="auto" w:fill="auto"/>
                <w:lang w:val="en-US" w:eastAsia="zh-CN" w:bidi="zh-TW"/>
              </w:rPr>
              <w:t>9、</w:t>
            </w:r>
            <w:r>
              <w:rPr>
                <w:rFonts w:hint="eastAsia" w:ascii="宋体" w:hAnsi="宋体" w:eastAsia="宋体" w:cs="宋体"/>
                <w:color w:val="auto"/>
                <w:kern w:val="0"/>
                <w:sz w:val="21"/>
                <w:szCs w:val="21"/>
                <w:highlight w:val="none"/>
                <w:u w:val="none"/>
                <w:shd w:val="clear" w:color="auto" w:fill="auto"/>
                <w:lang w:val="zh-CN" w:eastAsia="zh-CN" w:bidi="zh-TW"/>
              </w:rPr>
              <w:t>本项目的招标投标活动以及相关当事人须接受财政监督部门依法实施的监督。</w:t>
            </w:r>
          </w:p>
          <w:p>
            <w:pPr>
              <w:pStyle w:val="60"/>
              <w:keepNext w:val="0"/>
              <w:keepLines w:val="0"/>
              <w:pageBreakBefore w:val="0"/>
              <w:kinsoku/>
              <w:overflowPunct/>
              <w:topLinePunct w:val="0"/>
              <w:autoSpaceDE w:val="0"/>
              <w:autoSpaceDN w:val="0"/>
              <w:bidi w:val="0"/>
              <w:adjustRightInd w:val="0"/>
              <w:snapToGrid/>
              <w:spacing w:line="400" w:lineRule="exact"/>
              <w:ind w:left="0" w:leftChars="0" w:firstLine="420" w:firstLineChars="200"/>
              <w:rPr>
                <w:rFonts w:hint="eastAsia" w:ascii="宋体" w:hAnsi="宋体" w:eastAsia="宋体" w:cs="宋体"/>
                <w:color w:val="auto"/>
                <w:kern w:val="0"/>
                <w:sz w:val="21"/>
                <w:szCs w:val="21"/>
                <w:highlight w:val="none"/>
                <w:u w:val="none"/>
                <w:shd w:val="clear" w:color="auto" w:fill="auto"/>
                <w:lang w:val="zh-CN" w:eastAsia="zh-CN" w:bidi="zh-TW"/>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无违法犯罪记录声明务必如实提供，采购人在开标时可通过网络查验供应商违法犯罪记录，如提供虚假声明，将报监管部门处理。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28</w:t>
            </w:r>
          </w:p>
        </w:tc>
        <w:tc>
          <w:tcPr>
            <w:tcW w:w="2240"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采购人认为应该补充的其他内容</w:t>
            </w:r>
          </w:p>
        </w:tc>
        <w:tc>
          <w:tcPr>
            <w:tcW w:w="6074" w:type="dxa"/>
            <w:vAlign w:val="center"/>
          </w:tcPr>
          <w:p>
            <w:pPr>
              <w:pStyle w:val="90"/>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1.逾期上传或者未上传的响应文件或因供应商自身原因导致解密失败的，将导致其投标被拒绝且响应文件被退回，招标人不予受理。 </w:t>
            </w:r>
          </w:p>
          <w:p>
            <w:pPr>
              <w:pStyle w:val="90"/>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2.本项目有</w:t>
            </w:r>
            <w:r>
              <w:rPr>
                <w:rFonts w:hint="eastAsia" w:ascii="宋体" w:hAnsi="宋体" w:eastAsia="宋体" w:cs="宋体"/>
                <w:b/>
                <w:bCs/>
                <w:color w:val="auto"/>
                <w:kern w:val="0"/>
                <w:sz w:val="21"/>
                <w:szCs w:val="21"/>
                <w:highlight w:val="none"/>
                <w:lang w:val="en-US" w:eastAsia="zh-CN" w:bidi="ar-SA"/>
              </w:rPr>
              <w:t>二次报价</w:t>
            </w:r>
            <w:r>
              <w:rPr>
                <w:rFonts w:hint="eastAsia" w:ascii="宋体" w:hAnsi="宋体" w:eastAsia="宋体" w:cs="宋体"/>
                <w:color w:val="auto"/>
                <w:kern w:val="0"/>
                <w:sz w:val="21"/>
                <w:szCs w:val="21"/>
                <w:highlight w:val="none"/>
                <w:lang w:val="en-US" w:eastAsia="zh-CN" w:bidi="ar-SA"/>
              </w:rPr>
              <w:t xml:space="preserve">，所有仍在参加磋商的供应商按照磋商小组的要求做最后报价，最后报价由其法定代表人或其授权代表签章、供应商单位签章后上传。最后报价的递交地点、公布地点同开标地点。 </w:t>
            </w:r>
          </w:p>
          <w:p>
            <w:pPr>
              <w:pStyle w:val="90"/>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3、在本项目开标时，请供应商代表使用制作上传电子响应文件的CA数字认证证书（在开标时解密使用）登录政采云平台（http://www.ccgp-xinjiang.gov.cn/） “政采云不见面开标大厅”进入本包的开标页面出席本次开标会。 </w:t>
            </w:r>
          </w:p>
          <w:p>
            <w:pPr>
              <w:pStyle w:val="90"/>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fldChar w:fldCharType="begin"/>
            </w:r>
            <w:r>
              <w:rPr>
                <w:rFonts w:hint="eastAsia" w:ascii="宋体" w:hAnsi="宋体" w:eastAsia="宋体" w:cs="宋体"/>
                <w:color w:val="auto"/>
                <w:kern w:val="0"/>
                <w:sz w:val="21"/>
                <w:szCs w:val="21"/>
                <w:highlight w:val="none"/>
                <w:lang w:val="en-US" w:eastAsia="zh-CN" w:bidi="ar-SA"/>
              </w:rPr>
              <w:instrText xml:space="preserve"> HYPERLINK "mailto:4、请于开标当日结束后将不加密电子版投标文件发送至97038891@QQ.com邮箱，同时还需提供3份光盘，投标人应在光盘上注明项目编号、项目名称和投标人名称，开标结束后所有投标人需按此要求将电子版光盘文件提供给招标代理公司。" </w:instrText>
            </w:r>
            <w:r>
              <w:rPr>
                <w:rFonts w:hint="eastAsia" w:ascii="宋体" w:hAnsi="宋体" w:eastAsia="宋体" w:cs="宋体"/>
                <w:color w:val="auto"/>
                <w:kern w:val="0"/>
                <w:sz w:val="21"/>
                <w:szCs w:val="21"/>
                <w:highlight w:val="none"/>
                <w:lang w:val="en-US" w:eastAsia="zh-CN" w:bidi="ar-SA"/>
              </w:rPr>
              <w:fldChar w:fldCharType="separate"/>
            </w:r>
            <w:r>
              <w:rPr>
                <w:rFonts w:hint="eastAsia" w:ascii="宋体" w:hAnsi="宋体" w:eastAsia="宋体" w:cs="宋体"/>
                <w:color w:val="auto"/>
                <w:kern w:val="0"/>
                <w:sz w:val="21"/>
                <w:szCs w:val="21"/>
                <w:highlight w:val="none"/>
                <w:lang w:val="en-US" w:eastAsia="zh-CN" w:bidi="ar-SA"/>
              </w:rPr>
              <w:t>4、</w:t>
            </w:r>
            <w:r>
              <w:rPr>
                <w:rFonts w:hint="eastAsia" w:ascii="宋体" w:hAnsi="宋体" w:eastAsia="宋体" w:cs="宋体"/>
                <w:b/>
                <w:bCs/>
                <w:color w:val="auto"/>
                <w:kern w:val="0"/>
                <w:sz w:val="21"/>
                <w:szCs w:val="21"/>
                <w:highlight w:val="none"/>
                <w:lang w:val="en-US" w:eastAsia="zh-CN" w:bidi="ar-SA"/>
              </w:rPr>
              <w:t>请于开标当日结束后将不加密电子版响应文件发送至469024930@qq.com邮箱。</w:t>
            </w:r>
            <w:r>
              <w:rPr>
                <w:rFonts w:hint="eastAsia" w:ascii="宋体" w:hAnsi="宋体" w:eastAsia="宋体" w:cs="宋体"/>
                <w:color w:val="auto"/>
                <w:kern w:val="0"/>
                <w:sz w:val="21"/>
                <w:szCs w:val="21"/>
                <w:highlight w:val="none"/>
                <w:lang w:val="en-US" w:eastAsia="zh-CN" w:bidi="ar-SA"/>
              </w:rPr>
              <w:fldChar w:fldCharType="end"/>
            </w:r>
          </w:p>
          <w:p>
            <w:pPr>
              <w:pStyle w:val="90"/>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5、中标单位还需提供 3份纸质版响应文件（其中正本 1 份、副本 2份）要求盖章+胶装，并邮寄顺丰、邮政、京东等物流快递，不接收运费到付及其它自取快递，地址、联系人等均在招标文件中载明。 </w:t>
            </w:r>
          </w:p>
          <w:p>
            <w:pPr>
              <w:pStyle w:val="90"/>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6、与磋商须知前附表不相符的，以磋商前附表为准。 </w:t>
            </w:r>
          </w:p>
          <w:p>
            <w:pPr>
              <w:pStyle w:val="90"/>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7、响应文件中有弄虚作假的内容，其响应文件作废。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29</w:t>
            </w:r>
          </w:p>
        </w:tc>
        <w:tc>
          <w:tcPr>
            <w:tcW w:w="2240"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报价及采购说明</w:t>
            </w:r>
          </w:p>
        </w:tc>
        <w:tc>
          <w:tcPr>
            <w:tcW w:w="6074" w:type="dxa"/>
            <w:vAlign w:val="center"/>
          </w:tcPr>
          <w:p>
            <w:pPr>
              <w:pStyle w:val="90"/>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b/>
                <w:bCs/>
                <w:color w:val="auto"/>
                <w:kern w:val="0"/>
                <w:sz w:val="21"/>
                <w:szCs w:val="21"/>
                <w:highlight w:val="none"/>
                <w:lang w:val="en-US" w:eastAsia="zh-CN" w:bidi="ar-SA"/>
              </w:rPr>
              <w:t>报价轮数</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贰轮</w:t>
            </w:r>
            <w:r>
              <w:rPr>
                <w:rFonts w:hint="eastAsia" w:ascii="宋体" w:hAnsi="宋体" w:eastAsia="宋体" w:cs="宋体"/>
                <w:color w:val="auto"/>
                <w:kern w:val="0"/>
                <w:sz w:val="21"/>
                <w:szCs w:val="21"/>
                <w:highlight w:val="none"/>
                <w:lang w:val="en-US" w:eastAsia="zh-CN" w:bidi="ar-SA"/>
              </w:rPr>
              <w:t>。</w:t>
            </w:r>
          </w:p>
          <w:p>
            <w:pPr>
              <w:pStyle w:val="90"/>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报价方式：在政采云平台（http://www.ccgp-xinjiang.gov.cn/）在线报（注：第二轮报价时限为20分钟，以系统默认时长为准）</w:t>
            </w:r>
            <w:r>
              <w:rPr>
                <w:rFonts w:hint="eastAsia" w:ascii="宋体" w:hAnsi="宋体" w:eastAsia="宋体" w:cs="宋体"/>
                <w:color w:val="auto"/>
                <w:kern w:val="0"/>
                <w:sz w:val="21"/>
                <w:szCs w:val="21"/>
                <w:highlight w:val="none"/>
                <w:lang w:val="zh-CN" w:eastAsia="zh-CN" w:bidi="ar-SA"/>
              </w:rPr>
              <w:t>。</w:t>
            </w:r>
          </w:p>
          <w:p>
            <w:pPr>
              <w:pStyle w:val="90"/>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2、关于能否延长二轮在线报价时间：开标现场若发现二轮在线报价默认解密时长不足，由采购人决定是否延长解密时长。</w:t>
            </w:r>
          </w:p>
          <w:p>
            <w:pPr>
              <w:pStyle w:val="90"/>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3、供应商投标报价为本采购项目的包干价，招标人不再支付任何关于本项目的费用。</w:t>
            </w:r>
          </w:p>
          <w:p>
            <w:pPr>
              <w:pStyle w:val="90"/>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4、超出最高投标限价及投标报价格式不响应招标文件的视为无效投标。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备注</w:t>
            </w:r>
          </w:p>
        </w:tc>
        <w:tc>
          <w:tcPr>
            <w:tcW w:w="8314" w:type="dxa"/>
            <w:gridSpan w:val="2"/>
            <w:vAlign w:val="center"/>
          </w:tcPr>
          <w:p>
            <w:pPr>
              <w:pStyle w:val="60"/>
              <w:keepNext w:val="0"/>
              <w:keepLines w:val="0"/>
              <w:pageBreakBefore w:val="0"/>
              <w:widowControl/>
              <w:kinsoku/>
              <w:wordWrap w:val="0"/>
              <w:overflowPunct/>
              <w:topLinePunct w:val="0"/>
              <w:bidi w:val="0"/>
              <w:snapToGrid/>
              <w:spacing w:line="400" w:lineRule="exact"/>
              <w:ind w:left="0" w:lef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如果</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电子</w:t>
            </w:r>
            <w:r>
              <w:rPr>
                <w:rFonts w:hint="eastAsia" w:ascii="宋体" w:hAnsi="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无法制作或无法导入及导出等疑问，请与</w:t>
            </w:r>
            <w:r>
              <w:rPr>
                <w:rFonts w:hint="eastAsia" w:ascii="宋体" w:hAnsi="宋体" w:eastAsia="宋体" w:cs="宋体"/>
                <w:color w:val="auto"/>
                <w:kern w:val="0"/>
                <w:sz w:val="21"/>
                <w:szCs w:val="21"/>
                <w:highlight w:val="none"/>
                <w:lang w:val="en-US" w:eastAsia="zh-CN"/>
              </w:rPr>
              <w:t>政采云客服</w:t>
            </w:r>
            <w:r>
              <w:rPr>
                <w:rFonts w:hint="eastAsia" w:ascii="宋体" w:hAnsi="宋体" w:eastAsia="宋体" w:cs="宋体"/>
                <w:color w:val="auto"/>
                <w:kern w:val="0"/>
                <w:sz w:val="21"/>
                <w:szCs w:val="21"/>
                <w:highlight w:val="none"/>
              </w:rPr>
              <w:t>联系。</w:t>
            </w:r>
          </w:p>
          <w:p>
            <w:pPr>
              <w:pStyle w:val="90"/>
              <w:keepNext w:val="0"/>
              <w:keepLines w:val="0"/>
              <w:pageBreakBefore w:val="0"/>
              <w:kinsoku/>
              <w:overflowPunct/>
              <w:topLinePunct w:val="0"/>
              <w:autoSpaceDE w:val="0"/>
              <w:autoSpaceDN w:val="0"/>
              <w:bidi w:val="0"/>
              <w:adjustRightInd w:val="0"/>
              <w:spacing w:before="20" w:beforeAutospacing="0" w:after="20" w:afterAutospacing="0" w:line="240" w:lineRule="auto"/>
              <w:ind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联系人：</w:t>
            </w:r>
            <w:r>
              <w:rPr>
                <w:rFonts w:hint="eastAsia" w:ascii="宋体" w:hAnsi="宋体" w:eastAsia="宋体" w:cs="宋体"/>
                <w:color w:val="auto"/>
                <w:sz w:val="21"/>
                <w:szCs w:val="21"/>
                <w:highlight w:val="none"/>
              </w:rPr>
              <w:t>政采云客户服务</w:t>
            </w:r>
            <w:r>
              <w:rPr>
                <w:rFonts w:hint="eastAsia" w:ascii="宋体" w:hAnsi="宋体" w:eastAsia="宋体" w:cs="宋体"/>
                <w:color w:val="auto"/>
                <w:kern w:val="0"/>
                <w:sz w:val="21"/>
                <w:szCs w:val="21"/>
                <w:highlight w:val="none"/>
              </w:rPr>
              <w:t xml:space="preserve">   联系电话：</w:t>
            </w:r>
            <w:r>
              <w:rPr>
                <w:rFonts w:hint="eastAsia" w:ascii="宋体" w:hAnsi="宋体" w:eastAsia="宋体" w:cs="宋体"/>
                <w:color w:val="auto"/>
                <w:sz w:val="21"/>
                <w:szCs w:val="21"/>
                <w:highlight w:val="none"/>
              </w:rPr>
              <w:t>400-881-7190</w:t>
            </w:r>
          </w:p>
        </w:tc>
      </w:tr>
    </w:tbl>
    <w:p>
      <w:pPr>
        <w:pStyle w:val="82"/>
        <w:rPr>
          <w:rFonts w:hint="eastAsia" w:ascii="宋体" w:hAnsi="宋体" w:eastAsia="宋体" w:cs="宋体"/>
          <w:color w:val="auto"/>
          <w:sz w:val="21"/>
          <w:szCs w:val="22"/>
          <w:highlight w:val="none"/>
        </w:rPr>
      </w:pPr>
    </w:p>
    <w:p>
      <w:pPr>
        <w:rPr>
          <w:rFonts w:hint="eastAsia" w:ascii="宋体" w:hAnsi="宋体" w:eastAsia="宋体" w:cs="宋体"/>
          <w:color w:val="auto"/>
          <w:kern w:val="2"/>
          <w:sz w:val="21"/>
          <w:szCs w:val="21"/>
          <w:highlight w:val="none"/>
          <w:lang w:val="en-US" w:eastAsia="zh-CN" w:bidi="ar-SA"/>
        </w:rPr>
      </w:pPr>
      <w:bookmarkStart w:id="12" w:name="_Toc456291269"/>
      <w:bookmarkStart w:id="13" w:name="_Toc529628439"/>
      <w:bookmarkStart w:id="14" w:name="_Toc456291468"/>
      <w:bookmarkStart w:id="15" w:name="_Toc456291343"/>
      <w:bookmarkStart w:id="16" w:name="_Toc456291249"/>
      <w:bookmarkStart w:id="17" w:name="_Toc456291526"/>
      <w:bookmarkStart w:id="18" w:name="_Toc456291154"/>
      <w:r>
        <w:rPr>
          <w:rFonts w:hint="eastAsia" w:ascii="宋体" w:hAnsi="宋体" w:eastAsia="宋体" w:cs="宋体"/>
          <w:color w:val="auto"/>
          <w:kern w:val="2"/>
          <w:sz w:val="21"/>
          <w:szCs w:val="21"/>
          <w:highlight w:val="none"/>
          <w:lang w:val="en-US" w:eastAsia="zh-CN" w:bidi="ar-SA"/>
        </w:rPr>
        <w:br w:type="page"/>
      </w:r>
    </w:p>
    <w:bookmarkEnd w:id="12"/>
    <w:bookmarkEnd w:id="13"/>
    <w:bookmarkEnd w:id="14"/>
    <w:bookmarkEnd w:id="15"/>
    <w:bookmarkEnd w:id="16"/>
    <w:bookmarkEnd w:id="17"/>
    <w:bookmarkEnd w:id="18"/>
    <w:p>
      <w:pPr>
        <w:pStyle w:val="82"/>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kern w:val="2"/>
          <w:sz w:val="21"/>
          <w:szCs w:val="21"/>
          <w:highlight w:val="none"/>
          <w:lang w:val="en-US" w:eastAsia="zh-CN" w:bidi="ar-SA"/>
        </w:rPr>
      </w:pPr>
      <w:bookmarkStart w:id="19" w:name="_Toc519111260"/>
      <w:bookmarkStart w:id="20" w:name="_Toc256000004"/>
      <w:r>
        <w:rPr>
          <w:rFonts w:hint="eastAsia" w:ascii="宋体" w:hAnsi="宋体" w:eastAsia="宋体" w:cs="宋体"/>
          <w:b/>
          <w:bCs/>
          <w:color w:val="auto"/>
          <w:kern w:val="2"/>
          <w:sz w:val="21"/>
          <w:szCs w:val="21"/>
          <w:highlight w:val="none"/>
          <w:lang w:val="en-US" w:eastAsia="zh-CN" w:bidi="ar-SA"/>
        </w:rPr>
        <w:t>一、总则</w:t>
      </w:r>
      <w:bookmarkEnd w:id="19"/>
      <w:bookmarkEnd w:id="20"/>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1.说明</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1.1本招标文件适用于本次招标采购项目的招标投标。</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2.定义</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2.1“采购人”名称见本招标文件第二部分“供应商须知前附表”中第1项。</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2.2“采购代理机构”名称见本招标文件第二部分“供应商须知前附表”中第2项。</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2.3“招标货物”指招标文件第三部分所述所有货物；“服务”指招标文件第三部分所述供应商应该履行的承诺和义务。</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2.4“潜在供应商”指符合招标文件各项规定的供应商。</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2.5“供应商”指符合招标文件规定并参加投标的供应商。</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2.6“供应商公章”在响应文件中指与供应商标准公章一致的供应商电子签章。</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2.7“电子响应文件”编制加密的响应文件。</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3.合格供应商的条件</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3.1具有本项目生产、制造、供应或实施能力，符合、承认并承诺履行本文件各项规定的国内法人、其他组织或自然人均可参加投标。</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3.2遵守有关的国家法律、法规和条例，具备《中华人民共和国政府采购法》和本文件中规定的条件：</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1)具有独立承担民事责任的能力； </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2)具有良好的商业信誉和健全的财务会计制度；</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3)具有履行合同所必需的设备和专业技术能力；</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4)具有依法缴纳税收和社会保障资金的良好记录；</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5)参加政府采购活动前三年内，在经营活动中没有重大违法记录；</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6)法律、行政法规规定的其他条件；</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 联合体</w:t>
      </w:r>
      <w:r>
        <w:rPr>
          <w:rFonts w:hint="eastAsia" w:ascii="宋体" w:hAnsi="宋体" w:eastAsia="宋体" w:cs="宋体"/>
          <w:color w:val="auto"/>
          <w:kern w:val="2"/>
          <w:sz w:val="21"/>
          <w:szCs w:val="21"/>
          <w:highlight w:val="none"/>
          <w:lang w:val="en-US" w:eastAsia="zh-CN" w:bidi="ar-SA"/>
        </w:rPr>
        <w:tab/>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3.2.1 两个以上供应商可以组成一个联合体，以一个供应商的身份共同参与磋商。</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3.2.2 采取联合体形式磋商的，联合体各方均应当符合政府采购法第二十二条规定的条件。采购人根据采购项目的特殊要求规定供应商特定条件的，联合体各方中至少有一方符合招标文件规定的特定条件。</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3.2.3 联合体各方之间必须签订联合协议，明确约定联合体主体及各方承担的工作和相应的责任，其磋商响应文件中必须提供联合协议。</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3.2.4 以联合体形式参加政府采购活动的，联合体各方不得再单独参加或者与其他供应商另外组成联合体参加同一合同项下的政府采购活动。</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3.2.5 采取联合体形式磋商的，其磋商响应文件必须由联合体所有成员或其各自正式书面授权的代表签署（盖章），以便对所有成员作为整体及作为个体均具有法律约束力。</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3.2.6 联合体成交的，联合体各方应当共同与采购人签订采购合同。</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3.2.7 联合体中有同类资质的供应商按照联合体分工承担相同工作的，应当按照资质等级较低的供应商确定资质等级。</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磋商费用</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4.1磋商供应商应自行承担所有与编写和提交竞争性磋商响应文件有关的费用，不论磋商结果如何，采购人和采购代理机构在任何情况下无义务和责任承担此类费用。</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5.纪律</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5.1供应商的投标行为应遵守中国的有关法律、法规和规章。</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5.2供应商不得相互串通投标报价，不得妨碍其他供应商的公平竞争，不得损害采购人或其他供应商的合法权益，供应商不得以向采购人、评标委员会成员行贿或者采取其他不正当手段谋取中标。</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5.2.1有下列情形之一的，属于供应商相互串通投标：</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5.2.1.1供应商之间协商投标报价等响应文件的实质性内容；</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5.2.1.2供应商之间约定中标人；</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5.2.1.3供应商之间约定部分供应商放弃投标或者中标；</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5.2.1.4属于同一集团、协会、商会等组织成员的供应商按照该组织要求协同投标；</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5.2.1.5供应商之间为谋取中标或者排斥特定供应商而采取的其他联合行动。</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5.2.2有下列情形之一的，视为供应商相互串通投标：</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5.2.2.1不同供应商的响应文件由同一单位或者个人编制；</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5.2.2.2不同供应商委托同一单位或者个人办理投标事宜，或制作电子响应文件的文件制作机器码（mac地址）一致，或制作电子响应文件的文件创建标识码一致；</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5.2.2.3不同供应商的响应文件载明的项目管理成员为同一人；</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5.2.2.4不同供应商的响应文件异常一致或者投标报价呈规律性差异；</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5.2.2.5不同供应商的响应文件相互混装；</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5.2.2.6不同供应商的投标保证金从同一单位或者个人的账户转出。</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6.通知</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6.1对与本项目有关的通知，采购代理机构将以书面（包括书面材料、信函、传真等，下同）或在本次招标公告刊登的媒体上发布公告并在新疆政府采购网发送变更通知及/或答疑文件的形式，向潜在供应商发出，传真和电话号码以潜在供应商的登记为准。收到通知的供应商须立即予以回复确认，但供应商未回复或采购代理机构未收到回复时，并不应当被理解为采购代理机构知道或应当知道供应商是否收到通知。因登记有误、传真线路故障或其它任何意外情形，导致所发出的通知延迟送达或无法到达供应商，采购代理机构不因此承担任何责任，有关的招标活动可以继续有效地进行。</w:t>
      </w:r>
    </w:p>
    <w:p>
      <w:pPr>
        <w:pStyle w:val="82"/>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kern w:val="2"/>
          <w:sz w:val="21"/>
          <w:szCs w:val="21"/>
          <w:highlight w:val="none"/>
          <w:lang w:val="en-US" w:eastAsia="zh-CN" w:bidi="ar-SA"/>
        </w:rPr>
      </w:pPr>
      <w:bookmarkStart w:id="21" w:name="_Toc456291469"/>
      <w:bookmarkStart w:id="22" w:name="_Toc456291250"/>
      <w:bookmarkStart w:id="23" w:name="_Toc456291344"/>
      <w:bookmarkStart w:id="24" w:name="_Toc456291155"/>
      <w:bookmarkStart w:id="25" w:name="_Toc456291270"/>
      <w:bookmarkStart w:id="26" w:name="_Toc529628440"/>
      <w:bookmarkStart w:id="27" w:name="_Toc456291527"/>
      <w:r>
        <w:rPr>
          <w:rFonts w:hint="eastAsia" w:ascii="宋体" w:hAnsi="宋体" w:eastAsia="宋体" w:cs="宋体"/>
          <w:b/>
          <w:bCs/>
          <w:color w:val="auto"/>
          <w:kern w:val="2"/>
          <w:sz w:val="21"/>
          <w:szCs w:val="21"/>
          <w:highlight w:val="none"/>
          <w:lang w:val="en-US" w:eastAsia="zh-CN" w:bidi="ar-SA"/>
        </w:rPr>
        <w:t>二、竞争性磋商响应文件的编制</w:t>
      </w:r>
      <w:bookmarkEnd w:id="21"/>
      <w:bookmarkEnd w:id="22"/>
      <w:bookmarkEnd w:id="23"/>
      <w:bookmarkEnd w:id="24"/>
      <w:bookmarkEnd w:id="25"/>
      <w:bookmarkEnd w:id="26"/>
      <w:bookmarkEnd w:id="27"/>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竞争性磋商响应文件编制基本要求</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6.1磋商供应商提交的竞争性磋商响应文件以及磋商供应商与采购代理机构和采购人就有关磋商的所有来往函电均应使用中文。磋商供应商提交的支持文件和印刷的文献可以使用别的语言，但其相应内容必须附有中文翻译文本，在解释竞争性磋商响应文件时以翻译文本为主。</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6.2磋商供应商应认真阅读、并充分理解本文件的全部内容（包括所有的补充、修改内容），承诺并履行本文件中各项条款规定及要求。</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6.3竞争性磋商响应文件必须按本文件的全部内容，包括所有的补充通知及附件进行编制。</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6.4如因磋商供应商只填写和提供了本文件要求的部分内容和附件，而给评审造成困难，其可能导致的结果和责任由磋商供应商自行承担。</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竞争性磋商响应文件的组成</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竞争性磋商响应文件应分为“商务文件”和“技术文件”两个部分组成。</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7.1商务文件(详见第六章商务文件组成)</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7.2技术文件(详见第六章技术文件组成)</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竞争性磋商响应文件的编制</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8.1磋商响应文件的编制</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1）响应文件制作时，应按照统一的“</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制作工具”和磋商文件中明确的响应文件目录和投标技术规格、参数及相关要求格式进行编制，保证目录清晰、内容完整。</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2）磋商响应文件各类证件须与磋商供应商注册登记资料相一致；</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3）磋商现场提交正本和副本，电子光盘，当副本和正本不一致时，以上传至</w:t>
      </w:r>
      <w:r>
        <w:rPr>
          <w:rFonts w:hint="eastAsia" w:ascii="宋体" w:hAnsi="宋体" w:cs="宋体"/>
          <w:color w:val="auto"/>
          <w:kern w:val="2"/>
          <w:sz w:val="21"/>
          <w:szCs w:val="21"/>
          <w:highlight w:val="none"/>
          <w:lang w:val="en-US" w:eastAsia="zh-CN" w:bidi="ar-SA"/>
        </w:rPr>
        <w:t>政采云平台</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http://www.ccgp-xinjiang.gov.cn/</w:t>
      </w:r>
      <w:r>
        <w:rPr>
          <w:rFonts w:hint="eastAsia" w:ascii="宋体" w:hAnsi="宋体" w:eastAsia="宋体" w:cs="宋体"/>
          <w:color w:val="auto"/>
          <w:kern w:val="2"/>
          <w:sz w:val="21"/>
          <w:szCs w:val="21"/>
          <w:highlight w:val="none"/>
          <w:lang w:val="en-US" w:eastAsia="zh-CN" w:bidi="ar-SA"/>
        </w:rPr>
        <w:t xml:space="preserve">）为准。 </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4）磋商文件以及磋商响应文件具有法律效力,与其他形式的磋商文件以及磋商响应文件在内容和格式上等同，若磋商响应文件与磋商文件要求不一致，其内容影响成交结果时，责任由磋商供应商自行承担。 </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计量单位</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8.1除技术要求中另有规定外，本文件所要求使用的计量单位均应采用国家法定计量单位。</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 磋商保证金</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9.1本项目磋商保证金收取详见供应商须知前附表，磋商保证金应在磋商有效期内有效。</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9.2磋商供应商应在磋商截止时间之前，通过会员信息库中备案的企业银行基本账户，将所规定数额的保证金以转账或电汇方式缴纳至该项目所对应的保证金收取账号内（不接受现金缴纳）。保证金缴纳时间以该项目所对应的保证金收取帐号中显示的到帐时间为准。</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9.3对于未能按要求提交磋商保证金的，将视为未响应磋商文件的要求，其磋商响应文件无效。</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9.4递交磋商响应文件时，磋商供应商应在磋商响应文件中附有磋商保证金缴纳凭证。</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9.5未成交的磋商供应商，其磋商保证金在成交公告公布后5个工作日内，按照磋商保证金的来款渠道原额原路退还至磋商供应商缴纳保证金的企业银行账户内；如有质疑或投诉，采购代理机构将在质疑和投诉处理完毕后5个工作日内，按照磋商保证金的来款渠道原额原路退还至磋商供应商缴纳保证金的企业银行账户内。</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9.6成交供应商的磋商保证金,在成交供应商与采购人签订合同，并将合同副本报采购代理机构复核备案后5个工作日内，按照磋商保证金的来款渠道原额原路退还至磋商供应商缴纳保证金的企业银行账户内。</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9.7有下列情形之一的，磋商保证金将被没收：</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（1）供应商在提交响应文件截止时间后撤回响应文件的；</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（2）供应商在提交响应文件中提供虚假材料的；</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（3）初因不可抗力或磋商文件、询价通知书认可的情形以外，成交供应商不与采购人签订合同的；</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（4）供应商与采购人、其他供应商或者采购代理机构恶意串通的；</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（5）采购文件规定的其他情形。 </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 磋商的有效期</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10.1磋商有效期详见供应商须知前附表。磋商供应商磋商有效期不足的将被视为无效磋商。</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10.2特殊情况下，在原磋商有效期截止之前，采购代理机构或采购人可要求磋商供应商延长磋商有效期。这种要求与答复均应以书面形式提交。磋商供应商可拒绝采购代理机构或采购人的这种要求，其磋商保证金将不会被没收，但其磋商在原磋商有效期期满后将不再有效。同意延长磋商有效期的磋商供应商将会被要求相应地延长其磋商保证金的有效期。在这种情况下，本须知第9条有关磋商保证金的退还和没收的规定将在延长了的有效期内继续有效。</w:t>
      </w:r>
    </w:p>
    <w:p>
      <w:pPr>
        <w:pStyle w:val="82"/>
        <w:keepNext/>
        <w:keepLines/>
        <w:pageBreakBefore w:val="0"/>
        <w:widowControl w:val="0"/>
        <w:kinsoku/>
        <w:wordWrap/>
        <w:overflowPunct/>
        <w:topLinePunct w:val="0"/>
        <w:autoSpaceDE/>
        <w:autoSpaceDN/>
        <w:bidi w:val="0"/>
        <w:adjustRightInd/>
        <w:snapToGrid/>
        <w:spacing w:line="360" w:lineRule="auto"/>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bookmarkStart w:id="28" w:name="_Toc529628441"/>
      <w:bookmarkStart w:id="29" w:name="_Toc456291528"/>
      <w:bookmarkStart w:id="30" w:name="_Toc14626"/>
      <w:bookmarkStart w:id="31" w:name="_Toc456291345"/>
      <w:bookmarkStart w:id="32" w:name="_Toc456291271"/>
      <w:bookmarkStart w:id="33" w:name="_Toc10456"/>
      <w:bookmarkStart w:id="34" w:name="_Toc456291156"/>
      <w:bookmarkStart w:id="35" w:name="_Toc456291251"/>
      <w:bookmarkStart w:id="36" w:name="_Toc456291470"/>
      <w:bookmarkStart w:id="37" w:name="_Toc8540"/>
      <w:bookmarkStart w:id="38" w:name="_Toc32539"/>
      <w:r>
        <w:rPr>
          <w:rFonts w:hint="eastAsia" w:ascii="宋体" w:hAnsi="宋体" w:eastAsia="宋体" w:cs="宋体"/>
          <w:b/>
          <w:bCs/>
          <w:color w:val="auto"/>
          <w:kern w:val="2"/>
          <w:sz w:val="21"/>
          <w:szCs w:val="21"/>
          <w:highlight w:val="none"/>
          <w:lang w:val="en-US" w:eastAsia="zh-CN" w:bidi="ar-SA"/>
        </w:rPr>
        <w:t>三、磋商报价要求</w:t>
      </w:r>
      <w:bookmarkEnd w:id="28"/>
      <w:bookmarkEnd w:id="29"/>
      <w:bookmarkEnd w:id="30"/>
      <w:bookmarkEnd w:id="31"/>
      <w:bookmarkEnd w:id="32"/>
      <w:bookmarkEnd w:id="33"/>
      <w:bookmarkEnd w:id="34"/>
      <w:bookmarkEnd w:id="35"/>
      <w:bookmarkEnd w:id="36"/>
      <w:bookmarkEnd w:id="37"/>
      <w:bookmarkEnd w:id="38"/>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11.1磋商供应商所提供的货物和服务均以人民币报价。</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11.2磋商总报价应是本项目范围内全部内容的价格体现,包括货款、包装费、运杂费、安装测试费、技术培训费、售后服务、税金、利润等各种应有费用。</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11.3对于本文件中未列明，而磋商供应商认为必需的费用也需列入总报价。在合同实施时，采购人将不予支付成交供应商没有列入的项目费用，并认为此项目的费用已包括在总报价中。</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11.4磋商报价最低价不是保证中标的唯一要求。</w:t>
      </w:r>
    </w:p>
    <w:p>
      <w:pPr>
        <w:pStyle w:val="82"/>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kern w:val="2"/>
          <w:sz w:val="21"/>
          <w:szCs w:val="21"/>
          <w:highlight w:val="none"/>
          <w:lang w:val="en-US" w:eastAsia="zh-CN" w:bidi="ar-SA"/>
        </w:rPr>
      </w:pPr>
      <w:bookmarkStart w:id="39" w:name="_Toc456291471"/>
      <w:bookmarkStart w:id="40" w:name="_Toc456291529"/>
      <w:bookmarkStart w:id="41" w:name="_Toc456291157"/>
      <w:bookmarkStart w:id="42" w:name="_Toc456291272"/>
      <w:bookmarkStart w:id="43" w:name="_Toc456291346"/>
      <w:bookmarkStart w:id="44" w:name="_Toc456291252"/>
      <w:bookmarkStart w:id="45" w:name="_Toc529628442"/>
      <w:r>
        <w:rPr>
          <w:rFonts w:hint="eastAsia" w:ascii="宋体" w:hAnsi="宋体" w:eastAsia="宋体" w:cs="宋体"/>
          <w:b/>
          <w:bCs/>
          <w:color w:val="auto"/>
          <w:kern w:val="2"/>
          <w:sz w:val="21"/>
          <w:szCs w:val="21"/>
          <w:highlight w:val="none"/>
          <w:lang w:val="en-US" w:eastAsia="zh-CN" w:bidi="ar-SA"/>
        </w:rPr>
        <w:t>四、竞争性磋商响应文件的份数、封装和递交</w:t>
      </w:r>
      <w:bookmarkEnd w:id="39"/>
      <w:bookmarkEnd w:id="40"/>
      <w:bookmarkEnd w:id="41"/>
      <w:bookmarkEnd w:id="42"/>
      <w:bookmarkEnd w:id="43"/>
      <w:bookmarkEnd w:id="44"/>
      <w:bookmarkEnd w:id="45"/>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bookmarkStart w:id="46" w:name="_Toc519111264"/>
      <w:bookmarkStart w:id="47" w:name="_Toc256000008"/>
      <w:r>
        <w:rPr>
          <w:rFonts w:hint="eastAsia" w:ascii="宋体" w:hAnsi="宋体" w:eastAsia="宋体" w:cs="宋体"/>
          <w:color w:val="auto"/>
          <w:kern w:val="2"/>
          <w:sz w:val="21"/>
          <w:szCs w:val="21"/>
          <w:highlight w:val="none"/>
          <w:lang w:val="en-US" w:eastAsia="zh-CN" w:bidi="ar-SA"/>
        </w:rPr>
        <w:t>12、响应文件的递交</w:t>
      </w:r>
      <w:bookmarkEnd w:id="46"/>
      <w:bookmarkEnd w:id="47"/>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12.响应文件的密封和标记</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12.1供应商应通过电子响应文件制作工具严格按招标文件要求制作响应文件，在投标截止时间前完成上传经过数字证书电子签章并加密的响应文件（加密和解密须用同一把数字证书）。供应商在投标截止时间前，可以对其所递交的响应文件进行修改并重新上传，但以投标截止时间前最后一次上传的响应文件为有效响应文件。投标截止时间以新疆政府采购网显示的时间为准，逾期系统将自动关闭，未完成上传的响应文件视为逾期送达，将被拒绝。</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12.2是否采用不见面开标方式详见供应商须知前附表，若本项目采用不见面开标，无需提供电子响应文件U盘、纸质响应文件。</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 磋商响应文件的递交</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供应商应在磋商文件规定的响应文件递交截止时间前递交响应文件及光盘。逾期送达的，或者未送达指定地点，以及未按指定方式送达的响应文件光盘，采购单位不予受理。</w:t>
      </w:r>
    </w:p>
    <w:p>
      <w:pPr>
        <w:pStyle w:val="82"/>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14.迟交的竞争性磋商响应文件</w:t>
      </w:r>
    </w:p>
    <w:p>
      <w:pPr>
        <w:pStyle w:val="83"/>
        <w:pageBreakBefore w:val="0"/>
        <w:widowControl w:val="0"/>
        <w:numPr>
          <w:ilvl w:val="0"/>
          <w:numId w:val="0"/>
        </w:numPr>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采购单位将拒绝并退回在规定的响应文件递交截止期后送达的任何响应文件。</w:t>
      </w:r>
    </w:p>
    <w:p>
      <w:pPr>
        <w:pStyle w:val="83"/>
        <w:pageBreakBefore w:val="0"/>
        <w:widowControl w:val="0"/>
        <w:numPr>
          <w:ilvl w:val="0"/>
          <w:numId w:val="0"/>
        </w:numPr>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15.响应文件的修改和撤回</w:t>
      </w:r>
    </w:p>
    <w:p>
      <w:pPr>
        <w:pStyle w:val="83"/>
        <w:pageBreakBefore w:val="0"/>
        <w:widowControl w:val="0"/>
        <w:numPr>
          <w:ilvl w:val="0"/>
          <w:numId w:val="0"/>
        </w:numPr>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15.1供应商在递交响应文件后，可以修改或撤回其投标，但这种修改和撤回，必须在规定的投标截止时间前。在投标截止时间后，供应商不得要求修改或撤回其响应文件。</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15.2供应商所提交的响应文件在评审结束后，无论中标与否都不退还。</w:t>
      </w:r>
    </w:p>
    <w:p>
      <w:pPr>
        <w:pStyle w:val="162"/>
        <w:pageBreakBefore w:val="0"/>
        <w:widowControl w:val="0"/>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color w:val="auto"/>
          <w:kern w:val="2"/>
          <w:sz w:val="21"/>
          <w:szCs w:val="21"/>
          <w:highlight w:val="none"/>
          <w:lang w:val="en-US" w:eastAsia="zh-CN" w:bidi="ar-SA"/>
        </w:rPr>
      </w:pPr>
      <w:bookmarkStart w:id="48" w:name="_Toc519111265"/>
      <w:bookmarkStart w:id="49" w:name="_Toc256000009"/>
      <w:bookmarkStart w:id="50" w:name="_Toc456291530"/>
      <w:bookmarkStart w:id="51" w:name="_Toc456291253"/>
      <w:bookmarkStart w:id="52" w:name="_Toc456291158"/>
      <w:bookmarkStart w:id="53" w:name="_Toc456291347"/>
      <w:bookmarkStart w:id="54" w:name="_Toc456291273"/>
      <w:bookmarkStart w:id="55" w:name="_Toc456291472"/>
      <w:bookmarkStart w:id="56" w:name="_Toc529628443"/>
      <w:r>
        <w:rPr>
          <w:rFonts w:hint="eastAsia" w:ascii="宋体" w:hAnsi="宋体" w:eastAsia="宋体" w:cs="宋体"/>
          <w:b/>
          <w:bCs/>
          <w:color w:val="auto"/>
          <w:kern w:val="2"/>
          <w:sz w:val="21"/>
          <w:szCs w:val="21"/>
          <w:highlight w:val="none"/>
          <w:lang w:val="en-US" w:eastAsia="zh-CN" w:bidi="ar-SA"/>
        </w:rPr>
        <w:t>五、开标</w:t>
      </w:r>
      <w:bookmarkEnd w:id="48"/>
      <w:bookmarkEnd w:id="49"/>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16.开标</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A．采用见面开标方式</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16.1采购代理机构按照招标文件规定的时间、地点主持开标。</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法定代表人或授权代理人应携带身份证明、电子密钥（电子证书）、未加密的电子</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（用信封密封）及应当提交的其他资料参加开标并签到。</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16.2开标前，采购代理机构将会同监督人员或公证人员进行验标（检查网上招标系统正常与否，检查未加密的电子</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，检查</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保证金交纳情况），确认无误后开标。开标时，各</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应对本单位的加密的电子</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现场解密，采购代理机构工作人员在监督人员或公证人员监督下解密所有</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因网上招标系统故障导致所有</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均解密失败时，</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使用未加密的电子</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进行开评标。</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16.3开标时，采购代理机构将通过网上开标系统公布</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名称、投标价格，以及采购代理机构认为合适的其它详细内容。</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若有报价和优惠未被唱出，应在开标时及时声明或提请注意，否则采购代理机构对此不承担任何责任。</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16.4在评审结束前，未得到采购代理机构允许，</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法定代表人或授权代理人不得离开开标现场。</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16.5公证员对开标过程进行全程公证。</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B．采用不见面开标方式</w:t>
      </w:r>
      <w:r>
        <w:rPr>
          <w:rFonts w:hint="eastAsia" w:ascii="宋体" w:hAnsi="宋体" w:eastAsia="宋体" w:cs="宋体"/>
          <w:b/>
          <w:bCs/>
          <w:color w:val="auto"/>
          <w:kern w:val="2"/>
          <w:sz w:val="21"/>
          <w:szCs w:val="21"/>
          <w:highlight w:val="none"/>
          <w:lang w:val="en-US" w:eastAsia="zh-CN" w:bidi="ar-SA"/>
        </w:rPr>
        <w:t>（</w:t>
      </w:r>
      <w:r>
        <w:rPr>
          <w:rFonts w:hint="eastAsia" w:ascii="宋体" w:hAnsi="宋体" w:cs="宋体"/>
          <w:b/>
          <w:bCs/>
          <w:color w:val="auto"/>
          <w:kern w:val="2"/>
          <w:sz w:val="21"/>
          <w:szCs w:val="21"/>
          <w:highlight w:val="none"/>
          <w:lang w:val="en-US" w:eastAsia="zh-CN" w:bidi="ar-SA"/>
        </w:rPr>
        <w:t>本项目采用此方式</w:t>
      </w:r>
      <w:r>
        <w:rPr>
          <w:rFonts w:hint="eastAsia" w:ascii="宋体" w:hAnsi="宋体" w:eastAsia="宋体" w:cs="宋体"/>
          <w:b/>
          <w:bCs/>
          <w:color w:val="auto"/>
          <w:kern w:val="2"/>
          <w:sz w:val="21"/>
          <w:szCs w:val="21"/>
          <w:highlight w:val="none"/>
          <w:lang w:val="en-US" w:eastAsia="zh-CN" w:bidi="ar-SA"/>
        </w:rPr>
        <w:t>）</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招标人在规定的投标截止时间（开标时间）和</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须知前附表规定的地点开标。</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的法定代表人或其委托代理人无需到达开标现场，仅需在任意地点通过</w:t>
      </w:r>
      <w:r>
        <w:rPr>
          <w:rFonts w:hint="eastAsia" w:ascii="宋体" w:hAnsi="宋体" w:cs="宋体"/>
          <w:color w:val="auto"/>
          <w:kern w:val="2"/>
          <w:sz w:val="21"/>
          <w:szCs w:val="21"/>
          <w:highlight w:val="none"/>
          <w:lang w:val="en-US" w:eastAsia="zh-CN" w:bidi="ar-SA"/>
        </w:rPr>
        <w:t>新疆政府采购网</w:t>
      </w:r>
      <w:r>
        <w:rPr>
          <w:rFonts w:hint="eastAsia" w:ascii="宋体" w:hAnsi="宋体" w:eastAsia="宋体" w:cs="宋体"/>
          <w:color w:val="auto"/>
          <w:kern w:val="2"/>
          <w:sz w:val="21"/>
          <w:szCs w:val="21"/>
          <w:highlight w:val="none"/>
          <w:lang w:val="en-US" w:eastAsia="zh-CN" w:bidi="ar-SA"/>
        </w:rPr>
        <w:t>不见面开标系统，使用数字证书密钥完成远程解密、提疑澄清、开标唱标、结果公布等交互环节。</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法定代表人或法定代表人授权委托人参与远程交互，中途不得更换，在废标、澄清、提疑、传送文件等特殊情况下需要交互时，</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一端参与交互的人员将均被视为是</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的授权委托人或法人代表，</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不得以不承认交互人员的资格或身份等为借口推脱，</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自行承担随意更换人员所导致的一切后果。</w:t>
      </w:r>
      <w:bookmarkStart w:id="57" w:name="EBb17281e08e8340a69177c9fa0288fc67"/>
      <w:r>
        <w:rPr>
          <w:rFonts w:hint="eastAsia" w:ascii="宋体" w:hAnsi="宋体" w:eastAsia="宋体" w:cs="宋体"/>
          <w:color w:val="auto"/>
          <w:kern w:val="2"/>
          <w:sz w:val="24"/>
          <w:szCs w:val="24"/>
          <w:highlight w:val="none"/>
          <w:lang w:val="en-US" w:eastAsia="zh-CN" w:bidi="ar-SA"/>
        </w:rPr>
        <w:t xml:space="preserve"> </w:t>
      </w:r>
      <w:bookmarkEnd w:id="57"/>
      <w:bookmarkStart w:id="58" w:name="EB7dadd93d7a564c2da135d1ee82c4ad27"/>
      <w:r>
        <w:rPr>
          <w:rFonts w:hint="eastAsia" w:ascii="宋体" w:hAnsi="宋体" w:eastAsia="宋体" w:cs="宋体"/>
          <w:color w:val="auto"/>
          <w:kern w:val="2"/>
          <w:sz w:val="24"/>
          <w:szCs w:val="24"/>
          <w:highlight w:val="none"/>
          <w:lang w:val="en-US" w:eastAsia="zh-CN" w:bidi="ar-SA"/>
        </w:rPr>
        <w:t xml:space="preserve"> </w:t>
      </w:r>
      <w:bookmarkEnd w:id="58"/>
    </w:p>
    <w:p>
      <w:pPr>
        <w:pStyle w:val="162"/>
        <w:pageBreakBefore w:val="0"/>
        <w:widowControl w:val="0"/>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bookmarkStart w:id="59" w:name="_Toc519111266"/>
      <w:bookmarkStart w:id="60" w:name="_Toc256000010"/>
      <w:r>
        <w:rPr>
          <w:rFonts w:hint="eastAsia" w:ascii="宋体" w:hAnsi="宋体" w:cs="宋体"/>
          <w:b/>
          <w:bCs/>
          <w:color w:val="auto"/>
          <w:kern w:val="2"/>
          <w:sz w:val="21"/>
          <w:szCs w:val="21"/>
          <w:highlight w:val="none"/>
          <w:lang w:val="en-US" w:eastAsia="zh-CN" w:bidi="ar-SA"/>
        </w:rPr>
        <w:t>六</w:t>
      </w:r>
      <w:r>
        <w:rPr>
          <w:rFonts w:hint="eastAsia" w:ascii="宋体" w:hAnsi="宋体" w:eastAsia="宋体" w:cs="宋体"/>
          <w:b/>
          <w:bCs/>
          <w:color w:val="auto"/>
          <w:kern w:val="2"/>
          <w:sz w:val="21"/>
          <w:szCs w:val="21"/>
          <w:highlight w:val="none"/>
          <w:lang w:val="en-US" w:eastAsia="zh-CN" w:bidi="ar-SA"/>
        </w:rPr>
        <w:t>、评标步骤和要求</w:t>
      </w:r>
      <w:bookmarkEnd w:id="59"/>
      <w:bookmarkEnd w:id="60"/>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17.组建评标委员会</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17.1采购代理机构根据有关法律法规和本招标文件的规定，结合招标项目的特点组建评标委员会，对</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进行评估和比较。</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17.2参与过本项目的论证专家不得作为评标专家参加评标，采购人不得以专家身份参与评标。</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18、资格审查</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22.1公开招标采购项目开标结束后，采购人或者采购代理机构应当依法对</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的资格进行审查。合格</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不足3家的，不得评标。</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19.初步评审</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19.1评标委员会审查</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 xml:space="preserve">是否符合招标文件的基本要求：内容是否完整、资格证明文件是否合格、文件签署是否齐全、有无计算错误等。 </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19.2评标委员会审查</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是否实质上响应招标文件的要求。</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1）实质上响应的投标是指与招标文件上的条款、条件和规格相符，没有重大偏离或保留，否则将视为无效投标。</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2）重大偏离或保留系指投标货物的质量、数量和交付日期等明显不能满足招标文件的要求，或者实质上与招标文件不一致，纠正这些偏离或保留将对其他实质上响应要求的</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的竞争地位产生不公正的影响。包括但不限于：</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A、招标文件第二部分“</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须知前附表”第6条“</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组成”部分中，带“☆”号部分的证明文件不全或无效的；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B、</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未按招标文件的规定签章的；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C、未按</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份数要求提交</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D、招标文件带“☆”号部分任意一款不满足要求的；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E、报价超过项目预算或经评标委员会认定低于成本的；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F、投标有效期不足的；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G、联合体</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未附联合体投标协议书的；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H、不符合招标文件中有关分包规定的；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I、有串通投标或弄虚作假或有其他违法行为的；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J、</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递交的电子</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（加密电子</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和未加密电子</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）均无法满足正常开标、评标使用功能的；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K、</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名称或组织结构与领取采购文件时不一致且无有效变更证明的；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L、不符合招标文件中规定的其他实质性要求。</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19.3</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的细微偏差是指在实质上响应招标文件要求，但在个别地方存在漏项或者提供了不完整的技术信息和数据等情况，并且补正这些遗漏或者不完整，不会对其他</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造成不公正的结果。细微偏差不影响</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的有效性。</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19.4初步评审中，对明显的文字和计算错误按下述原则处理，若出现相互矛盾之处，应以排列在先的原则为准优先处理：        </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中的开标一览表与明细表内容不一致的，以开标一览表为准。</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2）如果以文字表示的数据与数字表示的有差别，以文字为准修正数字。如果大写金额和小写金额不一致的，以大写金额为准；</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3）如果单价乘以数量不等于总价，以单价为准修正总价，但单价金额小数点有明显错位的，应以总价为准，并修改单价。如果明细价格相加不等于汇总价格，以明细价格为准。</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4）调整后的数据对</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具有约束力，</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不同意以上修正，其投标将被拒绝。</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23.5评标委员会对</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的判定，只依据</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内容本身，不依据其他外来证明。</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20.投标的澄清</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20.1评标委员会有权要求</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对</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中含义不明确、对同类问题表述不一致或者有明显文字和计算错误等内容作必要的澄清、说明或者补正。该要求应当采用不见面开标大厅网上询标形式。评标委员会不接受</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主动提出的澄清、说明或者补正。</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20.2</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必须按照评标委员会通知的内容和时间做出网上答复，该答复经法定代表人或授权代理人的签字认可，将作为</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内容的一部分。澄清、说明或者补正不得超出</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的范围或者改变</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的实质性内容。</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拒不按照要求对</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进行澄清、说明或者补正的，评标委员会可拒绝该投标。</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20.3如评标委员会一致认为某个</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的报价明显不合理，有降低质量、不能诚信履行的可能时，评标委员会有权决定是否通知</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限期进行书面解释或提供相关证明材料。若已要求，而该</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在规定期限内未做出解释、作出的解释不合理或不能提供证明材料的，经评标委员会取得一致意见后，可拒绝该投标。</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20.4公开招标采购项目开标结束后，采购人或者采购代理机构应当依法对</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的资格进行审查。合格</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不足3家的，不得评标。</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21.详细评审</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21.1评标委员会只对实质上响应招标文件的投标进行评价和比较；评审应严格按照招标文件第二部分“</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须知前附表”中第22项规定以及招标文件的要求进行。具体要求等详见招标文件第五部分“评审方法”。</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21.2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pPr>
        <w:pStyle w:val="162"/>
        <w:pageBreakBefore w:val="0"/>
        <w:widowControl w:val="0"/>
        <w:kinsoku/>
        <w:wordWrap/>
        <w:overflowPunct/>
        <w:topLinePunct w:val="0"/>
        <w:autoSpaceDE/>
        <w:autoSpaceDN/>
        <w:bidi w:val="0"/>
        <w:adjustRightInd/>
        <w:snapToGrid/>
        <w:spacing w:line="360" w:lineRule="auto"/>
        <w:ind w:left="0" w:leftChars="0" w:firstLine="422" w:firstLineChars="200"/>
        <w:jc w:val="left"/>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七、中标（成交）</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22.确定中标</w:t>
      </w:r>
      <w:r>
        <w:rPr>
          <w:rFonts w:hint="eastAsia" w:ascii="宋体" w:hAnsi="宋体" w:cs="宋体"/>
          <w:color w:val="auto"/>
          <w:kern w:val="2"/>
          <w:sz w:val="21"/>
          <w:szCs w:val="21"/>
          <w:highlight w:val="none"/>
          <w:lang w:val="en-US" w:eastAsia="zh-CN" w:bidi="ar-SA"/>
        </w:rPr>
        <w:t>（成交）</w:t>
      </w:r>
      <w:r>
        <w:rPr>
          <w:rFonts w:hint="eastAsia" w:ascii="宋体" w:hAnsi="宋体" w:eastAsia="宋体" w:cs="宋体"/>
          <w:color w:val="auto"/>
          <w:kern w:val="2"/>
          <w:sz w:val="21"/>
          <w:szCs w:val="21"/>
          <w:highlight w:val="none"/>
          <w:lang w:val="en-US" w:eastAsia="zh-CN" w:bidi="ar-SA"/>
        </w:rPr>
        <w:t>人</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22.1使用综合评分法的采购项目，提供相同品牌产品且通过资格审查、符合性审查的不同</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参加同一合同项下投标的，按一家</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计算，评审后得分最高的同品牌</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获得中标人推荐资格；评审得分相同的，由采购人或者采购人委托评标委员会按照招标文件规定的方式确定一个</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获得中标</w:t>
      </w:r>
      <w:r>
        <w:rPr>
          <w:rFonts w:hint="eastAsia" w:ascii="宋体" w:hAnsi="宋体" w:cs="宋体"/>
          <w:color w:val="auto"/>
          <w:kern w:val="2"/>
          <w:sz w:val="21"/>
          <w:szCs w:val="21"/>
          <w:highlight w:val="none"/>
          <w:lang w:val="en-US" w:eastAsia="zh-CN" w:bidi="ar-SA"/>
        </w:rPr>
        <w:t>（成交）</w:t>
      </w:r>
      <w:r>
        <w:rPr>
          <w:rFonts w:hint="eastAsia" w:ascii="宋体" w:hAnsi="宋体" w:eastAsia="宋体" w:cs="宋体"/>
          <w:color w:val="auto"/>
          <w:kern w:val="2"/>
          <w:sz w:val="21"/>
          <w:szCs w:val="21"/>
          <w:highlight w:val="none"/>
          <w:lang w:val="en-US" w:eastAsia="zh-CN" w:bidi="ar-SA"/>
        </w:rPr>
        <w:t>人推荐资格，招标文件未规定的采取随机抽取方式确定，其他同品牌</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不作为中标</w:t>
      </w:r>
      <w:r>
        <w:rPr>
          <w:rFonts w:hint="eastAsia" w:ascii="宋体" w:hAnsi="宋体" w:cs="宋体"/>
          <w:color w:val="auto"/>
          <w:kern w:val="2"/>
          <w:sz w:val="21"/>
          <w:szCs w:val="21"/>
          <w:highlight w:val="none"/>
          <w:lang w:val="en-US" w:eastAsia="zh-CN" w:bidi="ar-SA"/>
        </w:rPr>
        <w:t>（成交）</w:t>
      </w:r>
      <w:r>
        <w:rPr>
          <w:rFonts w:hint="eastAsia" w:ascii="宋体" w:hAnsi="宋体" w:eastAsia="宋体" w:cs="宋体"/>
          <w:color w:val="auto"/>
          <w:kern w:val="2"/>
          <w:sz w:val="21"/>
          <w:szCs w:val="21"/>
          <w:highlight w:val="none"/>
          <w:lang w:val="en-US" w:eastAsia="zh-CN" w:bidi="ar-SA"/>
        </w:rPr>
        <w:t>候选人。</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22.2 评标委员会根据评审结果及招标文件的规定确定中标</w:t>
      </w:r>
      <w:r>
        <w:rPr>
          <w:rFonts w:hint="eastAsia" w:ascii="宋体" w:hAnsi="宋体" w:cs="宋体"/>
          <w:color w:val="auto"/>
          <w:kern w:val="2"/>
          <w:sz w:val="21"/>
          <w:szCs w:val="21"/>
          <w:highlight w:val="none"/>
          <w:lang w:val="en-US" w:eastAsia="zh-CN" w:bidi="ar-SA"/>
        </w:rPr>
        <w:t>（成交）</w:t>
      </w:r>
      <w:r>
        <w:rPr>
          <w:rFonts w:hint="eastAsia" w:ascii="宋体" w:hAnsi="宋体" w:eastAsia="宋体" w:cs="宋体"/>
          <w:color w:val="auto"/>
          <w:kern w:val="2"/>
          <w:sz w:val="21"/>
          <w:szCs w:val="21"/>
          <w:highlight w:val="none"/>
          <w:lang w:val="en-US" w:eastAsia="zh-CN" w:bidi="ar-SA"/>
        </w:rPr>
        <w:t>人。</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23.评标过程要求</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23.1开标之后，直到签订合同止，凡是属于审查、澄清、评价和比较投标的有关资料以及定标意向等，均不向</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或者其他与评标无关的人员透露。</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23.2在确定中标人之前，</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试图在</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审查、澄清、比较和评标时对评标委员会、采购人和采购代理机构施加任何影响都可能导致其投标无效。</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23.3电子招投标的应急措施</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23.3.1电子开标、评标如出现下列原因，导致系统无法正常运行或无法正常评标时，应采取应急措施。</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（1）系统服务器发生故障，无法访问或无法使用系统；</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（2）系统的软件或数据库出现错误，不能进行正常操作；</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（3）系统发现有安全漏洞，有潜在的泄密危险；</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（4）病毒发作或受到外来病毒的攻击；</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（5）出现其他不可抗拒的客观原因造成开评标系统无法正常使用。</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出现上述情况时，应对未开标的暂停开标。已在系统内开标、评标的立即停止。采取应急措施时，必须对原有资料及信息作出妥善保密处理。</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23.3.2因系统原因导致</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均无法解密电子</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时，采购代理机构可在开标现场直接导入</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在投标截止时间前递交的未加密的电子</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进行开标、评标。</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24.</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瑕疵滞后发现的处理规则</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24.1无论基于何种原因，各项本应作拒绝处理的情形即便未被及时发现而使该</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进入初审、综合评审或其他后续程序，包括已经签订合同的情形，一旦</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被拒绝或该</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的此前评议结果被取消，其现有的位置将被其他</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依序替代，相关的一切损失均由该</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承担。</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25.采购项目废标</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25.1在评标过程中，评标委员会发现有下列情形之一的，应对采购项目予以废标：</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1）符合专业条件的供应商或者对招标文件作实质响应的供应商数量不足，导致进入详细评审、打分阶段的供应商不足3家的； </w:t>
      </w:r>
    </w:p>
    <w:p>
      <w:pPr>
        <w:pStyle w:val="162"/>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的报价均超过了采购预算；</w:t>
      </w:r>
    </w:p>
    <w:p>
      <w:pPr>
        <w:pStyle w:val="162"/>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3）出现影响采购公正的违法、违规行为的；</w:t>
      </w:r>
    </w:p>
    <w:p>
      <w:pPr>
        <w:pStyle w:val="162"/>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4）因重大变故，采购任务取消的。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29.2</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存在下列情况之一的,投标无效；</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(一)未按照招标文件的规定提交投标保证金的；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未按招标文件要求签署、盖章的；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(三)不具备招标文件中规定的资格要求的；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(四)报价超过招标文件中规定的预算金额或者最高限价的；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(五)</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含有采购人不能接受的附加条件的；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(六)法律、法规和招标文件规定的其他无效情形；</w:t>
      </w:r>
    </w:p>
    <w:p>
      <w:pPr>
        <w:pStyle w:val="162"/>
        <w:pageBreakBefore w:val="0"/>
        <w:widowControl w:val="0"/>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bookmarkStart w:id="61" w:name="_Toc256000011"/>
      <w:bookmarkStart w:id="62" w:name="_Toc519111267"/>
      <w:r>
        <w:rPr>
          <w:rFonts w:hint="eastAsia" w:ascii="宋体" w:hAnsi="宋体" w:eastAsia="宋体" w:cs="宋体"/>
          <w:b/>
          <w:bCs/>
          <w:color w:val="auto"/>
          <w:kern w:val="2"/>
          <w:sz w:val="21"/>
          <w:szCs w:val="21"/>
          <w:highlight w:val="none"/>
          <w:lang w:val="en-US" w:eastAsia="zh-CN" w:bidi="ar-SA"/>
        </w:rPr>
        <w:t>八、履约保证金</w:t>
      </w:r>
      <w:bookmarkEnd w:id="61"/>
      <w:bookmarkEnd w:id="62"/>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26.履约保证金</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26.1履约保证金按照招标文件第二部分“</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须知前附表”中第23项规定，在签订合同前交纳。</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26.2中标人在中标公告发布后及时足额交纳履约保证金。</w:t>
      </w:r>
      <w:bookmarkStart w:id="63" w:name="EB7370d285b276481f868774732930cd2f"/>
      <w:r>
        <w:rPr>
          <w:rFonts w:hint="eastAsia" w:ascii="宋体" w:hAnsi="宋体" w:eastAsia="宋体" w:cs="宋体"/>
          <w:color w:val="auto"/>
          <w:kern w:val="2"/>
          <w:sz w:val="24"/>
          <w:szCs w:val="24"/>
          <w:highlight w:val="none"/>
          <w:lang w:val="en-US" w:eastAsia="zh-CN" w:bidi="ar-SA"/>
        </w:rPr>
        <w:t xml:space="preserve"> </w:t>
      </w:r>
      <w:bookmarkEnd w:id="63"/>
      <w:bookmarkStart w:id="64" w:name="EBfdb2486223e74b778d63b1ded8d27ae7"/>
      <w:r>
        <w:rPr>
          <w:rFonts w:hint="eastAsia" w:ascii="宋体" w:hAnsi="宋体" w:eastAsia="宋体" w:cs="宋体"/>
          <w:color w:val="auto"/>
          <w:kern w:val="2"/>
          <w:sz w:val="24"/>
          <w:szCs w:val="24"/>
          <w:highlight w:val="none"/>
          <w:lang w:val="en-US" w:eastAsia="zh-CN" w:bidi="ar-SA"/>
        </w:rPr>
        <w:t xml:space="preserve"> </w:t>
      </w:r>
      <w:bookmarkEnd w:id="64"/>
      <w:bookmarkStart w:id="65" w:name="EB083471dead2545f9b38e3247d415dd16"/>
      <w:r>
        <w:rPr>
          <w:rFonts w:hint="eastAsia" w:ascii="宋体" w:hAnsi="宋体" w:eastAsia="宋体" w:cs="宋体"/>
          <w:color w:val="auto"/>
          <w:kern w:val="2"/>
          <w:sz w:val="24"/>
          <w:szCs w:val="24"/>
          <w:highlight w:val="none"/>
          <w:lang w:val="en-US" w:eastAsia="zh-CN" w:bidi="ar-SA"/>
        </w:rPr>
        <w:t xml:space="preserve"> </w:t>
      </w:r>
      <w:bookmarkEnd w:id="65"/>
    </w:p>
    <w:p>
      <w:pPr>
        <w:pStyle w:val="162"/>
        <w:pageBreakBefore w:val="0"/>
        <w:widowControl w:val="0"/>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bookmarkStart w:id="66" w:name="_Toc256000012"/>
      <w:bookmarkStart w:id="67" w:name="_Toc519111268"/>
      <w:r>
        <w:rPr>
          <w:rFonts w:hint="eastAsia" w:ascii="宋体" w:hAnsi="宋体" w:eastAsia="宋体" w:cs="宋体"/>
          <w:b/>
          <w:bCs/>
          <w:color w:val="auto"/>
          <w:kern w:val="2"/>
          <w:sz w:val="21"/>
          <w:szCs w:val="21"/>
          <w:highlight w:val="none"/>
          <w:lang w:val="en-US" w:eastAsia="zh-CN" w:bidi="ar-SA"/>
        </w:rPr>
        <w:t>九、代理服务费</w:t>
      </w:r>
      <w:bookmarkEnd w:id="66"/>
      <w:bookmarkEnd w:id="67"/>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27.代理服务费</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27.1代理服务费按照招标文件第二部分“</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须知前附表”中第16项的规定由中标人交纳，请</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在测算投标报价时充分考虑这一因素。</w:t>
      </w:r>
      <w:bookmarkStart w:id="68" w:name="EBb901cf6a467447d89fdcb9a3592c3316"/>
      <w:r>
        <w:rPr>
          <w:rFonts w:hint="eastAsia" w:ascii="宋体" w:hAnsi="宋体" w:eastAsia="宋体" w:cs="宋体"/>
          <w:color w:val="auto"/>
          <w:kern w:val="2"/>
          <w:sz w:val="21"/>
          <w:szCs w:val="21"/>
          <w:highlight w:val="none"/>
          <w:lang w:val="en-US" w:eastAsia="zh-CN" w:bidi="ar-SA"/>
        </w:rPr>
        <w:t xml:space="preserve"> </w:t>
      </w:r>
      <w:bookmarkEnd w:id="68"/>
    </w:p>
    <w:p>
      <w:pPr>
        <w:pStyle w:val="162"/>
        <w:pageBreakBefore w:val="0"/>
        <w:widowControl w:val="0"/>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bookmarkStart w:id="69" w:name="_Toc519111269"/>
      <w:r>
        <w:rPr>
          <w:rFonts w:hint="eastAsia" w:ascii="宋体" w:hAnsi="宋体" w:eastAsia="宋体" w:cs="宋体"/>
          <w:b/>
          <w:bCs/>
          <w:color w:val="auto"/>
          <w:kern w:val="2"/>
          <w:sz w:val="21"/>
          <w:szCs w:val="21"/>
          <w:highlight w:val="none"/>
          <w:lang w:val="en-US" w:eastAsia="zh-CN" w:bidi="ar-SA"/>
        </w:rPr>
        <w:t>十、签订、审核合同</w:t>
      </w:r>
      <w:bookmarkEnd w:id="69"/>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28.中标通知</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28.1中标人确定后,采购代理机构将在相关政府采购信息发布媒体上发布中标公告，并以书面形式向中标人发出中标通知书，但该中标结果的有效性不依赖于未中标的</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是否已经收到该通知。中标人应按照上述第23条、24条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28.2采购代理机构对未中标的</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不作未中标原因的解释，但中标结果的有效性不以未中标的</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是否收到相应的通知为前提。</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28.3中标通知书是合同的组成部分。</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29.签订合同</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29.1中标人须在中标通知书发出之日起</w:t>
      </w:r>
      <w:r>
        <w:rPr>
          <w:rFonts w:hint="eastAsia" w:ascii="宋体" w:hAnsi="宋体" w:cs="宋体"/>
          <w:color w:val="auto"/>
          <w:kern w:val="2"/>
          <w:sz w:val="21"/>
          <w:szCs w:val="21"/>
          <w:highlight w:val="none"/>
          <w:lang w:val="en-US" w:eastAsia="zh-CN" w:bidi="ar-SA"/>
        </w:rPr>
        <w:t>30</w:t>
      </w:r>
      <w:r>
        <w:rPr>
          <w:rFonts w:hint="eastAsia" w:ascii="宋体" w:hAnsi="宋体" w:eastAsia="宋体" w:cs="宋体"/>
          <w:color w:val="auto"/>
          <w:kern w:val="2"/>
          <w:sz w:val="21"/>
          <w:szCs w:val="21"/>
          <w:highlight w:val="none"/>
          <w:lang w:val="en-US" w:eastAsia="zh-CN" w:bidi="ar-SA"/>
        </w:rPr>
        <w:t>日内与采购人签订采购合同。</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29.2中标人须按照招标文件、</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及评标过程中的有关澄清、说明或者补正文件的内容与采购人签订合同。中标人不得再与采购人签订背离合同实质性内容的其他协议或声明。</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29.3采购人如需追加与合同标的相同的货物，在不改变合同其他条款的前提下，提交追加合同的申请报经同级财政部门审核后，可与中标人签订补充合同，但所有补充合同的采购金额不得超过原合同金额的百分之十。</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29.4中标人一旦中标及签订合同后，不得转包，亦不得将合同全部及任何权利、义务向第三方转让。</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29.5中标人不履行合同的，采购人可在报经同级人民政府财政部门核准后，与排位在中标人之后的第一位中标候选供应商签订合同，以此类推；或在报经同级人民政府财政部门核准后重新组织采购。</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29.6违反25.1条、25.2条的规定，给对方造成损失的，应承担赔偿责任。</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30.审核合同</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30.1中标人持政府采购合同于签订合同之日起3个工作日内到</w:t>
      </w:r>
      <w:r>
        <w:rPr>
          <w:rFonts w:hint="eastAsia" w:ascii="宋体" w:hAnsi="宋体" w:cs="宋体"/>
          <w:color w:val="auto"/>
          <w:kern w:val="2"/>
          <w:sz w:val="21"/>
          <w:szCs w:val="21"/>
          <w:highlight w:val="none"/>
          <w:lang w:val="en-US" w:eastAsia="zh-CN" w:bidi="ar-SA"/>
        </w:rPr>
        <w:t>新疆政府采购网</w:t>
      </w:r>
      <w:r>
        <w:rPr>
          <w:rFonts w:hint="eastAsia" w:ascii="宋体" w:hAnsi="宋体" w:eastAsia="宋体" w:cs="宋体"/>
          <w:color w:val="auto"/>
          <w:kern w:val="2"/>
          <w:sz w:val="21"/>
          <w:szCs w:val="21"/>
          <w:highlight w:val="none"/>
          <w:lang w:val="en-US" w:eastAsia="zh-CN" w:bidi="ar-SA"/>
        </w:rPr>
        <w:t>进行备案留存。</w:t>
      </w:r>
    </w:p>
    <w:p>
      <w:pPr>
        <w:pStyle w:val="162"/>
        <w:pageBreakBefore w:val="0"/>
        <w:widowControl w:val="0"/>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color w:val="auto"/>
          <w:kern w:val="2"/>
          <w:sz w:val="21"/>
          <w:szCs w:val="21"/>
          <w:highlight w:val="none"/>
          <w:lang w:val="en-US" w:eastAsia="zh-CN" w:bidi="ar-SA"/>
        </w:rPr>
      </w:pPr>
      <w:bookmarkStart w:id="70" w:name="_Toc256000014"/>
      <w:bookmarkStart w:id="71" w:name="_Toc519111270"/>
      <w:r>
        <w:rPr>
          <w:rFonts w:hint="eastAsia" w:ascii="宋体" w:hAnsi="宋体" w:eastAsia="宋体" w:cs="宋体"/>
          <w:b/>
          <w:bCs/>
          <w:color w:val="auto"/>
          <w:kern w:val="2"/>
          <w:sz w:val="21"/>
          <w:szCs w:val="21"/>
          <w:highlight w:val="none"/>
          <w:lang w:val="en-US" w:eastAsia="zh-CN" w:bidi="ar-SA"/>
        </w:rPr>
        <w:t>十一、处罚、询问和质疑</w:t>
      </w:r>
      <w:bookmarkEnd w:id="70"/>
      <w:bookmarkEnd w:id="71"/>
      <w:r>
        <w:rPr>
          <w:rFonts w:hint="eastAsia" w:ascii="宋体" w:hAnsi="宋体" w:eastAsia="宋体" w:cs="宋体"/>
          <w:color w:val="auto"/>
          <w:kern w:val="2"/>
          <w:sz w:val="21"/>
          <w:szCs w:val="21"/>
          <w:highlight w:val="none"/>
          <w:lang w:val="en-US" w:eastAsia="zh-CN" w:bidi="ar-SA"/>
        </w:rPr>
        <w:t xml:space="preserve"> </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31.处罚</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31.1发生下列情况之一，</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的保证金不予退还；情节严重的将其列入不良记录名单。</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1）开标后在投标有效期内，</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撤回其投标；</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2）中标后无正当理由不与采购人签订合同的；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3）中标人与采购人订立背离合同实质性内容的其他协议；</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4）将中标项目转让给他人，或者在</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中未说明，且未经采购代理机构同意，将中标项目分包给他人的；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5）存在串通投标行为的；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6）存在弄虚作假或提供虚假材料谋取中标的；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其他未按招标文件规定和合同约定履行义务的行为。</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32．询问</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32.1</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对采购事项有疑问的，可以向采购人或采购代理机构提出询问。</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有权就招标事宜提出质疑</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33.1</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认为招标文件、采购过程和中标结果使自已的权益受到损害的，可以在知道或者应知其权益受到损害之日起7个工作日内，以书面形式提出质疑。</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33.2质疑应当按照《中华人民共和国政府采购法》、《中华人民共和国政府采购法实施条例》、《政府采购质疑和投诉办法》等法律法规的相关规定，以书面形式向采购代理机构提出。</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33.3质疑书应当附上相关证明材料，否则质疑将视为无有效证据支持，将被予以驳回，并不得以上述理由要求延长质疑有效期。未递交</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的供应商，其未参加后续采购活动，不得对递交</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截止后的采购过程、采购结果提出质疑。</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33.4质疑人可以采取直接送达或者邮寄方式提交质疑书。采购代理机构收到质疑书后，对质疑书进行审查，对符合质疑条件的将办理签收手续，自签收质疑书之日起即为受理。</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33.5采购代理机构将在受理书面质疑后7个工作日内审查质疑事项，作出答复或相关处理决定，并以书面形式通知质疑人和其他相关供应商，但答复的内容不涉及商业秘密。</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33.6</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进行虚假和恶意质疑的，采购代理机构将提请有关部门将其列入不良记录名单，在一至三年内禁止参加政府采购活动，并将处理决定在相关政府采购媒体上公布。</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33.7质疑人对答复不满意以及采购代理机构未在规定的时间内作出答复的，可以在答复期满后15个工作日内向财政部门投拆。</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33.8提出质疑时需向采购代理机构提交如下材料纸质版原件：</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质疑函原件并加盖公章；质疑函应当按照财政部令第94号《政府采购质疑和投诉办法》的相关规定编写；</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(1)法定代表人授权委托书原件。授权委托书应当载明代理人的姓名或者名称、代理事项、具体权限、期限和相关事项，并由法定代表人、主要负责人签字或者盖章，并加盖公章；</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(2)下载招标文件的凭证（投标截止日之前提出质疑须提供）；</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(3)其他必要的证明材料（如有请提供）。</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33.9 </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在法定质疑期内需一次性提出针对同一采购程序环节的质疑。对同一采购程序环节提出的后续多次质疑将不被接受。</w:t>
      </w:r>
    </w:p>
    <w:p>
      <w:pPr>
        <w:pStyle w:val="162"/>
        <w:pageBreakBefore w:val="0"/>
        <w:widowControl w:val="0"/>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color w:val="auto"/>
          <w:kern w:val="2"/>
          <w:sz w:val="21"/>
          <w:szCs w:val="21"/>
          <w:highlight w:val="none"/>
          <w:lang w:val="en-US" w:eastAsia="zh-CN" w:bidi="ar-SA"/>
        </w:rPr>
      </w:pPr>
      <w:bookmarkStart w:id="72" w:name="_Toc256000015"/>
      <w:bookmarkStart w:id="73" w:name="_Toc519111271"/>
      <w:r>
        <w:rPr>
          <w:rFonts w:hint="eastAsia" w:ascii="宋体" w:hAnsi="宋体" w:eastAsia="宋体" w:cs="宋体"/>
          <w:b/>
          <w:bCs/>
          <w:color w:val="auto"/>
          <w:kern w:val="2"/>
          <w:sz w:val="21"/>
          <w:szCs w:val="21"/>
          <w:highlight w:val="none"/>
          <w:lang w:val="en-US" w:eastAsia="zh-CN" w:bidi="ar-SA"/>
        </w:rPr>
        <w:t>十二、保密和披露</w:t>
      </w:r>
      <w:bookmarkEnd w:id="72"/>
      <w:bookmarkEnd w:id="73"/>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34.保密和披露</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34.1</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自领取招标文件之日起，须承担本招标项目保密义务，不得将因本次招标获得的信息向第三人外传。由采购人向</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提供的图纸、详细资料、样品、模型、模件和所有其它资料，被视为保密资料，仅被用于它所规定的用途。除非得到采购人的同意，不能向任何第三方透露。开标结束后，应采购人要求，</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应归还所有从采购人处获得的保密资料。</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34.2采购代理机构有权将</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提供的所有资料向有关政府部门或评审标书的有关人员披露。</w:t>
      </w:r>
    </w:p>
    <w:p>
      <w:pPr>
        <w:pStyle w:val="82"/>
        <w:keepNext/>
        <w:keepLines/>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1"/>
        <w:rPr>
          <w:rFonts w:hint="eastAsia" w:ascii="宋体" w:hAnsi="宋体" w:eastAsia="宋体" w:cs="宋体"/>
          <w:color w:val="auto"/>
          <w:kern w:val="2"/>
          <w:sz w:val="21"/>
          <w:szCs w:val="21"/>
          <w:highlight w:val="none"/>
          <w:lang w:val="en-US" w:eastAsia="zh-CN" w:bidi="ar-SA"/>
        </w:rPr>
      </w:pPr>
      <w:bookmarkStart w:id="74" w:name="_Toc28373"/>
      <w:bookmarkStart w:id="75" w:name="_Toc29700"/>
      <w:bookmarkStart w:id="76" w:name="_Toc20693"/>
      <w:bookmarkStart w:id="77" w:name="_Toc4687"/>
      <w:r>
        <w:rPr>
          <w:rFonts w:hint="eastAsia" w:ascii="宋体" w:hAnsi="宋体" w:eastAsia="宋体" w:cs="宋体"/>
          <w:color w:val="auto"/>
          <w:kern w:val="2"/>
          <w:sz w:val="21"/>
          <w:szCs w:val="21"/>
          <w:highlight w:val="none"/>
          <w:lang w:val="en-US" w:eastAsia="zh-CN" w:bidi="ar-SA"/>
        </w:rPr>
        <w:t>34.3在采购代理机构认为适当时、国家机关调查、审查、审计时以及其他符合法律规定的情形下，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bookmarkEnd w:id="74"/>
      <w:bookmarkEnd w:id="75"/>
      <w:bookmarkEnd w:id="76"/>
      <w:bookmarkEnd w:id="77"/>
    </w:p>
    <w:p>
      <w:pPr>
        <w:pStyle w:val="82"/>
        <w:keepNext/>
        <w:keepLines/>
        <w:numPr>
          <w:ilvl w:val="0"/>
          <w:numId w:val="0"/>
        </w:numPr>
        <w:spacing w:before="120" w:after="120" w:line="360" w:lineRule="auto"/>
        <w:ind w:leftChars="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w:t>
      </w:r>
    </w:p>
    <w:p>
      <w:pPr>
        <w:pStyle w:val="82"/>
        <w:keepNext/>
        <w:keepLines/>
        <w:spacing w:before="120" w:after="120" w:line="360" w:lineRule="auto"/>
        <w:ind w:left="1069" w:hanging="1069"/>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br w:type="page"/>
      </w:r>
    </w:p>
    <w:p>
      <w:pPr>
        <w:pStyle w:val="21"/>
        <w:tabs>
          <w:tab w:val="left" w:pos="0"/>
        </w:tabs>
        <w:spacing w:line="240" w:lineRule="auto"/>
        <w:ind w:left="0" w:leftChars="0" w:firstLine="0" w:firstLineChars="0"/>
        <w:jc w:val="center"/>
        <w:outlineLvl w:val="0"/>
        <w:rPr>
          <w:rFonts w:hint="eastAsia" w:ascii="宋体" w:hAnsi="宋体" w:eastAsia="宋体" w:cs="宋体"/>
          <w:b/>
          <w:color w:val="auto"/>
          <w:sz w:val="36"/>
          <w:highlight w:val="none"/>
        </w:rPr>
      </w:pPr>
      <w:bookmarkStart w:id="78" w:name="_Toc23942"/>
      <w:bookmarkStart w:id="79" w:name="_Toc256000016"/>
      <w:bookmarkStart w:id="80" w:name="_Toc25005"/>
      <w:bookmarkStart w:id="81" w:name="_Toc13868"/>
      <w:r>
        <w:rPr>
          <w:rFonts w:hint="eastAsia" w:ascii="宋体" w:hAnsi="宋体" w:eastAsia="宋体" w:cs="宋体"/>
          <w:b/>
          <w:color w:val="auto"/>
          <w:sz w:val="32"/>
          <w:szCs w:val="32"/>
          <w:highlight w:val="none"/>
        </w:rPr>
        <w:t>第三</w:t>
      </w:r>
      <w:r>
        <w:rPr>
          <w:rFonts w:hint="eastAsia" w:ascii="宋体" w:hAnsi="宋体" w:eastAsia="宋体" w:cs="宋体"/>
          <w:b/>
          <w:color w:val="auto"/>
          <w:sz w:val="32"/>
          <w:szCs w:val="32"/>
          <w:highlight w:val="none"/>
          <w:lang w:val="en-US" w:eastAsia="zh-CN"/>
        </w:rPr>
        <w:t>章</w:t>
      </w:r>
      <w:r>
        <w:rPr>
          <w:rFonts w:hint="eastAsia" w:ascii="宋体" w:hAnsi="宋体" w:eastAsia="宋体" w:cs="宋体"/>
          <w:b/>
          <w:color w:val="auto"/>
          <w:sz w:val="32"/>
          <w:szCs w:val="32"/>
          <w:highlight w:val="none"/>
        </w:rPr>
        <w:t xml:space="preserve">  采购需求</w:t>
      </w:r>
      <w:bookmarkEnd w:id="78"/>
      <w:bookmarkEnd w:id="79"/>
      <w:bookmarkEnd w:id="80"/>
      <w:bookmarkEnd w:id="81"/>
    </w:p>
    <w:p>
      <w:pPr>
        <w:jc w:val="left"/>
        <w:rPr>
          <w:rFonts w:hint="eastAsia" w:ascii="宋体" w:hAnsi="宋体" w:eastAsia="宋体" w:cs="宋体"/>
          <w:color w:val="auto"/>
          <w:highlight w:val="none"/>
        </w:rPr>
      </w:pPr>
      <w:bookmarkStart w:id="82" w:name="_bookmark15"/>
      <w:bookmarkEnd w:id="82"/>
      <w:bookmarkStart w:id="83" w:name="二、 项目名称:第三师五十一团连队污水处理站托管运营服务采购项目"/>
      <w:bookmarkEnd w:id="83"/>
    </w:p>
    <w:p>
      <w:pPr>
        <w:jc w:val="center"/>
        <w:rPr>
          <w:rFonts w:hint="eastAsia"/>
          <w:b/>
          <w:bCs/>
          <w:sz w:val="28"/>
          <w:szCs w:val="28"/>
          <w:lang w:eastAsia="zh-CN"/>
        </w:rPr>
      </w:pPr>
      <w:r>
        <w:rPr>
          <w:rFonts w:hint="eastAsia"/>
          <w:b/>
          <w:bCs/>
          <w:sz w:val="28"/>
          <w:szCs w:val="28"/>
          <w:lang w:eastAsia="zh-CN"/>
        </w:rPr>
        <w:t>哈密市图书馆智慧场馆配套设备及软件采购项目</w:t>
      </w:r>
    </w:p>
    <w:p>
      <w:pPr>
        <w:jc w:val="center"/>
        <w:rPr>
          <w:rFonts w:hint="eastAsia"/>
          <w:b/>
          <w:bCs/>
          <w:sz w:val="28"/>
          <w:szCs w:val="28"/>
          <w:lang w:val="en-US" w:eastAsia="zh-CN"/>
        </w:rPr>
      </w:pPr>
      <w:r>
        <w:rPr>
          <w:rFonts w:hint="eastAsia"/>
          <w:b/>
          <w:bCs/>
          <w:sz w:val="28"/>
          <w:szCs w:val="28"/>
          <w:lang w:val="en-US" w:eastAsia="zh-CN"/>
        </w:rPr>
        <w:t>采购需求</w:t>
      </w:r>
    </w:p>
    <w:p>
      <w:pPr>
        <w:spacing w:line="360" w:lineRule="auto"/>
        <w:jc w:val="center"/>
        <w:rPr>
          <w:rFonts w:hint="eastAsia"/>
          <w:b/>
          <w:bCs/>
          <w:sz w:val="24"/>
          <w:szCs w:val="24"/>
          <w:lang w:val="en-US" w:eastAsia="zh-CN"/>
        </w:rPr>
      </w:pPr>
    </w:p>
    <w:p>
      <w:pPr>
        <w:pStyle w:val="2"/>
        <w:ind w:left="0" w:leftChars="0" w:firstLine="482" w:firstLineChars="200"/>
        <w:rPr>
          <w:rFonts w:hint="default" w:ascii="Calibri" w:hAnsi="Calibri" w:eastAsia="宋体" w:cs="Times New Roman"/>
          <w:kern w:val="2"/>
          <w:sz w:val="24"/>
          <w:szCs w:val="24"/>
          <w:lang w:val="en-US" w:eastAsia="zh-CN" w:bidi="ar-SA"/>
        </w:rPr>
      </w:pPr>
      <w:r>
        <w:rPr>
          <w:rFonts w:hint="eastAsia" w:asciiTheme="minorHAnsi" w:hAnsiTheme="minorHAnsi" w:eastAsiaTheme="minorEastAsia" w:cstheme="minorBidi"/>
          <w:b/>
          <w:bCs/>
          <w:kern w:val="2"/>
          <w:sz w:val="24"/>
          <w:szCs w:val="24"/>
          <w:lang w:val="en-US" w:eastAsia="zh-CN" w:bidi="ar-SA"/>
        </w:rPr>
        <w:t>项目名称：</w:t>
      </w:r>
      <w:r>
        <w:rPr>
          <w:rFonts w:hint="eastAsia" w:ascii="Calibri" w:hAnsi="Calibri" w:eastAsia="宋体" w:cs="Times New Roman"/>
          <w:kern w:val="2"/>
          <w:sz w:val="24"/>
          <w:szCs w:val="24"/>
          <w:lang w:val="en-US" w:eastAsia="zh-CN" w:bidi="ar-SA"/>
        </w:rPr>
        <w:t>哈密市图书馆智慧场馆配套设备及软件采购项目</w:t>
      </w:r>
    </w:p>
    <w:p>
      <w:pPr>
        <w:pStyle w:val="2"/>
        <w:ind w:left="0" w:leftChars="0" w:firstLine="482" w:firstLineChars="200"/>
        <w:rPr>
          <w:rFonts w:hint="default" w:ascii="Calibri" w:hAnsi="Calibri" w:eastAsia="宋体" w:cs="Times New Roman"/>
          <w:kern w:val="2"/>
          <w:sz w:val="24"/>
          <w:szCs w:val="24"/>
          <w:lang w:val="en-US" w:eastAsia="zh-CN" w:bidi="ar-SA"/>
        </w:rPr>
      </w:pPr>
      <w:r>
        <w:rPr>
          <w:rFonts w:hint="eastAsia" w:asciiTheme="minorHAnsi" w:hAnsiTheme="minorHAnsi" w:eastAsiaTheme="minorEastAsia" w:cstheme="minorBidi"/>
          <w:b/>
          <w:bCs/>
          <w:kern w:val="2"/>
          <w:sz w:val="24"/>
          <w:szCs w:val="24"/>
          <w:lang w:val="en-US" w:eastAsia="zh-CN" w:bidi="ar-SA"/>
        </w:rPr>
        <w:t>采 购 人：</w:t>
      </w:r>
      <w:r>
        <w:rPr>
          <w:rFonts w:hint="eastAsia" w:ascii="Calibri" w:hAnsi="Calibri" w:eastAsia="宋体" w:cs="Times New Roman"/>
          <w:kern w:val="2"/>
          <w:sz w:val="24"/>
          <w:szCs w:val="24"/>
          <w:lang w:val="en-US" w:eastAsia="zh-CN" w:bidi="ar-SA"/>
        </w:rPr>
        <w:t>哈密市图书馆</w:t>
      </w:r>
    </w:p>
    <w:p>
      <w:pPr>
        <w:pStyle w:val="2"/>
        <w:ind w:left="0" w:leftChars="0" w:firstLine="482" w:firstLineChars="200"/>
        <w:rPr>
          <w:rFonts w:hint="default" w:ascii="Calibri" w:hAnsi="Calibri" w:eastAsia="宋体" w:cs="Times New Roman"/>
          <w:kern w:val="2"/>
          <w:sz w:val="24"/>
          <w:szCs w:val="24"/>
          <w:lang w:val="en-US" w:eastAsia="zh-CN" w:bidi="ar-SA"/>
        </w:rPr>
      </w:pPr>
      <w:r>
        <w:rPr>
          <w:rFonts w:hint="eastAsia" w:asciiTheme="minorHAnsi" w:hAnsiTheme="minorHAnsi" w:eastAsiaTheme="minorEastAsia" w:cstheme="minorBidi"/>
          <w:b/>
          <w:bCs/>
          <w:kern w:val="2"/>
          <w:sz w:val="24"/>
          <w:szCs w:val="24"/>
          <w:lang w:val="en-US" w:eastAsia="zh-CN" w:bidi="ar-SA"/>
        </w:rPr>
        <w:t>采购内容：</w:t>
      </w:r>
      <w:r>
        <w:rPr>
          <w:rFonts w:hint="eastAsia" w:ascii="Calibri" w:hAnsi="Calibri" w:eastAsia="宋体" w:cs="Times New Roman"/>
          <w:kern w:val="2"/>
          <w:sz w:val="24"/>
          <w:szCs w:val="24"/>
          <w:lang w:val="en-US" w:eastAsia="zh-CN" w:bidi="ar-SA"/>
        </w:rPr>
        <w:t>哈密市图书馆智慧场馆互动滑轨屏建设配套设备及软件采购，包括滑轨屏配套硬件设备、智慧背景文化墙配套安装、滑轨屏系统软件及播放素材数字资源内容制作等。</w:t>
      </w:r>
    </w:p>
    <w:p>
      <w:pPr>
        <w:bidi w:val="0"/>
        <w:spacing w:line="360" w:lineRule="auto"/>
        <w:ind w:firstLine="482" w:firstLineChars="200"/>
        <w:rPr>
          <w:rFonts w:hint="default"/>
          <w:sz w:val="24"/>
          <w:szCs w:val="24"/>
          <w:lang w:val="en-US" w:eastAsia="zh-CN"/>
        </w:rPr>
      </w:pPr>
      <w:r>
        <w:rPr>
          <w:rFonts w:hint="eastAsia"/>
          <w:b/>
          <w:bCs/>
          <w:sz w:val="24"/>
          <w:szCs w:val="24"/>
          <w:lang w:val="en-US" w:eastAsia="zh-CN"/>
        </w:rPr>
        <w:t>交货期限：</w:t>
      </w:r>
      <w:r>
        <w:rPr>
          <w:rFonts w:hint="eastAsia"/>
          <w:sz w:val="24"/>
          <w:szCs w:val="24"/>
          <w:lang w:val="en-US" w:eastAsia="zh-CN"/>
        </w:rPr>
        <w:t>合同签订后30个日历日。</w:t>
      </w:r>
    </w:p>
    <w:p>
      <w:pPr>
        <w:bidi w:val="0"/>
        <w:spacing w:line="360" w:lineRule="auto"/>
        <w:ind w:firstLine="482" w:firstLineChars="200"/>
        <w:rPr>
          <w:rFonts w:hint="default" w:ascii="Calibri" w:hAnsi="Calibri" w:eastAsia="宋体" w:cs="Times New Roman"/>
          <w:kern w:val="2"/>
          <w:sz w:val="24"/>
          <w:szCs w:val="24"/>
          <w:lang w:val="en-US" w:eastAsia="zh-CN" w:bidi="ar-SA"/>
        </w:rPr>
      </w:pPr>
      <w:r>
        <w:rPr>
          <w:rFonts w:hint="eastAsia"/>
          <w:b/>
          <w:bCs/>
          <w:sz w:val="24"/>
          <w:szCs w:val="24"/>
          <w:lang w:val="en-US" w:eastAsia="zh-CN"/>
        </w:rPr>
        <w:t>设备保修期：</w:t>
      </w:r>
      <w:r>
        <w:rPr>
          <w:rFonts w:hint="eastAsia" w:ascii="Calibri" w:hAnsi="Calibri" w:eastAsia="宋体" w:cs="Times New Roman"/>
          <w:kern w:val="2"/>
          <w:sz w:val="24"/>
          <w:szCs w:val="24"/>
          <w:lang w:val="en-US" w:eastAsia="zh-CN" w:bidi="ar-SA"/>
        </w:rPr>
        <w:t>一年。</w:t>
      </w:r>
    </w:p>
    <w:p>
      <w:pPr>
        <w:bidi w:val="0"/>
        <w:spacing w:line="360" w:lineRule="auto"/>
        <w:ind w:firstLine="482" w:firstLineChars="200"/>
        <w:rPr>
          <w:rFonts w:hint="eastAsia"/>
          <w:b/>
          <w:bCs/>
          <w:sz w:val="24"/>
          <w:szCs w:val="24"/>
          <w:lang w:val="en-US" w:eastAsia="zh-CN"/>
        </w:rPr>
      </w:pPr>
      <w:r>
        <w:rPr>
          <w:rFonts w:hint="eastAsia"/>
          <w:b/>
          <w:bCs/>
          <w:sz w:val="24"/>
          <w:szCs w:val="24"/>
          <w:lang w:val="en-US" w:eastAsia="zh-CN"/>
        </w:rPr>
        <w:t>详细采购内容规格、参数及要求：</w:t>
      </w:r>
    </w:p>
    <w:p>
      <w:pPr>
        <w:bidi w:val="0"/>
        <w:spacing w:line="360" w:lineRule="auto"/>
        <w:ind w:firstLine="480" w:firstLineChars="200"/>
        <w:rPr>
          <w:rFonts w:hint="eastAsia" w:cs="Times New Roman"/>
          <w:kern w:val="2"/>
          <w:sz w:val="24"/>
          <w:szCs w:val="24"/>
          <w:lang w:val="en-US" w:eastAsia="zh-CN" w:bidi="ar-SA"/>
        </w:rPr>
      </w:pPr>
      <w:r>
        <w:rPr>
          <w:rFonts w:hint="eastAsia" w:cs="Times New Roman"/>
          <w:kern w:val="2"/>
          <w:sz w:val="24"/>
          <w:szCs w:val="24"/>
          <w:lang w:val="en-US" w:eastAsia="zh-CN" w:bidi="ar-SA"/>
        </w:rPr>
        <w:t>所使用设备规格及参数（包括但不限于所列设备材料）</w:t>
      </w:r>
    </w:p>
    <w:tbl>
      <w:tblPr>
        <w:tblStyle w:val="46"/>
        <w:tblW w:w="93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1519"/>
        <w:gridCol w:w="5308"/>
        <w:gridCol w:w="785"/>
        <w:gridCol w:w="7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类型</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5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规格</w:t>
            </w:r>
            <w:r>
              <w:rPr>
                <w:rFonts w:hint="eastAsia" w:ascii="宋体" w:hAnsi="宋体" w:eastAsia="宋体" w:cs="宋体"/>
                <w:b/>
                <w:bCs/>
                <w:i w:val="0"/>
                <w:iCs w:val="0"/>
                <w:color w:val="000000"/>
                <w:kern w:val="0"/>
                <w:sz w:val="24"/>
                <w:szCs w:val="24"/>
                <w:u w:val="none"/>
                <w:lang w:val="en-US" w:eastAsia="zh-CN" w:bidi="ar"/>
              </w:rPr>
              <w:t>参数说明</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60" w:type="dxa"/>
            <w:vMerge w:val="restart"/>
            <w:tcBorders>
              <w:top w:val="single" w:color="000000" w:sz="4" w:space="0"/>
              <w:left w:val="single" w:color="000000" w:sz="4" w:space="0"/>
              <w:right w:val="single" w:color="000000" w:sz="4" w:space="0"/>
            </w:tcBorders>
            <w:shd w:val="clear" w:color="auto" w:fill="FFFFFF"/>
            <w:noWrap/>
            <w:vAlign w:val="center"/>
          </w:tcPr>
          <w:p>
            <w:pPr>
              <w:jc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硬</w:t>
            </w:r>
          </w:p>
          <w:p>
            <w:pPr>
              <w:jc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件</w:t>
            </w:r>
          </w:p>
          <w:p>
            <w:pPr>
              <w:jc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设</w:t>
            </w:r>
          </w:p>
          <w:p>
            <w:pPr>
              <w:jc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备</w:t>
            </w:r>
          </w:p>
          <w:p>
            <w:pPr>
              <w:jc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及</w:t>
            </w:r>
          </w:p>
          <w:p>
            <w:pPr>
              <w:jc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配</w:t>
            </w:r>
          </w:p>
          <w:p>
            <w:pPr>
              <w:jc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套</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触摸屏支架</w:t>
            </w:r>
          </w:p>
        </w:tc>
        <w:tc>
          <w:tcPr>
            <w:tcW w:w="5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定制固定液晶整机（55英寸）加强结构套件，采用铝合金型材（与轨道结构配套安装）</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2" w:hRule="atLeast"/>
        </w:trPr>
        <w:tc>
          <w:tcPr>
            <w:tcW w:w="960"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直线导轨模组  </w:t>
            </w:r>
          </w:p>
        </w:tc>
        <w:tc>
          <w:tcPr>
            <w:tcW w:w="5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Style w:val="264"/>
                <w:rFonts w:hint="eastAsia" w:ascii="宋体" w:hAnsi="宋体" w:eastAsia="宋体" w:cs="宋体"/>
                <w:sz w:val="21"/>
                <w:szCs w:val="21"/>
                <w:lang w:val="en-US" w:eastAsia="zh-CN" w:bidi="ar"/>
              </w:rPr>
            </w:pPr>
            <w:r>
              <w:rPr>
                <w:rStyle w:val="264"/>
                <w:rFonts w:hint="eastAsia" w:ascii="宋体" w:hAnsi="宋体" w:eastAsia="宋体" w:cs="宋体"/>
                <w:sz w:val="21"/>
                <w:szCs w:val="21"/>
                <w:lang w:val="en-US" w:eastAsia="zh-CN" w:bidi="ar"/>
              </w:rPr>
              <w:t>1、导轨长度</w:t>
            </w:r>
            <w:r>
              <w:rPr>
                <w:rStyle w:val="264"/>
                <w:rFonts w:hint="eastAsia" w:ascii="宋体" w:hAnsi="宋体" w:eastAsia="宋体" w:cs="宋体"/>
                <w:i w:val="0"/>
                <w:iCs w:val="0"/>
                <w:color w:val="000000"/>
                <w:sz w:val="21"/>
                <w:szCs w:val="21"/>
                <w:lang w:val="en-US" w:eastAsia="zh-CN" w:bidi="ar"/>
              </w:rPr>
              <w:t xml:space="preserve">：9m*2条（约）   </w:t>
            </w:r>
            <w:r>
              <w:rPr>
                <w:rStyle w:val="264"/>
                <w:rFonts w:hint="eastAsia" w:ascii="宋体" w:hAnsi="宋体" w:eastAsia="宋体" w:cs="宋体"/>
                <w:sz w:val="21"/>
                <w:szCs w:val="21"/>
                <w:lang w:val="en-US" w:eastAsia="zh-CN" w:bidi="ar"/>
              </w:rPr>
              <w:t xml:space="preserve">                                            </w:t>
            </w:r>
          </w:p>
          <w:p>
            <w:pPr>
              <w:keepNext w:val="0"/>
              <w:keepLines w:val="0"/>
              <w:widowControl/>
              <w:suppressLineNumbers w:val="0"/>
              <w:jc w:val="left"/>
              <w:textAlignment w:val="center"/>
              <w:rPr>
                <w:rStyle w:val="264"/>
                <w:rFonts w:hint="eastAsia" w:ascii="宋体" w:hAnsi="宋体" w:eastAsia="宋体" w:cs="宋体"/>
                <w:sz w:val="21"/>
                <w:szCs w:val="21"/>
                <w:lang w:val="en-US" w:eastAsia="zh-CN" w:bidi="ar"/>
              </w:rPr>
            </w:pPr>
            <w:r>
              <w:rPr>
                <w:rStyle w:val="264"/>
                <w:rFonts w:hint="eastAsia" w:ascii="宋体" w:hAnsi="宋体" w:eastAsia="宋体" w:cs="宋体"/>
                <w:sz w:val="21"/>
                <w:szCs w:val="21"/>
                <w:lang w:val="en-US" w:eastAsia="zh-CN" w:bidi="ar"/>
              </w:rPr>
              <w:t>2、滑轨材质：采用铝合金材质+轴成钢，耐腐蚀性。</w:t>
            </w:r>
          </w:p>
          <w:p>
            <w:pPr>
              <w:keepNext w:val="0"/>
              <w:keepLines w:val="0"/>
              <w:widowControl/>
              <w:suppressLineNumbers w:val="0"/>
              <w:jc w:val="left"/>
              <w:textAlignment w:val="center"/>
              <w:rPr>
                <w:rStyle w:val="264"/>
                <w:rFonts w:hint="eastAsia" w:ascii="宋体" w:hAnsi="宋体" w:eastAsia="宋体" w:cs="宋体"/>
                <w:sz w:val="21"/>
                <w:szCs w:val="21"/>
                <w:lang w:val="en-US" w:eastAsia="zh-CN" w:bidi="ar"/>
              </w:rPr>
            </w:pPr>
            <w:r>
              <w:rPr>
                <w:rStyle w:val="264"/>
                <w:rFonts w:hint="eastAsia" w:ascii="宋体" w:hAnsi="宋体" w:eastAsia="宋体" w:cs="宋体"/>
                <w:sz w:val="21"/>
                <w:szCs w:val="21"/>
                <w:lang w:val="en-US" w:eastAsia="zh-CN" w:bidi="ar"/>
              </w:rPr>
              <w:t xml:space="preserve">3、精准度：0.1mm  </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4"/>
                <w:rFonts w:hint="eastAsia" w:ascii="宋体" w:hAnsi="宋体" w:eastAsia="宋体" w:cs="宋体"/>
                <w:sz w:val="21"/>
                <w:szCs w:val="21"/>
                <w:lang w:val="en-US" w:eastAsia="zh-CN" w:bidi="ar"/>
              </w:rPr>
              <w:t>4、控制系统：滑块、限位器、移动供电系统。</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60"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伺服电机</w:t>
            </w:r>
          </w:p>
        </w:tc>
        <w:tc>
          <w:tcPr>
            <w:tcW w:w="5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1、伺服电机：要求低噪音、低发热、高精度、高转速；</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2、驱动器：采用先进的电机控制专用 DSP 芯片、大规模可编程门阵列（FPGA）和 IPM 功率模块的高性能交流伺服单元；</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3、减速机：最大输出转矩：1.5倍额定转矩，平均使用寿命：20000H，额定输入转速：35000PRM，满载传动效率：≥96%，最大输入转速：6000RPM，使用温度范围：-20~+80℃，普通回程背隙：≤8 Arcmin，噪音值：≤60dB。</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60"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辅助配件</w:t>
            </w:r>
          </w:p>
        </w:tc>
        <w:tc>
          <w:tcPr>
            <w:tcW w:w="5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rPr>
            </w:pPr>
            <w:r>
              <w:rPr>
                <w:rFonts w:hint="eastAsia"/>
                <w:lang w:val="en-US" w:eastAsia="zh-CN"/>
              </w:rPr>
              <w:t>滑轨驱动盒, 高柔电源线、 高柔网线、坦克链、螺丝、固定件、电子辅料等。</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60" w:type="dxa"/>
            <w:vMerge w:val="continue"/>
            <w:tcBorders>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背景文化墙</w:t>
            </w:r>
          </w:p>
        </w:tc>
        <w:tc>
          <w:tcPr>
            <w:tcW w:w="5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bidi w:val="0"/>
              <w:adjustRightInd w:val="0"/>
              <w:snapToGrid w:val="0"/>
              <w:spacing w:line="240" w:lineRule="auto"/>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墙面尺寸（约）：9m*2.2m</w:t>
            </w:r>
          </w:p>
          <w:p>
            <w:pPr>
              <w:keepNext w:val="0"/>
              <w:keepLines w:val="0"/>
              <w:pageBreakBefore w:val="0"/>
              <w:widowControl/>
              <w:suppressLineNumbers w:val="0"/>
              <w:kinsoku/>
              <w:wordWrap/>
              <w:overflowPunct/>
              <w:topLinePunct w:val="0"/>
              <w:bidi w:val="0"/>
              <w:adjustRightInd w:val="0"/>
              <w:snapToGrid w:val="0"/>
              <w:spacing w:line="240" w:lineRule="auto"/>
              <w:jc w:val="left"/>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效果展示：合同签订3日内提供详细设计方案（含效果图）</w:t>
            </w:r>
          </w:p>
          <w:p>
            <w:pPr>
              <w:pStyle w:val="2"/>
              <w:ind w:left="0" w:leftChars="0" w:right="246" w:rightChars="0" w:firstLine="0" w:firstLineChars="0"/>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材料：</w:t>
            </w:r>
            <w:r>
              <w:rPr>
                <w:rFonts w:hint="eastAsia" w:ascii="宋体" w:hAnsi="宋体" w:eastAsia="宋体" w:cs="宋体"/>
                <w:i w:val="0"/>
                <w:iCs w:val="0"/>
                <w:color w:val="000000"/>
                <w:kern w:val="0"/>
                <w:sz w:val="21"/>
                <w:szCs w:val="21"/>
                <w:u w:val="none"/>
                <w:lang w:val="en-US" w:eastAsia="zh-CN" w:bidi="ar"/>
              </w:rPr>
              <w:t>所使用的材料不限，根据设计方案自行配置；</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批</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8" w:hRule="atLeast"/>
        </w:trPr>
        <w:tc>
          <w:tcPr>
            <w:tcW w:w="96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滑</w:t>
            </w:r>
          </w:p>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轨</w:t>
            </w:r>
          </w:p>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屏</w:t>
            </w:r>
          </w:p>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系</w:t>
            </w:r>
          </w:p>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统</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软</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数据软件系统</w:t>
            </w:r>
          </w:p>
        </w:tc>
        <w:tc>
          <w:tcPr>
            <w:tcW w:w="5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1、缓停缓启动系统：设备启动和停止均有缓冲程序，保证设备运行平稳，噪音小。同时减少设备的晃动。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2、开放的点位设置系统：客户可以根据需要自由添加或者删减感应位置20个播放点位，支持背景图实时同步。</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3、自动轮巡系统：自动往复运动，不停止；单个位置播放停止模式，单个形成模式自由设置。</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4、触屏互动系统功能：访客按屏上的左移或者右移按钮，屏幕即向相应的方向移动一个展示位。</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5、触摸功能需满足：支持触摸屏互动，通过不同触点可以让液晶屏跳转到相对应的播放内容。</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6、具备测量显示终端滑动位置，带位移自校正功能，消除滑动过程中的位移累积误差。</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7、具备控制电动滑轨左右移动到感应节点的控制功能</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数</w:t>
            </w:r>
          </w:p>
          <w:p>
            <w:pPr>
              <w:jc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字</w:t>
            </w:r>
          </w:p>
          <w:p>
            <w:pPr>
              <w:jc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资</w:t>
            </w:r>
          </w:p>
          <w:p>
            <w:pPr>
              <w:jc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源</w:t>
            </w:r>
          </w:p>
          <w:p>
            <w:pPr>
              <w:jc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内</w:t>
            </w:r>
          </w:p>
          <w:p>
            <w:pPr>
              <w:jc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容</w:t>
            </w:r>
          </w:p>
          <w:p>
            <w:pPr>
              <w:jc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制</w:t>
            </w:r>
          </w:p>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作</w:t>
            </w:r>
          </w:p>
        </w:tc>
        <w:tc>
          <w:tcPr>
            <w:tcW w:w="1519"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图文制作</w:t>
            </w:r>
          </w:p>
        </w:tc>
        <w:tc>
          <w:tcPr>
            <w:tcW w:w="5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根据主题要求完成滑轨屏图文展示内容整理、设计及制作，成果格式及分辨率满足系统软件配置要求；</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批</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5"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519"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视频制作</w:t>
            </w:r>
          </w:p>
        </w:tc>
        <w:tc>
          <w:tcPr>
            <w:tcW w:w="5308"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时长：2-3分钟：2-3分钟/集，共计20集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形式：微视频资源成品</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标准：广播级高清专业拍摄制作</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分辨率：1920x1080高清</w:t>
            </w:r>
          </w:p>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格式：MP4、MOV</w:t>
            </w:r>
          </w:p>
        </w:tc>
        <w:tc>
          <w:tcPr>
            <w:tcW w:w="785"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集</w:t>
            </w:r>
          </w:p>
        </w:tc>
        <w:tc>
          <w:tcPr>
            <w:tcW w:w="748"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20</w:t>
            </w:r>
          </w:p>
        </w:tc>
      </w:tr>
    </w:tbl>
    <w:p>
      <w:pPr>
        <w:pStyle w:val="13"/>
        <w:rPr>
          <w:rFonts w:hint="default"/>
          <w:lang w:val="en-US" w:eastAsia="zh-CN"/>
        </w:rPr>
      </w:pP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spacing w:line="240" w:lineRule="auto"/>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硬件要求：</w:t>
      </w:r>
    </w:p>
    <w:p>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触摸屏为</w:t>
      </w:r>
      <w:r>
        <w:rPr>
          <w:rFonts w:hint="eastAsia" w:ascii="宋体" w:hAnsi="宋体" w:eastAsia="宋体" w:cs="宋体"/>
          <w:i w:val="0"/>
          <w:iCs w:val="0"/>
          <w:color w:val="000000"/>
          <w:kern w:val="0"/>
          <w:sz w:val="24"/>
          <w:szCs w:val="24"/>
          <w:u w:val="none"/>
          <w:lang w:val="en-US" w:eastAsia="zh-CN" w:bidi="ar"/>
        </w:rPr>
        <w:t>红外感应触发,使系统反应迅速,画面切换流畅无延迟。</w:t>
      </w:r>
    </w:p>
    <w:p>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2、要求采用电动的交互形式,每个感应触点的展示内容都与背景墙当前内容相关,虚实结合,表现形式新奇,创造一种全新的互动方式,系统展示的内容、感应触点的位置和数量都可以方便地更改。</w:t>
      </w:r>
    </w:p>
    <w:p>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3、要求应用品质优良的铝型材+钢结构轨道,确保液晶屏滑动顺畅,长时间使用无变形。</w:t>
      </w:r>
    </w:p>
    <w:p>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4、屏幕要求为55寸液晶屏。</w:t>
      </w:r>
    </w:p>
    <w:p>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spacing w:line="240" w:lineRule="auto"/>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背景</w:t>
      </w:r>
      <w:r>
        <w:rPr>
          <w:rFonts w:hint="eastAsia" w:ascii="宋体" w:hAnsi="宋体" w:eastAsia="宋体" w:cs="宋体"/>
          <w:b/>
          <w:bCs/>
          <w:i w:val="0"/>
          <w:iCs w:val="0"/>
          <w:color w:val="000000"/>
          <w:kern w:val="0"/>
          <w:sz w:val="24"/>
          <w:szCs w:val="24"/>
          <w:u w:val="none"/>
          <w:lang w:val="en-US" w:eastAsia="zh-CN" w:bidi="ar"/>
        </w:rPr>
        <w:t>文化墙</w:t>
      </w:r>
      <w:r>
        <w:rPr>
          <w:rFonts w:hint="eastAsia" w:ascii="宋体" w:hAnsi="宋体" w:cs="宋体"/>
          <w:b/>
          <w:bCs/>
          <w:i w:val="0"/>
          <w:iCs w:val="0"/>
          <w:color w:val="000000"/>
          <w:kern w:val="0"/>
          <w:sz w:val="24"/>
          <w:szCs w:val="24"/>
          <w:u w:val="none"/>
          <w:lang w:val="en-US" w:eastAsia="zh-CN" w:bidi="ar"/>
        </w:rPr>
        <w:t>展示</w:t>
      </w:r>
      <w:r>
        <w:rPr>
          <w:rFonts w:hint="eastAsia" w:ascii="宋体" w:hAnsi="宋体" w:eastAsia="宋体" w:cs="宋体"/>
          <w:b/>
          <w:bCs/>
          <w:i w:val="0"/>
          <w:iCs w:val="0"/>
          <w:color w:val="000000"/>
          <w:kern w:val="0"/>
          <w:sz w:val="24"/>
          <w:szCs w:val="24"/>
          <w:u w:val="none"/>
          <w:lang w:val="en-US" w:eastAsia="zh-CN" w:bidi="ar"/>
        </w:rPr>
        <w:t>要求：</w:t>
      </w:r>
    </w:p>
    <w:p>
      <w:pPr>
        <w:pStyle w:val="2"/>
        <w:numPr>
          <w:ilvl w:val="0"/>
          <w:numId w:val="3"/>
        </w:numPr>
        <w:spacing w:line="240" w:lineRule="auto"/>
        <w:ind w:left="-29" w:leftChars="0" w:right="246" w:rightChars="0"/>
        <w:jc w:val="both"/>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文化墙主题风格与数字资源内容相统一。</w:t>
      </w:r>
    </w:p>
    <w:p>
      <w:pPr>
        <w:pStyle w:val="2"/>
        <w:numPr>
          <w:ilvl w:val="0"/>
          <w:numId w:val="3"/>
        </w:numPr>
        <w:spacing w:line="240" w:lineRule="auto"/>
        <w:ind w:left="-29" w:leftChars="0" w:right="246" w:rightChars="0"/>
        <w:jc w:val="both"/>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供应商提供的智慧场馆文化墙展示方案，能体现滑轨屏设备及系统软件的工作原理及主要功能，并结合数字资源内容制作的主题内容，最大程度展示本智慧场馆互动滑轨屏文化展示的最终效果意向。</w:t>
      </w:r>
    </w:p>
    <w:p>
      <w:pPr>
        <w:pStyle w:val="2"/>
        <w:numPr>
          <w:ilvl w:val="0"/>
          <w:numId w:val="3"/>
        </w:numPr>
        <w:spacing w:line="240" w:lineRule="auto"/>
        <w:ind w:left="-29" w:leftChars="0" w:right="246" w:rightChars="0"/>
        <w:jc w:val="both"/>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所使用的材料环保等级和防火等级符合国家标准和行业相关规定。</w:t>
      </w:r>
    </w:p>
    <w:p>
      <w:pPr>
        <w:keepNext w:val="0"/>
        <w:keepLines w:val="0"/>
        <w:widowControl/>
        <w:suppressLineNumbers w:val="0"/>
        <w:spacing w:line="240" w:lineRule="auto"/>
        <w:jc w:val="both"/>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spacing w:line="240" w:lineRule="auto"/>
        <w:jc w:val="both"/>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spacing w:line="240" w:lineRule="auto"/>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软件要求：</w:t>
      </w:r>
    </w:p>
    <w:p>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1、设备启动和停止要求有缓冲程序，保证设备运行平稳，噪音小。同时减少设备的晃动。</w:t>
      </w:r>
    </w:p>
    <w:p>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2、要求可自由添加或者删减感应位置。</w:t>
      </w:r>
    </w:p>
    <w:p>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3、触屏互动系统功能：访客按屏上的左移或者右移按钮，屏幕即向相应的方向移动一个展示位。</w:t>
      </w:r>
    </w:p>
    <w:p>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4、要求控制方式多样，触摸屏控制，可通过交互式一体机在滑轨上进行滑动，须配合展板、实物、模型等内容，进行内容的讲解，讲解的形式包括视频、动画、图片、文字和语音。</w:t>
      </w:r>
    </w:p>
    <w:p>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5、要求有触摸功能，支持触摸屏互动，通过不同触点可以让液晶屏跳转到相对应的播放内容。</w:t>
      </w:r>
    </w:p>
    <w:p>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6、具备测量显示终端滑动位置，带位移自校正功能，消除滑动过程中的位移累积误差。</w:t>
      </w:r>
    </w:p>
    <w:p>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7、具备控制电动滑轨左右移动到感应节点的控制功能</w:t>
      </w:r>
    </w:p>
    <w:p>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8、具备电动滑轨一定时间（时间长短可以自定义）没有人操作返回起始点。</w:t>
      </w:r>
    </w:p>
    <w:p>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9、系统重启时移动屏自动回到起始位，系统自动完成自检功能。</w:t>
      </w:r>
    </w:p>
    <w:p>
      <w:pPr>
        <w:keepNext w:val="0"/>
        <w:keepLines w:val="0"/>
        <w:widowControl/>
        <w:suppressLineNumbers w:val="0"/>
        <w:spacing w:line="240" w:lineRule="auto"/>
        <w:jc w:val="both"/>
        <w:textAlignment w:val="center"/>
        <w:rPr>
          <w:rFonts w:hint="default" w:ascii="宋体" w:hAnsi="宋体" w:eastAsia="宋体" w:cs="宋体"/>
          <w:i w:val="0"/>
          <w:iCs w:val="0"/>
          <w:color w:val="000000"/>
          <w:kern w:val="0"/>
          <w:sz w:val="24"/>
          <w:szCs w:val="24"/>
          <w:u w:val="none"/>
          <w:lang w:val="en-US" w:eastAsia="zh-CN" w:bidi="ar"/>
        </w:rPr>
      </w:pPr>
    </w:p>
    <w:p>
      <w:pPr>
        <w:pStyle w:val="2"/>
        <w:spacing w:line="240" w:lineRule="auto"/>
        <w:ind w:left="0" w:leftChars="0"/>
        <w:jc w:val="both"/>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数字资源制作要求：</w:t>
      </w:r>
    </w:p>
    <w:p>
      <w:pPr>
        <w:pStyle w:val="2"/>
        <w:numPr>
          <w:ilvl w:val="0"/>
          <w:numId w:val="0"/>
        </w:numPr>
        <w:spacing w:line="240" w:lineRule="auto"/>
        <w:ind w:right="246" w:rightChars="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1、内容主题：内容展现中国共产党历届全国代表大会精神。</w:t>
      </w:r>
    </w:p>
    <w:p>
      <w:pPr>
        <w:pStyle w:val="2"/>
        <w:numPr>
          <w:ilvl w:val="0"/>
          <w:numId w:val="0"/>
        </w:numPr>
        <w:spacing w:line="240" w:lineRule="auto"/>
        <w:ind w:right="246" w:rightChars="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2、图文制作要求：内容表达准确、风格符合主题特色，重点突出；</w:t>
      </w:r>
    </w:p>
    <w:p>
      <w:pPr>
        <w:pStyle w:val="2"/>
        <w:numPr>
          <w:ilvl w:val="0"/>
          <w:numId w:val="0"/>
        </w:numPr>
        <w:spacing w:line="240" w:lineRule="auto"/>
        <w:ind w:right="246" w:rightChars="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3、视频画面及声音要求：</w:t>
      </w:r>
    </w:p>
    <w:p>
      <w:pPr>
        <w:pStyle w:val="2"/>
        <w:numPr>
          <w:ilvl w:val="0"/>
          <w:numId w:val="0"/>
        </w:numPr>
        <w:spacing w:line="240" w:lineRule="auto"/>
        <w:ind w:right="246" w:rightChars="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整体：视频由影像画面、字幕、背景音乐以及特效包装等多种影音元素有机构成。</w:t>
      </w:r>
    </w:p>
    <w:p>
      <w:pPr>
        <w:pStyle w:val="2"/>
        <w:numPr>
          <w:ilvl w:val="0"/>
          <w:numId w:val="0"/>
        </w:numPr>
        <w:spacing w:line="240" w:lineRule="auto"/>
        <w:ind w:right="246" w:rightChars="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画面：视频画面清晰，色调准确，细节内容丰富，场面调度有序，明暗亮度适中，字幕无误，声画同步。</w:t>
      </w:r>
    </w:p>
    <w:p>
      <w:pPr>
        <w:pStyle w:val="2"/>
        <w:numPr>
          <w:ilvl w:val="0"/>
          <w:numId w:val="0"/>
        </w:numPr>
        <w:spacing w:line="240" w:lineRule="auto"/>
        <w:ind w:right="246" w:rightChars="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音频：视频音频指标整体平衡，解说、采访同期、背景音乐等声音元素互不干扰，相得益彰。</w:t>
      </w:r>
    </w:p>
    <w:p>
      <w:pPr>
        <w:pStyle w:val="2"/>
        <w:numPr>
          <w:ilvl w:val="0"/>
          <w:numId w:val="0"/>
        </w:numPr>
        <w:spacing w:line="240" w:lineRule="auto"/>
        <w:ind w:right="246" w:rightChars="0"/>
        <w:jc w:val="both"/>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4、供应商提供的数字资源内容制作大纲，须通过采购人审核。</w:t>
      </w:r>
    </w:p>
    <w:p>
      <w:pPr>
        <w:pStyle w:val="2"/>
        <w:rPr>
          <w:rFonts w:hint="eastAsia"/>
          <w:b/>
          <w:bCs/>
          <w:lang w:val="en-US" w:eastAsia="zh-CN"/>
        </w:rPr>
      </w:pPr>
    </w:p>
    <w:p>
      <w:pPr>
        <w:pStyle w:val="2"/>
        <w:rPr>
          <w:rFonts w:hint="eastAsia"/>
          <w:b/>
          <w:bCs/>
          <w:lang w:val="en-US" w:eastAsia="zh-CN"/>
        </w:rPr>
      </w:pPr>
    </w:p>
    <w:p>
      <w:pPr>
        <w:pStyle w:val="248"/>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注：如对本招标文件有任何疑问或要求澄清，请按本招标文件的规定提出，否则视同理解和接受。</w:t>
      </w:r>
    </w:p>
    <w:p>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bookmarkEnd w:id="50"/>
    <w:bookmarkEnd w:id="51"/>
    <w:bookmarkEnd w:id="52"/>
    <w:bookmarkEnd w:id="53"/>
    <w:bookmarkEnd w:id="54"/>
    <w:bookmarkEnd w:id="55"/>
    <w:bookmarkEnd w:id="56"/>
    <w:p>
      <w:pPr>
        <w:pStyle w:val="82"/>
        <w:spacing w:line="500" w:lineRule="exact"/>
        <w:jc w:val="center"/>
        <w:outlineLvl w:val="0"/>
        <w:rPr>
          <w:rFonts w:hint="eastAsia" w:ascii="宋体" w:hAnsi="宋体" w:eastAsia="宋体" w:cs="宋体"/>
          <w:b/>
          <w:bCs w:val="0"/>
          <w:color w:val="auto"/>
          <w:kern w:val="0"/>
          <w:highlight w:val="none"/>
        </w:rPr>
      </w:pPr>
      <w:bookmarkStart w:id="84" w:name="_Toc256000025"/>
      <w:bookmarkStart w:id="85" w:name="_Toc534380786"/>
      <w:r>
        <w:rPr>
          <w:rFonts w:hint="eastAsia" w:ascii="宋体" w:hAnsi="宋体" w:eastAsia="宋体" w:cs="宋体"/>
          <w:b/>
          <w:bCs w:val="0"/>
          <w:color w:val="auto"/>
          <w:kern w:val="0"/>
          <w:sz w:val="32"/>
          <w:szCs w:val="32"/>
          <w:highlight w:val="none"/>
        </w:rPr>
        <w:t>第</w:t>
      </w:r>
      <w:r>
        <w:rPr>
          <w:rFonts w:hint="eastAsia" w:ascii="宋体" w:hAnsi="宋体" w:eastAsia="宋体" w:cs="宋体"/>
          <w:b/>
          <w:bCs w:val="0"/>
          <w:color w:val="auto"/>
          <w:kern w:val="0"/>
          <w:sz w:val="32"/>
          <w:szCs w:val="32"/>
          <w:highlight w:val="none"/>
          <w:lang w:eastAsia="zh-CN"/>
        </w:rPr>
        <w:t>四</w:t>
      </w:r>
      <w:r>
        <w:rPr>
          <w:rFonts w:hint="eastAsia" w:ascii="宋体" w:hAnsi="宋体" w:eastAsia="宋体" w:cs="宋体"/>
          <w:b/>
          <w:bCs w:val="0"/>
          <w:color w:val="auto"/>
          <w:kern w:val="0"/>
          <w:sz w:val="32"/>
          <w:szCs w:val="32"/>
          <w:highlight w:val="none"/>
        </w:rPr>
        <w:t>章 评审方法</w:t>
      </w:r>
      <w:bookmarkEnd w:id="84"/>
      <w:bookmarkEnd w:id="85"/>
    </w:p>
    <w:p>
      <w:pPr>
        <w:pStyle w:val="82"/>
        <w:spacing w:line="500" w:lineRule="exact"/>
        <w:jc w:val="both"/>
        <w:rPr>
          <w:rFonts w:hint="eastAsia" w:ascii="宋体" w:hAnsi="宋体" w:eastAsia="宋体" w:cs="宋体"/>
          <w:b/>
          <w:bCs w:val="0"/>
          <w:color w:val="auto"/>
          <w:kern w:val="0"/>
          <w:sz w:val="21"/>
          <w:szCs w:val="21"/>
          <w:highlight w:val="none"/>
          <w:lang w:eastAsia="zh-CN"/>
        </w:rPr>
      </w:pPr>
      <w:bookmarkStart w:id="86" w:name="EB229c4d45af864dea8dc66eeade4a4ff5"/>
      <w:r>
        <w:rPr>
          <w:rFonts w:hint="eastAsia" w:ascii="宋体" w:hAnsi="宋体" w:eastAsia="宋体" w:cs="宋体"/>
          <w:b/>
          <w:bCs w:val="0"/>
          <w:color w:val="auto"/>
          <w:kern w:val="0"/>
          <w:sz w:val="21"/>
          <w:szCs w:val="21"/>
          <w:highlight w:val="none"/>
          <w:lang w:eastAsia="zh-CN"/>
        </w:rPr>
        <w:t>一、综合评分法</w:t>
      </w:r>
    </w:p>
    <w:p>
      <w:pPr>
        <w:pStyle w:val="83"/>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lang w:eastAsia="zh-CN"/>
        </w:rPr>
        <w:t xml:space="preserve">经磋商确定最终采购需求和提交最后报价的供应商后，由磋商小组采用综合评分法对提交最后报价的供应商的响应文件和最后报价进行综合评分。 </w:t>
      </w:r>
    </w:p>
    <w:p>
      <w:pPr>
        <w:pStyle w:val="83"/>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lang w:eastAsia="zh-CN"/>
        </w:rPr>
        <w:t xml:space="preserve">综合评分法，是指响应文件满足磋商文件全部实质性要求且按评审因素的量化指标评审得分最高的供应商为成交候选供应商的评审方法。 </w:t>
      </w:r>
    </w:p>
    <w:p>
      <w:pPr>
        <w:pStyle w:val="83"/>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val="0"/>
          <w:bCs/>
          <w:color w:val="auto"/>
          <w:kern w:val="0"/>
          <w:sz w:val="21"/>
          <w:szCs w:val="21"/>
          <w:highlight w:val="none"/>
          <w:lang w:eastAsia="zh-CN"/>
        </w:rPr>
        <w:t>评审时，磋商小组各成员应当独立对每个有效响应的文件进行评价、打分，然后汇总每个供应商每项评分因素的得分。 符合《政府采购竞争性磋商采购方式管理暂行办法》（财库[2014]214 号）中第三条第三项的规定和执行统一价格标准的项目， 其价格不列为评分因素。有特殊情况需要在上述规定范围外设定价格分权重的，应当经本级人民政府财政部门审核同意。</w:t>
      </w:r>
      <w:bookmarkStart w:id="87" w:name="_Toc6576"/>
      <w:bookmarkStart w:id="88" w:name="_Toc25681"/>
    </w:p>
    <w:p>
      <w:pPr>
        <w:jc w:val="center"/>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zh-CN"/>
        </w:rPr>
        <w:t>综合评分细则表</w:t>
      </w:r>
      <w:bookmarkEnd w:id="87"/>
      <w:bookmarkEnd w:id="88"/>
    </w:p>
    <w:p>
      <w:pPr>
        <w:pStyle w:val="82"/>
        <w:numPr>
          <w:ilvl w:val="0"/>
          <w:numId w:val="0"/>
        </w:numPr>
        <w:spacing w:line="500" w:lineRule="exact"/>
        <w:jc w:val="both"/>
        <w:rPr>
          <w:rFonts w:hint="default" w:ascii="宋体" w:hAnsi="宋体" w:eastAsia="宋体" w:cs="宋体"/>
          <w:b/>
          <w:bCs w:val="0"/>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rPr>
        <w:t>1.1初步评审</w:t>
      </w:r>
    </w:p>
    <w:tbl>
      <w:tblPr>
        <w:tblStyle w:val="46"/>
        <w:tblW w:w="9155"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332"/>
        <w:gridCol w:w="603"/>
        <w:gridCol w:w="1604"/>
        <w:gridCol w:w="5672"/>
        <w:gridCol w:w="480"/>
        <w:gridCol w:w="464"/>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0" w:hRule="atLeast"/>
          <w:jc w:val="center"/>
        </w:trPr>
        <w:tc>
          <w:tcPr>
            <w:tcW w:w="935" w:type="dxa"/>
            <w:gridSpan w:val="2"/>
            <w:vMerge w:val="restart"/>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评分</w:t>
            </w:r>
          </w:p>
          <w:p>
            <w:pPr>
              <w:pStyle w:val="82"/>
              <w:spacing w:line="240" w:lineRule="auto"/>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因素</w:t>
            </w:r>
          </w:p>
        </w:tc>
        <w:tc>
          <w:tcPr>
            <w:tcW w:w="1604" w:type="dxa"/>
            <w:vMerge w:val="restart"/>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评分点</w:t>
            </w:r>
          </w:p>
        </w:tc>
        <w:tc>
          <w:tcPr>
            <w:tcW w:w="5672" w:type="dxa"/>
            <w:vMerge w:val="restart"/>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评分标准</w:t>
            </w:r>
          </w:p>
        </w:tc>
        <w:tc>
          <w:tcPr>
            <w:tcW w:w="944" w:type="dxa"/>
            <w:gridSpan w:val="2"/>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评审意见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935"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1604"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567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480"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是</w:t>
            </w:r>
          </w:p>
        </w:tc>
        <w:tc>
          <w:tcPr>
            <w:tcW w:w="464"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32" w:type="dxa"/>
            <w:vMerge w:val="restart"/>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初步评审</w:t>
            </w:r>
          </w:p>
        </w:tc>
        <w:tc>
          <w:tcPr>
            <w:tcW w:w="603" w:type="dxa"/>
            <w:vMerge w:val="restart"/>
            <w:tcBorders>
              <w:top w:val="single" w:color="auto" w:sz="4" w:space="0"/>
              <w:left w:val="single" w:color="auto" w:sz="4" w:space="0"/>
              <w:bottom w:val="single" w:color="auto" w:sz="4" w:space="0"/>
              <w:right w:val="single" w:color="auto" w:sz="4" w:space="0"/>
            </w:tcBorders>
            <w:vAlign w:val="center"/>
          </w:tcPr>
          <w:p>
            <w:pPr>
              <w:pStyle w:val="82"/>
              <w:spacing w:line="240" w:lineRule="auto"/>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资格审查</w:t>
            </w:r>
          </w:p>
        </w:tc>
        <w:tc>
          <w:tcPr>
            <w:tcW w:w="1604"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rPr>
              <w:t>法定代表人或授权委托书</w:t>
            </w:r>
          </w:p>
        </w:tc>
        <w:tc>
          <w:tcPr>
            <w:tcW w:w="5672"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rPr>
              <w:t>提供法定代表人身份证明书和法定代表人身份证或者法定代表人授权委托书及被授权人身份证明</w:t>
            </w:r>
          </w:p>
        </w:tc>
        <w:tc>
          <w:tcPr>
            <w:tcW w:w="480"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464"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ascii="宋体" w:hAnsi="宋体" w:eastAsia="宋体" w:cs="宋体"/>
                <w:sz w:val="21"/>
                <w:szCs w:val="21"/>
                <w:highlight w:val="none"/>
              </w:rPr>
              <w:t>营业执照</w:t>
            </w:r>
          </w:p>
        </w:tc>
        <w:tc>
          <w:tcPr>
            <w:tcW w:w="5672" w:type="dxa"/>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具有独立承担民事责任能力的在中华人民共和国境内注册的法人、其他组织或者自然人</w:t>
            </w:r>
          </w:p>
        </w:tc>
        <w:tc>
          <w:tcPr>
            <w:tcW w:w="480"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464"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260"/>
              <w:spacing w:line="3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兰米宋体"/>
                <w:color w:val="auto"/>
                <w:sz w:val="21"/>
                <w:szCs w:val="21"/>
              </w:rPr>
              <w:t>信用查询</w:t>
            </w:r>
          </w:p>
        </w:tc>
        <w:tc>
          <w:tcPr>
            <w:tcW w:w="5672" w:type="dxa"/>
            <w:tcBorders>
              <w:top w:val="single" w:color="auto" w:sz="4" w:space="0"/>
              <w:left w:val="single" w:color="auto" w:sz="4" w:space="0"/>
              <w:bottom w:val="single" w:color="auto" w:sz="4" w:space="0"/>
              <w:right w:val="single" w:color="auto" w:sz="4" w:space="0"/>
            </w:tcBorders>
            <w:vAlign w:val="center"/>
          </w:tcPr>
          <w:p>
            <w:pPr>
              <w:pStyle w:val="260"/>
              <w:spacing w:line="3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须在“信用中国”（www.creditchina.gov.cn）和“中国政府采购网 （</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www.ccgp.gov.cn%EF%BC%89%E2%80%9D%E7%BD%91%E7%AB%99%E4%B8%8A%E6%9C%AA%E8%A2%AB%E5%88%97%E5%85%A5%E5%A4%B1%E4%BF%A1%E8%A2%AB%E6%89%A7%E8%A1%8C%E4%BA%BA%E3%80%81%E9%87%8D%E5%A4%A7%E7%A8%8E%E6%94%B6%E8%BF%9D%E6%B3%95%E6%A1%88%E4%BB%B6%E5%BD%93%E4%BA%8B%E4%BA%BA%E5%90%8D%E5%8D%95%E3%80%81%E6%94%BF%E5%BA%9C%E9%87%87%E8%B4%AD%E4%B8%A5%E9%87%8D%E8%BF%9D%E6%B3%95%E5%A4%B1%E4%BF%A1%E8%A1%8C/"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www.ccgp.gov.cn）”网站上未被列入失信被执行人、重大税收违法案件当事人名单、政府采购严重违法失信行</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为记录名单；</w:t>
            </w:r>
          </w:p>
        </w:tc>
        <w:tc>
          <w:tcPr>
            <w:tcW w:w="480"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464"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left"/>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中小企业政策</w:t>
            </w:r>
          </w:p>
        </w:tc>
        <w:tc>
          <w:tcPr>
            <w:tcW w:w="5672" w:type="dxa"/>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本项目</w:t>
            </w:r>
            <w:r>
              <w:rPr>
                <w:rFonts w:hint="eastAsia" w:ascii="宋体" w:hAnsi="宋体" w:eastAsia="宋体" w:cs="宋体"/>
                <w:kern w:val="2"/>
                <w:sz w:val="21"/>
                <w:szCs w:val="21"/>
                <w:lang w:val="en-US" w:eastAsia="zh-CN" w:bidi="ar-SA"/>
              </w:rPr>
              <w:t>专门面向中小企业预留份额100%，其中专门面向小微预留份额100%</w:t>
            </w:r>
            <w:r>
              <w:rPr>
                <w:rFonts w:hint="eastAsia" w:ascii="宋体" w:hAnsi="宋体" w:cs="宋体"/>
                <w:kern w:val="2"/>
                <w:sz w:val="21"/>
                <w:szCs w:val="21"/>
                <w:lang w:val="en-US" w:eastAsia="zh-CN" w:bidi="ar-SA"/>
              </w:rPr>
              <w:t>，</w:t>
            </w:r>
            <w:r>
              <w:rPr>
                <w:rFonts w:hint="eastAsia" w:ascii="宋体" w:hAnsi="宋体" w:eastAsia="宋体" w:cs="宋体"/>
                <w:color w:val="auto"/>
                <w:sz w:val="21"/>
                <w:szCs w:val="21"/>
                <w:lang w:val="en-US" w:eastAsia="zh-CN"/>
              </w:rPr>
              <w:t>参加本次采购活动的中小企业应当提供本办法规定的《中小企业声明函》</w:t>
            </w:r>
            <w:r>
              <w:rPr>
                <w:rFonts w:hint="eastAsia" w:ascii="宋体" w:hAnsi="宋体" w:cs="宋体"/>
                <w:color w:val="auto"/>
                <w:sz w:val="21"/>
                <w:szCs w:val="21"/>
                <w:lang w:val="en-US" w:eastAsia="zh-CN"/>
              </w:rPr>
              <w:t>或</w:t>
            </w:r>
            <w:r>
              <w:rPr>
                <w:rFonts w:hint="eastAsia" w:ascii="宋体" w:hAnsi="宋体" w:eastAsia="宋体" w:cs="宋体"/>
                <w:color w:val="auto"/>
                <w:sz w:val="21"/>
                <w:szCs w:val="21"/>
                <w:lang w:val="en-US" w:eastAsia="zh-CN"/>
              </w:rPr>
              <w:t>出具相关行政部门证明。</w:t>
            </w:r>
          </w:p>
        </w:tc>
        <w:tc>
          <w:tcPr>
            <w:tcW w:w="480"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464"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left"/>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restart"/>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符合性审查</w:t>
            </w:r>
          </w:p>
        </w:tc>
        <w:tc>
          <w:tcPr>
            <w:tcW w:w="1604"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财务报告</w:t>
            </w:r>
          </w:p>
        </w:tc>
        <w:tc>
          <w:tcPr>
            <w:tcW w:w="5672"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提供近一年（2021）的财务审计报告或财务报表（成立不满一年的须提供最近一个季度的财务报表）</w:t>
            </w:r>
          </w:p>
        </w:tc>
        <w:tc>
          <w:tcPr>
            <w:tcW w:w="480"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464"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left"/>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社保证明</w:t>
            </w:r>
          </w:p>
        </w:tc>
        <w:tc>
          <w:tcPr>
            <w:tcW w:w="5672"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提供近一年内任意一个月的社保缴纳证明</w:t>
            </w:r>
          </w:p>
        </w:tc>
        <w:tc>
          <w:tcPr>
            <w:tcW w:w="480"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464"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完税证明</w:t>
            </w:r>
          </w:p>
        </w:tc>
        <w:tc>
          <w:tcPr>
            <w:tcW w:w="5672"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提供近一年内任意一个月完税证明</w:t>
            </w:r>
          </w:p>
        </w:tc>
        <w:tc>
          <w:tcPr>
            <w:tcW w:w="480"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464"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98" w:hRule="atLeast"/>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投标保证金</w:t>
            </w:r>
          </w:p>
        </w:tc>
        <w:tc>
          <w:tcPr>
            <w:tcW w:w="5672"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按照要求交纳了投标保证金</w:t>
            </w:r>
          </w:p>
        </w:tc>
        <w:tc>
          <w:tcPr>
            <w:tcW w:w="480"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464"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0" w:hRule="atLeast"/>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企业信誉</w:t>
            </w:r>
          </w:p>
        </w:tc>
        <w:tc>
          <w:tcPr>
            <w:tcW w:w="5672" w:type="dxa"/>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val="en-US" w:eastAsia="zh-CN"/>
              </w:rPr>
              <w:t>供应商需提供</w:t>
            </w:r>
            <w:r>
              <w:rPr>
                <w:rFonts w:hint="eastAsia" w:ascii="宋体" w:hAnsi="宋体" w:cs="宋体"/>
                <w:color w:val="auto"/>
                <w:kern w:val="0"/>
                <w:szCs w:val="21"/>
                <w:highlight w:val="none"/>
                <w:lang w:eastAsia="zh-CN"/>
              </w:rPr>
              <w:t>在</w:t>
            </w:r>
            <w:r>
              <w:rPr>
                <w:rFonts w:hint="eastAsia" w:ascii="宋体" w:hAnsi="宋体" w:cs="宋体"/>
                <w:color w:val="auto"/>
                <w:kern w:val="0"/>
                <w:szCs w:val="21"/>
                <w:highlight w:val="none"/>
              </w:rPr>
              <w:t>近三年（201</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年至今）在招投标及政府采购活动中</w:t>
            </w:r>
            <w:r>
              <w:rPr>
                <w:rFonts w:hint="eastAsia" w:ascii="宋体" w:hAnsi="宋体" w:cs="宋体"/>
                <w:color w:val="auto"/>
                <w:kern w:val="0"/>
                <w:szCs w:val="21"/>
                <w:highlight w:val="none"/>
                <w:lang w:eastAsia="zh-CN"/>
              </w:rPr>
              <w:t>无</w:t>
            </w:r>
            <w:r>
              <w:rPr>
                <w:rFonts w:hint="eastAsia" w:ascii="宋体" w:hAnsi="宋体" w:cs="宋体"/>
                <w:color w:val="auto"/>
                <w:kern w:val="0"/>
                <w:szCs w:val="21"/>
                <w:highlight w:val="none"/>
              </w:rPr>
              <w:t>重大违法行为的</w:t>
            </w:r>
            <w:r>
              <w:rPr>
                <w:rFonts w:hint="eastAsia" w:ascii="宋体" w:hAnsi="宋体" w:cs="宋体"/>
                <w:color w:val="auto"/>
                <w:kern w:val="0"/>
                <w:szCs w:val="21"/>
                <w:highlight w:val="none"/>
                <w:lang w:val="en-US" w:eastAsia="zh-CN"/>
              </w:rPr>
              <w:t>承诺书</w:t>
            </w:r>
            <w:r>
              <w:rPr>
                <w:rFonts w:hint="eastAsia" w:ascii="宋体" w:hAnsi="宋体" w:cs="宋体"/>
                <w:color w:val="auto"/>
                <w:kern w:val="0"/>
                <w:szCs w:val="21"/>
                <w:highlight w:val="none"/>
              </w:rPr>
              <w:t>；</w:t>
            </w:r>
          </w:p>
        </w:tc>
        <w:tc>
          <w:tcPr>
            <w:tcW w:w="480"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464"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电子</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签署</w:t>
            </w:r>
          </w:p>
        </w:tc>
        <w:tc>
          <w:tcPr>
            <w:tcW w:w="5672"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按电子</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上格式要求公司签章、法定代表人或其授权代表人的电子签章齐全。</w:t>
            </w:r>
          </w:p>
        </w:tc>
        <w:tc>
          <w:tcPr>
            <w:tcW w:w="480"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464"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0" w:hRule="atLeast"/>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报价唯一</w:t>
            </w:r>
          </w:p>
        </w:tc>
        <w:tc>
          <w:tcPr>
            <w:tcW w:w="5672"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供应商只能在预算金额和最高限价内报价，只能有一个有效报价，不得提交选择性报价。</w:t>
            </w:r>
          </w:p>
        </w:tc>
        <w:tc>
          <w:tcPr>
            <w:tcW w:w="480"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464"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1" w:hRule="atLeast"/>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投标</w:t>
            </w:r>
            <w:r>
              <w:rPr>
                <w:rFonts w:ascii="宋体" w:hAnsi="宋体" w:eastAsia="宋体" w:cs="宋体"/>
                <w:sz w:val="21"/>
                <w:szCs w:val="21"/>
                <w:highlight w:val="none"/>
              </w:rPr>
              <w:t>有效期</w:t>
            </w:r>
          </w:p>
        </w:tc>
        <w:tc>
          <w:tcPr>
            <w:tcW w:w="5672" w:type="dxa"/>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投标</w:t>
            </w:r>
            <w:r>
              <w:rPr>
                <w:rFonts w:ascii="宋体" w:hAnsi="宋体" w:eastAsia="宋体" w:cs="宋体"/>
                <w:sz w:val="21"/>
                <w:szCs w:val="21"/>
                <w:highlight w:val="none"/>
              </w:rPr>
              <w:t>有效期</w:t>
            </w:r>
            <w:r>
              <w:rPr>
                <w:rFonts w:hint="eastAsia" w:ascii="宋体" w:hAnsi="宋体" w:eastAsia="宋体" w:cs="宋体"/>
                <w:sz w:val="21"/>
                <w:szCs w:val="21"/>
                <w:highlight w:val="none"/>
              </w:rPr>
              <w:t>符合招标文件的要求</w:t>
            </w:r>
          </w:p>
        </w:tc>
        <w:tc>
          <w:tcPr>
            <w:tcW w:w="480"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464"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1" w:hRule="atLeast"/>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响应文件内容</w:t>
            </w:r>
          </w:p>
        </w:tc>
        <w:tc>
          <w:tcPr>
            <w:tcW w:w="56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color w:val="auto"/>
                <w:kern w:val="0"/>
                <w:szCs w:val="21"/>
                <w:highlight w:val="none"/>
                <w:lang w:val="en-US" w:eastAsia="zh-CN"/>
              </w:rPr>
            </w:pPr>
            <w:r>
              <w:rPr>
                <w:rFonts w:hint="eastAsia" w:ascii="宋体" w:hAnsi="宋体" w:cs="宋体"/>
                <w:kern w:val="0"/>
                <w:sz w:val="21"/>
                <w:szCs w:val="21"/>
              </w:rPr>
              <w:t>供应商必须按</w:t>
            </w:r>
            <w:r>
              <w:rPr>
                <w:rFonts w:hint="eastAsia" w:ascii="宋体" w:hAnsi="宋体" w:cs="宋体"/>
                <w:kern w:val="0"/>
                <w:sz w:val="21"/>
                <w:szCs w:val="21"/>
                <w:lang w:eastAsia="zh-CN"/>
              </w:rPr>
              <w:t>磋商</w:t>
            </w:r>
            <w:r>
              <w:rPr>
                <w:rFonts w:hint="eastAsia" w:ascii="宋体" w:hAnsi="宋体" w:cs="宋体"/>
                <w:kern w:val="0"/>
                <w:sz w:val="21"/>
                <w:szCs w:val="21"/>
              </w:rPr>
              <w:t>文件要求的格式</w:t>
            </w:r>
            <w:r>
              <w:rPr>
                <w:rFonts w:hint="eastAsia" w:ascii="宋体" w:hAnsi="宋体" w:cs="宋体"/>
                <w:kern w:val="0"/>
                <w:sz w:val="21"/>
                <w:szCs w:val="21"/>
                <w:lang w:val="en-US" w:eastAsia="zh-CN"/>
              </w:rPr>
              <w:t>填</w:t>
            </w:r>
            <w:r>
              <w:rPr>
                <w:rFonts w:hint="eastAsia" w:ascii="宋体" w:hAnsi="宋体" w:cs="宋体"/>
                <w:kern w:val="0"/>
                <w:sz w:val="21"/>
                <w:szCs w:val="21"/>
              </w:rPr>
              <w:t>写，响应文件按照</w:t>
            </w:r>
            <w:r>
              <w:rPr>
                <w:rFonts w:hint="eastAsia" w:ascii="宋体" w:hAnsi="宋体" w:cs="宋体"/>
                <w:kern w:val="0"/>
                <w:sz w:val="21"/>
                <w:szCs w:val="21"/>
                <w:lang w:eastAsia="zh-CN"/>
              </w:rPr>
              <w:t>磋商</w:t>
            </w:r>
            <w:r>
              <w:rPr>
                <w:rFonts w:hint="eastAsia" w:ascii="宋体" w:hAnsi="宋体" w:cs="宋体"/>
                <w:kern w:val="0"/>
                <w:sz w:val="21"/>
                <w:szCs w:val="21"/>
              </w:rPr>
              <w:t>文件要求编写、签署盖章、装订</w:t>
            </w:r>
            <w:r>
              <w:rPr>
                <w:rFonts w:hint="eastAsia" w:ascii="宋体" w:hAnsi="宋体" w:cs="宋体"/>
                <w:kern w:val="0"/>
                <w:sz w:val="21"/>
                <w:szCs w:val="21"/>
                <w:lang w:eastAsia="zh-CN"/>
              </w:rPr>
              <w:t>，</w:t>
            </w:r>
            <w:r>
              <w:rPr>
                <w:rFonts w:hint="eastAsia" w:ascii="宋体" w:hAnsi="宋体" w:cs="宋体"/>
                <w:kern w:val="0"/>
                <w:sz w:val="21"/>
                <w:szCs w:val="21"/>
              </w:rPr>
              <w:t>无内容不全或关键字迹模糊、无法辨认的情况；</w:t>
            </w:r>
          </w:p>
        </w:tc>
        <w:tc>
          <w:tcPr>
            <w:tcW w:w="480"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464"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1" w:hRule="atLeast"/>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实质性响应</w:t>
            </w:r>
          </w:p>
        </w:tc>
        <w:tc>
          <w:tcPr>
            <w:tcW w:w="56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lang w:eastAsia="zh-CN"/>
              </w:rPr>
            </w:pPr>
            <w:r>
              <w:rPr>
                <w:rFonts w:hint="eastAsia" w:ascii="宋体" w:hAnsi="宋体" w:cs="宋体"/>
                <w:kern w:val="0"/>
                <w:sz w:val="21"/>
                <w:szCs w:val="21"/>
              </w:rPr>
              <w:t>响应文件实质上响应了竞争性磋商文件的要求。实质上响应的投标应该是与竞争性磋商文件要求的全部条款、条件等相符，没有重大偏离或保留的投标；</w:t>
            </w:r>
          </w:p>
        </w:tc>
        <w:tc>
          <w:tcPr>
            <w:tcW w:w="480"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464"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1" w:hRule="atLeast"/>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1604" w:type="dxa"/>
            <w:vMerge w:val="restart"/>
            <w:tcBorders>
              <w:top w:val="single" w:color="auto" w:sz="4" w:space="0"/>
              <w:left w:val="single" w:color="auto" w:sz="4" w:space="0"/>
              <w:right w:val="single" w:color="auto" w:sz="4" w:space="0"/>
            </w:tcBorders>
            <w:shd w:val="clear" w:color="auto" w:fill="auto"/>
            <w:vAlign w:val="center"/>
          </w:tcPr>
          <w:p>
            <w:pPr>
              <w:pStyle w:val="6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其他</w:t>
            </w:r>
          </w:p>
        </w:tc>
        <w:tc>
          <w:tcPr>
            <w:tcW w:w="56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color w:val="000000"/>
                <w:kern w:val="2"/>
                <w:sz w:val="21"/>
                <w:szCs w:val="21"/>
                <w:highlight w:val="none"/>
                <w:lang w:val="en-US" w:eastAsia="zh-CN" w:bidi="ar-SA"/>
              </w:rPr>
            </w:pPr>
            <w:r>
              <w:rPr>
                <w:rFonts w:hint="eastAsia" w:ascii="Times New Roman" w:hAnsi="Times New Roman" w:eastAsia="宋体" w:cs="Times New Roman"/>
                <w:color w:val="auto"/>
                <w:sz w:val="21"/>
                <w:lang w:eastAsia="zh-CN"/>
              </w:rPr>
              <w:t>响应文件</w:t>
            </w:r>
            <w:r>
              <w:rPr>
                <w:rFonts w:ascii="Times New Roman" w:hAnsi="Times New Roman" w:eastAsia="宋体" w:cs="Times New Roman"/>
                <w:color w:val="auto"/>
                <w:sz w:val="21"/>
                <w:lang w:eastAsia="zh-CN"/>
              </w:rPr>
              <w:t>未附有采购人不能接受的附加条件</w:t>
            </w:r>
          </w:p>
        </w:tc>
        <w:tc>
          <w:tcPr>
            <w:tcW w:w="480"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464"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1" w:hRule="atLeast"/>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1604" w:type="dxa"/>
            <w:vMerge w:val="continue"/>
            <w:tcBorders>
              <w:left w:val="single" w:color="auto" w:sz="4" w:space="0"/>
              <w:bottom w:val="single" w:color="auto" w:sz="4" w:space="0"/>
              <w:right w:val="single" w:color="auto" w:sz="4" w:space="0"/>
            </w:tcBorders>
            <w:shd w:val="clear" w:color="auto" w:fill="auto"/>
            <w:vAlign w:val="center"/>
          </w:tcPr>
          <w:p>
            <w:pPr>
              <w:pStyle w:val="6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000000"/>
                <w:sz w:val="21"/>
                <w:szCs w:val="21"/>
                <w:highlight w:val="none"/>
                <w:lang w:val="en-US" w:eastAsia="zh-CN"/>
              </w:rPr>
            </w:pPr>
          </w:p>
        </w:tc>
        <w:tc>
          <w:tcPr>
            <w:tcW w:w="56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微软雅黑" w:cs="宋体"/>
                <w:color w:val="000000"/>
                <w:kern w:val="2"/>
                <w:sz w:val="21"/>
                <w:szCs w:val="21"/>
                <w:highlight w:val="none"/>
                <w:lang w:val="en-US" w:eastAsia="zh-CN" w:bidi="ar-SA"/>
              </w:rPr>
            </w:pPr>
            <w:r>
              <w:rPr>
                <w:rFonts w:hint="eastAsia" w:ascii="Times New Roman" w:hAnsi="Times New Roman" w:cs="Times New Roman"/>
                <w:color w:val="auto"/>
                <w:sz w:val="21"/>
                <w:lang w:val="en-US" w:eastAsia="zh-CN"/>
              </w:rPr>
              <w:t>响应文件不存在</w:t>
            </w:r>
            <w:r>
              <w:rPr>
                <w:rFonts w:ascii="Times New Roman" w:hAnsi="Times New Roman" w:eastAsia="宋体" w:cs="Times New Roman"/>
                <w:color w:val="auto"/>
                <w:sz w:val="21"/>
                <w:lang w:eastAsia="zh-CN"/>
              </w:rPr>
              <w:t>法律、法规和</w:t>
            </w:r>
            <w:r>
              <w:rPr>
                <w:rFonts w:hint="eastAsia" w:ascii="Times New Roman" w:hAnsi="Times New Roman" w:eastAsia="宋体" w:cs="Times New Roman"/>
                <w:color w:val="auto"/>
                <w:sz w:val="21"/>
                <w:lang w:eastAsia="zh-CN"/>
              </w:rPr>
              <w:t>磋商文件</w:t>
            </w:r>
            <w:r>
              <w:rPr>
                <w:rFonts w:ascii="Times New Roman" w:hAnsi="Times New Roman" w:eastAsia="宋体" w:cs="Times New Roman"/>
                <w:color w:val="auto"/>
                <w:sz w:val="21"/>
                <w:lang w:eastAsia="zh-CN"/>
              </w:rPr>
              <w:t>规定的其他无效情形。</w:t>
            </w:r>
          </w:p>
        </w:tc>
        <w:tc>
          <w:tcPr>
            <w:tcW w:w="480"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464"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bookmarkEnd w:id="86"/>
    </w:tbl>
    <w:p>
      <w:pPr>
        <w:rPr>
          <w:highlight w:val="none"/>
        </w:rPr>
      </w:pPr>
    </w:p>
    <w:p>
      <w:pPr>
        <w:pStyle w:val="13"/>
        <w:rPr>
          <w:highlight w:val="none"/>
        </w:rPr>
      </w:pPr>
    </w:p>
    <w:p>
      <w:pPr>
        <w:pStyle w:val="13"/>
        <w:rPr>
          <w:rFonts w:hint="default" w:eastAsia="宋体"/>
          <w:highlight w:val="none"/>
          <w:lang w:val="en-US" w:eastAsia="zh-CN"/>
        </w:rPr>
      </w:pPr>
      <w:r>
        <w:rPr>
          <w:rFonts w:hint="eastAsia" w:ascii="宋体" w:hAnsi="宋体" w:eastAsia="宋体" w:cs="宋体"/>
          <w:b/>
          <w:bCs w:val="0"/>
          <w:color w:val="auto"/>
          <w:kern w:val="0"/>
          <w:sz w:val="21"/>
          <w:szCs w:val="21"/>
          <w:highlight w:val="none"/>
          <w:lang w:val="en-US" w:eastAsia="zh-CN" w:bidi="ar-SA"/>
        </w:rPr>
        <w:t>1.2详细评审</w:t>
      </w:r>
    </w:p>
    <w:tbl>
      <w:tblPr>
        <w:tblStyle w:val="46"/>
        <w:tblW w:w="9194"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481"/>
        <w:gridCol w:w="925"/>
        <w:gridCol w:w="485"/>
        <w:gridCol w:w="6738"/>
        <w:gridCol w:w="565"/>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844" w:hRule="atLeast"/>
          <w:jc w:val="center"/>
        </w:trPr>
        <w:tc>
          <w:tcPr>
            <w:tcW w:w="1406" w:type="dxa"/>
            <w:gridSpan w:val="2"/>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评分因素</w:t>
            </w:r>
          </w:p>
        </w:tc>
        <w:tc>
          <w:tcPr>
            <w:tcW w:w="485"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评分点</w:t>
            </w:r>
          </w:p>
        </w:tc>
        <w:tc>
          <w:tcPr>
            <w:tcW w:w="6738"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评分标准</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val="en-US" w:eastAsia="zh-CN"/>
              </w:rPr>
              <w:t>分值</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588" w:hRule="atLeast"/>
          <w:jc w:val="center"/>
        </w:trPr>
        <w:tc>
          <w:tcPr>
            <w:tcW w:w="481" w:type="dxa"/>
            <w:vMerge w:val="restart"/>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详细评审</w:t>
            </w:r>
          </w:p>
        </w:tc>
        <w:tc>
          <w:tcPr>
            <w:tcW w:w="925"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价格评审</w:t>
            </w:r>
          </w:p>
          <w:p>
            <w:pPr>
              <w:pStyle w:val="6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投标报价</w:t>
            </w:r>
          </w:p>
        </w:tc>
        <w:tc>
          <w:tcPr>
            <w:tcW w:w="6738" w:type="dxa"/>
            <w:tcBorders>
              <w:top w:val="single" w:color="auto" w:sz="4" w:space="0"/>
              <w:left w:val="single" w:color="auto" w:sz="4" w:space="0"/>
              <w:bottom w:val="single" w:color="auto" w:sz="4" w:space="0"/>
              <w:right w:val="single" w:color="auto" w:sz="4" w:space="0"/>
            </w:tcBorders>
            <w:noWrap w:val="0"/>
            <w:vAlign w:val="center"/>
          </w:tcPr>
          <w:p>
            <w:pPr>
              <w:pStyle w:val="60"/>
              <w:rPr>
                <w:rFonts w:hint="eastAsia"/>
                <w:lang w:val="en-US" w:eastAsia="zh-CN"/>
              </w:rPr>
            </w:pPr>
            <w:r>
              <w:rPr>
                <w:rFonts w:hint="eastAsia"/>
                <w:lang w:val="en-US" w:eastAsia="zh-CN"/>
              </w:rPr>
              <w:t>评标基准价=有效投标报价的最低值，有效投标报价等于基准值的得满分，投标报价得分=（评标基准价/投标报价）×价格权重×100。有效投标报价为通过初步审查的供应商报价。依据财政部《关于印发《政府采购促进中小企业发展管理办法》 的通知》（财库〔2020〕46 号）规定本项目</w:t>
            </w:r>
            <w:r>
              <w:rPr>
                <w:rFonts w:hint="eastAsia"/>
                <w:lang w:val="en-US" w:eastAsia="zh-CN"/>
              </w:rPr>
              <w:t>专门面向中小企业预留份额100%，其中专门面向小微预留份额100%。专门面向中小企业采购的项目或者采购包，不再执行价格评审优惠的扶持政策。</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060"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60"/>
              <w:rPr>
                <w:rFonts w:hint="eastAsia" w:ascii="宋体" w:hAnsi="宋体" w:eastAsia="宋体" w:cs="宋体"/>
                <w:color w:val="auto"/>
                <w:sz w:val="21"/>
                <w:szCs w:val="21"/>
                <w:highlight w:val="none"/>
              </w:rPr>
            </w:pP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商务及技术</w:t>
            </w:r>
            <w:r>
              <w:rPr>
                <w:rFonts w:hint="eastAsia" w:ascii="宋体" w:hAnsi="宋体" w:eastAsia="宋体" w:cs="宋体"/>
                <w:color w:val="auto"/>
                <w:sz w:val="21"/>
                <w:szCs w:val="21"/>
                <w:highlight w:val="none"/>
              </w:rPr>
              <w:t>评审</w:t>
            </w:r>
          </w:p>
          <w:p>
            <w:pPr>
              <w:pStyle w:val="6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人员配置</w:t>
            </w:r>
          </w:p>
        </w:tc>
        <w:tc>
          <w:tcPr>
            <w:tcW w:w="6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both"/>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项目团队人员不少于4人，岗位职能和分工明确（列明管理人员与专业技术人员等情况），项目团队中每配备一位设计人员（具有广告或媒体传播等相关专业技术能力）得 1 分，最多得3分；每配备一名计算机设备或软件工程技术人员（具有计算机设备或转件工程相关专业技术能力）得 1 分，最多得3分； 须提供团队成员身份证、学历证书或职称证、近一年内任意一个月内在本单位缴纳社保的证明，项目团队人员配置满分4分，资料不全或未提供不得分。</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default" w:ascii="宋体" w:hAnsi="宋体" w:eastAsia="宋体" w:cs="宋体"/>
                <w:b/>
                <w:bCs/>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309"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60"/>
              <w:rPr>
                <w:rFonts w:hint="eastAsia" w:ascii="宋体" w:hAnsi="宋体" w:eastAsia="宋体" w:cs="宋体"/>
                <w:color w:val="auto"/>
                <w:sz w:val="21"/>
                <w:szCs w:val="21"/>
                <w:highlight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eastAsia="宋体" w:cs="宋体"/>
                <w:color w:val="auto"/>
                <w:sz w:val="21"/>
                <w:szCs w:val="21"/>
                <w:highlight w:val="none"/>
              </w:rPr>
            </w:pPr>
          </w:p>
        </w:tc>
        <w:tc>
          <w:tcPr>
            <w:tcW w:w="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企业业绩</w:t>
            </w:r>
          </w:p>
        </w:tc>
        <w:tc>
          <w:tcPr>
            <w:tcW w:w="67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Calibri" w:hAnsi="Calibri" w:eastAsia="宋体" w:cs="Times New Roman"/>
                <w:kern w:val="2"/>
                <w:sz w:val="21"/>
                <w:szCs w:val="22"/>
                <w:lang w:val="en-US" w:eastAsia="zh-CN" w:bidi="ar-SA"/>
              </w:rPr>
            </w:pPr>
            <w:r>
              <w:rPr>
                <w:rFonts w:hint="eastAsia"/>
                <w:lang w:val="en-US" w:eastAsia="zh-CN"/>
              </w:rPr>
              <w:t>供应商需提供近两年（2020年11月1日至今）类似项目业绩，每提供1个类似项目业绩得2分，最高得6分（时间以合同中签订时间为准）响应文件中附合同复印件关键页或中标（成交）通知书，未提供不得分。</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lang w:val="en-US" w:eastAsia="zh-CN"/>
              </w:rPr>
            </w:pPr>
            <w:r>
              <w:rPr>
                <w:rFonts w:hint="eastAsia"/>
                <w:lang w:val="en-US" w:eastAsia="zh-CN"/>
              </w:rPr>
              <w:t>6</w:t>
            </w:r>
          </w:p>
          <w:p>
            <w:pPr>
              <w:pStyle w:val="61"/>
              <w:rPr>
                <w:rFonts w:hint="default"/>
                <w:lang w:val="en-US" w:eastAsia="zh-CN"/>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134"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60"/>
              <w:rPr>
                <w:rFonts w:hint="eastAsia" w:ascii="宋体" w:hAnsi="宋体" w:eastAsia="宋体" w:cs="宋体"/>
                <w:color w:val="auto"/>
                <w:sz w:val="21"/>
                <w:szCs w:val="21"/>
                <w:highlight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eastAsia="宋体" w:cs="宋体"/>
                <w:color w:val="auto"/>
                <w:kern w:val="2"/>
                <w:sz w:val="21"/>
                <w:szCs w:val="21"/>
                <w:highlight w:val="none"/>
                <w:lang w:val="en-US" w:eastAsia="zh-CN" w:bidi="ar-SA"/>
              </w:rPr>
            </w:pPr>
          </w:p>
        </w:tc>
        <w:tc>
          <w:tcPr>
            <w:tcW w:w="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技术参数及指标响应</w:t>
            </w:r>
          </w:p>
        </w:tc>
        <w:tc>
          <w:tcPr>
            <w:tcW w:w="67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Calibri" w:hAnsi="Calibri" w:eastAsia="宋体" w:cs="Times New Roman"/>
                <w:kern w:val="2"/>
                <w:sz w:val="21"/>
                <w:szCs w:val="22"/>
                <w:lang w:val="ru-RU" w:eastAsia="zh-CN" w:bidi="ar-SA"/>
              </w:rPr>
            </w:pPr>
            <w:r>
              <w:rPr>
                <w:rFonts w:hint="eastAsia" w:ascii="Calibri" w:hAnsi="Calibri" w:eastAsia="宋体" w:cs="Times New Roman"/>
                <w:kern w:val="2"/>
                <w:sz w:val="21"/>
                <w:szCs w:val="22"/>
                <w:lang w:val="en-US" w:eastAsia="zh-CN" w:bidi="ar-SA"/>
              </w:rPr>
              <w:t>根据供应商提供的设备材料（措施）规格及价格清单载明的响应采购需求的货物或服务的技术参数及指标响应</w:t>
            </w:r>
            <w:r>
              <w:rPr>
                <w:rFonts w:hint="eastAsia" w:ascii="Calibri" w:hAnsi="Calibri" w:eastAsia="宋体" w:cs="Times New Roman"/>
                <w:kern w:val="2"/>
                <w:sz w:val="21"/>
                <w:szCs w:val="22"/>
                <w:lang w:val="ru-RU" w:eastAsia="ru-RU" w:bidi="ar-SA"/>
              </w:rPr>
              <w:t>等满足</w:t>
            </w:r>
            <w:r>
              <w:rPr>
                <w:rFonts w:hint="eastAsia" w:ascii="Calibri" w:hAnsi="Calibri" w:eastAsia="宋体" w:cs="Times New Roman"/>
                <w:kern w:val="2"/>
                <w:sz w:val="21"/>
                <w:szCs w:val="22"/>
                <w:lang w:val="en-US" w:eastAsia="zh-CN" w:bidi="ar-SA"/>
              </w:rPr>
              <w:t>采购</w:t>
            </w:r>
            <w:r>
              <w:rPr>
                <w:rFonts w:hint="eastAsia" w:ascii="Calibri" w:hAnsi="Calibri" w:eastAsia="宋体" w:cs="Times New Roman"/>
                <w:kern w:val="2"/>
                <w:sz w:val="21"/>
                <w:szCs w:val="22"/>
                <w:lang w:val="ru-RU" w:eastAsia="ru-RU" w:bidi="ar-SA"/>
              </w:rPr>
              <w:t>要求。货物</w:t>
            </w:r>
            <w:r>
              <w:rPr>
                <w:rFonts w:hint="eastAsia" w:ascii="Calibri" w:hAnsi="Calibri" w:eastAsia="宋体" w:cs="Times New Roman"/>
                <w:kern w:val="2"/>
                <w:sz w:val="21"/>
                <w:szCs w:val="22"/>
                <w:lang w:val="en-US" w:eastAsia="zh-CN" w:bidi="ar-SA"/>
              </w:rPr>
              <w:t>或服务的技术参数及指标响应要求描述</w:t>
            </w:r>
            <w:r>
              <w:rPr>
                <w:rFonts w:hint="eastAsia" w:ascii="Calibri" w:hAnsi="Calibri" w:eastAsia="宋体" w:cs="Times New Roman"/>
                <w:kern w:val="2"/>
                <w:sz w:val="21"/>
                <w:szCs w:val="22"/>
                <w:lang w:val="ru-RU" w:eastAsia="ru-RU" w:bidi="ar-SA"/>
              </w:rPr>
              <w:t>详细完整,</w:t>
            </w:r>
            <w:r>
              <w:rPr>
                <w:rFonts w:hint="eastAsia" w:ascii="Calibri" w:hAnsi="Calibri" w:eastAsia="宋体" w:cs="Times New Roman"/>
                <w:kern w:val="2"/>
                <w:sz w:val="21"/>
                <w:szCs w:val="22"/>
                <w:lang w:val="en-US" w:eastAsia="zh-CN" w:bidi="ar-SA"/>
              </w:rPr>
              <w:t>供应商</w:t>
            </w:r>
            <w:r>
              <w:rPr>
                <w:rFonts w:hint="eastAsia" w:ascii="Calibri" w:hAnsi="Calibri" w:eastAsia="宋体" w:cs="Times New Roman"/>
                <w:kern w:val="2"/>
                <w:sz w:val="21"/>
                <w:szCs w:val="22"/>
                <w:lang w:val="ru-RU" w:eastAsia="ru-RU" w:bidi="ar-SA"/>
              </w:rPr>
              <w:t>可以提供最大限度满足采购人需求</w:t>
            </w:r>
            <w:r>
              <w:rPr>
                <w:rFonts w:hint="eastAsia" w:ascii="Calibri" w:hAnsi="Calibri" w:eastAsia="宋体" w:cs="Times New Roman"/>
                <w:kern w:val="2"/>
                <w:sz w:val="21"/>
                <w:szCs w:val="22"/>
                <w:lang w:val="ru-RU" w:eastAsia="zh-CN" w:bidi="ar-SA"/>
              </w:rPr>
              <w:t>。</w:t>
            </w:r>
          </w:p>
          <w:p>
            <w:pPr>
              <w:rPr>
                <w:rFonts w:hint="default"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ru-RU" w:eastAsia="ru-RU" w:bidi="ar-SA"/>
              </w:rPr>
              <w:t>所投产品</w:t>
            </w:r>
            <w:r>
              <w:rPr>
                <w:rFonts w:hint="eastAsia" w:ascii="Calibri" w:hAnsi="Calibri" w:eastAsia="宋体" w:cs="Times New Roman"/>
                <w:kern w:val="2"/>
                <w:sz w:val="21"/>
                <w:szCs w:val="22"/>
                <w:lang w:val="en-US" w:eastAsia="zh-CN" w:bidi="ar-SA"/>
              </w:rPr>
              <w:t>或服务</w:t>
            </w:r>
            <w:r>
              <w:rPr>
                <w:rFonts w:hint="eastAsia" w:ascii="Calibri" w:hAnsi="Calibri" w:eastAsia="宋体" w:cs="Times New Roman"/>
                <w:kern w:val="2"/>
                <w:sz w:val="21"/>
                <w:szCs w:val="22"/>
                <w:lang w:val="ru-RU" w:eastAsia="ru-RU" w:bidi="ar-SA"/>
              </w:rPr>
              <w:t>的</w:t>
            </w:r>
            <w:r>
              <w:rPr>
                <w:rFonts w:hint="eastAsia" w:ascii="Calibri" w:hAnsi="Calibri" w:eastAsia="宋体" w:cs="Times New Roman"/>
                <w:kern w:val="2"/>
                <w:sz w:val="21"/>
                <w:szCs w:val="22"/>
                <w:lang w:val="en-US" w:eastAsia="zh-CN" w:bidi="ar-SA"/>
              </w:rPr>
              <w:t>的技术参数及指标响应</w:t>
            </w:r>
            <w:r>
              <w:rPr>
                <w:rFonts w:hint="eastAsia" w:ascii="Calibri" w:hAnsi="Calibri" w:eastAsia="宋体" w:cs="Times New Roman"/>
                <w:kern w:val="2"/>
                <w:sz w:val="21"/>
                <w:szCs w:val="22"/>
                <w:lang w:val="ru-RU" w:eastAsia="ru-RU" w:bidi="ar-SA"/>
              </w:rPr>
              <w:t>程度</w:t>
            </w:r>
            <w:r>
              <w:rPr>
                <w:rFonts w:hint="eastAsia" w:ascii="Calibri" w:hAnsi="Calibri" w:eastAsia="宋体" w:cs="Times New Roman"/>
                <w:kern w:val="2"/>
                <w:sz w:val="21"/>
                <w:szCs w:val="22"/>
                <w:lang w:val="en-US" w:eastAsia="zh-CN" w:bidi="ar-SA"/>
              </w:rPr>
              <w:t>优于采购需求的，每项得1分，满分8分</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cs="宋体"/>
                <w:b w:val="0"/>
                <w:bCs w:val="0"/>
                <w:color w:val="auto"/>
                <w:sz w:val="21"/>
                <w:szCs w:val="21"/>
                <w:highlight w:val="none"/>
                <w:lang w:val="en-US" w:eastAsia="zh-CN"/>
              </w:rPr>
            </w:pPr>
          </w:p>
          <w:p>
            <w:pPr>
              <w:pStyle w:val="60"/>
              <w:jc w:val="center"/>
              <w:rPr>
                <w:rFonts w:hint="eastAsia" w:ascii="宋体" w:hAnsi="宋体" w:cs="宋体"/>
                <w:b w:val="0"/>
                <w:bCs w:val="0"/>
                <w:color w:val="auto"/>
                <w:sz w:val="21"/>
                <w:szCs w:val="21"/>
                <w:highlight w:val="none"/>
                <w:lang w:val="en-US" w:eastAsia="zh-CN"/>
              </w:rPr>
            </w:pPr>
          </w:p>
          <w:p>
            <w:pPr>
              <w:pStyle w:val="60"/>
              <w:jc w:val="center"/>
              <w:rPr>
                <w:rFonts w:hint="eastAsia" w:ascii="宋体" w:hAnsi="宋体" w:cs="宋体"/>
                <w:b w:val="0"/>
                <w:bCs w:val="0"/>
                <w:color w:val="auto"/>
                <w:sz w:val="21"/>
                <w:szCs w:val="21"/>
                <w:highlight w:val="none"/>
                <w:lang w:val="en-US" w:eastAsia="zh-CN"/>
              </w:rPr>
            </w:pPr>
          </w:p>
          <w:p>
            <w:pPr>
              <w:pStyle w:val="60"/>
              <w:jc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011"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485"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软件版权及操作说明</w:t>
            </w:r>
          </w:p>
        </w:tc>
        <w:tc>
          <w:tcPr>
            <w:tcW w:w="67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供应商提供的数据系统相关软件知识产权归属明晰，已取得软件著作权登记证书，</w:t>
            </w:r>
            <w:r>
              <w:rPr>
                <w:rFonts w:hint="eastAsia" w:ascii="宋体" w:hAnsi="宋体" w:cs="宋体"/>
                <w:color w:val="000000"/>
                <w:kern w:val="2"/>
                <w:sz w:val="21"/>
                <w:szCs w:val="21"/>
                <w:highlight w:val="none"/>
                <w:lang w:val="en-US" w:eastAsia="zh-CN" w:bidi="ar-SA"/>
              </w:rPr>
              <w:t>提供软件著作权登记证书复印件得2分；不满足或未提供不得分。</w:t>
            </w:r>
          </w:p>
          <w:p>
            <w:pPr>
              <w:rPr>
                <w:rFonts w:hint="eastAsia" w:ascii="宋体" w:hAnsi="宋体" w:eastAsia="宋体" w:cs="宋体"/>
                <w:color w:val="auto"/>
                <w:kern w:val="2"/>
                <w:sz w:val="21"/>
                <w:szCs w:val="21"/>
                <w:highlight w:val="none"/>
                <w:lang w:val="ru-RU" w:eastAsia="ru-RU" w:bidi="ar-SA"/>
              </w:rPr>
            </w:pPr>
            <w:r>
              <w:rPr>
                <w:rFonts w:hint="eastAsia" w:ascii="宋体" w:hAnsi="宋体" w:cs="宋体"/>
                <w:color w:val="000000"/>
                <w:kern w:val="2"/>
                <w:sz w:val="21"/>
                <w:szCs w:val="21"/>
                <w:highlight w:val="none"/>
                <w:lang w:val="en-US" w:eastAsia="zh-CN" w:bidi="ar-SA"/>
              </w:rPr>
              <w:t>供应商提供软件版权申明：1）保证提供的软件不涉及任何知识产权纠纷，</w:t>
            </w:r>
            <w:r>
              <w:rPr>
                <w:rFonts w:hint="eastAsia" w:ascii="宋体" w:hAnsi="宋体" w:cs="宋体"/>
                <w:color w:val="auto"/>
                <w:kern w:val="2"/>
                <w:sz w:val="21"/>
                <w:szCs w:val="21"/>
                <w:highlight w:val="none"/>
                <w:lang w:val="en-US" w:eastAsia="zh-CN" w:bidi="ar-SA"/>
              </w:rPr>
              <w:t>2）</w:t>
            </w:r>
            <w:r>
              <w:rPr>
                <w:rFonts w:hint="eastAsia" w:ascii="宋体" w:hAnsi="宋体" w:cs="宋体"/>
                <w:color w:val="000000"/>
                <w:kern w:val="2"/>
                <w:sz w:val="21"/>
                <w:szCs w:val="21"/>
                <w:highlight w:val="none"/>
                <w:lang w:val="en-US" w:eastAsia="zh-CN" w:bidi="ar-SA"/>
              </w:rPr>
              <w:t>保证成交后采购人有完全的使用权。全部满足得2分，不满足或未提供不得分。</w:t>
            </w:r>
          </w:p>
        </w:tc>
        <w:tc>
          <w:tcPr>
            <w:tcW w:w="5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Calibri" w:hAnsi="Calibri" w:eastAsia="宋体" w:cs="Times New Roman"/>
                <w:kern w:val="2"/>
                <w:sz w:val="21"/>
                <w:szCs w:val="22"/>
                <w:lang w:val="en-US" w:eastAsia="zh-CN" w:bidi="ar-SA"/>
              </w:rPr>
              <w:t>4</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011"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673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lang w:val="en-US" w:eastAsia="zh-CN"/>
              </w:rPr>
            </w:pPr>
            <w:r>
              <w:rPr>
                <w:rFonts w:hint="eastAsia"/>
                <w:lang w:val="en-US" w:eastAsia="zh-CN"/>
              </w:rPr>
              <w:t>供应商提供的互动滑轨屏配套软件操作说明</w:t>
            </w:r>
            <w:bookmarkStart w:id="89" w:name="_Toc2940"/>
            <w:bookmarkStart w:id="90" w:name="_Toc10310"/>
            <w:bookmarkStart w:id="91" w:name="_Toc444"/>
            <w:r>
              <w:rPr>
                <w:rFonts w:hint="eastAsia"/>
                <w:lang w:val="en-US" w:eastAsia="zh-CN"/>
              </w:rPr>
              <w:t>应包含：1)产品概述</w:t>
            </w:r>
            <w:bookmarkEnd w:id="89"/>
            <w:bookmarkEnd w:id="90"/>
            <w:bookmarkEnd w:id="91"/>
            <w:bookmarkStart w:id="92" w:name="_Toc31731"/>
            <w:bookmarkStart w:id="93" w:name="_Toc25212"/>
            <w:bookmarkStart w:id="94" w:name="_Toc9820"/>
            <w:r>
              <w:rPr>
                <w:rFonts w:hint="eastAsia"/>
                <w:lang w:val="en-US" w:eastAsia="zh-CN"/>
              </w:rPr>
              <w:t>2)系统构成</w:t>
            </w:r>
            <w:bookmarkEnd w:id="92"/>
            <w:bookmarkEnd w:id="93"/>
            <w:bookmarkEnd w:id="94"/>
            <w:bookmarkStart w:id="95" w:name="_Toc8154"/>
            <w:bookmarkStart w:id="96" w:name="_Toc27624"/>
            <w:bookmarkStart w:id="97" w:name="_Toc4374"/>
            <w:r>
              <w:rPr>
                <w:rFonts w:hint="eastAsia"/>
                <w:lang w:val="en-US" w:eastAsia="zh-CN"/>
              </w:rPr>
              <w:t>3)软件的操作和说明</w:t>
            </w:r>
            <w:bookmarkEnd w:id="95"/>
            <w:bookmarkEnd w:id="96"/>
            <w:bookmarkEnd w:id="97"/>
            <w:bookmarkStart w:id="98" w:name="_Toc25899"/>
            <w:bookmarkStart w:id="99" w:name="_Toc6578"/>
            <w:bookmarkStart w:id="100" w:name="_Toc19146"/>
            <w:r>
              <w:rPr>
                <w:rFonts w:hint="eastAsia"/>
                <w:lang w:val="en-US" w:eastAsia="zh-CN"/>
              </w:rPr>
              <w:t>4)安全使用说明</w:t>
            </w:r>
            <w:bookmarkEnd w:id="98"/>
            <w:bookmarkEnd w:id="99"/>
            <w:bookmarkEnd w:id="100"/>
            <w:bookmarkStart w:id="101" w:name="_Toc27704"/>
            <w:bookmarkStart w:id="102" w:name="_Toc2825"/>
            <w:r>
              <w:rPr>
                <w:rFonts w:hint="eastAsia"/>
                <w:lang w:val="en-US" w:eastAsia="zh-CN"/>
              </w:rPr>
              <w:t>5)保修说明</w:t>
            </w:r>
            <w:bookmarkEnd w:id="101"/>
            <w:bookmarkEnd w:id="102"/>
            <w:bookmarkStart w:id="103" w:name="_Toc11222"/>
            <w:bookmarkStart w:id="104" w:name="_Toc10169"/>
            <w:r>
              <w:rPr>
                <w:rFonts w:hint="eastAsia"/>
                <w:lang w:val="en-US" w:eastAsia="zh-CN"/>
              </w:rPr>
              <w:t>6)常见问题操作步骤和说明</w:t>
            </w:r>
            <w:bookmarkEnd w:id="103"/>
            <w:bookmarkEnd w:id="104"/>
            <w:r>
              <w:rPr>
                <w:rFonts w:hint="eastAsia"/>
                <w:lang w:val="en-US" w:eastAsia="zh-CN"/>
              </w:rPr>
              <w:t>；全部提供得6分，每缺一项扣1分（每有一项表述混乱或不完善扣0.5分）</w:t>
            </w:r>
          </w:p>
        </w:tc>
        <w:tc>
          <w:tcPr>
            <w:tcW w:w="5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2"/>
                <w:sz w:val="21"/>
                <w:szCs w:val="21"/>
                <w:highlight w:val="none"/>
                <w:lang w:val="en-US" w:eastAsia="zh-CN" w:bidi="ar-SA"/>
              </w:rPr>
            </w:pPr>
            <w:r>
              <w:rPr>
                <w:rFonts w:hint="eastAsia" w:ascii="宋体" w:hAnsi="宋体" w:cs="宋体"/>
                <w:color w:val="auto"/>
                <w:sz w:val="21"/>
                <w:szCs w:val="21"/>
                <w:highlight w:val="none"/>
                <w:lang w:val="en-US" w:eastAsia="zh-CN"/>
              </w:rPr>
              <w:t>6</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005"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pPr>
          </w:p>
        </w:tc>
        <w:tc>
          <w:tcPr>
            <w:tcW w:w="485" w:type="dxa"/>
            <w:vMerge w:val="restart"/>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eastAsia="宋体"/>
                <w:lang w:val="en-US" w:eastAsia="zh-CN"/>
              </w:rPr>
            </w:pPr>
            <w:r>
              <w:rPr>
                <w:rFonts w:hint="eastAsia"/>
                <w:lang w:val="en-US" w:eastAsia="zh-CN"/>
              </w:rPr>
              <w:t>实施方案和效果展示</w:t>
            </w:r>
          </w:p>
        </w:tc>
        <w:tc>
          <w:tcPr>
            <w:tcW w:w="673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lang w:val="en-US" w:eastAsia="zh-CN"/>
              </w:rPr>
            </w:pPr>
            <w:r>
              <w:rPr>
                <w:rFonts w:hint="eastAsia"/>
                <w:lang w:val="en-US" w:eastAsia="zh-CN"/>
              </w:rPr>
              <w:t>根据供应商提供的实施方案，包含：1）供货方案、2）进度计划、3）人员组织、4）安装调试、5）质量和安全保证措施、6）处理突发事件应急预案，全部提供得12分，每缺一项扣2分（每有一项表述混乱或不完善扣1分）</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12</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188"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60"/>
              <w:rPr>
                <w:rFonts w:hint="eastAsia" w:ascii="宋体" w:hAnsi="宋体" w:eastAsia="宋体" w:cs="宋体"/>
                <w:color w:val="auto"/>
                <w:sz w:val="21"/>
                <w:szCs w:val="21"/>
                <w:highlight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eastAsia="宋体" w:cs="宋体"/>
                <w:color w:val="auto"/>
                <w:kern w:val="2"/>
                <w:sz w:val="21"/>
                <w:szCs w:val="21"/>
                <w:highlight w:val="none"/>
                <w:lang w:val="en-US" w:eastAsia="zh-CN" w:bidi="ar-SA"/>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2"/>
                <w:sz w:val="21"/>
                <w:szCs w:val="21"/>
                <w:highlight w:val="none"/>
                <w:lang w:val="en-US" w:eastAsia="zh-CN" w:bidi="ar-SA"/>
              </w:rPr>
            </w:pPr>
          </w:p>
        </w:tc>
        <w:tc>
          <w:tcPr>
            <w:tcW w:w="6738"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lang w:val="en-US" w:eastAsia="zh-CN"/>
              </w:rPr>
            </w:pPr>
            <w:r>
              <w:rPr>
                <w:rFonts w:hint="eastAsia"/>
                <w:lang w:val="en-US" w:eastAsia="zh-CN"/>
              </w:rPr>
              <w:t>根据供应商提供的智慧场馆文化墙展示方案，包括：1）功能定位与构思理念  2）展示手法和互动方式 3）滑轨屏系统工作原理 4）数据软件功能介绍 5）设备、软件、数字资源内容的综合应用效果展示等内容， 全部提供得10分，每缺一项扣2分（每有一项表述混乱或不完善扣1分）</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47"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60"/>
              <w:rPr>
                <w:rFonts w:hint="eastAsia" w:ascii="宋体" w:hAnsi="宋体" w:eastAsia="宋体" w:cs="宋体"/>
                <w:color w:val="auto"/>
                <w:sz w:val="21"/>
                <w:szCs w:val="21"/>
                <w:highlight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cs="宋体"/>
                <w:color w:val="auto"/>
                <w:kern w:val="2"/>
                <w:sz w:val="21"/>
                <w:szCs w:val="21"/>
                <w:highlight w:val="none"/>
                <w:lang w:val="en-US" w:eastAsia="zh-CN" w:bidi="ar-SA"/>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2"/>
                <w:sz w:val="21"/>
                <w:szCs w:val="21"/>
                <w:highlight w:val="none"/>
                <w:lang w:val="en-US" w:eastAsia="zh-CN" w:bidi="ar-SA"/>
              </w:rPr>
            </w:pPr>
          </w:p>
        </w:tc>
        <w:tc>
          <w:tcPr>
            <w:tcW w:w="6738"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lang w:val="en-US" w:eastAsia="zh-CN"/>
              </w:rPr>
            </w:pPr>
            <w:r>
              <w:rPr>
                <w:rFonts w:hint="eastAsia"/>
                <w:lang w:val="en-US" w:eastAsia="zh-CN"/>
              </w:rPr>
              <w:t>根据供应商所提供的的数字资源内容制作大纲，包含：1)制作形式及标准、2)进度计划及人员安排，3）建设内容大纲。全部提供得6分，每缺一项扣2分（每有一项表述混乱或不完善扣1分）</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004"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kern w:val="2"/>
                <w:sz w:val="21"/>
                <w:szCs w:val="21"/>
                <w:highlight w:val="none"/>
                <w:lang w:val="en-US" w:eastAsia="zh-CN" w:bidi="ar-SA"/>
              </w:rPr>
            </w:pPr>
          </w:p>
        </w:tc>
        <w:tc>
          <w:tcPr>
            <w:tcW w:w="485" w:type="dxa"/>
            <w:vMerge w:val="restart"/>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宋体" w:hAnsi="宋体" w:cs="宋体"/>
                <w:color w:val="auto"/>
                <w:kern w:val="2"/>
                <w:sz w:val="21"/>
                <w:szCs w:val="21"/>
                <w:highlight w:val="none"/>
                <w:lang w:val="en-US" w:eastAsia="zh-CN" w:bidi="ar-SA"/>
              </w:rPr>
            </w:pPr>
          </w:p>
          <w:p>
            <w:pPr>
              <w:pStyle w:val="3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培训及售后服务</w:t>
            </w:r>
          </w:p>
        </w:tc>
        <w:tc>
          <w:tcPr>
            <w:tcW w:w="673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lang w:val="en-US" w:eastAsia="zh-CN"/>
              </w:rPr>
            </w:pPr>
            <w:r>
              <w:rPr>
                <w:rFonts w:hint="eastAsia"/>
                <w:lang w:val="en-US" w:eastAsia="zh-CN"/>
              </w:rPr>
              <w:t>根据供应商所提供的项目培训方案，包括：1）培训计划2）培训目标、3）设备软件的正常使用方法、4）维护解决方案。全部提供得4分，每缺一项扣1分（每有一项表述混乱或不完善扣0.5分）</w:t>
            </w:r>
          </w:p>
        </w:tc>
        <w:tc>
          <w:tcPr>
            <w:tcW w:w="565"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left"/>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0"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eastAsia="宋体" w:cs="宋体"/>
                <w:color w:val="auto"/>
                <w:sz w:val="21"/>
                <w:szCs w:val="21"/>
                <w:highlight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eastAsia="宋体" w:cs="宋体"/>
                <w:color w:val="auto"/>
                <w:kern w:val="2"/>
                <w:sz w:val="21"/>
                <w:szCs w:val="21"/>
                <w:highlight w:val="none"/>
                <w:lang w:val="en-US" w:eastAsia="zh-CN" w:bidi="ar-SA"/>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宋体" w:hAnsi="宋体" w:eastAsia="宋体" w:cs="宋体"/>
                <w:color w:val="auto"/>
                <w:kern w:val="2"/>
                <w:sz w:val="21"/>
                <w:szCs w:val="21"/>
                <w:highlight w:val="none"/>
                <w:lang w:val="en-US" w:eastAsia="zh-CN" w:bidi="ar-SA"/>
              </w:rPr>
            </w:pPr>
          </w:p>
        </w:tc>
        <w:tc>
          <w:tcPr>
            <w:tcW w:w="6738"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left"/>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根据供应商提供的</w:t>
            </w:r>
            <w:r>
              <w:rPr>
                <w:rFonts w:hint="eastAsia" w:ascii="宋体" w:hAnsi="宋体" w:eastAsia="宋体" w:cs="宋体"/>
                <w:color w:val="auto"/>
                <w:kern w:val="2"/>
                <w:sz w:val="21"/>
                <w:szCs w:val="21"/>
                <w:highlight w:val="none"/>
                <w:lang w:val="en-US" w:eastAsia="zh-CN" w:bidi="ar-SA"/>
              </w:rPr>
              <w:t>售后服务方案</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内容包括：</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项目售后服务组织措施，</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 xml:space="preserve">售后服务响应时间及响应程度 </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针对服务中出现产品各项问题的解决办法</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全部提供得</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分，每缺一项扣2分（每有一项表述混乱或不完善扣1分）</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25"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60"/>
              <w:jc w:val="cente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pStyle w:val="60"/>
              <w:jc w:val="cente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pStyle w:val="60"/>
              <w:jc w:val="center"/>
            </w:pPr>
          </w:p>
        </w:tc>
        <w:tc>
          <w:tcPr>
            <w:tcW w:w="6738"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left"/>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服务承诺</w:t>
            </w:r>
            <w:r>
              <w:rPr>
                <w:rFonts w:hint="eastAsia" w:ascii="宋体" w:hAnsi="宋体" w:cs="宋体"/>
                <w:color w:val="auto"/>
                <w:kern w:val="2"/>
                <w:sz w:val="21"/>
                <w:szCs w:val="21"/>
                <w:highlight w:val="none"/>
                <w:lang w:val="en-US" w:eastAsia="zh-CN" w:bidi="ar-SA"/>
              </w:rPr>
              <w:t>：供应商提供的</w:t>
            </w:r>
            <w:r>
              <w:rPr>
                <w:rFonts w:hint="eastAsia" w:ascii="宋体" w:hAnsi="宋体" w:eastAsia="宋体" w:cs="宋体"/>
                <w:color w:val="auto"/>
                <w:kern w:val="2"/>
                <w:sz w:val="21"/>
                <w:szCs w:val="21"/>
                <w:highlight w:val="none"/>
                <w:lang w:val="en-US" w:eastAsia="zh-CN" w:bidi="ar-SA"/>
              </w:rPr>
              <w:t>对项目开展有利的资源、技术支撑手段</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服务</w:t>
            </w:r>
            <w:r>
              <w:rPr>
                <w:rFonts w:hint="eastAsia" w:ascii="宋体" w:hAnsi="宋体" w:cs="宋体"/>
                <w:color w:val="auto"/>
                <w:kern w:val="2"/>
                <w:sz w:val="21"/>
                <w:szCs w:val="21"/>
                <w:highlight w:val="none"/>
                <w:lang w:val="en-US" w:eastAsia="zh-CN" w:bidi="ar-SA"/>
              </w:rPr>
              <w:t>或优惠条件</w:t>
            </w:r>
            <w:r>
              <w:rPr>
                <w:rFonts w:hint="eastAsia" w:ascii="宋体" w:hAnsi="宋体" w:eastAsia="宋体" w:cs="宋体"/>
                <w:color w:val="auto"/>
                <w:kern w:val="2"/>
                <w:sz w:val="21"/>
                <w:szCs w:val="21"/>
                <w:highlight w:val="none"/>
                <w:lang w:val="en-US" w:eastAsia="zh-CN" w:bidi="ar-SA"/>
              </w:rPr>
              <w:t>等。每提供1条</w:t>
            </w:r>
            <w:r>
              <w:rPr>
                <w:rFonts w:hint="eastAsia" w:ascii="宋体" w:hAnsi="宋体" w:cs="宋体"/>
                <w:color w:val="auto"/>
                <w:kern w:val="2"/>
                <w:sz w:val="21"/>
                <w:szCs w:val="21"/>
                <w:highlight w:val="none"/>
                <w:lang w:val="en-US" w:eastAsia="zh-CN" w:bidi="ar-SA"/>
              </w:rPr>
              <w:t>得</w:t>
            </w:r>
            <w:r>
              <w:rPr>
                <w:rFonts w:hint="eastAsia" w:ascii="宋体" w:hAnsi="宋体" w:eastAsia="宋体" w:cs="宋体"/>
                <w:color w:val="auto"/>
                <w:kern w:val="2"/>
                <w:sz w:val="21"/>
                <w:szCs w:val="21"/>
                <w:highlight w:val="none"/>
                <w:lang w:val="en-US" w:eastAsia="zh-CN" w:bidi="ar-SA"/>
              </w:rPr>
              <w:t>1分，</w:t>
            </w:r>
            <w:r>
              <w:rPr>
                <w:rFonts w:hint="eastAsia" w:ascii="宋体" w:hAnsi="宋体" w:cs="宋体"/>
                <w:color w:val="auto"/>
                <w:kern w:val="2"/>
                <w:sz w:val="21"/>
                <w:szCs w:val="21"/>
                <w:highlight w:val="none"/>
                <w:lang w:val="en-US" w:eastAsia="zh-CN" w:bidi="ar-SA"/>
              </w:rPr>
              <w:t>最高得4</w:t>
            </w:r>
            <w:r>
              <w:rPr>
                <w:rFonts w:hint="eastAsia" w:ascii="宋体" w:hAnsi="宋体" w:eastAsia="宋体" w:cs="宋体"/>
                <w:color w:val="auto"/>
                <w:kern w:val="2"/>
                <w:sz w:val="21"/>
                <w:szCs w:val="21"/>
                <w:highlight w:val="none"/>
                <w:lang w:val="en-US" w:eastAsia="zh-CN" w:bidi="ar-SA"/>
              </w:rPr>
              <w:t>分，未提供不得分。</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12"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eastAsia="宋体" w:cs="宋体"/>
                <w:color w:val="auto"/>
                <w:sz w:val="21"/>
                <w:szCs w:val="21"/>
                <w:highlight w:val="none"/>
              </w:rPr>
            </w:pPr>
          </w:p>
        </w:tc>
        <w:tc>
          <w:tcPr>
            <w:tcW w:w="8148" w:type="dxa"/>
            <w:gridSpan w:val="3"/>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合计</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60" w:hRule="atLeast"/>
          <w:jc w:val="center"/>
        </w:trPr>
        <w:tc>
          <w:tcPr>
            <w:tcW w:w="481"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注 </w:t>
            </w:r>
          </w:p>
        </w:tc>
        <w:tc>
          <w:tcPr>
            <w:tcW w:w="8713" w:type="dxa"/>
            <w:gridSpan w:val="4"/>
            <w:tcBorders>
              <w:top w:val="single" w:color="auto" w:sz="4" w:space="0"/>
              <w:left w:val="single" w:color="auto" w:sz="4" w:space="0"/>
              <w:bottom w:val="single" w:color="auto" w:sz="4" w:space="0"/>
              <w:right w:val="single" w:color="auto" w:sz="4" w:space="0"/>
            </w:tcBorders>
            <w:noWrap w:val="0"/>
            <w:vAlign w:val="center"/>
          </w:tcPr>
          <w:p>
            <w:pPr>
              <w:pStyle w:val="6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1、计算过程中，算术平均值保留2位小数（百分比亦取2位小数），第三位小数四舍五入。</w:t>
            </w:r>
          </w:p>
          <w:p>
            <w:pPr>
              <w:pStyle w:val="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的最终得分为：所有评委对其评分的算术平均值。</w:t>
            </w:r>
          </w:p>
        </w:tc>
      </w:tr>
    </w:tbl>
    <w:p>
      <w:pPr>
        <w:pStyle w:val="82"/>
        <w:spacing w:line="500" w:lineRule="exact"/>
        <w:ind w:left="420" w:hanging="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响应文件凡具有下列情形之一者，均视为没有响应</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文件要求的无效文件：</w:t>
      </w:r>
    </w:p>
    <w:p>
      <w:pPr>
        <w:pStyle w:val="82"/>
        <w:autoSpaceDE w:val="0"/>
        <w:autoSpaceDN w:val="0"/>
        <w:adjustRightInd w:val="0"/>
        <w:snapToGrid w:val="0"/>
        <w:spacing w:line="500" w:lineRule="exact"/>
        <w:ind w:left="420" w:leftChars="200" w:right="34" w:firstLine="105" w:firstLineChars="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1）未按照</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文件规定缴纳</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保证金的；</w:t>
      </w:r>
    </w:p>
    <w:p>
      <w:pPr>
        <w:pStyle w:val="82"/>
        <w:autoSpaceDE w:val="0"/>
        <w:autoSpaceDN w:val="0"/>
        <w:adjustRightInd w:val="0"/>
        <w:snapToGrid w:val="0"/>
        <w:spacing w:line="500" w:lineRule="exact"/>
        <w:ind w:left="420" w:leftChars="200" w:right="34" w:firstLine="105" w:firstLineChars="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2）未按照</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文件规定要求密封、签署、盖章的；</w:t>
      </w:r>
    </w:p>
    <w:p>
      <w:pPr>
        <w:pStyle w:val="82"/>
        <w:autoSpaceDE w:val="0"/>
        <w:autoSpaceDN w:val="0"/>
        <w:adjustRightInd w:val="0"/>
        <w:snapToGrid w:val="0"/>
        <w:spacing w:line="500" w:lineRule="exact"/>
        <w:ind w:left="666" w:leftChars="267" w:right="34" w:hanging="105" w:hangingChars="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）不具备</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文件中规定资格要求的；</w:t>
      </w:r>
    </w:p>
    <w:p>
      <w:pPr>
        <w:pStyle w:val="82"/>
        <w:autoSpaceDE w:val="0"/>
        <w:autoSpaceDN w:val="0"/>
        <w:adjustRightInd w:val="0"/>
        <w:snapToGrid w:val="0"/>
        <w:spacing w:line="500" w:lineRule="exact"/>
        <w:ind w:left="420" w:leftChars="200" w:right="34" w:firstLine="105" w:firstLineChars="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4）不符合法律、法规和</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文件中规定的其他实质性要求的。</w:t>
      </w:r>
    </w:p>
    <w:p>
      <w:pPr>
        <w:pStyle w:val="82"/>
        <w:spacing w:line="500" w:lineRule="exact"/>
        <w:ind w:left="420" w:hanging="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.4竞争性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响应文件被确认为无效文件后，该</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供应商即失去参加本次竞争性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的资格。</w:t>
      </w:r>
    </w:p>
    <w:p>
      <w:pPr>
        <w:pStyle w:val="82"/>
        <w:spacing w:line="500" w:lineRule="exact"/>
        <w:jc w:val="both"/>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val="en-US" w:eastAsia="zh-CN"/>
        </w:rPr>
        <w:t>二、</w:t>
      </w:r>
      <w:r>
        <w:rPr>
          <w:rFonts w:hint="eastAsia" w:ascii="宋体" w:hAnsi="宋体" w:eastAsia="宋体" w:cs="宋体"/>
          <w:b/>
          <w:bCs w:val="0"/>
          <w:color w:val="auto"/>
          <w:kern w:val="0"/>
          <w:sz w:val="21"/>
          <w:szCs w:val="21"/>
          <w:highlight w:val="none"/>
          <w:lang w:eastAsia="zh-CN"/>
        </w:rPr>
        <w:t>磋商</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小组按已确定的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顺序，就符合采购需求、质量和服务等进行</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，并了解其报价组成情况。</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的任何一方不得透露与</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有关的其他供应商的技术资料、价格和其他信息。</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结束后，</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小组按照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文件规定的方法和标准，对响应</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文件要求的供应商进行综合评议，并视情况决定是否进行下一轮</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过程中,若需修正</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文件或优化采购方案, 采购代理机构将通知所有</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供应商,并给所有</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供应商提供较充分的修正时间。</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供应商根据</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文件修改，对原响应文件进行修正，并将修正文件通过数字证书加密并签章后，传到网站指定栏目。逾期不上传的，视同放弃</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。修正文件与响应文件同具法律效力。文件修正后，按照规定的时间继续进行</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.3每一次</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结束后，参加</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的供应商均须根据</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小组的要求在规定的时间内进行网上报价，并作出有关承诺说明。</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供应商作最后报价，通过数字证书进行加密并签章后，传到网站指定栏目。</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小组按</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情况和最后报价情况综合评价比较，推荐成交候选供应商名单，形成</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报告。</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供应商的报价均超过了政府采购预算，采购人不能支付的，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活动终止；终止后，采购人需要采取调整采购预算或项目配置标准等，或采取其他采购方式的，应当在采购活动开始前获得政府采购监督管理部门批准。</w:t>
      </w:r>
    </w:p>
    <w:p>
      <w:pPr>
        <w:pStyle w:val="8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bookmarkStart w:id="105" w:name="_Toc456291254"/>
      <w:bookmarkStart w:id="106" w:name="_Toc456291531"/>
      <w:bookmarkStart w:id="107" w:name="_Toc31706"/>
      <w:bookmarkStart w:id="108" w:name="_Toc456291348"/>
      <w:bookmarkStart w:id="109" w:name="_Toc456291274"/>
      <w:bookmarkStart w:id="110" w:name="_Toc456291159"/>
      <w:bookmarkStart w:id="111" w:name="_Toc456291473"/>
      <w:bookmarkStart w:id="112" w:name="_Toc529628444"/>
      <w:bookmarkStart w:id="113" w:name="_Toc7862"/>
      <w:r>
        <w:rPr>
          <w:rFonts w:hint="eastAsia" w:ascii="宋体" w:hAnsi="宋体" w:eastAsia="宋体" w:cs="宋体"/>
          <w:b/>
          <w:bCs/>
          <w:color w:val="auto"/>
          <w:sz w:val="21"/>
          <w:szCs w:val="21"/>
          <w:highlight w:val="none"/>
          <w:lang w:eastAsia="zh-CN"/>
        </w:rPr>
        <w:t>三</w:t>
      </w:r>
      <w:r>
        <w:rPr>
          <w:rFonts w:hint="eastAsia" w:ascii="宋体" w:hAnsi="宋体" w:eastAsia="宋体" w:cs="宋体"/>
          <w:b/>
          <w:bCs/>
          <w:color w:val="auto"/>
          <w:sz w:val="21"/>
          <w:szCs w:val="21"/>
          <w:highlight w:val="none"/>
        </w:rPr>
        <w:t>、确定成交供应商办法和原则</w:t>
      </w:r>
      <w:bookmarkEnd w:id="105"/>
      <w:bookmarkEnd w:id="106"/>
      <w:bookmarkEnd w:id="107"/>
      <w:bookmarkEnd w:id="108"/>
      <w:bookmarkEnd w:id="109"/>
      <w:bookmarkEnd w:id="110"/>
      <w:bookmarkEnd w:id="111"/>
      <w:bookmarkEnd w:id="112"/>
      <w:bookmarkEnd w:id="113"/>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小组根据符合采购需求、质量和服务相等且报价最低的原则推荐成交候选供应商。</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.2最低报价不是成交的唯一标准。但是，在符合采购需求、质量和服务相等的情况下，报价是确定成交的关键因素。</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小组按照最后报价由低到高的顺序向采购人推荐三名成交候选人。</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.4采购人收到</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小组推荐的成交候选供应商名单后3个工作日内，根据符合采购需求、质量和服务相等且报价最低的原则确定成交供应商，并出具书面确认函。</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.5成交供应商确定后，采购代理机构将在政府采购监管部门指定的媒体上发布成交公告，同时向成交供应商发出《成交通知书》。《成交通知书》是合同的组成部分,对成交供应商和采购人具有同等法律效力。</w:t>
      </w:r>
    </w:p>
    <w:p>
      <w:pPr>
        <w:pStyle w:val="8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bookmarkStart w:id="114" w:name="_Toc456291255"/>
      <w:bookmarkStart w:id="115" w:name="_Toc456291474"/>
      <w:bookmarkStart w:id="116" w:name="_Toc456291532"/>
      <w:bookmarkStart w:id="117" w:name="_Toc18792"/>
      <w:bookmarkStart w:id="118" w:name="_Toc456291349"/>
      <w:bookmarkStart w:id="119" w:name="_Toc529628445"/>
      <w:bookmarkStart w:id="120" w:name="_Toc456291160"/>
      <w:bookmarkStart w:id="121" w:name="_Toc456291275"/>
      <w:bookmarkStart w:id="122" w:name="_Toc6588"/>
      <w:r>
        <w:rPr>
          <w:rFonts w:hint="eastAsia" w:ascii="宋体" w:hAnsi="宋体" w:eastAsia="宋体" w:cs="宋体"/>
          <w:b/>
          <w:bCs/>
          <w:color w:val="auto"/>
          <w:sz w:val="21"/>
          <w:szCs w:val="21"/>
          <w:highlight w:val="none"/>
          <w:lang w:eastAsia="zh-CN"/>
        </w:rPr>
        <w:t>四</w:t>
      </w:r>
      <w:r>
        <w:rPr>
          <w:rFonts w:hint="eastAsia" w:ascii="宋体" w:hAnsi="宋体" w:eastAsia="宋体" w:cs="宋体"/>
          <w:b/>
          <w:bCs/>
          <w:color w:val="auto"/>
          <w:sz w:val="21"/>
          <w:szCs w:val="21"/>
          <w:highlight w:val="none"/>
        </w:rPr>
        <w:t>、签订合同</w:t>
      </w:r>
      <w:bookmarkEnd w:id="114"/>
      <w:bookmarkEnd w:id="115"/>
      <w:bookmarkEnd w:id="116"/>
      <w:bookmarkEnd w:id="117"/>
      <w:bookmarkEnd w:id="118"/>
      <w:bookmarkEnd w:id="119"/>
      <w:bookmarkEnd w:id="120"/>
      <w:bookmarkEnd w:id="121"/>
      <w:bookmarkEnd w:id="122"/>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.1成交供应商在收到《成交通知书》后30日内，按照采购文件确定的合同文本以及标的规格型号、采购金额、采购数量、技术和服务要求等事项与采购人签订供货合同。</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.2合同签订后7个工作日内，采购人应将政府采购合同副本报政府采购监管部门和采购代理机构备案。</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.3成交供应商不得向他人转让成交项目，如果成交供应商向他人转让成交项目或在履行合同时发生违约行为，政府采购监管部门将视情节轻重，按《新疆政府采购供应商诚信管理办法》的有关规定给予处罚。</w:t>
      </w:r>
    </w:p>
    <w:p>
      <w:pPr>
        <w:pStyle w:val="8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bookmarkStart w:id="123" w:name="_Toc456291161"/>
      <w:bookmarkStart w:id="124" w:name="_Toc456291276"/>
      <w:bookmarkStart w:id="125" w:name="_Toc456291475"/>
      <w:bookmarkStart w:id="126" w:name="_Toc456291350"/>
      <w:bookmarkStart w:id="127" w:name="_Toc456291533"/>
      <w:bookmarkStart w:id="128" w:name="_Toc529628446"/>
      <w:bookmarkStart w:id="129" w:name="_Toc27902"/>
      <w:bookmarkStart w:id="130" w:name="_Toc19470"/>
      <w:bookmarkStart w:id="131" w:name="_Toc456291256"/>
      <w:r>
        <w:rPr>
          <w:rFonts w:hint="eastAsia" w:ascii="宋体" w:hAnsi="宋体" w:eastAsia="宋体" w:cs="宋体"/>
          <w:b/>
          <w:bCs/>
          <w:color w:val="auto"/>
          <w:sz w:val="21"/>
          <w:szCs w:val="21"/>
          <w:highlight w:val="none"/>
          <w:lang w:eastAsia="zh-CN"/>
        </w:rPr>
        <w:t>五</w:t>
      </w:r>
      <w:r>
        <w:rPr>
          <w:rFonts w:hint="eastAsia" w:ascii="宋体" w:hAnsi="宋体" w:eastAsia="宋体" w:cs="宋体"/>
          <w:b/>
          <w:bCs/>
          <w:color w:val="auto"/>
          <w:sz w:val="21"/>
          <w:szCs w:val="21"/>
          <w:highlight w:val="none"/>
        </w:rPr>
        <w:t>、公告、质疑</w:t>
      </w:r>
      <w:bookmarkEnd w:id="123"/>
      <w:bookmarkEnd w:id="124"/>
      <w:bookmarkEnd w:id="125"/>
      <w:bookmarkEnd w:id="126"/>
      <w:bookmarkEnd w:id="127"/>
      <w:bookmarkEnd w:id="128"/>
      <w:bookmarkEnd w:id="129"/>
      <w:bookmarkEnd w:id="130"/>
      <w:bookmarkEnd w:id="131"/>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.1采购代理机构将在政府采购监管部门指定媒体上（新疆政府采购网）发布采购公告、通知、评审结果公告等</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程序中所有信息。成交公告期为1个工作日。</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.2如果</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供应商对此次采购活动有疑问，可依据《政府采购法》等相关规定，在规定时间内以书面形式向采购人和采购代理机构提出质疑。质疑书应当包括下列主要内容：</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①质疑人的名称、地址、电话等；</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②质疑人法人签章和单位公章；</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③具体的质疑事项及事实依据；</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④明确的请求和必要（合法来源）的证明材料；</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⑤以联合体形式参与</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的，则必须联合体各方共同签署、盖章；</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⑥提起质疑的日期。</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特注：未按上述程序规定的必备内容进行质疑的，政府采购机构将不予以受理。</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.3成交公告期限届满之日起7个工作日内如有质疑的，采购人或采购代理机构将依法给与答复，并将结果告知所有当事人。</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.4质疑供应商对采购人或采购代理机构答复不满意，可在15个工作日内向政府采购监管部门投诉。</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供应商的质疑和投诉应有事实依据，若为无效投诉，政府采购监管部门将按《新疆政府采购供应商诚信管理办法》的有关规定给予处罚。</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00" w:firstLineChars="2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 w:val="20"/>
          <w:szCs w:val="28"/>
          <w:highlight w:val="none"/>
        </w:rPr>
        <w:br w:type="page"/>
      </w:r>
      <w:r>
        <w:rPr>
          <w:rFonts w:hint="eastAsia" w:ascii="宋体" w:hAnsi="宋体" w:eastAsia="宋体" w:cs="宋体"/>
          <w:color w:val="auto"/>
          <w:szCs w:val="21"/>
          <w:highlight w:val="none"/>
        </w:rPr>
        <w:t>质疑函</w:t>
      </w:r>
    </w:p>
    <w:p>
      <w:pPr>
        <w:pStyle w:val="90"/>
        <w:snapToGrid w:val="0"/>
        <w:spacing w:line="300" w:lineRule="auto"/>
        <w:rPr>
          <w:rFonts w:hint="eastAsia" w:ascii="宋体" w:hAnsi="宋体" w:eastAsia="宋体" w:cs="宋体"/>
          <w:color w:val="auto"/>
          <w:szCs w:val="21"/>
          <w:highlight w:val="none"/>
        </w:rPr>
      </w:pPr>
    </w:p>
    <w:p>
      <w:pPr>
        <w:pStyle w:val="90"/>
        <w:snapToGrid w:val="0"/>
        <w:spacing w:line="30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90"/>
        <w:snapToGrid w:val="0"/>
        <w:spacing w:line="30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依据政府采购相关法规，我公司对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项目的（项目编号：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）招标活动存在疑问，特提出质疑（详见下表）。</w:t>
      </w:r>
    </w:p>
    <w:p>
      <w:pPr>
        <w:pStyle w:val="90"/>
        <w:snapToGrid w:val="0"/>
        <w:spacing w:line="30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我公司和本人对此质疑函内容的真实性负责，并愿意承担由此引起的相应处理和法律责任。</w:t>
      </w:r>
    </w:p>
    <w:p>
      <w:pPr>
        <w:pStyle w:val="90"/>
        <w:spacing w:line="440" w:lineRule="exact"/>
        <w:ind w:firstLine="3675" w:firstLineChars="17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p>
      <w:pPr>
        <w:pStyle w:val="90"/>
        <w:spacing w:line="440" w:lineRule="exact"/>
        <w:ind w:firstLine="3675" w:firstLineChars="1750"/>
        <w:rPr>
          <w:rFonts w:hint="eastAsia" w:ascii="宋体" w:hAnsi="宋体" w:eastAsia="宋体" w:cs="宋体"/>
          <w:color w:val="auto"/>
          <w:sz w:val="21"/>
          <w:szCs w:val="21"/>
          <w:highlight w:val="none"/>
          <w:lang w:val="en-US" w:eastAsia="zh-CN"/>
        </w:rPr>
      </w:pPr>
    </w:p>
    <w:p>
      <w:pPr>
        <w:pStyle w:val="9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法定代表人（签字并盖名章）：</w:t>
      </w:r>
    </w:p>
    <w:p>
      <w:pPr>
        <w:pStyle w:val="9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p>
    <w:p>
      <w:pPr>
        <w:pStyle w:val="90"/>
        <w:snapToGrid w:val="0"/>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固话：     　　　 传真： 　　　    手机：　</w:t>
      </w:r>
    </w:p>
    <w:p>
      <w:pPr>
        <w:pStyle w:val="90"/>
        <w:snapToGrid w:val="0"/>
        <w:spacing w:line="300" w:lineRule="auto"/>
        <w:rPr>
          <w:rFonts w:hint="eastAsia" w:ascii="宋体" w:hAnsi="宋体" w:eastAsia="宋体" w:cs="宋体"/>
          <w:color w:val="auto"/>
          <w:sz w:val="21"/>
          <w:szCs w:val="21"/>
          <w:highlight w:val="none"/>
        </w:rPr>
      </w:pPr>
    </w:p>
    <w:p>
      <w:pPr>
        <w:pStyle w:val="90"/>
        <w:snapToGrid w:val="0"/>
        <w:spacing w:line="300" w:lineRule="auto"/>
        <w:rPr>
          <w:rFonts w:hint="eastAsia" w:ascii="宋体" w:hAnsi="宋体" w:eastAsia="宋体" w:cs="宋体"/>
          <w:color w:val="auto"/>
          <w:sz w:val="21"/>
          <w:szCs w:val="21"/>
          <w:highlight w:val="none"/>
        </w:rPr>
      </w:pPr>
    </w:p>
    <w:p>
      <w:pPr>
        <w:pStyle w:val="90"/>
        <w:snapToGrid w:val="0"/>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本项目授权委托人（签字并盖名章）：</w:t>
      </w:r>
    </w:p>
    <w:p>
      <w:pPr>
        <w:pStyle w:val="9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p>
    <w:p>
      <w:pPr>
        <w:pStyle w:val="90"/>
        <w:snapToGrid w:val="0"/>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固话：   　　     传真：   　　　　 手机：</w:t>
      </w:r>
    </w:p>
    <w:p>
      <w:pPr>
        <w:pStyle w:val="9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公司地址：              邮编：</w:t>
      </w:r>
    </w:p>
    <w:p>
      <w:pPr>
        <w:pStyle w:val="90"/>
        <w:snapToGrid w:val="0"/>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（如法人为质疑人则不需要填此项）</w:t>
      </w:r>
    </w:p>
    <w:p>
      <w:pPr>
        <w:pStyle w:val="90"/>
        <w:snapToGrid w:val="0"/>
        <w:spacing w:line="300" w:lineRule="auto"/>
        <w:rPr>
          <w:rFonts w:hint="eastAsia" w:ascii="宋体" w:hAnsi="宋体" w:eastAsia="宋体" w:cs="宋体"/>
          <w:color w:val="auto"/>
          <w:sz w:val="21"/>
          <w:szCs w:val="21"/>
          <w:highlight w:val="none"/>
        </w:rPr>
      </w:pPr>
    </w:p>
    <w:p>
      <w:pPr>
        <w:pStyle w:val="90"/>
        <w:snapToGrid w:val="0"/>
        <w:spacing w:line="300" w:lineRule="auto"/>
        <w:rPr>
          <w:rFonts w:hint="eastAsia" w:ascii="宋体" w:hAnsi="宋体" w:eastAsia="宋体" w:cs="宋体"/>
          <w:color w:val="auto"/>
          <w:sz w:val="21"/>
          <w:szCs w:val="21"/>
          <w:highlight w:val="none"/>
        </w:rPr>
      </w:pPr>
    </w:p>
    <w:p>
      <w:pPr>
        <w:pStyle w:val="90"/>
        <w:spacing w:line="480" w:lineRule="auto"/>
        <w:ind w:firstLine="2625" w:firstLineChars="125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质疑人（公章）：</w:t>
      </w:r>
    </w:p>
    <w:p>
      <w:pPr>
        <w:pStyle w:val="90"/>
        <w:snapToGrid w:val="0"/>
        <w:spacing w:line="48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                           年   月</w:t>
      </w:r>
      <w:r>
        <w:rPr>
          <w:rFonts w:hint="eastAsia" w:ascii="宋体" w:hAnsi="宋体" w:eastAsia="宋体" w:cs="宋体"/>
          <w:color w:val="auto"/>
          <w:sz w:val="21"/>
          <w:szCs w:val="21"/>
          <w:highlight w:val="none"/>
          <w:lang w:val="en-US" w:eastAsia="zh-CN"/>
        </w:rPr>
        <w:t xml:space="preserve">  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rPr>
        <w:t xml:space="preserve"> </w:t>
      </w:r>
    </w:p>
    <w:p>
      <w:pPr>
        <w:pStyle w:val="90"/>
        <w:snapToGrid w:val="0"/>
        <w:spacing w:line="300" w:lineRule="auto"/>
        <w:rPr>
          <w:rFonts w:hint="eastAsia" w:ascii="宋体" w:hAnsi="宋体" w:eastAsia="宋体" w:cs="宋体"/>
          <w:color w:val="auto"/>
          <w:szCs w:val="21"/>
          <w:highlight w:val="none"/>
        </w:rPr>
      </w:pPr>
    </w:p>
    <w:p>
      <w:pPr>
        <w:pStyle w:val="90"/>
        <w:jc w:val="center"/>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br w:type="page"/>
      </w:r>
      <w:r>
        <w:rPr>
          <w:rFonts w:hint="eastAsia" w:ascii="宋体" w:hAnsi="宋体" w:eastAsia="宋体" w:cs="宋体"/>
          <w:color w:val="auto"/>
          <w:szCs w:val="21"/>
          <w:highlight w:val="none"/>
        </w:rPr>
        <w:t>质疑内容</w:t>
      </w:r>
    </w:p>
    <w:p>
      <w:pPr>
        <w:pStyle w:val="90"/>
        <w:spacing w:line="200" w:lineRule="exact"/>
        <w:rPr>
          <w:rFonts w:hint="eastAsia" w:ascii="宋体" w:hAnsi="宋体" w:eastAsia="宋体" w:cs="宋体"/>
          <w:color w:val="auto"/>
          <w:szCs w:val="21"/>
          <w:highlight w:val="none"/>
        </w:rPr>
      </w:pPr>
    </w:p>
    <w:tbl>
      <w:tblPr>
        <w:tblStyle w:val="46"/>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469"/>
        <w:gridCol w:w="6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gridSpan w:val="2"/>
            <w:tcBorders>
              <w:top w:val="single" w:color="auto" w:sz="4" w:space="0"/>
              <w:left w:val="single" w:color="auto" w:sz="4" w:space="0"/>
              <w:bottom w:val="single" w:color="auto" w:sz="4" w:space="0"/>
              <w:right w:val="single" w:color="auto" w:sz="4" w:space="0"/>
            </w:tcBorders>
            <w:vAlign w:val="center"/>
          </w:tcPr>
          <w:p>
            <w:pPr>
              <w:pStyle w:val="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731" w:type="dxa"/>
            <w:tcBorders>
              <w:top w:val="single" w:color="auto" w:sz="4" w:space="0"/>
              <w:left w:val="single" w:color="auto" w:sz="4" w:space="0"/>
              <w:bottom w:val="single" w:color="auto" w:sz="4" w:space="0"/>
              <w:right w:val="single" w:color="auto" w:sz="4" w:space="0"/>
            </w:tcBorders>
            <w:vAlign w:val="center"/>
          </w:tcPr>
          <w:p>
            <w:pPr>
              <w:pStyle w:val="9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gridSpan w:val="2"/>
            <w:tcBorders>
              <w:top w:val="single" w:color="auto" w:sz="4" w:space="0"/>
              <w:left w:val="single" w:color="auto" w:sz="4" w:space="0"/>
              <w:bottom w:val="single" w:color="auto" w:sz="4" w:space="0"/>
              <w:right w:val="single" w:color="auto" w:sz="4" w:space="0"/>
            </w:tcBorders>
            <w:vAlign w:val="center"/>
          </w:tcPr>
          <w:p>
            <w:pPr>
              <w:pStyle w:val="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tc>
        <w:tc>
          <w:tcPr>
            <w:tcW w:w="6731" w:type="dxa"/>
            <w:tcBorders>
              <w:top w:val="single" w:color="auto" w:sz="4" w:space="0"/>
              <w:left w:val="single" w:color="auto" w:sz="4" w:space="0"/>
              <w:bottom w:val="single" w:color="auto" w:sz="4" w:space="0"/>
              <w:right w:val="single" w:color="auto" w:sz="4" w:space="0"/>
            </w:tcBorders>
            <w:vAlign w:val="center"/>
          </w:tcPr>
          <w:p>
            <w:pPr>
              <w:pStyle w:val="9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2"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pStyle w:val="9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具体的质疑事项及事实依据</w:t>
            </w:r>
          </w:p>
        </w:tc>
        <w:tc>
          <w:tcPr>
            <w:tcW w:w="8200" w:type="dxa"/>
            <w:gridSpan w:val="2"/>
            <w:tcBorders>
              <w:top w:val="single" w:color="auto" w:sz="4" w:space="0"/>
              <w:left w:val="single" w:color="auto" w:sz="4" w:space="0"/>
              <w:bottom w:val="single" w:color="auto" w:sz="4" w:space="0"/>
              <w:right w:val="single" w:color="auto" w:sz="4" w:space="0"/>
            </w:tcBorders>
            <w:vAlign w:val="top"/>
          </w:tcPr>
          <w:p>
            <w:pPr>
              <w:pStyle w:val="90"/>
              <w:snapToGrid w:val="0"/>
              <w:spacing w:line="30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一、质疑事项1：</w:t>
            </w:r>
          </w:p>
          <w:p>
            <w:pPr>
              <w:pStyle w:val="90"/>
              <w:snapToGrid w:val="0"/>
              <w:spacing w:line="30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主要内容：</w:t>
            </w:r>
          </w:p>
          <w:p>
            <w:pPr>
              <w:pStyle w:val="90"/>
              <w:snapToGrid w:val="0"/>
              <w:spacing w:line="30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p>
          <w:p>
            <w:pPr>
              <w:pStyle w:val="90"/>
              <w:snapToGrid w:val="0"/>
              <w:spacing w:line="30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适应法规条款：</w:t>
            </w:r>
          </w:p>
          <w:p>
            <w:pPr>
              <w:pStyle w:val="90"/>
              <w:snapToGrid w:val="0"/>
              <w:spacing w:line="300" w:lineRule="auto"/>
              <w:ind w:firstLine="453" w:firstLineChars="21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佐证材料：</w:t>
            </w:r>
          </w:p>
          <w:p>
            <w:pPr>
              <w:pStyle w:val="90"/>
              <w:snapToGrid w:val="0"/>
              <w:spacing w:line="300" w:lineRule="auto"/>
              <w:ind w:firstLine="453" w:firstLineChars="216"/>
              <w:jc w:val="left"/>
              <w:rPr>
                <w:rFonts w:hint="eastAsia" w:ascii="宋体" w:hAnsi="宋体" w:eastAsia="宋体" w:cs="宋体"/>
                <w:color w:val="auto"/>
                <w:sz w:val="21"/>
                <w:szCs w:val="21"/>
                <w:highlight w:val="none"/>
              </w:rPr>
            </w:pPr>
          </w:p>
          <w:p>
            <w:pPr>
              <w:pStyle w:val="90"/>
              <w:snapToGrid w:val="0"/>
              <w:spacing w:line="30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二、质疑事项2：</w:t>
            </w:r>
          </w:p>
          <w:p>
            <w:pPr>
              <w:pStyle w:val="90"/>
              <w:snapToGrid w:val="0"/>
              <w:spacing w:line="30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主要内容：</w:t>
            </w:r>
          </w:p>
          <w:p>
            <w:pPr>
              <w:pStyle w:val="90"/>
              <w:snapToGrid w:val="0"/>
              <w:spacing w:line="300" w:lineRule="auto"/>
              <w:ind w:firstLine="453" w:firstLineChars="21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p>
          <w:p>
            <w:pPr>
              <w:pStyle w:val="90"/>
              <w:snapToGrid w:val="0"/>
              <w:spacing w:line="30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适应法规条款：</w:t>
            </w:r>
          </w:p>
          <w:p>
            <w:pPr>
              <w:pStyle w:val="90"/>
              <w:snapToGrid w:val="0"/>
              <w:spacing w:line="300" w:lineRule="auto"/>
              <w:ind w:firstLine="453" w:firstLineChars="21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佐证材料：</w:t>
            </w:r>
          </w:p>
          <w:p>
            <w:pPr>
              <w:pStyle w:val="90"/>
              <w:snapToGrid w:val="0"/>
              <w:spacing w:line="300" w:lineRule="auto"/>
              <w:ind w:firstLine="453" w:firstLineChars="216"/>
              <w:jc w:val="left"/>
              <w:rPr>
                <w:rFonts w:hint="eastAsia" w:ascii="宋体" w:hAnsi="宋体" w:eastAsia="宋体" w:cs="宋体"/>
                <w:color w:val="auto"/>
                <w:sz w:val="21"/>
                <w:szCs w:val="21"/>
                <w:highlight w:val="none"/>
              </w:rPr>
            </w:pPr>
          </w:p>
          <w:p>
            <w:pPr>
              <w:pStyle w:val="9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三、同上</w:t>
            </w:r>
          </w:p>
          <w:p>
            <w:pPr>
              <w:pStyle w:val="90"/>
              <w:jc w:val="left"/>
              <w:rPr>
                <w:rFonts w:hint="eastAsia" w:ascii="宋体" w:hAnsi="宋体" w:eastAsia="宋体" w:cs="宋体"/>
                <w:color w:val="auto"/>
                <w:sz w:val="21"/>
                <w:szCs w:val="21"/>
                <w:highlight w:val="none"/>
              </w:rPr>
            </w:pPr>
          </w:p>
          <w:p>
            <w:pPr>
              <w:pStyle w:val="90"/>
              <w:ind w:firstLine="465"/>
              <w:jc w:val="left"/>
              <w:rPr>
                <w:rFonts w:hint="eastAsia" w:ascii="宋体" w:hAnsi="宋体" w:eastAsia="宋体" w:cs="宋体"/>
                <w:color w:val="auto"/>
                <w:sz w:val="21"/>
                <w:szCs w:val="21"/>
                <w:highlight w:val="none"/>
              </w:rPr>
            </w:pPr>
          </w:p>
        </w:tc>
      </w:tr>
    </w:tbl>
    <w:p>
      <w:pPr>
        <w:pStyle w:val="90"/>
        <w:spacing w:line="360" w:lineRule="exact"/>
        <w:ind w:left="1235" w:hanging="926" w:hangingChars="44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pStyle w:val="9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1、质疑人的法定代表人办理质疑事务的，在提交质疑函（无需填写授权委托人）的同时，还应提交加盖质疑人公章的营业执照副本复印件和法定代表人的身份证复印件。请持身份证原件用于核对。</w:t>
      </w:r>
    </w:p>
    <w:p>
      <w:pPr>
        <w:pStyle w:val="9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pStyle w:val="9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3、“具体的质疑事项及事实依据”一栏填写不下时，质疑人可另附页（A4），但附纸要求加盖质疑人公章。</w:t>
      </w:r>
    </w:p>
    <w:p>
      <w:pPr>
        <w:pStyle w:val="82"/>
        <w:spacing w:line="500" w:lineRule="exact"/>
        <w:ind w:left="420" w:leftChars="200" w:firstLine="0" w:firstLineChars="0"/>
        <w:rPr>
          <w:rFonts w:hint="eastAsia" w:ascii="宋体" w:hAnsi="宋体" w:eastAsia="宋体" w:cs="宋体"/>
          <w:color w:val="auto"/>
          <w:szCs w:val="28"/>
          <w:highlight w:val="none"/>
        </w:rPr>
      </w:pPr>
      <w:r>
        <w:rPr>
          <w:rFonts w:hint="eastAsia" w:ascii="宋体" w:hAnsi="宋体" w:eastAsia="宋体" w:cs="宋体"/>
          <w:color w:val="auto"/>
          <w:sz w:val="21"/>
          <w:szCs w:val="21"/>
          <w:highlight w:val="none"/>
        </w:rPr>
        <w:t xml:space="preserve">4、与质疑事项有关的材料应与质疑函合并装订。    </w:t>
      </w:r>
      <w:r>
        <w:rPr>
          <w:rFonts w:hint="eastAsia" w:ascii="宋体" w:hAnsi="宋体" w:eastAsia="宋体" w:cs="宋体"/>
          <w:color w:val="auto"/>
          <w:szCs w:val="21"/>
          <w:highlight w:val="none"/>
        </w:rPr>
        <w:t xml:space="preserve">  </w:t>
      </w:r>
    </w:p>
    <w:p>
      <w:pPr>
        <w:rPr>
          <w:rFonts w:hint="eastAsia" w:ascii="宋体" w:hAnsi="宋体" w:eastAsia="宋体" w:cs="宋体"/>
          <w:b/>
          <w:bCs/>
          <w:color w:val="auto"/>
          <w:sz w:val="21"/>
          <w:szCs w:val="21"/>
          <w:highlight w:val="none"/>
          <w:lang w:eastAsia="zh-CN"/>
        </w:rPr>
      </w:pPr>
      <w:bookmarkStart w:id="132" w:name="_Toc456291351"/>
      <w:bookmarkStart w:id="133" w:name="_Toc529628447"/>
      <w:bookmarkStart w:id="134" w:name="_Toc456291162"/>
      <w:bookmarkStart w:id="135" w:name="_Toc7532"/>
      <w:bookmarkStart w:id="136" w:name="_Toc456291534"/>
      <w:bookmarkStart w:id="137" w:name="_Toc456291277"/>
      <w:bookmarkStart w:id="138" w:name="_Toc456291476"/>
      <w:bookmarkStart w:id="139" w:name="_Toc27614"/>
      <w:bookmarkStart w:id="140" w:name="_Toc456291257"/>
      <w:r>
        <w:rPr>
          <w:rFonts w:hint="eastAsia" w:ascii="宋体" w:hAnsi="宋体" w:eastAsia="宋体" w:cs="宋体"/>
          <w:b/>
          <w:bCs/>
          <w:color w:val="auto"/>
          <w:sz w:val="21"/>
          <w:szCs w:val="21"/>
          <w:highlight w:val="none"/>
          <w:lang w:eastAsia="zh-CN"/>
        </w:rPr>
        <w:br w:type="page"/>
      </w:r>
    </w:p>
    <w:p>
      <w:pPr>
        <w:pStyle w:val="8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六</w:t>
      </w:r>
      <w:r>
        <w:rPr>
          <w:rFonts w:hint="eastAsia" w:ascii="宋体" w:hAnsi="宋体" w:eastAsia="宋体" w:cs="宋体"/>
          <w:b/>
          <w:bCs/>
          <w:color w:val="auto"/>
          <w:sz w:val="21"/>
          <w:szCs w:val="21"/>
          <w:highlight w:val="none"/>
        </w:rPr>
        <w:t>、项目验收</w:t>
      </w:r>
      <w:bookmarkEnd w:id="132"/>
      <w:bookmarkEnd w:id="133"/>
      <w:bookmarkEnd w:id="134"/>
      <w:bookmarkEnd w:id="135"/>
      <w:bookmarkEnd w:id="136"/>
      <w:bookmarkEnd w:id="137"/>
      <w:bookmarkEnd w:id="138"/>
      <w:bookmarkEnd w:id="139"/>
      <w:bookmarkEnd w:id="140"/>
    </w:p>
    <w:p>
      <w:pPr>
        <w:pStyle w:val="82"/>
        <w:spacing w:line="500" w:lineRule="exact"/>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项目实施完毕，采购人组织对供应商履约的验收。</w:t>
      </w:r>
    </w:p>
    <w:p>
      <w:pPr>
        <w:pStyle w:val="82"/>
        <w:spacing w:line="500" w:lineRule="exact"/>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 验收标准:</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响应文件、政府采购合同规定的标准。</w:t>
      </w:r>
    </w:p>
    <w:p>
      <w:pPr>
        <w:pStyle w:val="82"/>
        <w:spacing w:line="500" w:lineRule="exact"/>
        <w:rPr>
          <w:rFonts w:hint="eastAsia" w:ascii="宋体" w:hAnsi="宋体" w:eastAsia="宋体" w:cs="宋体"/>
          <w:b/>
          <w:bCs/>
          <w:color w:val="auto"/>
          <w:kern w:val="0"/>
          <w:sz w:val="36"/>
          <w:szCs w:val="18"/>
          <w:highlight w:val="none"/>
        </w:rPr>
      </w:pPr>
      <w:bookmarkStart w:id="141" w:name="_Toc6163"/>
      <w:bookmarkStart w:id="142" w:name="_Toc456291352"/>
      <w:bookmarkStart w:id="143" w:name="_Toc456291477"/>
      <w:bookmarkStart w:id="144" w:name="_Toc529628448"/>
      <w:bookmarkStart w:id="145" w:name="_Toc456291278"/>
      <w:bookmarkStart w:id="146" w:name="_Toc456291535"/>
      <w:bookmarkStart w:id="147" w:name="_Toc26614"/>
      <w:bookmarkStart w:id="148" w:name="_Toc456291163"/>
      <w:bookmarkStart w:id="149" w:name="_Toc456291258"/>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、适用法律</w:t>
      </w:r>
      <w:bookmarkEnd w:id="141"/>
      <w:bookmarkEnd w:id="142"/>
      <w:bookmarkEnd w:id="143"/>
      <w:bookmarkEnd w:id="144"/>
      <w:bookmarkEnd w:id="145"/>
      <w:bookmarkEnd w:id="146"/>
      <w:bookmarkEnd w:id="147"/>
      <w:bookmarkEnd w:id="148"/>
      <w:bookmarkEnd w:id="149"/>
    </w:p>
    <w:p>
      <w:pPr>
        <w:pStyle w:val="82"/>
        <w:spacing w:line="500" w:lineRule="exact"/>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采购当事人的一切活动均适用于《中华人民共和国政府采购法》及相关规定。</w:t>
      </w:r>
    </w:p>
    <w:bookmarkEnd w:id="10"/>
    <w:p>
      <w:pPr>
        <w:rPr>
          <w:rFonts w:hint="eastAsia" w:ascii="宋体" w:hAnsi="宋体" w:eastAsia="宋体" w:cs="宋体"/>
          <w:color w:val="auto"/>
          <w:sz w:val="20"/>
          <w:highlight w:val="none"/>
        </w:rPr>
      </w:pPr>
    </w:p>
    <w:p>
      <w:pPr>
        <w:rPr>
          <w:rFonts w:hint="eastAsia" w:ascii="宋体" w:hAnsi="宋体" w:eastAsia="宋体" w:cs="宋体"/>
          <w:color w:val="auto"/>
          <w:highlight w:val="none"/>
        </w:rPr>
      </w:pPr>
    </w:p>
    <w:p>
      <w:pPr>
        <w:pStyle w:val="3"/>
        <w:spacing w:before="0" w:after="0" w:line="240" w:lineRule="auto"/>
        <w:ind w:left="0" w:leftChars="0" w:firstLine="0" w:firstLineChars="0"/>
        <w:jc w:val="center"/>
        <w:outlineLvl w:val="0"/>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color w:val="auto"/>
          <w:sz w:val="20"/>
          <w:highlight w:val="none"/>
        </w:rPr>
        <w:br w:type="page"/>
      </w:r>
      <w:bookmarkStart w:id="150" w:name="_Toc7937"/>
      <w:bookmarkStart w:id="151" w:name="_Toc10167"/>
      <w:bookmarkStart w:id="152" w:name="_Toc9611"/>
      <w:r>
        <w:rPr>
          <w:rFonts w:hint="eastAsia" w:ascii="宋体" w:hAnsi="宋体" w:eastAsia="宋体" w:cs="宋体"/>
          <w:b/>
          <w:color w:val="auto"/>
          <w:kern w:val="2"/>
          <w:sz w:val="32"/>
          <w:szCs w:val="32"/>
          <w:highlight w:val="none"/>
          <w:lang w:val="en-US" w:eastAsia="zh-CN" w:bidi="ar-SA"/>
        </w:rPr>
        <w:t>第五章  合同格式及合同条款</w:t>
      </w:r>
      <w:bookmarkEnd w:id="150"/>
      <w:bookmarkEnd w:id="151"/>
      <w:bookmarkEnd w:id="152"/>
    </w:p>
    <w:p>
      <w:pPr>
        <w:pStyle w:val="73"/>
        <w:rPr>
          <w:rFonts w:hint="eastAsia" w:ascii="宋体" w:hAnsi="宋体" w:eastAsia="宋体" w:cs="宋体"/>
          <w:color w:val="auto"/>
          <w:highlight w:val="none"/>
        </w:rPr>
      </w:pPr>
      <w:bookmarkStart w:id="153" w:name="EBc05cf6dbd39e4b8abe9a360c5a10d76f"/>
      <w:bookmarkStart w:id="154" w:name="_Hlk450145418"/>
    </w:p>
    <w:bookmarkEnd w:id="153"/>
    <w:bookmarkEnd w:id="154"/>
    <w:p>
      <w:pPr>
        <w:pStyle w:val="39"/>
        <w:shd w:val="clear" w:color="auto" w:fill="FFFFFF"/>
        <w:spacing w:before="0" w:beforeAutospacing="0" w:after="240" w:afterAutospacing="0" w:line="36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pStyle w:val="39"/>
        <w:shd w:val="clear" w:color="auto" w:fill="FFFFFF"/>
        <w:spacing w:before="0" w:beforeAutospacing="0" w:after="240" w:afterAutospacing="0" w:line="360" w:lineRule="atLeast"/>
        <w:jc w:val="center"/>
        <w:rPr>
          <w:rFonts w:hint="eastAsia" w:eastAsia="宋体"/>
          <w:color w:val="2B2B2B"/>
          <w:sz w:val="44"/>
          <w:szCs w:val="44"/>
          <w:lang w:val="en-US" w:eastAsia="zh-CN"/>
        </w:rPr>
      </w:pPr>
      <w:r>
        <w:rPr>
          <w:rFonts w:hint="eastAsia"/>
          <w:color w:val="2B2B2B"/>
          <w:sz w:val="44"/>
          <w:szCs w:val="44"/>
        </w:rPr>
        <w:t>合同</w:t>
      </w:r>
      <w:r>
        <w:rPr>
          <w:rFonts w:hint="eastAsia"/>
          <w:color w:val="2B2B2B"/>
          <w:sz w:val="44"/>
          <w:szCs w:val="44"/>
          <w:lang w:val="en-US" w:eastAsia="zh-CN"/>
        </w:rPr>
        <w:t>模板（以实际签订为准）</w:t>
      </w:r>
    </w:p>
    <w:p>
      <w:pPr>
        <w:pStyle w:val="39"/>
        <w:shd w:val="clear" w:color="auto" w:fill="FFFFFF"/>
        <w:spacing w:before="0" w:beforeAutospacing="0" w:after="240" w:afterAutospacing="0" w:line="360" w:lineRule="atLeast"/>
        <w:jc w:val="center"/>
        <w:rPr>
          <w:rFonts w:hint="eastAsia"/>
          <w:color w:val="2B2B2B"/>
          <w:sz w:val="44"/>
          <w:szCs w:val="44"/>
        </w:rPr>
      </w:pPr>
    </w:p>
    <w:p>
      <w:pPr>
        <w:numPr>
          <w:ilvl w:val="0"/>
          <w:numId w:val="0"/>
        </w:numPr>
        <w:ind w:leftChars="0"/>
        <w:jc w:val="both"/>
        <w:rPr>
          <w:rFonts w:hint="eastAsia" w:eastAsia="宋体" w:cs="Times New Roman"/>
          <w:b/>
          <w:bCs/>
          <w:sz w:val="28"/>
          <w:szCs w:val="28"/>
          <w:lang w:val="en-US" w:eastAsia="zh-CN"/>
        </w:rPr>
      </w:pPr>
      <w:r>
        <w:rPr>
          <w:rFonts w:hint="eastAsia" w:eastAsia="宋体" w:cs="Times New Roman"/>
          <w:b/>
          <w:bCs/>
          <w:sz w:val="28"/>
          <w:szCs w:val="28"/>
          <w:lang w:val="en-US" w:eastAsia="zh-CN"/>
        </w:rPr>
        <w:t>甲方：哈密市图书馆</w:t>
      </w:r>
    </w:p>
    <w:p>
      <w:pPr>
        <w:numPr>
          <w:ilvl w:val="0"/>
          <w:numId w:val="0"/>
        </w:numPr>
        <w:ind w:leftChars="0"/>
        <w:jc w:val="both"/>
        <w:rPr>
          <w:rFonts w:hint="eastAsia"/>
          <w:color w:val="2B2B2B"/>
          <w:sz w:val="28"/>
          <w:szCs w:val="28"/>
        </w:rPr>
      </w:pPr>
      <w:r>
        <w:rPr>
          <w:rFonts w:hint="eastAsia" w:eastAsia="宋体" w:cs="Times New Roman"/>
          <w:b/>
          <w:bCs/>
          <w:sz w:val="28"/>
          <w:szCs w:val="28"/>
          <w:lang w:val="en-US" w:eastAsia="zh-CN"/>
        </w:rPr>
        <w:t>乙方：</w:t>
      </w:r>
    </w:p>
    <w:p>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r>
        <w:rPr>
          <w:rFonts w:hint="eastAsia"/>
          <w:color w:val="2B2B2B"/>
          <w:sz w:val="28"/>
          <w:szCs w:val="28"/>
        </w:rPr>
        <w:t>甲乙双方为明确各自的权利和义务，经友好协商，根据《中华人民共和国</w:t>
      </w:r>
      <w:r>
        <w:rPr>
          <w:rFonts w:hint="eastAsia"/>
          <w:color w:val="2B2B2B"/>
          <w:sz w:val="28"/>
          <w:szCs w:val="28"/>
          <w:lang w:val="en-US" w:eastAsia="zh-CN"/>
        </w:rPr>
        <w:t>民法典</w:t>
      </w:r>
      <w:r>
        <w:rPr>
          <w:rFonts w:hint="eastAsia"/>
          <w:color w:val="2B2B2B"/>
          <w:sz w:val="28"/>
          <w:szCs w:val="28"/>
        </w:rPr>
        <w:t>》及其他法律、法规之规定，现就</w:t>
      </w:r>
      <w:r>
        <w:rPr>
          <w:rFonts w:hint="eastAsia"/>
          <w:color w:val="2B2B2B"/>
          <w:sz w:val="28"/>
          <w:szCs w:val="28"/>
          <w:u w:val="single"/>
          <w:lang w:val="en-US" w:eastAsia="zh-CN"/>
        </w:rPr>
        <w:t xml:space="preserve">哈密市图书馆智慧场馆配套设备及软件采购项目 </w:t>
      </w:r>
      <w:r>
        <w:rPr>
          <w:rFonts w:hint="eastAsia"/>
          <w:color w:val="2B2B2B"/>
          <w:sz w:val="28"/>
          <w:szCs w:val="28"/>
        </w:rPr>
        <w:t>的制作安装事宜达成如下一致协议。</w:t>
      </w:r>
    </w:p>
    <w:p>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288" w:afterAutospacing="0" w:line="500" w:lineRule="exact"/>
        <w:textAlignment w:val="auto"/>
        <w:rPr>
          <w:rFonts w:hint="eastAsia"/>
          <w:color w:val="2B2B2B"/>
          <w:sz w:val="28"/>
          <w:szCs w:val="28"/>
        </w:rPr>
      </w:pPr>
      <w:r>
        <w:rPr>
          <w:rFonts w:hint="eastAsia"/>
          <w:color w:val="2B2B2B"/>
          <w:sz w:val="28"/>
          <w:szCs w:val="28"/>
        </w:rPr>
        <w:t>一：甲方</w:t>
      </w:r>
      <w:r>
        <w:rPr>
          <w:rFonts w:hint="eastAsia"/>
          <w:color w:val="2B2B2B"/>
          <w:sz w:val="28"/>
          <w:szCs w:val="28"/>
          <w:lang w:eastAsia="zh-CN"/>
        </w:rPr>
        <w:t>采购</w:t>
      </w:r>
      <w:r>
        <w:rPr>
          <w:rFonts w:hint="eastAsia"/>
          <w:color w:val="2B2B2B"/>
          <w:sz w:val="28"/>
          <w:szCs w:val="28"/>
        </w:rPr>
        <w:t>乙方</w:t>
      </w:r>
      <w:r>
        <w:rPr>
          <w:rFonts w:hint="eastAsia"/>
          <w:color w:val="2B2B2B"/>
          <w:sz w:val="28"/>
          <w:szCs w:val="28"/>
          <w:lang w:eastAsia="zh-CN"/>
        </w:rPr>
        <w:t>提供的</w:t>
      </w:r>
      <w:r>
        <w:rPr>
          <w:rFonts w:hint="eastAsia"/>
          <w:color w:val="2B2B2B"/>
          <w:sz w:val="28"/>
          <w:szCs w:val="28"/>
          <w:u w:val="single"/>
          <w:lang w:val="en-US" w:eastAsia="zh-CN"/>
        </w:rPr>
        <w:t>哈密市图书馆智慧场馆配套设备及软件采购项目</w:t>
      </w:r>
      <w:r>
        <w:rPr>
          <w:rFonts w:hint="eastAsia"/>
          <w:color w:val="2B2B2B"/>
          <w:sz w:val="28"/>
          <w:szCs w:val="28"/>
          <w:lang w:val="en-US" w:eastAsia="zh-CN"/>
        </w:rPr>
        <w:t>具体内容</w:t>
      </w:r>
      <w:r>
        <w:rPr>
          <w:rFonts w:hint="eastAsia"/>
          <w:color w:val="2B2B2B"/>
          <w:sz w:val="28"/>
          <w:szCs w:val="28"/>
        </w:rPr>
        <w:t>名称、规格型号和数量如下：</w:t>
      </w:r>
    </w:p>
    <w:tbl>
      <w:tblPr>
        <w:tblStyle w:val="46"/>
        <w:tblW w:w="9071" w:type="dxa"/>
        <w:jc w:val="center"/>
        <w:tblLayout w:type="fixed"/>
        <w:tblCellMar>
          <w:top w:w="0" w:type="dxa"/>
          <w:left w:w="0" w:type="dxa"/>
          <w:bottom w:w="0" w:type="dxa"/>
          <w:right w:w="0" w:type="dxa"/>
        </w:tblCellMar>
      </w:tblPr>
      <w:tblGrid>
        <w:gridCol w:w="741"/>
        <w:gridCol w:w="1575"/>
        <w:gridCol w:w="1755"/>
        <w:gridCol w:w="795"/>
        <w:gridCol w:w="810"/>
        <w:gridCol w:w="750"/>
        <w:gridCol w:w="765"/>
        <w:gridCol w:w="1880"/>
      </w:tblGrid>
      <w:tr>
        <w:tblPrEx>
          <w:tblCellMar>
            <w:top w:w="0" w:type="dxa"/>
            <w:left w:w="0" w:type="dxa"/>
            <w:bottom w:w="0" w:type="dxa"/>
            <w:right w:w="0" w:type="dxa"/>
          </w:tblCellMar>
        </w:tblPrEx>
        <w:trPr>
          <w:trHeight w:val="600"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1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规格型号</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1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1020" w:hRule="atLeast"/>
          <w:jc w:val="center"/>
        </w:trPr>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1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color w:val="000000"/>
                <w:sz w:val="22"/>
                <w:szCs w:val="22"/>
                <w:u w:val="none"/>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eastAsia="zh-CN"/>
              </w:rPr>
            </w:pP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color w:val="000000"/>
                <w:sz w:val="22"/>
                <w:szCs w:val="22"/>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color w:val="000000"/>
                <w:sz w:val="22"/>
                <w:szCs w:val="22"/>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p>
        </w:tc>
        <w:tc>
          <w:tcPr>
            <w:tcW w:w="1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eastAsia="宋体" w:cs="宋体"/>
                <w:i w:val="0"/>
                <w:color w:val="000000"/>
                <w:sz w:val="22"/>
                <w:szCs w:val="22"/>
                <w:u w:val="none"/>
                <w:lang w:val="en-US" w:eastAsia="zh-CN"/>
              </w:rPr>
            </w:pPr>
          </w:p>
        </w:tc>
      </w:tr>
      <w:tr>
        <w:tblPrEx>
          <w:tblCellMar>
            <w:top w:w="0" w:type="dxa"/>
            <w:left w:w="0" w:type="dxa"/>
            <w:bottom w:w="0" w:type="dxa"/>
            <w:right w:w="0" w:type="dxa"/>
          </w:tblCellMar>
        </w:tblPrEx>
        <w:trPr>
          <w:trHeight w:val="480"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8330"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220" w:firstLineChars="100"/>
              <w:jc w:val="left"/>
              <w:textAlignment w:val="center"/>
              <w:rPr>
                <w:rFonts w:hint="eastAsia" w:ascii="宋体" w:hAnsi="宋体" w:eastAsia="宋体" w:cs="宋体"/>
                <w:i w:val="0"/>
                <w:color w:val="000000"/>
                <w:sz w:val="22"/>
                <w:szCs w:val="22"/>
                <w:u w:val="none"/>
              </w:rPr>
            </w:pPr>
          </w:p>
        </w:tc>
      </w:tr>
    </w:tbl>
    <w:p>
      <w:pPr>
        <w:numPr>
          <w:ilvl w:val="0"/>
          <w:numId w:val="0"/>
        </w:numPr>
        <w:spacing w:line="360" w:lineRule="auto"/>
        <w:jc w:val="both"/>
        <w:rPr>
          <w:rFonts w:hint="eastAsia"/>
          <w:b/>
          <w:bCs/>
          <w:sz w:val="28"/>
          <w:szCs w:val="28"/>
          <w:lang w:val="en-US" w:eastAsia="zh-CN"/>
        </w:rPr>
      </w:pPr>
    </w:p>
    <w:p>
      <w:pPr>
        <w:numPr>
          <w:ilvl w:val="0"/>
          <w:numId w:val="4"/>
        </w:numPr>
        <w:ind w:left="0" w:leftChars="0" w:firstLine="0" w:firstLineChars="0"/>
        <w:jc w:val="both"/>
        <w:rPr>
          <w:rFonts w:hint="default"/>
          <w:b/>
          <w:bCs/>
          <w:sz w:val="28"/>
          <w:szCs w:val="28"/>
          <w:lang w:val="en-US" w:eastAsia="zh-CN"/>
        </w:rPr>
      </w:pPr>
      <w:r>
        <w:rPr>
          <w:rFonts w:hint="default"/>
          <w:b/>
          <w:bCs/>
          <w:sz w:val="28"/>
          <w:szCs w:val="28"/>
          <w:lang w:val="en-US" w:eastAsia="zh-CN"/>
        </w:rPr>
        <w:t>交付地点、时间和交付状态</w:t>
      </w:r>
    </w:p>
    <w:p>
      <w:pPr>
        <w:numPr>
          <w:ilvl w:val="0"/>
          <w:numId w:val="5"/>
        </w:numPr>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交付地点：哈密市图书馆</w:t>
      </w:r>
    </w:p>
    <w:p>
      <w:pPr>
        <w:numPr>
          <w:ilvl w:val="0"/>
          <w:numId w:val="0"/>
        </w:num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2、交付时间：</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年</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月</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日</w:t>
      </w:r>
    </w:p>
    <w:p>
      <w:pPr>
        <w:numPr>
          <w:ilvl w:val="0"/>
          <w:numId w:val="0"/>
        </w:numPr>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3、交付状态：</w:t>
      </w:r>
      <w:r>
        <w:rPr>
          <w:rFonts w:hint="eastAsia" w:ascii="宋体" w:hAnsi="宋体" w:eastAsia="宋体" w:cs="宋体"/>
          <w:b w:val="0"/>
          <w:bCs w:val="0"/>
          <w:sz w:val="24"/>
          <w:szCs w:val="24"/>
        </w:rPr>
        <w:t>建设</w:t>
      </w:r>
      <w:r>
        <w:rPr>
          <w:rFonts w:hint="eastAsia" w:ascii="宋体" w:hAnsi="宋体" w:eastAsia="宋体" w:cs="宋体"/>
          <w:b w:val="0"/>
          <w:bCs w:val="0"/>
          <w:sz w:val="24"/>
          <w:szCs w:val="24"/>
          <w:lang w:val="en-US" w:eastAsia="zh-CN"/>
        </w:rPr>
        <w:t>项目验收合格。</w:t>
      </w:r>
    </w:p>
    <w:p>
      <w:pPr>
        <w:numPr>
          <w:ilvl w:val="0"/>
          <w:numId w:val="0"/>
        </w:numPr>
        <w:spacing w:line="360" w:lineRule="auto"/>
        <w:ind w:leftChars="0"/>
        <w:jc w:val="both"/>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三、付款方式</w:t>
      </w:r>
    </w:p>
    <w:p>
      <w:pPr>
        <w:numPr>
          <w:ilvl w:val="0"/>
          <w:numId w:val="0"/>
        </w:numPr>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1、本合同以人民币付款。</w:t>
      </w:r>
    </w:p>
    <w:p>
      <w:pPr>
        <w:numPr>
          <w:ilvl w:val="0"/>
          <w:numId w:val="0"/>
        </w:numPr>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2、本合同款项按照以下方式支付。</w:t>
      </w:r>
    </w:p>
    <w:p>
      <w:pPr>
        <w:numPr>
          <w:ilvl w:val="0"/>
          <w:numId w:val="0"/>
        </w:numPr>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3、付款内容：</w:t>
      </w:r>
    </w:p>
    <w:p>
      <w:pPr>
        <w:pStyle w:val="263"/>
        <w:spacing w:line="360" w:lineRule="auto"/>
        <w:rPr>
          <w:rStyle w:val="48"/>
          <w:rFonts w:hint="eastAsia" w:ascii="宋体" w:hAnsi="宋体" w:eastAsia="宋体" w:cs="宋体"/>
          <w:color w:val="000000"/>
          <w:sz w:val="24"/>
          <w:lang w:val="en-US" w:eastAsia="zh-CN"/>
        </w:rPr>
      </w:pPr>
      <w:r>
        <w:rPr>
          <w:rStyle w:val="48"/>
          <w:rFonts w:hint="eastAsia" w:ascii="宋体" w:hAnsi="宋体" w:eastAsia="宋体" w:cs="宋体"/>
          <w:color w:val="000000"/>
          <w:sz w:val="24"/>
          <w:lang w:val="en-US" w:eastAsia="zh-CN"/>
        </w:rPr>
        <w:t>甲方与乙方签订合同后3个工作日内，须将项目总金额的40%支付给乙方，即人民币：</w:t>
      </w:r>
      <w:r>
        <w:rPr>
          <w:rStyle w:val="48"/>
          <w:rFonts w:hint="eastAsia" w:ascii="宋体" w:hAnsi="宋体" w:eastAsia="宋体" w:cs="宋体"/>
          <w:color w:val="000000"/>
          <w:sz w:val="24"/>
          <w:u w:val="single"/>
          <w:lang w:val="en-US" w:eastAsia="zh-CN"/>
        </w:rPr>
        <w:t xml:space="preserve">      </w:t>
      </w:r>
      <w:r>
        <w:rPr>
          <w:rStyle w:val="48"/>
          <w:rFonts w:hint="eastAsia" w:ascii="宋体" w:hAnsi="宋体" w:eastAsia="宋体" w:cs="宋体"/>
          <w:color w:val="000000"/>
          <w:sz w:val="24"/>
          <w:lang w:val="en-US" w:eastAsia="zh-CN"/>
        </w:rPr>
        <w:t>元，大写：</w:t>
      </w:r>
      <w:r>
        <w:rPr>
          <w:rStyle w:val="48"/>
          <w:rFonts w:hint="eastAsia" w:ascii="宋体" w:hAnsi="宋体" w:eastAsia="宋体" w:cs="宋体"/>
          <w:color w:val="000000"/>
          <w:sz w:val="24"/>
          <w:u w:val="single"/>
          <w:lang w:val="en-US" w:eastAsia="zh-CN"/>
        </w:rPr>
        <w:t xml:space="preserve">              </w:t>
      </w:r>
      <w:r>
        <w:rPr>
          <w:rStyle w:val="48"/>
          <w:rFonts w:hint="eastAsia" w:ascii="宋体" w:hAnsi="宋体" w:eastAsia="宋体" w:cs="宋体"/>
          <w:color w:val="000000"/>
          <w:sz w:val="24"/>
          <w:lang w:val="en-US" w:eastAsia="zh-CN"/>
        </w:rPr>
        <w:t>；项目验收合格后7个工作日内，将剩余的款项（项目总金额的60%）全部一次性支付给乙方，即人民币：</w:t>
      </w:r>
      <w:r>
        <w:rPr>
          <w:rStyle w:val="48"/>
          <w:rFonts w:hint="eastAsia" w:ascii="宋体" w:hAnsi="宋体" w:eastAsia="宋体" w:cs="宋体"/>
          <w:color w:val="000000"/>
          <w:sz w:val="24"/>
          <w:u w:val="single"/>
          <w:lang w:val="en-US" w:eastAsia="zh-CN"/>
        </w:rPr>
        <w:t xml:space="preserve">      </w:t>
      </w:r>
      <w:r>
        <w:rPr>
          <w:rStyle w:val="48"/>
          <w:rFonts w:hint="eastAsia" w:ascii="宋体" w:hAnsi="宋体" w:eastAsia="宋体" w:cs="宋体"/>
          <w:color w:val="000000"/>
          <w:sz w:val="24"/>
          <w:lang w:val="en-US" w:eastAsia="zh-CN"/>
        </w:rPr>
        <w:t>元，大写：</w:t>
      </w:r>
      <w:r>
        <w:rPr>
          <w:rStyle w:val="48"/>
          <w:rFonts w:hint="eastAsia" w:ascii="宋体" w:hAnsi="宋体" w:eastAsia="宋体" w:cs="宋体"/>
          <w:color w:val="000000"/>
          <w:sz w:val="24"/>
          <w:u w:val="single"/>
          <w:lang w:val="en-US" w:eastAsia="zh-CN"/>
        </w:rPr>
        <w:t xml:space="preserve">              </w:t>
      </w:r>
      <w:r>
        <w:rPr>
          <w:rStyle w:val="48"/>
          <w:rFonts w:hint="eastAsia" w:ascii="宋体" w:hAnsi="宋体" w:eastAsia="宋体" w:cs="宋体"/>
          <w:color w:val="000000"/>
          <w:sz w:val="24"/>
          <w:lang w:val="en-US" w:eastAsia="zh-CN"/>
        </w:rPr>
        <w:t>。</w:t>
      </w:r>
    </w:p>
    <w:p>
      <w:pPr>
        <w:pStyle w:val="263"/>
        <w:spacing w:line="360" w:lineRule="auto"/>
        <w:rPr>
          <w:rStyle w:val="48"/>
          <w:rFonts w:hint="eastAsia" w:ascii="宋体" w:hAnsi="宋体" w:eastAsia="宋体" w:cs="宋体"/>
          <w:color w:val="000000"/>
          <w:sz w:val="24"/>
          <w:lang w:val="en-US" w:eastAsia="zh-CN"/>
        </w:rPr>
      </w:pPr>
    </w:p>
    <w:p>
      <w:pPr>
        <w:pStyle w:val="263"/>
        <w:spacing w:line="360" w:lineRule="auto"/>
        <w:ind w:left="0" w:leftChars="0" w:firstLine="0" w:firstLineChars="0"/>
        <w:rPr>
          <w:rStyle w:val="48"/>
          <w:rFonts w:hint="eastAsia" w:ascii="宋体" w:hAnsi="宋体" w:eastAsia="宋体" w:cs="宋体"/>
          <w:color w:val="000000"/>
          <w:sz w:val="24"/>
          <w:lang w:val="en-US" w:eastAsia="zh-CN"/>
        </w:rPr>
      </w:pP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乙方指定银行账户：</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户名：</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银行账号：</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开户银行：</w:t>
      </w:r>
    </w:p>
    <w:p>
      <w:pPr>
        <w:numPr>
          <w:ilvl w:val="0"/>
          <w:numId w:val="0"/>
        </w:numPr>
        <w:ind w:leftChars="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四、质量标准和要求</w:t>
      </w:r>
    </w:p>
    <w:p>
      <w:pPr>
        <w:numPr>
          <w:ilvl w:val="0"/>
          <w:numId w:val="0"/>
        </w:numPr>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1、乙方所交付的产品质量标准按照国家标准或行业标准或企业标准确定。没有国家标准、行业标准和企业标准的，按照通常标准或者符合合同目的的特定标准确定。</w:t>
      </w:r>
    </w:p>
    <w:p>
      <w:pPr>
        <w:numPr>
          <w:ilvl w:val="0"/>
          <w:numId w:val="0"/>
        </w:numPr>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2、乙方所交付的产品还应符合国家有关规定。</w:t>
      </w:r>
    </w:p>
    <w:p>
      <w:pPr>
        <w:numPr>
          <w:ilvl w:val="0"/>
          <w:numId w:val="0"/>
        </w:numPr>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3、如果质量标准不统一的，应以甲方所选择的质量标准为依据。</w:t>
      </w:r>
    </w:p>
    <w:p>
      <w:pPr>
        <w:numPr>
          <w:ilvl w:val="0"/>
          <w:numId w:val="0"/>
        </w:numPr>
        <w:spacing w:line="360" w:lineRule="auto"/>
        <w:ind w:leftChars="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五、验收</w:t>
      </w:r>
    </w:p>
    <w:p>
      <w:pPr>
        <w:numPr>
          <w:ilvl w:val="0"/>
          <w:numId w:val="0"/>
        </w:numPr>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1、乙方按照项目要求完成项目建设，由甲方验收，签署验收意见。</w:t>
      </w:r>
    </w:p>
    <w:p>
      <w:pPr>
        <w:numPr>
          <w:ilvl w:val="0"/>
          <w:numId w:val="0"/>
        </w:numPr>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2、乙方所提供服务不满足甲方要求时，乙方应在甲方指定的期限内补正。</w:t>
      </w:r>
    </w:p>
    <w:p>
      <w:pPr>
        <w:numPr>
          <w:ilvl w:val="0"/>
          <w:numId w:val="0"/>
        </w:numPr>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3、验收由甲方组织进行,必要时可邀请国家认可的质量检测机构参加验收工作,验收结果须甲乙双方共同确认。</w:t>
      </w:r>
    </w:p>
    <w:p>
      <w:pPr>
        <w:numPr>
          <w:ilvl w:val="0"/>
          <w:numId w:val="0"/>
        </w:numPr>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4、乙方必须根据甲方要求保证交付时间,所有的成品数量均以甲方最后的确认稿为准。</w:t>
      </w:r>
    </w:p>
    <w:p>
      <w:pPr>
        <w:numPr>
          <w:ilvl w:val="0"/>
          <w:numId w:val="0"/>
        </w:numPr>
        <w:spacing w:line="360" w:lineRule="auto"/>
        <w:ind w:leftChars="0"/>
        <w:jc w:val="both"/>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六、</w:t>
      </w:r>
      <w:r>
        <w:rPr>
          <w:rFonts w:hint="default" w:ascii="宋体" w:hAnsi="宋体" w:eastAsia="宋体" w:cs="宋体"/>
          <w:b/>
          <w:bCs/>
          <w:sz w:val="28"/>
          <w:szCs w:val="28"/>
          <w:lang w:val="en-US" w:eastAsia="zh-CN"/>
        </w:rPr>
        <w:t>售后服务及承诺</w:t>
      </w:r>
    </w:p>
    <w:p>
      <w:pPr>
        <w:numPr>
          <w:ilvl w:val="0"/>
          <w:numId w:val="0"/>
        </w:numPr>
        <w:spacing w:line="360" w:lineRule="auto"/>
        <w:ind w:leftChars="0"/>
        <w:jc w:val="both"/>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1、电话咨询：提供 24 小时技术值班电话。</w:t>
      </w:r>
    </w:p>
    <w:p>
      <w:pPr>
        <w:numPr>
          <w:ilvl w:val="0"/>
          <w:numId w:val="0"/>
        </w:numPr>
        <w:spacing w:line="360" w:lineRule="auto"/>
        <w:ind w:leftChars="0"/>
        <w:jc w:val="both"/>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2、网络远程：提供 24 小时网络远程服务，通过电话、微信等进行远程技术指导。</w:t>
      </w:r>
    </w:p>
    <w:p>
      <w:pPr>
        <w:numPr>
          <w:ilvl w:val="0"/>
          <w:numId w:val="0"/>
        </w:numPr>
        <w:spacing w:line="360" w:lineRule="auto"/>
        <w:ind w:leftChars="0"/>
        <w:jc w:val="both"/>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3、现场响应：针对故障要求响应时间为 2小时以内，及时提出解决问题的建议和操作，如远程无法解决，供应商应在接到通知后 48 小时内到达现场解决问题。</w:t>
      </w:r>
    </w:p>
    <w:p>
      <w:pPr>
        <w:numPr>
          <w:ilvl w:val="0"/>
          <w:numId w:val="0"/>
        </w:numPr>
        <w:spacing w:line="360" w:lineRule="auto"/>
        <w:ind w:leftChars="0"/>
        <w:jc w:val="both"/>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七</w:t>
      </w:r>
      <w:r>
        <w:rPr>
          <w:rFonts w:hint="default" w:ascii="宋体" w:hAnsi="宋体" w:eastAsia="宋体" w:cs="宋体"/>
          <w:b/>
          <w:bCs/>
          <w:sz w:val="28"/>
          <w:szCs w:val="28"/>
          <w:lang w:val="en-US" w:eastAsia="zh-CN"/>
        </w:rPr>
        <w:t>、甲方责任</w:t>
      </w:r>
    </w:p>
    <w:p>
      <w:pPr>
        <w:numPr>
          <w:ilvl w:val="0"/>
          <w:numId w:val="0"/>
        </w:numPr>
        <w:spacing w:line="360" w:lineRule="auto"/>
        <w:ind w:leftChars="0"/>
        <w:jc w:val="both"/>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双方合作期间,甲方应积极配合乙方,及时提供乙方所需的各类视频、图片和文字资料,并应对上述资料的合法性、真实性、准确性和完整性负责,如因甲方提供的资料而引起的法律纠纷,其相关的一切责任由甲方负责。</w:t>
      </w:r>
    </w:p>
    <w:p>
      <w:pPr>
        <w:numPr>
          <w:ilvl w:val="0"/>
          <w:numId w:val="0"/>
        </w:numPr>
        <w:spacing w:line="360" w:lineRule="auto"/>
        <w:ind w:leftChars="0"/>
        <w:jc w:val="both"/>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甲方有权对乙方提供的产品进行一次初审和一次复审,并及时地对乙方所提交产品和其他工作以书面文件形式提出修改意见和建议,乙方据此进行修改、调整、直至甲方确认后方可定稿。但甲方应尊重乙方的专业经验和知识,并应考虑乙方工作周期等因素, 在乙方提交有关文件后,应在一个工作日以内、完整地以书面形式提出明确的意见,以便乙方有足够时间保质保量完成各项业务。</w:t>
      </w:r>
    </w:p>
    <w:p>
      <w:pPr>
        <w:numPr>
          <w:ilvl w:val="0"/>
          <w:numId w:val="0"/>
        </w:numPr>
        <w:spacing w:line="360" w:lineRule="auto"/>
        <w:ind w:leftChars="0"/>
        <w:jc w:val="both"/>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3、甲方应根据合同要求及时办理付款手续。</w:t>
      </w:r>
    </w:p>
    <w:p>
      <w:pPr>
        <w:numPr>
          <w:ilvl w:val="0"/>
          <w:numId w:val="0"/>
        </w:numPr>
        <w:spacing w:line="360" w:lineRule="auto"/>
        <w:ind w:leftChars="0"/>
        <w:jc w:val="both"/>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八</w:t>
      </w:r>
      <w:r>
        <w:rPr>
          <w:rFonts w:hint="default" w:ascii="宋体" w:hAnsi="宋体" w:eastAsia="宋体" w:cs="宋体"/>
          <w:b/>
          <w:bCs/>
          <w:sz w:val="28"/>
          <w:szCs w:val="28"/>
          <w:lang w:val="en-US" w:eastAsia="zh-CN"/>
        </w:rPr>
        <w:t>、乙方责任</w:t>
      </w:r>
    </w:p>
    <w:p>
      <w:pPr>
        <w:numPr>
          <w:ilvl w:val="0"/>
          <w:numId w:val="0"/>
        </w:numPr>
        <w:spacing w:line="360" w:lineRule="auto"/>
        <w:ind w:leftChars="0"/>
        <w:jc w:val="both"/>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1、保证所交付的产品符合甲方要求。</w:t>
      </w:r>
    </w:p>
    <w:p>
      <w:pPr>
        <w:numPr>
          <w:ilvl w:val="0"/>
          <w:numId w:val="0"/>
        </w:numPr>
        <w:spacing w:line="360" w:lineRule="auto"/>
        <w:ind w:leftChars="0"/>
        <w:jc w:val="both"/>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2、保证服务的质量标准，严格依据甲方要求实施，</w:t>
      </w:r>
      <w:r>
        <w:rPr>
          <w:rFonts w:hint="eastAsia" w:ascii="宋体" w:hAnsi="宋体" w:eastAsia="宋体" w:cs="宋体"/>
          <w:b w:val="0"/>
          <w:bCs w:val="0"/>
          <w:sz w:val="24"/>
          <w:szCs w:val="24"/>
          <w:lang w:val="en-US" w:eastAsia="zh-CN"/>
        </w:rPr>
        <w:t>并</w:t>
      </w:r>
      <w:r>
        <w:rPr>
          <w:rFonts w:hint="default" w:ascii="宋体" w:hAnsi="宋体" w:eastAsia="宋体" w:cs="宋体"/>
          <w:b w:val="0"/>
          <w:bCs w:val="0"/>
          <w:sz w:val="24"/>
          <w:szCs w:val="24"/>
          <w:lang w:val="en-US" w:eastAsia="zh-CN"/>
        </w:rPr>
        <w:t>对服务做及时回访等服务。</w:t>
      </w:r>
    </w:p>
    <w:p>
      <w:pPr>
        <w:numPr>
          <w:ilvl w:val="0"/>
          <w:numId w:val="0"/>
        </w:numPr>
        <w:spacing w:line="360" w:lineRule="auto"/>
        <w:ind w:leftChars="0"/>
        <w:jc w:val="both"/>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3、乙方为甲方成立项目服务小组,该项目小组由项目总监负责,并且配备足够数量的项目人员。</w:t>
      </w:r>
    </w:p>
    <w:p>
      <w:pPr>
        <w:numPr>
          <w:ilvl w:val="0"/>
          <w:numId w:val="0"/>
        </w:numPr>
        <w:spacing w:line="360" w:lineRule="auto"/>
        <w:ind w:leftChars="0"/>
        <w:jc w:val="both"/>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4、乙方必须根据甲方要求保证交付时间,所有的成品数量均以甲方最后的确认稿为准。如果乙方没有按照合同规定的时间交付和提供服务，甲方应从货款中扣除误期赔偿费而不影响合同项下的其他补救方法，赔偿费按每周赔偿迟交付物的交付价或延期服务的服务费用的百分之一（1%）计收，但误期赔偿费的最高限额不超过合同价的百分之五（5%）。直至交付或提供服务为止。</w:t>
      </w:r>
    </w:p>
    <w:p>
      <w:pPr>
        <w:numPr>
          <w:ilvl w:val="0"/>
          <w:numId w:val="0"/>
        </w:numPr>
        <w:spacing w:line="360" w:lineRule="auto"/>
        <w:ind w:leftChars="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九、</w:t>
      </w:r>
      <w:r>
        <w:rPr>
          <w:rFonts w:hint="default" w:ascii="宋体" w:hAnsi="宋体" w:eastAsia="宋体" w:cs="宋体"/>
          <w:b/>
          <w:bCs/>
          <w:sz w:val="24"/>
          <w:szCs w:val="24"/>
          <w:lang w:val="en-US" w:eastAsia="zh-CN"/>
        </w:rPr>
        <w:t>不可抗力</w:t>
      </w:r>
    </w:p>
    <w:p>
      <w:pPr>
        <w:numPr>
          <w:ilvl w:val="0"/>
          <w:numId w:val="0"/>
        </w:numPr>
        <w:spacing w:line="360" w:lineRule="auto"/>
        <w:ind w:leftChars="0"/>
        <w:jc w:val="both"/>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1、如果合同各方因不可抗力而导致合同实施延误或不能履行合同义务的话，不应该承担误期赔偿或不能履行合同义务的责任。</w:t>
      </w:r>
    </w:p>
    <w:p>
      <w:pPr>
        <w:numPr>
          <w:ilvl w:val="0"/>
          <w:numId w:val="0"/>
        </w:numPr>
        <w:spacing w:line="360" w:lineRule="auto"/>
        <w:ind w:leftChars="0"/>
        <w:jc w:val="both"/>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本条所述的“不可抗力”系指那些双方不可预见、不可避免、不可克服的事件，但不包括双方的违约或疏忽。这些事件包括但不限于：战争、严重火灾、洪水、台风、地震、瘟疫、国家政策的重大变化，以及其它双方商定的其他事件。</w:t>
      </w:r>
    </w:p>
    <w:p>
      <w:pPr>
        <w:numPr>
          <w:ilvl w:val="0"/>
          <w:numId w:val="0"/>
        </w:numPr>
        <w:spacing w:line="360" w:lineRule="auto"/>
        <w:ind w:leftChars="0"/>
        <w:jc w:val="both"/>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 在不可抗力事件发生后，当事方应尽快以书面形式将不可抗力的情况和原因通知对方。合同各方应尽实际可能继续履行合同义务，并积极寻求采取合理的方案履行不受不可抗力影响的其他事项。合同各方应通过友好协商在合理的时间内达成进一步履行合同的协议。</w:t>
      </w:r>
    </w:p>
    <w:p>
      <w:pPr>
        <w:numPr>
          <w:ilvl w:val="0"/>
          <w:numId w:val="0"/>
        </w:numPr>
        <w:spacing w:line="360" w:lineRule="auto"/>
        <w:ind w:leftChars="0"/>
        <w:jc w:val="both"/>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十、其他事项</w:t>
      </w:r>
    </w:p>
    <w:p>
      <w:pPr>
        <w:numPr>
          <w:ilvl w:val="0"/>
          <w:numId w:val="0"/>
        </w:numPr>
        <w:spacing w:line="360" w:lineRule="auto"/>
        <w:ind w:leftChars="0"/>
        <w:jc w:val="both"/>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1、合同各方应通过友好协商，解决在执行本合同过程中所发生的或与本合同有关的一切争端。如协商不能解决，可以向同级政府采购监督管理部门提请调解。</w:t>
      </w:r>
    </w:p>
    <w:p>
      <w:pPr>
        <w:numPr>
          <w:ilvl w:val="0"/>
          <w:numId w:val="0"/>
        </w:numPr>
        <w:spacing w:line="360" w:lineRule="auto"/>
        <w:ind w:leftChars="0"/>
        <w:jc w:val="both"/>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2、调解不成则提交仲裁，仲裁应由相关仲裁委员会根据其仲裁规则和程序进行。</w:t>
      </w:r>
    </w:p>
    <w:p>
      <w:pPr>
        <w:numPr>
          <w:ilvl w:val="0"/>
          <w:numId w:val="0"/>
        </w:numPr>
        <w:spacing w:line="360" w:lineRule="auto"/>
        <w:ind w:leftChars="0"/>
        <w:jc w:val="both"/>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r>
        <w:rPr>
          <w:rFonts w:hint="default" w:ascii="宋体" w:hAnsi="宋体" w:eastAsia="宋体" w:cs="宋体"/>
          <w:b w:val="0"/>
          <w:bCs w:val="0"/>
          <w:sz w:val="24"/>
          <w:szCs w:val="24"/>
          <w:lang w:val="en-US" w:eastAsia="zh-CN"/>
        </w:rPr>
        <w:t>本合同在合同各方签字盖章生效。</w:t>
      </w:r>
    </w:p>
    <w:p>
      <w:pPr>
        <w:numPr>
          <w:ilvl w:val="0"/>
          <w:numId w:val="0"/>
        </w:numPr>
        <w:spacing w:line="360" w:lineRule="auto"/>
        <w:ind w:leftChars="0"/>
        <w:jc w:val="both"/>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r>
        <w:rPr>
          <w:rFonts w:hint="default" w:ascii="宋体" w:hAnsi="宋体" w:eastAsia="宋体" w:cs="宋体"/>
          <w:b w:val="0"/>
          <w:bCs w:val="0"/>
          <w:sz w:val="24"/>
          <w:szCs w:val="24"/>
          <w:lang w:val="en-US" w:eastAsia="zh-CN"/>
        </w:rPr>
        <w:t>本合同一式</w:t>
      </w:r>
      <w:r>
        <w:rPr>
          <w:rFonts w:hint="eastAsia" w:ascii="宋体" w:hAnsi="宋体" w:eastAsia="宋体" w:cs="宋体"/>
          <w:b w:val="0"/>
          <w:bCs w:val="0"/>
          <w:sz w:val="24"/>
          <w:szCs w:val="24"/>
          <w:u w:val="single"/>
          <w:lang w:val="en-US" w:eastAsia="zh-CN"/>
        </w:rPr>
        <w:t xml:space="preserve">    </w:t>
      </w:r>
      <w:r>
        <w:rPr>
          <w:rFonts w:hint="default" w:ascii="宋体" w:hAnsi="宋体" w:eastAsia="宋体" w:cs="宋体"/>
          <w:b w:val="0"/>
          <w:bCs w:val="0"/>
          <w:sz w:val="24"/>
          <w:szCs w:val="24"/>
          <w:lang w:val="en-US" w:eastAsia="zh-CN"/>
        </w:rPr>
        <w:t>份，甲方执</w:t>
      </w:r>
      <w:r>
        <w:rPr>
          <w:rFonts w:hint="eastAsia" w:ascii="宋体" w:hAnsi="宋体" w:eastAsia="宋体" w:cs="宋体"/>
          <w:b w:val="0"/>
          <w:bCs w:val="0"/>
          <w:sz w:val="24"/>
          <w:szCs w:val="24"/>
          <w:u w:val="single"/>
          <w:lang w:val="en-US" w:eastAsia="zh-CN"/>
        </w:rPr>
        <w:t xml:space="preserve">    </w:t>
      </w:r>
      <w:r>
        <w:rPr>
          <w:rFonts w:hint="default" w:ascii="宋体" w:hAnsi="宋体" w:eastAsia="宋体" w:cs="宋体"/>
          <w:b w:val="0"/>
          <w:bCs w:val="0"/>
          <w:sz w:val="24"/>
          <w:szCs w:val="24"/>
          <w:lang w:val="en-US" w:eastAsia="zh-CN"/>
        </w:rPr>
        <w:t>份，乙方执</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lang w:val="en-US" w:eastAsia="zh-CN"/>
        </w:rPr>
        <w:t>份</w:t>
      </w:r>
      <w:r>
        <w:rPr>
          <w:rFonts w:hint="default" w:ascii="宋体" w:hAnsi="宋体" w:eastAsia="宋体" w:cs="宋体"/>
          <w:b w:val="0"/>
          <w:bCs w:val="0"/>
          <w:sz w:val="24"/>
          <w:szCs w:val="24"/>
          <w:lang w:val="en-US" w:eastAsia="zh-CN"/>
        </w:rPr>
        <w:t>。</w:t>
      </w:r>
    </w:p>
    <w:p>
      <w:pPr>
        <w:numPr>
          <w:ilvl w:val="0"/>
          <w:numId w:val="0"/>
        </w:numPr>
        <w:spacing w:line="360" w:lineRule="auto"/>
        <w:ind w:leftChars="0"/>
        <w:jc w:val="both"/>
        <w:rPr>
          <w:rFonts w:hint="default" w:ascii="宋体" w:hAnsi="宋体" w:eastAsia="宋体" w:cs="宋体"/>
          <w:b w:val="0"/>
          <w:bCs w:val="0"/>
          <w:sz w:val="24"/>
          <w:szCs w:val="24"/>
          <w:lang w:val="en-US" w:eastAsia="zh-CN"/>
        </w:rPr>
      </w:pPr>
    </w:p>
    <w:p>
      <w:pPr>
        <w:numPr>
          <w:ilvl w:val="0"/>
          <w:numId w:val="0"/>
        </w:numPr>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甲方（盖章）：                          乙方（盖章）：</w:t>
      </w:r>
    </w:p>
    <w:p>
      <w:pPr>
        <w:numPr>
          <w:ilvl w:val="0"/>
          <w:numId w:val="0"/>
        </w:numPr>
        <w:spacing w:line="360" w:lineRule="auto"/>
        <w:ind w:leftChars="0"/>
        <w:jc w:val="both"/>
        <w:rPr>
          <w:rFonts w:hint="eastAsia" w:ascii="宋体" w:hAnsi="宋体" w:eastAsia="宋体" w:cs="宋体"/>
          <w:b w:val="0"/>
          <w:bCs w:val="0"/>
          <w:sz w:val="24"/>
          <w:szCs w:val="24"/>
          <w:lang w:val="en-US" w:eastAsia="zh-CN"/>
        </w:rPr>
      </w:pPr>
    </w:p>
    <w:p>
      <w:pPr>
        <w:numPr>
          <w:ilvl w:val="0"/>
          <w:numId w:val="0"/>
        </w:numPr>
        <w:spacing w:line="360" w:lineRule="auto"/>
        <w:ind w:leftChars="0"/>
        <w:jc w:val="both"/>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授权人签字：                           授权人签字：</w:t>
      </w:r>
    </w:p>
    <w:p>
      <w:pPr>
        <w:keepNext w:val="0"/>
        <w:keepLines w:val="0"/>
        <w:pageBreakBefore w:val="0"/>
        <w:kinsoku/>
        <w:wordWrap/>
        <w:overflowPunct/>
        <w:topLinePunct w:val="0"/>
        <w:autoSpaceDE/>
        <w:autoSpaceDN/>
        <w:bidi w:val="0"/>
        <w:adjustRightInd/>
        <w:snapToGrid/>
        <w:spacing w:line="500" w:lineRule="exact"/>
        <w:textAlignment w:val="auto"/>
        <w:rPr>
          <w:rFonts w:hint="eastAsia"/>
          <w:lang w:eastAsia="zh-CN"/>
        </w:rPr>
      </w:pPr>
    </w:p>
    <w:p>
      <w:pPr>
        <w:jc w:val="center"/>
        <w:rPr>
          <w:rFonts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b/>
          <w:bCs/>
          <w:color w:val="auto"/>
          <w:sz w:val="32"/>
          <w:szCs w:val="32"/>
          <w:highlight w:val="none"/>
        </w:rPr>
      </w:pPr>
      <w:bookmarkStart w:id="155" w:name="_Toc20893"/>
      <w:bookmarkStart w:id="156" w:name="_Toc534380788"/>
      <w:bookmarkStart w:id="157" w:name="_Toc256000027"/>
      <w:bookmarkStart w:id="158" w:name="_Toc8716"/>
      <w:bookmarkStart w:id="159" w:name="_Toc7555"/>
      <w:r>
        <w:rPr>
          <w:rFonts w:hint="eastAsia" w:ascii="宋体" w:hAnsi="宋体" w:eastAsia="宋体" w:cs="宋体"/>
          <w:b/>
          <w:bCs/>
          <w:color w:val="auto"/>
          <w:sz w:val="32"/>
          <w:szCs w:val="32"/>
          <w:highlight w:val="none"/>
        </w:rPr>
        <w:br w:type="page"/>
      </w:r>
    </w:p>
    <w:p>
      <w:pPr>
        <w:pStyle w:val="3"/>
        <w:spacing w:before="0" w:after="0" w:line="240" w:lineRule="auto"/>
        <w:ind w:left="0" w:left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第六章</w:t>
      </w:r>
      <w:r>
        <w:rPr>
          <w:rFonts w:hint="eastAsia"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 xml:space="preserve"> 响应文件格式</w:t>
      </w:r>
      <w:bookmarkEnd w:id="155"/>
      <w:bookmarkEnd w:id="156"/>
      <w:bookmarkEnd w:id="157"/>
      <w:bookmarkEnd w:id="158"/>
      <w:bookmarkEnd w:id="159"/>
    </w:p>
    <w:p>
      <w:pPr>
        <w:rPr>
          <w:rFonts w:hint="eastAsia" w:ascii="宋体" w:hAnsi="宋体" w:eastAsia="宋体" w:cs="宋体"/>
          <w:color w:val="auto"/>
          <w:highlight w:val="none"/>
          <w:lang w:eastAsia="zh-CN"/>
        </w:rPr>
      </w:pPr>
    </w:p>
    <w:p>
      <w:pPr>
        <w:pStyle w:val="76"/>
        <w:spacing w:line="360" w:lineRule="auto"/>
        <w:rPr>
          <w:rFonts w:hint="eastAsia" w:ascii="宋体" w:hAnsi="宋体" w:eastAsia="宋体" w:cs="宋体"/>
          <w:b/>
          <w:color w:val="auto"/>
          <w:sz w:val="24"/>
          <w:highlight w:val="none"/>
        </w:rPr>
      </w:pPr>
      <w:bookmarkStart w:id="160" w:name="EB297b5a8066974f08b314f18e85a8ad1d"/>
    </w:p>
    <w:p>
      <w:pPr>
        <w:pStyle w:val="76"/>
        <w:spacing w:line="360" w:lineRule="auto"/>
        <w:rPr>
          <w:rFonts w:hint="eastAsia" w:ascii="宋体" w:hAnsi="宋体" w:eastAsia="宋体" w:cs="宋体"/>
          <w:b/>
          <w:color w:val="auto"/>
          <w:sz w:val="24"/>
          <w:highlight w:val="none"/>
        </w:rPr>
      </w:pPr>
    </w:p>
    <w:p>
      <w:pPr>
        <w:pStyle w:val="76"/>
        <w:spacing w:line="360" w:lineRule="auto"/>
        <w:jc w:val="center"/>
        <w:rPr>
          <w:rFonts w:hint="eastAsia" w:ascii="宋体" w:hAnsi="宋体" w:eastAsia="宋体" w:cs="宋体"/>
          <w:color w:val="auto"/>
          <w:sz w:val="24"/>
          <w:highlight w:val="none"/>
        </w:rPr>
      </w:pPr>
    </w:p>
    <w:p>
      <w:pPr>
        <w:pStyle w:val="76"/>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pPr>
        <w:pStyle w:val="76"/>
        <w:spacing w:line="360" w:lineRule="auto"/>
        <w:jc w:val="center"/>
        <w:rPr>
          <w:rFonts w:hint="eastAsia" w:ascii="宋体" w:hAnsi="宋体" w:eastAsia="宋体" w:cs="宋体"/>
          <w:color w:val="auto"/>
          <w:sz w:val="28"/>
          <w:szCs w:val="28"/>
          <w:highlight w:val="none"/>
        </w:rPr>
      </w:pPr>
    </w:p>
    <w:p>
      <w:pPr>
        <w:pStyle w:val="76"/>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（项目编号）</w:t>
      </w:r>
    </w:p>
    <w:p>
      <w:pPr>
        <w:pStyle w:val="76"/>
        <w:spacing w:line="360" w:lineRule="auto"/>
        <w:jc w:val="center"/>
        <w:rPr>
          <w:rFonts w:hint="eastAsia" w:ascii="宋体" w:hAnsi="宋体" w:eastAsia="宋体" w:cs="宋体"/>
          <w:color w:val="auto"/>
          <w:sz w:val="28"/>
          <w:szCs w:val="28"/>
          <w:highlight w:val="none"/>
        </w:rPr>
      </w:pPr>
    </w:p>
    <w:p>
      <w:pPr>
        <w:pStyle w:val="76"/>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pStyle w:val="76"/>
        <w:spacing w:line="360" w:lineRule="auto"/>
        <w:jc w:val="center"/>
        <w:rPr>
          <w:rFonts w:hint="eastAsia" w:ascii="宋体" w:hAnsi="宋体" w:eastAsia="宋体" w:cs="宋体"/>
          <w:color w:val="auto"/>
          <w:sz w:val="24"/>
          <w:highlight w:val="none"/>
        </w:rPr>
      </w:pPr>
    </w:p>
    <w:p>
      <w:pPr>
        <w:pStyle w:val="76"/>
        <w:spacing w:line="360" w:lineRule="auto"/>
        <w:jc w:val="center"/>
        <w:rPr>
          <w:rFonts w:hint="eastAsia" w:ascii="宋体" w:hAnsi="宋体" w:eastAsia="宋体" w:cs="宋体"/>
          <w:color w:val="auto"/>
          <w:sz w:val="24"/>
          <w:highlight w:val="none"/>
        </w:rPr>
      </w:pPr>
    </w:p>
    <w:p>
      <w:pPr>
        <w:pStyle w:val="76"/>
        <w:spacing w:line="360" w:lineRule="auto"/>
        <w:jc w:val="center"/>
        <w:outlineLvl w:val="1"/>
        <w:rPr>
          <w:rFonts w:hint="eastAsia" w:ascii="宋体" w:hAnsi="宋体" w:eastAsia="宋体" w:cs="宋体"/>
          <w:b/>
          <w:color w:val="auto"/>
          <w:sz w:val="72"/>
          <w:szCs w:val="72"/>
          <w:highlight w:val="none"/>
        </w:rPr>
      </w:pPr>
      <w:bookmarkStart w:id="161" w:name="_Toc29755"/>
      <w:bookmarkStart w:id="162" w:name="_Toc31213"/>
      <w:bookmarkStart w:id="163" w:name="_Toc3380"/>
      <w:bookmarkStart w:id="164" w:name="_Toc22501"/>
      <w:r>
        <w:rPr>
          <w:rFonts w:hint="eastAsia" w:ascii="宋体" w:hAnsi="宋体" w:eastAsia="宋体" w:cs="宋体"/>
          <w:b/>
          <w:color w:val="auto"/>
          <w:sz w:val="72"/>
          <w:szCs w:val="72"/>
          <w:highlight w:val="none"/>
        </w:rPr>
        <w:t>响应文件</w:t>
      </w:r>
      <w:bookmarkEnd w:id="161"/>
      <w:bookmarkEnd w:id="162"/>
      <w:bookmarkEnd w:id="163"/>
      <w:bookmarkEnd w:id="164"/>
    </w:p>
    <w:p>
      <w:pPr>
        <w:pStyle w:val="76"/>
        <w:spacing w:line="360" w:lineRule="auto"/>
        <w:jc w:val="center"/>
        <w:rPr>
          <w:rFonts w:hint="eastAsia" w:ascii="宋体" w:hAnsi="宋体" w:eastAsia="宋体" w:cs="宋体"/>
          <w:color w:val="auto"/>
          <w:sz w:val="24"/>
          <w:highlight w:val="none"/>
        </w:rPr>
      </w:pPr>
    </w:p>
    <w:p>
      <w:pPr>
        <w:pStyle w:val="76"/>
        <w:spacing w:line="360" w:lineRule="auto"/>
        <w:jc w:val="center"/>
        <w:rPr>
          <w:rFonts w:hint="eastAsia" w:ascii="宋体" w:hAnsi="宋体" w:eastAsia="宋体" w:cs="宋体"/>
          <w:color w:val="auto"/>
          <w:sz w:val="24"/>
          <w:highlight w:val="none"/>
        </w:rPr>
      </w:pPr>
    </w:p>
    <w:p>
      <w:pPr>
        <w:pStyle w:val="76"/>
        <w:spacing w:line="360" w:lineRule="auto"/>
        <w:jc w:val="center"/>
        <w:rPr>
          <w:rFonts w:hint="eastAsia" w:ascii="宋体" w:hAnsi="宋体" w:eastAsia="宋体" w:cs="宋体"/>
          <w:b/>
          <w:color w:val="auto"/>
          <w:sz w:val="24"/>
          <w:highlight w:val="none"/>
        </w:rPr>
      </w:pPr>
    </w:p>
    <w:p>
      <w:pPr>
        <w:pStyle w:val="76"/>
        <w:spacing w:line="360" w:lineRule="auto"/>
        <w:jc w:val="center"/>
        <w:rPr>
          <w:rFonts w:hint="eastAsia" w:ascii="宋体" w:hAnsi="宋体" w:eastAsia="宋体" w:cs="宋体"/>
          <w:b/>
          <w:color w:val="auto"/>
          <w:sz w:val="24"/>
          <w:highlight w:val="none"/>
        </w:rPr>
      </w:pPr>
    </w:p>
    <w:p>
      <w:pPr>
        <w:pStyle w:val="76"/>
        <w:spacing w:line="360" w:lineRule="auto"/>
        <w:jc w:val="center"/>
        <w:rPr>
          <w:rFonts w:hint="eastAsia" w:ascii="宋体" w:hAnsi="宋体" w:eastAsia="宋体" w:cs="宋体"/>
          <w:b/>
          <w:color w:val="auto"/>
          <w:sz w:val="24"/>
          <w:highlight w:val="none"/>
        </w:rPr>
      </w:pPr>
    </w:p>
    <w:p>
      <w:pPr>
        <w:pStyle w:val="76"/>
        <w:spacing w:line="360" w:lineRule="auto"/>
        <w:jc w:val="center"/>
        <w:rPr>
          <w:rFonts w:hint="eastAsia" w:ascii="宋体" w:hAnsi="宋体" w:eastAsia="宋体" w:cs="宋体"/>
          <w:b/>
          <w:color w:val="auto"/>
          <w:sz w:val="24"/>
          <w:highlight w:val="none"/>
        </w:rPr>
      </w:pPr>
    </w:p>
    <w:p>
      <w:pPr>
        <w:pStyle w:val="76"/>
        <w:spacing w:line="360" w:lineRule="auto"/>
        <w:jc w:val="center"/>
        <w:rPr>
          <w:rFonts w:hint="eastAsia" w:ascii="宋体" w:hAnsi="宋体" w:eastAsia="宋体" w:cs="宋体"/>
          <w:b/>
          <w:color w:val="auto"/>
          <w:sz w:val="24"/>
          <w:highlight w:val="none"/>
        </w:rPr>
      </w:pPr>
    </w:p>
    <w:p>
      <w:pPr>
        <w:pStyle w:val="76"/>
        <w:spacing w:line="360" w:lineRule="auto"/>
        <w:jc w:val="center"/>
        <w:outlineLvl w:val="1"/>
        <w:rPr>
          <w:rFonts w:hint="eastAsia" w:ascii="宋体" w:hAnsi="宋体" w:eastAsia="宋体" w:cs="宋体"/>
          <w:color w:val="auto"/>
          <w:sz w:val="28"/>
          <w:szCs w:val="28"/>
          <w:highlight w:val="none"/>
          <w:u w:val="single"/>
        </w:rPr>
      </w:pPr>
      <w:bookmarkStart w:id="165" w:name="_Toc21583"/>
      <w:bookmarkStart w:id="166" w:name="_Toc2864"/>
      <w:bookmarkStart w:id="167" w:name="_Toc19296"/>
      <w:bookmarkStart w:id="168" w:name="_Toc11519"/>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电子公章）</w:t>
      </w:r>
      <w:bookmarkEnd w:id="165"/>
      <w:bookmarkEnd w:id="166"/>
      <w:bookmarkEnd w:id="167"/>
      <w:bookmarkEnd w:id="168"/>
    </w:p>
    <w:p>
      <w:pPr>
        <w:pStyle w:val="76"/>
        <w:spacing w:line="360" w:lineRule="auto"/>
        <w:jc w:val="center"/>
        <w:outlineLvl w:val="1"/>
        <w:rPr>
          <w:rFonts w:hint="eastAsia" w:ascii="宋体" w:hAnsi="宋体" w:eastAsia="宋体" w:cs="宋体"/>
          <w:color w:val="auto"/>
          <w:sz w:val="28"/>
          <w:szCs w:val="28"/>
          <w:highlight w:val="none"/>
        </w:rPr>
      </w:pPr>
      <w:bookmarkStart w:id="169" w:name="_Toc3030"/>
      <w:bookmarkStart w:id="170" w:name="_Toc10798"/>
      <w:bookmarkStart w:id="171" w:name="_Toc25369"/>
      <w:bookmarkStart w:id="172" w:name="_Toc20517"/>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（电子签章）</w:t>
      </w:r>
      <w:bookmarkEnd w:id="169"/>
      <w:bookmarkEnd w:id="170"/>
      <w:bookmarkEnd w:id="171"/>
      <w:bookmarkEnd w:id="172"/>
    </w:p>
    <w:p>
      <w:pPr>
        <w:pStyle w:val="76"/>
        <w:spacing w:line="360" w:lineRule="auto"/>
        <w:jc w:val="center"/>
        <w:outlineLvl w:val="1"/>
        <w:rPr>
          <w:rFonts w:hint="eastAsia" w:ascii="宋体" w:hAnsi="宋体" w:eastAsia="宋体" w:cs="宋体"/>
          <w:color w:val="auto"/>
          <w:sz w:val="28"/>
          <w:szCs w:val="28"/>
          <w:highlight w:val="none"/>
          <w:u w:val="single"/>
        </w:rPr>
      </w:pPr>
      <w:bookmarkStart w:id="173" w:name="_Toc8599"/>
      <w:bookmarkStart w:id="174" w:name="_Toc8104"/>
      <w:bookmarkStart w:id="175" w:name="_Toc24801"/>
      <w:bookmarkStart w:id="176" w:name="_Toc14210"/>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（年/月/日）</w:t>
      </w:r>
      <w:bookmarkEnd w:id="173"/>
      <w:bookmarkEnd w:id="174"/>
      <w:bookmarkEnd w:id="175"/>
      <w:bookmarkEnd w:id="176"/>
    </w:p>
    <w:p>
      <w:pP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77" w:name="_Toc21562"/>
      <w:bookmarkStart w:id="178" w:name="_Toc8185"/>
      <w:bookmarkStart w:id="179" w:name="_Toc20675"/>
      <w:bookmarkStart w:id="180" w:name="_Toc24011"/>
      <w:bookmarkStart w:id="181" w:name="_Toc25177"/>
      <w:bookmarkStart w:id="182" w:name="_Toc20939"/>
    </w:p>
    <w:p>
      <w:pPr>
        <w:pStyle w:val="94"/>
        <w:keepNext/>
        <w:keepLines/>
        <w:pageBreakBefore w:val="0"/>
        <w:widowControl/>
        <w:kinsoku/>
        <w:wordWrap/>
        <w:overflowPunct/>
        <w:topLinePunct w:val="0"/>
        <w:autoSpaceDE/>
        <w:autoSpaceDN/>
        <w:bidi w:val="0"/>
        <w:adjustRightInd/>
        <w:snapToGrid/>
        <w:spacing w:before="0" w:after="0" w:line="360" w:lineRule="auto"/>
        <w:ind w:firstLine="0" w:firstLineChars="0"/>
        <w:jc w:val="center"/>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目  录</w:t>
      </w:r>
    </w:p>
    <w:p>
      <w:pPr>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eastAsia="zh-CN"/>
        </w:rPr>
        <w:t>磋商</w:t>
      </w:r>
      <w:r>
        <w:rPr>
          <w:rFonts w:hint="eastAsia" w:ascii="宋体" w:hAnsi="宋体" w:eastAsia="宋体" w:cs="宋体"/>
          <w:color w:val="auto"/>
          <w:highlight w:val="none"/>
        </w:rPr>
        <w:t>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3、法定代表人授权书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4、开标一览表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cs="宋体"/>
          <w:color w:val="auto"/>
          <w:highlight w:val="none"/>
          <w:lang w:eastAsia="zh-CN"/>
        </w:rPr>
        <w:t>供应商</w:t>
      </w:r>
      <w:r>
        <w:rPr>
          <w:rFonts w:hint="eastAsia" w:ascii="宋体" w:hAnsi="宋体" w:eastAsia="宋体" w:cs="宋体"/>
          <w:color w:val="auto"/>
          <w:highlight w:val="none"/>
        </w:rPr>
        <w:t>反商业贿赂承诺书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6、投标保证金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7、供应商基本情况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highlight w:val="none"/>
          <w:lang w:val="en-US"/>
        </w:rPr>
      </w:pPr>
      <w:r>
        <w:rPr>
          <w:rFonts w:hint="eastAsia" w:ascii="宋体" w:hAnsi="宋体" w:eastAsia="宋体" w:cs="宋体"/>
          <w:color w:val="auto"/>
          <w:highlight w:val="none"/>
        </w:rPr>
        <w:t>8、</w:t>
      </w:r>
      <w:r>
        <w:rPr>
          <w:rFonts w:hint="eastAsia" w:ascii="宋体" w:hAnsi="宋体" w:eastAsia="宋体" w:cs="宋体"/>
          <w:color w:val="auto"/>
          <w:highlight w:val="none"/>
          <w:lang w:val="en-US" w:eastAsia="zh-CN"/>
        </w:rPr>
        <w:t>关于软件版权及使用权的声明（格式自拟）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9、人员配备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10、</w:t>
      </w:r>
      <w:r>
        <w:rPr>
          <w:rFonts w:hint="eastAsia" w:ascii="宋体" w:hAnsi="宋体" w:cs="宋体"/>
          <w:color w:val="auto"/>
          <w:highlight w:val="none"/>
          <w:lang w:val="en-US" w:eastAsia="zh-CN"/>
        </w:rPr>
        <w:t>实施方案及效果展示（格式内容自拟）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11、</w:t>
      </w:r>
      <w:r>
        <w:rPr>
          <w:rFonts w:hint="eastAsia" w:ascii="宋体" w:hAnsi="宋体" w:cs="宋体"/>
          <w:color w:val="auto"/>
          <w:highlight w:val="none"/>
          <w:lang w:val="en-US" w:eastAsia="zh-CN"/>
        </w:rPr>
        <w:t>设备材料规格及价格明细清单</w:t>
      </w:r>
    </w:p>
    <w:p>
      <w:pPr>
        <w:pStyle w:val="2"/>
        <w:rPr>
          <w:rFonts w:hint="default"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12、培训计划及服务承诺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3</w:t>
      </w:r>
      <w:r>
        <w:rPr>
          <w:rFonts w:hint="eastAsia" w:ascii="宋体" w:hAnsi="宋体" w:eastAsia="宋体" w:cs="宋体"/>
          <w:color w:val="auto"/>
          <w:highlight w:val="none"/>
        </w:rPr>
        <w:t>、参加政府采购活动前三年内，在经营活动中没有重大违法记录的声明函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4</w:t>
      </w:r>
      <w:r>
        <w:rPr>
          <w:rFonts w:hint="eastAsia" w:ascii="宋体" w:hAnsi="宋体" w:eastAsia="宋体" w:cs="宋体"/>
          <w:color w:val="auto"/>
          <w:highlight w:val="none"/>
        </w:rPr>
        <w:t>、中小微企业声明函及其他资料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15、</w:t>
      </w:r>
      <w:r>
        <w:rPr>
          <w:rFonts w:hint="eastAsia" w:ascii="宋体" w:hAnsi="宋体" w:eastAsia="宋体" w:cs="宋体"/>
          <w:color w:val="auto"/>
          <w:highlight w:val="none"/>
        </w:rPr>
        <w:t>磋商供应商认为需提供的证明文件及其它资料</w:t>
      </w: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rPr>
      </w:pPr>
      <w:r>
        <w:rPr>
          <w:rFonts w:hint="eastAsia" w:ascii="宋体"/>
          <w:b/>
          <w:sz w:val="24"/>
          <w:lang w:val="en-US" w:eastAsia="zh-CN"/>
        </w:rPr>
        <w:t>注：响应文件的内容包括但不限于上述内容，如有不足请自行补充。</w:t>
      </w: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cs="宋体"/>
          <w:color w:val="auto"/>
          <w:highlight w:val="none"/>
          <w:lang w:val="en-US" w:eastAsia="zh-CN"/>
        </w:rPr>
      </w:pPr>
      <w:r>
        <w:rPr>
          <w:rFonts w:hint="eastAsia" w:ascii="宋体" w:hAnsi="宋体" w:cs="宋体"/>
          <w:color w:val="auto"/>
          <w:highlight w:val="none"/>
          <w:lang w:val="en-US" w:eastAsia="zh-CN"/>
        </w:rPr>
        <w:br w:type="page"/>
      </w:r>
    </w:p>
    <w:p>
      <w:pPr>
        <w:pStyle w:val="94"/>
        <w:keepNext/>
        <w:keepLines/>
        <w:pageBreakBefore w:val="0"/>
        <w:widowControl/>
        <w:kinsoku/>
        <w:wordWrap/>
        <w:overflowPunct/>
        <w:topLinePunct w:val="0"/>
        <w:autoSpaceDE/>
        <w:autoSpaceDN/>
        <w:bidi w:val="0"/>
        <w:adjustRightInd/>
        <w:snapToGrid/>
        <w:spacing w:before="0" w:after="0" w:line="360" w:lineRule="auto"/>
        <w:ind w:firstLine="0" w:firstLineChars="0"/>
        <w:jc w:val="center"/>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lang w:eastAsia="zh-CN"/>
        </w:rPr>
        <w:t>磋商</w:t>
      </w:r>
      <w:r>
        <w:rPr>
          <w:rFonts w:hint="eastAsia" w:ascii="宋体" w:hAnsi="宋体" w:eastAsia="宋体" w:cs="宋体"/>
          <w:color w:val="auto"/>
          <w:highlight w:val="none"/>
        </w:rPr>
        <w:t>函</w:t>
      </w:r>
      <w:bookmarkEnd w:id="177"/>
      <w:bookmarkEnd w:id="178"/>
      <w:bookmarkEnd w:id="179"/>
      <w:bookmarkEnd w:id="180"/>
    </w:p>
    <w:p>
      <w:pPr>
        <w:pStyle w:val="128"/>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{采购人或采购代理机构}：</w:t>
      </w:r>
    </w:p>
    <w:p>
      <w:pPr>
        <w:pStyle w:val="128"/>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授权代理人姓名)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(职务、职称)为我方代表，参加贵方组织的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(项目名称、项目编号)</w:t>
      </w:r>
      <w:r>
        <w:rPr>
          <w:rFonts w:hint="eastAsia" w:hAnsi="宋体" w:cs="宋体"/>
          <w:color w:val="auto"/>
          <w:sz w:val="21"/>
          <w:szCs w:val="21"/>
          <w:highlight w:val="none"/>
          <w:lang w:eastAsia="zh-CN"/>
        </w:rPr>
        <w:t>竞争性磋商</w:t>
      </w:r>
      <w:r>
        <w:rPr>
          <w:rFonts w:hint="eastAsia" w:ascii="宋体" w:hAnsi="宋体" w:eastAsia="宋体" w:cs="宋体"/>
          <w:color w:val="auto"/>
          <w:sz w:val="21"/>
          <w:szCs w:val="21"/>
          <w:highlight w:val="none"/>
        </w:rPr>
        <w:t>的有关活动，并对此项目进行</w:t>
      </w:r>
      <w:r>
        <w:rPr>
          <w:rFonts w:hint="eastAsia" w:hAnsi="宋体" w:cs="宋体"/>
          <w:color w:val="auto"/>
          <w:sz w:val="21"/>
          <w:szCs w:val="21"/>
          <w:highlight w:val="none"/>
          <w:lang w:eastAsia="zh-CN"/>
        </w:rPr>
        <w:t>响应</w:t>
      </w:r>
      <w:r>
        <w:rPr>
          <w:rFonts w:hint="eastAsia" w:ascii="宋体" w:hAnsi="宋体" w:eastAsia="宋体" w:cs="宋体"/>
          <w:color w:val="auto"/>
          <w:sz w:val="21"/>
          <w:szCs w:val="21"/>
          <w:highlight w:val="none"/>
        </w:rPr>
        <w:t>。为此：</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1、我方承诺：已经具备《中华人民共和国政府采购法》中规定的参加政府采购活动的供应商应当具备的条件和本招标文件中规定的条件。</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2、我方同意在本项目招标文件中规定的投标有效期</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内遵守本</w:t>
      </w:r>
      <w:r>
        <w:rPr>
          <w:rFonts w:hint="eastAsia" w:hAnsi="宋体" w:cs="宋体"/>
          <w:color w:val="auto"/>
          <w:sz w:val="21"/>
          <w:szCs w:val="21"/>
          <w:highlight w:val="none"/>
          <w:lang w:eastAsia="zh-CN"/>
        </w:rPr>
        <w:t>响应文件</w:t>
      </w:r>
      <w:r>
        <w:rPr>
          <w:rFonts w:hint="eastAsia" w:ascii="宋体" w:hAnsi="宋体" w:eastAsia="宋体" w:cs="宋体"/>
          <w:color w:val="auto"/>
          <w:sz w:val="21"/>
          <w:szCs w:val="21"/>
          <w:highlight w:val="none"/>
        </w:rPr>
        <w:t>中的承诺且在此期限期满之前均具有约束力。如果在开标后规定的投标有效期内撤回投标，我方的投标保证金可被贵方没收。</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3、按照招标文件规定提供全部</w:t>
      </w:r>
      <w:r>
        <w:rPr>
          <w:rFonts w:hint="eastAsia" w:hAnsi="宋体" w:cs="宋体"/>
          <w:color w:val="auto"/>
          <w:sz w:val="21"/>
          <w:szCs w:val="21"/>
          <w:highlight w:val="none"/>
          <w:lang w:eastAsia="zh-CN"/>
        </w:rPr>
        <w:t>响应文件</w:t>
      </w:r>
      <w:r>
        <w:rPr>
          <w:rFonts w:hint="eastAsia" w:ascii="宋体" w:hAnsi="宋体" w:eastAsia="宋体" w:cs="宋体"/>
          <w:color w:val="auto"/>
          <w:sz w:val="21"/>
          <w:szCs w:val="21"/>
          <w:highlight w:val="none"/>
        </w:rPr>
        <w:t>，按照招标文件要求提供和交付的货物及相关服务的投标报价见开标一览表。</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4、我方承诺：接受招标文件中的全部条款且无任何异议，保证遵守招标文件的规定。</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5、我方承诺：完全满足和响应招标文件中的各项技术和服务要求，若有偏差，已在偏离表中予以明确特别说明。</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6、我方完全理解贵方不一定接受最低价的投标或收到的任何投标，以及投标报价若超过项目预算时投标将被拒绝。</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7、我方已详细审核全部</w:t>
      </w:r>
      <w:r>
        <w:rPr>
          <w:rFonts w:hint="eastAsia" w:hAnsi="宋体" w:cs="宋体"/>
          <w:color w:val="auto"/>
          <w:sz w:val="21"/>
          <w:szCs w:val="21"/>
          <w:highlight w:val="none"/>
          <w:lang w:eastAsia="zh-CN"/>
        </w:rPr>
        <w:t>响应文件</w:t>
      </w:r>
      <w:r>
        <w:rPr>
          <w:rFonts w:hint="eastAsia" w:ascii="宋体" w:hAnsi="宋体" w:eastAsia="宋体" w:cs="宋体"/>
          <w:color w:val="auto"/>
          <w:sz w:val="21"/>
          <w:szCs w:val="21"/>
          <w:highlight w:val="none"/>
        </w:rPr>
        <w:t>，包括</w:t>
      </w:r>
      <w:r>
        <w:rPr>
          <w:rFonts w:hint="eastAsia" w:hAnsi="宋体" w:cs="宋体"/>
          <w:color w:val="auto"/>
          <w:sz w:val="21"/>
          <w:szCs w:val="21"/>
          <w:highlight w:val="none"/>
          <w:lang w:eastAsia="zh-CN"/>
        </w:rPr>
        <w:t>响应文件</w:t>
      </w:r>
      <w:r>
        <w:rPr>
          <w:rFonts w:hint="eastAsia" w:ascii="宋体" w:hAnsi="宋体" w:eastAsia="宋体" w:cs="宋体"/>
          <w:color w:val="auto"/>
          <w:sz w:val="21"/>
          <w:szCs w:val="21"/>
          <w:highlight w:val="none"/>
        </w:rPr>
        <w:t>修改书（如有的话）、参考资料及有关附件，确认无误。</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8、我方承诺：保证所报货物均为原厂正品，如所报货物属国家强制认证产品的均已通过认证且在有效期内，否则，由此产生的一切法律责任由我方承担。</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9、我方承诺：与在本项目中设计编制技术规格的机构及其附属机构无任何直接隶属关系和利益关联。</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10、保证忠实地执行双方所签订的合同，并承担合同规定的责任和义务。</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11、我方承诺：</w:t>
      </w:r>
      <w:r>
        <w:rPr>
          <w:rFonts w:hint="eastAsia" w:hAnsi="宋体" w:cs="宋体"/>
          <w:color w:val="auto"/>
          <w:sz w:val="21"/>
          <w:szCs w:val="21"/>
          <w:highlight w:val="none"/>
          <w:lang w:eastAsia="zh-CN"/>
        </w:rPr>
        <w:t>响应文件</w:t>
      </w:r>
      <w:r>
        <w:rPr>
          <w:rFonts w:hint="eastAsia" w:ascii="宋体" w:hAnsi="宋体" w:eastAsia="宋体" w:cs="宋体"/>
          <w:color w:val="auto"/>
          <w:sz w:val="21"/>
          <w:szCs w:val="21"/>
          <w:highlight w:val="none"/>
        </w:rPr>
        <w:t>所提供的一切资料及</w:t>
      </w:r>
      <w:r>
        <w:rPr>
          <w:rFonts w:hint="eastAsia" w:hAnsi="宋体" w:cs="宋体"/>
          <w:color w:val="auto"/>
          <w:sz w:val="21"/>
          <w:szCs w:val="21"/>
          <w:highlight w:val="none"/>
          <w:lang w:eastAsia="zh-CN"/>
        </w:rPr>
        <w:t>政采云平台</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eastAsia="zh-CN"/>
        </w:rPr>
        <w:t>http://www.ccgp-xinjiang.gov.cn/</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报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28"/>
        <w:widowControl/>
        <w:spacing w:line="360" w:lineRule="auto"/>
        <w:ind w:firstLine="420" w:firstLineChars="200"/>
        <w:outlineLvl w:val="1"/>
        <w:rPr>
          <w:rFonts w:hint="eastAsia" w:ascii="宋体" w:hAnsi="宋体" w:eastAsia="宋体" w:cs="宋体"/>
          <w:color w:val="auto"/>
          <w:sz w:val="21"/>
          <w:szCs w:val="21"/>
          <w:highlight w:val="none"/>
        </w:rPr>
      </w:pPr>
      <w:bookmarkStart w:id="183" w:name="_Toc59"/>
      <w:bookmarkStart w:id="184" w:name="_Toc14627"/>
      <w:bookmarkStart w:id="185" w:name="_Toc18414"/>
      <w:bookmarkStart w:id="186" w:name="_Toc30330"/>
      <w:r>
        <w:rPr>
          <w:rFonts w:hint="eastAsia" w:ascii="宋体" w:hAnsi="宋体" w:eastAsia="宋体" w:cs="宋体"/>
          <w:color w:val="auto"/>
          <w:sz w:val="21"/>
          <w:szCs w:val="21"/>
          <w:highlight w:val="none"/>
        </w:rPr>
        <w:t>1）提供虚假材料谋取中标、成交的；</w:t>
      </w:r>
      <w:bookmarkEnd w:id="183"/>
      <w:bookmarkEnd w:id="184"/>
      <w:bookmarkEnd w:id="185"/>
      <w:bookmarkEnd w:id="186"/>
    </w:p>
    <w:p>
      <w:pPr>
        <w:pStyle w:val="128"/>
        <w:widowControl/>
        <w:spacing w:line="360" w:lineRule="auto"/>
        <w:ind w:firstLine="420" w:firstLineChars="200"/>
        <w:outlineLvl w:val="1"/>
        <w:rPr>
          <w:rFonts w:hint="eastAsia" w:ascii="宋体" w:hAnsi="宋体" w:eastAsia="宋体" w:cs="宋体"/>
          <w:color w:val="auto"/>
          <w:sz w:val="21"/>
          <w:szCs w:val="21"/>
          <w:highlight w:val="none"/>
        </w:rPr>
      </w:pPr>
      <w:bookmarkStart w:id="187" w:name="_Toc11025"/>
      <w:bookmarkStart w:id="188" w:name="_Toc10734"/>
      <w:bookmarkStart w:id="189" w:name="_Toc27887"/>
      <w:bookmarkStart w:id="190" w:name="_Toc13489"/>
      <w:r>
        <w:rPr>
          <w:rFonts w:hint="eastAsia" w:ascii="宋体" w:hAnsi="宋体" w:eastAsia="宋体" w:cs="宋体"/>
          <w:color w:val="auto"/>
          <w:sz w:val="21"/>
          <w:szCs w:val="21"/>
          <w:highlight w:val="none"/>
        </w:rPr>
        <w:t>2）采取不正当手段诋毁、排挤其他供应商的；</w:t>
      </w:r>
      <w:bookmarkEnd w:id="187"/>
      <w:bookmarkEnd w:id="188"/>
      <w:bookmarkEnd w:id="189"/>
      <w:bookmarkEnd w:id="190"/>
    </w:p>
    <w:p>
      <w:pPr>
        <w:pStyle w:val="128"/>
        <w:widowControl/>
        <w:spacing w:line="360" w:lineRule="auto"/>
        <w:ind w:firstLine="420" w:firstLineChars="200"/>
        <w:outlineLvl w:val="1"/>
        <w:rPr>
          <w:rFonts w:hint="eastAsia" w:ascii="宋体" w:hAnsi="宋体" w:eastAsia="宋体" w:cs="宋体"/>
          <w:color w:val="auto"/>
          <w:sz w:val="21"/>
          <w:szCs w:val="21"/>
          <w:highlight w:val="none"/>
        </w:rPr>
      </w:pPr>
      <w:bookmarkStart w:id="191" w:name="_Toc25137"/>
      <w:bookmarkStart w:id="192" w:name="_Toc5816"/>
      <w:bookmarkStart w:id="193" w:name="_Toc30614"/>
      <w:bookmarkStart w:id="194" w:name="_Toc28903"/>
      <w:r>
        <w:rPr>
          <w:rFonts w:hint="eastAsia" w:ascii="宋体" w:hAnsi="宋体" w:eastAsia="宋体" w:cs="宋体"/>
          <w:color w:val="auto"/>
          <w:sz w:val="21"/>
          <w:szCs w:val="21"/>
          <w:highlight w:val="none"/>
        </w:rPr>
        <w:t>3）与采购人、其他供应商或者采购代理机构恶意串通的；</w:t>
      </w:r>
      <w:bookmarkEnd w:id="191"/>
      <w:bookmarkEnd w:id="192"/>
      <w:bookmarkEnd w:id="193"/>
      <w:bookmarkEnd w:id="194"/>
    </w:p>
    <w:p>
      <w:pPr>
        <w:pStyle w:val="128"/>
        <w:widowControl/>
        <w:spacing w:line="360" w:lineRule="auto"/>
        <w:ind w:firstLine="420" w:firstLineChars="200"/>
        <w:outlineLvl w:val="1"/>
        <w:rPr>
          <w:rFonts w:hint="eastAsia" w:ascii="宋体" w:hAnsi="宋体" w:eastAsia="宋体" w:cs="宋体"/>
          <w:color w:val="auto"/>
          <w:sz w:val="21"/>
          <w:szCs w:val="21"/>
          <w:highlight w:val="none"/>
        </w:rPr>
      </w:pPr>
      <w:bookmarkStart w:id="195" w:name="_Toc16449"/>
      <w:bookmarkStart w:id="196" w:name="_Toc24714"/>
      <w:bookmarkStart w:id="197" w:name="_Toc13601"/>
      <w:bookmarkStart w:id="198" w:name="_Toc29225"/>
      <w:r>
        <w:rPr>
          <w:rFonts w:hint="eastAsia" w:ascii="宋体" w:hAnsi="宋体" w:eastAsia="宋体" w:cs="宋体"/>
          <w:color w:val="auto"/>
          <w:sz w:val="21"/>
          <w:szCs w:val="21"/>
          <w:highlight w:val="none"/>
        </w:rPr>
        <w:t>4）向采购人、采购代理机构行贿或者提供其他不正当利益的；</w:t>
      </w:r>
      <w:bookmarkEnd w:id="195"/>
      <w:bookmarkEnd w:id="196"/>
      <w:bookmarkEnd w:id="197"/>
      <w:bookmarkEnd w:id="198"/>
    </w:p>
    <w:p>
      <w:pPr>
        <w:pStyle w:val="128"/>
        <w:widowControl/>
        <w:spacing w:line="360" w:lineRule="auto"/>
        <w:ind w:firstLine="420" w:firstLineChars="200"/>
        <w:outlineLvl w:val="1"/>
        <w:rPr>
          <w:rFonts w:hint="eastAsia" w:ascii="宋体" w:hAnsi="宋体" w:eastAsia="宋体" w:cs="宋体"/>
          <w:color w:val="auto"/>
          <w:sz w:val="21"/>
          <w:szCs w:val="21"/>
          <w:highlight w:val="none"/>
        </w:rPr>
      </w:pPr>
      <w:bookmarkStart w:id="199" w:name="_Toc5146"/>
      <w:bookmarkStart w:id="200" w:name="_Toc23733"/>
      <w:bookmarkStart w:id="201" w:name="_Toc15698"/>
      <w:bookmarkStart w:id="202" w:name="_Toc22995"/>
      <w:r>
        <w:rPr>
          <w:rFonts w:hint="eastAsia" w:ascii="宋体" w:hAnsi="宋体" w:eastAsia="宋体" w:cs="宋体"/>
          <w:color w:val="auto"/>
          <w:sz w:val="21"/>
          <w:szCs w:val="21"/>
          <w:highlight w:val="none"/>
        </w:rPr>
        <w:t>5）在招标采购过程中与采购人进行协商</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w:t>
      </w:r>
      <w:bookmarkEnd w:id="199"/>
      <w:bookmarkEnd w:id="200"/>
      <w:bookmarkEnd w:id="201"/>
      <w:bookmarkEnd w:id="202"/>
    </w:p>
    <w:p>
      <w:pPr>
        <w:pStyle w:val="128"/>
        <w:widowControl/>
        <w:spacing w:line="360" w:lineRule="auto"/>
        <w:ind w:firstLine="420" w:firstLineChars="200"/>
        <w:outlineLvl w:val="1"/>
        <w:rPr>
          <w:rFonts w:hint="eastAsia" w:ascii="宋体" w:hAnsi="宋体" w:eastAsia="宋体" w:cs="宋体"/>
          <w:color w:val="auto"/>
          <w:sz w:val="21"/>
          <w:szCs w:val="21"/>
          <w:highlight w:val="none"/>
        </w:rPr>
      </w:pPr>
      <w:bookmarkStart w:id="203" w:name="_Toc29056"/>
      <w:bookmarkStart w:id="204" w:name="_Toc12924"/>
      <w:bookmarkStart w:id="205" w:name="_Toc16859"/>
      <w:bookmarkStart w:id="206" w:name="_Toc19385"/>
      <w:r>
        <w:rPr>
          <w:rFonts w:hint="eastAsia" w:ascii="宋体" w:hAnsi="宋体" w:eastAsia="宋体" w:cs="宋体"/>
          <w:color w:val="auto"/>
          <w:sz w:val="21"/>
          <w:szCs w:val="21"/>
          <w:highlight w:val="none"/>
        </w:rPr>
        <w:t>6）拒绝有关部门监督检查或提供虚假情况的。</w:t>
      </w:r>
      <w:bookmarkEnd w:id="203"/>
      <w:bookmarkEnd w:id="204"/>
      <w:bookmarkEnd w:id="205"/>
      <w:bookmarkEnd w:id="206"/>
    </w:p>
    <w:p>
      <w:pPr>
        <w:pStyle w:val="95"/>
        <w:rPr>
          <w:rFonts w:hint="eastAsia" w:ascii="宋体" w:hAnsi="宋体" w:eastAsia="宋体" w:cs="宋体"/>
          <w:color w:val="auto"/>
          <w:sz w:val="21"/>
          <w:szCs w:val="21"/>
          <w:highlight w:val="none"/>
        </w:rPr>
      </w:pP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与本投标有关的一切往来通讯请寄：</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地址：____________________________________________________</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邮编：____________</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电话：____________</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传真：____________</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电子邮箱：____________</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法定代表人或授权代理人联系电话：</w:t>
      </w:r>
      <w:r>
        <w:rPr>
          <w:rFonts w:hint="eastAsia" w:ascii="宋体" w:hAnsi="宋体" w:eastAsia="宋体" w:cs="宋体"/>
          <w:color w:val="auto"/>
          <w:sz w:val="21"/>
          <w:szCs w:val="21"/>
          <w:highlight w:val="none"/>
          <w:u w:val="single"/>
        </w:rPr>
        <w:t xml:space="preserve">                           </w:t>
      </w:r>
    </w:p>
    <w:p>
      <w:pPr>
        <w:pStyle w:val="9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法定代表人电子签章：</w:t>
      </w:r>
    </w:p>
    <w:p>
      <w:pPr>
        <w:pStyle w:val="9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电子公章：</w:t>
      </w:r>
    </w:p>
    <w:p>
      <w:pPr>
        <w:pStyle w:val="95"/>
        <w:spacing w:line="360" w:lineRule="auto"/>
        <w:ind w:firstLine="420" w:firstLineChars="200"/>
        <w:rPr>
          <w:rFonts w:hint="eastAsia" w:ascii="宋体" w:hAnsi="宋体" w:eastAsia="宋体" w:cs="宋体"/>
          <w:color w:val="auto"/>
          <w:sz w:val="21"/>
          <w:szCs w:val="21"/>
          <w:highlight w:val="none"/>
        </w:rPr>
      </w:pPr>
    </w:p>
    <w:p>
      <w:pPr>
        <w:pStyle w:val="9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pStyle w:val="128"/>
        <w:widowControl/>
        <w:spacing w:line="360" w:lineRule="auto"/>
        <w:rPr>
          <w:rFonts w:hint="eastAsia" w:ascii="宋体" w:hAnsi="宋体" w:eastAsia="宋体" w:cs="宋体"/>
          <w:b/>
          <w:color w:val="auto"/>
          <w:sz w:val="21"/>
          <w:szCs w:val="21"/>
          <w:highlight w:val="none"/>
        </w:rPr>
      </w:pPr>
    </w:p>
    <w:p>
      <w:pPr>
        <w:pStyle w:val="128"/>
        <w:widowControl/>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说明：除可填报项目外，对本投标函的任何修改将被视为非实质性响应投标，从而导致该投标被拒绝。</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146"/>
        <w:spacing w:line="360" w:lineRule="auto"/>
        <w:ind w:firstLine="643" w:firstLineChars="200"/>
        <w:jc w:val="center"/>
        <w:rPr>
          <w:rFonts w:hint="eastAsia" w:ascii="宋体" w:hAnsi="宋体" w:eastAsia="宋体" w:cs="宋体"/>
          <w:b/>
          <w:color w:val="auto"/>
          <w:highlight w:val="none"/>
        </w:rPr>
      </w:pPr>
      <w:bookmarkStart w:id="207" w:name="_Toc16710"/>
      <w:bookmarkStart w:id="208" w:name="_Toc26382"/>
      <w:bookmarkStart w:id="209" w:name="_Toc908"/>
      <w:r>
        <w:rPr>
          <w:rFonts w:hint="eastAsia" w:ascii="宋体" w:hAnsi="宋体" w:eastAsia="宋体" w:cs="宋体"/>
          <w:b/>
          <w:bCs/>
          <w:color w:val="auto"/>
          <w:kern w:val="2"/>
          <w:sz w:val="32"/>
          <w:szCs w:val="32"/>
          <w:highlight w:val="none"/>
          <w:lang w:val="en-US" w:eastAsia="zh-CN" w:bidi="ar-SA"/>
        </w:rPr>
        <w:t>2、法定代表人身份证明书</w:t>
      </w:r>
    </w:p>
    <w:p>
      <w:pPr>
        <w:pStyle w:val="146"/>
        <w:spacing w:line="360" w:lineRule="auto"/>
        <w:rPr>
          <w:rFonts w:hint="eastAsia" w:ascii="宋体" w:hAnsi="宋体" w:eastAsia="宋体" w:cs="宋体"/>
          <w:color w:val="auto"/>
          <w:highlight w:val="none"/>
        </w:rPr>
      </w:pPr>
    </w:p>
    <w:p>
      <w:pPr>
        <w:pStyle w:val="14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1"/>
          <w:szCs w:val="21"/>
          <w:highlight w:val="none"/>
        </w:rPr>
        <w:t xml:space="preserve"> 单位名称：</w:t>
      </w:r>
      <w:r>
        <w:rPr>
          <w:rFonts w:hint="eastAsia" w:ascii="宋体" w:hAnsi="宋体" w:eastAsia="宋体" w:cs="宋体"/>
          <w:color w:val="auto"/>
          <w:sz w:val="21"/>
          <w:szCs w:val="21"/>
          <w:highlight w:val="none"/>
          <w:u w:val="single"/>
        </w:rPr>
        <w:t xml:space="preserve">                                  </w:t>
      </w:r>
    </w:p>
    <w:p>
      <w:pPr>
        <w:pStyle w:val="14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单位类型：</w:t>
      </w:r>
      <w:r>
        <w:rPr>
          <w:rFonts w:hint="eastAsia" w:ascii="宋体" w:hAnsi="宋体" w:eastAsia="宋体" w:cs="宋体"/>
          <w:color w:val="auto"/>
          <w:sz w:val="21"/>
          <w:szCs w:val="21"/>
          <w:highlight w:val="none"/>
          <w:u w:val="single"/>
        </w:rPr>
        <w:t xml:space="preserve">                                  </w:t>
      </w:r>
    </w:p>
    <w:p>
      <w:pPr>
        <w:pStyle w:val="14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住    所：</w:t>
      </w:r>
      <w:r>
        <w:rPr>
          <w:rFonts w:hint="eastAsia" w:ascii="宋体" w:hAnsi="宋体" w:eastAsia="宋体" w:cs="宋体"/>
          <w:color w:val="auto"/>
          <w:sz w:val="21"/>
          <w:szCs w:val="21"/>
          <w:highlight w:val="none"/>
          <w:u w:val="single"/>
        </w:rPr>
        <w:t xml:space="preserve">                                  </w:t>
      </w:r>
    </w:p>
    <w:p>
      <w:pPr>
        <w:pStyle w:val="14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成立日期：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pStyle w:val="146"/>
        <w:spacing w:line="360" w:lineRule="auto"/>
        <w:ind w:firstLine="465"/>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营业期限：</w:t>
      </w:r>
      <w:r>
        <w:rPr>
          <w:rFonts w:hint="eastAsia" w:ascii="宋体" w:hAnsi="宋体" w:eastAsia="宋体" w:cs="宋体"/>
          <w:color w:val="auto"/>
          <w:sz w:val="21"/>
          <w:szCs w:val="21"/>
          <w:highlight w:val="none"/>
          <w:u w:val="single"/>
        </w:rPr>
        <w:t xml:space="preserve">                                  </w:t>
      </w:r>
    </w:p>
    <w:p>
      <w:pPr>
        <w:pStyle w:val="146"/>
        <w:spacing w:line="360" w:lineRule="auto"/>
        <w:ind w:firstLine="465"/>
        <w:rPr>
          <w:rFonts w:hint="eastAsia" w:ascii="宋体" w:hAnsi="宋体" w:eastAsia="宋体" w:cs="宋体"/>
          <w:color w:val="auto"/>
          <w:sz w:val="21"/>
          <w:szCs w:val="21"/>
          <w:highlight w:val="none"/>
        </w:rPr>
      </w:pPr>
    </w:p>
    <w:p>
      <w:pPr>
        <w:pStyle w:val="146"/>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性别：</w:t>
      </w:r>
      <w:r>
        <w:rPr>
          <w:rFonts w:hint="eastAsia" w:ascii="宋体" w:hAnsi="宋体" w:eastAsia="宋体" w:cs="宋体"/>
          <w:color w:val="auto"/>
          <w:sz w:val="21"/>
          <w:szCs w:val="21"/>
          <w:highlight w:val="none"/>
          <w:u w:val="single"/>
        </w:rPr>
        <w:t xml:space="preserve">           </w:t>
      </w:r>
    </w:p>
    <w:p>
      <w:pPr>
        <w:pStyle w:val="146"/>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供应商</w:t>
      </w:r>
      <w:r>
        <w:rPr>
          <w:rFonts w:hint="eastAsia" w:ascii="宋体" w:hAnsi="宋体" w:eastAsia="宋体" w:cs="宋体"/>
          <w:color w:val="auto"/>
          <w:sz w:val="21"/>
          <w:szCs w:val="21"/>
          <w:highlight w:val="none"/>
          <w:u w:val="single"/>
        </w:rPr>
        <w:t xml:space="preserve">名称）   </w:t>
      </w:r>
      <w:r>
        <w:rPr>
          <w:rFonts w:hint="eastAsia" w:ascii="宋体" w:hAnsi="宋体" w:eastAsia="宋体" w:cs="宋体"/>
          <w:color w:val="auto"/>
          <w:sz w:val="21"/>
          <w:szCs w:val="21"/>
          <w:highlight w:val="none"/>
        </w:rPr>
        <w:t>的法定代表人。</w:t>
      </w:r>
    </w:p>
    <w:p>
      <w:pPr>
        <w:pStyle w:val="146"/>
        <w:spacing w:line="360" w:lineRule="auto"/>
        <w:ind w:firstLine="480"/>
        <w:rPr>
          <w:rFonts w:hint="eastAsia" w:ascii="宋体" w:hAnsi="宋体" w:eastAsia="宋体" w:cs="宋体"/>
          <w:color w:val="auto"/>
          <w:sz w:val="21"/>
          <w:szCs w:val="21"/>
          <w:highlight w:val="none"/>
        </w:rPr>
      </w:pPr>
    </w:p>
    <w:p>
      <w:pPr>
        <w:pStyle w:val="146"/>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pPr>
        <w:pStyle w:val="117"/>
        <w:tabs>
          <w:tab w:val="left" w:pos="558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（附法定代表人身份证正反两面扫描件）</w:t>
      </w:r>
    </w:p>
    <w:p>
      <w:pPr>
        <w:pStyle w:val="146"/>
        <w:spacing w:line="360" w:lineRule="auto"/>
        <w:ind w:firstLine="480"/>
        <w:rPr>
          <w:rFonts w:hint="eastAsia" w:ascii="宋体" w:hAnsi="宋体" w:eastAsia="宋体" w:cs="宋体"/>
          <w:color w:val="auto"/>
          <w:sz w:val="21"/>
          <w:szCs w:val="21"/>
          <w:highlight w:val="none"/>
        </w:rPr>
      </w:pPr>
    </w:p>
    <w:p>
      <w:pPr>
        <w:pStyle w:val="146"/>
        <w:spacing w:line="360" w:lineRule="auto"/>
        <w:ind w:firstLine="480"/>
        <w:rPr>
          <w:rFonts w:hint="eastAsia" w:ascii="宋体" w:hAnsi="宋体" w:eastAsia="宋体" w:cs="宋体"/>
          <w:color w:val="auto"/>
          <w:sz w:val="21"/>
          <w:szCs w:val="21"/>
          <w:highlight w:val="none"/>
        </w:rPr>
      </w:pPr>
    </w:p>
    <w:p>
      <w:pPr>
        <w:pStyle w:val="146"/>
        <w:spacing w:line="360" w:lineRule="auto"/>
        <w:ind w:firstLine="480"/>
        <w:rPr>
          <w:rFonts w:hint="eastAsia" w:ascii="宋体" w:hAnsi="宋体" w:eastAsia="宋体" w:cs="宋体"/>
          <w:color w:val="auto"/>
          <w:sz w:val="21"/>
          <w:szCs w:val="21"/>
          <w:highlight w:val="none"/>
        </w:rPr>
      </w:pPr>
    </w:p>
    <w:p>
      <w:pPr>
        <w:pStyle w:val="146"/>
        <w:spacing w:line="360" w:lineRule="auto"/>
        <w:ind w:firstLine="480"/>
        <w:rPr>
          <w:rFonts w:hint="eastAsia" w:ascii="宋体" w:hAnsi="宋体" w:eastAsia="宋体" w:cs="宋体"/>
          <w:color w:val="auto"/>
          <w:sz w:val="21"/>
          <w:szCs w:val="21"/>
          <w:highlight w:val="none"/>
        </w:rPr>
      </w:pPr>
    </w:p>
    <w:p>
      <w:pPr>
        <w:pStyle w:val="14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电子公章：</w:t>
      </w:r>
    </w:p>
    <w:p>
      <w:pPr>
        <w:pStyle w:val="146"/>
        <w:spacing w:line="360" w:lineRule="auto"/>
        <w:ind w:firstLine="420" w:firstLineChars="200"/>
        <w:rPr>
          <w:rFonts w:hint="eastAsia" w:ascii="宋体" w:hAnsi="宋体" w:eastAsia="宋体" w:cs="宋体"/>
          <w:color w:val="auto"/>
          <w:sz w:val="21"/>
          <w:szCs w:val="21"/>
          <w:highlight w:val="none"/>
        </w:rPr>
      </w:pPr>
    </w:p>
    <w:p>
      <w:pPr>
        <w:pStyle w:val="14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pStyle w:val="146"/>
        <w:spacing w:line="360" w:lineRule="auto"/>
        <w:rPr>
          <w:rFonts w:hint="eastAsia" w:ascii="宋体" w:hAnsi="宋体" w:eastAsia="宋体" w:cs="宋体"/>
          <w:color w:val="auto"/>
          <w:sz w:val="21"/>
          <w:szCs w:val="21"/>
          <w:highlight w:val="none"/>
        </w:rPr>
      </w:pPr>
    </w:p>
    <w:p>
      <w:pPr>
        <w:pStyle w:val="146"/>
        <w:spacing w:line="360" w:lineRule="auto"/>
        <w:rPr>
          <w:rFonts w:hint="eastAsia" w:ascii="宋体" w:hAnsi="宋体" w:eastAsia="宋体" w:cs="宋体"/>
          <w:color w:val="auto"/>
          <w:sz w:val="21"/>
          <w:szCs w:val="21"/>
          <w:highlight w:val="none"/>
        </w:rPr>
      </w:pPr>
    </w:p>
    <w:p>
      <w:pPr>
        <w:pStyle w:val="14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法定代表人参加投标的，可以不提供法定代表人授权委托书，但必须提供上述法定代表人身份证明书，否则将按无效投标处理。</w:t>
      </w:r>
    </w:p>
    <w:p>
      <w:pPr>
        <w:pStyle w:val="148"/>
        <w:keepNext w:val="0"/>
        <w:keepLines w:val="0"/>
        <w:pageBreakBefore w:val="0"/>
        <w:widowControl/>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kern w:val="2"/>
          <w:sz w:val="32"/>
          <w:szCs w:val="32"/>
          <w:highlight w:val="none"/>
          <w:lang w:val="en-US" w:eastAsia="zh-CN" w:bidi="ar-SA"/>
        </w:rPr>
        <w:t>3、法定代表人授权书</w:t>
      </w:r>
      <w:bookmarkEnd w:id="207"/>
      <w:bookmarkEnd w:id="208"/>
      <w:bookmarkEnd w:id="209"/>
    </w:p>
    <w:p>
      <w:pPr>
        <w:pStyle w:val="122"/>
        <w:widowControl w:val="0"/>
        <w:adjustRightInd w:val="0"/>
        <w:snapToGrid w:val="0"/>
        <w:spacing w:before="0" w:after="0" w:line="500" w:lineRule="exact"/>
        <w:ind w:left="0" w:firstLine="0"/>
        <w:jc w:val="left"/>
        <w:rPr>
          <w:rFonts w:hint="eastAsia" w:ascii="宋体" w:hAnsi="宋体" w:eastAsia="宋体" w:cs="宋体"/>
          <w:color w:val="auto"/>
          <w:szCs w:val="28"/>
          <w:highlight w:val="none"/>
        </w:rPr>
      </w:pPr>
    </w:p>
    <w:p>
      <w:pPr>
        <w:pStyle w:val="117"/>
        <w:tabs>
          <w:tab w:val="left" w:pos="5580"/>
        </w:tabs>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本授权书声明：注册于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住址）的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名称）的在下面电子签章的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（法定代表人姓名、职务）代表本公司授权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（授权代理人的姓名、职务）为本公司的合法代理人，就贵方组织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（项目名称）项目（项目编号、包号：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），以本公司名义处理一切与之有关的事宜。</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授权代理人在投标过程中所签署的一切文件和处理与之有关的一切事务，本公司均予以认可并对此承担责任。</w:t>
      </w:r>
    </w:p>
    <w:p>
      <w:pPr>
        <w:pStyle w:val="117"/>
        <w:tabs>
          <w:tab w:val="left" w:pos="5580"/>
        </w:tabs>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授权代理人无转委托权。特此授权。</w:t>
      </w:r>
      <w:r>
        <w:rPr>
          <w:rFonts w:hint="eastAsia" w:ascii="宋体" w:hAnsi="宋体" w:eastAsia="宋体" w:cs="宋体"/>
          <w:color w:val="auto"/>
          <w:sz w:val="21"/>
          <w:szCs w:val="21"/>
          <w:highlight w:val="none"/>
        </w:rPr>
        <w:cr/>
      </w:r>
      <w:r>
        <w:rPr>
          <w:rFonts w:hint="eastAsia" w:ascii="宋体" w:hAnsi="宋体" w:eastAsia="宋体" w:cs="宋体"/>
          <w:color w:val="auto"/>
          <w:sz w:val="21"/>
          <w:szCs w:val="21"/>
          <w:highlight w:val="none"/>
        </w:rPr>
        <w:t>　　</w:t>
      </w:r>
    </w:p>
    <w:p>
      <w:pPr>
        <w:pStyle w:val="117"/>
        <w:tabs>
          <w:tab w:val="left" w:pos="5580"/>
        </w:tabs>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本授权书于__________年_____月______日生效，特此声明。</w:t>
      </w:r>
      <w:r>
        <w:rPr>
          <w:rFonts w:hint="eastAsia" w:ascii="宋体" w:hAnsi="宋体" w:eastAsia="宋体" w:cs="宋体"/>
          <w:color w:val="auto"/>
          <w:sz w:val="21"/>
          <w:szCs w:val="21"/>
          <w:highlight w:val="none"/>
        </w:rPr>
        <w:cr/>
      </w:r>
    </w:p>
    <w:p>
      <w:pPr>
        <w:pStyle w:val="117"/>
        <w:tabs>
          <w:tab w:val="left" w:pos="5580"/>
        </w:tabs>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（附</w:t>
      </w:r>
      <w:r>
        <w:rPr>
          <w:rFonts w:hint="eastAsia" w:ascii="宋体" w:hAnsi="宋体" w:eastAsia="宋体" w:cs="宋体"/>
          <w:b w:val="0"/>
          <w:bCs/>
          <w:color w:val="auto"/>
          <w:sz w:val="21"/>
          <w:szCs w:val="21"/>
          <w:highlight w:val="none"/>
          <w:lang w:val="en-US" w:eastAsia="zh-CN"/>
        </w:rPr>
        <w:t>法定代表人及</w:t>
      </w:r>
      <w:r>
        <w:rPr>
          <w:rFonts w:hint="eastAsia" w:ascii="宋体" w:hAnsi="宋体" w:eastAsia="宋体" w:cs="宋体"/>
          <w:b w:val="0"/>
          <w:bCs/>
          <w:color w:val="auto"/>
          <w:sz w:val="21"/>
          <w:szCs w:val="21"/>
          <w:highlight w:val="none"/>
        </w:rPr>
        <w:t>授权代理人身份证正反两面扫描件）</w:t>
      </w:r>
    </w:p>
    <w:p>
      <w:pPr>
        <w:pStyle w:val="117"/>
        <w:tabs>
          <w:tab w:val="left" w:pos="5580"/>
        </w:tabs>
        <w:spacing w:line="360" w:lineRule="auto"/>
        <w:rPr>
          <w:rFonts w:hint="eastAsia" w:ascii="宋体" w:hAnsi="宋体" w:eastAsia="宋体" w:cs="宋体"/>
          <w:color w:val="auto"/>
          <w:sz w:val="21"/>
          <w:szCs w:val="21"/>
          <w:highlight w:val="none"/>
        </w:rPr>
      </w:pPr>
    </w:p>
    <w:p>
      <w:pPr>
        <w:pStyle w:val="117"/>
        <w:tabs>
          <w:tab w:val="left" w:pos="5580"/>
        </w:tabs>
        <w:spacing w:line="360" w:lineRule="auto"/>
        <w:rPr>
          <w:rFonts w:hint="eastAsia" w:ascii="宋体" w:hAnsi="宋体" w:eastAsia="宋体" w:cs="宋体"/>
          <w:color w:val="auto"/>
          <w:sz w:val="21"/>
          <w:szCs w:val="21"/>
          <w:highlight w:val="none"/>
        </w:rPr>
      </w:pPr>
    </w:p>
    <w:p>
      <w:pPr>
        <w:pStyle w:val="117"/>
        <w:tabs>
          <w:tab w:val="left" w:pos="5580"/>
        </w:tabs>
        <w:spacing w:line="360" w:lineRule="auto"/>
        <w:rPr>
          <w:rFonts w:hint="eastAsia" w:ascii="宋体" w:hAnsi="宋体" w:eastAsia="宋体" w:cs="宋体"/>
          <w:color w:val="auto"/>
          <w:sz w:val="21"/>
          <w:szCs w:val="21"/>
          <w:highlight w:val="none"/>
        </w:rPr>
      </w:pPr>
    </w:p>
    <w:p>
      <w:pPr>
        <w:pStyle w:val="117"/>
        <w:tabs>
          <w:tab w:val="left" w:pos="5580"/>
        </w:tabs>
        <w:spacing w:line="360" w:lineRule="auto"/>
        <w:rPr>
          <w:rFonts w:hint="eastAsia" w:ascii="宋体" w:hAnsi="宋体" w:eastAsia="宋体" w:cs="宋体"/>
          <w:color w:val="auto"/>
          <w:sz w:val="21"/>
          <w:szCs w:val="21"/>
          <w:highlight w:val="none"/>
        </w:rPr>
      </w:pPr>
    </w:p>
    <w:p>
      <w:pPr>
        <w:pStyle w:val="117"/>
        <w:tabs>
          <w:tab w:val="left" w:pos="5580"/>
        </w:tabs>
        <w:spacing w:line="360" w:lineRule="auto"/>
        <w:rPr>
          <w:rFonts w:hint="eastAsia" w:ascii="宋体" w:hAnsi="宋体" w:eastAsia="宋体" w:cs="宋体"/>
          <w:color w:val="auto"/>
          <w:sz w:val="21"/>
          <w:szCs w:val="21"/>
          <w:highlight w:val="none"/>
        </w:rPr>
      </w:pPr>
    </w:p>
    <w:p>
      <w:pPr>
        <w:pStyle w:val="14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法定代表人电子签章：</w:t>
      </w:r>
    </w:p>
    <w:p>
      <w:pPr>
        <w:pStyle w:val="146"/>
        <w:spacing w:line="360" w:lineRule="auto"/>
        <w:ind w:firstLine="420" w:firstLineChars="200"/>
        <w:rPr>
          <w:rFonts w:hint="eastAsia" w:ascii="宋体" w:hAnsi="宋体" w:eastAsia="宋体" w:cs="宋体"/>
          <w:color w:val="auto"/>
          <w:sz w:val="21"/>
          <w:szCs w:val="21"/>
          <w:highlight w:val="none"/>
        </w:rPr>
      </w:pPr>
    </w:p>
    <w:p>
      <w:pPr>
        <w:pStyle w:val="14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电子公章：</w:t>
      </w:r>
    </w:p>
    <w:p>
      <w:pPr>
        <w:pStyle w:val="146"/>
        <w:spacing w:line="360" w:lineRule="auto"/>
        <w:ind w:firstLine="420" w:firstLineChars="200"/>
        <w:rPr>
          <w:rFonts w:hint="eastAsia" w:ascii="宋体" w:hAnsi="宋体" w:eastAsia="宋体" w:cs="宋体"/>
          <w:color w:val="auto"/>
          <w:sz w:val="21"/>
          <w:szCs w:val="21"/>
          <w:highlight w:val="none"/>
        </w:rPr>
      </w:pPr>
    </w:p>
    <w:p>
      <w:pPr>
        <w:pStyle w:val="6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bookmarkStart w:id="210" w:name="_Toc8046"/>
      <w:bookmarkStart w:id="211" w:name="_Toc485895992"/>
      <w:bookmarkStart w:id="212" w:name="_Toc8938"/>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64"/>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4、</w:t>
      </w:r>
      <w:r>
        <w:rPr>
          <w:rFonts w:hint="eastAsia" w:ascii="宋体" w:hAnsi="宋体" w:eastAsia="宋体" w:cs="宋体"/>
          <w:b/>
          <w:color w:val="auto"/>
          <w:sz w:val="32"/>
          <w:szCs w:val="32"/>
          <w:highlight w:val="none"/>
        </w:rPr>
        <w:t>开标一览表</w:t>
      </w:r>
      <w:bookmarkEnd w:id="210"/>
      <w:bookmarkEnd w:id="211"/>
      <w:bookmarkEnd w:id="212"/>
    </w:p>
    <w:p>
      <w:pPr>
        <w:pStyle w:val="64"/>
        <w:adjustRightInd w:val="0"/>
        <w:snapToGrid w:val="0"/>
        <w:spacing w:line="5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采购项目编号：</w:t>
      </w:r>
    </w:p>
    <w:p>
      <w:pPr>
        <w:pStyle w:val="63"/>
        <w:spacing w:line="360" w:lineRule="auto"/>
        <w:ind w:left="0" w:leftChars="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采购项目名称：</w:t>
      </w:r>
    </w:p>
    <w:tbl>
      <w:tblPr>
        <w:tblStyle w:val="4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top w:val="single" w:color="auto" w:sz="4" w:space="0"/>
              <w:left w:val="single" w:color="auto" w:sz="4" w:space="0"/>
              <w:bottom w:val="single" w:color="auto" w:sz="4" w:space="0"/>
              <w:right w:val="single" w:color="auto" w:sz="4" w:space="0"/>
            </w:tcBorders>
            <w:vAlign w:val="center"/>
          </w:tcPr>
          <w:p>
            <w:pPr>
              <w:pStyle w:val="64"/>
              <w:tabs>
                <w:tab w:val="left" w:pos="1337"/>
              </w:tabs>
              <w:spacing w:line="360" w:lineRule="auto"/>
              <w:jc w:val="center"/>
              <w:rPr>
                <w:rFonts w:hint="eastAsia" w:ascii="宋体" w:hAnsi="宋体" w:eastAsia="宋体" w:cs="宋体"/>
                <w:color w:val="auto"/>
                <w:sz w:val="21"/>
                <w:szCs w:val="21"/>
                <w:highlight w:val="none"/>
              </w:rPr>
            </w:pPr>
          </w:p>
        </w:tc>
        <w:tc>
          <w:tcPr>
            <w:tcW w:w="6770" w:type="dxa"/>
            <w:tcBorders>
              <w:top w:val="single" w:color="auto" w:sz="4" w:space="0"/>
              <w:left w:val="single" w:color="auto" w:sz="4" w:space="0"/>
              <w:bottom w:val="single" w:color="auto" w:sz="4" w:space="0"/>
              <w:right w:val="single" w:color="auto" w:sz="4" w:space="0"/>
            </w:tcBorders>
            <w:vAlign w:val="center"/>
          </w:tcPr>
          <w:p>
            <w:pPr>
              <w:pStyle w:val="64"/>
              <w:tabs>
                <w:tab w:val="left" w:pos="1337"/>
              </w:tabs>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人民币 金额 （单位：元）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pStyle w:val="64"/>
              <w:tabs>
                <w:tab w:val="left" w:pos="1337"/>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投 标 报 价</w:t>
            </w:r>
          </w:p>
        </w:tc>
        <w:tc>
          <w:tcPr>
            <w:tcW w:w="6770" w:type="dxa"/>
            <w:tcBorders>
              <w:top w:val="single" w:color="auto" w:sz="4" w:space="0"/>
              <w:left w:val="single" w:color="auto" w:sz="4" w:space="0"/>
              <w:bottom w:val="single" w:color="auto" w:sz="4" w:space="0"/>
              <w:right w:val="single" w:color="auto" w:sz="4" w:space="0"/>
            </w:tcBorders>
            <w:vAlign w:val="top"/>
          </w:tcPr>
          <w:p>
            <w:pPr>
              <w:pStyle w:val="64"/>
              <w:tabs>
                <w:tab w:val="left" w:pos="1337"/>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小写：</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元</w:t>
            </w:r>
            <w:r>
              <w:rPr>
                <w:rFonts w:hint="eastAsia" w:ascii="宋体" w:hAnsi="宋体" w:eastAsia="宋体" w:cs="宋体"/>
                <w:bCs/>
                <w:color w:val="auto"/>
                <w:sz w:val="21"/>
                <w:szCs w:val="21"/>
                <w:highlight w:val="none"/>
                <w:u w:val="none"/>
              </w:rPr>
              <w:t xml:space="preserve"> </w:t>
            </w:r>
            <w:r>
              <w:rPr>
                <w:rFonts w:hint="eastAsia" w:ascii="宋体" w:hAnsi="宋体" w:eastAsia="宋体" w:cs="宋体"/>
                <w:bCs/>
                <w:color w:val="auto"/>
                <w:sz w:val="21"/>
                <w:szCs w:val="21"/>
                <w:highlight w:val="none"/>
                <w:u w:val="single"/>
              </w:rPr>
              <w:t xml:space="preserve">                             </w:t>
            </w:r>
          </w:p>
          <w:p>
            <w:pPr>
              <w:pStyle w:val="64"/>
              <w:tabs>
                <w:tab w:val="left" w:pos="1337"/>
              </w:tabs>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大写：</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元整          </w:t>
            </w:r>
            <w:r>
              <w:rPr>
                <w:rFonts w:hint="eastAsia" w:ascii="宋体" w:hAnsi="宋体" w:eastAsia="宋体" w:cs="宋体"/>
                <w:bCs/>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pStyle w:val="64"/>
              <w:tabs>
                <w:tab w:val="left" w:pos="1337"/>
              </w:tabs>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供货期限</w:t>
            </w:r>
          </w:p>
        </w:tc>
        <w:tc>
          <w:tcPr>
            <w:tcW w:w="6770" w:type="dxa"/>
            <w:tcBorders>
              <w:top w:val="single" w:color="auto" w:sz="4" w:space="0"/>
              <w:left w:val="single" w:color="auto" w:sz="4" w:space="0"/>
              <w:bottom w:val="single" w:color="auto" w:sz="4" w:space="0"/>
              <w:right w:val="single" w:color="auto" w:sz="4" w:space="0"/>
            </w:tcBorders>
            <w:vAlign w:val="center"/>
          </w:tcPr>
          <w:p>
            <w:pPr>
              <w:pStyle w:val="64"/>
              <w:tabs>
                <w:tab w:val="left" w:pos="1337"/>
              </w:tabs>
              <w:spacing w:line="360" w:lineRule="auto"/>
              <w:ind w:firstLine="1050" w:firstLineChars="5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u w:val="none"/>
                <w:lang w:val="en-US" w:eastAsia="zh-CN"/>
              </w:rPr>
              <w:t xml:space="preserve">日历天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410" w:type="dxa"/>
            <w:tcBorders>
              <w:top w:val="single" w:color="auto" w:sz="4" w:space="0"/>
              <w:left w:val="single" w:color="auto" w:sz="4" w:space="0"/>
              <w:bottom w:val="single" w:color="auto" w:sz="4" w:space="0"/>
              <w:right w:val="single" w:color="auto" w:sz="4" w:space="0"/>
            </w:tcBorders>
            <w:vAlign w:val="top"/>
          </w:tcPr>
          <w:p>
            <w:pPr>
              <w:pStyle w:val="64"/>
              <w:tabs>
                <w:tab w:val="left" w:pos="1337"/>
              </w:tabs>
              <w:spacing w:line="360" w:lineRule="auto"/>
              <w:ind w:firstLine="630" w:firstLineChars="3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质保期</w:t>
            </w:r>
          </w:p>
        </w:tc>
        <w:tc>
          <w:tcPr>
            <w:tcW w:w="6770" w:type="dxa"/>
            <w:tcBorders>
              <w:top w:val="single" w:color="auto" w:sz="4" w:space="0"/>
              <w:left w:val="single" w:color="auto" w:sz="4" w:space="0"/>
              <w:bottom w:val="single" w:color="auto" w:sz="4" w:space="0"/>
              <w:right w:val="single" w:color="auto" w:sz="4" w:space="0"/>
            </w:tcBorders>
            <w:vAlign w:val="top"/>
          </w:tcPr>
          <w:p>
            <w:pPr>
              <w:pStyle w:val="64"/>
              <w:tabs>
                <w:tab w:val="left" w:pos="1337"/>
              </w:tabs>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tcBorders>
              <w:top w:val="single" w:color="auto" w:sz="4" w:space="0"/>
              <w:left w:val="single" w:color="auto" w:sz="4" w:space="0"/>
              <w:bottom w:val="single" w:color="auto" w:sz="4" w:space="0"/>
              <w:right w:val="single" w:color="auto" w:sz="4" w:space="0"/>
            </w:tcBorders>
            <w:vAlign w:val="top"/>
          </w:tcPr>
          <w:p>
            <w:pPr>
              <w:pStyle w:val="64"/>
              <w:tabs>
                <w:tab w:val="left" w:pos="1337"/>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tc>
      </w:tr>
    </w:tbl>
    <w:p>
      <w:pPr>
        <w:pStyle w:val="6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pPr>
        <w:pStyle w:val="6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严格按照规定的格式填写。投标报价为优惠后报价，并作为评审及定标的依据。</w:t>
      </w:r>
    </w:p>
    <w:p>
      <w:pPr>
        <w:pStyle w:val="6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2、任何有选择或有条件的投标报价或表中某一包填写多个报价，均将导致投标被拒绝。</w:t>
      </w:r>
    </w:p>
    <w:p>
      <w:pPr>
        <w:pStyle w:val="64"/>
        <w:spacing w:line="360" w:lineRule="auto"/>
        <w:ind w:firstLine="420" w:firstLineChars="200"/>
        <w:rPr>
          <w:rFonts w:hint="eastAsia" w:ascii="宋体" w:hAnsi="宋体" w:eastAsia="宋体" w:cs="宋体"/>
          <w:color w:val="auto"/>
          <w:sz w:val="21"/>
          <w:szCs w:val="21"/>
          <w:highlight w:val="none"/>
        </w:rPr>
      </w:pPr>
    </w:p>
    <w:p>
      <w:pPr>
        <w:pStyle w:val="64"/>
        <w:spacing w:line="360" w:lineRule="auto"/>
        <w:ind w:firstLine="420" w:firstLineChars="200"/>
        <w:rPr>
          <w:rFonts w:hint="eastAsia" w:ascii="宋体" w:hAnsi="宋体" w:eastAsia="宋体" w:cs="宋体"/>
          <w:color w:val="auto"/>
          <w:sz w:val="21"/>
          <w:szCs w:val="21"/>
          <w:highlight w:val="none"/>
          <w:u w:val="single"/>
        </w:rPr>
      </w:pPr>
    </w:p>
    <w:p>
      <w:pPr>
        <w:pStyle w:val="64"/>
        <w:adjustRightInd w:val="0"/>
        <w:snapToGrid w:val="0"/>
        <w:spacing w:line="500" w:lineRule="exact"/>
        <w:ind w:firstLine="840" w:firstLineChars="400"/>
        <w:rPr>
          <w:rFonts w:ascii="宋体" w:hAnsi="宋体"/>
          <w:color w:val="auto"/>
          <w:sz w:val="21"/>
          <w:szCs w:val="21"/>
          <w:highlight w:val="none"/>
        </w:rPr>
      </w:pPr>
      <w:r>
        <w:rPr>
          <w:rFonts w:hint="eastAsia" w:ascii="宋体" w:hAnsi="宋体"/>
          <w:color w:val="auto"/>
          <w:sz w:val="21"/>
          <w:szCs w:val="21"/>
          <w:highlight w:val="none"/>
        </w:rPr>
        <w:t>供应商法定代表人（</w:t>
      </w:r>
      <w:r>
        <w:rPr>
          <w:rFonts w:hint="eastAsia" w:ascii="宋体" w:hAnsi="宋体"/>
          <w:color w:val="auto"/>
          <w:sz w:val="21"/>
          <w:szCs w:val="21"/>
          <w:highlight w:val="none"/>
          <w:lang w:eastAsia="zh-CN"/>
        </w:rPr>
        <w:t>电子签名或盖章</w:t>
      </w:r>
      <w:r>
        <w:rPr>
          <w:rFonts w:hint="eastAsia" w:ascii="宋体" w:hAnsi="宋体"/>
          <w:color w:val="auto"/>
          <w:sz w:val="21"/>
          <w:szCs w:val="21"/>
          <w:highlight w:val="none"/>
        </w:rPr>
        <w:t>）：</w:t>
      </w:r>
    </w:p>
    <w:p>
      <w:pPr>
        <w:pStyle w:val="64"/>
        <w:adjustRightInd w:val="0"/>
        <w:snapToGrid w:val="0"/>
        <w:spacing w:line="500" w:lineRule="exact"/>
        <w:ind w:firstLine="1470" w:firstLineChars="700"/>
        <w:rPr>
          <w:rFonts w:ascii="宋体" w:hAnsi="宋体"/>
          <w:color w:val="auto"/>
          <w:sz w:val="21"/>
          <w:szCs w:val="21"/>
          <w:highlight w:val="none"/>
          <w:u w:val="single"/>
        </w:rPr>
      </w:pPr>
      <w:r>
        <w:rPr>
          <w:rFonts w:hint="eastAsia" w:ascii="宋体" w:hAnsi="宋体"/>
          <w:color w:val="auto"/>
          <w:sz w:val="21"/>
          <w:szCs w:val="21"/>
          <w:highlight w:val="none"/>
        </w:rPr>
        <w:t>供应商名称（电子</w:t>
      </w:r>
      <w:r>
        <w:rPr>
          <w:rFonts w:hint="eastAsia" w:ascii="宋体" w:hAnsi="宋体"/>
          <w:color w:val="auto"/>
          <w:sz w:val="21"/>
          <w:szCs w:val="21"/>
          <w:highlight w:val="none"/>
          <w:lang w:val="en-US" w:eastAsia="zh-CN"/>
        </w:rPr>
        <w:t>公章</w:t>
      </w:r>
      <w:r>
        <w:rPr>
          <w:rFonts w:hint="eastAsia" w:ascii="宋体" w:hAnsi="宋体"/>
          <w:color w:val="auto"/>
          <w:sz w:val="21"/>
          <w:szCs w:val="21"/>
          <w:highlight w:val="none"/>
        </w:rPr>
        <w:t>）：</w:t>
      </w:r>
    </w:p>
    <w:p>
      <w:pPr>
        <w:pStyle w:val="64"/>
        <w:spacing w:line="360" w:lineRule="auto"/>
        <w:rPr>
          <w:rFonts w:hint="eastAsia" w:ascii="宋体" w:hAnsi="宋体" w:eastAsia="宋体" w:cs="宋体"/>
          <w:color w:val="auto"/>
          <w:sz w:val="21"/>
          <w:szCs w:val="21"/>
          <w:highlight w:val="none"/>
        </w:rPr>
      </w:pPr>
    </w:p>
    <w:p>
      <w:pPr>
        <w:pStyle w:val="64"/>
        <w:spacing w:line="360" w:lineRule="auto"/>
        <w:ind w:firstLine="1890" w:firstLineChars="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rPr>
          <w:rFonts w:hint="eastAsia" w:ascii="宋体" w:hAnsi="宋体" w:eastAsia="宋体" w:cs="宋体"/>
          <w:color w:val="auto"/>
          <w:highlight w:val="none"/>
        </w:rPr>
      </w:pPr>
    </w:p>
    <w:bookmarkEnd w:id="181"/>
    <w:bookmarkEnd w:id="182"/>
    <w:p>
      <w:pPr>
        <w:rPr>
          <w:rFonts w:hint="eastAsia" w:ascii="宋体" w:hAnsi="宋体" w:eastAsia="宋体" w:cs="宋体"/>
          <w:b/>
          <w:bCs/>
          <w:color w:val="auto"/>
          <w:kern w:val="0"/>
          <w:sz w:val="32"/>
          <w:szCs w:val="40"/>
          <w:highlight w:val="none"/>
        </w:rPr>
      </w:pPr>
      <w:bookmarkStart w:id="213" w:name="_Toc12054"/>
      <w:bookmarkStart w:id="214" w:name="_Toc26256"/>
      <w:r>
        <w:rPr>
          <w:rFonts w:hint="eastAsia" w:ascii="宋体" w:hAnsi="宋体" w:eastAsia="宋体" w:cs="宋体"/>
          <w:b/>
          <w:bCs/>
          <w:color w:val="auto"/>
          <w:kern w:val="0"/>
          <w:sz w:val="32"/>
          <w:szCs w:val="40"/>
          <w:highlight w:val="none"/>
        </w:rPr>
        <w:br w:type="page"/>
      </w:r>
    </w:p>
    <w:p>
      <w:pPr>
        <w:pStyle w:val="64"/>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5、</w:t>
      </w:r>
      <w:r>
        <w:rPr>
          <w:rFonts w:hint="eastAsia" w:ascii="宋体" w:hAnsi="宋体" w:cs="宋体"/>
          <w:b/>
          <w:color w:val="auto"/>
          <w:sz w:val="32"/>
          <w:szCs w:val="32"/>
          <w:highlight w:val="none"/>
          <w:lang w:eastAsia="zh-CN"/>
        </w:rPr>
        <w:t>供应商</w:t>
      </w:r>
      <w:r>
        <w:rPr>
          <w:rFonts w:hint="eastAsia" w:ascii="宋体" w:hAnsi="宋体" w:eastAsia="宋体" w:cs="宋体"/>
          <w:b/>
          <w:color w:val="auto"/>
          <w:sz w:val="32"/>
          <w:szCs w:val="32"/>
          <w:highlight w:val="none"/>
        </w:rPr>
        <w:t>（供应商）反商业贿赂承诺书</w:t>
      </w:r>
      <w:bookmarkEnd w:id="213"/>
      <w:bookmarkEnd w:id="214"/>
    </w:p>
    <w:p>
      <w:pPr>
        <w:pStyle w:val="140"/>
        <w:widowControl/>
        <w:spacing w:line="480" w:lineRule="auto"/>
        <w:jc w:val="left"/>
        <w:rPr>
          <w:rFonts w:hint="eastAsia" w:ascii="宋体" w:hAnsi="宋体" w:eastAsia="宋体" w:cs="宋体"/>
          <w:color w:val="auto"/>
          <w:sz w:val="21"/>
          <w:szCs w:val="21"/>
          <w:highlight w:val="none"/>
        </w:rPr>
      </w:pPr>
      <w:r>
        <w:rPr>
          <w:rFonts w:hint="eastAsia" w:ascii="宋体" w:hAnsi="宋体" w:eastAsia="宋体" w:cs="宋体"/>
          <w:bCs/>
          <w:color w:val="auto"/>
          <w:szCs w:val="21"/>
          <w:highlight w:val="none"/>
        </w:rPr>
        <w:t> </w:t>
      </w:r>
      <w:r>
        <w:rPr>
          <w:rFonts w:hint="eastAsia" w:ascii="宋体" w:hAnsi="宋体" w:eastAsia="宋体" w:cs="宋体"/>
          <w:color w:val="auto"/>
          <w:szCs w:val="21"/>
          <w:highlight w:val="none"/>
        </w:rPr>
        <w:t>   </w:t>
      </w:r>
      <w:r>
        <w:rPr>
          <w:rFonts w:hint="eastAsia" w:ascii="宋体" w:hAnsi="宋体" w:eastAsia="宋体" w:cs="宋体"/>
          <w:color w:val="auto"/>
          <w:sz w:val="21"/>
          <w:szCs w:val="21"/>
          <w:highlight w:val="none"/>
        </w:rPr>
        <w:t>我公司承诺在</w:t>
      </w:r>
      <w:r>
        <w:rPr>
          <w:rFonts w:hint="eastAsia" w:ascii="宋体" w:hAnsi="宋体" w:eastAsia="宋体" w:cs="宋体"/>
          <w:color w:val="auto"/>
          <w:sz w:val="21"/>
          <w:szCs w:val="21"/>
          <w:highlight w:val="none"/>
          <w:u w:val="single"/>
        </w:rPr>
        <w:t>（项目编号、项目名称）</w:t>
      </w:r>
      <w:r>
        <w:rPr>
          <w:rFonts w:hint="eastAsia" w:ascii="宋体" w:hAnsi="宋体" w:eastAsia="宋体" w:cs="宋体"/>
          <w:color w:val="auto"/>
          <w:sz w:val="21"/>
          <w:szCs w:val="21"/>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（供应商）承诺书 </w:t>
      </w:r>
    </w:p>
    <w:p>
      <w:pPr>
        <w:pStyle w:val="140"/>
        <w:widowControl/>
        <w:spacing w:line="48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我公司承诺在参加本次投标前三年内，无以下行为：</w:t>
      </w:r>
    </w:p>
    <w:p>
      <w:pPr>
        <w:pStyle w:val="140"/>
        <w:widowControl/>
        <w:spacing w:line="480" w:lineRule="auto"/>
        <w:jc w:val="left"/>
        <w:outlineLvl w:val="1"/>
        <w:rPr>
          <w:rFonts w:hint="eastAsia" w:ascii="宋体" w:hAnsi="宋体" w:eastAsia="宋体" w:cs="宋体"/>
          <w:color w:val="auto"/>
          <w:sz w:val="21"/>
          <w:szCs w:val="21"/>
          <w:highlight w:val="none"/>
        </w:rPr>
      </w:pPr>
      <w:bookmarkStart w:id="215" w:name="_Toc1775"/>
      <w:bookmarkStart w:id="216" w:name="_Toc12174"/>
      <w:bookmarkStart w:id="217" w:name="_Toc5436"/>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重大违法行为；</w:t>
      </w:r>
      <w:bookmarkEnd w:id="215"/>
      <w:bookmarkEnd w:id="216"/>
      <w:bookmarkEnd w:id="217"/>
    </w:p>
    <w:p>
      <w:pPr>
        <w:pStyle w:val="140"/>
        <w:widowControl/>
        <w:spacing w:line="480" w:lineRule="auto"/>
        <w:jc w:val="left"/>
        <w:outlineLvl w:val="1"/>
        <w:rPr>
          <w:rFonts w:hint="eastAsia" w:ascii="宋体" w:hAnsi="宋体" w:eastAsia="宋体" w:cs="宋体"/>
          <w:color w:val="auto"/>
          <w:sz w:val="21"/>
          <w:szCs w:val="21"/>
          <w:highlight w:val="none"/>
        </w:rPr>
      </w:pPr>
      <w:bookmarkStart w:id="218" w:name="_Toc28853"/>
      <w:bookmarkStart w:id="219" w:name="_Toc25361"/>
      <w:bookmarkStart w:id="220" w:name="_Toc14004"/>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商业贿赂行为；</w:t>
      </w:r>
      <w:bookmarkEnd w:id="218"/>
      <w:bookmarkEnd w:id="219"/>
      <w:bookmarkEnd w:id="220"/>
    </w:p>
    <w:p>
      <w:pPr>
        <w:pStyle w:val="140"/>
        <w:widowControl/>
        <w:spacing w:line="480" w:lineRule="auto"/>
        <w:jc w:val="left"/>
        <w:outlineLvl w:val="1"/>
        <w:rPr>
          <w:rFonts w:hint="eastAsia" w:ascii="宋体" w:hAnsi="宋体" w:eastAsia="宋体" w:cs="宋体"/>
          <w:color w:val="auto"/>
          <w:sz w:val="21"/>
          <w:szCs w:val="21"/>
          <w:highlight w:val="none"/>
        </w:rPr>
      </w:pPr>
      <w:bookmarkStart w:id="221" w:name="_Toc28213"/>
      <w:bookmarkStart w:id="222" w:name="_Toc27524"/>
      <w:bookmarkStart w:id="223" w:name="_Toc32102"/>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政府采购法《第七十七条》，列入不良行为记录名单的各种行为；</w:t>
      </w:r>
      <w:bookmarkEnd w:id="221"/>
      <w:bookmarkEnd w:id="222"/>
      <w:bookmarkEnd w:id="223"/>
    </w:p>
    <w:p>
      <w:pPr>
        <w:pStyle w:val="140"/>
        <w:widowControl/>
        <w:spacing w:line="48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如有上述行为，我公司及项目参与人员自愿放弃本次项目的投标、报价资格，若为预中标、成交人，也自愿放弃中标、成交资格。 </w:t>
      </w:r>
    </w:p>
    <w:p>
      <w:pPr>
        <w:pStyle w:val="140"/>
        <w:widowControl/>
        <w:spacing w:line="480" w:lineRule="auto"/>
        <w:jc w:val="left"/>
        <w:rPr>
          <w:rFonts w:hint="eastAsia" w:ascii="宋体" w:hAnsi="宋体" w:eastAsia="宋体" w:cs="宋体"/>
          <w:color w:val="auto"/>
          <w:sz w:val="21"/>
          <w:szCs w:val="21"/>
          <w:highlight w:val="none"/>
        </w:rPr>
      </w:pPr>
    </w:p>
    <w:p>
      <w:pPr>
        <w:pStyle w:val="140"/>
        <w:widowControl/>
        <w:spacing w:line="480" w:lineRule="auto"/>
        <w:jc w:val="left"/>
        <w:rPr>
          <w:rFonts w:hint="eastAsia" w:ascii="宋体" w:hAnsi="宋体" w:eastAsia="宋体" w:cs="宋体"/>
          <w:color w:val="auto"/>
          <w:sz w:val="21"/>
          <w:szCs w:val="21"/>
          <w:highlight w:val="none"/>
        </w:rPr>
      </w:pPr>
    </w:p>
    <w:p>
      <w:pPr>
        <w:pStyle w:val="140"/>
        <w:widowControl/>
        <w:spacing w:line="480" w:lineRule="auto"/>
        <w:jc w:val="left"/>
        <w:rPr>
          <w:rFonts w:hint="eastAsia" w:ascii="宋体" w:hAnsi="宋体" w:eastAsia="宋体" w:cs="宋体"/>
          <w:color w:val="auto"/>
          <w:sz w:val="21"/>
          <w:szCs w:val="21"/>
          <w:highlight w:val="none"/>
        </w:rPr>
      </w:pPr>
    </w:p>
    <w:p>
      <w:pPr>
        <w:pStyle w:val="64"/>
        <w:adjustRightInd w:val="0"/>
        <w:snapToGrid w:val="0"/>
        <w:spacing w:line="500" w:lineRule="exact"/>
        <w:ind w:firstLine="840" w:firstLineChars="400"/>
        <w:rPr>
          <w:rFonts w:ascii="宋体" w:hAnsi="宋体"/>
          <w:color w:val="auto"/>
          <w:sz w:val="21"/>
          <w:szCs w:val="21"/>
          <w:highlight w:val="none"/>
        </w:rPr>
      </w:pPr>
      <w:bookmarkStart w:id="224" w:name="_Toc30866"/>
      <w:bookmarkStart w:id="225" w:name="_Toc24439"/>
      <w:bookmarkStart w:id="226" w:name="_Toc23639"/>
      <w:r>
        <w:rPr>
          <w:rFonts w:hint="eastAsia" w:ascii="宋体" w:hAnsi="宋体"/>
          <w:color w:val="auto"/>
          <w:sz w:val="21"/>
          <w:szCs w:val="21"/>
          <w:highlight w:val="none"/>
        </w:rPr>
        <w:t>供应商法定代表人（</w:t>
      </w:r>
      <w:r>
        <w:rPr>
          <w:rFonts w:hint="eastAsia" w:ascii="宋体" w:hAnsi="宋体"/>
          <w:color w:val="auto"/>
          <w:sz w:val="21"/>
          <w:szCs w:val="21"/>
          <w:highlight w:val="none"/>
          <w:lang w:eastAsia="zh-CN"/>
        </w:rPr>
        <w:t>电子签名或盖章</w:t>
      </w:r>
      <w:r>
        <w:rPr>
          <w:rFonts w:hint="eastAsia" w:ascii="宋体" w:hAnsi="宋体"/>
          <w:color w:val="auto"/>
          <w:sz w:val="21"/>
          <w:szCs w:val="21"/>
          <w:highlight w:val="none"/>
        </w:rPr>
        <w:t>）：</w:t>
      </w:r>
    </w:p>
    <w:p>
      <w:pPr>
        <w:pStyle w:val="64"/>
        <w:adjustRightInd w:val="0"/>
        <w:snapToGrid w:val="0"/>
        <w:spacing w:line="500" w:lineRule="exact"/>
        <w:ind w:firstLine="1470" w:firstLineChars="700"/>
        <w:rPr>
          <w:rFonts w:ascii="宋体" w:hAnsi="宋体"/>
          <w:color w:val="auto"/>
          <w:sz w:val="21"/>
          <w:szCs w:val="21"/>
          <w:highlight w:val="none"/>
          <w:u w:val="single"/>
        </w:rPr>
      </w:pPr>
      <w:r>
        <w:rPr>
          <w:rFonts w:hint="eastAsia" w:ascii="宋体" w:hAnsi="宋体"/>
          <w:color w:val="auto"/>
          <w:sz w:val="21"/>
          <w:szCs w:val="21"/>
          <w:highlight w:val="none"/>
        </w:rPr>
        <w:t>供应商名称（电子</w:t>
      </w:r>
      <w:r>
        <w:rPr>
          <w:rFonts w:hint="eastAsia" w:ascii="宋体" w:hAnsi="宋体"/>
          <w:color w:val="auto"/>
          <w:sz w:val="21"/>
          <w:szCs w:val="21"/>
          <w:highlight w:val="none"/>
          <w:lang w:val="en-US" w:eastAsia="zh-CN"/>
        </w:rPr>
        <w:t>公章</w:t>
      </w:r>
      <w:r>
        <w:rPr>
          <w:rFonts w:hint="eastAsia" w:ascii="宋体" w:hAnsi="宋体"/>
          <w:color w:val="auto"/>
          <w:sz w:val="21"/>
          <w:szCs w:val="21"/>
          <w:highlight w:val="none"/>
        </w:rPr>
        <w:t>）：</w:t>
      </w:r>
    </w:p>
    <w:p>
      <w:pPr>
        <w:pStyle w:val="64"/>
        <w:spacing w:line="360" w:lineRule="auto"/>
        <w:rPr>
          <w:rFonts w:hint="eastAsia" w:ascii="宋体" w:hAnsi="宋体" w:eastAsia="宋体" w:cs="宋体"/>
          <w:color w:val="auto"/>
          <w:sz w:val="21"/>
          <w:szCs w:val="21"/>
          <w:highlight w:val="none"/>
        </w:rPr>
      </w:pPr>
    </w:p>
    <w:p>
      <w:pPr>
        <w:pStyle w:val="64"/>
        <w:spacing w:line="360" w:lineRule="auto"/>
        <w:ind w:firstLine="1890" w:firstLineChars="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bookmarkEnd w:id="224"/>
    <w:bookmarkEnd w:id="225"/>
    <w:bookmarkEnd w:id="226"/>
    <w:p>
      <w:pPr>
        <w:pStyle w:val="147"/>
        <w:keepNext/>
        <w:keepLines/>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27" w:name="_Toc1453"/>
      <w:bookmarkStart w:id="228" w:name="_Toc20403"/>
      <w:bookmarkStart w:id="229" w:name="_Toc26289"/>
      <w:bookmarkStart w:id="230" w:name="_Toc8672"/>
      <w:r>
        <w:rPr>
          <w:rFonts w:hint="eastAsia" w:ascii="宋体" w:hAnsi="宋体" w:cs="宋体"/>
          <w:color w:val="auto"/>
          <w:highlight w:val="none"/>
          <w:lang w:val="en-US" w:eastAsia="zh-CN"/>
        </w:rPr>
        <w:t>6、</w:t>
      </w:r>
      <w:r>
        <w:rPr>
          <w:rFonts w:hint="eastAsia" w:ascii="宋体" w:hAnsi="宋体" w:eastAsia="宋体" w:cs="宋体"/>
          <w:color w:val="auto"/>
          <w:highlight w:val="none"/>
        </w:rPr>
        <w:t>投标保证金</w:t>
      </w:r>
      <w:bookmarkEnd w:id="227"/>
      <w:bookmarkEnd w:id="228"/>
      <w:bookmarkEnd w:id="229"/>
      <w:bookmarkEnd w:id="230"/>
    </w:p>
    <w:p>
      <w:pPr>
        <w:pStyle w:val="121"/>
        <w:ind w:left="0" w:firstLine="0"/>
        <w:rPr>
          <w:rFonts w:hint="eastAsia" w:ascii="宋体" w:hAnsi="宋体" w:eastAsia="宋体" w:cs="宋体"/>
          <w:color w:val="auto"/>
          <w:highlight w:val="none"/>
        </w:rPr>
      </w:pPr>
      <w:r>
        <w:rPr>
          <w:rFonts w:hint="eastAsia" w:ascii="宋体" w:hAnsi="宋体" w:eastAsia="宋体" w:cs="宋体"/>
          <w:color w:val="auto"/>
          <w:sz w:val="21"/>
          <w:szCs w:val="21"/>
          <w:highlight w:val="none"/>
        </w:rPr>
        <w:t>说明：此处上传投标保证金缴纳证明文件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汇款凭证、保证金收据、投标保函等</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pPr>
        <w:pStyle w:val="255"/>
        <w:keepNext w:val="0"/>
        <w:keepLines w:val="0"/>
        <w:pageBreakBefore w:val="0"/>
        <w:widowControl/>
        <w:kinsoku/>
        <w:wordWrap/>
        <w:overflowPunct w:val="0"/>
        <w:topLinePunct w:val="0"/>
        <w:autoSpaceDE w:val="0"/>
        <w:autoSpaceDN w:val="0"/>
        <w:bidi w:val="0"/>
        <w:adjustRightInd w:val="0"/>
        <w:snapToGrid/>
        <w:spacing w:line="440" w:lineRule="exact"/>
        <w:jc w:val="center"/>
        <w:textAlignment w:val="auto"/>
        <w:outlineLvl w:val="0"/>
        <w:rPr>
          <w:rFonts w:hint="default"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highlight w:val="none"/>
        </w:rPr>
        <w:br w:type="page"/>
      </w:r>
      <w:bookmarkStart w:id="231" w:name="_Toc1702"/>
      <w:bookmarkStart w:id="232" w:name="_Toc9260"/>
      <w:bookmarkStart w:id="233" w:name="_Toc868"/>
      <w:r>
        <w:rPr>
          <w:rFonts w:hint="eastAsia" w:ascii="宋体" w:hAnsi="宋体" w:cs="宋体"/>
          <w:b/>
          <w:bCs/>
          <w:color w:val="auto"/>
          <w:kern w:val="2"/>
          <w:sz w:val="32"/>
          <w:szCs w:val="32"/>
          <w:highlight w:val="none"/>
          <w:lang w:val="en-US" w:eastAsia="zh-CN" w:bidi="ar-SA"/>
        </w:rPr>
        <w:t>7</w:t>
      </w:r>
      <w:r>
        <w:rPr>
          <w:rFonts w:hint="eastAsia" w:ascii="宋体" w:hAnsi="宋体" w:eastAsia="宋体" w:cs="宋体"/>
          <w:b/>
          <w:bCs/>
          <w:color w:val="auto"/>
          <w:kern w:val="2"/>
          <w:sz w:val="32"/>
          <w:szCs w:val="32"/>
          <w:highlight w:val="none"/>
          <w:lang w:val="en-US" w:eastAsia="zh-CN" w:bidi="ar-SA"/>
        </w:rPr>
        <w:t>、供应商基本情况</w:t>
      </w:r>
      <w:bookmarkEnd w:id="231"/>
    </w:p>
    <w:p>
      <w:pPr>
        <w:pStyle w:val="19"/>
        <w:rPr>
          <w:rFonts w:hint="eastAsia"/>
          <w:highlight w:val="none"/>
        </w:rPr>
      </w:pPr>
    </w:p>
    <w:tbl>
      <w:tblPr>
        <w:tblStyle w:val="46"/>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3485"/>
        <w:gridCol w:w="1875"/>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700" w:type="dxa"/>
            <w:vAlign w:val="center"/>
          </w:tcPr>
          <w:p>
            <w:pPr>
              <w:spacing w:line="440" w:lineRule="exact"/>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供应商名称</w:t>
            </w:r>
          </w:p>
        </w:tc>
        <w:tc>
          <w:tcPr>
            <w:tcW w:w="6824" w:type="dxa"/>
            <w:gridSpan w:val="3"/>
            <w:vAlign w:val="center"/>
          </w:tcPr>
          <w:p>
            <w:pPr>
              <w:spacing w:line="440" w:lineRule="exac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700" w:type="dxa"/>
            <w:vAlign w:val="center"/>
          </w:tcPr>
          <w:p>
            <w:pPr>
              <w:spacing w:line="440" w:lineRule="exact"/>
              <w:rPr>
                <w:rFonts w:hint="eastAsia" w:ascii="宋体" w:hAnsi="宋体" w:eastAsia="宋体" w:cs="宋体"/>
                <w:sz w:val="24"/>
                <w:szCs w:val="24"/>
                <w:highlight w:val="none"/>
              </w:rPr>
            </w:pPr>
            <w:r>
              <w:rPr>
                <w:rFonts w:hint="eastAsia" w:ascii="宋体" w:hAnsi="宋体" w:cs="宋体"/>
                <w:sz w:val="24"/>
                <w:szCs w:val="24"/>
                <w:highlight w:val="none"/>
                <w:lang w:eastAsia="zh-CN"/>
              </w:rPr>
              <w:t>经营</w:t>
            </w:r>
            <w:r>
              <w:rPr>
                <w:rFonts w:hint="eastAsia" w:ascii="宋体" w:hAnsi="宋体" w:eastAsia="宋体" w:cs="宋体"/>
                <w:sz w:val="24"/>
                <w:szCs w:val="24"/>
                <w:highlight w:val="none"/>
              </w:rPr>
              <w:t>范围</w:t>
            </w:r>
          </w:p>
        </w:tc>
        <w:tc>
          <w:tcPr>
            <w:tcW w:w="6824" w:type="dxa"/>
            <w:gridSpan w:val="3"/>
            <w:vAlign w:val="center"/>
          </w:tcPr>
          <w:p>
            <w:pPr>
              <w:spacing w:line="440" w:lineRule="exac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700" w:type="dxa"/>
            <w:vAlign w:val="center"/>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法定代表人姓名</w:t>
            </w:r>
          </w:p>
        </w:tc>
        <w:tc>
          <w:tcPr>
            <w:tcW w:w="3485" w:type="dxa"/>
            <w:vAlign w:val="center"/>
          </w:tcPr>
          <w:p>
            <w:pPr>
              <w:spacing w:line="440" w:lineRule="exact"/>
              <w:rPr>
                <w:rFonts w:hint="eastAsia" w:ascii="宋体" w:hAnsi="宋体" w:eastAsia="宋体" w:cs="宋体"/>
                <w:sz w:val="24"/>
                <w:szCs w:val="24"/>
                <w:highlight w:val="none"/>
              </w:rPr>
            </w:pPr>
          </w:p>
        </w:tc>
        <w:tc>
          <w:tcPr>
            <w:tcW w:w="1875" w:type="dxa"/>
            <w:vAlign w:val="center"/>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p>
        </w:tc>
        <w:tc>
          <w:tcPr>
            <w:tcW w:w="1464" w:type="dxa"/>
            <w:vAlign w:val="center"/>
          </w:tcPr>
          <w:p>
            <w:pPr>
              <w:spacing w:line="440" w:lineRule="exac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700" w:type="dxa"/>
            <w:vAlign w:val="center"/>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tc>
        <w:tc>
          <w:tcPr>
            <w:tcW w:w="3485" w:type="dxa"/>
            <w:vAlign w:val="center"/>
          </w:tcPr>
          <w:p>
            <w:pPr>
              <w:spacing w:line="440" w:lineRule="exact"/>
              <w:rPr>
                <w:rFonts w:hint="eastAsia" w:ascii="宋体" w:hAnsi="宋体" w:eastAsia="宋体" w:cs="宋体"/>
                <w:sz w:val="24"/>
                <w:szCs w:val="24"/>
                <w:highlight w:val="none"/>
              </w:rPr>
            </w:pPr>
          </w:p>
        </w:tc>
        <w:tc>
          <w:tcPr>
            <w:tcW w:w="1875" w:type="dxa"/>
            <w:vAlign w:val="center"/>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64" w:type="dxa"/>
            <w:vAlign w:val="center"/>
          </w:tcPr>
          <w:p>
            <w:pPr>
              <w:spacing w:line="440" w:lineRule="exac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700" w:type="dxa"/>
            <w:vAlign w:val="center"/>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3485" w:type="dxa"/>
            <w:vAlign w:val="center"/>
          </w:tcPr>
          <w:p>
            <w:pPr>
              <w:spacing w:line="440" w:lineRule="exact"/>
              <w:rPr>
                <w:rFonts w:hint="eastAsia" w:ascii="宋体" w:hAnsi="宋体" w:eastAsia="宋体" w:cs="宋体"/>
                <w:sz w:val="24"/>
                <w:szCs w:val="24"/>
                <w:highlight w:val="none"/>
              </w:rPr>
            </w:pPr>
          </w:p>
        </w:tc>
        <w:tc>
          <w:tcPr>
            <w:tcW w:w="1875" w:type="dxa"/>
            <w:vAlign w:val="center"/>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tc>
        <w:tc>
          <w:tcPr>
            <w:tcW w:w="1464" w:type="dxa"/>
            <w:vAlign w:val="center"/>
          </w:tcPr>
          <w:p>
            <w:pPr>
              <w:spacing w:line="440" w:lineRule="exac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0" w:type="dxa"/>
            <w:vAlign w:val="center"/>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成立日期</w:t>
            </w:r>
          </w:p>
        </w:tc>
        <w:tc>
          <w:tcPr>
            <w:tcW w:w="3485" w:type="dxa"/>
            <w:vAlign w:val="center"/>
          </w:tcPr>
          <w:p>
            <w:pPr>
              <w:spacing w:line="440" w:lineRule="exact"/>
              <w:rPr>
                <w:rFonts w:hint="eastAsia" w:ascii="宋体" w:hAnsi="宋体" w:eastAsia="宋体" w:cs="宋体"/>
                <w:sz w:val="24"/>
                <w:szCs w:val="24"/>
                <w:highlight w:val="none"/>
              </w:rPr>
            </w:pPr>
          </w:p>
        </w:tc>
        <w:tc>
          <w:tcPr>
            <w:tcW w:w="1875" w:type="dxa"/>
            <w:vAlign w:val="center"/>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员工人数</w:t>
            </w:r>
          </w:p>
        </w:tc>
        <w:tc>
          <w:tcPr>
            <w:tcW w:w="1464" w:type="dxa"/>
            <w:vAlign w:val="center"/>
          </w:tcPr>
          <w:p>
            <w:pPr>
              <w:spacing w:line="440" w:lineRule="exac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0" w:hRule="atLeast"/>
          <w:jc w:val="center"/>
        </w:trPr>
        <w:tc>
          <w:tcPr>
            <w:tcW w:w="9524" w:type="dxa"/>
            <w:gridSpan w:val="4"/>
            <w:tcBorders>
              <w:bottom w:val="single" w:color="auto" w:sz="4" w:space="0"/>
            </w:tcBorders>
            <w:vAlign w:val="center"/>
          </w:tcPr>
          <w:p>
            <w:pPr>
              <w:spacing w:line="440" w:lineRule="exact"/>
              <w:rPr>
                <w:rFonts w:hint="eastAsia" w:ascii="宋体" w:hAnsi="宋体" w:eastAsia="宋体" w:cs="宋体"/>
                <w:sz w:val="24"/>
                <w:szCs w:val="24"/>
                <w:highlight w:val="none"/>
              </w:rPr>
            </w:pP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单位组织机构简介：</w:t>
            </w:r>
          </w:p>
          <w:p>
            <w:pPr>
              <w:spacing w:line="440" w:lineRule="exact"/>
              <w:rPr>
                <w:rFonts w:hint="eastAsia" w:ascii="宋体" w:hAnsi="宋体" w:eastAsia="宋体" w:cs="宋体"/>
                <w:sz w:val="24"/>
                <w:szCs w:val="24"/>
                <w:highlight w:val="none"/>
              </w:rPr>
            </w:pPr>
          </w:p>
          <w:p>
            <w:pPr>
              <w:spacing w:line="440" w:lineRule="exact"/>
              <w:rPr>
                <w:rFonts w:hint="eastAsia" w:ascii="宋体" w:hAnsi="宋体" w:eastAsia="宋体" w:cs="宋体"/>
                <w:sz w:val="24"/>
                <w:szCs w:val="24"/>
                <w:highlight w:val="none"/>
              </w:rPr>
            </w:pPr>
          </w:p>
          <w:p>
            <w:pPr>
              <w:spacing w:line="440" w:lineRule="exact"/>
              <w:rPr>
                <w:rFonts w:hint="eastAsia" w:ascii="宋体" w:hAnsi="宋体" w:eastAsia="宋体" w:cs="宋体"/>
                <w:sz w:val="24"/>
                <w:szCs w:val="24"/>
                <w:highlight w:val="none"/>
              </w:rPr>
            </w:pPr>
          </w:p>
          <w:p>
            <w:pPr>
              <w:spacing w:line="440" w:lineRule="exact"/>
              <w:rPr>
                <w:rFonts w:hint="eastAsia" w:ascii="宋体" w:hAnsi="宋体" w:eastAsia="宋体" w:cs="宋体"/>
                <w:sz w:val="24"/>
                <w:szCs w:val="24"/>
                <w:highlight w:val="none"/>
              </w:rPr>
            </w:pPr>
          </w:p>
          <w:p>
            <w:pPr>
              <w:spacing w:line="440" w:lineRule="exact"/>
              <w:rPr>
                <w:rFonts w:hint="eastAsia" w:ascii="宋体" w:hAnsi="宋体" w:eastAsia="宋体" w:cs="宋体"/>
                <w:sz w:val="24"/>
                <w:szCs w:val="24"/>
                <w:highlight w:val="none"/>
              </w:rPr>
            </w:pPr>
          </w:p>
          <w:p>
            <w:pPr>
              <w:spacing w:line="440" w:lineRule="exact"/>
              <w:rPr>
                <w:rFonts w:hint="eastAsia" w:ascii="宋体" w:hAnsi="宋体" w:eastAsia="宋体" w:cs="宋体"/>
                <w:sz w:val="24"/>
                <w:szCs w:val="24"/>
                <w:highlight w:val="none"/>
              </w:rPr>
            </w:pPr>
          </w:p>
          <w:p>
            <w:pPr>
              <w:spacing w:line="440" w:lineRule="exact"/>
              <w:rPr>
                <w:rFonts w:hint="eastAsia" w:ascii="宋体" w:hAnsi="宋体" w:eastAsia="宋体" w:cs="宋体"/>
                <w:sz w:val="24"/>
                <w:szCs w:val="24"/>
                <w:highlight w:val="none"/>
              </w:rPr>
            </w:pPr>
          </w:p>
        </w:tc>
      </w:tr>
    </w:tbl>
    <w:p>
      <w:pPr>
        <w:tabs>
          <w:tab w:val="left" w:pos="1680"/>
        </w:tabs>
        <w:spacing w:line="440" w:lineRule="exact"/>
        <w:ind w:firstLine="420"/>
        <w:rPr>
          <w:rFonts w:hint="eastAsia" w:ascii="宋体" w:hAnsi="宋体" w:cs="宋体"/>
          <w:color w:val="000000"/>
          <w:sz w:val="24"/>
          <w:szCs w:val="24"/>
          <w:highlight w:val="none"/>
          <w:lang w:eastAsia="zh-CN"/>
        </w:rPr>
      </w:pPr>
    </w:p>
    <w:p>
      <w:pPr>
        <w:tabs>
          <w:tab w:val="left" w:pos="1680"/>
        </w:tabs>
        <w:spacing w:line="440" w:lineRule="exact"/>
        <w:ind w:firstLine="420"/>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附：营业执照副本、</w:t>
      </w:r>
      <w:r>
        <w:rPr>
          <w:rFonts w:hint="eastAsia" w:ascii="宋体" w:hAnsi="宋体" w:cs="宋体"/>
          <w:color w:val="000000"/>
          <w:sz w:val="24"/>
          <w:szCs w:val="24"/>
          <w:highlight w:val="none"/>
          <w:lang w:val="en-US" w:eastAsia="zh-CN"/>
        </w:rPr>
        <w:t>信用评价、质量体系认证</w:t>
      </w:r>
      <w:r>
        <w:rPr>
          <w:rFonts w:hint="eastAsia" w:ascii="宋体" w:hAnsi="宋体" w:cs="宋体"/>
          <w:color w:val="000000"/>
          <w:sz w:val="24"/>
          <w:szCs w:val="24"/>
          <w:highlight w:val="none"/>
          <w:lang w:eastAsia="zh-CN"/>
        </w:rPr>
        <w:t>等材料的复印件。</w:t>
      </w:r>
    </w:p>
    <w:p>
      <w:pPr>
        <w:pStyle w:val="19"/>
        <w:rPr>
          <w:rFonts w:hint="eastAsia"/>
          <w:sz w:val="24"/>
          <w:szCs w:val="24"/>
          <w:highlight w:val="none"/>
          <w:lang w:eastAsia="zh-CN"/>
        </w:rPr>
      </w:pPr>
    </w:p>
    <w:p>
      <w:pPr>
        <w:pStyle w:val="19"/>
        <w:rPr>
          <w:rFonts w:hint="eastAsia"/>
          <w:sz w:val="24"/>
          <w:szCs w:val="24"/>
          <w:highlight w:val="none"/>
          <w:lang w:eastAsia="zh-CN"/>
        </w:rPr>
      </w:pPr>
    </w:p>
    <w:p>
      <w:pPr>
        <w:pStyle w:val="19"/>
        <w:rPr>
          <w:rFonts w:hint="eastAsia"/>
          <w:sz w:val="24"/>
          <w:szCs w:val="24"/>
          <w:highlight w:val="none"/>
          <w:lang w:eastAsia="zh-CN"/>
        </w:rPr>
      </w:pPr>
    </w:p>
    <w:p>
      <w:pPr>
        <w:pStyle w:val="64"/>
        <w:adjustRightInd w:val="0"/>
        <w:snapToGrid w:val="0"/>
        <w:spacing w:line="500" w:lineRule="exact"/>
        <w:ind w:firstLine="840" w:firstLineChars="400"/>
        <w:rPr>
          <w:rFonts w:ascii="宋体" w:hAnsi="宋体"/>
          <w:color w:val="auto"/>
          <w:sz w:val="21"/>
          <w:szCs w:val="21"/>
          <w:highlight w:val="none"/>
        </w:rPr>
      </w:pPr>
      <w:r>
        <w:rPr>
          <w:rFonts w:hint="eastAsia" w:ascii="宋体" w:hAnsi="宋体"/>
          <w:color w:val="auto"/>
          <w:sz w:val="21"/>
          <w:szCs w:val="21"/>
          <w:highlight w:val="none"/>
        </w:rPr>
        <w:t>供应商法定代表人（</w:t>
      </w:r>
      <w:r>
        <w:rPr>
          <w:rFonts w:hint="eastAsia" w:ascii="宋体" w:hAnsi="宋体"/>
          <w:color w:val="auto"/>
          <w:sz w:val="21"/>
          <w:szCs w:val="21"/>
          <w:highlight w:val="none"/>
          <w:lang w:eastAsia="zh-CN"/>
        </w:rPr>
        <w:t>电子签名或盖章</w:t>
      </w:r>
      <w:r>
        <w:rPr>
          <w:rFonts w:hint="eastAsia" w:ascii="宋体" w:hAnsi="宋体"/>
          <w:color w:val="auto"/>
          <w:sz w:val="21"/>
          <w:szCs w:val="21"/>
          <w:highlight w:val="none"/>
        </w:rPr>
        <w:t>）：</w:t>
      </w:r>
    </w:p>
    <w:p>
      <w:pPr>
        <w:pStyle w:val="64"/>
        <w:adjustRightInd w:val="0"/>
        <w:snapToGrid w:val="0"/>
        <w:spacing w:line="500" w:lineRule="exact"/>
        <w:ind w:firstLine="1470" w:firstLineChars="700"/>
        <w:rPr>
          <w:rFonts w:ascii="宋体" w:hAnsi="宋体"/>
          <w:color w:val="auto"/>
          <w:sz w:val="21"/>
          <w:szCs w:val="21"/>
          <w:highlight w:val="none"/>
          <w:u w:val="single"/>
        </w:rPr>
      </w:pPr>
      <w:r>
        <w:rPr>
          <w:rFonts w:hint="eastAsia" w:ascii="宋体" w:hAnsi="宋体"/>
          <w:color w:val="auto"/>
          <w:sz w:val="21"/>
          <w:szCs w:val="21"/>
          <w:highlight w:val="none"/>
        </w:rPr>
        <w:t>供应商名称（电子</w:t>
      </w:r>
      <w:r>
        <w:rPr>
          <w:rFonts w:hint="eastAsia" w:ascii="宋体" w:hAnsi="宋体"/>
          <w:color w:val="auto"/>
          <w:sz w:val="21"/>
          <w:szCs w:val="21"/>
          <w:highlight w:val="none"/>
          <w:lang w:val="en-US" w:eastAsia="zh-CN"/>
        </w:rPr>
        <w:t>公章</w:t>
      </w:r>
      <w:r>
        <w:rPr>
          <w:rFonts w:hint="eastAsia" w:ascii="宋体" w:hAnsi="宋体"/>
          <w:color w:val="auto"/>
          <w:sz w:val="21"/>
          <w:szCs w:val="21"/>
          <w:highlight w:val="none"/>
        </w:rPr>
        <w:t>）：</w:t>
      </w:r>
    </w:p>
    <w:p>
      <w:pPr>
        <w:pStyle w:val="64"/>
        <w:spacing w:line="360" w:lineRule="auto"/>
        <w:rPr>
          <w:rFonts w:hint="eastAsia" w:ascii="宋体" w:hAnsi="宋体" w:eastAsia="宋体" w:cs="宋体"/>
          <w:color w:val="auto"/>
          <w:sz w:val="21"/>
          <w:szCs w:val="21"/>
          <w:highlight w:val="none"/>
        </w:rPr>
      </w:pPr>
    </w:p>
    <w:p>
      <w:pPr>
        <w:pStyle w:val="64"/>
        <w:spacing w:line="360" w:lineRule="auto"/>
        <w:ind w:firstLine="1890" w:firstLineChars="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232"/>
    <w:bookmarkEnd w:id="233"/>
    <w:p>
      <w:pPr>
        <w:numPr>
          <w:ilvl w:val="0"/>
          <w:numId w:val="6"/>
        </w:numPr>
        <w:jc w:val="center"/>
        <w:rPr>
          <w:rFonts w:hint="eastAsia" w:ascii="宋体" w:hAnsi="宋体" w:cs="宋体"/>
          <w:b/>
          <w:bCs/>
          <w:color w:val="auto"/>
          <w:kern w:val="2"/>
          <w:sz w:val="32"/>
          <w:szCs w:val="32"/>
          <w:highlight w:val="none"/>
          <w:lang w:val="en-US" w:eastAsia="zh-CN" w:bidi="ar-SA"/>
        </w:rPr>
      </w:pPr>
      <w:bookmarkStart w:id="234" w:name="_Toc6350"/>
      <w:bookmarkStart w:id="235" w:name="_Toc16503"/>
      <w:r>
        <w:rPr>
          <w:rFonts w:hint="eastAsia" w:ascii="宋体" w:hAnsi="宋体" w:cs="宋体"/>
          <w:b/>
          <w:bCs/>
          <w:color w:val="auto"/>
          <w:kern w:val="2"/>
          <w:sz w:val="32"/>
          <w:szCs w:val="32"/>
          <w:highlight w:val="none"/>
          <w:lang w:val="en-US" w:eastAsia="zh-CN" w:bidi="ar-SA"/>
        </w:rPr>
        <w:t>关于软件版权及使用权的声明（格式自拟）</w:t>
      </w:r>
    </w:p>
    <w:p>
      <w:pPr>
        <w:pStyle w:val="2"/>
        <w:numPr>
          <w:ilvl w:val="0"/>
          <w:numId w:val="0"/>
        </w:numPr>
        <w:ind w:right="246" w:rightChars="0"/>
        <w:rPr>
          <w:rFonts w:hint="default"/>
          <w:lang w:val="en-US" w:eastAsia="zh-CN"/>
        </w:rPr>
      </w:pPr>
    </w:p>
    <w:p>
      <w:pP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br w:type="page"/>
      </w:r>
    </w:p>
    <w:p>
      <w:pPr>
        <w:pStyle w:val="40"/>
        <w:rPr>
          <w:rFonts w:hint="eastAsia"/>
          <w:lang w:val="en-US" w:eastAsia="zh-CN"/>
        </w:rPr>
      </w:pPr>
    </w:p>
    <w:p>
      <w:pPr>
        <w:pStyle w:val="255"/>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center"/>
        <w:textAlignment w:val="auto"/>
        <w:outlineLvl w:val="0"/>
        <w:rPr>
          <w:rFonts w:hint="eastAsia" w:ascii="宋体" w:hAnsi="宋体" w:eastAsia="宋体" w:cs="宋体"/>
          <w:b/>
          <w:bCs/>
          <w:color w:val="auto"/>
          <w:kern w:val="2"/>
          <w:sz w:val="32"/>
          <w:szCs w:val="32"/>
          <w:highlight w:val="none"/>
          <w:lang w:val="en-US" w:eastAsia="zh-CN" w:bidi="ar-SA"/>
        </w:rPr>
      </w:pPr>
      <w:bookmarkStart w:id="236" w:name="_Toc20555"/>
      <w:r>
        <w:rPr>
          <w:rFonts w:hint="eastAsia" w:ascii="宋体" w:hAnsi="宋体" w:cs="宋体"/>
          <w:b/>
          <w:bCs/>
          <w:color w:val="auto"/>
          <w:kern w:val="2"/>
          <w:sz w:val="32"/>
          <w:szCs w:val="32"/>
          <w:highlight w:val="none"/>
          <w:lang w:val="en-US" w:eastAsia="zh-CN" w:bidi="ar-SA"/>
        </w:rPr>
        <w:t>9</w:t>
      </w:r>
      <w:r>
        <w:rPr>
          <w:rFonts w:hint="eastAsia" w:ascii="宋体" w:hAnsi="宋体" w:eastAsia="宋体" w:cs="宋体"/>
          <w:b/>
          <w:bCs/>
          <w:color w:val="auto"/>
          <w:kern w:val="2"/>
          <w:sz w:val="32"/>
          <w:szCs w:val="32"/>
          <w:highlight w:val="none"/>
          <w:lang w:val="en-US" w:eastAsia="zh-CN" w:bidi="ar-SA"/>
        </w:rPr>
        <w:t>、人员配备</w:t>
      </w:r>
      <w:bookmarkEnd w:id="236"/>
    </w:p>
    <w:p>
      <w:pPr>
        <w:pStyle w:val="255"/>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both"/>
        <w:textAlignment w:val="auto"/>
        <w:outlineLvl w:val="0"/>
        <w:rPr>
          <w:rFonts w:hint="default" w:ascii="宋体" w:hAnsi="宋体" w:eastAsia="宋体" w:cs="宋体"/>
          <w:b/>
          <w:bCs/>
          <w:color w:val="auto"/>
          <w:kern w:val="2"/>
          <w:sz w:val="32"/>
          <w:szCs w:val="32"/>
          <w:highlight w:val="none"/>
          <w:lang w:val="en-US" w:eastAsia="zh-CN" w:bidi="ar-SA"/>
        </w:rPr>
      </w:pPr>
    </w:p>
    <w:tbl>
      <w:tblPr>
        <w:tblStyle w:val="46"/>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049"/>
        <w:gridCol w:w="880"/>
        <w:gridCol w:w="957"/>
        <w:gridCol w:w="3242"/>
        <w:gridCol w:w="2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序号</w:t>
            </w:r>
          </w:p>
        </w:tc>
        <w:tc>
          <w:tcPr>
            <w:tcW w:w="1049" w:type="dxa"/>
            <w:vAlign w:val="center"/>
          </w:tcPr>
          <w:p>
            <w:pPr>
              <w:spacing w:line="44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姓名</w:t>
            </w:r>
          </w:p>
        </w:tc>
        <w:tc>
          <w:tcPr>
            <w:tcW w:w="880" w:type="dxa"/>
            <w:vAlign w:val="center"/>
          </w:tcPr>
          <w:p>
            <w:pPr>
              <w:spacing w:line="44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年龄</w:t>
            </w:r>
          </w:p>
        </w:tc>
        <w:tc>
          <w:tcPr>
            <w:tcW w:w="957" w:type="dxa"/>
            <w:vAlign w:val="center"/>
          </w:tcPr>
          <w:p>
            <w:pPr>
              <w:spacing w:line="44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性别</w:t>
            </w:r>
          </w:p>
        </w:tc>
        <w:tc>
          <w:tcPr>
            <w:tcW w:w="3242" w:type="dxa"/>
            <w:vAlign w:val="center"/>
          </w:tcPr>
          <w:p>
            <w:pPr>
              <w:spacing w:line="440" w:lineRule="exact"/>
              <w:rPr>
                <w:rFonts w:hint="eastAsia" w:ascii="宋体" w:hAnsi="宋体" w:eastAsia="宋体" w:cs="宋体"/>
                <w:color w:val="000000"/>
                <w:sz w:val="28"/>
                <w:szCs w:val="28"/>
                <w:highlight w:val="none"/>
                <w:lang w:eastAsia="zh-CN"/>
              </w:rPr>
            </w:pPr>
            <w:r>
              <w:rPr>
                <w:rFonts w:hint="eastAsia" w:ascii="宋体" w:hAnsi="宋体" w:cs="宋体"/>
                <w:color w:val="000000"/>
                <w:sz w:val="28"/>
                <w:szCs w:val="28"/>
                <w:highlight w:val="none"/>
                <w:lang w:val="en-US" w:eastAsia="zh-CN"/>
              </w:rPr>
              <w:t>身份证号码</w:t>
            </w:r>
          </w:p>
        </w:tc>
        <w:tc>
          <w:tcPr>
            <w:tcW w:w="2246" w:type="dxa"/>
            <w:vAlign w:val="center"/>
          </w:tcPr>
          <w:p>
            <w:pPr>
              <w:spacing w:line="440" w:lineRule="exact"/>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val="en-US" w:eastAsia="zh-CN"/>
              </w:rPr>
              <w:t>本项目</w:t>
            </w:r>
            <w:r>
              <w:rPr>
                <w:rFonts w:hint="eastAsia" w:ascii="宋体" w:hAnsi="宋体" w:eastAsia="宋体" w:cs="宋体"/>
                <w:color w:val="000000"/>
                <w:sz w:val="28"/>
                <w:szCs w:val="28"/>
                <w:highlight w:val="none"/>
              </w:rPr>
              <w:t>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bl>
    <w:p>
      <w:pPr>
        <w:spacing w:line="440" w:lineRule="exact"/>
        <w:rPr>
          <w:rFonts w:hint="eastAsia" w:ascii="宋体" w:hAnsi="宋体" w:eastAsia="宋体" w:cs="宋体"/>
          <w:b/>
          <w:bCs/>
          <w:color w:val="000000"/>
          <w:sz w:val="28"/>
          <w:szCs w:val="28"/>
          <w:highlight w:val="none"/>
        </w:rPr>
      </w:pPr>
    </w:p>
    <w:p>
      <w:pPr>
        <w:pStyle w:val="64"/>
        <w:adjustRightInd w:val="0"/>
        <w:snapToGrid w:val="0"/>
        <w:spacing w:line="500" w:lineRule="exact"/>
        <w:rPr>
          <w:rFonts w:hint="eastAsia" w:ascii="宋体" w:hAnsi="宋体" w:eastAsia="宋体" w:cs="宋体"/>
          <w:b/>
          <w:bCs/>
          <w:color w:val="000000"/>
          <w:sz w:val="28"/>
          <w:szCs w:val="28"/>
          <w:highlight w:val="none"/>
          <w:lang w:eastAsia="zh-CN"/>
        </w:rPr>
      </w:pPr>
      <w:r>
        <w:rPr>
          <w:rFonts w:hint="eastAsia" w:ascii="宋体" w:hAnsi="宋体" w:eastAsia="宋体" w:cs="宋体"/>
          <w:b/>
          <w:bCs/>
          <w:color w:val="000000"/>
          <w:sz w:val="28"/>
          <w:szCs w:val="28"/>
          <w:highlight w:val="none"/>
        </w:rPr>
        <w:t>注：</w:t>
      </w:r>
      <w:r>
        <w:rPr>
          <w:rFonts w:hint="eastAsia" w:ascii="宋体" w:hAnsi="宋体" w:cs="宋体"/>
          <w:b/>
          <w:bCs/>
          <w:color w:val="000000"/>
          <w:sz w:val="28"/>
          <w:szCs w:val="28"/>
          <w:highlight w:val="none"/>
          <w:lang w:eastAsia="zh-CN"/>
        </w:rPr>
        <w:t>供</w:t>
      </w:r>
      <w:r>
        <w:rPr>
          <w:rFonts w:hint="eastAsia" w:ascii="宋体" w:hAnsi="宋体" w:eastAsia="宋体" w:cs="宋体"/>
          <w:b/>
          <w:bCs/>
          <w:color w:val="000000"/>
          <w:sz w:val="28"/>
          <w:szCs w:val="28"/>
          <w:highlight w:val="none"/>
          <w:lang w:eastAsia="zh-CN"/>
        </w:rPr>
        <w:t>应商</w:t>
      </w:r>
      <w:r>
        <w:rPr>
          <w:rFonts w:hint="eastAsia" w:ascii="宋体" w:hAnsi="宋体" w:eastAsia="宋体" w:cs="宋体"/>
          <w:b/>
          <w:bCs/>
          <w:color w:val="000000"/>
          <w:sz w:val="28"/>
          <w:szCs w:val="28"/>
          <w:highlight w:val="none"/>
        </w:rPr>
        <w:t>需随此表附上所有从业人员</w:t>
      </w:r>
      <w:r>
        <w:rPr>
          <w:rFonts w:hint="eastAsia" w:ascii="宋体" w:hAnsi="宋体" w:eastAsia="宋体" w:cs="宋体"/>
          <w:b/>
          <w:bCs/>
          <w:color w:val="000000"/>
          <w:sz w:val="28"/>
          <w:szCs w:val="28"/>
          <w:highlight w:val="none"/>
          <w:lang w:eastAsia="zh-CN"/>
        </w:rPr>
        <w:t>身份证、</w:t>
      </w:r>
      <w:r>
        <w:rPr>
          <w:rFonts w:hint="eastAsia" w:ascii="宋体" w:hAnsi="宋体" w:eastAsia="宋体" w:cs="宋体"/>
          <w:b/>
          <w:bCs/>
          <w:color w:val="000000"/>
          <w:sz w:val="28"/>
          <w:szCs w:val="28"/>
          <w:highlight w:val="none"/>
          <w:lang w:val="en-US" w:eastAsia="zh-CN"/>
        </w:rPr>
        <w:t>职业资格证书或</w:t>
      </w:r>
      <w:r>
        <w:rPr>
          <w:rFonts w:hint="eastAsia" w:ascii="宋体" w:hAnsi="宋体" w:cs="宋体"/>
          <w:b/>
          <w:bCs/>
          <w:color w:val="000000"/>
          <w:sz w:val="28"/>
          <w:szCs w:val="28"/>
          <w:highlight w:val="none"/>
          <w:lang w:val="en-US" w:eastAsia="zh-CN"/>
        </w:rPr>
        <w:t>毕业证书、</w:t>
      </w:r>
      <w:r>
        <w:rPr>
          <w:rFonts w:hint="eastAsia" w:ascii="宋体" w:hAnsi="宋体" w:eastAsia="宋体" w:cs="宋体"/>
          <w:b/>
          <w:bCs/>
          <w:color w:val="000000"/>
          <w:sz w:val="28"/>
          <w:szCs w:val="28"/>
          <w:highlight w:val="none"/>
        </w:rPr>
        <w:t>近</w:t>
      </w:r>
      <w:r>
        <w:rPr>
          <w:rFonts w:hint="eastAsia" w:ascii="宋体" w:hAnsi="宋体" w:cs="宋体"/>
          <w:b/>
          <w:bCs/>
          <w:color w:val="000000"/>
          <w:sz w:val="28"/>
          <w:szCs w:val="28"/>
          <w:highlight w:val="none"/>
          <w:lang w:val="en-US" w:eastAsia="zh-CN"/>
        </w:rPr>
        <w:t>一年内任意一个月</w:t>
      </w:r>
      <w:r>
        <w:rPr>
          <w:rFonts w:hint="eastAsia" w:ascii="宋体" w:hAnsi="宋体" w:eastAsia="宋体" w:cs="宋体"/>
          <w:b/>
          <w:bCs/>
          <w:color w:val="000000"/>
          <w:sz w:val="28"/>
          <w:szCs w:val="28"/>
          <w:highlight w:val="none"/>
        </w:rPr>
        <w:t>的</w:t>
      </w:r>
      <w:r>
        <w:rPr>
          <w:rFonts w:hint="eastAsia" w:ascii="宋体" w:hAnsi="宋体" w:cs="宋体"/>
          <w:b/>
          <w:bCs/>
          <w:color w:val="000000"/>
          <w:sz w:val="28"/>
          <w:szCs w:val="28"/>
          <w:highlight w:val="none"/>
          <w:lang w:val="en-US" w:eastAsia="zh-CN"/>
        </w:rPr>
        <w:t>单位</w:t>
      </w:r>
      <w:r>
        <w:rPr>
          <w:rFonts w:hint="eastAsia" w:ascii="宋体" w:hAnsi="宋体" w:eastAsia="宋体" w:cs="宋体"/>
          <w:b/>
          <w:bCs/>
          <w:color w:val="000000"/>
          <w:sz w:val="28"/>
          <w:szCs w:val="28"/>
          <w:highlight w:val="none"/>
        </w:rPr>
        <w:t>社保缴费证明的复印件。</w:t>
      </w:r>
    </w:p>
    <w:p>
      <w:pPr>
        <w:pStyle w:val="64"/>
        <w:adjustRightInd w:val="0"/>
        <w:snapToGrid w:val="0"/>
        <w:spacing w:line="500" w:lineRule="exact"/>
        <w:rPr>
          <w:rFonts w:hint="eastAsia" w:ascii="宋体" w:hAnsi="宋体" w:eastAsia="宋体" w:cs="宋体"/>
          <w:b/>
          <w:bCs/>
          <w:color w:val="000000"/>
          <w:sz w:val="28"/>
          <w:szCs w:val="28"/>
          <w:highlight w:val="none"/>
          <w:lang w:eastAsia="zh-CN"/>
        </w:rPr>
      </w:pPr>
    </w:p>
    <w:p>
      <w:pPr>
        <w:pStyle w:val="64"/>
        <w:adjustRightInd w:val="0"/>
        <w:snapToGrid w:val="0"/>
        <w:spacing w:line="500" w:lineRule="exact"/>
        <w:rPr>
          <w:rFonts w:hint="eastAsia" w:ascii="宋体" w:hAnsi="宋体" w:eastAsia="宋体" w:cs="宋体"/>
          <w:b/>
          <w:bCs/>
          <w:color w:val="000000"/>
          <w:sz w:val="28"/>
          <w:szCs w:val="28"/>
          <w:highlight w:val="none"/>
        </w:rPr>
      </w:pPr>
    </w:p>
    <w:p>
      <w:pPr>
        <w:pStyle w:val="64"/>
        <w:adjustRightInd w:val="0"/>
        <w:snapToGrid w:val="0"/>
        <w:spacing w:line="500" w:lineRule="exact"/>
        <w:ind w:firstLine="840" w:firstLineChars="400"/>
        <w:rPr>
          <w:rFonts w:ascii="宋体" w:hAnsi="宋体"/>
          <w:color w:val="auto"/>
          <w:sz w:val="21"/>
          <w:szCs w:val="21"/>
          <w:highlight w:val="none"/>
        </w:rPr>
      </w:pPr>
      <w:r>
        <w:rPr>
          <w:rFonts w:hint="eastAsia" w:ascii="宋体" w:hAnsi="宋体"/>
          <w:color w:val="auto"/>
          <w:sz w:val="21"/>
          <w:szCs w:val="21"/>
          <w:highlight w:val="none"/>
        </w:rPr>
        <w:t>供应商法定代表人（</w:t>
      </w:r>
      <w:r>
        <w:rPr>
          <w:rFonts w:hint="eastAsia" w:ascii="宋体" w:hAnsi="宋体"/>
          <w:color w:val="auto"/>
          <w:sz w:val="21"/>
          <w:szCs w:val="21"/>
          <w:highlight w:val="none"/>
          <w:lang w:eastAsia="zh-CN"/>
        </w:rPr>
        <w:t>电子签名或盖章</w:t>
      </w:r>
      <w:r>
        <w:rPr>
          <w:rFonts w:hint="eastAsia" w:ascii="宋体" w:hAnsi="宋体"/>
          <w:color w:val="auto"/>
          <w:sz w:val="21"/>
          <w:szCs w:val="21"/>
          <w:highlight w:val="none"/>
        </w:rPr>
        <w:t>）：</w:t>
      </w:r>
    </w:p>
    <w:p>
      <w:pPr>
        <w:pStyle w:val="64"/>
        <w:adjustRightInd w:val="0"/>
        <w:snapToGrid w:val="0"/>
        <w:spacing w:line="500" w:lineRule="exact"/>
        <w:ind w:firstLine="1470" w:firstLineChars="700"/>
        <w:rPr>
          <w:rFonts w:ascii="宋体" w:hAnsi="宋体"/>
          <w:color w:val="auto"/>
          <w:sz w:val="21"/>
          <w:szCs w:val="21"/>
          <w:highlight w:val="none"/>
          <w:u w:val="single"/>
        </w:rPr>
      </w:pPr>
      <w:r>
        <w:rPr>
          <w:rFonts w:hint="eastAsia" w:ascii="宋体" w:hAnsi="宋体"/>
          <w:color w:val="auto"/>
          <w:sz w:val="21"/>
          <w:szCs w:val="21"/>
          <w:highlight w:val="none"/>
        </w:rPr>
        <w:t>供应商名称（电子</w:t>
      </w:r>
      <w:r>
        <w:rPr>
          <w:rFonts w:hint="eastAsia" w:ascii="宋体" w:hAnsi="宋体"/>
          <w:color w:val="auto"/>
          <w:sz w:val="21"/>
          <w:szCs w:val="21"/>
          <w:highlight w:val="none"/>
          <w:lang w:val="en-US" w:eastAsia="zh-CN"/>
        </w:rPr>
        <w:t>公章</w:t>
      </w:r>
      <w:r>
        <w:rPr>
          <w:rFonts w:hint="eastAsia" w:ascii="宋体" w:hAnsi="宋体"/>
          <w:color w:val="auto"/>
          <w:sz w:val="21"/>
          <w:szCs w:val="21"/>
          <w:highlight w:val="none"/>
        </w:rPr>
        <w:t>）：</w:t>
      </w:r>
    </w:p>
    <w:p>
      <w:pPr>
        <w:pStyle w:val="64"/>
        <w:spacing w:line="360" w:lineRule="auto"/>
        <w:rPr>
          <w:rFonts w:hint="eastAsia" w:ascii="宋体" w:hAnsi="宋体" w:eastAsia="宋体" w:cs="宋体"/>
          <w:color w:val="auto"/>
          <w:sz w:val="21"/>
          <w:szCs w:val="21"/>
          <w:highlight w:val="none"/>
        </w:rPr>
      </w:pPr>
    </w:p>
    <w:p>
      <w:pPr>
        <w:pStyle w:val="64"/>
        <w:spacing w:line="360" w:lineRule="auto"/>
        <w:ind w:firstLine="1890" w:firstLineChars="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br w:type="page"/>
      </w:r>
    </w:p>
    <w:p>
      <w:pPr>
        <w:pStyle w:val="255"/>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center"/>
        <w:textAlignment w:val="auto"/>
        <w:outlineLvl w:val="0"/>
        <w:rPr>
          <w:rFonts w:hint="eastAsia" w:ascii="宋体" w:hAnsi="宋体" w:cs="宋体"/>
          <w:b/>
          <w:bCs/>
          <w:color w:val="auto"/>
          <w:kern w:val="2"/>
          <w:sz w:val="32"/>
          <w:szCs w:val="32"/>
          <w:highlight w:val="none"/>
          <w:lang w:val="en-US" w:eastAsia="zh-CN" w:bidi="ar-SA"/>
        </w:rPr>
      </w:pPr>
      <w:r>
        <w:rPr>
          <w:rFonts w:hint="eastAsia" w:ascii="宋体" w:hAnsi="宋体" w:cs="宋体"/>
          <w:b/>
          <w:bCs/>
          <w:color w:val="auto"/>
          <w:kern w:val="2"/>
          <w:sz w:val="32"/>
          <w:szCs w:val="32"/>
          <w:highlight w:val="none"/>
          <w:lang w:val="en-US" w:eastAsia="zh-CN" w:bidi="ar-SA"/>
        </w:rPr>
        <w:t>10、实施方案及效果展示（格式内容自拟）</w:t>
      </w:r>
    </w:p>
    <w:p>
      <w:pPr>
        <w:pStyle w:val="13"/>
        <w:rPr>
          <w:rFonts w:hint="default"/>
          <w:lang w:val="en-US" w:eastAsia="zh-CN"/>
        </w:rPr>
      </w:pPr>
    </w:p>
    <w:p>
      <w:pPr>
        <w:rPr>
          <w:rFonts w:hint="eastAsia" w:ascii="宋体" w:hAnsi="宋体" w:cs="宋体"/>
          <w:b/>
          <w:bCs/>
          <w:color w:val="auto"/>
          <w:kern w:val="2"/>
          <w:sz w:val="32"/>
          <w:szCs w:val="32"/>
          <w:highlight w:val="none"/>
          <w:lang w:val="en-US" w:eastAsia="zh-CN" w:bidi="ar-SA"/>
        </w:rPr>
      </w:pPr>
      <w:r>
        <w:rPr>
          <w:rFonts w:hint="eastAsia" w:ascii="宋体" w:hAnsi="宋体" w:cs="宋体"/>
          <w:b/>
          <w:bCs/>
          <w:color w:val="auto"/>
          <w:kern w:val="2"/>
          <w:sz w:val="32"/>
          <w:szCs w:val="32"/>
          <w:highlight w:val="none"/>
          <w:lang w:val="en-US" w:eastAsia="zh-CN" w:bidi="ar-SA"/>
        </w:rPr>
        <w:br w:type="page"/>
      </w:r>
    </w:p>
    <w:p>
      <w:pPr>
        <w:pStyle w:val="255"/>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center"/>
        <w:textAlignment w:val="auto"/>
        <w:outlineLvl w:val="0"/>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bCs/>
          <w:color w:val="auto"/>
          <w:kern w:val="2"/>
          <w:sz w:val="32"/>
          <w:szCs w:val="32"/>
          <w:highlight w:val="none"/>
          <w:lang w:val="en-US" w:eastAsia="zh-CN" w:bidi="ar-SA"/>
        </w:rPr>
        <w:t>11、设备材料（措施）规格及价格清单</w:t>
      </w:r>
    </w:p>
    <w:p>
      <w:pPr>
        <w:pStyle w:val="64"/>
        <w:adjustRightInd w:val="0"/>
        <w:snapToGrid w:val="0"/>
        <w:spacing w:line="500" w:lineRule="exact"/>
        <w:ind w:firstLine="420" w:firstLineChars="20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项目名称：</w:t>
      </w:r>
      <w:r>
        <w:rPr>
          <w:rFonts w:hint="eastAsia" w:ascii="宋体" w:hAnsi="宋体" w:cs="Times New Roman"/>
          <w:color w:val="auto"/>
          <w:kern w:val="2"/>
          <w:sz w:val="21"/>
          <w:szCs w:val="21"/>
          <w:highlight w:val="none"/>
          <w:lang w:val="en-US" w:eastAsia="zh-CN" w:bidi="ar-SA"/>
        </w:rPr>
        <w:t xml:space="preserve">                                         </w:t>
      </w:r>
      <w:r>
        <w:rPr>
          <w:rFonts w:hint="eastAsia" w:ascii="宋体" w:hAnsi="宋体"/>
          <w:color w:val="auto"/>
          <w:sz w:val="21"/>
          <w:szCs w:val="21"/>
          <w:highlight w:val="none"/>
        </w:rPr>
        <w:t>项目编号：</w:t>
      </w:r>
    </w:p>
    <w:tbl>
      <w:tblPr>
        <w:tblStyle w:val="46"/>
        <w:tblW w:w="939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7"/>
        <w:gridCol w:w="1511"/>
        <w:gridCol w:w="3396"/>
        <w:gridCol w:w="341"/>
        <w:gridCol w:w="463"/>
        <w:gridCol w:w="887"/>
        <w:gridCol w:w="1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项目内容</w:t>
            </w:r>
          </w:p>
        </w:tc>
        <w:tc>
          <w:tcPr>
            <w:tcW w:w="33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cs="宋体"/>
                <w:b/>
                <w:bCs/>
                <w:i w:val="0"/>
                <w:iCs w:val="0"/>
                <w:color w:val="000000"/>
                <w:sz w:val="22"/>
                <w:szCs w:val="22"/>
                <w:u w:val="none"/>
                <w:lang w:eastAsia="zh-CN"/>
              </w:rPr>
              <w:t>单位</w:t>
            </w:r>
          </w:p>
        </w:tc>
        <w:tc>
          <w:tcPr>
            <w:tcW w:w="4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数量</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6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117"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硬</w:t>
            </w:r>
          </w:p>
          <w:p>
            <w:pPr>
              <w:jc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件</w:t>
            </w:r>
          </w:p>
          <w:p>
            <w:pPr>
              <w:jc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设</w:t>
            </w:r>
          </w:p>
          <w:p>
            <w:pPr>
              <w:jc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备</w:t>
            </w:r>
          </w:p>
          <w:p>
            <w:pPr>
              <w:jc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及</w:t>
            </w:r>
          </w:p>
          <w:p>
            <w:pPr>
              <w:jc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配</w:t>
            </w:r>
          </w:p>
          <w:p>
            <w:pPr>
              <w:jc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套</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触摸屏支架</w:t>
            </w:r>
          </w:p>
        </w:tc>
        <w:tc>
          <w:tcPr>
            <w:tcW w:w="33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ind w:left="0" w:leftChars="0" w:firstLine="0" w:firstLineChars="0"/>
              <w:rPr>
                <w:rFonts w:hint="eastAsia"/>
              </w:rPr>
            </w:pPr>
          </w:p>
        </w:tc>
        <w:tc>
          <w:tcPr>
            <w:tcW w:w="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117"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 xml:space="preserve">直线导轨模组  </w:t>
            </w:r>
          </w:p>
        </w:tc>
        <w:tc>
          <w:tcPr>
            <w:tcW w:w="33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ind w:left="0" w:leftChars="0" w:firstLine="0" w:firstLineChars="0"/>
              <w:rPr>
                <w:rFonts w:hint="eastAsia"/>
              </w:rPr>
            </w:pPr>
          </w:p>
        </w:tc>
        <w:tc>
          <w:tcPr>
            <w:tcW w:w="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117"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伺服电机</w:t>
            </w:r>
          </w:p>
        </w:tc>
        <w:tc>
          <w:tcPr>
            <w:tcW w:w="33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ind w:left="0" w:leftChars="0" w:firstLine="0" w:firstLineChars="0"/>
              <w:rPr>
                <w:rFonts w:hint="eastAsia"/>
              </w:rPr>
            </w:pPr>
          </w:p>
        </w:tc>
        <w:tc>
          <w:tcPr>
            <w:tcW w:w="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117"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辅助配件</w:t>
            </w:r>
          </w:p>
        </w:tc>
        <w:tc>
          <w:tcPr>
            <w:tcW w:w="33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ind w:left="0" w:leftChars="0" w:firstLine="0" w:firstLineChars="0"/>
              <w:rPr>
                <w:rFonts w:hint="eastAsia"/>
              </w:rPr>
            </w:pPr>
          </w:p>
        </w:tc>
        <w:tc>
          <w:tcPr>
            <w:tcW w:w="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117"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背景文化墙</w:t>
            </w:r>
          </w:p>
        </w:tc>
        <w:tc>
          <w:tcPr>
            <w:tcW w:w="33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ind w:left="0" w:leftChars="0" w:right="246" w:rightChars="0" w:firstLine="0" w:firstLineChars="0"/>
              <w:rPr>
                <w:rFonts w:hint="eastAsia" w:ascii="宋体" w:hAnsi="宋体" w:eastAsia="宋体" w:cs="宋体"/>
                <w:i w:val="0"/>
                <w:iCs w:val="0"/>
                <w:color w:val="000000"/>
                <w:sz w:val="20"/>
                <w:szCs w:val="20"/>
                <w:u w:val="none"/>
              </w:rPr>
            </w:pPr>
          </w:p>
        </w:tc>
        <w:tc>
          <w:tcPr>
            <w:tcW w:w="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11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5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lang w:eastAsia="zh-CN"/>
              </w:rPr>
            </w:pPr>
            <w:r>
              <w:rPr>
                <w:rFonts w:hint="eastAsia" w:ascii="宋体" w:hAnsi="宋体" w:cs="宋体"/>
                <w:i w:val="0"/>
                <w:iCs w:val="0"/>
                <w:color w:val="000000"/>
                <w:sz w:val="20"/>
                <w:szCs w:val="20"/>
                <w:u w:val="none"/>
                <w:lang w:eastAsia="zh-CN"/>
              </w:rPr>
              <w:t>小计：</w:t>
            </w:r>
          </w:p>
        </w:tc>
        <w:tc>
          <w:tcPr>
            <w:tcW w:w="16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8" w:hRule="atLeast"/>
        </w:trPr>
        <w:tc>
          <w:tcPr>
            <w:tcW w:w="111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滑</w:t>
            </w:r>
          </w:p>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轨</w:t>
            </w:r>
          </w:p>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屏</w:t>
            </w:r>
          </w:p>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系</w:t>
            </w:r>
          </w:p>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统</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件</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1"/>
                <w:szCs w:val="21"/>
                <w:u w:val="none"/>
                <w:lang w:val="en-US" w:eastAsia="zh-CN" w:bidi="ar"/>
              </w:rPr>
              <w:t>数据软件系统</w:t>
            </w:r>
          </w:p>
        </w:tc>
        <w:tc>
          <w:tcPr>
            <w:tcW w:w="33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p>
        </w:tc>
        <w:tc>
          <w:tcPr>
            <w:tcW w:w="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pPr>
          </w:p>
        </w:tc>
        <w:tc>
          <w:tcPr>
            <w:tcW w:w="4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pP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pPr>
          </w:p>
        </w:tc>
        <w:tc>
          <w:tcPr>
            <w:tcW w:w="1682"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1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5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lang w:eastAsia="zh-CN"/>
              </w:rPr>
              <w:t>小计：</w:t>
            </w:r>
          </w:p>
        </w:tc>
        <w:tc>
          <w:tcPr>
            <w:tcW w:w="16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1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数</w:t>
            </w:r>
          </w:p>
          <w:p>
            <w:pPr>
              <w:jc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字</w:t>
            </w:r>
          </w:p>
          <w:p>
            <w:pPr>
              <w:jc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资</w:t>
            </w:r>
          </w:p>
          <w:p>
            <w:pPr>
              <w:jc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源</w:t>
            </w:r>
          </w:p>
          <w:p>
            <w:pPr>
              <w:jc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内</w:t>
            </w:r>
          </w:p>
          <w:p>
            <w:pPr>
              <w:jc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容</w:t>
            </w:r>
          </w:p>
          <w:p>
            <w:pPr>
              <w:jc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制</w:t>
            </w:r>
          </w:p>
          <w:p>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4"/>
                <w:szCs w:val="24"/>
                <w:u w:val="none"/>
                <w:lang w:eastAsia="zh-CN"/>
              </w:rPr>
              <w:t>作</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图文制作</w:t>
            </w:r>
          </w:p>
        </w:tc>
        <w:tc>
          <w:tcPr>
            <w:tcW w:w="33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ind w:left="0" w:leftChars="0" w:firstLine="0" w:firstLineChars="0"/>
              <w:rPr>
                <w:rFonts w:hint="eastAsia" w:ascii="宋体" w:hAnsi="宋体" w:eastAsia="宋体" w:cs="宋体"/>
                <w:i w:val="0"/>
                <w:iCs w:val="0"/>
                <w:color w:val="000000"/>
                <w:sz w:val="20"/>
                <w:szCs w:val="20"/>
                <w:u w:val="none"/>
              </w:rPr>
            </w:pPr>
          </w:p>
          <w:p>
            <w:pPr>
              <w:pStyle w:val="2"/>
              <w:ind w:left="0" w:leftChars="0" w:firstLine="0" w:firstLineChars="0"/>
              <w:rPr>
                <w:rFonts w:hint="eastAsia" w:ascii="宋体" w:hAnsi="宋体" w:eastAsia="宋体" w:cs="宋体"/>
                <w:i w:val="0"/>
                <w:iCs w:val="0"/>
                <w:color w:val="000000"/>
                <w:sz w:val="20"/>
                <w:szCs w:val="20"/>
                <w:u w:val="none"/>
              </w:rPr>
            </w:pPr>
          </w:p>
        </w:tc>
        <w:tc>
          <w:tcPr>
            <w:tcW w:w="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1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视频制作</w:t>
            </w:r>
          </w:p>
        </w:tc>
        <w:tc>
          <w:tcPr>
            <w:tcW w:w="33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ind w:left="0" w:leftChars="0" w:firstLine="0" w:firstLineChars="0"/>
              <w:rPr>
                <w:rFonts w:hint="eastAsia" w:ascii="宋体" w:hAnsi="宋体" w:eastAsia="宋体" w:cs="宋体"/>
                <w:i w:val="0"/>
                <w:iCs w:val="0"/>
                <w:color w:val="000000"/>
                <w:sz w:val="20"/>
                <w:szCs w:val="20"/>
                <w:u w:val="none"/>
              </w:rPr>
            </w:pPr>
          </w:p>
          <w:p>
            <w:pPr>
              <w:pStyle w:val="2"/>
              <w:ind w:left="0" w:leftChars="0" w:firstLine="0" w:firstLineChars="0"/>
              <w:rPr>
                <w:rFonts w:hint="eastAsia" w:ascii="宋体" w:hAnsi="宋体" w:eastAsia="宋体" w:cs="宋体"/>
                <w:i w:val="0"/>
                <w:iCs w:val="0"/>
                <w:color w:val="000000"/>
                <w:sz w:val="20"/>
                <w:szCs w:val="20"/>
                <w:u w:val="none"/>
              </w:rPr>
            </w:pPr>
          </w:p>
        </w:tc>
        <w:tc>
          <w:tcPr>
            <w:tcW w:w="3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1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5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小计：</w:t>
            </w:r>
          </w:p>
        </w:tc>
        <w:tc>
          <w:tcPr>
            <w:tcW w:w="16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71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合计：（大写）</w:t>
            </w:r>
          </w:p>
        </w:tc>
        <w:tc>
          <w:tcPr>
            <w:tcW w:w="16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pStyle w:val="255"/>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both"/>
        <w:textAlignment w:val="auto"/>
        <w:outlineLvl w:val="0"/>
        <w:rPr>
          <w:rFonts w:hint="eastAsia" w:ascii="Times New Roman" w:hAnsi="Times New Roman" w:eastAsia="宋体" w:cs="Times New Roman"/>
          <w:kern w:val="2"/>
          <w:sz w:val="24"/>
          <w:szCs w:val="22"/>
          <w:lang w:val="en-US" w:eastAsia="zh-CN" w:bidi="ar-SA"/>
        </w:rPr>
      </w:pPr>
      <w:r>
        <w:rPr>
          <w:rFonts w:hint="eastAsia" w:ascii="Times New Roman" w:hAnsi="Times New Roman" w:cs="Times New Roman"/>
          <w:kern w:val="2"/>
          <w:sz w:val="24"/>
          <w:szCs w:val="22"/>
          <w:lang w:val="en-US" w:eastAsia="zh-CN" w:bidi="ar-SA"/>
        </w:rPr>
        <w:t>***后附所使用主要软件系统</w:t>
      </w:r>
      <w:r>
        <w:rPr>
          <w:rFonts w:hint="eastAsia" w:ascii="Times New Roman" w:hAnsi="Times New Roman" w:eastAsia="宋体" w:cs="Times New Roman"/>
          <w:kern w:val="2"/>
          <w:sz w:val="24"/>
          <w:szCs w:val="22"/>
          <w:lang w:val="en-US" w:eastAsia="zh-CN" w:bidi="ar-SA"/>
        </w:rPr>
        <w:t>操作手册等</w:t>
      </w:r>
      <w:r>
        <w:rPr>
          <w:rFonts w:hint="eastAsia" w:ascii="Times New Roman" w:hAnsi="Times New Roman" w:cs="Times New Roman"/>
          <w:kern w:val="2"/>
          <w:sz w:val="24"/>
          <w:szCs w:val="22"/>
          <w:lang w:val="en-US" w:eastAsia="zh-CN" w:bidi="ar-SA"/>
        </w:rPr>
        <w:t>说明文件</w:t>
      </w:r>
      <w:r>
        <w:rPr>
          <w:rFonts w:hint="eastAsia" w:ascii="Times New Roman" w:hAnsi="Times New Roman" w:eastAsia="宋体" w:cs="Times New Roman"/>
          <w:kern w:val="2"/>
          <w:sz w:val="24"/>
          <w:szCs w:val="22"/>
          <w:lang w:val="en-US" w:eastAsia="zh-CN" w:bidi="ar-SA"/>
        </w:rPr>
        <w:t>。</w:t>
      </w:r>
    </w:p>
    <w:p>
      <w:pPr>
        <w:spacing w:line="360" w:lineRule="auto"/>
        <w:rPr>
          <w:rFonts w:hint="eastAsia" w:ascii="Times New Roman" w:hAnsi="Times New Roman" w:eastAsia="宋体" w:cs="Times New Roman"/>
          <w:sz w:val="24"/>
          <w:lang w:val="en-US" w:eastAsia="zh-CN"/>
        </w:rPr>
      </w:pPr>
      <w:r>
        <w:rPr>
          <w:rFonts w:hint="eastAsia" w:ascii="Times New Roman" w:hAnsi="Times New Roman" w:cs="Times New Roman"/>
          <w:kern w:val="2"/>
          <w:sz w:val="24"/>
          <w:szCs w:val="22"/>
          <w:lang w:val="en-US" w:eastAsia="zh-CN" w:bidi="ar-SA"/>
        </w:rPr>
        <w:t>***</w:t>
      </w:r>
      <w:r>
        <w:rPr>
          <w:rFonts w:hint="eastAsia" w:ascii="Times New Roman" w:hAnsi="Times New Roman" w:eastAsia="宋体" w:cs="Times New Roman"/>
          <w:kern w:val="2"/>
          <w:sz w:val="24"/>
          <w:szCs w:val="22"/>
          <w:lang w:val="en-US" w:eastAsia="zh-CN" w:bidi="ar-SA"/>
        </w:rPr>
        <w:t>此表格所列项目和金额包含本项目所有可能发生的一切费用，包括设备租赁费、材料费、运输费、人员工资及住宿费、餐费、保险费、措施费、税金、利润等各种应有费用。对于本文件中未列明，而磋商供应商认为必需的费用也需列入总报价。在合同实施时，采购人将不予支付成交供应</w:t>
      </w:r>
      <w:r>
        <w:rPr>
          <w:rFonts w:hint="eastAsia" w:ascii="Times New Roman" w:hAnsi="Times New Roman" w:eastAsia="宋体" w:cs="Times New Roman"/>
          <w:sz w:val="24"/>
          <w:lang w:val="en-US" w:eastAsia="zh-CN"/>
        </w:rPr>
        <w:t>商没有列入的项目费用，并认为此项目的费用已包括在总报价中。</w:t>
      </w:r>
    </w:p>
    <w:p>
      <w:pPr>
        <w:pStyle w:val="2"/>
        <w:rPr>
          <w:rFonts w:hint="default"/>
          <w:lang w:val="en-US" w:eastAsia="zh-CN"/>
        </w:rPr>
      </w:pPr>
    </w:p>
    <w:p>
      <w:pPr>
        <w:pStyle w:val="64"/>
        <w:adjustRightInd w:val="0"/>
        <w:snapToGrid w:val="0"/>
        <w:spacing w:line="500" w:lineRule="exact"/>
        <w:ind w:firstLine="840" w:firstLineChars="400"/>
        <w:rPr>
          <w:rFonts w:ascii="宋体" w:hAnsi="宋体"/>
          <w:color w:val="auto"/>
          <w:sz w:val="21"/>
          <w:szCs w:val="21"/>
          <w:highlight w:val="none"/>
        </w:rPr>
      </w:pPr>
      <w:r>
        <w:rPr>
          <w:rFonts w:hint="eastAsia" w:ascii="宋体" w:hAnsi="宋体"/>
          <w:color w:val="auto"/>
          <w:sz w:val="21"/>
          <w:szCs w:val="21"/>
          <w:highlight w:val="none"/>
        </w:rPr>
        <w:t>供应商法定代表人（</w:t>
      </w:r>
      <w:r>
        <w:rPr>
          <w:rFonts w:hint="eastAsia" w:ascii="宋体" w:hAnsi="宋体"/>
          <w:color w:val="auto"/>
          <w:sz w:val="21"/>
          <w:szCs w:val="21"/>
          <w:highlight w:val="none"/>
          <w:lang w:eastAsia="zh-CN"/>
        </w:rPr>
        <w:t>电子签名或盖章</w:t>
      </w:r>
      <w:r>
        <w:rPr>
          <w:rFonts w:hint="eastAsia" w:ascii="宋体" w:hAnsi="宋体"/>
          <w:color w:val="auto"/>
          <w:sz w:val="21"/>
          <w:szCs w:val="21"/>
          <w:highlight w:val="none"/>
        </w:rPr>
        <w:t>）：</w:t>
      </w:r>
    </w:p>
    <w:p>
      <w:pPr>
        <w:pStyle w:val="64"/>
        <w:adjustRightInd w:val="0"/>
        <w:snapToGrid w:val="0"/>
        <w:spacing w:line="500" w:lineRule="exact"/>
        <w:ind w:firstLine="1470" w:firstLineChars="700"/>
        <w:rPr>
          <w:rFonts w:ascii="宋体" w:hAnsi="宋体"/>
          <w:color w:val="auto"/>
          <w:sz w:val="21"/>
          <w:szCs w:val="21"/>
          <w:highlight w:val="none"/>
          <w:u w:val="single"/>
        </w:rPr>
      </w:pPr>
      <w:r>
        <w:rPr>
          <w:rFonts w:hint="eastAsia" w:ascii="宋体" w:hAnsi="宋体"/>
          <w:color w:val="auto"/>
          <w:sz w:val="21"/>
          <w:szCs w:val="21"/>
          <w:highlight w:val="none"/>
        </w:rPr>
        <w:t>供应商名称（电子</w:t>
      </w:r>
      <w:r>
        <w:rPr>
          <w:rFonts w:hint="eastAsia" w:ascii="宋体" w:hAnsi="宋体"/>
          <w:color w:val="auto"/>
          <w:sz w:val="21"/>
          <w:szCs w:val="21"/>
          <w:highlight w:val="none"/>
          <w:lang w:val="en-US" w:eastAsia="zh-CN"/>
        </w:rPr>
        <w:t>公章</w:t>
      </w:r>
      <w:r>
        <w:rPr>
          <w:rFonts w:hint="eastAsia" w:ascii="宋体" w:hAnsi="宋体"/>
          <w:color w:val="auto"/>
          <w:sz w:val="21"/>
          <w:szCs w:val="21"/>
          <w:highlight w:val="none"/>
        </w:rPr>
        <w:t>）：</w:t>
      </w:r>
    </w:p>
    <w:p>
      <w:pPr>
        <w:pStyle w:val="64"/>
        <w:spacing w:line="360" w:lineRule="auto"/>
        <w:ind w:firstLine="1470" w:firstLineChars="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rPr>
          <w:rFonts w:hint="eastAsia" w:ascii="宋体" w:hAnsi="宋体" w:cs="宋体"/>
          <w:b/>
          <w:bCs/>
          <w:color w:val="auto"/>
          <w:kern w:val="2"/>
          <w:sz w:val="32"/>
          <w:szCs w:val="32"/>
          <w:highlight w:val="none"/>
          <w:lang w:val="en-US" w:eastAsia="zh-CN" w:bidi="ar-SA"/>
        </w:rPr>
      </w:pPr>
      <w:r>
        <w:rPr>
          <w:rFonts w:hint="eastAsia" w:ascii="宋体" w:hAnsi="宋体" w:cs="宋体"/>
          <w:b/>
          <w:bCs/>
          <w:color w:val="auto"/>
          <w:kern w:val="2"/>
          <w:sz w:val="32"/>
          <w:szCs w:val="32"/>
          <w:highlight w:val="none"/>
          <w:lang w:val="en-US" w:eastAsia="zh-CN" w:bidi="ar-SA"/>
        </w:rPr>
        <w:br w:type="page"/>
      </w:r>
    </w:p>
    <w:p>
      <w:pPr>
        <w:pStyle w:val="255"/>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center"/>
        <w:textAlignment w:val="auto"/>
        <w:outlineLvl w:val="0"/>
        <w:rPr>
          <w:rFonts w:hint="default" w:ascii="宋体" w:hAnsi="宋体" w:cs="宋体"/>
          <w:b/>
          <w:bCs/>
          <w:color w:val="auto"/>
          <w:kern w:val="2"/>
          <w:sz w:val="32"/>
          <w:szCs w:val="32"/>
          <w:highlight w:val="none"/>
          <w:lang w:val="en-US" w:eastAsia="zh-CN" w:bidi="ar-SA"/>
        </w:rPr>
      </w:pPr>
      <w:r>
        <w:rPr>
          <w:rFonts w:hint="eastAsia" w:ascii="宋体" w:hAnsi="宋体" w:cs="宋体"/>
          <w:b/>
          <w:bCs/>
          <w:color w:val="auto"/>
          <w:kern w:val="2"/>
          <w:sz w:val="32"/>
          <w:szCs w:val="32"/>
          <w:highlight w:val="none"/>
          <w:lang w:val="en-US" w:eastAsia="zh-CN" w:bidi="ar-SA"/>
        </w:rPr>
        <w:t>12、培训计划及服务承诺（格式内容自拟）</w:t>
      </w:r>
    </w:p>
    <w:p>
      <w:pPr>
        <w:pStyle w:val="255"/>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center"/>
        <w:textAlignment w:val="auto"/>
        <w:outlineLvl w:val="0"/>
        <w:rPr>
          <w:rFonts w:hint="eastAsia" w:ascii="宋体" w:hAnsi="宋体" w:eastAsia="宋体" w:cs="宋体"/>
          <w:b/>
          <w:bCs/>
          <w:color w:val="auto"/>
          <w:kern w:val="2"/>
          <w:sz w:val="32"/>
          <w:szCs w:val="32"/>
          <w:highlight w:val="none"/>
          <w:lang w:val="en-US" w:eastAsia="zh-CN" w:bidi="ar-SA"/>
        </w:rPr>
      </w:pPr>
      <w:r>
        <w:rPr>
          <w:rFonts w:hint="eastAsia" w:ascii="宋体" w:hAnsi="宋体" w:cs="宋体"/>
          <w:b/>
          <w:bCs/>
          <w:color w:val="auto"/>
          <w:kern w:val="2"/>
          <w:sz w:val="32"/>
          <w:szCs w:val="32"/>
          <w:highlight w:val="none"/>
          <w:lang w:val="en-US" w:eastAsia="zh-CN" w:bidi="ar-SA"/>
        </w:rPr>
        <w:br w:type="page"/>
      </w:r>
      <w:r>
        <w:rPr>
          <w:rFonts w:hint="eastAsia" w:ascii="宋体" w:hAnsi="宋体" w:eastAsia="宋体" w:cs="宋体"/>
          <w:b/>
          <w:bCs/>
          <w:color w:val="auto"/>
          <w:kern w:val="2"/>
          <w:sz w:val="32"/>
          <w:szCs w:val="32"/>
          <w:highlight w:val="none"/>
          <w:lang w:val="en-US" w:eastAsia="zh-CN" w:bidi="ar-SA"/>
        </w:rPr>
        <w:t>1</w:t>
      </w:r>
      <w:r>
        <w:rPr>
          <w:rFonts w:hint="eastAsia" w:ascii="宋体" w:hAnsi="宋体" w:cs="宋体"/>
          <w:b/>
          <w:bCs/>
          <w:color w:val="auto"/>
          <w:kern w:val="2"/>
          <w:sz w:val="32"/>
          <w:szCs w:val="32"/>
          <w:highlight w:val="none"/>
          <w:lang w:val="en-US" w:eastAsia="zh-CN" w:bidi="ar-SA"/>
        </w:rPr>
        <w:t>3</w:t>
      </w:r>
      <w:r>
        <w:rPr>
          <w:rFonts w:hint="eastAsia" w:ascii="宋体" w:hAnsi="宋体" w:eastAsia="宋体" w:cs="宋体"/>
          <w:b/>
          <w:bCs/>
          <w:color w:val="auto"/>
          <w:kern w:val="2"/>
          <w:sz w:val="32"/>
          <w:szCs w:val="32"/>
          <w:highlight w:val="none"/>
          <w:lang w:val="en-US" w:eastAsia="zh-CN" w:bidi="ar-SA"/>
        </w:rPr>
        <w:t>、参加政府采购活动前三年内，在经营活动中没有重大违法记录的声明函</w:t>
      </w:r>
    </w:p>
    <w:p>
      <w:pPr>
        <w:rPr>
          <w:rFonts w:hint="eastAsia" w:ascii="宋体" w:hAnsi="宋体" w:eastAsia="宋体" w:cs="宋体"/>
          <w:color w:val="auto"/>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致：采购人、代理机构：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本公司郑重承诺：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我公司具有履行合同要求的专业技术能力，参加本项目政府采购活动前三年内，在经营活动中无违法、违规的不良记录。若在本次项目的招标投标的全过程中，被查实我公司提供的资料及上述承诺不属实，或提供的相关资料不属实或不满足招标文件的要求，则采购人有权取消我公司的投标及中标资格，且我公司将无条件承担由此给本次招标带来的一切后果(包括经济损失)。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pPr>
        <w:pStyle w:val="64"/>
        <w:adjustRightInd w:val="0"/>
        <w:snapToGrid w:val="0"/>
        <w:spacing w:line="500" w:lineRule="exact"/>
        <w:ind w:firstLine="840" w:firstLineChars="400"/>
        <w:rPr>
          <w:rFonts w:hint="eastAsia" w:ascii="宋体" w:hAnsi="宋体"/>
          <w:color w:val="auto"/>
          <w:sz w:val="21"/>
          <w:szCs w:val="21"/>
          <w:highlight w:val="none"/>
        </w:rPr>
      </w:pPr>
    </w:p>
    <w:p>
      <w:pPr>
        <w:pStyle w:val="64"/>
        <w:adjustRightInd w:val="0"/>
        <w:snapToGrid w:val="0"/>
        <w:spacing w:line="500" w:lineRule="exact"/>
        <w:ind w:firstLine="840" w:firstLineChars="400"/>
        <w:rPr>
          <w:rFonts w:hint="eastAsia" w:ascii="宋体" w:hAnsi="宋体"/>
          <w:color w:val="auto"/>
          <w:sz w:val="21"/>
          <w:szCs w:val="21"/>
          <w:highlight w:val="none"/>
        </w:rPr>
      </w:pPr>
    </w:p>
    <w:p>
      <w:pPr>
        <w:pStyle w:val="64"/>
        <w:adjustRightInd w:val="0"/>
        <w:snapToGrid w:val="0"/>
        <w:spacing w:line="500" w:lineRule="exact"/>
        <w:ind w:firstLine="840" w:firstLineChars="400"/>
        <w:rPr>
          <w:rFonts w:hint="eastAsia" w:ascii="宋体" w:hAnsi="宋体"/>
          <w:color w:val="auto"/>
          <w:sz w:val="21"/>
          <w:szCs w:val="21"/>
          <w:highlight w:val="none"/>
        </w:rPr>
      </w:pPr>
    </w:p>
    <w:p>
      <w:pPr>
        <w:pStyle w:val="64"/>
        <w:adjustRightInd w:val="0"/>
        <w:snapToGrid w:val="0"/>
        <w:spacing w:line="500" w:lineRule="exact"/>
        <w:ind w:firstLine="840" w:firstLineChars="400"/>
        <w:rPr>
          <w:rFonts w:ascii="宋体" w:hAnsi="宋体"/>
          <w:color w:val="auto"/>
          <w:sz w:val="21"/>
          <w:szCs w:val="21"/>
          <w:highlight w:val="none"/>
        </w:rPr>
      </w:pPr>
      <w:r>
        <w:rPr>
          <w:rFonts w:hint="eastAsia" w:ascii="宋体" w:hAnsi="宋体"/>
          <w:color w:val="auto"/>
          <w:sz w:val="21"/>
          <w:szCs w:val="21"/>
          <w:highlight w:val="none"/>
        </w:rPr>
        <w:t>供应商法定代表人（</w:t>
      </w:r>
      <w:r>
        <w:rPr>
          <w:rFonts w:hint="eastAsia" w:ascii="宋体" w:hAnsi="宋体"/>
          <w:color w:val="auto"/>
          <w:sz w:val="21"/>
          <w:szCs w:val="21"/>
          <w:highlight w:val="none"/>
          <w:lang w:eastAsia="zh-CN"/>
        </w:rPr>
        <w:t>电子签名或盖章</w:t>
      </w:r>
      <w:r>
        <w:rPr>
          <w:rFonts w:hint="eastAsia" w:ascii="宋体" w:hAnsi="宋体"/>
          <w:color w:val="auto"/>
          <w:sz w:val="21"/>
          <w:szCs w:val="21"/>
          <w:highlight w:val="none"/>
        </w:rPr>
        <w:t>）：</w:t>
      </w:r>
    </w:p>
    <w:p>
      <w:pPr>
        <w:pStyle w:val="64"/>
        <w:adjustRightInd w:val="0"/>
        <w:snapToGrid w:val="0"/>
        <w:spacing w:line="500" w:lineRule="exact"/>
        <w:ind w:firstLine="1470" w:firstLineChars="700"/>
        <w:rPr>
          <w:rFonts w:ascii="宋体" w:hAnsi="宋体"/>
          <w:color w:val="auto"/>
          <w:sz w:val="21"/>
          <w:szCs w:val="21"/>
          <w:highlight w:val="none"/>
          <w:u w:val="single"/>
        </w:rPr>
      </w:pPr>
      <w:r>
        <w:rPr>
          <w:rFonts w:hint="eastAsia" w:ascii="宋体" w:hAnsi="宋体"/>
          <w:color w:val="auto"/>
          <w:sz w:val="21"/>
          <w:szCs w:val="21"/>
          <w:highlight w:val="none"/>
          <w:lang w:eastAsia="zh-CN"/>
        </w:rPr>
        <w:t>供应商名称（电子公章）</w:t>
      </w:r>
      <w:r>
        <w:rPr>
          <w:rFonts w:hint="eastAsia" w:ascii="宋体" w:hAnsi="宋体"/>
          <w:color w:val="auto"/>
          <w:sz w:val="21"/>
          <w:szCs w:val="21"/>
          <w:highlight w:val="none"/>
        </w:rPr>
        <w:t>：</w:t>
      </w:r>
    </w:p>
    <w:p>
      <w:pPr>
        <w:pStyle w:val="64"/>
        <w:spacing w:line="360" w:lineRule="auto"/>
        <w:rPr>
          <w:rFonts w:hint="eastAsia" w:ascii="宋体" w:hAnsi="宋体" w:eastAsia="宋体" w:cs="宋体"/>
          <w:color w:val="auto"/>
          <w:sz w:val="21"/>
          <w:szCs w:val="21"/>
          <w:highlight w:val="none"/>
        </w:rPr>
      </w:pPr>
    </w:p>
    <w:p>
      <w:pPr>
        <w:pStyle w:val="64"/>
        <w:spacing w:line="360" w:lineRule="auto"/>
        <w:ind w:firstLine="1890" w:firstLineChars="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br w:type="page"/>
      </w:r>
    </w:p>
    <w:p>
      <w:pPr>
        <w:pStyle w:val="18"/>
        <w:rPr>
          <w:rFonts w:hint="eastAsia"/>
          <w:highlight w:val="none"/>
          <w:lang w:eastAsia="zh-CN"/>
        </w:rPr>
      </w:pPr>
    </w:p>
    <w:p>
      <w:pPr>
        <w:shd w:val="clear" w:color="auto" w:fill="FFFFFF"/>
        <w:spacing w:line="440" w:lineRule="exact"/>
        <w:jc w:val="both"/>
        <w:rPr>
          <w:rFonts w:hint="eastAsia" w:ascii="宋体" w:hAnsi="宋体" w:eastAsia="宋体" w:cs="宋体"/>
          <w:b/>
          <w:bCs/>
          <w:color w:val="auto"/>
          <w:kern w:val="2"/>
          <w:sz w:val="32"/>
          <w:szCs w:val="32"/>
          <w:highlight w:val="none"/>
          <w:lang w:val="en-US" w:eastAsia="zh-CN" w:bidi="ar-SA"/>
        </w:rPr>
      </w:pPr>
      <w:bookmarkStart w:id="237" w:name="_Toc32245"/>
      <w:r>
        <w:rPr>
          <w:rFonts w:hint="eastAsia" w:ascii="宋体" w:hAnsi="宋体" w:eastAsia="宋体" w:cs="宋体"/>
          <w:b/>
          <w:bCs/>
          <w:color w:val="auto"/>
          <w:kern w:val="2"/>
          <w:sz w:val="32"/>
          <w:szCs w:val="32"/>
          <w:highlight w:val="none"/>
          <w:lang w:val="en-US" w:eastAsia="zh-CN" w:bidi="ar-SA"/>
        </w:rPr>
        <w:t>14、中小微企业声明函及其他资料（如</w:t>
      </w:r>
      <w:r>
        <w:rPr>
          <w:rFonts w:hint="eastAsia" w:ascii="宋体" w:hAnsi="宋体" w:cs="宋体"/>
          <w:b/>
          <w:bCs/>
          <w:color w:val="auto"/>
          <w:kern w:val="2"/>
          <w:sz w:val="32"/>
          <w:szCs w:val="32"/>
          <w:highlight w:val="none"/>
          <w:lang w:val="en-US" w:eastAsia="zh-CN" w:bidi="ar-SA"/>
        </w:rPr>
        <w:t>为</w:t>
      </w:r>
      <w:r>
        <w:rPr>
          <w:rFonts w:hint="eastAsia" w:ascii="宋体" w:hAnsi="宋体" w:eastAsia="宋体" w:cs="宋体"/>
          <w:b/>
          <w:bCs/>
          <w:color w:val="auto"/>
          <w:kern w:val="2"/>
          <w:sz w:val="32"/>
          <w:szCs w:val="32"/>
          <w:highlight w:val="none"/>
          <w:lang w:val="en-US" w:eastAsia="zh-CN" w:bidi="ar-SA"/>
        </w:rPr>
        <w:t>中小微企业需提供下列资料，如为大型企业可不提供）</w:t>
      </w:r>
    </w:p>
    <w:p>
      <w:pPr>
        <w:shd w:val="clear" w:color="auto" w:fill="FFFFFF"/>
        <w:spacing w:line="440" w:lineRule="exact"/>
        <w:jc w:val="center"/>
        <w:outlineLvl w:val="0"/>
        <w:rPr>
          <w:rFonts w:hint="eastAsia" w:ascii="宋体" w:hAnsi="宋体" w:eastAsia="宋体" w:cs="宋体"/>
          <w:b/>
          <w:bCs/>
          <w:color w:val="auto"/>
          <w:sz w:val="24"/>
          <w:szCs w:val="24"/>
        </w:rPr>
      </w:pPr>
      <w:bookmarkStart w:id="238" w:name="_Toc11658"/>
      <w:bookmarkStart w:id="239" w:name="_Toc4117"/>
    </w:p>
    <w:p>
      <w:pPr>
        <w:shd w:val="clear" w:color="auto" w:fill="FFFFFF"/>
        <w:spacing w:line="440" w:lineRule="exact"/>
        <w:jc w:val="center"/>
        <w:outlineLvl w:val="0"/>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中小企业声明函</w:t>
      </w:r>
      <w:r>
        <w:rPr>
          <w:rFonts w:hint="eastAsia" w:ascii="宋体" w:hAnsi="宋体" w:eastAsia="宋体" w:cs="宋体"/>
          <w:b/>
          <w:bCs/>
          <w:color w:val="auto"/>
          <w:sz w:val="24"/>
          <w:szCs w:val="24"/>
          <w:lang w:eastAsia="zh-CN"/>
        </w:rPr>
        <w:t>（</w:t>
      </w:r>
      <w:r>
        <w:rPr>
          <w:rFonts w:hint="eastAsia" w:ascii="宋体" w:hAnsi="宋体" w:cs="宋体"/>
          <w:b/>
          <w:bCs/>
          <w:color w:val="auto"/>
          <w:sz w:val="24"/>
          <w:szCs w:val="24"/>
          <w:lang w:val="en-US" w:eastAsia="zh-CN"/>
        </w:rPr>
        <w:t>货物</w:t>
      </w:r>
      <w:r>
        <w:rPr>
          <w:rFonts w:hint="eastAsia" w:ascii="宋体" w:hAnsi="宋体" w:eastAsia="宋体" w:cs="宋体"/>
          <w:b/>
          <w:bCs/>
          <w:color w:val="auto"/>
          <w:sz w:val="24"/>
          <w:szCs w:val="24"/>
          <w:lang w:eastAsia="zh-CN"/>
        </w:rPr>
        <w:t>）</w:t>
      </w:r>
      <w:bookmarkEnd w:id="238"/>
      <w:bookmarkEnd w:id="239"/>
    </w:p>
    <w:p>
      <w:pPr>
        <w:widowControl/>
        <w:jc w:val="left"/>
        <w:rPr>
          <w:rFonts w:hint="eastAsia" w:ascii="宋体" w:hAnsi="宋体" w:eastAsia="宋体" w:cs="宋体"/>
          <w:color w:val="auto"/>
          <w:sz w:val="24"/>
          <w:szCs w:val="24"/>
        </w:rPr>
      </w:pPr>
    </w:p>
    <w:p>
      <w:pPr>
        <w:ind w:firstLine="480" w:firstLineChars="200"/>
        <w:rPr>
          <w:rFonts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pStyle w:val="2"/>
      </w:pPr>
    </w:p>
    <w:p>
      <w:pPr>
        <w:ind w:firstLine="480" w:firstLineChars="200"/>
        <w:rPr>
          <w:rFonts w:ascii="宋体" w:hAnsi="宋体" w:eastAsia="宋体" w:cs="宋体"/>
          <w:sz w:val="24"/>
          <w:szCs w:val="24"/>
        </w:rPr>
      </w:pPr>
      <w:r>
        <w:rPr>
          <w:rFonts w:ascii="宋体" w:hAnsi="宋体" w:eastAsia="宋体" w:cs="宋体"/>
          <w:sz w:val="24"/>
          <w:szCs w:val="24"/>
        </w:rPr>
        <w:t xml:space="preserve"> 1. （标的名称） ，属于（采购文件中明确的所属行业）行业；制造商为（企业名称），从业人员</w:t>
      </w:r>
      <w:r>
        <w:rPr>
          <w:rFonts w:hint="eastAsia" w:ascii="宋体" w:hAnsi="宋体" w:cs="宋体"/>
          <w:sz w:val="24"/>
          <w:szCs w:val="24"/>
          <w:lang w:val="en-US" w:eastAsia="zh-CN"/>
        </w:rPr>
        <w:t xml:space="preserve">   </w:t>
      </w:r>
      <w:r>
        <w:rPr>
          <w:rFonts w:ascii="宋体" w:hAnsi="宋体" w:eastAsia="宋体" w:cs="宋体"/>
          <w:sz w:val="24"/>
          <w:szCs w:val="24"/>
        </w:rPr>
        <w:t>人，营业收入为</w:t>
      </w:r>
      <w:r>
        <w:rPr>
          <w:rFonts w:hint="eastAsia" w:ascii="宋体" w:hAnsi="宋体" w:cs="宋体"/>
          <w:sz w:val="24"/>
          <w:szCs w:val="24"/>
          <w:lang w:val="en-US" w:eastAsia="zh-CN"/>
        </w:rPr>
        <w:t xml:space="preserve">  </w:t>
      </w:r>
      <w:r>
        <w:rPr>
          <w:rFonts w:ascii="宋体" w:hAnsi="宋体" w:eastAsia="宋体" w:cs="宋体"/>
          <w:sz w:val="24"/>
          <w:szCs w:val="24"/>
        </w:rPr>
        <w:t xml:space="preserve"> 万元，资产总额为 </w:t>
      </w:r>
      <w:r>
        <w:rPr>
          <w:rFonts w:hint="eastAsia" w:ascii="宋体" w:hAnsi="宋体" w:cs="宋体"/>
          <w:sz w:val="24"/>
          <w:szCs w:val="24"/>
          <w:lang w:val="en-US" w:eastAsia="zh-CN"/>
        </w:rPr>
        <w:t xml:space="preserve">  </w:t>
      </w:r>
      <w:r>
        <w:rPr>
          <w:rFonts w:ascii="宋体" w:hAnsi="宋体" w:eastAsia="宋体" w:cs="宋体"/>
          <w:sz w:val="24"/>
          <w:szCs w:val="24"/>
        </w:rPr>
        <w:t xml:space="preserve">万元，属于（中型企业、小型企业、微型企业）； </w:t>
      </w:r>
    </w:p>
    <w:p>
      <w:pPr>
        <w:ind w:firstLine="480" w:firstLineChars="200"/>
        <w:rPr>
          <w:rFonts w:ascii="宋体" w:hAnsi="宋体" w:eastAsia="宋体" w:cs="宋体"/>
          <w:sz w:val="24"/>
          <w:szCs w:val="24"/>
        </w:rPr>
      </w:pPr>
      <w:r>
        <w:rPr>
          <w:rFonts w:ascii="宋体" w:hAnsi="宋体" w:eastAsia="宋体" w:cs="宋体"/>
          <w:sz w:val="24"/>
          <w:szCs w:val="24"/>
        </w:rPr>
        <w:t>2. （标的名称） ，属于（采购文件中明确的所属行业）行业；制造商为（企业名称），从业人员</w:t>
      </w:r>
      <w:r>
        <w:rPr>
          <w:rFonts w:hint="eastAsia" w:ascii="宋体" w:hAnsi="宋体" w:cs="宋体"/>
          <w:sz w:val="24"/>
          <w:szCs w:val="24"/>
          <w:lang w:val="en-US" w:eastAsia="zh-CN"/>
        </w:rPr>
        <w:t xml:space="preserve">    </w:t>
      </w:r>
      <w:r>
        <w:rPr>
          <w:rFonts w:ascii="宋体" w:hAnsi="宋体" w:eastAsia="宋体" w:cs="宋体"/>
          <w:sz w:val="24"/>
          <w:szCs w:val="24"/>
        </w:rPr>
        <w:t xml:space="preserve">人，营业收入为 </w:t>
      </w:r>
      <w:r>
        <w:rPr>
          <w:rFonts w:hint="eastAsia" w:ascii="宋体" w:hAnsi="宋体" w:cs="宋体"/>
          <w:sz w:val="24"/>
          <w:szCs w:val="24"/>
          <w:lang w:val="en-US" w:eastAsia="zh-CN"/>
        </w:rPr>
        <w:t xml:space="preserve">  </w:t>
      </w:r>
      <w:r>
        <w:rPr>
          <w:rFonts w:ascii="宋体" w:hAnsi="宋体" w:eastAsia="宋体" w:cs="宋体"/>
          <w:sz w:val="24"/>
          <w:szCs w:val="24"/>
        </w:rPr>
        <w:t xml:space="preserve">万元，资产总额为 </w:t>
      </w:r>
      <w:r>
        <w:rPr>
          <w:rFonts w:hint="eastAsia" w:ascii="宋体" w:hAnsi="宋体" w:cs="宋体"/>
          <w:sz w:val="24"/>
          <w:szCs w:val="24"/>
          <w:lang w:val="en-US" w:eastAsia="zh-CN"/>
        </w:rPr>
        <w:t xml:space="preserve">   </w:t>
      </w:r>
      <w:r>
        <w:rPr>
          <w:rFonts w:ascii="宋体" w:hAnsi="宋体" w:eastAsia="宋体" w:cs="宋体"/>
          <w:sz w:val="24"/>
          <w:szCs w:val="24"/>
        </w:rPr>
        <w:t>万元，属于（中型企业、小型企业、微型企业）；</w:t>
      </w:r>
    </w:p>
    <w:p>
      <w:pPr>
        <w:ind w:firstLine="480" w:firstLineChars="200"/>
        <w:rPr>
          <w:rFonts w:ascii="宋体" w:hAnsi="宋体" w:eastAsia="宋体" w:cs="宋体"/>
          <w:sz w:val="24"/>
          <w:szCs w:val="24"/>
        </w:rPr>
      </w:pPr>
    </w:p>
    <w:p>
      <w:pPr>
        <w:ind w:firstLine="480" w:firstLineChars="200"/>
        <w:rPr>
          <w:rFonts w:ascii="宋体" w:hAnsi="宋体" w:eastAsia="宋体" w:cs="宋体"/>
          <w:sz w:val="24"/>
          <w:szCs w:val="24"/>
        </w:rPr>
      </w:pPr>
      <w:r>
        <w:rPr>
          <w:rFonts w:ascii="宋体" w:hAnsi="宋体" w:eastAsia="宋体" w:cs="宋体"/>
          <w:sz w:val="24"/>
          <w:szCs w:val="24"/>
        </w:rPr>
        <w:t xml:space="preserve"> …… </w:t>
      </w:r>
    </w:p>
    <w:p>
      <w:pPr>
        <w:ind w:firstLine="480" w:firstLineChars="200"/>
        <w:rPr>
          <w:rFonts w:ascii="宋体" w:hAnsi="宋体" w:eastAsia="宋体" w:cs="宋体"/>
          <w:sz w:val="24"/>
          <w:szCs w:val="24"/>
        </w:rPr>
      </w:pPr>
    </w:p>
    <w:p>
      <w:pPr>
        <w:ind w:firstLine="480" w:firstLineChars="200"/>
        <w:rPr>
          <w:rFonts w:ascii="宋体" w:hAnsi="宋体" w:eastAsia="宋体" w:cs="宋体"/>
          <w:sz w:val="24"/>
          <w:szCs w:val="24"/>
        </w:rPr>
      </w:pPr>
      <w:r>
        <w:rPr>
          <w:rFonts w:ascii="宋体" w:hAnsi="宋体" w:eastAsia="宋体" w:cs="宋体"/>
          <w:sz w:val="24"/>
          <w:szCs w:val="24"/>
        </w:rPr>
        <w:t xml:space="preserve">以上企业，不属于大企业的分支机构，不存在控股股东为大企业的情形，也不存在与大企业的负责人为同一人的情形。 本企业对上述声明内容的真实性负责。如有虚假，将依法承担相应责任。 </w:t>
      </w:r>
    </w:p>
    <w:p>
      <w:pPr>
        <w:ind w:firstLine="480" w:firstLineChars="200"/>
        <w:rPr>
          <w:rFonts w:ascii="宋体" w:hAnsi="宋体" w:eastAsia="宋体" w:cs="宋体"/>
          <w:sz w:val="24"/>
          <w:szCs w:val="24"/>
        </w:rPr>
      </w:pPr>
    </w:p>
    <w:p>
      <w:pPr>
        <w:ind w:firstLine="480" w:firstLineChars="200"/>
        <w:rPr>
          <w:rFonts w:ascii="宋体" w:hAnsi="宋体" w:eastAsia="宋体" w:cs="宋体"/>
          <w:sz w:val="24"/>
          <w:szCs w:val="24"/>
        </w:rPr>
      </w:pPr>
    </w:p>
    <w:p>
      <w:pPr>
        <w:ind w:firstLine="480" w:firstLineChars="200"/>
        <w:jc w:val="center"/>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ascii="宋体" w:hAnsi="宋体" w:eastAsia="宋体" w:cs="宋体"/>
          <w:sz w:val="24"/>
          <w:szCs w:val="24"/>
        </w:rPr>
        <w:t>企业名称（盖章）：</w:t>
      </w:r>
    </w:p>
    <w:p>
      <w:pPr>
        <w:ind w:firstLine="480" w:firstLineChars="200"/>
        <w:jc w:val="center"/>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ascii="宋体" w:hAnsi="宋体" w:eastAsia="宋体" w:cs="宋体"/>
          <w:sz w:val="24"/>
          <w:szCs w:val="24"/>
        </w:rPr>
        <w:t>日期：</w:t>
      </w:r>
    </w:p>
    <w:p>
      <w:pPr>
        <w:pStyle w:val="2"/>
        <w:rPr>
          <w:rFonts w:ascii="宋体" w:hAnsi="宋体" w:eastAsia="宋体" w:cs="宋体"/>
          <w:sz w:val="24"/>
          <w:szCs w:val="24"/>
        </w:rPr>
      </w:pPr>
    </w:p>
    <w:p>
      <w:pPr>
        <w:pStyle w:val="2"/>
        <w:rPr>
          <w:rFonts w:hint="eastAsia" w:ascii="宋体" w:hAnsi="宋体" w:eastAsia="宋体" w:cs="宋体"/>
          <w:sz w:val="24"/>
          <w:szCs w:val="24"/>
        </w:rPr>
      </w:pPr>
    </w:p>
    <w:p>
      <w:pPr>
        <w:pStyle w:val="66"/>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说明：</w:t>
      </w:r>
    </w:p>
    <w:p>
      <w:pPr>
        <w:pStyle w:val="66"/>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1、从业人员、营业收入、资产总额填报上一年度数据，无上一年度数据的新成立企业可不填报。</w:t>
      </w:r>
    </w:p>
    <w:p>
      <w:pPr>
        <w:widowControl/>
        <w:jc w:val="left"/>
        <w:rPr>
          <w:rFonts w:hint="eastAsia" w:ascii="宋体" w:hAnsi="宋体" w:eastAsia="宋体" w:cs="宋体"/>
          <w:color w:val="auto"/>
          <w:kern w:val="0"/>
          <w:sz w:val="24"/>
        </w:rPr>
      </w:pPr>
      <w:r>
        <w:rPr>
          <w:rFonts w:hint="eastAsia" w:ascii="宋体" w:hAnsi="宋体" w:eastAsia="宋体" w:cs="宋体"/>
          <w:color w:val="auto"/>
          <w:sz w:val="24"/>
          <w:lang w:val="en-US" w:eastAsia="zh-CN"/>
        </w:rPr>
        <w:t>2、</w:t>
      </w:r>
      <w:r>
        <w:rPr>
          <w:rFonts w:hint="eastAsia" w:ascii="宋体" w:hAnsi="宋体" w:eastAsia="宋体" w:cs="宋体"/>
          <w:color w:val="auto"/>
          <w:kern w:val="0"/>
          <w:sz w:val="24"/>
        </w:rPr>
        <w:t>若为监狱企业或残疾人企业，须提供监狱企业或残疾人企业声明函（格式自拟）</w:t>
      </w:r>
    </w:p>
    <w:p>
      <w:pPr>
        <w:pStyle w:val="66"/>
        <w:ind w:left="0" w:leftChars="0" w:firstLine="0" w:firstLineChars="0"/>
        <w:rPr>
          <w:rFonts w:hint="eastAsia" w:ascii="宋体" w:hAnsi="宋体" w:eastAsia="宋体" w:cs="宋体"/>
          <w:color w:val="auto"/>
          <w:spacing w:val="0"/>
          <w:kern w:val="0"/>
          <w:sz w:val="24"/>
          <w:lang w:val="en-US" w:eastAsia="zh-CN"/>
        </w:rPr>
      </w:pPr>
      <w:r>
        <w:rPr>
          <w:rFonts w:hint="eastAsia" w:ascii="宋体" w:hAnsi="宋体" w:eastAsia="宋体" w:cs="宋体"/>
          <w:color w:val="auto"/>
          <w:spacing w:val="0"/>
          <w:kern w:val="0"/>
          <w:sz w:val="24"/>
          <w:lang w:val="en-US" w:eastAsia="zh-CN"/>
        </w:rPr>
        <w:t>3、成交的供应商的《中小微企业声明函》将作为成交结果公告一并公示。</w:t>
      </w:r>
    </w:p>
    <w:p>
      <w:pPr>
        <w:rPr>
          <w:rFonts w:hint="eastAsia" w:ascii="宋体" w:hAnsi="宋体" w:eastAsia="宋体" w:cs="宋体"/>
          <w:color w:val="auto"/>
          <w:highlight w:val="none"/>
        </w:rPr>
      </w:pPr>
      <w:r>
        <w:rPr>
          <w:rFonts w:hint="eastAsia" w:ascii="宋体" w:hAnsi="宋体" w:eastAsia="宋体" w:cs="宋体"/>
          <w:color w:val="auto"/>
          <w:spacing w:val="0"/>
          <w:kern w:val="0"/>
          <w:sz w:val="24"/>
          <w:lang w:val="en-US" w:eastAsia="zh-CN"/>
        </w:rPr>
        <w:br w:type="page"/>
      </w:r>
    </w:p>
    <w:p>
      <w:pPr>
        <w:pStyle w:val="135"/>
        <w:jc w:val="center"/>
        <w:outlineLvl w:val="0"/>
        <w:rPr>
          <w:rFonts w:hint="eastAsia" w:ascii="宋体" w:hAnsi="宋体" w:eastAsia="宋体" w:cs="宋体"/>
          <w:color w:val="auto"/>
          <w:highlight w:val="none"/>
        </w:rPr>
      </w:pPr>
      <w:bookmarkStart w:id="243" w:name="_GoBack"/>
      <w:bookmarkEnd w:id="243"/>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供应商认为需提供的证明文件及其它资料</w:t>
      </w:r>
      <w:bookmarkEnd w:id="234"/>
      <w:bookmarkEnd w:id="235"/>
      <w:bookmarkEnd w:id="237"/>
    </w:p>
    <w:p>
      <w:pPr>
        <w:pStyle w:val="255"/>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center"/>
        <w:textAlignment w:val="auto"/>
        <w:outlineLvl w:val="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w:t>
      </w:r>
      <w:bookmarkEnd w:id="160"/>
      <w:bookmarkStart w:id="240" w:name="_Toc19427"/>
      <w:bookmarkStart w:id="241" w:name="_Toc7696"/>
      <w:bookmarkStart w:id="242" w:name="_Toc3881"/>
      <w:r>
        <w:rPr>
          <w:rFonts w:hint="eastAsia" w:ascii="宋体" w:hAnsi="宋体" w:eastAsia="宋体" w:cs="宋体"/>
          <w:b w:val="0"/>
          <w:bCs w:val="0"/>
          <w:color w:val="auto"/>
          <w:kern w:val="2"/>
          <w:sz w:val="21"/>
          <w:szCs w:val="21"/>
          <w:highlight w:val="none"/>
          <w:lang w:val="en-US" w:eastAsia="zh-CN" w:bidi="ar-SA"/>
        </w:rPr>
        <w:t>（由供应商根据真实情况自行编写）</w:t>
      </w:r>
      <w:bookmarkEnd w:id="240"/>
      <w:bookmarkEnd w:id="241"/>
      <w:bookmarkEnd w:id="242"/>
    </w:p>
    <w:p>
      <w:pPr>
        <w:topLinePunct/>
        <w:spacing w:line="520" w:lineRule="exact"/>
        <w:rPr>
          <w:rFonts w:hint="eastAsia" w:ascii="宋体" w:hAnsi="宋体" w:eastAsia="宋体" w:cs="宋体"/>
          <w:b/>
          <w:bCs/>
          <w:color w:val="auto"/>
          <w:sz w:val="24"/>
          <w:lang w:val="en-US" w:eastAsia="zh-CN"/>
        </w:rPr>
      </w:pPr>
    </w:p>
    <w:p>
      <w:pPr>
        <w:topLinePunct/>
        <w:spacing w:line="520" w:lineRule="exact"/>
        <w:rPr>
          <w:rFonts w:hint="eastAsia" w:ascii="宋体" w:hAnsi="宋体" w:eastAsia="宋体" w:cs="宋体"/>
          <w:b/>
          <w:bCs/>
          <w:color w:val="auto"/>
          <w:sz w:val="24"/>
          <w:lang w:val="en-US" w:eastAsia="zh-CN"/>
        </w:rPr>
      </w:pPr>
      <w:r>
        <w:rPr>
          <w:rFonts w:hint="eastAsia" w:ascii="宋体" w:hAnsi="宋体" w:cs="宋体"/>
          <w:b/>
          <w:bCs/>
          <w:color w:val="auto"/>
          <w:sz w:val="24"/>
          <w:lang w:val="en-US" w:eastAsia="zh-CN"/>
        </w:rPr>
        <w:t>一、</w:t>
      </w:r>
      <w:r>
        <w:rPr>
          <w:rFonts w:hint="eastAsia" w:ascii="宋体" w:hAnsi="宋体" w:eastAsia="宋体" w:cs="宋体"/>
          <w:b/>
          <w:bCs/>
          <w:color w:val="auto"/>
          <w:sz w:val="24"/>
          <w:lang w:val="en-US" w:eastAsia="zh-CN"/>
        </w:rPr>
        <w:t>供应商账户信息：</w:t>
      </w:r>
    </w:p>
    <w:p>
      <w:pPr>
        <w:topLinePunct/>
        <w:spacing w:line="520" w:lineRule="exact"/>
        <w:ind w:firstLine="720" w:firstLineChars="3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账户信息具体内容如下：</w:t>
      </w:r>
    </w:p>
    <w:p>
      <w:pPr>
        <w:topLinePunct/>
        <w:spacing w:line="520" w:lineRule="exact"/>
        <w:ind w:left="718" w:leftChars="342" w:firstLine="0" w:firstLine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账户名称：</w:t>
      </w:r>
    </w:p>
    <w:p>
      <w:pPr>
        <w:topLinePunct/>
        <w:spacing w:line="520" w:lineRule="exact"/>
        <w:ind w:left="718" w:leftChars="342" w:firstLine="0" w:firstLine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税号：</w:t>
      </w:r>
    </w:p>
    <w:p>
      <w:pPr>
        <w:topLinePunct/>
        <w:spacing w:line="520" w:lineRule="exact"/>
        <w:ind w:firstLine="720" w:firstLineChars="3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地址及电话：</w:t>
      </w:r>
    </w:p>
    <w:p>
      <w:pPr>
        <w:topLinePunct/>
        <w:spacing w:line="520" w:lineRule="exact"/>
        <w:ind w:firstLine="720" w:firstLineChars="3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银行账号：</w:t>
      </w:r>
    </w:p>
    <w:p>
      <w:pPr>
        <w:topLinePunct/>
        <w:spacing w:line="520" w:lineRule="exact"/>
        <w:ind w:left="718" w:leftChars="342" w:firstLine="0" w:firstLine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开户行名称：</w:t>
      </w:r>
    </w:p>
    <w:p>
      <w:pPr>
        <w:topLinePunct/>
        <w:spacing w:line="520" w:lineRule="exact"/>
        <w:ind w:left="718" w:leftChars="342" w:firstLine="0" w:firstLine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行号：  </w:t>
      </w:r>
    </w:p>
    <w:p>
      <w:pPr>
        <w:rPr>
          <w:rFonts w:hint="eastAsia" w:ascii="宋体" w:hAnsi="宋体" w:eastAsia="宋体" w:cs="宋体"/>
          <w:color w:val="auto"/>
          <w:sz w:val="20"/>
          <w:highlight w:val="none"/>
        </w:rPr>
      </w:pPr>
    </w:p>
    <w:p>
      <w:pPr>
        <w:pStyle w:val="2"/>
        <w:rPr>
          <w:rFonts w:hint="eastAsia" w:ascii="宋体" w:hAnsi="宋体" w:eastAsia="宋体" w:cs="宋体"/>
          <w:color w:val="auto"/>
          <w:sz w:val="20"/>
          <w:highlight w:val="none"/>
        </w:rPr>
      </w:pPr>
    </w:p>
    <w:p>
      <w:pPr>
        <w:pStyle w:val="2"/>
        <w:rPr>
          <w:rFonts w:hint="eastAsia" w:ascii="宋体" w:hAnsi="宋体" w:eastAsia="宋体" w:cs="宋体"/>
          <w:color w:val="auto"/>
          <w:sz w:val="20"/>
          <w:highlight w:val="none"/>
        </w:rPr>
      </w:pPr>
    </w:p>
    <w:p>
      <w:pPr>
        <w:pStyle w:val="2"/>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供应商认为需提供的证明文件及其它资料</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jc w:val="both"/>
        <w:rPr>
          <w:rFonts w:hint="eastAsia" w:ascii="宋体" w:hAnsi="宋体" w:eastAsia="宋体" w:cs="宋体"/>
          <w:b/>
          <w:bCs/>
          <w:color w:val="auto"/>
          <w:sz w:val="24"/>
          <w:szCs w:val="24"/>
          <w:lang w:val="en-US" w:eastAsia="zh-CN"/>
        </w:rPr>
      </w:pPr>
      <w:r>
        <w:rPr>
          <w:rFonts w:hint="eastAsia" w:ascii="宋体" w:hAnsi="宋体" w:cs="宋体"/>
          <w:b/>
          <w:bCs/>
          <w:color w:val="auto"/>
          <w:sz w:val="28"/>
          <w:szCs w:val="28"/>
          <w:lang w:val="en-US" w:eastAsia="zh-CN"/>
        </w:rPr>
        <w:t xml:space="preserve">附件一：              </w:t>
      </w:r>
      <w:r>
        <w:rPr>
          <w:rFonts w:hint="eastAsia" w:ascii="宋体" w:hAnsi="宋体" w:eastAsia="宋体" w:cs="宋体"/>
          <w:b/>
          <w:bCs/>
          <w:color w:val="auto"/>
          <w:sz w:val="28"/>
          <w:szCs w:val="28"/>
          <w:lang w:val="en-US" w:eastAsia="zh-CN"/>
        </w:rPr>
        <w:t>政府采购活动现场确认声明书</w:t>
      </w:r>
    </w:p>
    <w:p>
      <w:pPr>
        <w:pStyle w:val="2"/>
      </w:pP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新疆盛世乾元工程项目管理咨询有限公司 : </w:t>
      </w:r>
    </w:p>
    <w:p>
      <w:pPr>
        <w:pStyle w:val="2"/>
        <w:rPr>
          <w:rFonts w:hint="eastAsia"/>
        </w:rPr>
      </w:pP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本人 ____________（授权代表姓名），经由______________________________（单位） ____________ （法定代表人姓名）合法授权参加</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u w:val="single"/>
          <w:lang w:val="en-US" w:eastAsia="zh-CN" w:bidi="ar"/>
        </w:rPr>
        <w:t>哈密市图书馆智慧场馆配套设备及软件采购项目  （编号： SSQYZB-CG2022【HM】004 ）</w:t>
      </w:r>
      <w:r>
        <w:rPr>
          <w:rFonts w:hint="eastAsia" w:ascii="宋体" w:hAnsi="宋体" w:eastAsia="宋体" w:cs="宋体"/>
          <w:color w:val="000000"/>
          <w:kern w:val="0"/>
          <w:sz w:val="24"/>
          <w:szCs w:val="24"/>
          <w:lang w:val="en-US" w:eastAsia="zh-CN" w:bidi="ar"/>
        </w:rPr>
        <w:t xml:space="preserve">政府采购活动．经与本单位法人代表（负责人）联系确认，现就有关公平竞争事项郑重声明如下: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一、本单位与采购人之间     口不存在利害关系      口存在下列利害关系: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A．投资关系 B．行政隶属关系 C．业务指导关系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D．其他可能影响采购公正的利害关系（如有，请如实说明）。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二、现己清楚知道参加本项目采购活动的其他所有供应商名称，本单位   口与其他所有供应商之间均不存在利害关系   口与______________（供应商名称）之间存在下列利害关系: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A．法定代表人或负责人或实际控制人是同一人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B．法定代表人或负责人或实际控制人是夫妻关系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C．法定代表人或负责人或实际控制人是直系血亲关系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D．法定代表人或负责人或实际控制人存在三代以内旁系血亲关系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E．法定代表人或负责人或实际控制人存在近姻亲关系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F．法定代表人或负责人或实际控制人存在股份控制或实际控制关系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G．存在共同直接或间接投资设立子公司、联营企业和合营企业情况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H．存在分级代理或代销关系、同一生产制造商关系、管理关系、重要业务（占主营业务收入 50 ％以上）或重要财务往来关系（如融资）等其他实质性控制关系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I．其他利害关系情况 ________________________________________。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三、现己清楚知道并严格遵守政府采购法律法规和现场纪律。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四、我发现 ____________________供应商之间存在或可能存在上述第二条第 ____________项利害关系。 </w:t>
      </w:r>
    </w:p>
    <w:p>
      <w:pPr>
        <w:pStyle w:val="2"/>
        <w:rPr>
          <w:rFonts w:hint="eastAsia"/>
        </w:rPr>
      </w:pP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                              （供应商代表签名或盖章）: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sz w:val="24"/>
          <w:szCs w:val="24"/>
          <w:lang w:eastAsia="zh-CN"/>
        </w:rPr>
      </w:pP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日 </w:t>
      </w:r>
    </w:p>
    <w:sectPr>
      <w:footerReference r:id="rId7" w:type="default"/>
      <w:pgSz w:w="11906" w:h="16838"/>
      <w:pgMar w:top="1440" w:right="1230" w:bottom="1440" w:left="1230"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613DBD0-2A62-4290-8F3E-3ED8EAE7A1C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B63B040-075E-406B-AA87-8DD5FB06FC36}"/>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51439F17-5BAC-4D41-9692-61AF28313C5C}"/>
  </w:font>
  <w:font w:name="等线">
    <w:panose1 w:val="02010600030101010101"/>
    <w:charset w:val="86"/>
    <w:family w:val="auto"/>
    <w:pitch w:val="default"/>
    <w:sig w:usb0="A00002BF" w:usb1="38CF7CFA" w:usb2="00000016" w:usb3="00000000" w:csb0="0004000F" w:csb1="00000000"/>
  </w:font>
  <w:font w:name="Adobe 仿宋 Std R">
    <w:altName w:val="Times New Roman"/>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4" w:fontKey="{C8484888-FB70-48F1-951D-5860B6594FA0}"/>
  </w:font>
  <w:font w:name="兰米宋体">
    <w:panose1 w:val="02000503000000000000"/>
    <w:charset w:val="86"/>
    <w:family w:val="auto"/>
    <w:pitch w:val="default"/>
    <w:sig w:usb0="8000002F" w:usb1="084164F8" w:usb2="00000012" w:usb3="00000000" w:csb0="00040001" w:csb1="00000000"/>
    <w:embedRegular r:id="rId5" w:fontKey="{ED211E34-575E-44C5-8E7E-E8322397E4D1}"/>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723"/>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72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00E8B5"/>
    <w:multiLevelType w:val="singleLevel"/>
    <w:tmpl w:val="C700E8B5"/>
    <w:lvl w:ilvl="0" w:tentative="0">
      <w:start w:val="8"/>
      <w:numFmt w:val="decimal"/>
      <w:suff w:val="nothing"/>
      <w:lvlText w:val="%1、"/>
      <w:lvlJc w:val="left"/>
    </w:lvl>
  </w:abstractNum>
  <w:abstractNum w:abstractNumId="1">
    <w:nsid w:val="F1E22B96"/>
    <w:multiLevelType w:val="singleLevel"/>
    <w:tmpl w:val="F1E22B96"/>
    <w:lvl w:ilvl="0" w:tentative="0">
      <w:start w:val="1"/>
      <w:numFmt w:val="decimal"/>
      <w:suff w:val="nothing"/>
      <w:lvlText w:val="%1、"/>
      <w:lvlJc w:val="left"/>
    </w:lvl>
  </w:abstractNum>
  <w:abstractNum w:abstractNumId="2">
    <w:nsid w:val="3C8BDCBE"/>
    <w:multiLevelType w:val="singleLevel"/>
    <w:tmpl w:val="3C8BDCBE"/>
    <w:lvl w:ilvl="0" w:tentative="0">
      <w:start w:val="1"/>
      <w:numFmt w:val="chineseCounting"/>
      <w:suff w:val="nothing"/>
      <w:lvlText w:val="%1、"/>
      <w:lvlJc w:val="left"/>
      <w:rPr>
        <w:rFonts w:hint="eastAsia"/>
      </w:rPr>
    </w:lvl>
  </w:abstractNum>
  <w:abstractNum w:abstractNumId="3">
    <w:nsid w:val="5D105E13"/>
    <w:multiLevelType w:val="singleLevel"/>
    <w:tmpl w:val="5D105E13"/>
    <w:lvl w:ilvl="0" w:tentative="0">
      <w:start w:val="1"/>
      <w:numFmt w:val="decimal"/>
      <w:suff w:val="nothing"/>
      <w:lvlText w:val="%1、"/>
      <w:lvlJc w:val="left"/>
      <w:pPr>
        <w:ind w:left="-420"/>
      </w:pPr>
    </w:lvl>
  </w:abstractNum>
  <w:abstractNum w:abstractNumId="4">
    <w:nsid w:val="6A2F4AB3"/>
    <w:multiLevelType w:val="multilevel"/>
    <w:tmpl w:val="6A2F4AB3"/>
    <w:lvl w:ilvl="0" w:tentative="0">
      <w:start w:val="1"/>
      <w:numFmt w:val="chineseCountingThousand"/>
      <w:pStyle w:val="161"/>
      <w:suff w:val="nothing"/>
      <w:lvlText w:val="%1、"/>
      <w:lvlJc w:val="left"/>
      <w:pPr>
        <w:ind w:left="425" w:hanging="425"/>
      </w:pPr>
      <w:rPr>
        <w:rFonts w:hint="eastAsia"/>
      </w:rPr>
    </w:lvl>
    <w:lvl w:ilvl="1" w:tentative="0">
      <w:start w:val="1"/>
      <w:numFmt w:val="decimal"/>
      <w:isLgl/>
      <w:suff w:val="nothing"/>
      <w:lvlText w:val="%1.%2、"/>
      <w:lvlJc w:val="left"/>
      <w:pPr>
        <w:ind w:left="567" w:hanging="567"/>
      </w:pPr>
      <w:rPr>
        <w:rFonts w:hint="default" w:ascii="Times New Roman" w:hAnsi="Times New Roman" w:cs="Times New Roman"/>
      </w:rPr>
    </w:lvl>
    <w:lvl w:ilvl="2" w:tentative="0">
      <w:start w:val="1"/>
      <w:numFmt w:val="decimal"/>
      <w:isLgl/>
      <w:suff w:val="nothing"/>
      <w:lvlText w:val="%1.%2.%3、"/>
      <w:lvlJc w:val="left"/>
      <w:pPr>
        <w:ind w:left="1069" w:hanging="1069"/>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isLgl/>
      <w:suff w:val="nothing"/>
      <w:lvlText w:val="%1.%2.%3.%4、"/>
      <w:lvlJc w:val="left"/>
      <w:pPr>
        <w:ind w:left="851" w:hanging="851"/>
      </w:pPr>
      <w:rPr>
        <w:rFonts w:hint="default" w:ascii="Times New Roman" w:hAnsi="Times New Roman" w:eastAsia="宋体" w:cs="Times New Roman"/>
        <w:sz w:val="24"/>
        <w:szCs w:val="24"/>
      </w:rPr>
    </w:lvl>
    <w:lvl w:ilvl="4" w:tentative="0">
      <w:start w:val="1"/>
      <w:numFmt w:val="decimal"/>
      <w:isLgl/>
      <w:suff w:val="nothing"/>
      <w:lvlText w:val="%1.%2.%3.%4.%5、"/>
      <w:lvlJc w:val="left"/>
      <w:pPr>
        <w:ind w:left="992" w:hanging="992"/>
      </w:pPr>
      <w:rPr>
        <w:rFonts w:hint="eastAsia"/>
      </w:rPr>
    </w:lvl>
    <w:lvl w:ilvl="5" w:tentative="0">
      <w:start w:val="1"/>
      <w:numFmt w:val="decimal"/>
      <w:isLgl/>
      <w:suff w:val="nothing"/>
      <w:lvlText w:val="%1.%2.%3.%4.%5.%6、"/>
      <w:lvlJc w:val="left"/>
      <w:pPr>
        <w:ind w:left="1134" w:hanging="1134"/>
      </w:pPr>
      <w:rPr>
        <w:rFonts w:hint="default" w:ascii="Times New Roman" w:hAnsi="Times New Roman" w:cs="Times New Roman"/>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5">
    <w:nsid w:val="7E914EE3"/>
    <w:multiLevelType w:val="multilevel"/>
    <w:tmpl w:val="7E914EE3"/>
    <w:lvl w:ilvl="0" w:tentative="0">
      <w:start w:val="1"/>
      <w:numFmt w:val="japaneseCounting"/>
      <w:lvlText w:val="第%1章"/>
      <w:lvlJc w:val="left"/>
      <w:pPr>
        <w:ind w:left="1515" w:hanging="15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2ZWVlOWZlMTAzY2Q5YzFhZDM3YTE0YTRhMGFkZTYifQ=="/>
  </w:docVars>
  <w:rsids>
    <w:rsidRoot w:val="00074354"/>
    <w:rsid w:val="00490B57"/>
    <w:rsid w:val="004C3B4C"/>
    <w:rsid w:val="00560217"/>
    <w:rsid w:val="005F5134"/>
    <w:rsid w:val="006610FE"/>
    <w:rsid w:val="007E0FB7"/>
    <w:rsid w:val="009321F3"/>
    <w:rsid w:val="00A938E7"/>
    <w:rsid w:val="00BC2186"/>
    <w:rsid w:val="00CF5303"/>
    <w:rsid w:val="01057E19"/>
    <w:rsid w:val="013B52FF"/>
    <w:rsid w:val="014F66ED"/>
    <w:rsid w:val="01955ECE"/>
    <w:rsid w:val="01AB5A0C"/>
    <w:rsid w:val="01B367A1"/>
    <w:rsid w:val="01DE3119"/>
    <w:rsid w:val="01F21932"/>
    <w:rsid w:val="022573A2"/>
    <w:rsid w:val="022E567C"/>
    <w:rsid w:val="024617F2"/>
    <w:rsid w:val="02795907"/>
    <w:rsid w:val="027D0498"/>
    <w:rsid w:val="029D5416"/>
    <w:rsid w:val="02AF7C43"/>
    <w:rsid w:val="02B278FF"/>
    <w:rsid w:val="02C73184"/>
    <w:rsid w:val="02CA2A39"/>
    <w:rsid w:val="03306884"/>
    <w:rsid w:val="033E6E4A"/>
    <w:rsid w:val="035D3986"/>
    <w:rsid w:val="036732B6"/>
    <w:rsid w:val="03957E39"/>
    <w:rsid w:val="03A51702"/>
    <w:rsid w:val="03D01AF3"/>
    <w:rsid w:val="04C82992"/>
    <w:rsid w:val="04DE69F4"/>
    <w:rsid w:val="04E74BDA"/>
    <w:rsid w:val="04FD51DB"/>
    <w:rsid w:val="05545FD4"/>
    <w:rsid w:val="05716E55"/>
    <w:rsid w:val="05A53BE2"/>
    <w:rsid w:val="05DB5516"/>
    <w:rsid w:val="05DE30F8"/>
    <w:rsid w:val="05E14DE5"/>
    <w:rsid w:val="06140ED5"/>
    <w:rsid w:val="061672BD"/>
    <w:rsid w:val="063B72D3"/>
    <w:rsid w:val="065C3BE2"/>
    <w:rsid w:val="066825D0"/>
    <w:rsid w:val="06A230DF"/>
    <w:rsid w:val="06CE0320"/>
    <w:rsid w:val="06D33000"/>
    <w:rsid w:val="06F7000B"/>
    <w:rsid w:val="071D5A77"/>
    <w:rsid w:val="07651814"/>
    <w:rsid w:val="0768788B"/>
    <w:rsid w:val="078A5363"/>
    <w:rsid w:val="07DD7A05"/>
    <w:rsid w:val="081731AB"/>
    <w:rsid w:val="0833206E"/>
    <w:rsid w:val="08885CA1"/>
    <w:rsid w:val="088A2500"/>
    <w:rsid w:val="08A54A7F"/>
    <w:rsid w:val="08AD29E1"/>
    <w:rsid w:val="08C42570"/>
    <w:rsid w:val="08FB1B25"/>
    <w:rsid w:val="09020A95"/>
    <w:rsid w:val="09076473"/>
    <w:rsid w:val="090B1C09"/>
    <w:rsid w:val="0930575A"/>
    <w:rsid w:val="09316941"/>
    <w:rsid w:val="093F596C"/>
    <w:rsid w:val="094106DA"/>
    <w:rsid w:val="099C04B4"/>
    <w:rsid w:val="099C4CF5"/>
    <w:rsid w:val="09B31D88"/>
    <w:rsid w:val="09D2572F"/>
    <w:rsid w:val="0A1A2AB4"/>
    <w:rsid w:val="0A222254"/>
    <w:rsid w:val="0A7E15D0"/>
    <w:rsid w:val="0A7E5921"/>
    <w:rsid w:val="0A960E3D"/>
    <w:rsid w:val="0AA37708"/>
    <w:rsid w:val="0ABC5ACE"/>
    <w:rsid w:val="0B000E8E"/>
    <w:rsid w:val="0B064909"/>
    <w:rsid w:val="0B0D1464"/>
    <w:rsid w:val="0B1B08D7"/>
    <w:rsid w:val="0B1E0FBD"/>
    <w:rsid w:val="0B633D2C"/>
    <w:rsid w:val="0B7D5378"/>
    <w:rsid w:val="0B856472"/>
    <w:rsid w:val="0B97710D"/>
    <w:rsid w:val="0BA1163F"/>
    <w:rsid w:val="0BA81223"/>
    <w:rsid w:val="0BAE591A"/>
    <w:rsid w:val="0BC67B2A"/>
    <w:rsid w:val="0BC80A88"/>
    <w:rsid w:val="0C0D5FF8"/>
    <w:rsid w:val="0C651F28"/>
    <w:rsid w:val="0C685B69"/>
    <w:rsid w:val="0CCC6D98"/>
    <w:rsid w:val="0CE911D3"/>
    <w:rsid w:val="0D29687A"/>
    <w:rsid w:val="0D495F94"/>
    <w:rsid w:val="0D601F36"/>
    <w:rsid w:val="0D7C2F00"/>
    <w:rsid w:val="0DA67D1B"/>
    <w:rsid w:val="0DF153EC"/>
    <w:rsid w:val="0E653000"/>
    <w:rsid w:val="0E7C4CDC"/>
    <w:rsid w:val="0EAA6FE0"/>
    <w:rsid w:val="0EC03B57"/>
    <w:rsid w:val="0ECF4682"/>
    <w:rsid w:val="0ED31DD4"/>
    <w:rsid w:val="0ED431B1"/>
    <w:rsid w:val="0F3F04EA"/>
    <w:rsid w:val="0F40180E"/>
    <w:rsid w:val="0F5240AE"/>
    <w:rsid w:val="0F9252C4"/>
    <w:rsid w:val="0F966A1D"/>
    <w:rsid w:val="0F987930"/>
    <w:rsid w:val="0FA14614"/>
    <w:rsid w:val="0FD86693"/>
    <w:rsid w:val="0FDD207A"/>
    <w:rsid w:val="0FE7746C"/>
    <w:rsid w:val="102038BF"/>
    <w:rsid w:val="10293BD4"/>
    <w:rsid w:val="10716E83"/>
    <w:rsid w:val="108E1DEA"/>
    <w:rsid w:val="10917770"/>
    <w:rsid w:val="109F60A2"/>
    <w:rsid w:val="10B27B06"/>
    <w:rsid w:val="10B929CC"/>
    <w:rsid w:val="10C94F3D"/>
    <w:rsid w:val="10D7743B"/>
    <w:rsid w:val="10E26F69"/>
    <w:rsid w:val="10F9501C"/>
    <w:rsid w:val="11352D8F"/>
    <w:rsid w:val="11471780"/>
    <w:rsid w:val="11736D33"/>
    <w:rsid w:val="117C454E"/>
    <w:rsid w:val="119F338B"/>
    <w:rsid w:val="11C03EBD"/>
    <w:rsid w:val="12053619"/>
    <w:rsid w:val="124D1D82"/>
    <w:rsid w:val="125421C4"/>
    <w:rsid w:val="128C6B0A"/>
    <w:rsid w:val="12B842F0"/>
    <w:rsid w:val="12BD563A"/>
    <w:rsid w:val="12C044D0"/>
    <w:rsid w:val="12C119AD"/>
    <w:rsid w:val="12D46E31"/>
    <w:rsid w:val="12EB6BE6"/>
    <w:rsid w:val="13094E84"/>
    <w:rsid w:val="130C37B4"/>
    <w:rsid w:val="131B49E7"/>
    <w:rsid w:val="135E5B61"/>
    <w:rsid w:val="13720AE7"/>
    <w:rsid w:val="1392377A"/>
    <w:rsid w:val="13CB7325"/>
    <w:rsid w:val="14467430"/>
    <w:rsid w:val="145854FB"/>
    <w:rsid w:val="14797729"/>
    <w:rsid w:val="147E2F74"/>
    <w:rsid w:val="14883E62"/>
    <w:rsid w:val="1496032E"/>
    <w:rsid w:val="14E14CB3"/>
    <w:rsid w:val="15161456"/>
    <w:rsid w:val="15237523"/>
    <w:rsid w:val="1582263F"/>
    <w:rsid w:val="15B05B00"/>
    <w:rsid w:val="15BC1F04"/>
    <w:rsid w:val="15C144C0"/>
    <w:rsid w:val="160E1438"/>
    <w:rsid w:val="162A5E6D"/>
    <w:rsid w:val="16353C00"/>
    <w:rsid w:val="16525F49"/>
    <w:rsid w:val="16563517"/>
    <w:rsid w:val="1665112C"/>
    <w:rsid w:val="168D3A3C"/>
    <w:rsid w:val="16A658F7"/>
    <w:rsid w:val="170F26A3"/>
    <w:rsid w:val="17B405B4"/>
    <w:rsid w:val="17BF4E00"/>
    <w:rsid w:val="17D01E28"/>
    <w:rsid w:val="18195AA8"/>
    <w:rsid w:val="1865039C"/>
    <w:rsid w:val="187D2524"/>
    <w:rsid w:val="188E3A9B"/>
    <w:rsid w:val="189D7737"/>
    <w:rsid w:val="18A031E2"/>
    <w:rsid w:val="18BC728E"/>
    <w:rsid w:val="18D72B9C"/>
    <w:rsid w:val="18F20AC5"/>
    <w:rsid w:val="1915797F"/>
    <w:rsid w:val="194C2A4F"/>
    <w:rsid w:val="195E2AD5"/>
    <w:rsid w:val="19726B5B"/>
    <w:rsid w:val="19902651"/>
    <w:rsid w:val="19E571E4"/>
    <w:rsid w:val="1A023DF9"/>
    <w:rsid w:val="1A094767"/>
    <w:rsid w:val="1A1809A4"/>
    <w:rsid w:val="1A782A01"/>
    <w:rsid w:val="1ACA28E9"/>
    <w:rsid w:val="1AF47523"/>
    <w:rsid w:val="1AFC699D"/>
    <w:rsid w:val="1B1876F1"/>
    <w:rsid w:val="1B267FBB"/>
    <w:rsid w:val="1B624D21"/>
    <w:rsid w:val="1B931C70"/>
    <w:rsid w:val="1C04275B"/>
    <w:rsid w:val="1C352601"/>
    <w:rsid w:val="1C550A59"/>
    <w:rsid w:val="1C676C14"/>
    <w:rsid w:val="1C6B07E5"/>
    <w:rsid w:val="1CC0101E"/>
    <w:rsid w:val="1D077066"/>
    <w:rsid w:val="1D1A42F8"/>
    <w:rsid w:val="1D1B2709"/>
    <w:rsid w:val="1D1D5F2E"/>
    <w:rsid w:val="1D342569"/>
    <w:rsid w:val="1D4D1F84"/>
    <w:rsid w:val="1D600C98"/>
    <w:rsid w:val="1DCF5278"/>
    <w:rsid w:val="1DF01A87"/>
    <w:rsid w:val="1E200B6E"/>
    <w:rsid w:val="1E2246F1"/>
    <w:rsid w:val="1E3A7D06"/>
    <w:rsid w:val="1E57475C"/>
    <w:rsid w:val="1E6D755B"/>
    <w:rsid w:val="1E852965"/>
    <w:rsid w:val="1E8F486B"/>
    <w:rsid w:val="1E9D6E0E"/>
    <w:rsid w:val="1ED924A7"/>
    <w:rsid w:val="1F782FF9"/>
    <w:rsid w:val="1F8F7122"/>
    <w:rsid w:val="1F923830"/>
    <w:rsid w:val="1FB328F8"/>
    <w:rsid w:val="1FB94BCC"/>
    <w:rsid w:val="2000702C"/>
    <w:rsid w:val="204477A8"/>
    <w:rsid w:val="20526F43"/>
    <w:rsid w:val="209259FA"/>
    <w:rsid w:val="20C915CA"/>
    <w:rsid w:val="20C92CC6"/>
    <w:rsid w:val="211A6B0B"/>
    <w:rsid w:val="21242AC6"/>
    <w:rsid w:val="212C4052"/>
    <w:rsid w:val="212E297D"/>
    <w:rsid w:val="2132505D"/>
    <w:rsid w:val="217A4A8B"/>
    <w:rsid w:val="21B628FA"/>
    <w:rsid w:val="21BD027C"/>
    <w:rsid w:val="21FE5C9C"/>
    <w:rsid w:val="221F1C43"/>
    <w:rsid w:val="22463943"/>
    <w:rsid w:val="225600DA"/>
    <w:rsid w:val="226F2247"/>
    <w:rsid w:val="22893864"/>
    <w:rsid w:val="229D7B04"/>
    <w:rsid w:val="22C72F42"/>
    <w:rsid w:val="233905A1"/>
    <w:rsid w:val="23591890"/>
    <w:rsid w:val="238140F9"/>
    <w:rsid w:val="23A50E4F"/>
    <w:rsid w:val="23F41D03"/>
    <w:rsid w:val="23FB2313"/>
    <w:rsid w:val="240C2E27"/>
    <w:rsid w:val="247F33BD"/>
    <w:rsid w:val="24A27A11"/>
    <w:rsid w:val="24D2028B"/>
    <w:rsid w:val="24D861C0"/>
    <w:rsid w:val="24DA5389"/>
    <w:rsid w:val="25255C32"/>
    <w:rsid w:val="253C7DDA"/>
    <w:rsid w:val="255C5FC4"/>
    <w:rsid w:val="256175F2"/>
    <w:rsid w:val="257B026C"/>
    <w:rsid w:val="25CF42CB"/>
    <w:rsid w:val="25D53933"/>
    <w:rsid w:val="25D92C3A"/>
    <w:rsid w:val="25EA00A0"/>
    <w:rsid w:val="26656E36"/>
    <w:rsid w:val="266D1D6F"/>
    <w:rsid w:val="26875036"/>
    <w:rsid w:val="26B3027B"/>
    <w:rsid w:val="26BC0B01"/>
    <w:rsid w:val="26FC45CC"/>
    <w:rsid w:val="270946BB"/>
    <w:rsid w:val="271B6A24"/>
    <w:rsid w:val="273326D9"/>
    <w:rsid w:val="27350799"/>
    <w:rsid w:val="276C7C9B"/>
    <w:rsid w:val="278247CB"/>
    <w:rsid w:val="27870033"/>
    <w:rsid w:val="27E35FD4"/>
    <w:rsid w:val="281A3C9A"/>
    <w:rsid w:val="281A755B"/>
    <w:rsid w:val="28284086"/>
    <w:rsid w:val="28304A43"/>
    <w:rsid w:val="28525105"/>
    <w:rsid w:val="288F454C"/>
    <w:rsid w:val="28901956"/>
    <w:rsid w:val="28C05622"/>
    <w:rsid w:val="28E715EA"/>
    <w:rsid w:val="2926466D"/>
    <w:rsid w:val="292A27EF"/>
    <w:rsid w:val="294366EC"/>
    <w:rsid w:val="296D252F"/>
    <w:rsid w:val="29BA6008"/>
    <w:rsid w:val="29C67582"/>
    <w:rsid w:val="29E54667"/>
    <w:rsid w:val="29F20EB2"/>
    <w:rsid w:val="2A0668E2"/>
    <w:rsid w:val="2A0B249A"/>
    <w:rsid w:val="2A220186"/>
    <w:rsid w:val="2A267359"/>
    <w:rsid w:val="2A365B8F"/>
    <w:rsid w:val="2A42532A"/>
    <w:rsid w:val="2A4E21ED"/>
    <w:rsid w:val="2A875C83"/>
    <w:rsid w:val="2AC04521"/>
    <w:rsid w:val="2AD723D7"/>
    <w:rsid w:val="2AE92790"/>
    <w:rsid w:val="2AF348A3"/>
    <w:rsid w:val="2B074961"/>
    <w:rsid w:val="2B295808"/>
    <w:rsid w:val="2B4120F8"/>
    <w:rsid w:val="2B976310"/>
    <w:rsid w:val="2BAC7D84"/>
    <w:rsid w:val="2BC0182F"/>
    <w:rsid w:val="2BC37FC2"/>
    <w:rsid w:val="2BCC4A55"/>
    <w:rsid w:val="2BE958CF"/>
    <w:rsid w:val="2BF63144"/>
    <w:rsid w:val="2C036FD0"/>
    <w:rsid w:val="2C234059"/>
    <w:rsid w:val="2C700D4F"/>
    <w:rsid w:val="2C970D19"/>
    <w:rsid w:val="2CA3308C"/>
    <w:rsid w:val="2CB42B00"/>
    <w:rsid w:val="2CBA6F29"/>
    <w:rsid w:val="2CEA1413"/>
    <w:rsid w:val="2CF827F3"/>
    <w:rsid w:val="2D1324EA"/>
    <w:rsid w:val="2D5F4BED"/>
    <w:rsid w:val="2D784BE7"/>
    <w:rsid w:val="2D8C4C58"/>
    <w:rsid w:val="2DC30E89"/>
    <w:rsid w:val="2DDB0D74"/>
    <w:rsid w:val="2DDC3310"/>
    <w:rsid w:val="2DE42231"/>
    <w:rsid w:val="2E143AAB"/>
    <w:rsid w:val="2E392257"/>
    <w:rsid w:val="2E3E72C7"/>
    <w:rsid w:val="2E4647A4"/>
    <w:rsid w:val="2E85490C"/>
    <w:rsid w:val="2EA309B2"/>
    <w:rsid w:val="2EAA0A55"/>
    <w:rsid w:val="2EAB1AC6"/>
    <w:rsid w:val="2EBD2F41"/>
    <w:rsid w:val="2EDD18FE"/>
    <w:rsid w:val="2EF33DA0"/>
    <w:rsid w:val="2F134CD6"/>
    <w:rsid w:val="2F1C7C95"/>
    <w:rsid w:val="2F8759CF"/>
    <w:rsid w:val="2F884564"/>
    <w:rsid w:val="2F89083A"/>
    <w:rsid w:val="2F917EB5"/>
    <w:rsid w:val="2F920B47"/>
    <w:rsid w:val="2FAD29DB"/>
    <w:rsid w:val="2FB14971"/>
    <w:rsid w:val="2FF5677D"/>
    <w:rsid w:val="30381951"/>
    <w:rsid w:val="304F36B8"/>
    <w:rsid w:val="307B6228"/>
    <w:rsid w:val="307D5663"/>
    <w:rsid w:val="308746A5"/>
    <w:rsid w:val="308932A9"/>
    <w:rsid w:val="30A77352"/>
    <w:rsid w:val="30FA542B"/>
    <w:rsid w:val="310F493B"/>
    <w:rsid w:val="31250E41"/>
    <w:rsid w:val="31575D85"/>
    <w:rsid w:val="31605754"/>
    <w:rsid w:val="316C1AE0"/>
    <w:rsid w:val="31A93EE5"/>
    <w:rsid w:val="31D812B2"/>
    <w:rsid w:val="31E274C3"/>
    <w:rsid w:val="31E35882"/>
    <w:rsid w:val="31F3417A"/>
    <w:rsid w:val="31F44C5D"/>
    <w:rsid w:val="32302A73"/>
    <w:rsid w:val="32313F1A"/>
    <w:rsid w:val="326A4556"/>
    <w:rsid w:val="32797A7C"/>
    <w:rsid w:val="32A65A9A"/>
    <w:rsid w:val="32D66AB6"/>
    <w:rsid w:val="33217E19"/>
    <w:rsid w:val="33FB144B"/>
    <w:rsid w:val="34312F19"/>
    <w:rsid w:val="344D2EC9"/>
    <w:rsid w:val="344E28E5"/>
    <w:rsid w:val="3465568C"/>
    <w:rsid w:val="348F04B0"/>
    <w:rsid w:val="34A22009"/>
    <w:rsid w:val="34B9418B"/>
    <w:rsid w:val="34C5287B"/>
    <w:rsid w:val="34D740A3"/>
    <w:rsid w:val="34DA7A46"/>
    <w:rsid w:val="34E807A3"/>
    <w:rsid w:val="35551029"/>
    <w:rsid w:val="35960D8E"/>
    <w:rsid w:val="35990184"/>
    <w:rsid w:val="361F6DB9"/>
    <w:rsid w:val="3621129A"/>
    <w:rsid w:val="36381EC8"/>
    <w:rsid w:val="366D1E12"/>
    <w:rsid w:val="36826FCA"/>
    <w:rsid w:val="36B261C2"/>
    <w:rsid w:val="36BF6EE9"/>
    <w:rsid w:val="36C235E2"/>
    <w:rsid w:val="370B4D45"/>
    <w:rsid w:val="371F3DE4"/>
    <w:rsid w:val="372E774E"/>
    <w:rsid w:val="37517770"/>
    <w:rsid w:val="3771655B"/>
    <w:rsid w:val="379922AB"/>
    <w:rsid w:val="37D44250"/>
    <w:rsid w:val="37EE6555"/>
    <w:rsid w:val="380B25BB"/>
    <w:rsid w:val="380C4DD7"/>
    <w:rsid w:val="38501E36"/>
    <w:rsid w:val="38504C81"/>
    <w:rsid w:val="38B72026"/>
    <w:rsid w:val="38C40663"/>
    <w:rsid w:val="38F53A4E"/>
    <w:rsid w:val="390C40B4"/>
    <w:rsid w:val="393E2C04"/>
    <w:rsid w:val="396729E9"/>
    <w:rsid w:val="399356F8"/>
    <w:rsid w:val="39950499"/>
    <w:rsid w:val="39AB2866"/>
    <w:rsid w:val="39CB31EA"/>
    <w:rsid w:val="39F25FC7"/>
    <w:rsid w:val="3A0E5821"/>
    <w:rsid w:val="3A1A040A"/>
    <w:rsid w:val="3A1A5EE0"/>
    <w:rsid w:val="3A281124"/>
    <w:rsid w:val="3A347660"/>
    <w:rsid w:val="3A6173C5"/>
    <w:rsid w:val="3A965BF0"/>
    <w:rsid w:val="3AAD0191"/>
    <w:rsid w:val="3B0D3D02"/>
    <w:rsid w:val="3B53104D"/>
    <w:rsid w:val="3B5F50F7"/>
    <w:rsid w:val="3B6F592F"/>
    <w:rsid w:val="3B741A12"/>
    <w:rsid w:val="3BAE0F89"/>
    <w:rsid w:val="3BBA2A12"/>
    <w:rsid w:val="3BE52A80"/>
    <w:rsid w:val="3BEC0918"/>
    <w:rsid w:val="3C1242BA"/>
    <w:rsid w:val="3C1F5A72"/>
    <w:rsid w:val="3C8373A7"/>
    <w:rsid w:val="3CF03B2D"/>
    <w:rsid w:val="3CF1460F"/>
    <w:rsid w:val="3D006494"/>
    <w:rsid w:val="3D3F0E76"/>
    <w:rsid w:val="3D46067E"/>
    <w:rsid w:val="3D8B03F6"/>
    <w:rsid w:val="3DBE6715"/>
    <w:rsid w:val="3DE202C9"/>
    <w:rsid w:val="3DF20F54"/>
    <w:rsid w:val="3E1123C0"/>
    <w:rsid w:val="3E12675A"/>
    <w:rsid w:val="3E21776A"/>
    <w:rsid w:val="3E287616"/>
    <w:rsid w:val="3E59248F"/>
    <w:rsid w:val="3E60703C"/>
    <w:rsid w:val="3E875B34"/>
    <w:rsid w:val="3E901A66"/>
    <w:rsid w:val="3EAF34DE"/>
    <w:rsid w:val="3EB23D58"/>
    <w:rsid w:val="3EC653C0"/>
    <w:rsid w:val="3F0E77EC"/>
    <w:rsid w:val="3F220CF6"/>
    <w:rsid w:val="3F3934DC"/>
    <w:rsid w:val="3F717C3D"/>
    <w:rsid w:val="3F764341"/>
    <w:rsid w:val="3F7778E5"/>
    <w:rsid w:val="400C67E7"/>
    <w:rsid w:val="40392B6F"/>
    <w:rsid w:val="40DD745D"/>
    <w:rsid w:val="41187FCD"/>
    <w:rsid w:val="41275709"/>
    <w:rsid w:val="412A1728"/>
    <w:rsid w:val="41494A43"/>
    <w:rsid w:val="41733C1E"/>
    <w:rsid w:val="417A3650"/>
    <w:rsid w:val="41811428"/>
    <w:rsid w:val="41973CB8"/>
    <w:rsid w:val="41974CA1"/>
    <w:rsid w:val="4199170B"/>
    <w:rsid w:val="41A955DD"/>
    <w:rsid w:val="41C90201"/>
    <w:rsid w:val="41D9156F"/>
    <w:rsid w:val="41ED40AB"/>
    <w:rsid w:val="42040D9D"/>
    <w:rsid w:val="42093D1D"/>
    <w:rsid w:val="424E6B31"/>
    <w:rsid w:val="42536B25"/>
    <w:rsid w:val="42A01E43"/>
    <w:rsid w:val="42C86D16"/>
    <w:rsid w:val="42DA50C0"/>
    <w:rsid w:val="435E21DE"/>
    <w:rsid w:val="437F2FE8"/>
    <w:rsid w:val="43A77CA5"/>
    <w:rsid w:val="43BC1A22"/>
    <w:rsid w:val="43BE2F18"/>
    <w:rsid w:val="43CC3737"/>
    <w:rsid w:val="443750AD"/>
    <w:rsid w:val="44422B2F"/>
    <w:rsid w:val="444E49C5"/>
    <w:rsid w:val="444F721F"/>
    <w:rsid w:val="44501EB0"/>
    <w:rsid w:val="449C28AC"/>
    <w:rsid w:val="450B2CE6"/>
    <w:rsid w:val="4524602A"/>
    <w:rsid w:val="45305729"/>
    <w:rsid w:val="453244AE"/>
    <w:rsid w:val="453952FD"/>
    <w:rsid w:val="453C34FA"/>
    <w:rsid w:val="45436D69"/>
    <w:rsid w:val="45551CD8"/>
    <w:rsid w:val="45642E67"/>
    <w:rsid w:val="458B55A4"/>
    <w:rsid w:val="45D03FA5"/>
    <w:rsid w:val="46041334"/>
    <w:rsid w:val="462F0431"/>
    <w:rsid w:val="46526496"/>
    <w:rsid w:val="46992FA1"/>
    <w:rsid w:val="46CD560B"/>
    <w:rsid w:val="4710794F"/>
    <w:rsid w:val="47132408"/>
    <w:rsid w:val="47470FC5"/>
    <w:rsid w:val="47584434"/>
    <w:rsid w:val="477A4612"/>
    <w:rsid w:val="478C12AE"/>
    <w:rsid w:val="47925F0D"/>
    <w:rsid w:val="479E1C53"/>
    <w:rsid w:val="47DC470F"/>
    <w:rsid w:val="47DE21D2"/>
    <w:rsid w:val="48260FE1"/>
    <w:rsid w:val="487A092C"/>
    <w:rsid w:val="488A75D7"/>
    <w:rsid w:val="48F43378"/>
    <w:rsid w:val="490F0AA5"/>
    <w:rsid w:val="49663356"/>
    <w:rsid w:val="49942B99"/>
    <w:rsid w:val="499C7538"/>
    <w:rsid w:val="49A739A5"/>
    <w:rsid w:val="49B86698"/>
    <w:rsid w:val="49C265E4"/>
    <w:rsid w:val="49CF2F84"/>
    <w:rsid w:val="49D209B0"/>
    <w:rsid w:val="49DD222A"/>
    <w:rsid w:val="49F32890"/>
    <w:rsid w:val="4A0D0C33"/>
    <w:rsid w:val="4A163B6D"/>
    <w:rsid w:val="4A484F7B"/>
    <w:rsid w:val="4A4C55F8"/>
    <w:rsid w:val="4A9F5F72"/>
    <w:rsid w:val="4AD90729"/>
    <w:rsid w:val="4AED3143"/>
    <w:rsid w:val="4B0719EE"/>
    <w:rsid w:val="4B145D89"/>
    <w:rsid w:val="4B175AC9"/>
    <w:rsid w:val="4B176B1E"/>
    <w:rsid w:val="4B261A08"/>
    <w:rsid w:val="4B677CB1"/>
    <w:rsid w:val="4B82554B"/>
    <w:rsid w:val="4B8466B2"/>
    <w:rsid w:val="4B9D0BA5"/>
    <w:rsid w:val="4BE11229"/>
    <w:rsid w:val="4BF6506D"/>
    <w:rsid w:val="4C2D28ED"/>
    <w:rsid w:val="4C303F46"/>
    <w:rsid w:val="4C3E23E8"/>
    <w:rsid w:val="4C4679C8"/>
    <w:rsid w:val="4C52764A"/>
    <w:rsid w:val="4C556310"/>
    <w:rsid w:val="4C635032"/>
    <w:rsid w:val="4C904925"/>
    <w:rsid w:val="4D1C16CD"/>
    <w:rsid w:val="4D342A0C"/>
    <w:rsid w:val="4D693B92"/>
    <w:rsid w:val="4D6E77B6"/>
    <w:rsid w:val="4DA033B7"/>
    <w:rsid w:val="4DC15C8A"/>
    <w:rsid w:val="4DDA3CE6"/>
    <w:rsid w:val="4E132A22"/>
    <w:rsid w:val="4E6522E9"/>
    <w:rsid w:val="4E6879C7"/>
    <w:rsid w:val="4E783BF0"/>
    <w:rsid w:val="4EE32482"/>
    <w:rsid w:val="4EF306EE"/>
    <w:rsid w:val="4EF62CBD"/>
    <w:rsid w:val="4F5A077D"/>
    <w:rsid w:val="4F800C70"/>
    <w:rsid w:val="4F996404"/>
    <w:rsid w:val="4FF71A8D"/>
    <w:rsid w:val="501C1B27"/>
    <w:rsid w:val="503E18F7"/>
    <w:rsid w:val="5043635A"/>
    <w:rsid w:val="504C5D76"/>
    <w:rsid w:val="50627329"/>
    <w:rsid w:val="50951D88"/>
    <w:rsid w:val="50D16F95"/>
    <w:rsid w:val="50F60B10"/>
    <w:rsid w:val="50FD37DE"/>
    <w:rsid w:val="510B2848"/>
    <w:rsid w:val="510F4B1A"/>
    <w:rsid w:val="512455E8"/>
    <w:rsid w:val="513B526C"/>
    <w:rsid w:val="514C6633"/>
    <w:rsid w:val="51534B88"/>
    <w:rsid w:val="516361B7"/>
    <w:rsid w:val="51ED77E0"/>
    <w:rsid w:val="523F7A35"/>
    <w:rsid w:val="52542CB8"/>
    <w:rsid w:val="52752BA0"/>
    <w:rsid w:val="52A04EAE"/>
    <w:rsid w:val="52B01FC4"/>
    <w:rsid w:val="52B12E6F"/>
    <w:rsid w:val="52F03EC4"/>
    <w:rsid w:val="52FB198D"/>
    <w:rsid w:val="52FF2614"/>
    <w:rsid w:val="531C6249"/>
    <w:rsid w:val="534C71C6"/>
    <w:rsid w:val="535A1E61"/>
    <w:rsid w:val="535F043F"/>
    <w:rsid w:val="53723F6F"/>
    <w:rsid w:val="53763945"/>
    <w:rsid w:val="538632F1"/>
    <w:rsid w:val="53A62FEF"/>
    <w:rsid w:val="53B147E6"/>
    <w:rsid w:val="53BB7CF3"/>
    <w:rsid w:val="53C60909"/>
    <w:rsid w:val="53E04280"/>
    <w:rsid w:val="53E27177"/>
    <w:rsid w:val="53FA607A"/>
    <w:rsid w:val="54006B20"/>
    <w:rsid w:val="540B00C4"/>
    <w:rsid w:val="541850C9"/>
    <w:rsid w:val="542B0B52"/>
    <w:rsid w:val="54336CC9"/>
    <w:rsid w:val="54572828"/>
    <w:rsid w:val="54971543"/>
    <w:rsid w:val="549A4653"/>
    <w:rsid w:val="549B578D"/>
    <w:rsid w:val="549F0B68"/>
    <w:rsid w:val="54B03E76"/>
    <w:rsid w:val="54C64857"/>
    <w:rsid w:val="54F23132"/>
    <w:rsid w:val="54F80C56"/>
    <w:rsid w:val="550126FD"/>
    <w:rsid w:val="55154938"/>
    <w:rsid w:val="554B5937"/>
    <w:rsid w:val="55617F45"/>
    <w:rsid w:val="556765C3"/>
    <w:rsid w:val="557F2115"/>
    <w:rsid w:val="55914394"/>
    <w:rsid w:val="55FD20FF"/>
    <w:rsid w:val="561938C7"/>
    <w:rsid w:val="56223832"/>
    <w:rsid w:val="564155A8"/>
    <w:rsid w:val="565542DE"/>
    <w:rsid w:val="56A03310"/>
    <w:rsid w:val="56DA38F5"/>
    <w:rsid w:val="56E74567"/>
    <w:rsid w:val="57537251"/>
    <w:rsid w:val="577E376C"/>
    <w:rsid w:val="57933494"/>
    <w:rsid w:val="579A65D8"/>
    <w:rsid w:val="57A6256B"/>
    <w:rsid w:val="57D319A3"/>
    <w:rsid w:val="581B5AAA"/>
    <w:rsid w:val="582A1904"/>
    <w:rsid w:val="585D19F6"/>
    <w:rsid w:val="58D11F3C"/>
    <w:rsid w:val="59234EDB"/>
    <w:rsid w:val="59257428"/>
    <w:rsid w:val="595E5B49"/>
    <w:rsid w:val="596174B3"/>
    <w:rsid w:val="596879DA"/>
    <w:rsid w:val="59891A90"/>
    <w:rsid w:val="59A92358"/>
    <w:rsid w:val="59AA24F0"/>
    <w:rsid w:val="59AB1E08"/>
    <w:rsid w:val="59C61DC4"/>
    <w:rsid w:val="59C91FA2"/>
    <w:rsid w:val="59CD24B2"/>
    <w:rsid w:val="59D860BA"/>
    <w:rsid w:val="59F952ED"/>
    <w:rsid w:val="5A1A19E6"/>
    <w:rsid w:val="5A643A41"/>
    <w:rsid w:val="5A7119D1"/>
    <w:rsid w:val="5A8742DA"/>
    <w:rsid w:val="5AED0505"/>
    <w:rsid w:val="5AF52E9E"/>
    <w:rsid w:val="5B3A7824"/>
    <w:rsid w:val="5B663E44"/>
    <w:rsid w:val="5B6A1223"/>
    <w:rsid w:val="5B917811"/>
    <w:rsid w:val="5BB6607E"/>
    <w:rsid w:val="5BBC3E1C"/>
    <w:rsid w:val="5BC930BD"/>
    <w:rsid w:val="5BD21AB6"/>
    <w:rsid w:val="5BF455EA"/>
    <w:rsid w:val="5C0416AE"/>
    <w:rsid w:val="5C176E60"/>
    <w:rsid w:val="5C252847"/>
    <w:rsid w:val="5C5D48E3"/>
    <w:rsid w:val="5C63204A"/>
    <w:rsid w:val="5C932846"/>
    <w:rsid w:val="5CBE164A"/>
    <w:rsid w:val="5CBF5022"/>
    <w:rsid w:val="5CC80EC3"/>
    <w:rsid w:val="5D012A4C"/>
    <w:rsid w:val="5D0C417A"/>
    <w:rsid w:val="5D203DB3"/>
    <w:rsid w:val="5D400F7A"/>
    <w:rsid w:val="5D4963E7"/>
    <w:rsid w:val="5D502A26"/>
    <w:rsid w:val="5D6972F5"/>
    <w:rsid w:val="5DC07A93"/>
    <w:rsid w:val="5E025774"/>
    <w:rsid w:val="5E1A52FF"/>
    <w:rsid w:val="5E2B4992"/>
    <w:rsid w:val="5E4100D1"/>
    <w:rsid w:val="5E9735D1"/>
    <w:rsid w:val="5EC17F51"/>
    <w:rsid w:val="5EC23124"/>
    <w:rsid w:val="5ED85E85"/>
    <w:rsid w:val="5EE57B4D"/>
    <w:rsid w:val="5EF81602"/>
    <w:rsid w:val="5F1621B0"/>
    <w:rsid w:val="5F337B7D"/>
    <w:rsid w:val="5F4B474B"/>
    <w:rsid w:val="5F4D1DD1"/>
    <w:rsid w:val="5F523A59"/>
    <w:rsid w:val="5F5F17DE"/>
    <w:rsid w:val="5F83411E"/>
    <w:rsid w:val="5F9E6074"/>
    <w:rsid w:val="5FA97C7F"/>
    <w:rsid w:val="5FD71400"/>
    <w:rsid w:val="5FDD2014"/>
    <w:rsid w:val="5FEE158C"/>
    <w:rsid w:val="5FF06117"/>
    <w:rsid w:val="60787612"/>
    <w:rsid w:val="60830167"/>
    <w:rsid w:val="60B446E2"/>
    <w:rsid w:val="60F30A02"/>
    <w:rsid w:val="614C3FF9"/>
    <w:rsid w:val="616442C1"/>
    <w:rsid w:val="616816A7"/>
    <w:rsid w:val="617567C7"/>
    <w:rsid w:val="61994C13"/>
    <w:rsid w:val="61CE5D31"/>
    <w:rsid w:val="61F60FB7"/>
    <w:rsid w:val="61FD1B39"/>
    <w:rsid w:val="621A312B"/>
    <w:rsid w:val="623244F6"/>
    <w:rsid w:val="626328C3"/>
    <w:rsid w:val="626C34C4"/>
    <w:rsid w:val="6271748C"/>
    <w:rsid w:val="628139ED"/>
    <w:rsid w:val="62945DFC"/>
    <w:rsid w:val="62A476D7"/>
    <w:rsid w:val="62BC3972"/>
    <w:rsid w:val="62EC09BE"/>
    <w:rsid w:val="62F24D87"/>
    <w:rsid w:val="631A439C"/>
    <w:rsid w:val="636A3261"/>
    <w:rsid w:val="63812753"/>
    <w:rsid w:val="638F596B"/>
    <w:rsid w:val="63C342B5"/>
    <w:rsid w:val="63F67D9B"/>
    <w:rsid w:val="63FE1BA7"/>
    <w:rsid w:val="647610CB"/>
    <w:rsid w:val="6490548E"/>
    <w:rsid w:val="64927433"/>
    <w:rsid w:val="64A2492B"/>
    <w:rsid w:val="64B824DC"/>
    <w:rsid w:val="6505228C"/>
    <w:rsid w:val="650A22FC"/>
    <w:rsid w:val="654E3DDA"/>
    <w:rsid w:val="65823944"/>
    <w:rsid w:val="658C39AE"/>
    <w:rsid w:val="65AC2BAE"/>
    <w:rsid w:val="65D83B0D"/>
    <w:rsid w:val="65E40126"/>
    <w:rsid w:val="667757BB"/>
    <w:rsid w:val="668533B4"/>
    <w:rsid w:val="66AF4913"/>
    <w:rsid w:val="66CE705F"/>
    <w:rsid w:val="670C5F85"/>
    <w:rsid w:val="67107C71"/>
    <w:rsid w:val="674D2C09"/>
    <w:rsid w:val="67596D15"/>
    <w:rsid w:val="676716F6"/>
    <w:rsid w:val="67AD0ED8"/>
    <w:rsid w:val="67E35E9B"/>
    <w:rsid w:val="67EB452B"/>
    <w:rsid w:val="67FF0378"/>
    <w:rsid w:val="680663DE"/>
    <w:rsid w:val="68302D59"/>
    <w:rsid w:val="683472F0"/>
    <w:rsid w:val="6851530F"/>
    <w:rsid w:val="68662C89"/>
    <w:rsid w:val="6869454F"/>
    <w:rsid w:val="6915757F"/>
    <w:rsid w:val="69A76C9C"/>
    <w:rsid w:val="69B9775F"/>
    <w:rsid w:val="69E635B4"/>
    <w:rsid w:val="6A0C7664"/>
    <w:rsid w:val="6A2A65A2"/>
    <w:rsid w:val="6A4162E5"/>
    <w:rsid w:val="6A471585"/>
    <w:rsid w:val="6A4A3D79"/>
    <w:rsid w:val="6A5F1604"/>
    <w:rsid w:val="6A6D6713"/>
    <w:rsid w:val="6A7C0AB1"/>
    <w:rsid w:val="6A93747D"/>
    <w:rsid w:val="6AE40F4B"/>
    <w:rsid w:val="6B4C5474"/>
    <w:rsid w:val="6B7C3841"/>
    <w:rsid w:val="6BA8474C"/>
    <w:rsid w:val="6BAC010F"/>
    <w:rsid w:val="6BAD3A3E"/>
    <w:rsid w:val="6BC479B7"/>
    <w:rsid w:val="6BF94150"/>
    <w:rsid w:val="6C3C413A"/>
    <w:rsid w:val="6C7A181E"/>
    <w:rsid w:val="6C8832D0"/>
    <w:rsid w:val="6C90702C"/>
    <w:rsid w:val="6CC3614F"/>
    <w:rsid w:val="6CE43BFD"/>
    <w:rsid w:val="6D0F03BD"/>
    <w:rsid w:val="6D120D2D"/>
    <w:rsid w:val="6D1A330B"/>
    <w:rsid w:val="6D3D1E5B"/>
    <w:rsid w:val="6D70642F"/>
    <w:rsid w:val="6DBE2E75"/>
    <w:rsid w:val="6DC31726"/>
    <w:rsid w:val="6DCC0572"/>
    <w:rsid w:val="6E134A4A"/>
    <w:rsid w:val="6E164ABF"/>
    <w:rsid w:val="6E1B0658"/>
    <w:rsid w:val="6E1D3CCA"/>
    <w:rsid w:val="6E3806F5"/>
    <w:rsid w:val="6E646411"/>
    <w:rsid w:val="6E7C652A"/>
    <w:rsid w:val="6EB35004"/>
    <w:rsid w:val="6EB648C5"/>
    <w:rsid w:val="6EDF50F8"/>
    <w:rsid w:val="6EF91612"/>
    <w:rsid w:val="6F164085"/>
    <w:rsid w:val="6F736E6F"/>
    <w:rsid w:val="6F8376BF"/>
    <w:rsid w:val="6FA32F81"/>
    <w:rsid w:val="6FAE5E40"/>
    <w:rsid w:val="6FE72507"/>
    <w:rsid w:val="700E2C8A"/>
    <w:rsid w:val="70206AA6"/>
    <w:rsid w:val="70307EAF"/>
    <w:rsid w:val="703D52E4"/>
    <w:rsid w:val="704B0A0E"/>
    <w:rsid w:val="704E1DEC"/>
    <w:rsid w:val="706143B4"/>
    <w:rsid w:val="70D301BC"/>
    <w:rsid w:val="70DF5431"/>
    <w:rsid w:val="70E70BF6"/>
    <w:rsid w:val="71116D30"/>
    <w:rsid w:val="711E4FEF"/>
    <w:rsid w:val="7146167C"/>
    <w:rsid w:val="714908B2"/>
    <w:rsid w:val="71493BA7"/>
    <w:rsid w:val="715915A1"/>
    <w:rsid w:val="721A53F9"/>
    <w:rsid w:val="72454DE9"/>
    <w:rsid w:val="72A0288A"/>
    <w:rsid w:val="72ED635E"/>
    <w:rsid w:val="73275320"/>
    <w:rsid w:val="73316EB7"/>
    <w:rsid w:val="73695580"/>
    <w:rsid w:val="73AD675F"/>
    <w:rsid w:val="73ED1E0B"/>
    <w:rsid w:val="74075103"/>
    <w:rsid w:val="741D3C20"/>
    <w:rsid w:val="74220605"/>
    <w:rsid w:val="7426610C"/>
    <w:rsid w:val="74565B27"/>
    <w:rsid w:val="751A7192"/>
    <w:rsid w:val="751B7593"/>
    <w:rsid w:val="752119F7"/>
    <w:rsid w:val="756A645D"/>
    <w:rsid w:val="7577313B"/>
    <w:rsid w:val="758C7B28"/>
    <w:rsid w:val="75AB6404"/>
    <w:rsid w:val="75CD5560"/>
    <w:rsid w:val="761D4EFF"/>
    <w:rsid w:val="765C3CC5"/>
    <w:rsid w:val="766B10F7"/>
    <w:rsid w:val="76737946"/>
    <w:rsid w:val="76B95DEB"/>
    <w:rsid w:val="76DB4722"/>
    <w:rsid w:val="76F445EB"/>
    <w:rsid w:val="76F5444D"/>
    <w:rsid w:val="770517FC"/>
    <w:rsid w:val="772D0DFC"/>
    <w:rsid w:val="77994CD6"/>
    <w:rsid w:val="77AB07A1"/>
    <w:rsid w:val="77D3143F"/>
    <w:rsid w:val="78364428"/>
    <w:rsid w:val="78517BF4"/>
    <w:rsid w:val="788D25A3"/>
    <w:rsid w:val="78973586"/>
    <w:rsid w:val="78B90A0F"/>
    <w:rsid w:val="78C943B3"/>
    <w:rsid w:val="78E804AE"/>
    <w:rsid w:val="78FC148B"/>
    <w:rsid w:val="7913630A"/>
    <w:rsid w:val="791E0AC6"/>
    <w:rsid w:val="797B550B"/>
    <w:rsid w:val="79AE2CA6"/>
    <w:rsid w:val="79B27972"/>
    <w:rsid w:val="79C25F0C"/>
    <w:rsid w:val="79D834C5"/>
    <w:rsid w:val="79F818AC"/>
    <w:rsid w:val="7A052219"/>
    <w:rsid w:val="7A0B3583"/>
    <w:rsid w:val="7A592B9E"/>
    <w:rsid w:val="7A8B31E0"/>
    <w:rsid w:val="7A8F7B41"/>
    <w:rsid w:val="7A975738"/>
    <w:rsid w:val="7AAD4ADD"/>
    <w:rsid w:val="7AB57146"/>
    <w:rsid w:val="7AC80FA9"/>
    <w:rsid w:val="7AD61D6E"/>
    <w:rsid w:val="7AE104E4"/>
    <w:rsid w:val="7AE7261D"/>
    <w:rsid w:val="7B07396E"/>
    <w:rsid w:val="7B1C2809"/>
    <w:rsid w:val="7B240F64"/>
    <w:rsid w:val="7B512830"/>
    <w:rsid w:val="7B5A22F8"/>
    <w:rsid w:val="7B695B15"/>
    <w:rsid w:val="7B6C0247"/>
    <w:rsid w:val="7B7F4FAF"/>
    <w:rsid w:val="7BA1272C"/>
    <w:rsid w:val="7C060246"/>
    <w:rsid w:val="7C1558FC"/>
    <w:rsid w:val="7C1D35DC"/>
    <w:rsid w:val="7C4A299E"/>
    <w:rsid w:val="7CB65C1E"/>
    <w:rsid w:val="7CCD32AF"/>
    <w:rsid w:val="7CE010F9"/>
    <w:rsid w:val="7CE9480E"/>
    <w:rsid w:val="7CF41F44"/>
    <w:rsid w:val="7D0C4510"/>
    <w:rsid w:val="7D153FE5"/>
    <w:rsid w:val="7D442924"/>
    <w:rsid w:val="7D5C1E01"/>
    <w:rsid w:val="7D837664"/>
    <w:rsid w:val="7DBF54A5"/>
    <w:rsid w:val="7E120DFF"/>
    <w:rsid w:val="7E35244A"/>
    <w:rsid w:val="7E3C4310"/>
    <w:rsid w:val="7E6122F2"/>
    <w:rsid w:val="7EC405CA"/>
    <w:rsid w:val="7F30148E"/>
    <w:rsid w:val="7F861158"/>
    <w:rsid w:val="7F8968FC"/>
    <w:rsid w:val="7FF231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name="HTML Acronym"/>
    <w:lsdException w:unhideWhenUsed="0" w:uiPriority="0" w:name="HTML Address"/>
    <w:lsdException w:unhideWhenUsed="0" w:uiPriority="0" w:name="HTML Cite"/>
    <w:lsdException w:unhideWhenUsed="0" w:uiPriority="0" w:name="HTML Code"/>
    <w:lsdException w:unhideWhenUsed="0" w:uiPriority="0" w:name="HTML Definition"/>
    <w:lsdException w:unhideWhenUsed="0" w:uiPriority="0" w:name="HTML Keyboard"/>
    <w:lsdException w:unhideWhenUsed="0" w:uiPriority="0" w:name="HTML Preformatted"/>
    <w:lsdException w:unhideWhenUsed="0" w:uiPriority="0" w:name="HTML Sample"/>
    <w:lsdException w:unhideWhenUsed="0" w:uiPriority="0" w:name="HTML Typewriter"/>
    <w:lsdException w:unhideWhenUsed="0" w:uiPriority="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link w:val="175"/>
    <w:qFormat/>
    <w:uiPriority w:val="0"/>
    <w:pPr>
      <w:outlineLvl w:val="0"/>
    </w:pPr>
    <w:rPr>
      <w:rFonts w:ascii="宋体" w:hAnsi="宋体"/>
    </w:rPr>
  </w:style>
  <w:style w:type="paragraph" w:styleId="4">
    <w:name w:val="heading 2"/>
    <w:basedOn w:val="1"/>
    <w:next w:val="1"/>
    <w:link w:val="181"/>
    <w:qFormat/>
    <w:uiPriority w:val="0"/>
    <w:pPr>
      <w:outlineLvl w:val="1"/>
    </w:pPr>
  </w:style>
  <w:style w:type="paragraph" w:styleId="5">
    <w:name w:val="heading 3"/>
    <w:basedOn w:val="1"/>
    <w:next w:val="1"/>
    <w:link w:val="182"/>
    <w:qFormat/>
    <w:uiPriority w:val="0"/>
    <w:pPr>
      <w:keepNext/>
      <w:keepLines/>
      <w:spacing w:before="120" w:after="120" w:line="360" w:lineRule="auto"/>
      <w:ind w:left="1069" w:hanging="1069"/>
      <w:jc w:val="center"/>
      <w:outlineLvl w:val="2"/>
    </w:pPr>
    <w:rPr>
      <w:rFonts w:ascii="宋体" w:hAnsi="宋体"/>
      <w:b/>
      <w:bCs/>
      <w:kern w:val="0"/>
      <w:sz w:val="36"/>
      <w:szCs w:val="18"/>
    </w:rPr>
  </w:style>
  <w:style w:type="paragraph" w:styleId="6">
    <w:name w:val="heading 4"/>
    <w:basedOn w:val="1"/>
    <w:next w:val="1"/>
    <w:link w:val="184"/>
    <w:qFormat/>
    <w:uiPriority w:val="0"/>
    <w:pPr>
      <w:keepNext/>
      <w:keepLines/>
      <w:spacing w:before="120" w:after="120" w:line="360" w:lineRule="auto"/>
      <w:ind w:left="851" w:hanging="851"/>
      <w:outlineLvl w:val="3"/>
    </w:pPr>
    <w:rPr>
      <w:rFonts w:ascii="Times New Roman" w:hAnsi="Times New Roman"/>
      <w:b/>
      <w:bCs/>
      <w:kern w:val="0"/>
      <w:szCs w:val="28"/>
    </w:rPr>
  </w:style>
  <w:style w:type="paragraph" w:styleId="7">
    <w:name w:val="heading 5"/>
    <w:basedOn w:val="1"/>
    <w:next w:val="1"/>
    <w:link w:val="178"/>
    <w:qFormat/>
    <w:uiPriority w:val="0"/>
    <w:pPr>
      <w:keepNext/>
      <w:keepLines/>
      <w:spacing w:before="120" w:after="120" w:line="360" w:lineRule="auto"/>
      <w:ind w:left="992" w:hanging="992"/>
      <w:outlineLvl w:val="4"/>
    </w:pPr>
    <w:rPr>
      <w:rFonts w:ascii="Times New Roman" w:hAnsi="Times New Roman"/>
      <w:b/>
      <w:bCs/>
      <w:kern w:val="0"/>
      <w:sz w:val="20"/>
      <w:szCs w:val="28"/>
    </w:rPr>
  </w:style>
  <w:style w:type="paragraph" w:styleId="8">
    <w:name w:val="heading 6"/>
    <w:basedOn w:val="1"/>
    <w:next w:val="1"/>
    <w:link w:val="180"/>
    <w:qFormat/>
    <w:uiPriority w:val="0"/>
    <w:pPr>
      <w:keepNext/>
      <w:keepLines/>
      <w:spacing w:before="240" w:after="64" w:line="320" w:lineRule="auto"/>
      <w:ind w:left="1134" w:hanging="1134"/>
      <w:outlineLvl w:val="5"/>
    </w:pPr>
    <w:rPr>
      <w:rFonts w:ascii="Cambria" w:hAnsi="Cambria"/>
      <w:b/>
      <w:bCs/>
      <w:szCs w:val="24"/>
    </w:rPr>
  </w:style>
  <w:style w:type="paragraph" w:styleId="9">
    <w:name w:val="heading 7"/>
    <w:basedOn w:val="1"/>
    <w:next w:val="1"/>
    <w:link w:val="172"/>
    <w:qFormat/>
    <w:uiPriority w:val="0"/>
    <w:pPr>
      <w:keepNext/>
      <w:keepLines/>
      <w:spacing w:before="240" w:after="64" w:line="320" w:lineRule="auto"/>
      <w:outlineLvl w:val="6"/>
    </w:pPr>
    <w:rPr>
      <w:rFonts w:ascii="Times New Roman" w:hAnsi="Times New Roman"/>
      <w:b/>
      <w:bCs/>
      <w:szCs w:val="24"/>
    </w:rPr>
  </w:style>
  <w:style w:type="paragraph" w:styleId="10">
    <w:name w:val="heading 8"/>
    <w:basedOn w:val="8"/>
    <w:next w:val="1"/>
    <w:link w:val="177"/>
    <w:qFormat/>
    <w:uiPriority w:val="0"/>
    <w:pPr>
      <w:numPr>
        <w:ilvl w:val="0"/>
        <w:numId w:val="0"/>
      </w:numPr>
      <w:spacing w:before="120" w:after="120" w:line="360" w:lineRule="auto"/>
      <w:outlineLvl w:val="7"/>
    </w:pPr>
    <w:rPr>
      <w:rFonts w:ascii="Times New Roman" w:hAnsi="Times New Roman"/>
      <w:bCs w:val="0"/>
      <w:kern w:val="0"/>
    </w:rPr>
  </w:style>
  <w:style w:type="paragraph" w:styleId="11">
    <w:name w:val="heading 9"/>
    <w:basedOn w:val="1"/>
    <w:next w:val="1"/>
    <w:link w:val="176"/>
    <w:qFormat/>
    <w:uiPriority w:val="0"/>
    <w:pPr>
      <w:keepNext/>
      <w:keepLines/>
      <w:spacing w:before="240" w:after="64" w:line="320" w:lineRule="auto"/>
      <w:outlineLvl w:val="8"/>
    </w:pPr>
    <w:rPr>
      <w:rFonts w:ascii="Cambria" w:hAnsi="Cambria"/>
      <w:sz w:val="21"/>
      <w:szCs w:val="21"/>
    </w:rPr>
  </w:style>
  <w:style w:type="character" w:default="1" w:styleId="48">
    <w:name w:val="Default Paragraph Font"/>
    <w:unhideWhenUsed/>
    <w:qFormat/>
    <w:uiPriority w:val="1"/>
  </w:style>
  <w:style w:type="table" w:default="1" w:styleId="46">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autoSpaceDE w:val="0"/>
      <w:autoSpaceDN w:val="0"/>
      <w:adjustRightInd w:val="0"/>
      <w:spacing w:line="500" w:lineRule="exact"/>
      <w:ind w:left="391" w:right="246"/>
    </w:pPr>
    <w:rPr>
      <w:rFonts w:ascii="仿宋_GB2312" w:hAnsi="Calibri" w:eastAsia="仿宋_GB2312"/>
      <w:kern w:val="0"/>
      <w:sz w:val="24"/>
    </w:rPr>
  </w:style>
  <w:style w:type="paragraph" w:styleId="12">
    <w:name w:val="toc 7"/>
    <w:basedOn w:val="1"/>
    <w:next w:val="1"/>
    <w:qFormat/>
    <w:uiPriority w:val="0"/>
    <w:pPr>
      <w:ind w:left="1260"/>
      <w:jc w:val="left"/>
    </w:pPr>
    <w:rPr>
      <w:sz w:val="18"/>
      <w:szCs w:val="18"/>
    </w:rPr>
  </w:style>
  <w:style w:type="paragraph" w:styleId="13">
    <w:name w:val="Normal Indent"/>
    <w:basedOn w:val="1"/>
    <w:link w:val="183"/>
    <w:unhideWhenUsed/>
    <w:qFormat/>
    <w:uiPriority w:val="0"/>
    <w:pPr>
      <w:ind w:firstLine="420" w:firstLineChars="200"/>
    </w:pPr>
    <w:rPr>
      <w:rFonts w:ascii="Calibri" w:hAnsi="Calibri"/>
      <w:sz w:val="21"/>
    </w:rPr>
  </w:style>
  <w:style w:type="paragraph" w:styleId="14">
    <w:name w:val="caption"/>
    <w:basedOn w:val="1"/>
    <w:next w:val="1"/>
    <w:qFormat/>
    <w:uiPriority w:val="35"/>
    <w:rPr>
      <w:rFonts w:ascii="Cambria" w:hAnsi="Cambria" w:eastAsia="黑体"/>
      <w:sz w:val="20"/>
      <w:szCs w:val="20"/>
    </w:rPr>
  </w:style>
  <w:style w:type="paragraph" w:styleId="15">
    <w:name w:val="Document Map"/>
    <w:basedOn w:val="1"/>
    <w:link w:val="174"/>
    <w:qFormat/>
    <w:uiPriority w:val="0"/>
    <w:rPr>
      <w:rFonts w:ascii="宋体" w:hAnsi="Calibri"/>
      <w:sz w:val="18"/>
      <w:szCs w:val="18"/>
    </w:rPr>
  </w:style>
  <w:style w:type="paragraph" w:styleId="16">
    <w:name w:val="toa heading"/>
    <w:basedOn w:val="1"/>
    <w:next w:val="1"/>
    <w:unhideWhenUsed/>
    <w:qFormat/>
    <w:uiPriority w:val="0"/>
    <w:pPr>
      <w:spacing w:before="120"/>
    </w:pPr>
    <w:rPr>
      <w:rFonts w:ascii="Cambria" w:hAnsi="Cambria" w:cs="Times New Roman"/>
      <w:sz w:val="24"/>
    </w:rPr>
  </w:style>
  <w:style w:type="paragraph" w:styleId="17">
    <w:name w:val="annotation text"/>
    <w:basedOn w:val="1"/>
    <w:link w:val="185"/>
    <w:qFormat/>
    <w:uiPriority w:val="0"/>
    <w:pPr>
      <w:jc w:val="left"/>
    </w:pPr>
    <w:rPr>
      <w:rFonts w:ascii="Calibri" w:hAnsi="Calibri"/>
      <w:sz w:val="21"/>
    </w:rPr>
  </w:style>
  <w:style w:type="paragraph" w:styleId="18">
    <w:name w:val="Body Text"/>
    <w:basedOn w:val="1"/>
    <w:next w:val="19"/>
    <w:qFormat/>
    <w:uiPriority w:val="0"/>
    <w:pPr>
      <w:spacing w:after="120"/>
    </w:pPr>
  </w:style>
  <w:style w:type="paragraph" w:customStyle="1" w:styleId="19">
    <w:name w:val="Default"/>
    <w:next w:val="20"/>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0">
    <w:name w:val="Char Char10 Char Char Char Char"/>
    <w:basedOn w:val="1"/>
    <w:next w:val="1"/>
    <w:qFormat/>
    <w:uiPriority w:val="0"/>
    <w:rPr>
      <w:rFonts w:ascii="Calibri" w:hAnsi="Calibri"/>
      <w:kern w:val="0"/>
    </w:rPr>
  </w:style>
  <w:style w:type="paragraph" w:styleId="21">
    <w:name w:val="Body Text Indent"/>
    <w:basedOn w:val="1"/>
    <w:link w:val="186"/>
    <w:qFormat/>
    <w:uiPriority w:val="0"/>
    <w:pPr>
      <w:ind w:firstLine="830" w:firstLineChars="352"/>
    </w:pPr>
    <w:rPr>
      <w:rFonts w:ascii="仿宋_GB2312" w:eastAsia="仿宋_GB2312"/>
      <w:sz w:val="32"/>
      <w:szCs w:val="20"/>
    </w:rPr>
  </w:style>
  <w:style w:type="paragraph" w:styleId="22">
    <w:name w:val="toc 5"/>
    <w:basedOn w:val="1"/>
    <w:next w:val="1"/>
    <w:qFormat/>
    <w:uiPriority w:val="0"/>
    <w:pPr>
      <w:ind w:left="840"/>
      <w:jc w:val="left"/>
    </w:pPr>
    <w:rPr>
      <w:sz w:val="18"/>
      <w:szCs w:val="18"/>
    </w:rPr>
  </w:style>
  <w:style w:type="paragraph" w:styleId="23">
    <w:name w:val="toc 3"/>
    <w:basedOn w:val="1"/>
    <w:next w:val="1"/>
    <w:unhideWhenUsed/>
    <w:qFormat/>
    <w:uiPriority w:val="39"/>
    <w:pPr>
      <w:ind w:left="420"/>
      <w:jc w:val="left"/>
    </w:pPr>
    <w:rPr>
      <w:iCs/>
      <w:sz w:val="28"/>
      <w:szCs w:val="20"/>
    </w:rPr>
  </w:style>
  <w:style w:type="paragraph" w:styleId="24">
    <w:name w:val="Plain Text"/>
    <w:basedOn w:val="1"/>
    <w:link w:val="187"/>
    <w:qFormat/>
    <w:uiPriority w:val="0"/>
    <w:rPr>
      <w:rFonts w:ascii="宋体" w:hAnsi="Courier New" w:eastAsia="等线"/>
      <w:sz w:val="21"/>
      <w:szCs w:val="21"/>
    </w:rPr>
  </w:style>
  <w:style w:type="paragraph" w:styleId="25">
    <w:name w:val="toc 8"/>
    <w:basedOn w:val="1"/>
    <w:next w:val="1"/>
    <w:qFormat/>
    <w:uiPriority w:val="0"/>
    <w:pPr>
      <w:ind w:left="1470"/>
      <w:jc w:val="left"/>
    </w:pPr>
    <w:rPr>
      <w:sz w:val="18"/>
      <w:szCs w:val="18"/>
    </w:rPr>
  </w:style>
  <w:style w:type="paragraph" w:styleId="26">
    <w:name w:val="Date"/>
    <w:basedOn w:val="1"/>
    <w:next w:val="1"/>
    <w:link w:val="188"/>
    <w:qFormat/>
    <w:uiPriority w:val="0"/>
    <w:pPr>
      <w:adjustRightInd w:val="0"/>
      <w:spacing w:line="360" w:lineRule="atLeast"/>
    </w:pPr>
    <w:rPr>
      <w:rFonts w:hint="eastAsia" w:ascii="宋体"/>
      <w:kern w:val="0"/>
      <w:sz w:val="24"/>
      <w:szCs w:val="20"/>
    </w:rPr>
  </w:style>
  <w:style w:type="paragraph" w:styleId="27">
    <w:name w:val="endnote text"/>
    <w:basedOn w:val="28"/>
    <w:qFormat/>
    <w:uiPriority w:val="0"/>
    <w:pPr>
      <w:snapToGrid w:val="0"/>
      <w:jc w:val="left"/>
    </w:pPr>
    <w:rPr>
      <w:rFonts w:ascii="Calibri" w:hAnsi="Calibri" w:eastAsia="宋体"/>
      <w:kern w:val="0"/>
      <w:sz w:val="24"/>
      <w:szCs w:val="24"/>
    </w:rPr>
  </w:style>
  <w:style w:type="paragraph" w:customStyle="1" w:styleId="28">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Balloon Text"/>
    <w:basedOn w:val="1"/>
    <w:link w:val="189"/>
    <w:qFormat/>
    <w:uiPriority w:val="0"/>
    <w:rPr>
      <w:rFonts w:ascii="Calibri" w:hAnsi="Calibri"/>
      <w:sz w:val="18"/>
      <w:szCs w:val="18"/>
    </w:rPr>
  </w:style>
  <w:style w:type="paragraph" w:styleId="30">
    <w:name w:val="footer"/>
    <w:basedOn w:val="1"/>
    <w:link w:val="190"/>
    <w:qFormat/>
    <w:uiPriority w:val="0"/>
    <w:pPr>
      <w:tabs>
        <w:tab w:val="center" w:pos="4153"/>
        <w:tab w:val="right" w:pos="8306"/>
      </w:tabs>
      <w:snapToGrid w:val="0"/>
      <w:jc w:val="left"/>
    </w:pPr>
    <w:rPr>
      <w:sz w:val="18"/>
      <w:szCs w:val="18"/>
    </w:rPr>
  </w:style>
  <w:style w:type="paragraph" w:styleId="31">
    <w:name w:val="header"/>
    <w:basedOn w:val="1"/>
    <w:link w:val="179"/>
    <w:qFormat/>
    <w:uiPriority w:val="99"/>
    <w:pPr>
      <w:pBdr>
        <w:bottom w:val="single" w:color="auto" w:sz="6" w:space="1"/>
      </w:pBdr>
      <w:tabs>
        <w:tab w:val="center" w:pos="4153"/>
        <w:tab w:val="right" w:pos="8306"/>
      </w:tabs>
      <w:snapToGrid w:val="0"/>
      <w:jc w:val="center"/>
    </w:pPr>
    <w:rPr>
      <w:rFonts w:eastAsia="等线"/>
      <w:sz w:val="18"/>
      <w:szCs w:val="18"/>
    </w:rPr>
  </w:style>
  <w:style w:type="paragraph" w:styleId="32">
    <w:name w:val="toc 1"/>
    <w:basedOn w:val="1"/>
    <w:next w:val="1"/>
    <w:unhideWhenUsed/>
    <w:qFormat/>
    <w:uiPriority w:val="39"/>
    <w:pPr>
      <w:spacing w:before="120" w:after="120"/>
      <w:jc w:val="left"/>
    </w:pPr>
    <w:rPr>
      <w:b/>
      <w:bCs/>
      <w:caps/>
      <w:sz w:val="28"/>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191"/>
    <w:qFormat/>
    <w:uiPriority w:val="11"/>
    <w:pPr>
      <w:spacing w:before="240" w:after="60" w:line="312" w:lineRule="auto"/>
      <w:jc w:val="center"/>
      <w:outlineLvl w:val="1"/>
    </w:pPr>
    <w:rPr>
      <w:rFonts w:ascii="Cambria" w:hAnsi="Cambria"/>
      <w:b/>
      <w:bCs/>
      <w:kern w:val="28"/>
      <w:sz w:val="32"/>
      <w:szCs w:val="32"/>
    </w:rPr>
  </w:style>
  <w:style w:type="paragraph" w:styleId="35">
    <w:name w:val="footnote text"/>
    <w:basedOn w:val="1"/>
    <w:qFormat/>
    <w:uiPriority w:val="0"/>
    <w:pPr>
      <w:snapToGrid w:val="0"/>
      <w:jc w:val="left"/>
    </w:pPr>
    <w:rPr>
      <w:sz w:val="18"/>
      <w:szCs w:val="18"/>
    </w:rPr>
  </w:style>
  <w:style w:type="paragraph" w:styleId="36">
    <w:name w:val="toc 6"/>
    <w:basedOn w:val="1"/>
    <w:next w:val="1"/>
    <w:qFormat/>
    <w:uiPriority w:val="0"/>
    <w:pPr>
      <w:ind w:left="1050"/>
      <w:jc w:val="left"/>
    </w:pPr>
    <w:rPr>
      <w:sz w:val="18"/>
      <w:szCs w:val="18"/>
    </w:rPr>
  </w:style>
  <w:style w:type="paragraph" w:styleId="37">
    <w:name w:val="toc 2"/>
    <w:basedOn w:val="1"/>
    <w:next w:val="1"/>
    <w:unhideWhenUsed/>
    <w:qFormat/>
    <w:uiPriority w:val="39"/>
    <w:pPr>
      <w:ind w:left="200" w:leftChars="200"/>
      <w:jc w:val="left"/>
    </w:pPr>
    <w:rPr>
      <w:smallCaps/>
      <w:sz w:val="28"/>
      <w:szCs w:val="20"/>
    </w:rPr>
  </w:style>
  <w:style w:type="paragraph" w:styleId="38">
    <w:name w:val="toc 9"/>
    <w:basedOn w:val="1"/>
    <w:next w:val="1"/>
    <w:qFormat/>
    <w:uiPriority w:val="0"/>
    <w:pPr>
      <w:ind w:left="1680"/>
      <w:jc w:val="left"/>
    </w:pPr>
    <w:rPr>
      <w:sz w:val="18"/>
      <w:szCs w:val="18"/>
    </w:rPr>
  </w:style>
  <w:style w:type="paragraph" w:styleId="39">
    <w:name w:val="Normal (Web)"/>
    <w:basedOn w:val="1"/>
    <w:qFormat/>
    <w:uiPriority w:val="99"/>
    <w:rPr>
      <w:rFonts w:ascii="Times New Roman" w:hAnsi="Times New Roman" w:cs="Times New Roman"/>
      <w:sz w:val="24"/>
      <w:szCs w:val="24"/>
    </w:rPr>
  </w:style>
  <w:style w:type="paragraph" w:styleId="40">
    <w:name w:val="Title"/>
    <w:basedOn w:val="1"/>
    <w:next w:val="1"/>
    <w:link w:val="192"/>
    <w:qFormat/>
    <w:uiPriority w:val="0"/>
    <w:pPr>
      <w:spacing w:before="240" w:after="60" w:line="960" w:lineRule="auto"/>
      <w:jc w:val="center"/>
    </w:pPr>
    <w:rPr>
      <w:rFonts w:ascii="Cambria" w:hAnsi="Cambria" w:eastAsia="黑体"/>
      <w:b/>
      <w:bCs/>
      <w:kern w:val="0"/>
      <w:sz w:val="52"/>
      <w:szCs w:val="32"/>
    </w:rPr>
  </w:style>
  <w:style w:type="paragraph" w:styleId="41">
    <w:name w:val="annotation subject"/>
    <w:basedOn w:val="17"/>
    <w:next w:val="17"/>
    <w:link w:val="193"/>
    <w:qFormat/>
    <w:uiPriority w:val="99"/>
    <w:rPr>
      <w:rFonts w:ascii="Times New Roman" w:hAnsi="Times New Roman"/>
      <w:b/>
      <w:sz w:val="28"/>
      <w:szCs w:val="20"/>
    </w:rPr>
  </w:style>
  <w:style w:type="paragraph" w:styleId="42">
    <w:name w:val="Body Text First Indent"/>
    <w:basedOn w:val="18"/>
    <w:unhideWhenUsed/>
    <w:qFormat/>
    <w:uiPriority w:val="99"/>
    <w:pPr>
      <w:ind w:firstLine="420" w:firstLineChars="100"/>
    </w:pPr>
  </w:style>
  <w:style w:type="paragraph" w:styleId="43">
    <w:name w:val="Body Text First Indent 2"/>
    <w:basedOn w:val="44"/>
    <w:qFormat/>
    <w:uiPriority w:val="0"/>
    <w:pPr>
      <w:tabs>
        <w:tab w:val="left" w:pos="0"/>
        <w:tab w:val="left" w:pos="993"/>
        <w:tab w:val="left" w:pos="1134"/>
      </w:tabs>
      <w:ind w:firstLine="420"/>
    </w:pPr>
    <w:rPr>
      <w:rFonts w:ascii="宋体" w:cs="宋体"/>
      <w:kern w:val="0"/>
      <w:szCs w:val="21"/>
    </w:rPr>
  </w:style>
  <w:style w:type="paragraph" w:customStyle="1" w:styleId="44">
    <w:name w:val="正文文本缩进_0"/>
    <w:basedOn w:val="45"/>
    <w:unhideWhenUsed/>
    <w:qFormat/>
    <w:uiPriority w:val="0"/>
    <w:pPr>
      <w:spacing w:after="120"/>
      <w:ind w:left="420" w:leftChars="200"/>
    </w:pPr>
    <w:rPr>
      <w:rFonts w:ascii="Calibri" w:hAnsi="Calibri" w:eastAsia="宋体"/>
      <w:sz w:val="21"/>
    </w:rPr>
  </w:style>
  <w:style w:type="paragraph" w:customStyle="1" w:styleId="45">
    <w:name w:val="正文_2_1"/>
    <w:qFormat/>
    <w:uiPriority w:val="0"/>
    <w:pPr>
      <w:widowControl w:val="0"/>
      <w:jc w:val="both"/>
    </w:pPr>
    <w:rPr>
      <w:rFonts w:ascii="Calibri" w:hAnsi="Calibri" w:eastAsia="宋体" w:cs="Times New Roman"/>
      <w:kern w:val="2"/>
      <w:sz w:val="21"/>
      <w:szCs w:val="22"/>
      <w:lang w:val="en-US" w:eastAsia="zh-CN" w:bidi="ar-SA"/>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0"/>
    <w:rPr>
      <w:b/>
      <w:bCs/>
    </w:rPr>
  </w:style>
  <w:style w:type="character" w:styleId="50">
    <w:name w:val="endnote reference"/>
    <w:qFormat/>
    <w:uiPriority w:val="0"/>
    <w:rPr>
      <w:rFonts w:ascii="Calibri" w:hAnsi="Calibri" w:eastAsia="宋体" w:cs="Times New Roman"/>
      <w:vertAlign w:val="superscript"/>
    </w:rPr>
  </w:style>
  <w:style w:type="character" w:styleId="51">
    <w:name w:val="page number"/>
    <w:basedOn w:val="48"/>
    <w:qFormat/>
    <w:uiPriority w:val="0"/>
  </w:style>
  <w:style w:type="character" w:styleId="52">
    <w:name w:val="FollowedHyperlink"/>
    <w:unhideWhenUsed/>
    <w:qFormat/>
    <w:uiPriority w:val="99"/>
    <w:rPr>
      <w:color w:val="800080"/>
      <w:u w:val="single"/>
    </w:rPr>
  </w:style>
  <w:style w:type="character" w:styleId="53">
    <w:name w:val="Emphasis"/>
    <w:qFormat/>
    <w:uiPriority w:val="20"/>
    <w:rPr>
      <w:i/>
      <w:iCs/>
    </w:rPr>
  </w:style>
  <w:style w:type="character" w:styleId="54">
    <w:name w:val="Hyperlink"/>
    <w:unhideWhenUsed/>
    <w:qFormat/>
    <w:uiPriority w:val="99"/>
    <w:rPr>
      <w:color w:val="0000FF"/>
      <w:u w:val="single"/>
    </w:rPr>
  </w:style>
  <w:style w:type="character" w:styleId="55">
    <w:name w:val="annotation reference"/>
    <w:qFormat/>
    <w:uiPriority w:val="0"/>
    <w:rPr>
      <w:sz w:val="21"/>
      <w:szCs w:val="21"/>
    </w:rPr>
  </w:style>
  <w:style w:type="character" w:styleId="56">
    <w:name w:val="footnote reference"/>
    <w:basedOn w:val="48"/>
    <w:qFormat/>
    <w:uiPriority w:val="0"/>
    <w:rPr>
      <w:vertAlign w:val="superscript"/>
    </w:rPr>
  </w:style>
  <w:style w:type="paragraph" w:customStyle="1" w:styleId="57">
    <w:name w:val="正文_1"/>
    <w:basedOn w:val="58"/>
    <w:next w:val="66"/>
    <w:qFormat/>
    <w:uiPriority w:val="0"/>
    <w:pPr>
      <w:widowControl w:val="0"/>
    </w:pPr>
    <w:rPr>
      <w:rFonts w:ascii="等线" w:hAnsi="等线" w:eastAsia="宋体" w:cs="Times New Roman"/>
      <w:kern w:val="2"/>
      <w:sz w:val="24"/>
      <w:szCs w:val="22"/>
      <w:lang w:val="en-US" w:eastAsia="zh-CN" w:bidi="ar-SA"/>
    </w:rPr>
  </w:style>
  <w:style w:type="paragraph" w:customStyle="1" w:styleId="58">
    <w:name w:val="正文_2"/>
    <w:basedOn w:val="59"/>
    <w:next w:val="6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正文_1_0"/>
    <w:basedOn w:val="60"/>
    <w:next w:val="62"/>
    <w:qFormat/>
    <w:uiPriority w:val="0"/>
    <w:pPr>
      <w:widowControl w:val="0"/>
      <w:jc w:val="both"/>
    </w:pPr>
    <w:rPr>
      <w:rFonts w:ascii="Calibri" w:hAnsi="Calibri"/>
      <w:kern w:val="2"/>
      <w:sz w:val="28"/>
      <w:szCs w:val="22"/>
      <w:lang w:val="en-US" w:eastAsia="zh-CN" w:bidi="ar-SA"/>
    </w:rPr>
  </w:style>
  <w:style w:type="paragraph" w:customStyle="1" w:styleId="60">
    <w:name w:val="Normal"/>
    <w:next w:val="6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Footnote Text"/>
    <w:basedOn w:val="60"/>
    <w:qFormat/>
    <w:uiPriority w:val="0"/>
    <w:pPr>
      <w:snapToGrid w:val="0"/>
      <w:jc w:val="left"/>
    </w:pPr>
    <w:rPr>
      <w:sz w:val="18"/>
      <w:szCs w:val="18"/>
    </w:rPr>
  </w:style>
  <w:style w:type="paragraph" w:customStyle="1" w:styleId="62">
    <w:name w:val="正文首行缩进 2_0"/>
    <w:basedOn w:val="63"/>
    <w:qFormat/>
    <w:uiPriority w:val="0"/>
    <w:pPr>
      <w:tabs>
        <w:tab w:val="left" w:pos="0"/>
        <w:tab w:val="left" w:pos="993"/>
        <w:tab w:val="left" w:pos="1134"/>
      </w:tabs>
      <w:ind w:firstLine="420"/>
    </w:pPr>
    <w:rPr>
      <w:rFonts w:ascii="宋体" w:hAnsi="Calibri" w:eastAsia="Calibri" w:cs="宋体"/>
      <w:kern w:val="0"/>
      <w:szCs w:val="21"/>
    </w:rPr>
  </w:style>
  <w:style w:type="paragraph" w:customStyle="1" w:styleId="63">
    <w:name w:val="正文文本缩进_1"/>
    <w:basedOn w:val="64"/>
    <w:link w:val="194"/>
    <w:unhideWhenUsed/>
    <w:qFormat/>
    <w:uiPriority w:val="0"/>
    <w:pPr>
      <w:ind w:firstLine="830" w:firstLineChars="352"/>
    </w:pPr>
    <w:rPr>
      <w:rFonts w:ascii="仿宋_GB2312" w:hAnsi="Calibri" w:eastAsia="仿宋_GB2312"/>
      <w:sz w:val="32"/>
      <w:szCs w:val="20"/>
    </w:rPr>
  </w:style>
  <w:style w:type="paragraph" w:customStyle="1" w:styleId="64">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正文文本_0"/>
    <w:basedOn w:val="58"/>
    <w:qFormat/>
    <w:uiPriority w:val="0"/>
    <w:pPr>
      <w:spacing w:after="120"/>
    </w:pPr>
  </w:style>
  <w:style w:type="paragraph" w:customStyle="1" w:styleId="66">
    <w:name w:val="正"/>
    <w:basedOn w:val="57"/>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67">
    <w:name w:val="BodyText1I"/>
    <w:basedOn w:val="68"/>
    <w:qFormat/>
    <w:uiPriority w:val="0"/>
    <w:pPr>
      <w:spacing w:after="120"/>
      <w:ind w:firstLine="420" w:firstLineChars="100"/>
      <w:jc w:val="both"/>
      <w:textAlignment w:val="baseline"/>
    </w:pPr>
  </w:style>
  <w:style w:type="paragraph" w:customStyle="1" w:styleId="68">
    <w:name w:val="BodyText"/>
    <w:basedOn w:val="1"/>
    <w:next w:val="1"/>
    <w:qFormat/>
    <w:uiPriority w:val="0"/>
    <w:pPr>
      <w:spacing w:after="120"/>
      <w:jc w:val="both"/>
      <w:textAlignment w:val="baseline"/>
    </w:pPr>
  </w:style>
  <w:style w:type="paragraph" w:customStyle="1" w:styleId="69">
    <w:name w:val="表格文字2"/>
    <w:basedOn w:val="70"/>
    <w:qFormat/>
    <w:uiPriority w:val="99"/>
    <w:pPr>
      <w:jc w:val="left"/>
    </w:pPr>
    <w:rPr>
      <w:bCs/>
      <w:spacing w:val="10"/>
      <w:kern w:val="0"/>
    </w:rPr>
  </w:style>
  <w:style w:type="paragraph" w:customStyle="1" w:styleId="70">
    <w:name w:val="Normal_1"/>
    <w:qFormat/>
    <w:uiPriority w:val="0"/>
    <w:rPr>
      <w:rFonts w:ascii="Times New Roman" w:hAnsi="Times New Roman" w:eastAsia="Times New Roman" w:cs="Times New Roman"/>
      <w:sz w:val="24"/>
      <w:szCs w:val="24"/>
      <w:lang w:bidi="ar-SA"/>
    </w:rPr>
  </w:style>
  <w:style w:type="paragraph" w:customStyle="1" w:styleId="71">
    <w:name w:val="正文1"/>
    <w:basedOn w:val="58"/>
    <w:qFormat/>
    <w:uiPriority w:val="0"/>
    <w:pPr>
      <w:widowControl/>
      <w:adjustRightInd w:val="0"/>
      <w:spacing w:before="120" w:after="120"/>
      <w:ind w:firstLine="200" w:firstLineChars="200"/>
      <w:jc w:val="left"/>
    </w:pPr>
    <w:rPr>
      <w:rFonts w:ascii="Times New Roman" w:hAnsi="Times New Roman" w:eastAsia="Adobe 仿宋 Std R"/>
      <w:szCs w:val="21"/>
    </w:rPr>
  </w:style>
  <w:style w:type="paragraph" w:customStyle="1" w:styleId="72">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_4"/>
    <w:next w:val="7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4">
    <w:name w:val="正文文本_2"/>
    <w:basedOn w:val="73"/>
    <w:qFormat/>
    <w:uiPriority w:val="0"/>
    <w:pPr>
      <w:spacing w:after="120"/>
    </w:pPr>
  </w:style>
  <w:style w:type="paragraph" w:customStyle="1" w:styleId="75">
    <w:name w:val="Body text|2"/>
    <w:basedOn w:val="1"/>
    <w:qFormat/>
    <w:uiPriority w:val="0"/>
    <w:pPr>
      <w:widowControl w:val="0"/>
      <w:shd w:val="clear" w:color="auto" w:fill="auto"/>
      <w:spacing w:after="120"/>
      <w:ind w:right="440"/>
      <w:jc w:val="right"/>
    </w:pPr>
    <w:rPr>
      <w:rFonts w:ascii="Arial" w:hAnsi="Arial" w:eastAsia="Arial" w:cs="Arial"/>
      <w:sz w:val="17"/>
      <w:szCs w:val="17"/>
      <w:u w:val="none"/>
      <w:shd w:val="clear" w:color="auto" w:fill="auto"/>
      <w:lang w:val="zh-TW" w:eastAsia="zh-TW" w:bidi="zh-TW"/>
    </w:rPr>
  </w:style>
  <w:style w:type="paragraph" w:customStyle="1" w:styleId="76">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_Style 55"/>
    <w:link w:val="234"/>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标题 3_1"/>
    <w:basedOn w:val="57"/>
    <w:next w:val="57"/>
    <w:qFormat/>
    <w:uiPriority w:val="0"/>
    <w:pPr>
      <w:keepNext/>
      <w:keepLines/>
      <w:spacing w:before="120" w:after="120" w:line="360" w:lineRule="auto"/>
      <w:ind w:left="1069" w:hanging="1069"/>
      <w:jc w:val="center"/>
      <w:outlineLvl w:val="2"/>
    </w:pPr>
    <w:rPr>
      <w:rFonts w:ascii="宋体" w:hAnsi="宋体"/>
      <w:b/>
      <w:bCs/>
      <w:kern w:val="0"/>
      <w:sz w:val="36"/>
      <w:szCs w:val="18"/>
    </w:rPr>
  </w:style>
  <w:style w:type="paragraph" w:customStyle="1" w:styleId="79">
    <w:name w:val="Normal_16"/>
    <w:qFormat/>
    <w:uiPriority w:val="0"/>
    <w:rPr>
      <w:rFonts w:ascii="黑体" w:hAnsi="黑体" w:eastAsia="黑体" w:cs="Times New Roman"/>
      <w:b/>
      <w:sz w:val="32"/>
      <w:szCs w:val="24"/>
      <w:lang w:bidi="ar-SA"/>
    </w:rPr>
  </w:style>
  <w:style w:type="paragraph" w:customStyle="1" w:styleId="80">
    <w:name w:val="正文_1_2_0"/>
    <w:qFormat/>
    <w:uiPriority w:val="0"/>
    <w:pPr>
      <w:widowControl w:val="0"/>
    </w:pPr>
    <w:rPr>
      <w:rFonts w:ascii="等线" w:hAnsi="等线" w:eastAsia="宋体" w:cs="Times New Roman"/>
      <w:kern w:val="2"/>
      <w:sz w:val="24"/>
      <w:szCs w:val="22"/>
      <w:lang w:val="en-US" w:eastAsia="zh-CN" w:bidi="ar-SA"/>
    </w:rPr>
  </w:style>
  <w:style w:type="paragraph" w:customStyle="1" w:styleId="81">
    <w:name w:val="标题 3_2"/>
    <w:basedOn w:val="82"/>
    <w:next w:val="82"/>
    <w:link w:val="201"/>
    <w:unhideWhenUsed/>
    <w:qFormat/>
    <w:uiPriority w:val="0"/>
    <w:pPr>
      <w:keepNext/>
      <w:keepLines/>
      <w:spacing w:before="260" w:after="260" w:line="416" w:lineRule="auto"/>
      <w:outlineLvl w:val="2"/>
    </w:pPr>
    <w:rPr>
      <w:rFonts w:ascii="Calibri" w:hAnsi="Calibri" w:eastAsia="宋体"/>
      <w:b/>
      <w:bCs/>
      <w:sz w:val="32"/>
      <w:szCs w:val="32"/>
    </w:rPr>
  </w:style>
  <w:style w:type="paragraph" w:customStyle="1" w:styleId="82">
    <w:name w:val="正文_3"/>
    <w:next w:val="83"/>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83">
    <w:name w:val="正文文本_1"/>
    <w:basedOn w:val="82"/>
    <w:link w:val="195"/>
    <w:unhideWhenUsed/>
    <w:qFormat/>
    <w:uiPriority w:val="0"/>
    <w:pPr>
      <w:spacing w:after="120"/>
    </w:pPr>
  </w:style>
  <w:style w:type="paragraph" w:customStyle="1" w:styleId="84">
    <w:name w:val="Normal_4"/>
    <w:qFormat/>
    <w:uiPriority w:val="0"/>
    <w:rPr>
      <w:rFonts w:ascii="黑体" w:hAnsi="黑体" w:eastAsia="黑体" w:cs="Times New Roman"/>
      <w:b/>
      <w:sz w:val="32"/>
      <w:szCs w:val="24"/>
      <w:lang w:bidi="ar-SA"/>
    </w:rPr>
  </w:style>
  <w:style w:type="paragraph" w:customStyle="1" w:styleId="85">
    <w:name w:val="Normal_11"/>
    <w:qFormat/>
    <w:uiPriority w:val="0"/>
    <w:rPr>
      <w:rFonts w:ascii="黑体" w:hAnsi="黑体" w:eastAsia="黑体" w:cs="Times New Roman"/>
      <w:b/>
      <w:sz w:val="32"/>
      <w:szCs w:val="24"/>
      <w:lang w:bidi="ar-SA"/>
    </w:rPr>
  </w:style>
  <w:style w:type="paragraph" w:customStyle="1" w:styleId="86">
    <w:name w:val="_Style 64"/>
    <w:basedOn w:val="3"/>
    <w:next w:val="1"/>
    <w:qFormat/>
    <w:uiPriority w:val="39"/>
    <w:pPr>
      <w:widowControl/>
      <w:numPr>
        <w:ilvl w:val="0"/>
        <w:numId w:val="0"/>
      </w:numPr>
      <w:spacing w:before="480" w:after="0" w:line="276" w:lineRule="auto"/>
      <w:jc w:val="left"/>
      <w:outlineLvl w:val="9"/>
    </w:pPr>
    <w:rPr>
      <w:rFonts w:ascii="Cambria" w:hAnsi="Cambria"/>
      <w:color w:val="365F91"/>
      <w:kern w:val="0"/>
      <w:sz w:val="28"/>
    </w:rPr>
  </w:style>
  <w:style w:type="paragraph" w:customStyle="1" w:styleId="87">
    <w:name w:val="正文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88">
    <w:name w:val="正文_0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普通(网站)_0"/>
    <w:basedOn w:val="90"/>
    <w:unhideWhenUsed/>
    <w:qFormat/>
    <w:uiPriority w:val="0"/>
    <w:pPr>
      <w:widowControl/>
      <w:spacing w:before="100" w:beforeAutospacing="1" w:after="100" w:afterAutospacing="1"/>
      <w:jc w:val="left"/>
    </w:pPr>
    <w:rPr>
      <w:rFonts w:ascii="宋体" w:hAnsi="宋体" w:eastAsia="宋体" w:cs="宋体"/>
      <w:kern w:val="0"/>
      <w:sz w:val="24"/>
    </w:rPr>
  </w:style>
  <w:style w:type="paragraph" w:customStyle="1" w:styleId="90">
    <w:name w:val="正文_3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91">
    <w:name w:val="_Style 69"/>
    <w:basedOn w:val="1"/>
    <w:qFormat/>
    <w:uiPriority w:val="34"/>
    <w:pPr>
      <w:ind w:firstLine="420" w:firstLineChars="200"/>
    </w:pPr>
  </w:style>
  <w:style w:type="paragraph" w:customStyle="1" w:styleId="92">
    <w:name w:val="Normal_7"/>
    <w:qFormat/>
    <w:uiPriority w:val="0"/>
    <w:rPr>
      <w:rFonts w:ascii="黑体" w:hAnsi="黑体" w:eastAsia="黑体" w:cs="Times New Roman"/>
      <w:b/>
      <w:sz w:val="32"/>
      <w:szCs w:val="24"/>
      <w:lang w:bidi="ar-SA"/>
    </w:rPr>
  </w:style>
  <w:style w:type="paragraph" w:customStyle="1" w:styleId="93">
    <w:name w:val="Normal_14"/>
    <w:qFormat/>
    <w:uiPriority w:val="0"/>
    <w:rPr>
      <w:rFonts w:ascii="黑体" w:hAnsi="黑体" w:eastAsia="黑体" w:cs="Times New Roman"/>
      <w:b/>
      <w:sz w:val="32"/>
      <w:szCs w:val="24"/>
      <w:lang w:bidi="ar-SA"/>
    </w:rPr>
  </w:style>
  <w:style w:type="paragraph" w:customStyle="1" w:styleId="94">
    <w:name w:val="标题 2_0_2"/>
    <w:basedOn w:val="95"/>
    <w:next w:val="95"/>
    <w:link w:val="215"/>
    <w:qFormat/>
    <w:uiPriority w:val="0"/>
    <w:pPr>
      <w:keepNext/>
      <w:keepLines/>
      <w:widowControl/>
      <w:spacing w:before="260" w:after="260" w:line="416" w:lineRule="auto"/>
      <w:jc w:val="center"/>
      <w:outlineLvl w:val="1"/>
    </w:pPr>
    <w:rPr>
      <w:rFonts w:ascii="Calibri Light" w:hAnsi="Calibri Light" w:eastAsia="宋体"/>
      <w:b/>
      <w:bCs/>
      <w:sz w:val="32"/>
      <w:szCs w:val="32"/>
    </w:rPr>
  </w:style>
  <w:style w:type="paragraph" w:customStyle="1" w:styleId="95">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Table Paragraph"/>
    <w:basedOn w:val="59"/>
    <w:qFormat/>
    <w:uiPriority w:val="1"/>
    <w:pPr>
      <w:autoSpaceDE w:val="0"/>
      <w:autoSpaceDN w:val="0"/>
      <w:jc w:val="left"/>
    </w:pPr>
    <w:rPr>
      <w:rFonts w:ascii="宋体" w:hAnsi="宋体" w:cs="宋体"/>
      <w:kern w:val="0"/>
      <w:sz w:val="22"/>
      <w:szCs w:val="22"/>
      <w:lang w:val="ja-JP" w:eastAsia="ja-JP" w:bidi="ja-JP"/>
    </w:rPr>
  </w:style>
  <w:style w:type="paragraph" w:customStyle="1" w:styleId="97">
    <w:name w:val="正文_0_0_1"/>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98">
    <w:name w:val="正文_1_1"/>
    <w:basedOn w:val="76"/>
    <w:qFormat/>
    <w:uiPriority w:val="0"/>
    <w:pPr>
      <w:widowControl w:val="0"/>
    </w:pPr>
    <w:rPr>
      <w:rFonts w:ascii="等线" w:hAnsi="等线" w:eastAsia="宋体" w:cs="Times New Roman"/>
      <w:kern w:val="2"/>
      <w:sz w:val="24"/>
      <w:szCs w:val="22"/>
      <w:lang w:val="en-US" w:eastAsia="zh-CN" w:bidi="ar-SA"/>
    </w:rPr>
  </w:style>
  <w:style w:type="paragraph" w:customStyle="1" w:styleId="99">
    <w:name w:val="正文_1_2"/>
    <w:qFormat/>
    <w:uiPriority w:val="0"/>
    <w:pPr>
      <w:widowControl w:val="0"/>
    </w:pPr>
    <w:rPr>
      <w:rFonts w:ascii="等线" w:hAnsi="等线" w:eastAsia="宋体" w:cs="Times New Roman"/>
      <w:kern w:val="2"/>
      <w:sz w:val="24"/>
      <w:szCs w:val="22"/>
      <w:lang w:val="en-US" w:eastAsia="zh-CN" w:bidi="ar-SA"/>
    </w:rPr>
  </w:style>
  <w:style w:type="paragraph" w:customStyle="1" w:styleId="100">
    <w:name w:val="标题 2_0_0_0"/>
    <w:basedOn w:val="101"/>
    <w:next w:val="101"/>
    <w:qFormat/>
    <w:uiPriority w:val="0"/>
    <w:pPr>
      <w:keepNext/>
      <w:keepLines/>
      <w:spacing w:before="120" w:after="120" w:line="360" w:lineRule="auto"/>
      <w:jc w:val="center"/>
      <w:outlineLvl w:val="1"/>
    </w:pPr>
    <w:rPr>
      <w:rFonts w:ascii="宋体" w:hAnsi="宋体" w:eastAsia="宋体" w:cs="Times New Roman"/>
      <w:b/>
      <w:bCs/>
      <w:sz w:val="36"/>
      <w:szCs w:val="18"/>
    </w:rPr>
  </w:style>
  <w:style w:type="paragraph" w:customStyle="1" w:styleId="101">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
    <w:name w:val="正文_0_0_2"/>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03">
    <w:name w:val="Normal_8"/>
    <w:qFormat/>
    <w:uiPriority w:val="0"/>
    <w:rPr>
      <w:rFonts w:ascii="黑体" w:hAnsi="黑体" w:eastAsia="黑体" w:cs="Times New Roman"/>
      <w:b/>
      <w:sz w:val="32"/>
      <w:szCs w:val="24"/>
      <w:lang w:bidi="ar-SA"/>
    </w:rPr>
  </w:style>
  <w:style w:type="paragraph" w:customStyle="1" w:styleId="104">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标题 2_1"/>
    <w:basedOn w:val="78"/>
    <w:next w:val="58"/>
    <w:qFormat/>
    <w:uiPriority w:val="0"/>
    <w:pPr>
      <w:outlineLvl w:val="1"/>
    </w:pPr>
  </w:style>
  <w:style w:type="paragraph" w:customStyle="1" w:styleId="106">
    <w:name w:val="正文_0_2_0"/>
    <w:basedOn w:val="88"/>
    <w:qFormat/>
    <w:uiPriority w:val="0"/>
    <w:rPr>
      <w:rFonts w:ascii="Calibri" w:hAnsi="Calibri" w:eastAsia="宋体" w:cs="Calibri"/>
      <w:szCs w:val="21"/>
    </w:rPr>
  </w:style>
  <w:style w:type="paragraph" w:customStyle="1" w:styleId="107">
    <w:name w:val="Body Text"/>
    <w:basedOn w:val="60"/>
    <w:qFormat/>
    <w:uiPriority w:val="0"/>
    <w:pPr>
      <w:spacing w:after="120"/>
    </w:pPr>
  </w:style>
  <w:style w:type="paragraph" w:customStyle="1" w:styleId="108">
    <w:name w:val="_Style 91"/>
    <w:basedOn w:val="1"/>
    <w:next w:val="1"/>
    <w:link w:val="233"/>
    <w:qFormat/>
    <w:uiPriority w:val="30"/>
    <w:pPr>
      <w:pBdr>
        <w:bottom w:val="single" w:color="4F81BD" w:sz="4" w:space="4"/>
      </w:pBdr>
      <w:spacing w:before="200" w:after="280"/>
      <w:ind w:left="936" w:right="936"/>
    </w:pPr>
    <w:rPr>
      <w:rFonts w:ascii="Times New Roman" w:hAnsi="Times New Roman"/>
      <w:b/>
      <w:bCs/>
      <w:i/>
      <w:iCs/>
      <w:color w:val="4F81BD"/>
      <w:sz w:val="21"/>
      <w:szCs w:val="24"/>
    </w:rPr>
  </w:style>
  <w:style w:type="paragraph" w:customStyle="1" w:styleId="109">
    <w:name w:val="Normal_17"/>
    <w:qFormat/>
    <w:uiPriority w:val="0"/>
    <w:rPr>
      <w:rFonts w:ascii="黑体" w:hAnsi="黑体" w:eastAsia="黑体" w:cs="Times New Roman"/>
      <w:b/>
      <w:sz w:val="32"/>
      <w:szCs w:val="24"/>
      <w:lang w:bidi="ar-SA"/>
    </w:rPr>
  </w:style>
  <w:style w:type="paragraph" w:customStyle="1" w:styleId="110">
    <w:name w:val="标题 3_3"/>
    <w:basedOn w:val="73"/>
    <w:next w:val="73"/>
    <w:qFormat/>
    <w:uiPriority w:val="0"/>
    <w:pPr>
      <w:keepNext/>
      <w:keepLines/>
      <w:spacing w:before="120" w:after="120" w:line="360" w:lineRule="auto"/>
      <w:ind w:left="1069" w:hanging="1069"/>
      <w:jc w:val="center"/>
      <w:outlineLvl w:val="2"/>
    </w:pPr>
    <w:rPr>
      <w:rFonts w:ascii="宋体" w:hAnsi="宋体"/>
      <w:b/>
      <w:bCs/>
      <w:kern w:val="0"/>
      <w:sz w:val="36"/>
      <w:szCs w:val="18"/>
    </w:rPr>
  </w:style>
  <w:style w:type="paragraph" w:customStyle="1" w:styleId="111">
    <w:name w:val="标题 3_0_0"/>
    <w:basedOn w:val="59"/>
    <w:next w:val="59"/>
    <w:link w:val="217"/>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112">
    <w:name w:val="标题 3_0"/>
    <w:basedOn w:val="87"/>
    <w:next w:val="87"/>
    <w:link w:val="207"/>
    <w:qFormat/>
    <w:uiPriority w:val="0"/>
    <w:pPr>
      <w:adjustRightInd w:val="0"/>
      <w:snapToGrid w:val="0"/>
      <w:spacing w:line="500" w:lineRule="exact"/>
      <w:ind w:left="0" w:firstLine="0"/>
      <w:jc w:val="center"/>
      <w:outlineLvl w:val="2"/>
    </w:pPr>
    <w:rPr>
      <w:rFonts w:ascii="宋体" w:hAnsi="宋体" w:eastAsia="宋体"/>
      <w:b/>
      <w:sz w:val="32"/>
      <w:szCs w:val="32"/>
    </w:rPr>
  </w:style>
  <w:style w:type="paragraph" w:customStyle="1" w:styleId="113">
    <w:name w:val="Normal_5"/>
    <w:qFormat/>
    <w:uiPriority w:val="0"/>
    <w:rPr>
      <w:rFonts w:ascii="黑体" w:hAnsi="黑体" w:eastAsia="黑体" w:cs="Times New Roman"/>
      <w:b/>
      <w:sz w:val="32"/>
      <w:szCs w:val="24"/>
      <w:lang w:bidi="ar-SA"/>
    </w:rPr>
  </w:style>
  <w:style w:type="paragraph" w:customStyle="1" w:styleId="114">
    <w:name w:val="标题 2_0_0_1"/>
    <w:basedOn w:val="73"/>
    <w:next w:val="73"/>
    <w:link w:val="205"/>
    <w:qFormat/>
    <w:uiPriority w:val="0"/>
    <w:pPr>
      <w:keepNext/>
      <w:keepLines/>
      <w:spacing w:before="120" w:after="120" w:line="360" w:lineRule="auto"/>
      <w:jc w:val="center"/>
      <w:outlineLvl w:val="1"/>
    </w:pPr>
    <w:rPr>
      <w:rFonts w:ascii="宋体" w:hAnsi="宋体" w:eastAsia="宋体" w:cs="Times New Roman"/>
      <w:b/>
      <w:bCs/>
      <w:sz w:val="36"/>
      <w:szCs w:val="18"/>
    </w:rPr>
  </w:style>
  <w:style w:type="paragraph" w:customStyle="1" w:styleId="115">
    <w:name w:val="正文文本_0_0"/>
    <w:basedOn w:val="90"/>
    <w:unhideWhenUsed/>
    <w:qFormat/>
    <w:uiPriority w:val="0"/>
    <w:pPr>
      <w:spacing w:after="120"/>
    </w:pPr>
  </w:style>
  <w:style w:type="paragraph" w:customStyle="1" w:styleId="116">
    <w:name w:val="Normal_10"/>
    <w:qFormat/>
    <w:uiPriority w:val="0"/>
    <w:rPr>
      <w:rFonts w:ascii="黑体" w:hAnsi="黑体" w:eastAsia="黑体" w:cs="Times New Roman"/>
      <w:b/>
      <w:sz w:val="32"/>
      <w:szCs w:val="24"/>
      <w:lang w:bidi="ar-SA"/>
    </w:rPr>
  </w:style>
  <w:style w:type="paragraph" w:customStyle="1" w:styleId="117">
    <w:name w:val="纯文本_0"/>
    <w:basedOn w:val="58"/>
    <w:link w:val="202"/>
    <w:qFormat/>
    <w:uiPriority w:val="0"/>
    <w:rPr>
      <w:rFonts w:ascii="宋体" w:hAnsi="Courier New" w:eastAsia="等线" w:cs="Courier New"/>
      <w:szCs w:val="21"/>
    </w:rPr>
  </w:style>
  <w:style w:type="paragraph" w:customStyle="1" w:styleId="118">
    <w:name w:val="正文_2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标题 2_0_0_0_0"/>
    <w:basedOn w:val="120"/>
    <w:next w:val="120"/>
    <w:link w:val="221"/>
    <w:qFormat/>
    <w:uiPriority w:val="0"/>
    <w:pPr>
      <w:keepNext/>
      <w:keepLines/>
      <w:spacing w:before="120" w:after="120" w:line="360" w:lineRule="auto"/>
      <w:jc w:val="center"/>
      <w:outlineLvl w:val="1"/>
    </w:pPr>
    <w:rPr>
      <w:rFonts w:ascii="宋体" w:hAnsi="宋体" w:eastAsia="宋体"/>
      <w:b/>
      <w:bCs/>
      <w:sz w:val="36"/>
      <w:szCs w:val="18"/>
    </w:rPr>
  </w:style>
  <w:style w:type="paragraph" w:customStyle="1" w:styleId="120">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正文_0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22">
    <w:name w:val="正文_0_0_5"/>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23">
    <w:name w:val="正文缩进_0_0"/>
    <w:basedOn w:val="124"/>
    <w:unhideWhenUsed/>
    <w:qFormat/>
    <w:uiPriority w:val="0"/>
    <w:pPr>
      <w:ind w:firstLine="420" w:firstLineChars="200"/>
    </w:pPr>
    <w:rPr>
      <w:rFonts w:ascii="Calibri" w:hAnsi="Calibri"/>
      <w:szCs w:val="22"/>
    </w:rPr>
  </w:style>
  <w:style w:type="paragraph" w:customStyle="1" w:styleId="124">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正文_0_0_6"/>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26">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_Style 113"/>
    <w:basedOn w:val="1"/>
    <w:next w:val="1"/>
    <w:link w:val="197"/>
    <w:qFormat/>
    <w:uiPriority w:val="29"/>
    <w:rPr>
      <w:rFonts w:ascii="Times New Roman" w:hAnsi="Times New Roman"/>
      <w:i/>
      <w:iCs/>
      <w:color w:val="000000"/>
      <w:sz w:val="21"/>
      <w:szCs w:val="24"/>
    </w:rPr>
  </w:style>
  <w:style w:type="paragraph" w:customStyle="1" w:styleId="128">
    <w:name w:val="日期_0"/>
    <w:basedOn w:val="95"/>
    <w:next w:val="95"/>
    <w:link w:val="196"/>
    <w:qFormat/>
    <w:uiPriority w:val="0"/>
    <w:pPr>
      <w:adjustRightInd w:val="0"/>
      <w:spacing w:line="360" w:lineRule="atLeast"/>
    </w:pPr>
    <w:rPr>
      <w:rFonts w:ascii="宋体" w:hAnsi="Calibri" w:eastAsia="宋体"/>
      <w:sz w:val="24"/>
    </w:rPr>
  </w:style>
  <w:style w:type="paragraph" w:customStyle="1" w:styleId="129">
    <w:name w:val="Normal_2"/>
    <w:qFormat/>
    <w:uiPriority w:val="0"/>
    <w:rPr>
      <w:rFonts w:ascii="黑体" w:hAnsi="黑体" w:eastAsia="黑体" w:cs="Times New Roman"/>
      <w:b/>
      <w:sz w:val="32"/>
      <w:szCs w:val="24"/>
      <w:lang w:bidi="ar-SA"/>
    </w:rPr>
  </w:style>
  <w:style w:type="paragraph" w:customStyle="1" w:styleId="130">
    <w:name w:val="标题 2_2"/>
    <w:basedOn w:val="81"/>
    <w:next w:val="82"/>
    <w:link w:val="213"/>
    <w:unhideWhenUsed/>
    <w:qFormat/>
    <w:uiPriority w:val="0"/>
    <w:pPr>
      <w:keepNext/>
      <w:keepLines/>
      <w:spacing w:before="260" w:after="260" w:line="415" w:lineRule="auto"/>
      <w:outlineLvl w:val="1"/>
    </w:pPr>
    <w:rPr>
      <w:rFonts w:ascii="Cambria" w:hAnsi="Cambria" w:eastAsia="宋体" w:cs="黑体"/>
      <w:b w:val="0"/>
      <w:bCs w:val="0"/>
      <w:sz w:val="36"/>
      <w:szCs w:val="32"/>
    </w:rPr>
  </w:style>
  <w:style w:type="paragraph" w:customStyle="1" w:styleId="13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3">
    <w:name w:val="标题 2_0_0_1_0"/>
    <w:basedOn w:val="104"/>
    <w:next w:val="104"/>
    <w:link w:val="237"/>
    <w:qFormat/>
    <w:uiPriority w:val="0"/>
    <w:pPr>
      <w:keepNext/>
      <w:keepLines/>
      <w:spacing w:before="120" w:after="120" w:line="360" w:lineRule="auto"/>
      <w:jc w:val="center"/>
      <w:outlineLvl w:val="1"/>
    </w:pPr>
    <w:rPr>
      <w:rFonts w:ascii="宋体" w:hAnsi="宋体" w:eastAsia="宋体"/>
      <w:b/>
      <w:bCs/>
      <w:sz w:val="36"/>
      <w:szCs w:val="18"/>
    </w:rPr>
  </w:style>
  <w:style w:type="paragraph" w:customStyle="1" w:styleId="134">
    <w:name w:val="标题 3_0_1_0"/>
    <w:basedOn w:val="125"/>
    <w:next w:val="125"/>
    <w:link w:val="198"/>
    <w:qFormat/>
    <w:uiPriority w:val="0"/>
    <w:pPr>
      <w:adjustRightInd w:val="0"/>
      <w:snapToGrid w:val="0"/>
      <w:spacing w:line="500" w:lineRule="exact"/>
      <w:ind w:left="0" w:firstLine="0"/>
      <w:jc w:val="center"/>
      <w:outlineLvl w:val="2"/>
    </w:pPr>
    <w:rPr>
      <w:rFonts w:ascii="宋体" w:hAnsi="宋体" w:eastAsia="宋体" w:cs="Times New Roman"/>
      <w:b/>
      <w:sz w:val="32"/>
      <w:szCs w:val="32"/>
    </w:rPr>
  </w:style>
  <w:style w:type="paragraph" w:customStyle="1" w:styleId="135">
    <w:name w:val="Normal_18"/>
    <w:qFormat/>
    <w:uiPriority w:val="0"/>
    <w:rPr>
      <w:rFonts w:ascii="黑体" w:hAnsi="黑体" w:eastAsia="黑体" w:cs="Times New Roman"/>
      <w:b/>
      <w:sz w:val="32"/>
      <w:szCs w:val="24"/>
      <w:lang w:bidi="ar-SA"/>
    </w:rPr>
  </w:style>
  <w:style w:type="paragraph" w:customStyle="1" w:styleId="136">
    <w:name w:val="正文_0_0_3"/>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37">
    <w:name w:val="标题 2_0_1"/>
    <w:basedOn w:val="138"/>
    <w:next w:val="138"/>
    <w:link w:val="214"/>
    <w:qFormat/>
    <w:uiPriority w:val="0"/>
    <w:pPr>
      <w:keepNext/>
      <w:keepLines/>
      <w:spacing w:before="260" w:after="260" w:line="416" w:lineRule="auto"/>
      <w:ind w:left="0" w:firstLine="0"/>
      <w:jc w:val="center"/>
      <w:outlineLvl w:val="1"/>
    </w:pPr>
    <w:rPr>
      <w:rFonts w:ascii="Calibri Light" w:hAnsi="Calibri Light" w:eastAsia="宋体"/>
      <w:b/>
      <w:bCs/>
      <w:sz w:val="32"/>
      <w:szCs w:val="32"/>
    </w:rPr>
  </w:style>
  <w:style w:type="paragraph" w:customStyle="1" w:styleId="13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39">
    <w:name w:val="Normal_9"/>
    <w:qFormat/>
    <w:uiPriority w:val="0"/>
    <w:rPr>
      <w:rFonts w:ascii="黑体" w:hAnsi="黑体" w:eastAsia="黑体" w:cs="Times New Roman"/>
      <w:b/>
      <w:sz w:val="32"/>
      <w:szCs w:val="24"/>
      <w:lang w:bidi="ar-SA"/>
    </w:rPr>
  </w:style>
  <w:style w:type="paragraph" w:customStyle="1" w:styleId="140">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
    <w:name w:val="标题 2_0_0"/>
    <w:basedOn w:val="111"/>
    <w:next w:val="59"/>
    <w:link w:val="228"/>
    <w:qFormat/>
    <w:uiPriority w:val="0"/>
    <w:pPr>
      <w:outlineLvl w:val="1"/>
    </w:pPr>
    <w:rPr>
      <w:rFonts w:ascii="Calibri" w:hAnsi="Calibri" w:eastAsia="宋体"/>
      <w:lang w:eastAsia="zh-CN"/>
    </w:rPr>
  </w:style>
  <w:style w:type="paragraph" w:customStyle="1" w:styleId="142">
    <w:name w:val="标题 3_0_1"/>
    <w:basedOn w:val="143"/>
    <w:next w:val="143"/>
    <w:link w:val="208"/>
    <w:qFormat/>
    <w:uiPriority w:val="0"/>
    <w:pPr>
      <w:adjustRightInd w:val="0"/>
      <w:snapToGrid w:val="0"/>
      <w:spacing w:line="500" w:lineRule="exact"/>
      <w:ind w:left="0" w:firstLine="0"/>
      <w:jc w:val="center"/>
      <w:outlineLvl w:val="2"/>
    </w:pPr>
    <w:rPr>
      <w:rFonts w:ascii="宋体" w:hAnsi="宋体" w:eastAsia="宋体" w:cs="Times New Roman"/>
      <w:b/>
      <w:sz w:val="32"/>
      <w:szCs w:val="32"/>
    </w:rPr>
  </w:style>
  <w:style w:type="paragraph" w:customStyle="1" w:styleId="143">
    <w:name w:val="正文_0_0_4"/>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44">
    <w:name w:val="正文缩进_0_1"/>
    <w:basedOn w:val="145"/>
    <w:link w:val="227"/>
    <w:unhideWhenUsed/>
    <w:qFormat/>
    <w:uiPriority w:val="0"/>
    <w:pPr>
      <w:ind w:firstLine="420" w:firstLineChars="200"/>
    </w:pPr>
    <w:rPr>
      <w:rFonts w:ascii="Calibri" w:hAnsi="Calibri"/>
      <w:szCs w:val="22"/>
    </w:rPr>
  </w:style>
  <w:style w:type="paragraph" w:customStyle="1" w:styleId="145">
    <w:name w:val="正文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标题 2_0_0_2"/>
    <w:basedOn w:val="121"/>
    <w:next w:val="121"/>
    <w:link w:val="200"/>
    <w:qFormat/>
    <w:uiPriority w:val="0"/>
    <w:pPr>
      <w:keepNext/>
      <w:keepLines/>
      <w:spacing w:before="260" w:after="260" w:line="416" w:lineRule="auto"/>
      <w:ind w:left="0" w:firstLine="0"/>
      <w:jc w:val="center"/>
      <w:outlineLvl w:val="1"/>
    </w:pPr>
    <w:rPr>
      <w:rFonts w:ascii="Calibri Light" w:hAnsi="Calibri Light" w:eastAsia="宋体"/>
      <w:b/>
      <w:bCs/>
      <w:sz w:val="32"/>
      <w:szCs w:val="32"/>
    </w:rPr>
  </w:style>
  <w:style w:type="paragraph" w:customStyle="1" w:styleId="148">
    <w:name w:val="标题 3_0_0_0"/>
    <w:basedOn w:val="122"/>
    <w:next w:val="122"/>
    <w:link w:val="173"/>
    <w:qFormat/>
    <w:uiPriority w:val="0"/>
    <w:pPr>
      <w:adjustRightInd w:val="0"/>
      <w:snapToGrid w:val="0"/>
      <w:spacing w:line="500" w:lineRule="exact"/>
      <w:ind w:left="0" w:firstLine="0"/>
      <w:jc w:val="center"/>
      <w:outlineLvl w:val="2"/>
    </w:pPr>
    <w:rPr>
      <w:rFonts w:ascii="宋体" w:hAnsi="宋体" w:eastAsia="宋体" w:cs="Times New Roman"/>
      <w:b/>
      <w:sz w:val="32"/>
      <w:szCs w:val="32"/>
    </w:rPr>
  </w:style>
  <w:style w:type="paragraph" w:customStyle="1" w:styleId="149">
    <w:name w:val="Normal_15"/>
    <w:qFormat/>
    <w:uiPriority w:val="0"/>
    <w:rPr>
      <w:rFonts w:ascii="黑体" w:hAnsi="黑体" w:eastAsia="黑体" w:cs="Times New Roman"/>
      <w:b/>
      <w:sz w:val="32"/>
      <w:szCs w:val="24"/>
      <w:lang w:bidi="ar-SA"/>
    </w:rPr>
  </w:style>
  <w:style w:type="paragraph" w:customStyle="1" w:styleId="150">
    <w:name w:val="标题 1_1"/>
    <w:basedOn w:val="130"/>
    <w:next w:val="82"/>
    <w:link w:val="212"/>
    <w:qFormat/>
    <w:uiPriority w:val="0"/>
    <w:pPr>
      <w:keepNext/>
      <w:keepLines/>
      <w:spacing w:before="340" w:after="330" w:line="576" w:lineRule="auto"/>
      <w:outlineLvl w:val="0"/>
    </w:pPr>
    <w:rPr>
      <w:rFonts w:ascii="Calibri" w:hAnsi="Calibri" w:eastAsia="宋体" w:cs="Times New Roman"/>
      <w:b/>
      <w:bCs/>
      <w:kern w:val="44"/>
      <w:sz w:val="44"/>
      <w:szCs w:val="44"/>
    </w:rPr>
  </w:style>
  <w:style w:type="paragraph" w:customStyle="1" w:styleId="15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2">
    <w:name w:val="Normal_12"/>
    <w:qFormat/>
    <w:uiPriority w:val="0"/>
    <w:rPr>
      <w:rFonts w:ascii="黑体" w:hAnsi="黑体" w:eastAsia="黑体" w:cs="Times New Roman"/>
      <w:b/>
      <w:sz w:val="32"/>
      <w:szCs w:val="24"/>
      <w:lang w:bidi="ar-SA"/>
    </w:rPr>
  </w:style>
  <w:style w:type="paragraph" w:customStyle="1" w:styleId="153">
    <w:name w:val="日期_0_0"/>
    <w:basedOn w:val="146"/>
    <w:next w:val="146"/>
    <w:link w:val="223"/>
    <w:qFormat/>
    <w:uiPriority w:val="0"/>
    <w:pPr>
      <w:adjustRightInd w:val="0"/>
      <w:spacing w:line="360" w:lineRule="atLeast"/>
    </w:pPr>
    <w:rPr>
      <w:rFonts w:ascii="宋体" w:hAnsi="Calibri" w:eastAsia="宋体"/>
      <w:sz w:val="24"/>
    </w:rPr>
  </w:style>
  <w:style w:type="paragraph" w:customStyle="1" w:styleId="154">
    <w:name w:val="List Paragraph"/>
    <w:basedOn w:val="1"/>
    <w:qFormat/>
    <w:uiPriority w:val="34"/>
    <w:pPr>
      <w:ind w:firstLine="420" w:firstLineChars="200"/>
    </w:pPr>
  </w:style>
  <w:style w:type="paragraph" w:customStyle="1" w:styleId="155">
    <w:name w:val="标题 1_2"/>
    <w:basedOn w:val="156"/>
    <w:next w:val="73"/>
    <w:qFormat/>
    <w:uiPriority w:val="0"/>
    <w:pPr>
      <w:outlineLvl w:val="0"/>
    </w:pPr>
    <w:rPr>
      <w:rFonts w:ascii="宋体" w:hAnsi="宋体"/>
    </w:rPr>
  </w:style>
  <w:style w:type="paragraph" w:customStyle="1" w:styleId="156">
    <w:name w:val="标题 2_3"/>
    <w:basedOn w:val="110"/>
    <w:next w:val="73"/>
    <w:qFormat/>
    <w:uiPriority w:val="0"/>
    <w:pPr>
      <w:outlineLvl w:val="1"/>
    </w:pPr>
  </w:style>
  <w:style w:type="paragraph" w:customStyle="1" w:styleId="157">
    <w:name w:val="标题 1_0"/>
    <w:basedOn w:val="105"/>
    <w:next w:val="58"/>
    <w:qFormat/>
    <w:uiPriority w:val="0"/>
    <w:pPr>
      <w:outlineLvl w:val="0"/>
    </w:pPr>
    <w:rPr>
      <w:rFonts w:ascii="宋体" w:hAnsi="宋体"/>
    </w:rPr>
  </w:style>
  <w:style w:type="paragraph" w:customStyle="1" w:styleId="158">
    <w:name w:val="标题 2_0"/>
    <w:basedOn w:val="87"/>
    <w:next w:val="87"/>
    <w:link w:val="225"/>
    <w:qFormat/>
    <w:uiPriority w:val="0"/>
    <w:pPr>
      <w:keepNext/>
      <w:keepLines/>
      <w:spacing w:before="260" w:after="260" w:line="416" w:lineRule="auto"/>
      <w:ind w:left="0" w:firstLine="0"/>
      <w:jc w:val="center"/>
      <w:outlineLvl w:val="1"/>
    </w:pPr>
    <w:rPr>
      <w:rFonts w:ascii="Calibri Light" w:hAnsi="Calibri Light" w:eastAsia="宋体" w:cs="Times New Roman"/>
      <w:b/>
      <w:bCs/>
      <w:sz w:val="32"/>
      <w:szCs w:val="32"/>
    </w:rPr>
  </w:style>
  <w:style w:type="paragraph" w:customStyle="1" w:styleId="159">
    <w:name w:val="Normal_3"/>
    <w:qFormat/>
    <w:uiPriority w:val="0"/>
    <w:rPr>
      <w:rFonts w:ascii="黑体" w:hAnsi="黑体" w:eastAsia="黑体" w:cs="Times New Roman"/>
      <w:b/>
      <w:sz w:val="32"/>
      <w:szCs w:val="24"/>
      <w:lang w:bidi="ar-SA"/>
    </w:rPr>
  </w:style>
  <w:style w:type="paragraph" w:customStyle="1" w:styleId="160">
    <w:name w:val="正文_0_1"/>
    <w:basedOn w:val="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需求样式"/>
    <w:basedOn w:val="3"/>
    <w:link w:val="230"/>
    <w:qFormat/>
    <w:uiPriority w:val="0"/>
    <w:pPr>
      <w:numPr>
        <w:ilvl w:val="0"/>
        <w:numId w:val="1"/>
      </w:numPr>
      <w:spacing w:before="120" w:after="120" w:line="360" w:lineRule="auto"/>
    </w:pPr>
    <w:rPr>
      <w:rFonts w:ascii="Times New Roman" w:hAnsi="Times New Roman"/>
      <w:sz w:val="32"/>
      <w:szCs w:val="28"/>
    </w:rPr>
  </w:style>
  <w:style w:type="paragraph" w:customStyle="1" w:styleId="162">
    <w:name w:val="正文缩进_0"/>
    <w:basedOn w:val="58"/>
    <w:link w:val="232"/>
    <w:unhideWhenUsed/>
    <w:qFormat/>
    <w:uiPriority w:val="0"/>
    <w:pPr>
      <w:ind w:firstLine="420" w:firstLineChars="200"/>
    </w:pPr>
    <w:rPr>
      <w:rFonts w:ascii="Calibri" w:hAnsi="Calibri"/>
      <w:szCs w:val="22"/>
    </w:rPr>
  </w:style>
  <w:style w:type="paragraph" w:customStyle="1" w:styleId="163">
    <w:name w:val="正文_1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4">
    <w:name w:val="标题 2_0_1_0"/>
    <w:basedOn w:val="97"/>
    <w:next w:val="97"/>
    <w:link w:val="235"/>
    <w:qFormat/>
    <w:uiPriority w:val="0"/>
    <w:pPr>
      <w:keepNext/>
      <w:keepLines/>
      <w:spacing w:before="260" w:after="260" w:line="416" w:lineRule="auto"/>
      <w:ind w:left="0" w:firstLine="0"/>
      <w:jc w:val="center"/>
      <w:outlineLvl w:val="1"/>
    </w:pPr>
    <w:rPr>
      <w:rFonts w:ascii="Calibri Light" w:hAnsi="Calibri Light" w:eastAsia="宋体"/>
      <w:b/>
      <w:bCs/>
      <w:sz w:val="32"/>
      <w:szCs w:val="32"/>
    </w:rPr>
  </w:style>
  <w:style w:type="paragraph" w:customStyle="1" w:styleId="165">
    <w:name w:val="Normal_0_0"/>
    <w:qFormat/>
    <w:uiPriority w:val="0"/>
    <w:rPr>
      <w:rFonts w:ascii="黑体" w:hAnsi="黑体" w:eastAsia="黑体" w:cs="Times New Roman"/>
      <w:b/>
      <w:sz w:val="32"/>
      <w:szCs w:val="24"/>
      <w:lang w:bidi="ar-SA"/>
    </w:rPr>
  </w:style>
  <w:style w:type="paragraph" w:customStyle="1" w:styleId="166">
    <w:name w:val="样式1"/>
    <w:basedOn w:val="1"/>
    <w:qFormat/>
    <w:uiPriority w:val="0"/>
    <w:pPr>
      <w:tabs>
        <w:tab w:val="left" w:pos="709"/>
      </w:tabs>
      <w:adjustRightInd w:val="0"/>
      <w:ind w:left="709" w:hanging="709"/>
      <w:textAlignment w:val="baseline"/>
    </w:pPr>
    <w:rPr>
      <w:rFonts w:ascii="宋体" w:hAnsi="宋体" w:eastAsia="宋体"/>
      <w:kern w:val="0"/>
      <w:szCs w:val="21"/>
    </w:rPr>
  </w:style>
  <w:style w:type="paragraph" w:customStyle="1" w:styleId="167">
    <w:name w:val="Normal_6"/>
    <w:qFormat/>
    <w:uiPriority w:val="0"/>
    <w:rPr>
      <w:rFonts w:ascii="黑体" w:hAnsi="黑体" w:eastAsia="黑体" w:cs="Times New Roman"/>
      <w:b/>
      <w:sz w:val="32"/>
      <w:szCs w:val="24"/>
      <w:lang w:bidi="ar-SA"/>
    </w:rPr>
  </w:style>
  <w:style w:type="paragraph" w:customStyle="1" w:styleId="168">
    <w:name w:val="列出段落1"/>
    <w:basedOn w:val="1"/>
    <w:qFormat/>
    <w:uiPriority w:val="0"/>
    <w:pPr>
      <w:ind w:firstLine="420" w:firstLineChars="200"/>
    </w:pPr>
    <w:rPr>
      <w:rFonts w:ascii="Calibri" w:hAnsi="Calibri"/>
      <w:szCs w:val="22"/>
    </w:rPr>
  </w:style>
  <w:style w:type="paragraph" w:customStyle="1" w:styleId="169">
    <w:name w:val="Normal_19"/>
    <w:qFormat/>
    <w:uiPriority w:val="0"/>
    <w:rPr>
      <w:rFonts w:ascii="Times New Roman" w:hAnsi="Times New Roman" w:eastAsia="Times New Roman" w:cs="Times New Roman"/>
      <w:sz w:val="24"/>
      <w:szCs w:val="24"/>
      <w:lang w:bidi="ar-SA"/>
    </w:rPr>
  </w:style>
  <w:style w:type="paragraph" w:customStyle="1" w:styleId="170">
    <w:name w:val="Normal_1_0"/>
    <w:qFormat/>
    <w:uiPriority w:val="0"/>
    <w:rPr>
      <w:rFonts w:ascii="黑体" w:hAnsi="黑体" w:eastAsia="黑体" w:cs="Times New Roman"/>
      <w:b/>
      <w:sz w:val="32"/>
      <w:szCs w:val="24"/>
      <w:lang w:bidi="ar-SA"/>
    </w:rPr>
  </w:style>
  <w:style w:type="paragraph" w:customStyle="1" w:styleId="171">
    <w:name w:val="Normal_13"/>
    <w:qFormat/>
    <w:uiPriority w:val="0"/>
    <w:rPr>
      <w:rFonts w:ascii="黑体" w:hAnsi="黑体" w:eastAsia="黑体" w:cs="Times New Roman"/>
      <w:b/>
      <w:sz w:val="32"/>
      <w:szCs w:val="24"/>
      <w:lang w:bidi="ar-SA"/>
    </w:rPr>
  </w:style>
  <w:style w:type="character" w:customStyle="1" w:styleId="172">
    <w:name w:val="标题 7 Char"/>
    <w:link w:val="9"/>
    <w:qFormat/>
    <w:uiPriority w:val="0"/>
    <w:rPr>
      <w:b/>
      <w:bCs/>
      <w:kern w:val="2"/>
      <w:sz w:val="24"/>
      <w:szCs w:val="24"/>
    </w:rPr>
  </w:style>
  <w:style w:type="character" w:customStyle="1" w:styleId="173">
    <w:name w:val="标题 3 Char_0_0_0"/>
    <w:link w:val="148"/>
    <w:qFormat/>
    <w:uiPriority w:val="0"/>
    <w:rPr>
      <w:rFonts w:ascii="宋体" w:hAnsi="宋体"/>
      <w:b/>
      <w:sz w:val="32"/>
      <w:szCs w:val="32"/>
    </w:rPr>
  </w:style>
  <w:style w:type="character" w:customStyle="1" w:styleId="174">
    <w:name w:val="文档结构图 Char"/>
    <w:link w:val="15"/>
    <w:qFormat/>
    <w:uiPriority w:val="0"/>
    <w:rPr>
      <w:rFonts w:ascii="宋体" w:hAnsi="Calibri"/>
      <w:kern w:val="2"/>
      <w:sz w:val="18"/>
      <w:szCs w:val="18"/>
    </w:rPr>
  </w:style>
  <w:style w:type="character" w:customStyle="1" w:styleId="175">
    <w:name w:val="标题 1 Char"/>
    <w:link w:val="3"/>
    <w:qFormat/>
    <w:uiPriority w:val="0"/>
    <w:rPr>
      <w:rFonts w:ascii="宋体" w:hAnsi="宋体"/>
      <w:b/>
      <w:bCs/>
      <w:sz w:val="44"/>
      <w:szCs w:val="32"/>
    </w:rPr>
  </w:style>
  <w:style w:type="character" w:customStyle="1" w:styleId="176">
    <w:name w:val="标题 9 Char"/>
    <w:link w:val="11"/>
    <w:qFormat/>
    <w:uiPriority w:val="0"/>
    <w:rPr>
      <w:rFonts w:ascii="Cambria" w:hAnsi="Cambria"/>
      <w:kern w:val="2"/>
      <w:sz w:val="21"/>
      <w:szCs w:val="21"/>
    </w:rPr>
  </w:style>
  <w:style w:type="character" w:customStyle="1" w:styleId="177">
    <w:name w:val="标题 8 Char"/>
    <w:link w:val="10"/>
    <w:semiHidden/>
    <w:qFormat/>
    <w:uiPriority w:val="0"/>
    <w:rPr>
      <w:rFonts w:eastAsia="宋体" w:cs="Times New Roman"/>
      <w:b/>
      <w:sz w:val="21"/>
      <w:szCs w:val="24"/>
    </w:rPr>
  </w:style>
  <w:style w:type="character" w:customStyle="1" w:styleId="178">
    <w:name w:val="标题 5 Char"/>
    <w:link w:val="7"/>
    <w:semiHidden/>
    <w:qFormat/>
    <w:uiPriority w:val="0"/>
    <w:rPr>
      <w:rFonts w:eastAsia="宋体" w:cs="Times New Roman"/>
      <w:b/>
      <w:bCs/>
      <w:szCs w:val="28"/>
    </w:rPr>
  </w:style>
  <w:style w:type="character" w:customStyle="1" w:styleId="179">
    <w:name w:val="页眉 Char"/>
    <w:link w:val="31"/>
    <w:qFormat/>
    <w:uiPriority w:val="99"/>
    <w:rPr>
      <w:rFonts w:ascii="等线" w:hAnsi="等线" w:eastAsia="等线"/>
      <w:kern w:val="2"/>
      <w:sz w:val="18"/>
      <w:szCs w:val="18"/>
    </w:rPr>
  </w:style>
  <w:style w:type="character" w:customStyle="1" w:styleId="180">
    <w:name w:val="标题 6 Char"/>
    <w:link w:val="8"/>
    <w:semiHidden/>
    <w:qFormat/>
    <w:uiPriority w:val="0"/>
    <w:rPr>
      <w:rFonts w:ascii="Cambria" w:hAnsi="Cambria" w:eastAsia="宋体" w:cs="Times New Roman"/>
      <w:b/>
      <w:bCs/>
      <w:kern w:val="2"/>
      <w:sz w:val="21"/>
      <w:szCs w:val="24"/>
    </w:rPr>
  </w:style>
  <w:style w:type="character" w:customStyle="1" w:styleId="181">
    <w:name w:val="标题 2 Char"/>
    <w:link w:val="4"/>
    <w:qFormat/>
    <w:uiPriority w:val="0"/>
    <w:rPr>
      <w:rFonts w:ascii="宋体" w:hAnsi="宋体"/>
      <w:b/>
      <w:bCs/>
      <w:sz w:val="36"/>
      <w:szCs w:val="18"/>
    </w:rPr>
  </w:style>
  <w:style w:type="character" w:customStyle="1" w:styleId="182">
    <w:name w:val="标题 3 Char"/>
    <w:link w:val="5"/>
    <w:qFormat/>
    <w:uiPriority w:val="0"/>
    <w:rPr>
      <w:rFonts w:ascii="宋体" w:hAnsi="宋体"/>
      <w:b/>
      <w:bCs/>
      <w:sz w:val="36"/>
      <w:szCs w:val="18"/>
    </w:rPr>
  </w:style>
  <w:style w:type="character" w:customStyle="1" w:styleId="183">
    <w:name w:val="正文缩进 Char"/>
    <w:link w:val="13"/>
    <w:qFormat/>
    <w:uiPriority w:val="0"/>
    <w:rPr>
      <w:rFonts w:ascii="Calibri" w:hAnsi="Calibri"/>
      <w:kern w:val="2"/>
      <w:sz w:val="21"/>
      <w:szCs w:val="22"/>
    </w:rPr>
  </w:style>
  <w:style w:type="character" w:customStyle="1" w:styleId="184">
    <w:name w:val="标题 4 Char"/>
    <w:link w:val="6"/>
    <w:qFormat/>
    <w:uiPriority w:val="0"/>
    <w:rPr>
      <w:b/>
      <w:bCs/>
      <w:sz w:val="24"/>
      <w:szCs w:val="28"/>
    </w:rPr>
  </w:style>
  <w:style w:type="character" w:customStyle="1" w:styleId="185">
    <w:name w:val="批注文字 Char"/>
    <w:link w:val="17"/>
    <w:qFormat/>
    <w:uiPriority w:val="0"/>
    <w:rPr>
      <w:rFonts w:ascii="Calibri" w:hAnsi="Calibri"/>
      <w:kern w:val="2"/>
      <w:sz w:val="21"/>
      <w:szCs w:val="22"/>
    </w:rPr>
  </w:style>
  <w:style w:type="character" w:customStyle="1" w:styleId="186">
    <w:name w:val="正文文本缩进 Char"/>
    <w:link w:val="21"/>
    <w:qFormat/>
    <w:uiPriority w:val="0"/>
    <w:rPr>
      <w:rFonts w:ascii="仿宋_GB2312" w:hAnsi="Calibri" w:eastAsia="仿宋_GB2312" w:cs="Times New Roman"/>
      <w:kern w:val="2"/>
      <w:sz w:val="32"/>
    </w:rPr>
  </w:style>
  <w:style w:type="character" w:customStyle="1" w:styleId="187">
    <w:name w:val="纯文本 Char"/>
    <w:link w:val="24"/>
    <w:qFormat/>
    <w:locked/>
    <w:uiPriority w:val="0"/>
    <w:rPr>
      <w:rFonts w:ascii="宋体" w:hAnsi="Courier New" w:eastAsia="等线" w:cs="Courier New"/>
      <w:kern w:val="2"/>
      <w:sz w:val="21"/>
      <w:szCs w:val="21"/>
    </w:rPr>
  </w:style>
  <w:style w:type="character" w:customStyle="1" w:styleId="188">
    <w:name w:val="日期 Char"/>
    <w:link w:val="26"/>
    <w:qFormat/>
    <w:uiPriority w:val="0"/>
    <w:rPr>
      <w:rFonts w:ascii="宋体" w:hAnsi="Calibri" w:eastAsia="宋体" w:cs="Times New Roman"/>
      <w:sz w:val="24"/>
    </w:rPr>
  </w:style>
  <w:style w:type="character" w:customStyle="1" w:styleId="189">
    <w:name w:val="批注框文本 Char"/>
    <w:link w:val="29"/>
    <w:qFormat/>
    <w:uiPriority w:val="0"/>
    <w:rPr>
      <w:rFonts w:ascii="Calibri" w:hAnsi="Calibri"/>
      <w:kern w:val="2"/>
      <w:sz w:val="18"/>
      <w:szCs w:val="18"/>
    </w:rPr>
  </w:style>
  <w:style w:type="character" w:customStyle="1" w:styleId="190">
    <w:name w:val="页脚 Char"/>
    <w:link w:val="30"/>
    <w:qFormat/>
    <w:uiPriority w:val="0"/>
    <w:rPr>
      <w:rFonts w:ascii="Calibri" w:hAnsi="Calibri" w:eastAsia="宋体" w:cs="Times New Roman"/>
      <w:kern w:val="2"/>
      <w:sz w:val="18"/>
      <w:szCs w:val="18"/>
    </w:rPr>
  </w:style>
  <w:style w:type="character" w:customStyle="1" w:styleId="191">
    <w:name w:val="副标题 Char"/>
    <w:link w:val="34"/>
    <w:qFormat/>
    <w:uiPriority w:val="11"/>
    <w:rPr>
      <w:rFonts w:ascii="Cambria" w:hAnsi="Cambria"/>
      <w:b/>
      <w:bCs/>
      <w:kern w:val="28"/>
      <w:sz w:val="32"/>
      <w:szCs w:val="32"/>
    </w:rPr>
  </w:style>
  <w:style w:type="character" w:customStyle="1" w:styleId="192">
    <w:name w:val="标题 Char"/>
    <w:link w:val="40"/>
    <w:semiHidden/>
    <w:qFormat/>
    <w:uiPriority w:val="0"/>
    <w:rPr>
      <w:rFonts w:ascii="Cambria" w:hAnsi="Cambria" w:eastAsia="黑体" w:cs="Times New Roman"/>
      <w:b/>
      <w:bCs/>
      <w:sz w:val="52"/>
      <w:szCs w:val="32"/>
    </w:rPr>
  </w:style>
  <w:style w:type="character" w:customStyle="1" w:styleId="193">
    <w:name w:val="批注主题 Char"/>
    <w:link w:val="41"/>
    <w:qFormat/>
    <w:uiPriority w:val="99"/>
    <w:rPr>
      <w:b/>
      <w:kern w:val="2"/>
      <w:sz w:val="28"/>
    </w:rPr>
  </w:style>
  <w:style w:type="character" w:customStyle="1" w:styleId="194">
    <w:name w:val="正文文本缩进 Char_0"/>
    <w:link w:val="63"/>
    <w:semiHidden/>
    <w:qFormat/>
    <w:uiPriority w:val="0"/>
    <w:rPr>
      <w:rFonts w:ascii="仿宋_GB2312" w:hAnsi="Calibri" w:eastAsia="仿宋_GB2312" w:cs="Times New Roman"/>
      <w:sz w:val="32"/>
      <w:szCs w:val="20"/>
    </w:rPr>
  </w:style>
  <w:style w:type="character" w:customStyle="1" w:styleId="195">
    <w:name w:val="正文文本 Char"/>
    <w:link w:val="83"/>
    <w:qFormat/>
    <w:uiPriority w:val="0"/>
    <w:rPr>
      <w:rFonts w:ascii="Times New Roman" w:hAnsi="Times New Roman" w:eastAsia="仿宋_GB2312"/>
      <w:kern w:val="2"/>
      <w:sz w:val="28"/>
      <w:szCs w:val="24"/>
    </w:rPr>
  </w:style>
  <w:style w:type="character" w:customStyle="1" w:styleId="196">
    <w:name w:val="日期 Char_0"/>
    <w:link w:val="128"/>
    <w:qFormat/>
    <w:uiPriority w:val="0"/>
    <w:rPr>
      <w:rFonts w:ascii="宋体" w:hAnsi="Calibri" w:eastAsia="宋体" w:cs="Times New Roman"/>
      <w:sz w:val="24"/>
    </w:rPr>
  </w:style>
  <w:style w:type="character" w:customStyle="1" w:styleId="197">
    <w:name w:val="引用 Char"/>
    <w:link w:val="127"/>
    <w:qFormat/>
    <w:uiPriority w:val="29"/>
    <w:rPr>
      <w:i/>
      <w:iCs/>
      <w:color w:val="000000"/>
      <w:kern w:val="2"/>
      <w:sz w:val="21"/>
      <w:szCs w:val="24"/>
    </w:rPr>
  </w:style>
  <w:style w:type="character" w:customStyle="1" w:styleId="198">
    <w:name w:val="标题 3 Char_0_1_0"/>
    <w:link w:val="134"/>
    <w:qFormat/>
    <w:uiPriority w:val="0"/>
    <w:rPr>
      <w:rFonts w:ascii="宋体" w:hAnsi="宋体"/>
      <w:b/>
      <w:sz w:val="32"/>
      <w:szCs w:val="32"/>
    </w:rPr>
  </w:style>
  <w:style w:type="character" w:customStyle="1" w:styleId="199">
    <w:name w:val="_Style 186"/>
    <w:qFormat/>
    <w:uiPriority w:val="19"/>
    <w:rPr>
      <w:i/>
      <w:iCs/>
      <w:color w:val="808080"/>
    </w:rPr>
  </w:style>
  <w:style w:type="character" w:customStyle="1" w:styleId="200">
    <w:name w:val="标题 2 Char_0_0_1"/>
    <w:link w:val="147"/>
    <w:qFormat/>
    <w:uiPriority w:val="0"/>
    <w:rPr>
      <w:rFonts w:ascii="Calibri Light" w:hAnsi="Calibri Light" w:eastAsia="宋体" w:cs="Times New Roman"/>
      <w:b/>
      <w:bCs/>
      <w:sz w:val="32"/>
      <w:szCs w:val="32"/>
    </w:rPr>
  </w:style>
  <w:style w:type="character" w:customStyle="1" w:styleId="201">
    <w:name w:val="标题 3 Char_1"/>
    <w:link w:val="81"/>
    <w:qFormat/>
    <w:uiPriority w:val="0"/>
    <w:rPr>
      <w:b/>
      <w:bCs/>
      <w:kern w:val="2"/>
      <w:sz w:val="32"/>
      <w:szCs w:val="32"/>
    </w:rPr>
  </w:style>
  <w:style w:type="character" w:customStyle="1" w:styleId="202">
    <w:name w:val="纯文本 Char_0"/>
    <w:link w:val="117"/>
    <w:qFormat/>
    <w:locked/>
    <w:uiPriority w:val="0"/>
    <w:rPr>
      <w:rFonts w:ascii="宋体" w:hAnsi="Courier New" w:eastAsia="等线" w:cs="Courier New"/>
      <w:szCs w:val="21"/>
    </w:rPr>
  </w:style>
  <w:style w:type="character" w:customStyle="1" w:styleId="203">
    <w:name w:val="标题 9 Char1"/>
    <w:semiHidden/>
    <w:qFormat/>
    <w:uiPriority w:val="0"/>
    <w:rPr>
      <w:rFonts w:ascii="Cambria" w:hAnsi="Cambria" w:eastAsia="宋体" w:cs="Times New Roman"/>
      <w:kern w:val="2"/>
      <w:sz w:val="21"/>
      <w:szCs w:val="21"/>
    </w:rPr>
  </w:style>
  <w:style w:type="character" w:customStyle="1" w:styleId="204">
    <w:name w:val="case31"/>
    <w:semiHidden/>
    <w:qFormat/>
    <w:uiPriority w:val="0"/>
    <w:rPr>
      <w:rFonts w:hint="default"/>
      <w:spacing w:val="390"/>
      <w:sz w:val="21"/>
      <w:szCs w:val="21"/>
    </w:rPr>
  </w:style>
  <w:style w:type="character" w:customStyle="1" w:styleId="205">
    <w:name w:val="标题 2 Char_0_0_0"/>
    <w:link w:val="114"/>
    <w:qFormat/>
    <w:uiPriority w:val="0"/>
    <w:rPr>
      <w:rFonts w:ascii="宋体" w:hAnsi="宋体"/>
      <w:b/>
      <w:bCs/>
      <w:sz w:val="36"/>
      <w:szCs w:val="18"/>
    </w:rPr>
  </w:style>
  <w:style w:type="character" w:customStyle="1" w:styleId="206">
    <w:name w:val="标题 5 Char1"/>
    <w:semiHidden/>
    <w:qFormat/>
    <w:uiPriority w:val="0"/>
    <w:rPr>
      <w:rFonts w:ascii="等线" w:hAnsi="等线"/>
      <w:b/>
      <w:bCs/>
      <w:kern w:val="2"/>
      <w:sz w:val="28"/>
      <w:szCs w:val="28"/>
    </w:rPr>
  </w:style>
  <w:style w:type="character" w:customStyle="1" w:styleId="207">
    <w:name w:val="标题 3 Char_0"/>
    <w:link w:val="112"/>
    <w:qFormat/>
    <w:uiPriority w:val="0"/>
    <w:rPr>
      <w:rFonts w:ascii="宋体" w:hAnsi="宋体"/>
      <w:b/>
      <w:kern w:val="2"/>
      <w:sz w:val="32"/>
      <w:szCs w:val="32"/>
    </w:rPr>
  </w:style>
  <w:style w:type="character" w:customStyle="1" w:styleId="208">
    <w:name w:val="标题 3 Char_0_1"/>
    <w:link w:val="142"/>
    <w:qFormat/>
    <w:uiPriority w:val="0"/>
    <w:rPr>
      <w:rFonts w:ascii="宋体" w:hAnsi="宋体"/>
      <w:b/>
      <w:sz w:val="32"/>
      <w:szCs w:val="32"/>
    </w:rPr>
  </w:style>
  <w:style w:type="character" w:customStyle="1" w:styleId="209">
    <w:name w:val="标题 3 Char1"/>
    <w:semiHidden/>
    <w:qFormat/>
    <w:uiPriority w:val="0"/>
    <w:rPr>
      <w:rFonts w:ascii="等线" w:hAnsi="等线"/>
      <w:b/>
      <w:bCs/>
      <w:kern w:val="2"/>
      <w:sz w:val="32"/>
      <w:szCs w:val="32"/>
    </w:rPr>
  </w:style>
  <w:style w:type="character" w:customStyle="1" w:styleId="210">
    <w:name w:val="超链接_0"/>
    <w:unhideWhenUsed/>
    <w:qFormat/>
    <w:uiPriority w:val="99"/>
    <w:rPr>
      <w:color w:val="0000FF"/>
      <w:u w:val="single"/>
    </w:rPr>
  </w:style>
  <w:style w:type="character" w:customStyle="1" w:styleId="211">
    <w:name w:val="标题 7 Char1"/>
    <w:semiHidden/>
    <w:qFormat/>
    <w:uiPriority w:val="0"/>
    <w:rPr>
      <w:rFonts w:ascii="等线" w:hAnsi="等线"/>
      <w:b/>
      <w:bCs/>
      <w:kern w:val="2"/>
      <w:sz w:val="24"/>
      <w:szCs w:val="24"/>
    </w:rPr>
  </w:style>
  <w:style w:type="character" w:customStyle="1" w:styleId="212">
    <w:name w:val="标题 1 Char_0"/>
    <w:link w:val="150"/>
    <w:qFormat/>
    <w:uiPriority w:val="0"/>
    <w:rPr>
      <w:b/>
      <w:bCs/>
      <w:kern w:val="44"/>
      <w:sz w:val="44"/>
      <w:szCs w:val="44"/>
    </w:rPr>
  </w:style>
  <w:style w:type="character" w:customStyle="1" w:styleId="213">
    <w:name w:val="标题 2 Char_1"/>
    <w:link w:val="130"/>
    <w:qFormat/>
    <w:uiPriority w:val="0"/>
    <w:rPr>
      <w:rFonts w:ascii="Cambria" w:hAnsi="Cambria" w:eastAsia="宋体" w:cs="黑体"/>
      <w:b/>
      <w:bCs/>
      <w:sz w:val="36"/>
      <w:szCs w:val="32"/>
    </w:rPr>
  </w:style>
  <w:style w:type="character" w:customStyle="1" w:styleId="214">
    <w:name w:val="标题 2 Char_0_1"/>
    <w:link w:val="137"/>
    <w:qFormat/>
    <w:uiPriority w:val="0"/>
    <w:rPr>
      <w:rFonts w:ascii="Calibri Light" w:hAnsi="Calibri Light" w:eastAsia="宋体" w:cs="Times New Roman"/>
      <w:b/>
      <w:bCs/>
      <w:sz w:val="32"/>
      <w:szCs w:val="32"/>
    </w:rPr>
  </w:style>
  <w:style w:type="character" w:customStyle="1" w:styleId="215">
    <w:name w:val="标题 2 Char_0_2"/>
    <w:link w:val="94"/>
    <w:qFormat/>
    <w:uiPriority w:val="0"/>
    <w:rPr>
      <w:rFonts w:ascii="Calibri Light" w:hAnsi="Calibri Light" w:eastAsia="宋体" w:cs="Times New Roman"/>
      <w:b/>
      <w:bCs/>
      <w:sz w:val="32"/>
      <w:szCs w:val="32"/>
    </w:rPr>
  </w:style>
  <w:style w:type="character" w:customStyle="1" w:styleId="216">
    <w:name w:val="_Style 203"/>
    <w:qFormat/>
    <w:uiPriority w:val="21"/>
    <w:rPr>
      <w:b/>
      <w:bCs/>
      <w:i/>
      <w:iCs/>
      <w:color w:val="4F81BD"/>
    </w:rPr>
  </w:style>
  <w:style w:type="character" w:customStyle="1" w:styleId="217">
    <w:name w:val="标题 3 Char_0_0"/>
    <w:link w:val="111"/>
    <w:qFormat/>
    <w:uiPriority w:val="0"/>
    <w:rPr>
      <w:rFonts w:ascii="宋体" w:hAnsi="宋体"/>
      <w:b/>
      <w:bCs/>
      <w:sz w:val="36"/>
      <w:szCs w:val="18"/>
    </w:rPr>
  </w:style>
  <w:style w:type="character" w:customStyle="1" w:styleId="218">
    <w:name w:val="标题 6 Char1"/>
    <w:semiHidden/>
    <w:qFormat/>
    <w:uiPriority w:val="0"/>
    <w:rPr>
      <w:rFonts w:ascii="Cambria" w:hAnsi="Cambria" w:eastAsia="宋体" w:cs="Times New Roman"/>
      <w:b/>
      <w:bCs/>
      <w:kern w:val="2"/>
      <w:sz w:val="24"/>
      <w:szCs w:val="24"/>
    </w:rPr>
  </w:style>
  <w:style w:type="character" w:customStyle="1" w:styleId="219">
    <w:name w:val="批注主题 Char1"/>
    <w:qFormat/>
    <w:uiPriority w:val="0"/>
    <w:rPr>
      <w:rFonts w:ascii="Calibri" w:hAnsi="Calibri"/>
      <w:b/>
      <w:bCs/>
      <w:kern w:val="2"/>
      <w:sz w:val="21"/>
      <w:szCs w:val="22"/>
    </w:rPr>
  </w:style>
  <w:style w:type="character" w:customStyle="1" w:styleId="220">
    <w:name w:val="_Style 207"/>
    <w:qFormat/>
    <w:uiPriority w:val="32"/>
    <w:rPr>
      <w:b/>
      <w:bCs/>
      <w:smallCaps/>
      <w:color w:val="C0504D"/>
      <w:spacing w:val="5"/>
      <w:u w:val="single"/>
    </w:rPr>
  </w:style>
  <w:style w:type="character" w:customStyle="1" w:styleId="221">
    <w:name w:val="标题 2 Char_0_0_0_0"/>
    <w:link w:val="119"/>
    <w:qFormat/>
    <w:uiPriority w:val="0"/>
    <w:rPr>
      <w:rFonts w:ascii="宋体" w:hAnsi="宋体"/>
      <w:b/>
      <w:bCs/>
      <w:sz w:val="36"/>
      <w:szCs w:val="18"/>
    </w:rPr>
  </w:style>
  <w:style w:type="character" w:customStyle="1" w:styleId="222">
    <w:name w:val="普通文字 Char Char2"/>
    <w:qFormat/>
    <w:uiPriority w:val="99"/>
    <w:rPr>
      <w:rFonts w:ascii="宋体" w:hAnsi="Courier New" w:cs="Courier New"/>
      <w:kern w:val="2"/>
      <w:sz w:val="21"/>
      <w:szCs w:val="21"/>
    </w:rPr>
  </w:style>
  <w:style w:type="character" w:customStyle="1" w:styleId="223">
    <w:name w:val="日期 Char_0_0"/>
    <w:link w:val="153"/>
    <w:qFormat/>
    <w:uiPriority w:val="0"/>
    <w:rPr>
      <w:rFonts w:ascii="宋体" w:hAnsi="Calibri" w:eastAsia="宋体" w:cs="Times New Roman"/>
      <w:sz w:val="24"/>
    </w:rPr>
  </w:style>
  <w:style w:type="character" w:customStyle="1" w:styleId="224">
    <w:name w:val="_Style 211"/>
    <w:qFormat/>
    <w:uiPriority w:val="33"/>
    <w:rPr>
      <w:b/>
      <w:bCs/>
      <w:smallCaps/>
      <w:spacing w:val="5"/>
    </w:rPr>
  </w:style>
  <w:style w:type="character" w:customStyle="1" w:styleId="225">
    <w:name w:val="标题 2 Char_0"/>
    <w:link w:val="158"/>
    <w:qFormat/>
    <w:uiPriority w:val="0"/>
    <w:rPr>
      <w:rFonts w:ascii="Calibri Light" w:hAnsi="Calibri Light" w:eastAsia="宋体" w:cs="Times New Roman"/>
      <w:b/>
      <w:bCs/>
      <w:kern w:val="2"/>
      <w:sz w:val="32"/>
      <w:szCs w:val="32"/>
    </w:rPr>
  </w:style>
  <w:style w:type="character" w:customStyle="1" w:styleId="226">
    <w:name w:val="标题 8 Char1"/>
    <w:semiHidden/>
    <w:qFormat/>
    <w:uiPriority w:val="0"/>
    <w:rPr>
      <w:rFonts w:ascii="Cambria" w:hAnsi="Cambria" w:eastAsia="宋体" w:cs="Times New Roman"/>
      <w:kern w:val="2"/>
      <w:sz w:val="24"/>
      <w:szCs w:val="24"/>
    </w:rPr>
  </w:style>
  <w:style w:type="character" w:customStyle="1" w:styleId="227">
    <w:name w:val="正文缩进 Char_0_0"/>
    <w:link w:val="144"/>
    <w:qFormat/>
    <w:uiPriority w:val="0"/>
    <w:rPr>
      <w:rFonts w:ascii="Calibri" w:hAnsi="Calibri" w:eastAsia="宋体" w:cs="Times New Roman"/>
    </w:rPr>
  </w:style>
  <w:style w:type="character" w:customStyle="1" w:styleId="228">
    <w:name w:val="标题 2 Char_0_0"/>
    <w:link w:val="141"/>
    <w:qFormat/>
    <w:uiPriority w:val="0"/>
    <w:rPr>
      <w:rFonts w:ascii="宋体" w:hAnsi="宋体"/>
      <w:b/>
      <w:bCs/>
      <w:sz w:val="36"/>
      <w:szCs w:val="18"/>
    </w:rPr>
  </w:style>
  <w:style w:type="character" w:customStyle="1" w:styleId="229">
    <w:name w:val="15"/>
    <w:qFormat/>
    <w:uiPriority w:val="0"/>
    <w:rPr>
      <w:rFonts w:hint="default" w:ascii="Times New Roman" w:hAnsi="Times New Roman" w:eastAsia="宋体" w:cs="Times New Roman"/>
      <w:b/>
      <w:bCs/>
      <w:color w:val="000000"/>
      <w:kern w:val="44"/>
      <w:sz w:val="44"/>
      <w:szCs w:val="44"/>
      <w:u w:val="none" w:color="000000"/>
    </w:rPr>
  </w:style>
  <w:style w:type="character" w:customStyle="1" w:styleId="230">
    <w:name w:val="需求样式 Char"/>
    <w:link w:val="161"/>
    <w:qFormat/>
    <w:uiPriority w:val="0"/>
    <w:rPr>
      <w:b/>
      <w:bCs/>
      <w:kern w:val="44"/>
      <w:sz w:val="32"/>
      <w:szCs w:val="28"/>
    </w:rPr>
  </w:style>
  <w:style w:type="character" w:customStyle="1" w:styleId="231">
    <w:name w:val="超链接_1"/>
    <w:qFormat/>
    <w:uiPriority w:val="99"/>
    <w:rPr>
      <w:rFonts w:ascii="Calibri" w:hAnsi="Calibri"/>
      <w:color w:val="0000FF"/>
      <w:u w:val="single"/>
    </w:rPr>
  </w:style>
  <w:style w:type="character" w:customStyle="1" w:styleId="232">
    <w:name w:val="正文缩进 Char_0"/>
    <w:link w:val="162"/>
    <w:qFormat/>
    <w:uiPriority w:val="0"/>
    <w:rPr>
      <w:rFonts w:ascii="Calibri" w:hAnsi="Calibri" w:eastAsia="宋体" w:cs="Times New Roman"/>
    </w:rPr>
  </w:style>
  <w:style w:type="character" w:customStyle="1" w:styleId="233">
    <w:name w:val="明显引用 Char"/>
    <w:link w:val="108"/>
    <w:qFormat/>
    <w:uiPriority w:val="30"/>
    <w:rPr>
      <w:b/>
      <w:bCs/>
      <w:i/>
      <w:iCs/>
      <w:color w:val="4F81BD"/>
      <w:kern w:val="2"/>
      <w:sz w:val="21"/>
      <w:szCs w:val="24"/>
    </w:rPr>
  </w:style>
  <w:style w:type="character" w:customStyle="1" w:styleId="234">
    <w:name w:val="无间隔 Char"/>
    <w:link w:val="77"/>
    <w:qFormat/>
    <w:uiPriority w:val="1"/>
    <w:rPr>
      <w:kern w:val="2"/>
      <w:sz w:val="21"/>
      <w:szCs w:val="24"/>
      <w:lang w:bidi="ar-SA"/>
    </w:rPr>
  </w:style>
  <w:style w:type="character" w:customStyle="1" w:styleId="235">
    <w:name w:val="标题 2 Char_0_1_0"/>
    <w:link w:val="164"/>
    <w:qFormat/>
    <w:uiPriority w:val="0"/>
    <w:rPr>
      <w:rFonts w:ascii="Calibri Light" w:hAnsi="Calibri Light" w:eastAsia="宋体" w:cs="Times New Roman"/>
      <w:b/>
      <w:bCs/>
      <w:sz w:val="32"/>
      <w:szCs w:val="32"/>
    </w:rPr>
  </w:style>
  <w:style w:type="character" w:customStyle="1" w:styleId="236">
    <w:name w:val="_Style 223"/>
    <w:qFormat/>
    <w:uiPriority w:val="31"/>
    <w:rPr>
      <w:smallCaps/>
      <w:color w:val="C0504D"/>
      <w:u w:val="single"/>
    </w:rPr>
  </w:style>
  <w:style w:type="character" w:customStyle="1" w:styleId="237">
    <w:name w:val="标题 2 Char_0_0_1_0"/>
    <w:link w:val="133"/>
    <w:qFormat/>
    <w:uiPriority w:val="0"/>
    <w:rPr>
      <w:rFonts w:ascii="宋体" w:hAnsi="宋体"/>
      <w:b/>
      <w:bCs/>
      <w:sz w:val="36"/>
      <w:szCs w:val="18"/>
    </w:rPr>
  </w:style>
  <w:style w:type="character" w:customStyle="1" w:styleId="238">
    <w:name w:val="标题 4 Char1"/>
    <w:semiHidden/>
    <w:qFormat/>
    <w:uiPriority w:val="0"/>
    <w:rPr>
      <w:rFonts w:ascii="Cambria" w:hAnsi="Cambria" w:eastAsia="宋体" w:cs="Times New Roman"/>
      <w:b/>
      <w:bCs/>
      <w:kern w:val="2"/>
      <w:sz w:val="28"/>
      <w:szCs w:val="28"/>
    </w:rPr>
  </w:style>
  <w:style w:type="paragraph" w:customStyle="1" w:styleId="239">
    <w:name w:val="样式 首行缩进:  2 字符"/>
    <w:basedOn w:val="1"/>
    <w:qFormat/>
    <w:uiPriority w:val="0"/>
    <w:pPr>
      <w:ind w:firstLine="560" w:firstLineChars="200"/>
    </w:pPr>
    <w:rPr>
      <w:sz w:val="24"/>
    </w:rPr>
  </w:style>
  <w:style w:type="paragraph" w:customStyle="1" w:styleId="240">
    <w:name w:val="正文缩进_1"/>
    <w:basedOn w:val="73"/>
    <w:unhideWhenUsed/>
    <w:qFormat/>
    <w:uiPriority w:val="0"/>
    <w:pPr>
      <w:ind w:firstLine="420" w:firstLineChars="200"/>
    </w:pPr>
    <w:rPr>
      <w:rFonts w:ascii="Calibri" w:hAnsi="Calibri"/>
    </w:rPr>
  </w:style>
  <w:style w:type="paragraph" w:customStyle="1" w:styleId="241">
    <w:name w:val="正文_0_3"/>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242">
    <w:name w:val="Normal_20"/>
    <w:qFormat/>
    <w:uiPriority w:val="0"/>
    <w:rPr>
      <w:rFonts w:ascii="黑体" w:hAnsi="黑体" w:eastAsia="黑体" w:cs="Times New Roman"/>
      <w:b/>
      <w:sz w:val="32"/>
      <w:szCs w:val="24"/>
      <w:lang w:bidi="ar-SA"/>
    </w:rPr>
  </w:style>
  <w:style w:type="paragraph" w:customStyle="1" w:styleId="243">
    <w:name w:val="Normal_21"/>
    <w:qFormat/>
    <w:uiPriority w:val="0"/>
    <w:rPr>
      <w:rFonts w:ascii="黑体" w:hAnsi="黑体" w:eastAsia="黑体" w:cs="Times New Roman"/>
      <w:b/>
      <w:sz w:val="32"/>
      <w:szCs w:val="24"/>
      <w:lang w:bidi="ar-SA"/>
    </w:rPr>
  </w:style>
  <w:style w:type="paragraph" w:customStyle="1" w:styleId="244">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正文文本缩进_5"/>
    <w:basedOn w:val="244"/>
    <w:qFormat/>
    <w:uiPriority w:val="0"/>
    <w:pPr>
      <w:spacing w:line="500" w:lineRule="exact"/>
      <w:ind w:left="1588" w:leftChars="832" w:firstLine="433" w:firstLineChars="196"/>
    </w:pPr>
    <w:rPr>
      <w:rFonts w:ascii="Calibri" w:hAnsi="Calibri" w:eastAsia="宋体"/>
      <w:sz w:val="24"/>
    </w:rPr>
  </w:style>
  <w:style w:type="paragraph" w:customStyle="1" w:styleId="246">
    <w:name w:val="题注_0_0"/>
    <w:basedOn w:val="244"/>
    <w:next w:val="244"/>
    <w:qFormat/>
    <w:uiPriority w:val="0"/>
    <w:pPr>
      <w:spacing w:before="152" w:after="160"/>
    </w:pPr>
    <w:rPr>
      <w:rFonts w:ascii="Arial" w:hAnsi="Arial" w:eastAsia="黑体" w:cs="Arial"/>
      <w:sz w:val="20"/>
      <w:szCs w:val="20"/>
    </w:rPr>
  </w:style>
  <w:style w:type="paragraph" w:customStyle="1" w:styleId="247">
    <w:name w:val="WPSOffice手动目录 1"/>
    <w:qFormat/>
    <w:uiPriority w:val="0"/>
    <w:pPr>
      <w:ind w:leftChars="0"/>
    </w:pPr>
    <w:rPr>
      <w:rFonts w:ascii="Times New Roman" w:hAnsi="Times New Roman" w:eastAsia="宋体" w:cs="Times New Roman"/>
      <w:sz w:val="20"/>
      <w:szCs w:val="20"/>
    </w:rPr>
  </w:style>
  <w:style w:type="paragraph" w:customStyle="1" w:styleId="248">
    <w:name w:val="正文_3_0_0"/>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249">
    <w:name w:val="p0"/>
    <w:basedOn w:val="1"/>
    <w:qFormat/>
    <w:uiPriority w:val="0"/>
    <w:pPr>
      <w:widowControl/>
    </w:pPr>
    <w:rPr>
      <w:kern w:val="0"/>
      <w:szCs w:val="21"/>
    </w:rPr>
  </w:style>
  <w:style w:type="paragraph" w:customStyle="1" w:styleId="250">
    <w:name w:val="正文_2_0_0_0"/>
    <w:basedOn w:val="60"/>
    <w:qFormat/>
    <w:uiPriority w:val="0"/>
    <w:rPr>
      <w:rFonts w:ascii="Calibri" w:hAnsi="Calibri" w:cs="Calibri"/>
      <w:szCs w:val="21"/>
    </w:rPr>
  </w:style>
  <w:style w:type="paragraph" w:customStyle="1" w:styleId="251">
    <w:name w:val="WPSOffice手动目录 2"/>
    <w:qFormat/>
    <w:uiPriority w:val="0"/>
    <w:pPr>
      <w:ind w:leftChars="200"/>
    </w:pPr>
    <w:rPr>
      <w:rFonts w:ascii="Times New Roman" w:hAnsi="Times New Roman" w:eastAsia="宋体" w:cs="Times New Roman"/>
      <w:sz w:val="20"/>
      <w:szCs w:val="20"/>
    </w:rPr>
  </w:style>
  <w:style w:type="paragraph" w:customStyle="1" w:styleId="252">
    <w:name w:val="WPSOffice手动目录 3"/>
    <w:qFormat/>
    <w:uiPriority w:val="0"/>
    <w:pPr>
      <w:ind w:leftChars="400"/>
    </w:pPr>
    <w:rPr>
      <w:rFonts w:ascii="Times New Roman" w:hAnsi="Times New Roman" w:eastAsia="宋体" w:cs="Times New Roman"/>
      <w:sz w:val="20"/>
      <w:szCs w:val="20"/>
    </w:rPr>
  </w:style>
  <w:style w:type="character" w:customStyle="1" w:styleId="253">
    <w:name w:val="font31"/>
    <w:basedOn w:val="48"/>
    <w:qFormat/>
    <w:uiPriority w:val="0"/>
    <w:rPr>
      <w:rFonts w:hint="eastAsia" w:ascii="宋体" w:hAnsi="宋体" w:eastAsia="宋体" w:cs="宋体"/>
      <w:color w:val="000000"/>
      <w:sz w:val="18"/>
      <w:szCs w:val="18"/>
      <w:u w:val="none"/>
    </w:rPr>
  </w:style>
  <w:style w:type="character" w:customStyle="1" w:styleId="254">
    <w:name w:val="font01"/>
    <w:basedOn w:val="48"/>
    <w:qFormat/>
    <w:uiPriority w:val="0"/>
    <w:rPr>
      <w:rFonts w:hint="default" w:ascii="Times New Roman" w:hAnsi="Times New Roman" w:cs="Times New Roman"/>
      <w:color w:val="000000"/>
      <w:sz w:val="18"/>
      <w:szCs w:val="18"/>
      <w:u w:val="none"/>
    </w:rPr>
  </w:style>
  <w:style w:type="paragraph" w:customStyle="1" w:styleId="255">
    <w:name w:val="È±Ê¡ÎÄ±¾"/>
    <w:basedOn w:val="1"/>
    <w:qFormat/>
    <w:uiPriority w:val="0"/>
    <w:pPr>
      <w:widowControl/>
      <w:overflowPunct w:val="0"/>
      <w:autoSpaceDE w:val="0"/>
      <w:autoSpaceDN w:val="0"/>
      <w:adjustRightInd w:val="0"/>
      <w:jc w:val="left"/>
    </w:pPr>
    <w:rPr>
      <w:kern w:val="0"/>
      <w:sz w:val="24"/>
    </w:rPr>
  </w:style>
  <w:style w:type="character" w:customStyle="1" w:styleId="256">
    <w:name w:val="font41"/>
    <w:basedOn w:val="48"/>
    <w:qFormat/>
    <w:uiPriority w:val="0"/>
    <w:rPr>
      <w:rFonts w:hint="eastAsia" w:ascii="宋体" w:hAnsi="宋体" w:eastAsia="宋体" w:cs="宋体"/>
      <w:color w:val="000000"/>
      <w:sz w:val="22"/>
      <w:szCs w:val="22"/>
      <w:u w:val="none"/>
    </w:rPr>
  </w:style>
  <w:style w:type="character" w:customStyle="1" w:styleId="257">
    <w:name w:val="font51"/>
    <w:basedOn w:val="48"/>
    <w:qFormat/>
    <w:uiPriority w:val="0"/>
    <w:rPr>
      <w:rFonts w:hint="eastAsia" w:ascii="宋体" w:hAnsi="宋体" w:eastAsia="宋体" w:cs="宋体"/>
      <w:color w:val="FF0000"/>
      <w:sz w:val="22"/>
      <w:szCs w:val="22"/>
      <w:u w:val="none"/>
    </w:rPr>
  </w:style>
  <w:style w:type="paragraph" w:customStyle="1" w:styleId="258">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59">
    <w:name w:val="font81"/>
    <w:basedOn w:val="48"/>
    <w:qFormat/>
    <w:uiPriority w:val="0"/>
    <w:rPr>
      <w:rFonts w:hint="eastAsia" w:ascii="宋体" w:hAnsi="宋体" w:eastAsia="宋体" w:cs="宋体"/>
      <w:color w:val="FF0000"/>
      <w:sz w:val="22"/>
      <w:szCs w:val="22"/>
      <w:u w:val="none"/>
    </w:rPr>
  </w:style>
  <w:style w:type="paragraph" w:customStyle="1" w:styleId="260">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261">
    <w:name w:val="正文_13_0"/>
    <w:next w:val="26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2">
    <w:name w:val="正文文本_2_0"/>
    <w:basedOn w:val="261"/>
    <w:qFormat/>
    <w:uiPriority w:val="0"/>
    <w:pPr>
      <w:spacing w:after="120"/>
    </w:pPr>
  </w:style>
  <w:style w:type="paragraph" w:customStyle="1" w:styleId="263">
    <w:name w:val="p"/>
    <w:basedOn w:val="1"/>
    <w:qFormat/>
    <w:uiPriority w:val="0"/>
    <w:pPr>
      <w:spacing w:line="525" w:lineRule="atLeast"/>
      <w:ind w:firstLine="375"/>
    </w:pPr>
  </w:style>
  <w:style w:type="character" w:customStyle="1" w:styleId="264">
    <w:name w:val="font11"/>
    <w:basedOn w:val="48"/>
    <w:qFormat/>
    <w:uiPriority w:val="0"/>
    <w:rPr>
      <w:rFonts w:hint="eastAsia" w:ascii="宋体" w:hAnsi="宋体" w:eastAsia="宋体" w:cs="宋体"/>
      <w:color w:val="000000"/>
      <w:sz w:val="22"/>
      <w:szCs w:val="22"/>
      <w:u w:val="none"/>
    </w:rPr>
  </w:style>
  <w:style w:type="character" w:customStyle="1" w:styleId="265">
    <w:name w:val="font21"/>
    <w:basedOn w:val="4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58</Pages>
  <Words>30241</Words>
  <Characters>32367</Characters>
  <Lines>228</Lines>
  <Paragraphs>64</Paragraphs>
  <TotalTime>7</TotalTime>
  <ScaleCrop>false</ScaleCrop>
  <LinksUpToDate>false</LinksUpToDate>
  <CharactersWithSpaces>34294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2019-10-12T02:00:00Z</dcterms:created>
  <dc:creator>微软用户</dc:creator>
  <cp:lastModifiedBy>萝图之旅</cp:lastModifiedBy>
  <cp:lastPrinted>2021-08-10T03:47:00Z</cp:lastPrinted>
  <dcterms:modified xsi:type="dcterms:W3CDTF">2022-11-22T03:19:15Z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10FE8A315F8F4A97A90F488D91E89960</vt:lpwstr>
  </property>
</Properties>
</file>