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b/>
          <w:bCs/>
          <w:color w:val="000000"/>
          <w:sz w:val="52"/>
          <w:szCs w:val="44"/>
          <w:highlight w:val="none"/>
        </w:rPr>
      </w:pPr>
    </w:p>
    <w:p>
      <w:pPr>
        <w:keepNext w:val="0"/>
        <w:keepLines w:val="0"/>
        <w:pageBreakBefore w:val="0"/>
        <w:widowControl w:val="0"/>
        <w:kinsoku/>
        <w:wordWrap/>
        <w:overflowPunct/>
        <w:topLinePunct w:val="0"/>
        <w:autoSpaceDE/>
        <w:autoSpaceDN/>
        <w:bidi w:val="0"/>
        <w:adjustRightInd/>
        <w:snapToGrid/>
        <w:spacing w:line="920" w:lineRule="exact"/>
        <w:jc w:val="center"/>
        <w:textAlignment w:val="auto"/>
        <w:rPr>
          <w:rFonts w:hint="eastAsia" w:hAnsi="宋体" w:eastAsia="宋体"/>
          <w:b/>
          <w:color w:val="000000"/>
          <w:sz w:val="48"/>
          <w:szCs w:val="44"/>
          <w:highlight w:val="none"/>
          <w:lang w:eastAsia="zh-CN"/>
        </w:rPr>
      </w:pPr>
      <w:r>
        <w:rPr>
          <w:rFonts w:hint="eastAsia" w:hAnsi="宋体"/>
          <w:b/>
          <w:bCs/>
          <w:color w:val="000000"/>
          <w:sz w:val="48"/>
          <w:szCs w:val="44"/>
          <w:highlight w:val="none"/>
          <w:lang w:eastAsia="zh-CN"/>
        </w:rPr>
        <w:t>新疆维吾尔自治区广播电视局八四一台广播电视设备备品备件采购项目（第一包）</w:t>
      </w:r>
    </w:p>
    <w:p>
      <w:pPr>
        <w:spacing w:line="360" w:lineRule="auto"/>
        <w:jc w:val="center"/>
        <w:rPr>
          <w:rFonts w:hAnsi="宋体"/>
          <w:b/>
          <w:color w:val="000000"/>
          <w:sz w:val="52"/>
          <w:szCs w:val="44"/>
          <w:highlight w:val="none"/>
        </w:rPr>
      </w:pPr>
    </w:p>
    <w:p>
      <w:pPr>
        <w:jc w:val="center"/>
        <w:rPr>
          <w:b/>
          <w:color w:val="000000"/>
          <w:sz w:val="30"/>
          <w:szCs w:val="30"/>
          <w:highlight w:val="none"/>
        </w:rPr>
      </w:pPr>
      <w:r>
        <w:rPr>
          <w:rFonts w:hint="eastAsia" w:hAnsi="宋体"/>
          <w:b/>
          <w:color w:val="000000"/>
          <w:sz w:val="84"/>
          <w:szCs w:val="84"/>
          <w:highlight w:val="none"/>
        </w:rPr>
        <w:t>采购文件</w:t>
      </w:r>
    </w:p>
    <w:p>
      <w:pPr>
        <w:ind w:firstLine="904" w:firstLineChars="300"/>
        <w:rPr>
          <w:b/>
          <w:color w:val="000000"/>
          <w:sz w:val="30"/>
          <w:szCs w:val="30"/>
          <w:highlight w:val="none"/>
        </w:rPr>
      </w:pPr>
      <w:r>
        <w:rPr>
          <w:b/>
          <w:color w:val="000000"/>
          <w:sz w:val="30"/>
          <w:szCs w:val="30"/>
          <w:highlight w:val="none"/>
        </w:rPr>
        <w:t xml:space="preserve">                      </w:t>
      </w:r>
    </w:p>
    <w:p>
      <w:pPr>
        <w:jc w:val="center"/>
        <w:rPr>
          <w:b/>
          <w:color w:val="000000"/>
          <w:highlight w:val="none"/>
        </w:rPr>
      </w:pPr>
      <w:r>
        <w:rPr>
          <w:b/>
          <w:bCs/>
          <w:color w:val="000000"/>
          <w:highlight w:val="none"/>
        </w:rPr>
        <w:pict>
          <v:shape id="_x0000_i1025" o:spt="75" type="#_x0000_t75" style="height:171.1pt;width:134pt;" filled="f" o:preferrelative="t" stroked="f" coordsize="21600,21600">
            <v:path/>
            <v:fill on="f" focussize="0,0"/>
            <v:stroke on="f" joinstyle="miter"/>
            <v:imagedata r:id="rId5" r:href="rId6" o:title=""/>
            <o:lock v:ext="edit" aspectratio="t"/>
            <w10:wrap type="none"/>
            <w10:anchorlock/>
          </v:shape>
        </w:pict>
      </w:r>
    </w:p>
    <w:p>
      <w:pPr>
        <w:jc w:val="center"/>
        <w:rPr>
          <w:b/>
          <w:color w:val="000000"/>
          <w:w w:val="80"/>
          <w:sz w:val="32"/>
          <w:highlight w:val="none"/>
        </w:rPr>
      </w:pPr>
    </w:p>
    <w:p>
      <w:pPr>
        <w:jc w:val="center"/>
        <w:rPr>
          <w:b/>
          <w:color w:val="000000"/>
          <w:w w:val="80"/>
          <w:sz w:val="32"/>
          <w:highlight w:val="none"/>
        </w:rPr>
      </w:pPr>
    </w:p>
    <w:p>
      <w:pPr>
        <w:pStyle w:val="20"/>
        <w:ind w:firstLine="427" w:firstLineChars="152"/>
        <w:rPr>
          <w:rFonts w:hint="eastAsia" w:hAnsi="宋体" w:eastAsia="宋体"/>
          <w:b/>
          <w:color w:val="000000"/>
          <w:sz w:val="28"/>
          <w:szCs w:val="28"/>
          <w:highlight w:val="none"/>
          <w:lang w:eastAsia="zh-CN"/>
        </w:rPr>
      </w:pPr>
      <w:r>
        <w:rPr>
          <w:rFonts w:hint="eastAsia" w:hAnsi="宋体"/>
          <w:b/>
          <w:color w:val="000000"/>
          <w:sz w:val="28"/>
          <w:szCs w:val="28"/>
          <w:highlight w:val="none"/>
        </w:rPr>
        <w:t>采   购</w:t>
      </w:r>
      <w:r>
        <w:rPr>
          <w:rFonts w:hAnsi="宋体"/>
          <w:b/>
          <w:color w:val="000000"/>
          <w:sz w:val="28"/>
          <w:szCs w:val="28"/>
          <w:highlight w:val="none"/>
        </w:rPr>
        <w:t xml:space="preserve">   人：</w:t>
      </w:r>
      <w:r>
        <w:rPr>
          <w:rFonts w:hint="eastAsia" w:hAnsi="宋体"/>
          <w:b/>
          <w:color w:val="000000"/>
          <w:sz w:val="28"/>
          <w:szCs w:val="28"/>
          <w:highlight w:val="none"/>
          <w:lang w:eastAsia="zh-CN"/>
        </w:rPr>
        <w:t>新疆维吾尔自治区广播电视局八四一台</w:t>
      </w:r>
    </w:p>
    <w:p>
      <w:pPr>
        <w:pStyle w:val="20"/>
        <w:ind w:firstLine="427" w:firstLineChars="152"/>
        <w:rPr>
          <w:rFonts w:hAnsi="宋体"/>
          <w:b/>
          <w:color w:val="000000"/>
          <w:sz w:val="28"/>
          <w:szCs w:val="28"/>
          <w:highlight w:val="none"/>
        </w:rPr>
      </w:pPr>
    </w:p>
    <w:p>
      <w:pPr>
        <w:pStyle w:val="20"/>
        <w:ind w:firstLine="427" w:firstLineChars="152"/>
        <w:rPr>
          <w:rFonts w:hAnsi="宋体"/>
          <w:b/>
          <w:color w:val="000000"/>
          <w:sz w:val="28"/>
          <w:szCs w:val="28"/>
          <w:highlight w:val="none"/>
        </w:rPr>
      </w:pPr>
      <w:r>
        <w:rPr>
          <w:rFonts w:hAnsi="宋体"/>
          <w:b/>
          <w:color w:val="000000"/>
          <w:sz w:val="28"/>
          <w:szCs w:val="28"/>
          <w:highlight w:val="none"/>
        </w:rPr>
        <w:t xml:space="preserve">招标代理机构: </w:t>
      </w:r>
      <w:r>
        <w:rPr>
          <w:rFonts w:hint="eastAsia" w:hAnsi="宋体"/>
          <w:b/>
          <w:color w:val="000000"/>
          <w:sz w:val="28"/>
          <w:szCs w:val="28"/>
          <w:highlight w:val="none"/>
        </w:rPr>
        <w:t>新疆华域建设工程项目管理咨询有限公司</w:t>
      </w:r>
    </w:p>
    <w:p>
      <w:pPr>
        <w:pStyle w:val="20"/>
        <w:ind w:firstLine="427" w:firstLineChars="152"/>
        <w:rPr>
          <w:rFonts w:hAnsi="宋体"/>
          <w:b/>
          <w:color w:val="000000"/>
          <w:sz w:val="28"/>
          <w:szCs w:val="28"/>
          <w:highlight w:val="none"/>
        </w:rPr>
      </w:pPr>
    </w:p>
    <w:p>
      <w:pPr>
        <w:pStyle w:val="20"/>
        <w:ind w:firstLine="427" w:firstLineChars="152"/>
        <w:rPr>
          <w:rFonts w:hint="eastAsia" w:hAnsi="宋体" w:eastAsia="宋体"/>
          <w:b/>
          <w:color w:val="000000"/>
          <w:sz w:val="28"/>
          <w:szCs w:val="28"/>
          <w:highlight w:val="none"/>
          <w:lang w:eastAsia="zh-CN"/>
        </w:rPr>
      </w:pPr>
      <w:r>
        <w:rPr>
          <w:rFonts w:hint="eastAsia" w:hAnsi="宋体"/>
          <w:b/>
          <w:color w:val="000000"/>
          <w:sz w:val="28"/>
          <w:szCs w:val="28"/>
          <w:highlight w:val="none"/>
        </w:rPr>
        <w:t>招标文件编号：</w:t>
      </w:r>
      <w:r>
        <w:rPr>
          <w:rFonts w:hint="eastAsia" w:hAnsi="宋体"/>
          <w:b/>
          <w:color w:val="000000"/>
          <w:sz w:val="28"/>
          <w:szCs w:val="28"/>
          <w:highlight w:val="none"/>
          <w:lang w:eastAsia="zh-CN"/>
        </w:rPr>
        <w:t>ZFCGHY-20220121（1）</w:t>
      </w:r>
    </w:p>
    <w:p>
      <w:pPr>
        <w:spacing w:line="360" w:lineRule="auto"/>
        <w:ind w:right="84" w:rightChars="40" w:firstLine="2249" w:firstLineChars="800"/>
        <w:rPr>
          <w:rFonts w:ascii="宋体" w:cs="宋体"/>
          <w:b/>
          <w:sz w:val="28"/>
          <w:szCs w:val="28"/>
          <w:highlight w:val="none"/>
        </w:rPr>
      </w:pPr>
    </w:p>
    <w:p>
      <w:pPr>
        <w:widowControl/>
        <w:jc w:val="left"/>
        <w:rPr>
          <w:rFonts w:ascii="宋体" w:cs="宋体"/>
          <w:sz w:val="24"/>
          <w:szCs w:val="24"/>
          <w:highlight w:val="none"/>
        </w:rPr>
      </w:pPr>
      <w:r>
        <w:rPr>
          <w:rFonts w:ascii="宋体" w:cs="宋体"/>
          <w:sz w:val="24"/>
          <w:szCs w:val="24"/>
          <w:highlight w:val="none"/>
        </w:rPr>
        <w:br w:type="page"/>
      </w:r>
    </w:p>
    <w:p>
      <w:pPr>
        <w:pStyle w:val="71"/>
        <w:jc w:val="center"/>
        <w:rPr>
          <w:rFonts w:ascii="宋体" w:cs="宋体"/>
          <w:b/>
          <w:color w:val="auto"/>
          <w:highlight w:val="none"/>
        </w:rPr>
      </w:pPr>
      <w:r>
        <w:rPr>
          <w:rFonts w:hint="eastAsia" w:ascii="宋体" w:hAnsi="宋体" w:cs="宋体"/>
          <w:b/>
          <w:color w:val="auto"/>
          <w:highlight w:val="none"/>
          <w:lang w:val="zh-CN"/>
        </w:rPr>
        <w:t>目录</w:t>
      </w:r>
    </w:p>
    <w:p>
      <w:pPr>
        <w:pStyle w:val="26"/>
        <w:tabs>
          <w:tab w:val="right" w:leader="dot" w:pos="8296"/>
        </w:tabs>
        <w:jc w:val="center"/>
        <w:rPr>
          <w:kern w:val="2"/>
          <w:sz w:val="21"/>
          <w:highlight w:val="none"/>
        </w:rPr>
      </w:pPr>
      <w:r>
        <w:rPr>
          <w:rFonts w:ascii="宋体" w:hAnsi="宋体" w:cs="宋体"/>
          <w:highlight w:val="none"/>
        </w:rPr>
        <w:fldChar w:fldCharType="begin"/>
      </w:r>
      <w:r>
        <w:rPr>
          <w:rFonts w:ascii="宋体" w:hAnsi="宋体" w:cs="宋体"/>
          <w:highlight w:val="none"/>
        </w:rPr>
        <w:instrText xml:space="preserve"> TOC \o "1-3" \h \z \u </w:instrText>
      </w:r>
      <w:r>
        <w:rPr>
          <w:rFonts w:ascii="宋体" w:hAnsi="宋体" w:cs="宋体"/>
          <w:highlight w:val="none"/>
        </w:rPr>
        <w:fldChar w:fldCharType="separate"/>
      </w:r>
      <w:r>
        <w:rPr>
          <w:highlight w:val="none"/>
        </w:rPr>
        <w:fldChar w:fldCharType="begin"/>
      </w:r>
      <w:r>
        <w:rPr>
          <w:highlight w:val="none"/>
        </w:rPr>
        <w:instrText xml:space="preserve"> HYPERLINK \l "_Toc517776504" </w:instrText>
      </w:r>
      <w:r>
        <w:rPr>
          <w:highlight w:val="none"/>
        </w:rPr>
        <w:fldChar w:fldCharType="separate"/>
      </w:r>
      <w:r>
        <w:rPr>
          <w:rStyle w:val="42"/>
          <w:rFonts w:hint="eastAsia" w:ascii="宋体" w:hAnsi="宋体" w:cs="宋体"/>
          <w:highlight w:val="none"/>
        </w:rPr>
        <w:t>第二章</w:t>
      </w:r>
      <w:r>
        <w:rPr>
          <w:rStyle w:val="42"/>
          <w:rFonts w:ascii="宋体" w:hAnsi="宋体" w:cs="宋体"/>
          <w:highlight w:val="none"/>
        </w:rPr>
        <w:t xml:space="preserve"> </w:t>
      </w:r>
      <w:r>
        <w:rPr>
          <w:rStyle w:val="42"/>
          <w:rFonts w:hint="eastAsia" w:ascii="宋体" w:hAnsi="宋体" w:cs="宋体"/>
          <w:highlight w:val="none"/>
        </w:rPr>
        <w:t>投标人须知</w:t>
      </w:r>
      <w:r>
        <w:rPr>
          <w:highlight w:val="none"/>
        </w:rPr>
        <w:tab/>
      </w:r>
      <w:r>
        <w:rPr>
          <w:highlight w:val="none"/>
        </w:rPr>
        <w:fldChar w:fldCharType="begin"/>
      </w:r>
      <w:r>
        <w:rPr>
          <w:highlight w:val="none"/>
        </w:rPr>
        <w:instrText xml:space="preserve"> PAGEREF _Toc517776504 \h </w:instrText>
      </w:r>
      <w:r>
        <w:rPr>
          <w:highlight w:val="none"/>
        </w:rPr>
        <w:fldChar w:fldCharType="separate"/>
      </w:r>
      <w:r>
        <w:rPr>
          <w:highlight w:val="none"/>
        </w:rPr>
        <w:t>5</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"_Toc517776505" </w:instrText>
      </w:r>
      <w:r>
        <w:rPr>
          <w:highlight w:val="none"/>
        </w:rPr>
        <w:fldChar w:fldCharType="separate"/>
      </w:r>
      <w:r>
        <w:rPr>
          <w:rStyle w:val="42"/>
          <w:rFonts w:hint="eastAsia" w:ascii="宋体" w:hAnsi="宋体" w:cs="宋体"/>
          <w:highlight w:val="none"/>
        </w:rPr>
        <w:t>一、说明</w:t>
      </w:r>
      <w:r>
        <w:rPr>
          <w:highlight w:val="none"/>
        </w:rPr>
        <w:tab/>
      </w:r>
      <w:r>
        <w:rPr>
          <w:highlight w:val="none"/>
        </w:rPr>
        <w:fldChar w:fldCharType="begin"/>
      </w:r>
      <w:r>
        <w:rPr>
          <w:highlight w:val="none"/>
        </w:rPr>
        <w:instrText xml:space="preserve"> PAGEREF _Toc517776505 \h </w:instrText>
      </w:r>
      <w:r>
        <w:rPr>
          <w:highlight w:val="none"/>
        </w:rPr>
        <w:fldChar w:fldCharType="separate"/>
      </w:r>
      <w:r>
        <w:rPr>
          <w:highlight w:val="none"/>
        </w:rPr>
        <w:t>9</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"_Toc517776506" </w:instrText>
      </w:r>
      <w:r>
        <w:rPr>
          <w:highlight w:val="none"/>
        </w:rPr>
        <w:fldChar w:fldCharType="separate"/>
      </w:r>
      <w:r>
        <w:rPr>
          <w:rStyle w:val="42"/>
          <w:rFonts w:hint="eastAsia" w:ascii="宋体" w:hAnsi="宋体" w:cs="宋体"/>
          <w:highlight w:val="none"/>
        </w:rPr>
        <w:t>二、采购文件</w:t>
      </w:r>
      <w:r>
        <w:rPr>
          <w:highlight w:val="none"/>
        </w:rPr>
        <w:tab/>
      </w:r>
      <w:r>
        <w:rPr>
          <w:highlight w:val="none"/>
        </w:rPr>
        <w:fldChar w:fldCharType="begin"/>
      </w:r>
      <w:r>
        <w:rPr>
          <w:highlight w:val="none"/>
        </w:rPr>
        <w:instrText xml:space="preserve"> PAGEREF _Toc517776506 \h </w:instrText>
      </w:r>
      <w:r>
        <w:rPr>
          <w:highlight w:val="none"/>
        </w:rPr>
        <w:fldChar w:fldCharType="separate"/>
      </w:r>
      <w:r>
        <w:rPr>
          <w:highlight w:val="none"/>
        </w:rPr>
        <w:t>10</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"_Toc517776507" </w:instrText>
      </w:r>
      <w:r>
        <w:rPr>
          <w:highlight w:val="none"/>
        </w:rPr>
        <w:fldChar w:fldCharType="separate"/>
      </w:r>
      <w:r>
        <w:rPr>
          <w:rStyle w:val="42"/>
          <w:rFonts w:hint="eastAsia" w:ascii="宋体" w:hAnsi="宋体" w:cs="宋体"/>
          <w:highlight w:val="none"/>
        </w:rPr>
        <w:t>三、投标文件的编制</w:t>
      </w:r>
      <w:r>
        <w:rPr>
          <w:highlight w:val="none"/>
        </w:rPr>
        <w:tab/>
      </w:r>
      <w:r>
        <w:rPr>
          <w:highlight w:val="none"/>
        </w:rPr>
        <w:fldChar w:fldCharType="begin"/>
      </w:r>
      <w:r>
        <w:rPr>
          <w:highlight w:val="none"/>
        </w:rPr>
        <w:instrText xml:space="preserve"> PAGEREF _Toc517776507 \h </w:instrText>
      </w:r>
      <w:r>
        <w:rPr>
          <w:highlight w:val="none"/>
        </w:rPr>
        <w:fldChar w:fldCharType="separate"/>
      </w:r>
      <w:r>
        <w:rPr>
          <w:highlight w:val="none"/>
        </w:rPr>
        <w:t>13</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"_Toc517776508" </w:instrText>
      </w:r>
      <w:r>
        <w:rPr>
          <w:highlight w:val="none"/>
        </w:rPr>
        <w:fldChar w:fldCharType="separate"/>
      </w:r>
      <w:r>
        <w:rPr>
          <w:rStyle w:val="42"/>
          <w:rFonts w:hint="eastAsia" w:ascii="宋体" w:hAnsi="宋体" w:cs="宋体"/>
          <w:highlight w:val="none"/>
        </w:rPr>
        <w:t>四、投标文件的递交</w:t>
      </w:r>
      <w:r>
        <w:rPr>
          <w:highlight w:val="none"/>
        </w:rPr>
        <w:tab/>
      </w:r>
      <w:r>
        <w:rPr>
          <w:highlight w:val="none"/>
        </w:rPr>
        <w:fldChar w:fldCharType="begin"/>
      </w:r>
      <w:r>
        <w:rPr>
          <w:highlight w:val="none"/>
        </w:rPr>
        <w:instrText xml:space="preserve"> PAGEREF _Toc517776508 \h </w:instrText>
      </w:r>
      <w:r>
        <w:rPr>
          <w:highlight w:val="none"/>
        </w:rPr>
        <w:fldChar w:fldCharType="separate"/>
      </w:r>
      <w:r>
        <w:rPr>
          <w:highlight w:val="none"/>
        </w:rPr>
        <w:t>17</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"_Toc517776509" </w:instrText>
      </w:r>
      <w:r>
        <w:rPr>
          <w:highlight w:val="none"/>
        </w:rPr>
        <w:fldChar w:fldCharType="separate"/>
      </w:r>
      <w:r>
        <w:rPr>
          <w:rStyle w:val="42"/>
          <w:rFonts w:hint="eastAsia" w:ascii="宋体" w:hAnsi="宋体" w:cs="宋体"/>
          <w:highlight w:val="none"/>
        </w:rPr>
        <w:t>五、开标、评标和定标</w:t>
      </w:r>
      <w:r>
        <w:rPr>
          <w:highlight w:val="none"/>
        </w:rPr>
        <w:tab/>
      </w:r>
      <w:r>
        <w:rPr>
          <w:highlight w:val="none"/>
        </w:rPr>
        <w:fldChar w:fldCharType="begin"/>
      </w:r>
      <w:r>
        <w:rPr>
          <w:highlight w:val="none"/>
        </w:rPr>
        <w:instrText xml:space="preserve"> PAGEREF _Toc517776509 \h </w:instrText>
      </w:r>
      <w:r>
        <w:rPr>
          <w:highlight w:val="none"/>
        </w:rPr>
        <w:fldChar w:fldCharType="separate"/>
      </w:r>
      <w:r>
        <w:rPr>
          <w:highlight w:val="none"/>
        </w:rPr>
        <w:t>18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"_Toc517776510" </w:instrText>
      </w:r>
      <w:r>
        <w:rPr>
          <w:highlight w:val="none"/>
        </w:rPr>
        <w:fldChar w:fldCharType="separate"/>
      </w:r>
      <w:r>
        <w:rPr>
          <w:rStyle w:val="42"/>
          <w:rFonts w:hint="eastAsia" w:ascii="宋体" w:hAnsi="宋体" w:cs="宋体"/>
          <w:highlight w:val="none"/>
        </w:rPr>
        <w:t>六、评审方法及标准</w:t>
      </w:r>
      <w:r>
        <w:rPr>
          <w:highlight w:val="none"/>
        </w:rPr>
        <w:tab/>
      </w:r>
      <w:r>
        <w:rPr>
          <w:highlight w:val="none"/>
        </w:rPr>
        <w:fldChar w:fldCharType="begin"/>
      </w:r>
      <w:r>
        <w:rPr>
          <w:highlight w:val="none"/>
        </w:rPr>
        <w:instrText xml:space="preserve"> PAGEREF _Toc517776510 \h </w:instrText>
      </w:r>
      <w:r>
        <w:rPr>
          <w:highlight w:val="none"/>
        </w:rPr>
        <w:fldChar w:fldCharType="separate"/>
      </w:r>
      <w:r>
        <w:rPr>
          <w:highlight w:val="none"/>
        </w:rPr>
        <w:t>23</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"_Toc517776511" </w:instrText>
      </w:r>
      <w:r>
        <w:rPr>
          <w:highlight w:val="none"/>
        </w:rPr>
        <w:fldChar w:fldCharType="separate"/>
      </w:r>
      <w:r>
        <w:rPr>
          <w:rStyle w:val="42"/>
          <w:rFonts w:hint="eastAsia" w:ascii="宋体" w:hAnsi="宋体" w:cs="宋体"/>
          <w:highlight w:val="none"/>
        </w:rPr>
        <w:t>七、授予合同</w:t>
      </w:r>
      <w:r>
        <w:rPr>
          <w:highlight w:val="none"/>
        </w:rPr>
        <w:tab/>
      </w:r>
      <w:r>
        <w:rPr>
          <w:highlight w:val="none"/>
        </w:rPr>
        <w:fldChar w:fldCharType="begin"/>
      </w:r>
      <w:r>
        <w:rPr>
          <w:highlight w:val="none"/>
        </w:rPr>
        <w:instrText xml:space="preserve"> PAGEREF _Toc517776511 \h </w:instrText>
      </w:r>
      <w:r>
        <w:rPr>
          <w:highlight w:val="none"/>
        </w:rPr>
        <w:fldChar w:fldCharType="separate"/>
      </w:r>
      <w:r>
        <w:rPr>
          <w:highlight w:val="none"/>
        </w:rPr>
        <w:t>26</w:t>
      </w:r>
      <w:r>
        <w:rPr>
          <w:highlight w:val="none"/>
        </w:rPr>
        <w:fldChar w:fldCharType="end"/>
      </w:r>
      <w:r>
        <w:rPr>
          <w:highlight w:val="none"/>
        </w:rPr>
        <w:fldChar w:fldCharType="end"/>
      </w:r>
    </w:p>
    <w:p>
      <w:pPr>
        <w:pStyle w:val="26"/>
        <w:tabs>
          <w:tab w:val="right" w:leader="dot" w:pos="8296"/>
        </w:tabs>
        <w:jc w:val="center"/>
        <w:rPr>
          <w:highlight w:val="none"/>
        </w:rPr>
      </w:pPr>
      <w:r>
        <w:rPr>
          <w:rFonts w:hint="eastAsia"/>
          <w:highlight w:val="none"/>
        </w:rPr>
        <w:t>第三章</w:t>
      </w:r>
      <w:r>
        <w:rPr>
          <w:highlight w:val="none"/>
        </w:rPr>
        <w:fldChar w:fldCharType="begin"/>
      </w:r>
      <w:r>
        <w:rPr>
          <w:highlight w:val="none"/>
        </w:rPr>
        <w:instrText xml:space="preserve"> HYPERLINK \l "_Toc517776512" </w:instrText>
      </w:r>
      <w:r>
        <w:rPr>
          <w:highlight w:val="none"/>
        </w:rPr>
        <w:fldChar w:fldCharType="separate"/>
      </w:r>
      <w:r>
        <w:rPr>
          <w:rFonts w:hint="eastAsia"/>
          <w:highlight w:val="none"/>
        </w:rPr>
        <w:t xml:space="preserve"> 用户需求：</w:t>
      </w:r>
      <w:r>
        <w:rPr>
          <w:highlight w:val="none"/>
        </w:rPr>
        <w:tab/>
      </w:r>
      <w:r>
        <w:rPr>
          <w:highlight w:val="none"/>
        </w:rPr>
        <w:fldChar w:fldCharType="begin"/>
      </w:r>
      <w:r>
        <w:rPr>
          <w:highlight w:val="none"/>
        </w:rPr>
        <w:instrText xml:space="preserve"> PAGEREF _Toc517776512 \h </w:instrText>
      </w:r>
      <w:r>
        <w:rPr>
          <w:highlight w:val="none"/>
        </w:rPr>
        <w:fldChar w:fldCharType="separate"/>
      </w:r>
      <w:r>
        <w:rPr>
          <w:highlight w:val="none"/>
        </w:rPr>
        <w:t>27</w:t>
      </w:r>
      <w:r>
        <w:rPr>
          <w:highlight w:val="none"/>
        </w:rPr>
        <w:fldChar w:fldCharType="end"/>
      </w:r>
      <w:r>
        <w:rPr>
          <w:highlight w:val="none"/>
        </w:rPr>
        <w:fldChar w:fldCharType="end"/>
      </w:r>
    </w:p>
    <w:p>
      <w:pPr>
        <w:pStyle w:val="26"/>
        <w:tabs>
          <w:tab w:val="right" w:leader="dot" w:pos="8296"/>
        </w:tabs>
        <w:jc w:val="center"/>
        <w:rPr>
          <w:kern w:val="2"/>
          <w:sz w:val="21"/>
          <w:highlight w:val="none"/>
        </w:rPr>
      </w:pPr>
      <w:r>
        <w:rPr>
          <w:highlight w:val="none"/>
        </w:rPr>
        <w:fldChar w:fldCharType="begin"/>
      </w:r>
      <w:r>
        <w:rPr>
          <w:highlight w:val="none"/>
        </w:rPr>
        <w:instrText xml:space="preserve"> HYPERLINK \l "_Toc517776520" </w:instrText>
      </w:r>
      <w:r>
        <w:rPr>
          <w:highlight w:val="none"/>
        </w:rPr>
        <w:fldChar w:fldCharType="separate"/>
      </w:r>
      <w:r>
        <w:rPr>
          <w:rStyle w:val="42"/>
          <w:rFonts w:hint="eastAsia"/>
          <w:highlight w:val="none"/>
        </w:rPr>
        <w:t>第四章</w:t>
      </w:r>
      <w:r>
        <w:rPr>
          <w:rStyle w:val="42"/>
          <w:rFonts w:ascii="宋体" w:hAnsi="宋体" w:cs="宋体"/>
          <w:highlight w:val="none"/>
        </w:rPr>
        <w:t xml:space="preserve"> </w:t>
      </w:r>
      <w:r>
        <w:rPr>
          <w:rStyle w:val="42"/>
          <w:rFonts w:hint="eastAsia" w:ascii="宋体" w:hAnsi="宋体" w:cs="宋体"/>
          <w:highlight w:val="none"/>
        </w:rPr>
        <w:t>合同</w:t>
      </w:r>
      <w:r>
        <w:rPr>
          <w:highlight w:val="none"/>
        </w:rPr>
        <w:tab/>
      </w:r>
      <w:r>
        <w:rPr>
          <w:highlight w:val="none"/>
        </w:rPr>
        <w:fldChar w:fldCharType="begin"/>
      </w:r>
      <w:r>
        <w:rPr>
          <w:highlight w:val="none"/>
        </w:rPr>
        <w:instrText xml:space="preserve"> PAGEREF _Toc517776520 \h </w:instrText>
      </w:r>
      <w:r>
        <w:rPr>
          <w:highlight w:val="none"/>
        </w:rPr>
        <w:fldChar w:fldCharType="separate"/>
      </w:r>
      <w:r>
        <w:rPr>
          <w:highlight w:val="none"/>
        </w:rPr>
        <w:t>28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"_Toc517776521" </w:instrText>
      </w:r>
      <w:r>
        <w:rPr>
          <w:highlight w:val="none"/>
        </w:rPr>
        <w:fldChar w:fldCharType="separate"/>
      </w:r>
      <w:r>
        <w:rPr>
          <w:rStyle w:val="42"/>
          <w:rFonts w:hint="eastAsia" w:ascii="宋体" w:hAnsi="宋体" w:cs="宋体"/>
          <w:highlight w:val="none"/>
        </w:rPr>
        <w:t>一、合同一般条款</w:t>
      </w:r>
      <w:r>
        <w:rPr>
          <w:highlight w:val="none"/>
        </w:rPr>
        <w:tab/>
      </w:r>
      <w:r>
        <w:rPr>
          <w:highlight w:val="none"/>
        </w:rPr>
        <w:fldChar w:fldCharType="begin"/>
      </w:r>
      <w:r>
        <w:rPr>
          <w:highlight w:val="none"/>
        </w:rPr>
        <w:instrText xml:space="preserve"> PAGEREF _Toc517776521 \h </w:instrText>
      </w:r>
      <w:r>
        <w:rPr>
          <w:highlight w:val="none"/>
        </w:rPr>
        <w:fldChar w:fldCharType="separate"/>
      </w:r>
      <w:r>
        <w:rPr>
          <w:highlight w:val="none"/>
        </w:rPr>
        <w:t>28</w:t>
      </w:r>
      <w:r>
        <w:rPr>
          <w:highlight w:val="none"/>
        </w:rPr>
        <w:fldChar w:fldCharType="end"/>
      </w:r>
      <w:r>
        <w:rPr>
          <w:highlight w:val="none"/>
        </w:rPr>
        <w:fldChar w:fldCharType="end"/>
      </w:r>
    </w:p>
    <w:p>
      <w:pPr>
        <w:pStyle w:val="26"/>
        <w:tabs>
          <w:tab w:val="right" w:leader="dot" w:pos="8296"/>
        </w:tabs>
        <w:jc w:val="center"/>
        <w:rPr>
          <w:kern w:val="2"/>
          <w:sz w:val="21"/>
          <w:highlight w:val="none"/>
        </w:rPr>
      </w:pPr>
      <w:r>
        <w:rPr>
          <w:highlight w:val="none"/>
        </w:rPr>
        <w:fldChar w:fldCharType="begin"/>
      </w:r>
      <w:r>
        <w:rPr>
          <w:highlight w:val="none"/>
        </w:rPr>
        <w:instrText xml:space="preserve"> HYPERLINK \l "_Toc517776522" </w:instrText>
      </w:r>
      <w:r>
        <w:rPr>
          <w:highlight w:val="none"/>
        </w:rPr>
        <w:fldChar w:fldCharType="separate"/>
      </w:r>
      <w:r>
        <w:rPr>
          <w:rStyle w:val="42"/>
          <w:rFonts w:hint="eastAsia" w:ascii="宋体" w:hAnsi="宋体" w:cs="宋体"/>
          <w:highlight w:val="none"/>
        </w:rPr>
        <w:t>第五章</w:t>
      </w:r>
      <w:r>
        <w:rPr>
          <w:rStyle w:val="42"/>
          <w:rFonts w:ascii="宋体" w:hAnsi="宋体" w:cs="宋体"/>
          <w:highlight w:val="none"/>
        </w:rPr>
        <w:t xml:space="preserve"> </w:t>
      </w:r>
      <w:r>
        <w:rPr>
          <w:rStyle w:val="42"/>
          <w:rFonts w:hint="eastAsia" w:ascii="宋体" w:hAnsi="宋体" w:cs="宋体"/>
          <w:highlight w:val="none"/>
        </w:rPr>
        <w:t>投标文件格式</w:t>
      </w:r>
      <w:r>
        <w:rPr>
          <w:highlight w:val="none"/>
        </w:rPr>
        <w:tab/>
      </w:r>
      <w:r>
        <w:rPr>
          <w:highlight w:val="none"/>
        </w:rPr>
        <w:fldChar w:fldCharType="begin"/>
      </w:r>
      <w:r>
        <w:rPr>
          <w:highlight w:val="none"/>
        </w:rPr>
        <w:instrText xml:space="preserve"> PAGEREF _Toc517776522 \h </w:instrText>
      </w:r>
      <w:r>
        <w:rPr>
          <w:highlight w:val="none"/>
        </w:rPr>
        <w:fldChar w:fldCharType="separate"/>
      </w:r>
      <w:r>
        <w:rPr>
          <w:highlight w:val="none"/>
        </w:rPr>
        <w:t>35</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"_Toc517776523" </w:instrText>
      </w:r>
      <w:r>
        <w:rPr>
          <w:highlight w:val="none"/>
        </w:rPr>
        <w:fldChar w:fldCharType="separate"/>
      </w:r>
      <w:r>
        <w:rPr>
          <w:rStyle w:val="42"/>
          <w:rFonts w:hint="eastAsia" w:ascii="宋体" w:hAnsi="宋体" w:cs="宋体"/>
          <w:highlight w:val="none"/>
        </w:rPr>
        <w:t>二、目录</w:t>
      </w:r>
      <w:r>
        <w:rPr>
          <w:highlight w:val="none"/>
        </w:rPr>
        <w:tab/>
      </w:r>
      <w:r>
        <w:rPr>
          <w:highlight w:val="none"/>
        </w:rPr>
        <w:fldChar w:fldCharType="begin"/>
      </w:r>
      <w:r>
        <w:rPr>
          <w:highlight w:val="none"/>
        </w:rPr>
        <w:instrText xml:space="preserve"> PAGEREF _Toc517776523 \h </w:instrText>
      </w:r>
      <w:r>
        <w:rPr>
          <w:highlight w:val="none"/>
        </w:rPr>
        <w:fldChar w:fldCharType="separate"/>
      </w:r>
      <w:r>
        <w:rPr>
          <w:highlight w:val="none"/>
        </w:rPr>
        <w:t>38</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"_Toc517776524" </w:instrText>
      </w:r>
      <w:r>
        <w:rPr>
          <w:highlight w:val="none"/>
        </w:rPr>
        <w:fldChar w:fldCharType="separate"/>
      </w:r>
      <w:r>
        <w:rPr>
          <w:rStyle w:val="42"/>
          <w:rFonts w:hint="eastAsia" w:ascii="宋体" w:hAnsi="宋体" w:cs="宋体"/>
          <w:highlight w:val="none"/>
        </w:rPr>
        <w:t>三、投标函</w:t>
      </w:r>
      <w:r>
        <w:rPr>
          <w:highlight w:val="none"/>
        </w:rPr>
        <w:tab/>
      </w:r>
      <w:r>
        <w:rPr>
          <w:highlight w:val="none"/>
        </w:rPr>
        <w:fldChar w:fldCharType="begin"/>
      </w:r>
      <w:r>
        <w:rPr>
          <w:highlight w:val="none"/>
        </w:rPr>
        <w:instrText xml:space="preserve"> PAGEREF _Toc517776524 \h </w:instrText>
      </w:r>
      <w:r>
        <w:rPr>
          <w:highlight w:val="none"/>
        </w:rPr>
        <w:fldChar w:fldCharType="separate"/>
      </w:r>
      <w:r>
        <w:rPr>
          <w:highlight w:val="none"/>
        </w:rPr>
        <w:t>39</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"_Toc517776525" </w:instrText>
      </w:r>
      <w:r>
        <w:rPr>
          <w:highlight w:val="none"/>
        </w:rPr>
        <w:fldChar w:fldCharType="separate"/>
      </w:r>
      <w:r>
        <w:rPr>
          <w:rStyle w:val="42"/>
          <w:rFonts w:hint="eastAsia" w:ascii="宋体" w:hAnsi="宋体" w:cs="宋体"/>
          <w:highlight w:val="none"/>
        </w:rPr>
        <w:t>四、报价一览表</w:t>
      </w:r>
      <w:r>
        <w:rPr>
          <w:highlight w:val="none"/>
        </w:rPr>
        <w:tab/>
      </w:r>
      <w:r>
        <w:rPr>
          <w:highlight w:val="none"/>
        </w:rPr>
        <w:fldChar w:fldCharType="begin"/>
      </w:r>
      <w:r>
        <w:rPr>
          <w:highlight w:val="none"/>
        </w:rPr>
        <w:instrText xml:space="preserve"> PAGEREF _Toc517776525 \h </w:instrText>
      </w:r>
      <w:r>
        <w:rPr>
          <w:highlight w:val="none"/>
        </w:rPr>
        <w:fldChar w:fldCharType="separate"/>
      </w:r>
      <w:r>
        <w:rPr>
          <w:highlight w:val="none"/>
        </w:rPr>
        <w:t>40</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"_Toc517776526" </w:instrText>
      </w:r>
      <w:r>
        <w:rPr>
          <w:highlight w:val="none"/>
        </w:rPr>
        <w:fldChar w:fldCharType="separate"/>
      </w:r>
      <w:r>
        <w:rPr>
          <w:rStyle w:val="42"/>
          <w:rFonts w:hint="eastAsia" w:ascii="宋体" w:hAnsi="宋体" w:cs="宋体"/>
          <w:highlight w:val="none"/>
        </w:rPr>
        <w:t>五、法人代表授权委托书</w:t>
      </w:r>
      <w:r>
        <w:rPr>
          <w:highlight w:val="none"/>
        </w:rPr>
        <w:tab/>
      </w:r>
      <w:r>
        <w:rPr>
          <w:highlight w:val="none"/>
        </w:rPr>
        <w:fldChar w:fldCharType="begin"/>
      </w:r>
      <w:r>
        <w:rPr>
          <w:highlight w:val="none"/>
        </w:rPr>
        <w:instrText xml:space="preserve"> PAGEREF _Toc517776526 \h </w:instrText>
      </w:r>
      <w:r>
        <w:rPr>
          <w:highlight w:val="none"/>
        </w:rPr>
        <w:fldChar w:fldCharType="separate"/>
      </w:r>
      <w:r>
        <w:rPr>
          <w:highlight w:val="none"/>
        </w:rPr>
        <w:t>41</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"_Toc517776527" </w:instrText>
      </w:r>
      <w:r>
        <w:rPr>
          <w:highlight w:val="none"/>
        </w:rPr>
        <w:fldChar w:fldCharType="separate"/>
      </w:r>
      <w:r>
        <w:rPr>
          <w:rStyle w:val="42"/>
          <w:rFonts w:hint="eastAsia" w:ascii="宋体" w:hAnsi="宋体" w:cs="宋体"/>
          <w:highlight w:val="none"/>
        </w:rPr>
        <w:t>六、投标人资格说明</w:t>
      </w:r>
      <w:r>
        <w:rPr>
          <w:highlight w:val="none"/>
        </w:rPr>
        <w:tab/>
      </w:r>
      <w:r>
        <w:rPr>
          <w:highlight w:val="none"/>
        </w:rPr>
        <w:fldChar w:fldCharType="begin"/>
      </w:r>
      <w:r>
        <w:rPr>
          <w:highlight w:val="none"/>
        </w:rPr>
        <w:instrText xml:space="preserve"> PAGEREF _Toc517776527 \h </w:instrText>
      </w:r>
      <w:r>
        <w:rPr>
          <w:highlight w:val="none"/>
        </w:rPr>
        <w:fldChar w:fldCharType="separate"/>
      </w:r>
      <w:r>
        <w:rPr>
          <w:highlight w:val="none"/>
        </w:rPr>
        <w:t>42</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"_Toc517776528" </w:instrText>
      </w:r>
      <w:r>
        <w:rPr>
          <w:highlight w:val="none"/>
        </w:rPr>
        <w:fldChar w:fldCharType="separate"/>
      </w:r>
      <w:r>
        <w:rPr>
          <w:rStyle w:val="42"/>
          <w:rFonts w:hint="eastAsia" w:ascii="宋体" w:hAnsi="宋体" w:cs="宋体"/>
          <w:highlight w:val="none"/>
        </w:rPr>
        <w:t>七、分项报价表</w:t>
      </w:r>
      <w:r>
        <w:rPr>
          <w:highlight w:val="none"/>
        </w:rPr>
        <w:tab/>
      </w:r>
      <w:r>
        <w:rPr>
          <w:highlight w:val="none"/>
        </w:rPr>
        <w:fldChar w:fldCharType="begin"/>
      </w:r>
      <w:r>
        <w:rPr>
          <w:highlight w:val="none"/>
        </w:rPr>
        <w:instrText xml:space="preserve"> PAGEREF _Toc517776528 \h </w:instrText>
      </w:r>
      <w:r>
        <w:rPr>
          <w:highlight w:val="none"/>
        </w:rPr>
        <w:fldChar w:fldCharType="separate"/>
      </w:r>
      <w:r>
        <w:rPr>
          <w:highlight w:val="none"/>
        </w:rPr>
        <w:t>43</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"_Toc517776529" </w:instrText>
      </w:r>
      <w:r>
        <w:rPr>
          <w:highlight w:val="none"/>
        </w:rPr>
        <w:fldChar w:fldCharType="separate"/>
      </w:r>
      <w:r>
        <w:rPr>
          <w:rStyle w:val="42"/>
          <w:rFonts w:hint="eastAsia" w:ascii="宋体" w:hAnsi="宋体" w:cs="宋体"/>
          <w:highlight w:val="none"/>
        </w:rPr>
        <w:t>八、企业完成同类项目一览表</w:t>
      </w:r>
      <w:r>
        <w:rPr>
          <w:highlight w:val="none"/>
        </w:rPr>
        <w:tab/>
      </w:r>
      <w:r>
        <w:rPr>
          <w:highlight w:val="none"/>
        </w:rPr>
        <w:fldChar w:fldCharType="begin"/>
      </w:r>
      <w:r>
        <w:rPr>
          <w:highlight w:val="none"/>
        </w:rPr>
        <w:instrText xml:space="preserve"> PAGEREF _Toc517776529 \h </w:instrText>
      </w:r>
      <w:r>
        <w:rPr>
          <w:highlight w:val="none"/>
        </w:rPr>
        <w:fldChar w:fldCharType="separate"/>
      </w:r>
      <w:r>
        <w:rPr>
          <w:highlight w:val="none"/>
        </w:rPr>
        <w:t>44</w:t>
      </w:r>
      <w:r>
        <w:rPr>
          <w:highlight w:val="none"/>
        </w:rPr>
        <w:fldChar w:fldCharType="end"/>
      </w:r>
      <w:r>
        <w:rPr>
          <w:highlight w:val="none"/>
        </w:rPr>
        <w:fldChar w:fldCharType="end"/>
      </w:r>
    </w:p>
    <w:p>
      <w:pPr>
        <w:pStyle w:val="29"/>
        <w:tabs>
          <w:tab w:val="right" w:leader="dot" w:pos="8296"/>
        </w:tabs>
        <w:jc w:val="center"/>
        <w:rPr>
          <w:kern w:val="2"/>
          <w:sz w:val="21"/>
          <w:highlight w:val="none"/>
        </w:rPr>
      </w:pPr>
      <w:r>
        <w:rPr>
          <w:highlight w:val="none"/>
        </w:rPr>
        <w:fldChar w:fldCharType="begin"/>
      </w:r>
      <w:r>
        <w:rPr>
          <w:highlight w:val="none"/>
        </w:rPr>
        <w:instrText xml:space="preserve"> HYPERLINK \l "_Toc517776530" </w:instrText>
      </w:r>
      <w:r>
        <w:rPr>
          <w:highlight w:val="none"/>
        </w:rPr>
        <w:fldChar w:fldCharType="separate"/>
      </w:r>
      <w:r>
        <w:rPr>
          <w:rStyle w:val="42"/>
          <w:rFonts w:hint="eastAsia" w:ascii="宋体" w:hAnsi="宋体" w:cs="宋体"/>
          <w:highlight w:val="none"/>
        </w:rPr>
        <w:t>九、售后及维护能力（格式自定）</w:t>
      </w:r>
      <w:r>
        <w:rPr>
          <w:highlight w:val="none"/>
        </w:rPr>
        <w:tab/>
      </w:r>
      <w:r>
        <w:rPr>
          <w:highlight w:val="none"/>
        </w:rPr>
        <w:fldChar w:fldCharType="begin"/>
      </w:r>
      <w:r>
        <w:rPr>
          <w:highlight w:val="none"/>
        </w:rPr>
        <w:instrText xml:space="preserve"> PAGEREF _Toc517776530 \h </w:instrText>
      </w:r>
      <w:r>
        <w:rPr>
          <w:highlight w:val="none"/>
        </w:rPr>
        <w:fldChar w:fldCharType="separate"/>
      </w:r>
      <w:r>
        <w:rPr>
          <w:highlight w:val="none"/>
        </w:rPr>
        <w:t>45</w:t>
      </w:r>
      <w:r>
        <w:rPr>
          <w:highlight w:val="none"/>
        </w:rPr>
        <w:fldChar w:fldCharType="end"/>
      </w:r>
      <w:r>
        <w:rPr>
          <w:highlight w:val="none"/>
        </w:rPr>
        <w:fldChar w:fldCharType="end"/>
      </w:r>
    </w:p>
    <w:p>
      <w:pPr>
        <w:spacing w:beforeLines="50" w:afterLines="50" w:line="360" w:lineRule="auto"/>
        <w:ind w:left="459" w:leftChars="203" w:hanging="33" w:hangingChars="16"/>
        <w:jc w:val="center"/>
        <w:rPr>
          <w:rFonts w:ascii="宋体" w:hAnsi="宋体" w:cs="宋体"/>
          <w:highlight w:val="none"/>
        </w:rPr>
      </w:pPr>
      <w:r>
        <w:rPr>
          <w:rFonts w:ascii="宋体" w:hAnsi="宋体" w:cs="宋体"/>
          <w:highlight w:val="none"/>
        </w:rPr>
        <w:fldChar w:fldCharType="end"/>
      </w: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459" w:leftChars="203" w:hanging="33" w:hangingChars="16"/>
        <w:jc w:val="center"/>
        <w:rPr>
          <w:rFonts w:ascii="宋体" w:hAnsi="宋体" w:cs="宋体"/>
          <w:highlight w:val="none"/>
        </w:rPr>
      </w:pPr>
    </w:p>
    <w:p>
      <w:pPr>
        <w:spacing w:beforeLines="50" w:afterLines="50" w:line="360" w:lineRule="auto"/>
        <w:ind w:left="-5" w:leftChars="-24" w:hanging="45" w:hangingChars="16"/>
        <w:jc w:val="center"/>
        <w:rPr>
          <w:rFonts w:hint="eastAsia" w:ascii="宋体" w:hAnsi="宋体" w:cs="宋体"/>
          <w:b/>
          <w:sz w:val="28"/>
          <w:szCs w:val="22"/>
          <w:highlight w:val="none"/>
          <w:lang w:eastAsia="zh-CN"/>
        </w:rPr>
      </w:pPr>
      <w:r>
        <w:rPr>
          <w:rFonts w:hint="eastAsia" w:ascii="宋体" w:hAnsi="宋体" w:cs="宋体"/>
          <w:b/>
          <w:sz w:val="28"/>
          <w:szCs w:val="22"/>
          <w:highlight w:val="none"/>
          <w:lang w:eastAsia="zh-CN"/>
        </w:rPr>
        <w:t>新疆维吾尔自治区广播电视局八四一台广播电视设备备品备件采购项目竞争性磋商公告</w:t>
      </w:r>
    </w:p>
    <w:p>
      <w:pPr>
        <w:spacing w:beforeLines="50" w:afterLines="50" w:line="360" w:lineRule="auto"/>
        <w:ind w:firstLine="480" w:firstLineChars="200"/>
        <w:rPr>
          <w:rFonts w:ascii="宋体" w:cs="宋体"/>
          <w:sz w:val="24"/>
          <w:szCs w:val="24"/>
          <w:highlight w:val="none"/>
        </w:rPr>
      </w:pPr>
      <w:r>
        <w:rPr>
          <w:rFonts w:hint="eastAsia" w:ascii="宋体" w:hAnsi="宋体" w:cs="宋体"/>
          <w:sz w:val="24"/>
          <w:szCs w:val="24"/>
          <w:highlight w:val="none"/>
        </w:rPr>
        <w:t>新疆华域建设工程项目管理咨询有限公司受</w:t>
      </w:r>
      <w:r>
        <w:rPr>
          <w:rFonts w:hint="eastAsia" w:ascii="宋体" w:hAnsi="宋体" w:cs="宋体"/>
          <w:sz w:val="24"/>
          <w:szCs w:val="24"/>
          <w:highlight w:val="none"/>
          <w:lang w:eastAsia="zh-CN"/>
        </w:rPr>
        <w:t>新疆维吾尔自治区广播电视局八四一台</w:t>
      </w:r>
      <w:r>
        <w:rPr>
          <w:rFonts w:hint="eastAsia" w:ascii="宋体" w:hAnsi="宋体" w:cs="宋体"/>
          <w:sz w:val="24"/>
          <w:szCs w:val="24"/>
          <w:highlight w:val="none"/>
        </w:rPr>
        <w:t>的委托，拟以竞争性磋商的方式对</w:t>
      </w:r>
      <w:r>
        <w:rPr>
          <w:rFonts w:hint="eastAsia" w:ascii="宋体" w:hAnsi="宋体" w:cs="宋体"/>
          <w:sz w:val="24"/>
          <w:szCs w:val="24"/>
          <w:highlight w:val="none"/>
          <w:lang w:eastAsia="zh-CN"/>
        </w:rPr>
        <w:t>新疆维吾尔自治区广播电视局八四一台广播电视设备备品备件采购项目</w:t>
      </w:r>
      <w:r>
        <w:rPr>
          <w:rFonts w:hint="eastAsia" w:ascii="宋体" w:hAnsi="宋体" w:cs="宋体"/>
          <w:sz w:val="24"/>
          <w:szCs w:val="24"/>
          <w:highlight w:val="none"/>
        </w:rPr>
        <w:t>进行竞争性磋商。现欢迎合格的竞标人前来投标。</w:t>
      </w:r>
    </w:p>
    <w:p>
      <w:pPr>
        <w:spacing w:beforeLines="50" w:afterLines="50"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项目编号：ZFCGHY-</w:t>
      </w:r>
      <w:r>
        <w:rPr>
          <w:rFonts w:hint="eastAsia" w:ascii="宋体" w:hAnsi="宋体" w:cs="宋体"/>
          <w:sz w:val="24"/>
          <w:szCs w:val="24"/>
          <w:highlight w:val="none"/>
          <w:lang w:eastAsia="zh-CN"/>
        </w:rPr>
        <w:t>20220121（1）</w:t>
      </w:r>
    </w:p>
    <w:p>
      <w:pPr>
        <w:widowControl/>
        <w:numPr>
          <w:ilvl w:val="0"/>
          <w:numId w:val="5"/>
        </w:numPr>
        <w:shd w:val="clear" w:color="auto" w:fill="FFFFFF"/>
        <w:spacing w:beforeLines="50" w:afterLines="50" w:line="360" w:lineRule="auto"/>
        <w:rPr>
          <w:rFonts w:ascii="宋体" w:cs="宋体"/>
          <w:sz w:val="24"/>
          <w:szCs w:val="24"/>
          <w:highlight w:val="none"/>
        </w:rPr>
      </w:pPr>
      <w:r>
        <w:rPr>
          <w:rFonts w:hint="eastAsia" w:ascii="宋体" w:hAnsi="宋体" w:cs="宋体"/>
          <w:color w:val="000000"/>
          <w:kern w:val="0"/>
          <w:sz w:val="24"/>
          <w:szCs w:val="24"/>
          <w:highlight w:val="none"/>
        </w:rPr>
        <w:t>采购项目名称：</w:t>
      </w:r>
      <w:r>
        <w:rPr>
          <w:rFonts w:hint="eastAsia" w:ascii="宋体" w:hAnsi="宋体" w:cs="宋体"/>
          <w:sz w:val="24"/>
          <w:szCs w:val="24"/>
          <w:highlight w:val="none"/>
          <w:lang w:eastAsia="zh-CN"/>
        </w:rPr>
        <w:t>新疆维吾尔自治区广播电视局八四一台广播电视设备备品备件采购项目（第一包）</w:t>
      </w:r>
    </w:p>
    <w:p>
      <w:pPr>
        <w:widowControl/>
        <w:shd w:val="clear" w:color="auto" w:fill="FFFFFF"/>
        <w:spacing w:beforeLines="50" w:afterLines="50"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二、采购单位名称：</w:t>
      </w:r>
      <w:r>
        <w:rPr>
          <w:rFonts w:hint="eastAsia" w:ascii="宋体" w:hAnsi="宋体" w:cs="宋体"/>
          <w:sz w:val="24"/>
          <w:szCs w:val="24"/>
          <w:highlight w:val="none"/>
          <w:lang w:eastAsia="zh-CN"/>
        </w:rPr>
        <w:t>新疆维吾尔自治区广播电视局八四一台</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三、采购机构名称：新疆华域建设工程项目管理咨询有限公司</w:t>
      </w:r>
    </w:p>
    <w:p>
      <w:pPr>
        <w:spacing w:line="440" w:lineRule="exact"/>
        <w:rPr>
          <w:rFonts w:ascii="宋体" w:cs="宋体"/>
          <w:sz w:val="24"/>
          <w:szCs w:val="24"/>
          <w:highlight w:val="none"/>
        </w:rPr>
      </w:pPr>
      <w:r>
        <w:rPr>
          <w:rFonts w:hint="eastAsia" w:ascii="宋体" w:hAnsi="宋体" w:cs="宋体"/>
          <w:sz w:val="24"/>
          <w:szCs w:val="24"/>
          <w:highlight w:val="none"/>
        </w:rPr>
        <w:t>四、采购内容：详见采购文件用户需求书。</w:t>
      </w:r>
      <w:r>
        <w:rPr>
          <w:rFonts w:hint="eastAsia" w:ascii="宋体" w:cs="宋体"/>
          <w:sz w:val="24"/>
          <w:szCs w:val="24"/>
          <w:highlight w:val="none"/>
        </w:rPr>
        <w:t>采购</w:t>
      </w: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30.60</w:t>
      </w:r>
      <w:r>
        <w:rPr>
          <w:rFonts w:hint="eastAsia" w:ascii="宋体" w:hAnsi="宋体" w:cs="宋体"/>
          <w:sz w:val="24"/>
          <w:szCs w:val="24"/>
          <w:highlight w:val="none"/>
        </w:rPr>
        <w:t>万元</w:t>
      </w:r>
      <w:r>
        <w:rPr>
          <w:rFonts w:hint="eastAsia" w:ascii="宋体" w:hAnsi="宋体" w:cs="宋体"/>
          <w:sz w:val="24"/>
          <w:szCs w:val="24"/>
          <w:highlight w:val="none"/>
          <w:lang w:eastAsia="zh-CN"/>
        </w:rPr>
        <w:t>，本项目共分</w:t>
      </w:r>
      <w:r>
        <w:rPr>
          <w:rFonts w:hint="eastAsia" w:ascii="宋体" w:hAnsi="宋体" w:cs="宋体"/>
          <w:sz w:val="24"/>
          <w:szCs w:val="24"/>
          <w:highlight w:val="none"/>
          <w:lang w:val="en-US" w:eastAsia="zh-CN"/>
        </w:rPr>
        <w:t>2个包，其中第一包：20.30万元；第二包：10.30万元</w:t>
      </w:r>
      <w:r>
        <w:rPr>
          <w:rFonts w:hint="eastAsia" w:ascii="宋体" w:hAnsi="宋体" w:cs="宋体"/>
          <w:sz w:val="24"/>
          <w:szCs w:val="24"/>
          <w:highlight w:val="none"/>
        </w:rPr>
        <w:t>。</w:t>
      </w:r>
    </w:p>
    <w:p>
      <w:pPr>
        <w:widowControl/>
        <w:tabs>
          <w:tab w:val="left" w:pos="450"/>
          <w:tab w:val="center" w:pos="4153"/>
        </w:tabs>
        <w:spacing w:beforeLines="50" w:line="360" w:lineRule="auto"/>
        <w:jc w:val="left"/>
        <w:rPr>
          <w:rFonts w:ascii="宋体" w:cs="宋体"/>
          <w:sz w:val="24"/>
          <w:szCs w:val="24"/>
          <w:highlight w:val="none"/>
        </w:rPr>
      </w:pPr>
      <w:r>
        <w:rPr>
          <w:rFonts w:hint="eastAsia" w:ascii="宋体" w:hAnsi="宋体" w:cs="宋体"/>
          <w:sz w:val="24"/>
          <w:szCs w:val="24"/>
          <w:highlight w:val="none"/>
        </w:rPr>
        <w:t>五、投标人基本资质要求：</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）需符合《政府采购法》第</w:t>
      </w:r>
      <w:r>
        <w:rPr>
          <w:rFonts w:ascii="宋体" w:hAnsi="宋体" w:cs="宋体"/>
          <w:sz w:val="24"/>
          <w:szCs w:val="24"/>
          <w:highlight w:val="none"/>
        </w:rPr>
        <w:t>22</w:t>
      </w:r>
      <w:r>
        <w:rPr>
          <w:rFonts w:hint="eastAsia" w:ascii="宋体" w:hAnsi="宋体" w:cs="宋体"/>
          <w:sz w:val="24"/>
          <w:szCs w:val="24"/>
          <w:highlight w:val="none"/>
        </w:rPr>
        <w:t>条规定；</w:t>
      </w:r>
    </w:p>
    <w:p>
      <w:pPr>
        <w:widowControl/>
        <w:shd w:val="clear" w:color="auto" w:fill="FFFFFF"/>
        <w:spacing w:beforeLines="50" w:afterLines="50" w:line="360" w:lineRule="auto"/>
        <w:ind w:left="426"/>
        <w:rPr>
          <w:rFonts w:hint="eastAsia" w:ascii="宋体" w:hAns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）有依法缴纳社会保障资金的良好记录；</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）具有有效的营业执照副本；</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）提供法人授权委托书原件及被授权人身份证原件、法定代表人身份证复印件；</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）投标人应在信用中国网站（</w:t>
      </w:r>
      <w:r>
        <w:rPr>
          <w:rFonts w:ascii="宋体" w:hAnsi="宋体" w:cs="宋体"/>
          <w:sz w:val="24"/>
          <w:szCs w:val="24"/>
          <w:highlight w:val="none"/>
        </w:rPr>
        <w:t>www.creditchina.gov.cn</w:t>
      </w:r>
      <w:r>
        <w:rPr>
          <w:rFonts w:hint="eastAsia" w:ascii="宋体" w:hAnsi="宋体" w:cs="宋体"/>
          <w:sz w:val="24"/>
          <w:szCs w:val="24"/>
          <w:highlight w:val="none"/>
        </w:rPr>
        <w:t>）“信用信息”、中国政府采购网（</w:t>
      </w:r>
      <w:r>
        <w:rPr>
          <w:rFonts w:ascii="宋体" w:hAnsi="宋体" w:cs="宋体"/>
          <w:sz w:val="24"/>
          <w:szCs w:val="24"/>
          <w:highlight w:val="none"/>
        </w:rPr>
        <w:t>www.ccgp.gov.cn</w:t>
      </w:r>
      <w:r>
        <w:rPr>
          <w:rFonts w:hint="eastAsia" w:ascii="宋体" w:hAnsi="宋体" w:cs="宋体"/>
          <w:sz w:val="24"/>
          <w:szCs w:val="24"/>
          <w:highlight w:val="none"/>
        </w:rPr>
        <w:t>）“政府采购严重违法失信行为信息记录”信用记录查询结果（需注明截止时间，不得早于竞争性磋商公告发布日期）打印页面并加盖公章；</w:t>
      </w:r>
    </w:p>
    <w:p>
      <w:pPr>
        <w:widowControl/>
        <w:shd w:val="clear" w:color="auto" w:fill="FFFFFF"/>
        <w:spacing w:beforeLines="50" w:afterLines="50" w:line="360" w:lineRule="auto"/>
        <w:ind w:left="426"/>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）本项目不接受联合体投标。</w:t>
      </w:r>
    </w:p>
    <w:p>
      <w:pPr>
        <w:widowControl/>
        <w:shd w:val="clear" w:color="auto" w:fill="FFFFFF"/>
        <w:spacing w:beforeLines="50" w:afterLines="50" w:line="360" w:lineRule="auto"/>
        <w:ind w:left="426" w:firstLine="480" w:firstLineChars="200"/>
        <w:rPr>
          <w:rFonts w:ascii="宋体" w:cs="宋体"/>
          <w:sz w:val="24"/>
          <w:szCs w:val="24"/>
          <w:highlight w:val="none"/>
        </w:rPr>
      </w:pPr>
      <w:r>
        <w:rPr>
          <w:rFonts w:hint="eastAsia" w:ascii="宋体" w:hAnsi="宋体" w:cs="宋体"/>
          <w:sz w:val="24"/>
          <w:szCs w:val="24"/>
          <w:highlight w:val="none"/>
        </w:rPr>
        <w:t>符合要求的投标单位可在新疆华域建设工程项目管理咨询有限公司查阅竞争性磋商文件。</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六、购买竞争性磋商文件：</w:t>
      </w:r>
      <w:r>
        <w:rPr>
          <w:rFonts w:ascii="宋体" w:hAnsi="宋体" w:cs="宋体"/>
          <w:sz w:val="24"/>
          <w:szCs w:val="24"/>
          <w:highlight w:val="none"/>
        </w:rPr>
        <w:t xml:space="preserve"> </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17</w:t>
      </w:r>
      <w:r>
        <w:rPr>
          <w:rFonts w:hint="eastAsia" w:ascii="宋体" w:hAnsi="宋体" w:cs="宋体"/>
          <w:sz w:val="24"/>
          <w:szCs w:val="24"/>
          <w:highlight w:val="none"/>
        </w:rPr>
        <w:t>日起至</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cs="宋体"/>
          <w:sz w:val="24"/>
          <w:szCs w:val="24"/>
          <w:highlight w:val="none"/>
        </w:rPr>
        <w:t>日（每天</w:t>
      </w:r>
      <w:r>
        <w:rPr>
          <w:rFonts w:ascii="宋体" w:hAnsi="宋体" w:cs="宋体"/>
          <w:sz w:val="24"/>
          <w:szCs w:val="24"/>
          <w:highlight w:val="none"/>
        </w:rPr>
        <w:t>10 : 30</w:t>
      </w:r>
      <w:r>
        <w:rPr>
          <w:rFonts w:hint="eastAsia" w:ascii="宋体" w:hAnsi="宋体" w:cs="宋体"/>
          <w:sz w:val="24"/>
          <w:szCs w:val="24"/>
          <w:highlight w:val="none"/>
        </w:rPr>
        <w:t>时至</w:t>
      </w:r>
      <w:r>
        <w:rPr>
          <w:rFonts w:ascii="宋体" w:hAnsi="宋体" w:cs="宋体"/>
          <w:sz w:val="24"/>
          <w:szCs w:val="24"/>
          <w:highlight w:val="none"/>
        </w:rPr>
        <w:t>19</w:t>
      </w:r>
      <w:r>
        <w:rPr>
          <w:rFonts w:hint="eastAsia" w:ascii="宋体" w:hAnsi="宋体" w:cs="宋体"/>
          <w:sz w:val="24"/>
          <w:szCs w:val="24"/>
          <w:highlight w:val="none"/>
        </w:rPr>
        <w:t>：</w:t>
      </w:r>
      <w:r>
        <w:rPr>
          <w:rFonts w:ascii="宋体" w:hAnsi="宋体" w:cs="宋体"/>
          <w:sz w:val="24"/>
          <w:szCs w:val="24"/>
          <w:highlight w:val="none"/>
        </w:rPr>
        <w:t>00</w:t>
      </w:r>
      <w:r>
        <w:rPr>
          <w:rFonts w:hint="eastAsia" w:ascii="宋体" w:hAnsi="宋体" w:cs="宋体"/>
          <w:sz w:val="24"/>
          <w:szCs w:val="24"/>
          <w:highlight w:val="none"/>
        </w:rPr>
        <w:t>时、节假日休息）</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地点：乌鲁木齐市五星北路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widowControl/>
        <w:shd w:val="clear" w:color="auto" w:fill="FFFFFF"/>
        <w:spacing w:beforeLines="50" w:afterLines="50" w:line="360" w:lineRule="auto"/>
        <w:ind w:left="426" w:firstLine="480" w:firstLineChars="200"/>
        <w:rPr>
          <w:rFonts w:ascii="宋体" w:hAnsi="宋体" w:cs="宋体"/>
          <w:sz w:val="24"/>
          <w:szCs w:val="24"/>
          <w:highlight w:val="none"/>
        </w:rPr>
      </w:pPr>
      <w:r>
        <w:rPr>
          <w:rFonts w:hint="eastAsia" w:ascii="宋体" w:hAnsi="宋体" w:cs="宋体"/>
          <w:sz w:val="24"/>
          <w:szCs w:val="24"/>
          <w:highlight w:val="none"/>
        </w:rPr>
        <w:t>购买竞争性磋商文件时须携带本公告第五条、资质要求（</w:t>
      </w:r>
      <w:r>
        <w:rPr>
          <w:rFonts w:ascii="宋体" w:hAnsi="宋体" w:cs="宋体"/>
          <w:sz w:val="24"/>
          <w:szCs w:val="24"/>
          <w:highlight w:val="none"/>
        </w:rPr>
        <w:t>2</w:t>
      </w:r>
      <w:r>
        <w:rPr>
          <w:rFonts w:hint="eastAsia" w:ascii="宋体" w:hAnsi="宋体" w:cs="宋体"/>
          <w:sz w:val="24"/>
          <w:szCs w:val="24"/>
          <w:highlight w:val="none"/>
        </w:rPr>
        <w:t>项</w:t>
      </w:r>
      <w:r>
        <w:rPr>
          <w:rFonts w:ascii="宋体" w:hAnsi="宋体" w:cs="宋体"/>
          <w:sz w:val="24"/>
          <w:szCs w:val="24"/>
          <w:highlight w:val="none"/>
        </w:rPr>
        <w:t>-5</w:t>
      </w:r>
      <w:r>
        <w:rPr>
          <w:rFonts w:hint="eastAsia" w:ascii="宋体" w:hAnsi="宋体" w:cs="宋体"/>
          <w:sz w:val="24"/>
          <w:szCs w:val="24"/>
          <w:highlight w:val="none"/>
        </w:rPr>
        <w:t>项）规定的资格证明文件（均为原件）。以上均需提供原件查验并提供</w:t>
      </w:r>
      <w:r>
        <w:rPr>
          <w:rFonts w:ascii="宋体" w:hAnsi="宋体" w:cs="宋体"/>
          <w:sz w:val="24"/>
          <w:szCs w:val="24"/>
          <w:highlight w:val="none"/>
        </w:rPr>
        <w:t>2</w:t>
      </w:r>
      <w:r>
        <w:rPr>
          <w:rFonts w:hint="eastAsia" w:ascii="宋体" w:hAnsi="宋体" w:cs="宋体"/>
          <w:sz w:val="24"/>
          <w:szCs w:val="24"/>
          <w:highlight w:val="none"/>
        </w:rPr>
        <w:t>套加盖公章的复印件留存。</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七、开标时间：</w:t>
      </w:r>
      <w:r>
        <w:rPr>
          <w:rFonts w:hint="eastAsia" w:ascii="宋体" w:hAnsi="宋体" w:cs="宋体"/>
          <w:sz w:val="24"/>
          <w:szCs w:val="24"/>
          <w:highlight w:val="non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cs="宋体"/>
          <w:sz w:val="24"/>
          <w:szCs w:val="24"/>
          <w:highlight w:val="none"/>
          <w:lang w:val="en-US" w:eastAsia="zh-CN"/>
        </w:rPr>
        <w:t>11</w:t>
      </w:r>
      <w:r>
        <w:rPr>
          <w:rFonts w:hint="eastAsia" w:ascii="宋体" w:hAnsi="宋体" w:cs="宋体"/>
          <w:sz w:val="24"/>
          <w:szCs w:val="24"/>
          <w:highlight w:val="none"/>
        </w:rPr>
        <w:t>：</w:t>
      </w:r>
      <w:r>
        <w:rPr>
          <w:rFonts w:hint="eastAsia" w:ascii="宋体" w:cs="宋体"/>
          <w:sz w:val="24"/>
          <w:szCs w:val="24"/>
          <w:highlight w:val="none"/>
          <w:lang w:val="en-US" w:eastAsia="zh-CN"/>
        </w:rPr>
        <w:t>0</w:t>
      </w:r>
      <w:r>
        <w:rPr>
          <w:rFonts w:ascii="宋体" w:cs="宋体"/>
          <w:sz w:val="24"/>
          <w:szCs w:val="24"/>
          <w:highlight w:val="none"/>
        </w:rPr>
        <w:t>0</w:t>
      </w:r>
      <w:r>
        <w:rPr>
          <w:rFonts w:hint="eastAsia" w:ascii="宋体" w:hAnsi="宋体" w:cs="宋体"/>
          <w:sz w:val="24"/>
          <w:szCs w:val="24"/>
          <w:highlight w:val="none"/>
        </w:rPr>
        <w:t>时（北京时间）。</w:t>
      </w:r>
    </w:p>
    <w:p>
      <w:pPr>
        <w:widowControl/>
        <w:shd w:val="clear" w:color="auto" w:fill="FFFFFF"/>
        <w:spacing w:beforeLines="50" w:afterLines="50" w:line="360" w:lineRule="auto"/>
        <w:rPr>
          <w:rFonts w:ascii="宋体" w:cs="宋体"/>
          <w:sz w:val="24"/>
          <w:szCs w:val="24"/>
          <w:highlight w:val="none"/>
        </w:rPr>
      </w:pPr>
      <w:r>
        <w:rPr>
          <w:rFonts w:hint="eastAsia" w:ascii="宋体" w:hAnsi="宋体" w:cs="宋体"/>
          <w:sz w:val="24"/>
          <w:szCs w:val="24"/>
          <w:highlight w:val="none"/>
        </w:rPr>
        <w:t>八、联系方式：</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采购代理机构名称：新疆华域建设工程项目管理咨询有限公司</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详细地址：乌鲁木齐市五星北路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联</w:t>
      </w:r>
      <w:r>
        <w:rPr>
          <w:rFonts w:ascii="宋体" w:hAnsi="宋体" w:cs="宋体"/>
          <w:sz w:val="24"/>
          <w:szCs w:val="24"/>
          <w:highlight w:val="none"/>
        </w:rPr>
        <w:t xml:space="preserve"> </w:t>
      </w:r>
      <w:r>
        <w:rPr>
          <w:rFonts w:hint="eastAsia" w:ascii="宋体" w:hAnsi="宋体" w:cs="宋体"/>
          <w:sz w:val="24"/>
          <w:szCs w:val="24"/>
          <w:highlight w:val="none"/>
        </w:rPr>
        <w:t>系</w:t>
      </w:r>
      <w:r>
        <w:rPr>
          <w:rFonts w:ascii="宋体" w:hAnsi="宋体" w:cs="宋体"/>
          <w:sz w:val="24"/>
          <w:szCs w:val="24"/>
          <w:highlight w:val="none"/>
        </w:rPr>
        <w:t xml:space="preserve"> </w:t>
      </w:r>
      <w:r>
        <w:rPr>
          <w:rFonts w:hint="eastAsia" w:ascii="宋体" w:hAnsi="宋体" w:cs="宋体"/>
          <w:sz w:val="24"/>
          <w:szCs w:val="24"/>
          <w:highlight w:val="none"/>
        </w:rPr>
        <w:t>人：王鹤宇</w:t>
      </w:r>
      <w:r>
        <w:rPr>
          <w:rFonts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xml:space="preserve">  </w:t>
      </w:r>
    </w:p>
    <w:p>
      <w:pPr>
        <w:widowControl/>
        <w:shd w:val="clear" w:color="auto" w:fill="FFFFFF"/>
        <w:spacing w:beforeLines="50" w:afterLines="50"/>
        <w:ind w:left="720"/>
        <w:rPr>
          <w:rFonts w:asci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 xml:space="preserve"> 18997972745  0991-4630336</w:t>
      </w:r>
    </w:p>
    <w:p>
      <w:pPr>
        <w:widowControl/>
        <w:shd w:val="clear" w:color="auto" w:fill="FFFFFF"/>
        <w:spacing w:beforeLines="50" w:afterLines="50" w:line="360" w:lineRule="auto"/>
        <w:ind w:left="426" w:firstLine="240" w:firstLineChars="100"/>
        <w:rPr>
          <w:rFonts w:hint="eastAsia" w:ascii="宋体" w:hAnsi="宋体" w:cs="宋体"/>
          <w:sz w:val="24"/>
          <w:szCs w:val="24"/>
          <w:highlight w:val="none"/>
          <w:lang w:eastAsia="zh-CN"/>
        </w:rPr>
      </w:pPr>
      <w:r>
        <w:rPr>
          <w:rFonts w:hint="eastAsia" w:ascii="宋体" w:hAnsi="宋体" w:cs="宋体"/>
          <w:sz w:val="24"/>
          <w:szCs w:val="24"/>
          <w:highlight w:val="none"/>
        </w:rPr>
        <w:t>采购人名称：</w:t>
      </w:r>
      <w:r>
        <w:rPr>
          <w:rFonts w:hint="eastAsia" w:ascii="宋体" w:hAnsi="宋体" w:cs="宋体"/>
          <w:sz w:val="24"/>
          <w:szCs w:val="24"/>
          <w:highlight w:val="none"/>
          <w:lang w:eastAsia="zh-CN"/>
        </w:rPr>
        <w:t>新疆维吾尔自治区广播电视局八四一台</w:t>
      </w:r>
    </w:p>
    <w:p>
      <w:pPr>
        <w:widowControl/>
        <w:shd w:val="clear" w:color="auto" w:fill="FFFFFF"/>
        <w:spacing w:beforeLines="50" w:afterLines="50" w:line="360" w:lineRule="auto"/>
        <w:ind w:left="719"/>
        <w:rPr>
          <w:rFonts w:ascii="宋体" w:cs="宋体"/>
          <w:sz w:val="24"/>
          <w:szCs w:val="24"/>
          <w:highlight w:val="none"/>
        </w:rPr>
      </w:pPr>
    </w:p>
    <w:p>
      <w:pPr>
        <w:pStyle w:val="2"/>
        <w:rPr>
          <w:rFonts w:ascii="宋体" w:cs="宋体"/>
          <w:sz w:val="24"/>
          <w:szCs w:val="24"/>
          <w:highlight w:val="none"/>
        </w:rPr>
      </w:pPr>
    </w:p>
    <w:p>
      <w:pPr>
        <w:rPr>
          <w:rFonts w:ascii="宋体" w:cs="宋体"/>
          <w:sz w:val="24"/>
          <w:szCs w:val="24"/>
          <w:highlight w:val="none"/>
        </w:rPr>
      </w:pPr>
    </w:p>
    <w:p>
      <w:pPr>
        <w:pStyle w:val="2"/>
      </w:pPr>
    </w:p>
    <w:p>
      <w:pPr>
        <w:pStyle w:val="2"/>
        <w:rPr>
          <w:rFonts w:ascii="宋体" w:cs="宋体"/>
          <w:sz w:val="24"/>
          <w:szCs w:val="24"/>
          <w:highlight w:val="none"/>
        </w:rPr>
      </w:pPr>
    </w:p>
    <w:p/>
    <w:p>
      <w:pPr>
        <w:widowControl/>
        <w:shd w:val="clear" w:color="auto" w:fill="FFFFFF"/>
        <w:spacing w:beforeLines="50" w:afterLines="50" w:line="360" w:lineRule="auto"/>
        <w:ind w:left="719"/>
        <w:rPr>
          <w:rFonts w:ascii="宋体" w:cs="宋体"/>
          <w:sz w:val="24"/>
          <w:szCs w:val="24"/>
          <w:highlight w:val="none"/>
        </w:rPr>
      </w:pPr>
    </w:p>
    <w:p>
      <w:pPr>
        <w:pStyle w:val="3"/>
        <w:spacing w:beforeLines="265"/>
        <w:ind w:firstLine="2570" w:firstLineChars="800"/>
        <w:jc w:val="both"/>
        <w:rPr>
          <w:rFonts w:ascii="宋体" w:cs="宋体"/>
          <w:highlight w:val="none"/>
        </w:rPr>
      </w:pPr>
      <w:bookmarkStart w:id="0" w:name="_Toc517776504"/>
      <w:r>
        <w:rPr>
          <w:rFonts w:hint="eastAsia" w:ascii="宋体" w:hAnsi="宋体" w:cs="宋体"/>
          <w:highlight w:val="none"/>
        </w:rPr>
        <w:t>第二章</w:t>
      </w:r>
      <w:r>
        <w:rPr>
          <w:rFonts w:ascii="宋体" w:hAnsi="宋体" w:cs="宋体"/>
          <w:highlight w:val="none"/>
        </w:rPr>
        <w:t xml:space="preserve"> </w:t>
      </w:r>
      <w:r>
        <w:rPr>
          <w:rFonts w:hint="eastAsia" w:ascii="宋体" w:hAnsi="宋体" w:cs="宋体"/>
          <w:highlight w:val="none"/>
        </w:rPr>
        <w:t>投标人须知</w:t>
      </w:r>
      <w:bookmarkEnd w:id="0"/>
    </w:p>
    <w:p>
      <w:pPr>
        <w:spacing w:line="360" w:lineRule="auto"/>
        <w:rPr>
          <w:rFonts w:ascii="宋体" w:cs="宋体"/>
          <w:sz w:val="24"/>
          <w:szCs w:val="24"/>
          <w:highlight w:val="none"/>
        </w:rPr>
      </w:pPr>
      <w:r>
        <w:rPr>
          <w:rFonts w:hint="eastAsia" w:ascii="宋体" w:hAnsi="宋体" w:cs="宋体"/>
          <w:sz w:val="24"/>
          <w:szCs w:val="24"/>
          <w:highlight w:val="none"/>
        </w:rPr>
        <w:t>投标人须知前附表</w:t>
      </w:r>
    </w:p>
    <w:tbl>
      <w:tblPr>
        <w:tblStyle w:val="36"/>
        <w:tblW w:w="9195" w:type="dxa"/>
        <w:tblInd w:w="-264" w:type="dxa"/>
        <w:tblLayout w:type="fixed"/>
        <w:tblCellMar>
          <w:top w:w="0" w:type="dxa"/>
          <w:left w:w="108" w:type="dxa"/>
          <w:bottom w:w="0" w:type="dxa"/>
          <w:right w:w="108" w:type="dxa"/>
        </w:tblCellMar>
      </w:tblPr>
      <w:tblGrid>
        <w:gridCol w:w="705"/>
        <w:gridCol w:w="1935"/>
        <w:gridCol w:w="6555"/>
      </w:tblGrid>
      <w:tr>
        <w:tblPrEx>
          <w:tblCellMar>
            <w:top w:w="0" w:type="dxa"/>
            <w:left w:w="108" w:type="dxa"/>
            <w:bottom w:w="0" w:type="dxa"/>
            <w:right w:w="108" w:type="dxa"/>
          </w:tblCellMar>
        </w:tblPrEx>
        <w:trPr>
          <w:tblHeader/>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条款名称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b/>
                <w:sz w:val="24"/>
                <w:szCs w:val="24"/>
                <w:highlight w:val="none"/>
              </w:rPr>
            </w:pPr>
            <w:r>
              <w:rPr>
                <w:rFonts w:hint="eastAsia" w:ascii="宋体" w:hAnsi="宋体" w:cs="宋体"/>
                <w:b/>
                <w:sz w:val="24"/>
                <w:szCs w:val="24"/>
                <w:highlight w:val="none"/>
              </w:rPr>
              <w:t>编列内容</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新疆维吾尔自治区广播电视局八四一台</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招标代理机构</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名称：新疆华域建设工程项目管理咨询有限公司</w:t>
            </w:r>
          </w:p>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详细地址：乌鲁木齐市五星北路</w:t>
            </w:r>
            <w:r>
              <w:rPr>
                <w:rFonts w:ascii="宋体" w:hAnsi="宋体" w:cs="宋体"/>
                <w:sz w:val="24"/>
                <w:szCs w:val="24"/>
                <w:highlight w:val="none"/>
              </w:rPr>
              <w:t>194</w:t>
            </w:r>
            <w:r>
              <w:rPr>
                <w:rFonts w:hint="eastAsia" w:ascii="宋体" w:hAnsi="宋体" w:cs="宋体"/>
                <w:sz w:val="24"/>
                <w:szCs w:val="24"/>
                <w:highlight w:val="none"/>
              </w:rPr>
              <w:t>号新地园大厦</w:t>
            </w:r>
            <w:r>
              <w:rPr>
                <w:rFonts w:ascii="宋体" w:hAnsi="宋体" w:cs="宋体"/>
                <w:sz w:val="24"/>
                <w:szCs w:val="24"/>
                <w:highlight w:val="none"/>
              </w:rPr>
              <w:t>13</w:t>
            </w:r>
            <w:r>
              <w:rPr>
                <w:rFonts w:hint="eastAsia" w:ascii="宋体" w:hAnsi="宋体" w:cs="宋体"/>
                <w:sz w:val="24"/>
                <w:szCs w:val="24"/>
                <w:highlight w:val="none"/>
              </w:rPr>
              <w:t>楼</w:t>
            </w:r>
          </w:p>
          <w:p>
            <w:pPr>
              <w:spacing w:line="440" w:lineRule="exact"/>
              <w:ind w:left="720" w:hanging="720" w:hangingChars="300"/>
              <w:rPr>
                <w:rFonts w:ascii="宋体" w:hAnsi="宋体" w:cs="宋体"/>
                <w:sz w:val="24"/>
                <w:szCs w:val="24"/>
                <w:highlight w:val="none"/>
              </w:rPr>
            </w:pPr>
            <w:r>
              <w:rPr>
                <w:rFonts w:hint="eastAsia" w:ascii="宋体" w:hAnsi="宋体" w:cs="宋体"/>
                <w:sz w:val="24"/>
                <w:szCs w:val="24"/>
                <w:highlight w:val="none"/>
              </w:rPr>
              <w:t>联</w:t>
            </w:r>
            <w:r>
              <w:rPr>
                <w:rFonts w:ascii="宋体" w:hAnsi="宋体" w:cs="宋体"/>
                <w:sz w:val="24"/>
                <w:szCs w:val="24"/>
                <w:highlight w:val="none"/>
              </w:rPr>
              <w:t xml:space="preserve"> </w:t>
            </w:r>
            <w:r>
              <w:rPr>
                <w:rFonts w:hint="eastAsia" w:ascii="宋体" w:hAnsi="宋体" w:cs="宋体"/>
                <w:sz w:val="24"/>
                <w:szCs w:val="24"/>
                <w:highlight w:val="none"/>
              </w:rPr>
              <w:t>系</w:t>
            </w:r>
            <w:r>
              <w:rPr>
                <w:rFonts w:ascii="宋体" w:hAnsi="宋体" w:cs="宋体"/>
                <w:sz w:val="24"/>
                <w:szCs w:val="24"/>
                <w:highlight w:val="none"/>
              </w:rPr>
              <w:t xml:space="preserve"> </w:t>
            </w:r>
            <w:r>
              <w:rPr>
                <w:rFonts w:hint="eastAsia" w:ascii="宋体" w:hAnsi="宋体" w:cs="宋体"/>
                <w:sz w:val="24"/>
                <w:szCs w:val="24"/>
                <w:highlight w:val="none"/>
              </w:rPr>
              <w:t>人：王鹤宇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王聂、马红萍</w:t>
            </w:r>
            <w:r>
              <w:rPr>
                <w:rFonts w:ascii="宋体" w:hAnsi="宋体" w:cs="宋体"/>
                <w:sz w:val="24"/>
                <w:szCs w:val="24"/>
                <w:highlight w:val="none"/>
              </w:rPr>
              <w:t xml:space="preserve">  </w:t>
            </w:r>
          </w:p>
          <w:p>
            <w:pPr>
              <w:spacing w:line="440" w:lineRule="exact"/>
              <w:ind w:left="720" w:hanging="720" w:hangingChars="300"/>
              <w:rPr>
                <w:rFonts w:ascii="宋体" w:cs="宋体"/>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 xml:space="preserve">18997972745 </w:t>
            </w:r>
            <w:r>
              <w:rPr>
                <w:rFonts w:hint="eastAsia" w:ascii="宋体" w:hAnsi="宋体" w:cs="宋体"/>
                <w:sz w:val="24"/>
                <w:szCs w:val="24"/>
                <w:highlight w:val="none"/>
                <w:lang w:val="en-US" w:eastAsia="zh-CN"/>
              </w:rPr>
              <w:t xml:space="preserve">13899888275 </w:t>
            </w:r>
            <w:r>
              <w:rPr>
                <w:rFonts w:ascii="宋体" w:hAnsi="宋体" w:cs="宋体"/>
                <w:sz w:val="24"/>
                <w:szCs w:val="24"/>
                <w:highlight w:val="none"/>
              </w:rPr>
              <w:t xml:space="preserve"> 0991-4630336</w:t>
            </w:r>
          </w:p>
          <w:p>
            <w:pPr>
              <w:spacing w:line="440" w:lineRule="exact"/>
              <w:rPr>
                <w:rFonts w:ascii="宋体" w:cs="宋体"/>
                <w:sz w:val="24"/>
                <w:szCs w:val="24"/>
                <w:highlight w:val="none"/>
              </w:rPr>
            </w:pPr>
            <w:r>
              <w:rPr>
                <w:rFonts w:hint="eastAsia" w:ascii="宋体" w:hAnsi="宋体" w:cs="宋体"/>
                <w:sz w:val="24"/>
                <w:szCs w:val="24"/>
                <w:highlight w:val="none"/>
              </w:rPr>
              <w:t>传真：</w:t>
            </w:r>
            <w:r>
              <w:rPr>
                <w:rFonts w:ascii="宋体" w:hAnsi="宋体" w:cs="宋体"/>
                <w:sz w:val="24"/>
                <w:szCs w:val="24"/>
                <w:highlight w:val="none"/>
              </w:rPr>
              <w:t>0991-4605577</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项目名称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eastAsia="宋体" w:cs="宋体"/>
                <w:sz w:val="24"/>
                <w:szCs w:val="24"/>
                <w:highlight w:val="none"/>
                <w:lang w:eastAsia="zh-CN"/>
              </w:rPr>
            </w:pPr>
            <w:r>
              <w:rPr>
                <w:rFonts w:hint="eastAsia" w:ascii="宋体" w:hAnsi="宋体" w:cs="宋体"/>
                <w:sz w:val="24"/>
                <w:szCs w:val="24"/>
                <w:highlight w:val="none"/>
                <w:lang w:eastAsia="zh-CN"/>
              </w:rPr>
              <w:t>新疆维吾尔自治区广播电视局八四一台广播电视设备备品备件采购项目（第一包）</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4</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项目地点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采购人指定地点</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资金落实情况</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已到位</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招标范围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本项目采购文件所有内容。</w:t>
            </w:r>
          </w:p>
          <w:p>
            <w:pPr>
              <w:spacing w:line="480" w:lineRule="exact"/>
              <w:rPr>
                <w:rFonts w:ascii="宋体" w:cs="宋体"/>
                <w:sz w:val="24"/>
                <w:szCs w:val="24"/>
                <w:highlight w:val="none"/>
              </w:rPr>
            </w:pPr>
            <w:r>
              <w:rPr>
                <w:rFonts w:hint="eastAsia" w:ascii="宋体" w:hAnsi="宋体" w:cs="宋体"/>
                <w:sz w:val="24"/>
                <w:szCs w:val="24"/>
                <w:highlight w:val="none"/>
              </w:rPr>
              <w:t>预算金额：</w:t>
            </w:r>
            <w:r>
              <w:rPr>
                <w:rFonts w:hint="eastAsia" w:ascii="宋体" w:hAnsi="宋体" w:cs="宋体"/>
                <w:sz w:val="24"/>
                <w:szCs w:val="24"/>
                <w:highlight w:val="none"/>
                <w:lang w:val="en-US" w:eastAsia="zh-CN"/>
              </w:rPr>
              <w:t>20.30</w:t>
            </w:r>
            <w:r>
              <w:rPr>
                <w:rFonts w:hint="eastAsia" w:ascii="宋体" w:hAnsi="宋体" w:cs="宋体"/>
                <w:sz w:val="24"/>
                <w:szCs w:val="24"/>
                <w:highlight w:val="none"/>
              </w:rPr>
              <w:t>万元</w:t>
            </w:r>
          </w:p>
          <w:p>
            <w:pPr>
              <w:spacing w:line="480" w:lineRule="exact"/>
              <w:rPr>
                <w:rFonts w:ascii="宋体" w:cs="宋体"/>
                <w:bCs/>
                <w:color w:val="000000"/>
                <w:sz w:val="24"/>
                <w:szCs w:val="24"/>
                <w:highlight w:val="none"/>
              </w:rPr>
            </w:pPr>
            <w:r>
              <w:rPr>
                <w:rFonts w:hint="eastAsia" w:ascii="宋体" w:hAnsi="宋体" w:cs="宋体"/>
                <w:sz w:val="24"/>
                <w:szCs w:val="24"/>
                <w:highlight w:val="none"/>
              </w:rPr>
              <w:t>投标人所报投标总价若超出此限价，作废标处理</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7</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投标人资质条件、能力</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（1）需符合《政府采购法》第22条规定；</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（2）有依法缴纳社会保障资金的良好记录；</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（3）具有有效的营业执照副本；</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（4）提供法人授权委托书原件及被授权人身份证原件、法定代表人身份证复印件；</w:t>
            </w:r>
          </w:p>
          <w:p>
            <w:pPr>
              <w:spacing w:line="440" w:lineRule="exact"/>
              <w:rPr>
                <w:rFonts w:hint="eastAsia"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5）投标人应在信用中国网站（www.creditchina.gov.cn）“信用信息”、中国政府采购网（www.ccgp.gov.cn）“政府采购严重违法失信行为信息记录”信用记录查询结果（需注明截止时间，不得早于竞争性磋商公告发布日期）打印页面并加盖公章；</w:t>
            </w:r>
          </w:p>
          <w:p>
            <w:pPr>
              <w:spacing w:line="440" w:lineRule="exact"/>
              <w:rPr>
                <w:rFonts w:ascii="宋体" w:cs="宋体"/>
                <w:color w:val="2B2B2B"/>
                <w:sz w:val="24"/>
                <w:szCs w:val="24"/>
                <w:highlight w:val="none"/>
                <w:shd w:val="clear" w:color="auto" w:fill="FFFFFF"/>
              </w:rPr>
            </w:pPr>
            <w:r>
              <w:rPr>
                <w:rFonts w:hint="eastAsia" w:ascii="宋体" w:cs="宋体"/>
                <w:color w:val="2B2B2B"/>
                <w:sz w:val="24"/>
                <w:szCs w:val="24"/>
                <w:highlight w:val="none"/>
                <w:shd w:val="clear" w:color="auto" w:fill="FFFFFF"/>
              </w:rPr>
              <w:t>（6）本项目不接受联合体投标。</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8</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投标人要求澄清采购文件的截止时间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投标截止时间前</w:t>
            </w:r>
            <w:r>
              <w:rPr>
                <w:rFonts w:ascii="宋体" w:hAnsi="宋体" w:cs="宋体"/>
                <w:sz w:val="24"/>
                <w:szCs w:val="24"/>
                <w:highlight w:val="none"/>
              </w:rPr>
              <w:t>5</w:t>
            </w:r>
            <w:r>
              <w:rPr>
                <w:rFonts w:hint="eastAsia" w:ascii="宋体" w:hAnsi="宋体" w:cs="宋体"/>
                <w:sz w:val="24"/>
                <w:szCs w:val="24"/>
                <w:highlight w:val="none"/>
              </w:rPr>
              <w:t>天</w:t>
            </w:r>
          </w:p>
        </w:tc>
      </w:tr>
      <w:tr>
        <w:tblPrEx>
          <w:tblCellMar>
            <w:top w:w="0" w:type="dxa"/>
            <w:left w:w="108" w:type="dxa"/>
            <w:bottom w:w="0" w:type="dxa"/>
            <w:right w:w="108" w:type="dxa"/>
          </w:tblCellMar>
        </w:tblPrEx>
        <w:trPr>
          <w:trHeight w:val="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9</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投标截止时间</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u w:val="singl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28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11 </w:t>
            </w:r>
            <w:r>
              <w:rPr>
                <w:rFonts w:hint="eastAsia" w:ascii="宋体" w:hAnsi="宋体" w:cs="宋体"/>
                <w:sz w:val="24"/>
                <w:szCs w:val="24"/>
                <w:highlight w:val="none"/>
              </w:rPr>
              <w:t>时</w:t>
            </w:r>
            <w:r>
              <w:rPr>
                <w:rFonts w:hint="eastAsia" w:ascii="宋体" w:cs="宋体"/>
                <w:sz w:val="24"/>
                <w:szCs w:val="24"/>
                <w:highlight w:val="none"/>
                <w:u w:val="single"/>
                <w:lang w:val="en-US" w:eastAsia="zh-CN"/>
              </w:rPr>
              <w:t xml:space="preserve"> 00</w:t>
            </w:r>
            <w:r>
              <w:rPr>
                <w:rFonts w:hint="eastAsia" w:ascii="宋体" w:hAnsi="宋体" w:cs="宋体"/>
                <w:sz w:val="24"/>
                <w:szCs w:val="24"/>
                <w:highlight w:val="none"/>
              </w:rPr>
              <w:t>分</w:t>
            </w:r>
          </w:p>
        </w:tc>
      </w:tr>
      <w:tr>
        <w:tblPrEx>
          <w:tblCellMar>
            <w:top w:w="0" w:type="dxa"/>
            <w:left w:w="108" w:type="dxa"/>
            <w:bottom w:w="0" w:type="dxa"/>
            <w:right w:w="108" w:type="dxa"/>
          </w:tblCellMar>
        </w:tblPrEx>
        <w:trPr>
          <w:trHeight w:val="46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10</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投标有效期</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ascii="宋体" w:hAnsi="宋体" w:cs="宋体"/>
                <w:sz w:val="24"/>
                <w:szCs w:val="24"/>
                <w:highlight w:val="none"/>
              </w:rPr>
              <w:t>90</w:t>
            </w:r>
            <w:r>
              <w:rPr>
                <w:rFonts w:hint="eastAsia" w:ascii="宋体" w:hAnsi="宋体" w:cs="宋体"/>
                <w:sz w:val="24"/>
                <w:szCs w:val="24"/>
                <w:highlight w:val="none"/>
              </w:rPr>
              <w:t>天</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投标保证金</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投标保证金如采用电汇或网银转账，必须在投标截止时间前交纳至新疆华域建设工程项目管理咨询有限公司。（开标时请提供加盖公章的汇款凭证复印件以便开标时查验）</w:t>
            </w:r>
          </w:p>
          <w:p>
            <w:pPr>
              <w:overflowPunct w:val="0"/>
              <w:spacing w:line="440" w:lineRule="exact"/>
              <w:rPr>
                <w:rFonts w:hint="eastAsia" w:ascii="宋体" w:hAnsi="宋体" w:cs="宋体"/>
                <w:b/>
                <w:sz w:val="24"/>
                <w:highlight w:val="none"/>
                <w:lang w:val="en-US" w:eastAsia="zh-CN"/>
              </w:rPr>
            </w:pPr>
            <w:r>
              <w:rPr>
                <w:rFonts w:hint="eastAsia" w:ascii="宋体" w:hAnsi="宋体" w:cs="宋体"/>
                <w:b/>
                <w:sz w:val="24"/>
                <w:highlight w:val="none"/>
                <w:lang w:val="en-US" w:eastAsia="zh-CN"/>
              </w:rPr>
              <w:t>投标保证金：6000.00元（陆仟元整）</w:t>
            </w:r>
          </w:p>
          <w:p>
            <w:pPr>
              <w:spacing w:line="440" w:lineRule="exact"/>
              <w:rPr>
                <w:rFonts w:ascii="宋体" w:cs="宋体"/>
                <w:b/>
                <w:sz w:val="24"/>
                <w:szCs w:val="24"/>
                <w:highlight w:val="none"/>
              </w:rPr>
            </w:pPr>
            <w:r>
              <w:rPr>
                <w:rFonts w:hint="eastAsia" w:ascii="宋体" w:hAnsi="宋体" w:cs="宋体"/>
                <w:b/>
                <w:sz w:val="24"/>
                <w:highlight w:val="none"/>
                <w:lang w:val="en-US" w:eastAsia="zh-CN"/>
              </w:rPr>
              <w:t>投标保证金的缴纳形式：投标保证金于投标截止时间（北京时间，以到账时间为准）之前，从投标人基本账户以银行电汇、网银的形式汇至或递交至招标代理机构账户，各投标单位缴纳投标保证金时在附加信息及用途栏内注明“项目名称简写”</w:t>
            </w:r>
            <w:r>
              <w:rPr>
                <w:rFonts w:hint="eastAsia" w:ascii="宋体" w:hAnsi="宋体" w:cs="宋体"/>
                <w:b/>
                <w:sz w:val="24"/>
                <w:highlight w:val="none"/>
              </w:rPr>
              <w:t>（转）款时，应在用途栏（备注栏）准确注明“</w:t>
            </w:r>
            <w:r>
              <w:rPr>
                <w:rFonts w:hint="eastAsia" w:ascii="宋体" w:hAnsi="宋体" w:cs="宋体"/>
                <w:b/>
                <w:sz w:val="24"/>
                <w:highlight w:val="none"/>
                <w:u w:val="single"/>
              </w:rPr>
              <w:t xml:space="preserve">        </w:t>
            </w:r>
            <w:r>
              <w:rPr>
                <w:rFonts w:hint="eastAsia" w:ascii="宋体" w:hAnsi="宋体" w:cs="宋体"/>
                <w:b/>
                <w:sz w:val="24"/>
                <w:highlight w:val="none"/>
              </w:rPr>
              <w:t>（简写项目名称）投标保证金”字样，由于未按要求注明信息而导致的一切后果由投标人承担。</w:t>
            </w:r>
          </w:p>
        </w:tc>
      </w:tr>
      <w:tr>
        <w:tblPrEx>
          <w:tblCellMar>
            <w:top w:w="0" w:type="dxa"/>
            <w:left w:w="108" w:type="dxa"/>
            <w:bottom w:w="0" w:type="dxa"/>
            <w:right w:w="108" w:type="dxa"/>
          </w:tblCellMar>
        </w:tblPrEx>
        <w:trPr>
          <w:trHeight w:val="49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签字或盖章要求</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单位公章</w:t>
            </w:r>
            <w:r>
              <w:rPr>
                <w:rFonts w:ascii="宋体" w:cs="宋体"/>
                <w:sz w:val="24"/>
                <w:szCs w:val="24"/>
                <w:highlight w:val="none"/>
              </w:rPr>
              <w:t>,</w:t>
            </w:r>
            <w:r>
              <w:rPr>
                <w:rFonts w:hint="eastAsia" w:ascii="宋体" w:hAnsi="宋体" w:cs="宋体"/>
                <w:sz w:val="24"/>
                <w:szCs w:val="24"/>
                <w:highlight w:val="none"/>
              </w:rPr>
              <w:t>法人或法人代表委托人签章。</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投标文件副本份数</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投标文件正本</w:t>
            </w:r>
            <w:r>
              <w:rPr>
                <w:rFonts w:ascii="宋体" w:hAnsi="宋体" w:cs="宋体"/>
                <w:sz w:val="24"/>
                <w:szCs w:val="24"/>
                <w:highlight w:val="none"/>
              </w:rPr>
              <w:fldChar w:fldCharType="begin"/>
            </w:r>
            <w:r>
              <w:rPr>
                <w:rFonts w:ascii="宋体" w:hAnsi="宋体" w:cs="宋体"/>
                <w:sz w:val="24"/>
                <w:szCs w:val="24"/>
                <w:highlight w:val="none"/>
              </w:rPr>
              <w:instrText xml:space="preserve"> = 1 \* CHINESENUM2 </w:instrText>
            </w:r>
            <w:r>
              <w:rPr>
                <w:rFonts w:ascii="宋体" w:hAnsi="宋体" w:cs="宋体"/>
                <w:sz w:val="24"/>
                <w:szCs w:val="24"/>
                <w:highlight w:val="none"/>
              </w:rPr>
              <w:fldChar w:fldCharType="separate"/>
            </w:r>
            <w:r>
              <w:rPr>
                <w:rFonts w:hint="eastAsia" w:ascii="宋体" w:hAnsi="宋体" w:cs="宋体"/>
                <w:sz w:val="24"/>
                <w:szCs w:val="24"/>
                <w:highlight w:val="none"/>
              </w:rPr>
              <w:t>壹</w:t>
            </w:r>
            <w:r>
              <w:rPr>
                <w:rFonts w:ascii="宋体" w:hAnsi="宋体" w:cs="宋体"/>
                <w:sz w:val="24"/>
                <w:szCs w:val="24"/>
                <w:highlight w:val="none"/>
              </w:rPr>
              <w:fldChar w:fldCharType="end"/>
            </w:r>
            <w:r>
              <w:rPr>
                <w:rFonts w:hint="eastAsia" w:ascii="宋体" w:hAnsi="宋体" w:cs="宋体"/>
                <w:sz w:val="24"/>
                <w:szCs w:val="24"/>
                <w:highlight w:val="none"/>
              </w:rPr>
              <w:t>份，副本肆份，电子标书</w:t>
            </w:r>
            <w:r>
              <w:rPr>
                <w:rFonts w:ascii="宋体" w:hAnsi="宋体" w:cs="宋体"/>
                <w:sz w:val="24"/>
                <w:szCs w:val="24"/>
                <w:highlight w:val="none"/>
              </w:rPr>
              <w:t>U</w:t>
            </w:r>
            <w:r>
              <w:rPr>
                <w:rFonts w:hint="eastAsia" w:ascii="宋体" w:hAnsi="宋体" w:cs="宋体"/>
                <w:sz w:val="24"/>
                <w:szCs w:val="24"/>
                <w:highlight w:val="none"/>
              </w:rPr>
              <w:t>盘提供</w:t>
            </w:r>
            <w:r>
              <w:rPr>
                <w:rFonts w:ascii="宋体" w:hAnsi="宋体" w:cs="宋体"/>
                <w:sz w:val="24"/>
                <w:szCs w:val="24"/>
                <w:highlight w:val="none"/>
              </w:rPr>
              <w:t>1</w:t>
            </w:r>
            <w:r>
              <w:rPr>
                <w:rFonts w:hint="eastAsia" w:ascii="宋体" w:hAnsi="宋体" w:cs="宋体"/>
                <w:sz w:val="24"/>
                <w:szCs w:val="24"/>
                <w:highlight w:val="none"/>
              </w:rPr>
              <w:t>份。电子版文件：一份（以</w:t>
            </w:r>
            <w:r>
              <w:rPr>
                <w:rFonts w:ascii="宋体" w:hAnsi="宋体" w:cs="宋体"/>
                <w:sz w:val="24"/>
                <w:szCs w:val="24"/>
                <w:highlight w:val="none"/>
              </w:rPr>
              <w:t>U</w:t>
            </w:r>
            <w:r>
              <w:rPr>
                <w:rFonts w:hint="eastAsia" w:ascii="宋体" w:hAnsi="宋体" w:cs="宋体"/>
                <w:sz w:val="24"/>
                <w:szCs w:val="24"/>
                <w:highlight w:val="none"/>
              </w:rPr>
              <w:t>盘形式递交，</w:t>
            </w:r>
            <w:r>
              <w:rPr>
                <w:rFonts w:ascii="宋体" w:hAnsi="宋体" w:cs="宋体"/>
                <w:sz w:val="24"/>
                <w:szCs w:val="24"/>
                <w:highlight w:val="none"/>
              </w:rPr>
              <w:t>U</w:t>
            </w:r>
            <w:r>
              <w:rPr>
                <w:rFonts w:hint="eastAsia" w:ascii="宋体" w:hAnsi="宋体" w:cs="宋体"/>
                <w:sz w:val="24"/>
                <w:szCs w:val="24"/>
                <w:highlight w:val="none"/>
              </w:rPr>
              <w:t>盘内不得附带任何与本次招标无关内容，投标文件内容为</w:t>
            </w:r>
            <w:r>
              <w:rPr>
                <w:rFonts w:ascii="宋体" w:hAnsi="宋体" w:cs="宋体"/>
                <w:sz w:val="24"/>
                <w:szCs w:val="24"/>
                <w:highlight w:val="none"/>
              </w:rPr>
              <w:t>word</w:t>
            </w:r>
            <w:r>
              <w:rPr>
                <w:rFonts w:hint="eastAsia" w:ascii="宋体" w:hAnsi="宋体" w:cs="宋体"/>
                <w:sz w:val="24"/>
                <w:szCs w:val="24"/>
                <w:highlight w:val="none"/>
              </w:rPr>
              <w:t>格式）；</w:t>
            </w:r>
          </w:p>
          <w:p>
            <w:pPr>
              <w:spacing w:line="440" w:lineRule="exac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、投标文件电子版要求包含采购文件全部内容，投标文件电子版与纸质版不一致时以纸质文件为准。</w:t>
            </w:r>
          </w:p>
          <w:p>
            <w:pPr>
              <w:spacing w:line="440" w:lineRule="exact"/>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、投标文件要求按包编制，不允许将两个或两个以上包的投标文件编制、装订、密封在一起。</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14</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装订要求</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必须胶装成册，不得使用散页或活页夹</w:t>
            </w:r>
            <w:r>
              <w:rPr>
                <w:rFonts w:ascii="宋体" w:cs="宋体"/>
                <w:sz w:val="24"/>
                <w:szCs w:val="24"/>
                <w:highlight w:val="none"/>
              </w:rPr>
              <w:t>,</w:t>
            </w:r>
            <w:r>
              <w:rPr>
                <w:rFonts w:hint="eastAsia" w:ascii="宋体" w:hAnsi="宋体" w:cs="宋体"/>
                <w:sz w:val="24"/>
                <w:szCs w:val="24"/>
                <w:highlight w:val="none"/>
              </w:rPr>
              <w:t>否则视为对采购文件的不响应</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封套上应载明的信息</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（项目名称）投标文件</w:t>
            </w:r>
          </w:p>
          <w:p>
            <w:pPr>
              <w:spacing w:line="440" w:lineRule="exact"/>
              <w:rPr>
                <w:rFonts w:asci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u w:val="single"/>
                <w:lang w:val="en-US"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时</w:t>
            </w:r>
            <w:r>
              <w:rPr>
                <w:rFonts w:hint="eastAsia" w:ascii="宋体" w:cs="宋体"/>
                <w:sz w:val="24"/>
                <w:szCs w:val="24"/>
                <w:highlight w:val="none"/>
                <w:u w:val="single"/>
                <w:lang w:val="en-US" w:eastAsia="zh-CN"/>
              </w:rPr>
              <w:t>00</w:t>
            </w:r>
            <w:r>
              <w:rPr>
                <w:rFonts w:hint="eastAsia" w:ascii="宋体" w:hAnsi="宋体" w:cs="宋体"/>
                <w:sz w:val="24"/>
                <w:szCs w:val="24"/>
                <w:highlight w:val="none"/>
              </w:rPr>
              <w:t>分前不得开启</w:t>
            </w:r>
          </w:p>
        </w:tc>
      </w:tr>
      <w:tr>
        <w:tblPrEx>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递交投标文件地点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新疆华域建设工程项目管理咨询有限公司会议室</w:t>
            </w:r>
          </w:p>
        </w:tc>
      </w:tr>
      <w:tr>
        <w:tblPrEx>
          <w:tblCellMar>
            <w:top w:w="0" w:type="dxa"/>
            <w:left w:w="108" w:type="dxa"/>
            <w:bottom w:w="0" w:type="dxa"/>
            <w:right w:w="108" w:type="dxa"/>
          </w:tblCellMar>
        </w:tblPrEx>
        <w:trPr>
          <w:trHeight w:val="88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17</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开标时间和地点</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u w:val="single"/>
                <w:lang w:eastAsia="zh-CN"/>
              </w:rPr>
              <w:t>2022</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11</w:t>
            </w:r>
            <w:r>
              <w:rPr>
                <w:rFonts w:hint="eastAsia" w:ascii="宋体" w:hAnsi="宋体" w:cs="宋体"/>
                <w:sz w:val="24"/>
                <w:szCs w:val="24"/>
                <w:highlight w:val="none"/>
              </w:rPr>
              <w:t>时</w:t>
            </w:r>
            <w:r>
              <w:rPr>
                <w:rFonts w:hint="eastAsia" w:ascii="宋体" w:cs="宋体"/>
                <w:sz w:val="24"/>
                <w:szCs w:val="24"/>
                <w:highlight w:val="none"/>
                <w:u w:val="single"/>
                <w:lang w:val="en-US" w:eastAsia="zh-CN"/>
              </w:rPr>
              <w:t>00</w:t>
            </w:r>
            <w:r>
              <w:rPr>
                <w:rFonts w:hint="eastAsia" w:ascii="宋体" w:hAnsi="宋体" w:cs="宋体"/>
                <w:sz w:val="24"/>
                <w:szCs w:val="24"/>
                <w:highlight w:val="none"/>
              </w:rPr>
              <w:t>分</w:t>
            </w:r>
          </w:p>
          <w:p>
            <w:pPr>
              <w:spacing w:line="440" w:lineRule="exact"/>
              <w:rPr>
                <w:rFonts w:ascii="宋体" w:cs="宋体"/>
                <w:sz w:val="24"/>
                <w:szCs w:val="24"/>
                <w:highlight w:val="none"/>
              </w:rPr>
            </w:pPr>
            <w:r>
              <w:rPr>
                <w:rFonts w:hint="eastAsia" w:ascii="宋体" w:hAnsi="宋体" w:cs="宋体"/>
                <w:sz w:val="24"/>
                <w:szCs w:val="24"/>
                <w:highlight w:val="none"/>
              </w:rPr>
              <w:t>开标地点：新疆华域建设工程项目管理咨询有限公司会议室</w:t>
            </w:r>
          </w:p>
        </w:tc>
      </w:tr>
      <w:tr>
        <w:tblPrEx>
          <w:tblCellMar>
            <w:top w:w="0" w:type="dxa"/>
            <w:left w:w="108" w:type="dxa"/>
            <w:bottom w:w="0" w:type="dxa"/>
            <w:right w:w="108" w:type="dxa"/>
          </w:tblCellMar>
        </w:tblPrEx>
        <w:trPr>
          <w:trHeight w:val="88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18</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评标委员会的组建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评标委员会构成由招标人代表及专家组成；</w:t>
            </w:r>
          </w:p>
        </w:tc>
      </w:tr>
      <w:tr>
        <w:tblPrEx>
          <w:tblCellMar>
            <w:top w:w="0" w:type="dxa"/>
            <w:left w:w="108" w:type="dxa"/>
            <w:bottom w:w="0" w:type="dxa"/>
            <w:right w:w="108" w:type="dxa"/>
          </w:tblCellMar>
        </w:tblPrEx>
        <w:trPr>
          <w:trHeight w:val="1100"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19</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是否授权评标委员会确定中标人</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Wingdings" w:cs="宋体"/>
                <w:sz w:val="24"/>
                <w:szCs w:val="24"/>
                <w:highlight w:val="none"/>
              </w:rPr>
              <w:sym w:font="Wingdings" w:char="F0FE"/>
            </w:r>
            <w:r>
              <w:rPr>
                <w:rFonts w:hint="eastAsia" w:ascii="宋体" w:hAnsi="宋体" w:cs="宋体"/>
                <w:sz w:val="24"/>
                <w:szCs w:val="24"/>
                <w:highlight w:val="none"/>
              </w:rPr>
              <w:t>是</w:t>
            </w:r>
            <w:r>
              <w:rPr>
                <w:rFonts w:ascii="宋体" w:hAnsi="宋体" w:cs="宋体"/>
                <w:sz w:val="24"/>
                <w:szCs w:val="24"/>
                <w:highlight w:val="none"/>
              </w:rPr>
              <w:t xml:space="preserve">     </w:t>
            </w:r>
            <w:r>
              <w:rPr>
                <w:rFonts w:hint="eastAsia" w:ascii="宋体" w:hAnsi="宋体" w:cs="宋体"/>
                <w:sz w:val="24"/>
                <w:szCs w:val="24"/>
                <w:highlight w:val="none"/>
              </w:rPr>
              <w:t>□否</w:t>
            </w:r>
          </w:p>
        </w:tc>
      </w:tr>
      <w:tr>
        <w:tblPrEx>
          <w:tblCellMar>
            <w:top w:w="0" w:type="dxa"/>
            <w:left w:w="108" w:type="dxa"/>
            <w:bottom w:w="0" w:type="dxa"/>
            <w:right w:w="108" w:type="dxa"/>
          </w:tblCellMar>
        </w:tblPrEx>
        <w:trPr>
          <w:trHeight w:val="1567"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20</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资格预审</w:t>
            </w:r>
          </w:p>
        </w:tc>
        <w:tc>
          <w:tcPr>
            <w:tcW w:w="6555" w:type="dxa"/>
            <w:tcBorders>
              <w:top w:val="single" w:color="auto" w:sz="4" w:space="0"/>
              <w:left w:val="single" w:color="auto" w:sz="4" w:space="0"/>
              <w:bottom w:val="single" w:color="auto" w:sz="4" w:space="0"/>
              <w:right w:val="single" w:color="auto" w:sz="4" w:space="0"/>
            </w:tcBorders>
            <w:vAlign w:val="center"/>
          </w:tcPr>
          <w:p>
            <w:pPr>
              <w:tabs>
                <w:tab w:val="center" w:pos="4422"/>
                <w:tab w:val="left" w:pos="7920"/>
              </w:tabs>
              <w:spacing w:line="360" w:lineRule="exact"/>
              <w:rPr>
                <w:rFonts w:ascii="宋体" w:cs="宋体"/>
                <w:b/>
                <w:bCs/>
                <w:color w:val="000000"/>
                <w:sz w:val="24"/>
                <w:szCs w:val="24"/>
                <w:highlight w:val="none"/>
              </w:rPr>
            </w:pPr>
            <w:r>
              <w:rPr>
                <w:rFonts w:hint="eastAsia" w:ascii="宋体" w:hAnsi="宋体" w:cs="宋体"/>
                <w:b/>
                <w:bCs/>
                <w:color w:val="000000"/>
                <w:sz w:val="24"/>
                <w:szCs w:val="24"/>
                <w:highlight w:val="none"/>
              </w:rPr>
              <w:t>招标时供应商必须出示以下</w:t>
            </w:r>
          </w:p>
          <w:p>
            <w:pPr>
              <w:tabs>
                <w:tab w:val="center" w:pos="4422"/>
                <w:tab w:val="left" w:pos="7920"/>
              </w:tabs>
              <w:spacing w:line="360" w:lineRule="exact"/>
              <w:rPr>
                <w:rFonts w:ascii="宋体" w:cs="宋体"/>
                <w:b/>
                <w:bCs/>
                <w:color w:val="000000"/>
                <w:sz w:val="24"/>
                <w:szCs w:val="24"/>
                <w:highlight w:val="none"/>
              </w:rPr>
            </w:pPr>
            <w:r>
              <w:rPr>
                <w:rFonts w:hint="eastAsia" w:ascii="宋体" w:hAnsi="宋体" w:cs="宋体"/>
                <w:b/>
                <w:bCs/>
                <w:color w:val="000000"/>
                <w:sz w:val="24"/>
                <w:szCs w:val="24"/>
                <w:highlight w:val="none"/>
              </w:rPr>
              <w:t>证件以备现场资格审查：</w:t>
            </w:r>
          </w:p>
          <w:p>
            <w:pPr>
              <w:spacing w:line="360" w:lineRule="exact"/>
              <w:rPr>
                <w:rFonts w:ascii="宋体" w:cs="宋体"/>
                <w:b/>
                <w:color w:val="000000"/>
                <w:sz w:val="24"/>
                <w:szCs w:val="24"/>
                <w:highlight w:val="none"/>
              </w:rPr>
            </w:pPr>
            <w:r>
              <w:rPr>
                <w:rFonts w:ascii="宋体" w:hAnsi="宋体" w:cs="宋体"/>
                <w:b/>
                <w:bCs/>
                <w:color w:val="000000"/>
                <w:sz w:val="24"/>
                <w:szCs w:val="24"/>
                <w:highlight w:val="none"/>
              </w:rPr>
              <w:t>1</w:t>
            </w:r>
            <w:r>
              <w:rPr>
                <w:rFonts w:hint="eastAsia" w:ascii="宋体" w:hAnsi="宋体" w:cs="宋体"/>
                <w:color w:val="000000"/>
                <w:sz w:val="24"/>
                <w:szCs w:val="24"/>
                <w:highlight w:val="none"/>
              </w:rPr>
              <w:t>、</w:t>
            </w:r>
            <w:r>
              <w:rPr>
                <w:rFonts w:hint="eastAsia" w:ascii="宋体" w:hAnsi="宋体" w:cs="宋体"/>
                <w:b/>
                <w:bCs/>
                <w:color w:val="000000"/>
                <w:sz w:val="24"/>
                <w:szCs w:val="24"/>
                <w:highlight w:val="none"/>
              </w:rPr>
              <w:t>“三证合一”的营业执照原件或者加盖投标人公章的复印件</w:t>
            </w:r>
            <w:r>
              <w:rPr>
                <w:rFonts w:hint="eastAsia" w:ascii="宋体" w:hAnsi="宋体" w:cs="宋体"/>
                <w:b/>
                <w:color w:val="000000"/>
                <w:sz w:val="24"/>
                <w:szCs w:val="24"/>
                <w:highlight w:val="none"/>
              </w:rPr>
              <w:t>、法定代表人授权委托书（原件）及被委托人身份证（原件）；</w:t>
            </w:r>
          </w:p>
          <w:p>
            <w:pPr>
              <w:spacing w:line="440" w:lineRule="exact"/>
              <w:ind w:firstLine="120" w:firstLineChars="50"/>
              <w:rPr>
                <w:rFonts w:ascii="宋体" w:cs="宋体"/>
                <w:sz w:val="24"/>
                <w:szCs w:val="24"/>
                <w:highlight w:val="none"/>
              </w:rPr>
            </w:pPr>
            <w:r>
              <w:rPr>
                <w:rFonts w:hint="eastAsia" w:ascii="宋体" w:hAnsi="宋体" w:cs="宋体"/>
                <w:b/>
                <w:bCs/>
                <w:color w:val="000000"/>
                <w:sz w:val="24"/>
                <w:szCs w:val="24"/>
                <w:highlight w:val="none"/>
              </w:rPr>
              <w:t>上述证件齐全、满足要求的投标人为有效投标人。</w:t>
            </w:r>
          </w:p>
        </w:tc>
      </w:tr>
      <w:tr>
        <w:tblPrEx>
          <w:tblCellMar>
            <w:top w:w="0" w:type="dxa"/>
            <w:left w:w="108" w:type="dxa"/>
            <w:bottom w:w="0" w:type="dxa"/>
            <w:right w:w="108" w:type="dxa"/>
          </w:tblCellMar>
        </w:tblPrEx>
        <w:trPr>
          <w:trHeight w:val="636"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21</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付款方式</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cs="宋体"/>
                <w:sz w:val="24"/>
                <w:szCs w:val="24"/>
                <w:highlight w:val="none"/>
              </w:rPr>
            </w:pPr>
            <w:r>
              <w:rPr>
                <w:rFonts w:hint="eastAsia" w:ascii="宋体" w:hAnsi="宋体" w:cs="宋体"/>
                <w:sz w:val="24"/>
                <w:szCs w:val="24"/>
                <w:highlight w:val="none"/>
              </w:rPr>
              <w:t>签订合同时约定</w:t>
            </w:r>
          </w:p>
        </w:tc>
      </w:tr>
      <w:tr>
        <w:tblPrEx>
          <w:tblCellMar>
            <w:top w:w="0" w:type="dxa"/>
            <w:left w:w="108" w:type="dxa"/>
            <w:bottom w:w="0" w:type="dxa"/>
            <w:right w:w="108" w:type="dxa"/>
          </w:tblCellMar>
        </w:tblPrEx>
        <w:trPr>
          <w:trHeight w:val="844"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22</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完工期</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highlight w:val="none"/>
              </w:rPr>
            </w:pPr>
            <w:r>
              <w:rPr>
                <w:rFonts w:hint="eastAsia" w:ascii="宋体" w:hAnsi="宋体" w:cs="宋体"/>
                <w:sz w:val="24"/>
                <w:szCs w:val="24"/>
                <w:highlight w:val="none"/>
              </w:rPr>
              <w:t>签订合同时约定</w:t>
            </w:r>
          </w:p>
        </w:tc>
      </w:tr>
      <w:tr>
        <w:tblPrEx>
          <w:tblCellMar>
            <w:top w:w="0" w:type="dxa"/>
            <w:left w:w="108" w:type="dxa"/>
            <w:bottom w:w="0" w:type="dxa"/>
            <w:right w:w="108" w:type="dxa"/>
          </w:tblCellMar>
        </w:tblPrEx>
        <w:trPr>
          <w:trHeight w:val="393"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23</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中小企业政策</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支持中小企业发展：对小型和微型企业产品的最终价格给予</w:t>
            </w:r>
            <w:r>
              <w:rPr>
                <w:rFonts w:ascii="宋体" w:hAnsi="宋体" w:cs="宋体"/>
                <w:sz w:val="24"/>
                <w:szCs w:val="24"/>
                <w:highlight w:val="none"/>
              </w:rPr>
              <w:t>6%</w:t>
            </w:r>
            <w:r>
              <w:rPr>
                <w:rFonts w:hint="eastAsia" w:ascii="宋体" w:hAnsi="宋体" w:cs="宋体"/>
                <w:sz w:val="24"/>
                <w:szCs w:val="24"/>
                <w:highlight w:val="none"/>
              </w:rPr>
              <w:t>的扣除，用扣除后的价格参与评审（如所投产品为小型或微型企业生产产品，须提供《中小企业声明函》及相关证明材料，因所提供材料不全导致评标委员会无法评定时，评标价格不予扣除），监狱企业、残疾人福利性单位视同为小微企业。本项目具体扣除比例为</w:t>
            </w:r>
            <w:r>
              <w:rPr>
                <w:rFonts w:ascii="宋体" w:hAnsi="宋体" w:cs="宋体"/>
                <w:sz w:val="24"/>
                <w:szCs w:val="24"/>
                <w:highlight w:val="none"/>
              </w:rPr>
              <w:t>6%</w:t>
            </w:r>
            <w:r>
              <w:rPr>
                <w:rFonts w:hint="eastAsia" w:ascii="宋体" w:hAnsi="宋体" w:cs="宋体"/>
                <w:sz w:val="24"/>
                <w:szCs w:val="24"/>
                <w:highlight w:val="none"/>
              </w:rPr>
              <w:t>。小型和微型企业适用价格扣除办法时应提供的相关资料：</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①、《中小企业声明函》；或供残疾人福利性单位声明函</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②、提供投标人工商行政登记所在地管理部门出具的小微企业证明文件。</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③、提供所代理产品生产厂家的属地主管部门出具的小微企业或监狱企业证明文件；</w:t>
            </w:r>
          </w:p>
        </w:tc>
      </w:tr>
      <w:tr>
        <w:tblPrEx>
          <w:tblCellMar>
            <w:top w:w="0" w:type="dxa"/>
            <w:left w:w="108" w:type="dxa"/>
            <w:bottom w:w="0" w:type="dxa"/>
            <w:right w:w="108" w:type="dxa"/>
          </w:tblCellMar>
        </w:tblPrEx>
        <w:trPr>
          <w:trHeight w:val="1745" w:hRule="atLeast"/>
        </w:trPr>
        <w:tc>
          <w:tcPr>
            <w:tcW w:w="705"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24</w:t>
            </w:r>
          </w:p>
        </w:tc>
        <w:tc>
          <w:tcPr>
            <w:tcW w:w="1935" w:type="dxa"/>
            <w:vMerge w:val="restart"/>
            <w:tcBorders>
              <w:top w:val="single" w:color="auto" w:sz="4" w:space="0"/>
              <w:left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节能环保政策</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政府采购优先采购：</w:t>
            </w:r>
            <w:r>
              <w:rPr>
                <w:rFonts w:ascii="宋体" w:hAnsi="宋体" w:cs="宋体"/>
                <w:sz w:val="24"/>
                <w:szCs w:val="24"/>
                <w:highlight w:val="none"/>
              </w:rPr>
              <w:t>(1)</w:t>
            </w:r>
            <w:r>
              <w:rPr>
                <w:rFonts w:hint="eastAsia" w:ascii="宋体" w:hAnsi="宋体" w:cs="宋体"/>
                <w:sz w:val="24"/>
                <w:szCs w:val="24"/>
                <w:highlight w:val="none"/>
              </w:rPr>
              <w:t>非标记★符号的节能产品；</w:t>
            </w:r>
            <w:r>
              <w:rPr>
                <w:rFonts w:ascii="宋体" w:hAnsi="宋体" w:cs="宋体"/>
                <w:sz w:val="24"/>
                <w:szCs w:val="24"/>
                <w:highlight w:val="none"/>
              </w:rPr>
              <w:t>(2)</w:t>
            </w:r>
            <w:r>
              <w:rPr>
                <w:rFonts w:hint="eastAsia" w:ascii="宋体" w:hAnsi="宋体" w:cs="宋体"/>
                <w:sz w:val="24"/>
                <w:szCs w:val="24"/>
                <w:highlight w:val="none"/>
              </w:rPr>
              <w:t>环境标志产品</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采购产品为《节能产品政府采购清单》内非标记★符号的节能产品及《环境标志产品政府采购清单》内的产品：</w:t>
            </w:r>
          </w:p>
          <w:p>
            <w:pPr>
              <w:spacing w:line="440" w:lineRule="exact"/>
              <w:ind w:left="29" w:hanging="28" w:hangingChars="12"/>
              <w:jc w:val="left"/>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CellMar>
            <w:top w:w="0" w:type="dxa"/>
            <w:left w:w="108" w:type="dxa"/>
            <w:bottom w:w="0" w:type="dxa"/>
            <w:right w:w="108" w:type="dxa"/>
          </w:tblCellMar>
        </w:tblPrEx>
        <w:trPr>
          <w:trHeight w:val="763" w:hRule="atLeast"/>
        </w:trPr>
        <w:tc>
          <w:tcPr>
            <w:tcW w:w="70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p>
        </w:tc>
        <w:tc>
          <w:tcPr>
            <w:tcW w:w="1935" w:type="dxa"/>
            <w:vMerge w:val="continue"/>
            <w:tcBorders>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政府采购强制采购：标记★符号的节能产品</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符合《节能产品政府采购清单》目录内的强制采购节能产品</w:t>
            </w:r>
          </w:p>
        </w:tc>
      </w:tr>
      <w:tr>
        <w:tblPrEx>
          <w:tblCellMar>
            <w:top w:w="0" w:type="dxa"/>
            <w:left w:w="108" w:type="dxa"/>
            <w:bottom w:w="0" w:type="dxa"/>
            <w:right w:w="108" w:type="dxa"/>
          </w:tblCellMar>
        </w:tblPrEx>
        <w:trPr>
          <w:trHeight w:val="174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25</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同品牌原则</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同品牌多家投标人处理原则：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□√随机抽取</w:t>
            </w:r>
          </w:p>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□其他</w:t>
            </w:r>
            <w:r>
              <w:rPr>
                <w:rFonts w:ascii="宋体" w:hAnsi="宋体" w:cs="宋体"/>
                <w:sz w:val="24"/>
                <w:szCs w:val="24"/>
                <w:highlight w:val="none"/>
              </w:rPr>
              <w:t>____________________</w:t>
            </w:r>
          </w:p>
        </w:tc>
      </w:tr>
      <w:tr>
        <w:tblPrEx>
          <w:tblCellMar>
            <w:top w:w="0" w:type="dxa"/>
            <w:left w:w="108" w:type="dxa"/>
            <w:bottom w:w="0" w:type="dxa"/>
            <w:right w:w="108" w:type="dxa"/>
          </w:tblCellMar>
        </w:tblPrEx>
        <w:trPr>
          <w:trHeight w:val="1475"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ascii="宋体" w:hAnsi="宋体" w:cs="宋体"/>
                <w:sz w:val="24"/>
                <w:szCs w:val="24"/>
                <w:highlight w:val="none"/>
              </w:rPr>
              <w:t>26</w:t>
            </w:r>
          </w:p>
        </w:tc>
        <w:tc>
          <w:tcPr>
            <w:tcW w:w="193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sz w:val="24"/>
                <w:szCs w:val="24"/>
                <w:highlight w:val="none"/>
              </w:rPr>
            </w:pPr>
            <w:r>
              <w:rPr>
                <w:rFonts w:hint="eastAsia" w:ascii="宋体" w:hAnsi="宋体" w:cs="宋体"/>
                <w:sz w:val="24"/>
                <w:szCs w:val="24"/>
                <w:highlight w:val="none"/>
              </w:rPr>
              <w:t>报价形式</w:t>
            </w:r>
          </w:p>
        </w:tc>
        <w:tc>
          <w:tcPr>
            <w:tcW w:w="6555" w:type="dxa"/>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ascii="宋体" w:cs="宋体"/>
                <w:sz w:val="24"/>
                <w:szCs w:val="24"/>
                <w:highlight w:val="none"/>
              </w:rPr>
            </w:pPr>
            <w:r>
              <w:rPr>
                <w:rFonts w:hint="eastAsia" w:ascii="宋体" w:hAnsi="宋体" w:cs="宋体"/>
                <w:sz w:val="24"/>
                <w:szCs w:val="24"/>
                <w:highlight w:val="none"/>
              </w:rPr>
              <w:t>本项目为竞争性磋商方式采购，报价环节原则上为两轮（投标文件书面报价为一轮，评标现场报价为二轮），具体由磋商小组视情况决定</w:t>
            </w:r>
          </w:p>
        </w:tc>
      </w:tr>
      <w:tr>
        <w:tblPrEx>
          <w:tblCellMar>
            <w:top w:w="0" w:type="dxa"/>
            <w:left w:w="108" w:type="dxa"/>
            <w:bottom w:w="0" w:type="dxa"/>
            <w:right w:w="108" w:type="dxa"/>
          </w:tblCellMar>
        </w:tblPrEx>
        <w:trPr>
          <w:trHeight w:val="921" w:hRule="atLeast"/>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8490"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ind w:left="29" w:hanging="28" w:hangingChars="12"/>
              <w:jc w:val="left"/>
              <w:rPr>
                <w:rFonts w:hint="eastAsia" w:ascii="宋体" w:hAnsi="宋体" w:cs="宋体"/>
                <w:sz w:val="24"/>
                <w:szCs w:val="24"/>
                <w:highlight w:val="none"/>
              </w:rPr>
            </w:pPr>
            <w:r>
              <w:rPr>
                <w:rFonts w:hint="eastAsia" w:ascii="宋体" w:hAnsi="宋体" w:cs="宋体"/>
                <w:sz w:val="24"/>
                <w:szCs w:val="24"/>
                <w:highlight w:val="none"/>
              </w:rPr>
              <w:t>本次招标向中标人收取的招标代理费</w:t>
            </w:r>
            <w:r>
              <w:rPr>
                <w:rFonts w:hint="eastAsia" w:ascii="宋体" w:hAnsi="宋体" w:cs="宋体"/>
                <w:sz w:val="24"/>
                <w:szCs w:val="24"/>
                <w:highlight w:val="none"/>
                <w:lang w:val="en-US" w:eastAsia="zh-CN"/>
              </w:rPr>
              <w:t>(中标价的2%计取)及评审费</w:t>
            </w:r>
            <w:r>
              <w:rPr>
                <w:rFonts w:hint="eastAsia" w:ascii="宋体" w:hAnsi="宋体" w:cs="宋体"/>
                <w:sz w:val="24"/>
                <w:szCs w:val="24"/>
                <w:highlight w:val="none"/>
              </w:rPr>
              <w:t>，按国家有关规定执行，招标代理费计入投标总价中，但不单独列项。</w:t>
            </w:r>
          </w:p>
        </w:tc>
      </w:tr>
    </w:tbl>
    <w:p>
      <w:pPr>
        <w:widowControl/>
        <w:jc w:val="left"/>
        <w:rPr>
          <w:rFonts w:ascii="宋体" w:cs="宋体"/>
          <w:sz w:val="24"/>
          <w:szCs w:val="24"/>
          <w:highlight w:val="none"/>
        </w:rPr>
      </w:pPr>
    </w:p>
    <w:p>
      <w:pPr>
        <w:jc w:val="center"/>
        <w:rPr>
          <w:rFonts w:ascii="宋体" w:cs="宋体"/>
          <w:b/>
          <w:sz w:val="28"/>
          <w:szCs w:val="28"/>
          <w:highlight w:val="none"/>
        </w:rPr>
      </w:pPr>
      <w:r>
        <w:rPr>
          <w:rFonts w:ascii="宋体" w:cs="宋体"/>
          <w:b/>
          <w:sz w:val="28"/>
          <w:szCs w:val="28"/>
          <w:highlight w:val="none"/>
        </w:rPr>
        <w:br w:type="page"/>
      </w:r>
      <w:r>
        <w:rPr>
          <w:rFonts w:hint="eastAsia" w:ascii="宋体" w:hAnsi="宋体" w:cs="宋体"/>
          <w:b/>
          <w:sz w:val="28"/>
          <w:szCs w:val="28"/>
          <w:highlight w:val="none"/>
        </w:rPr>
        <w:t>投标人须知</w:t>
      </w:r>
    </w:p>
    <w:p>
      <w:pPr>
        <w:pStyle w:val="2"/>
        <w:rPr>
          <w:rFonts w:ascii="宋体" w:cs="宋体"/>
          <w:highlight w:val="none"/>
        </w:rPr>
      </w:pPr>
      <w:bookmarkStart w:id="1" w:name="_Toc517776505"/>
      <w:r>
        <w:rPr>
          <w:rFonts w:hint="eastAsia" w:ascii="宋体" w:hAnsi="宋体" w:cs="宋体"/>
          <w:highlight w:val="none"/>
        </w:rPr>
        <w:t>一、说明</w:t>
      </w:r>
      <w:bookmarkEnd w:id="1"/>
    </w:p>
    <w:p>
      <w:pPr>
        <w:spacing w:line="360" w:lineRule="auto"/>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适用范围和法律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本采购文件适用于本投标邀请中所述项目的政府采购。</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适用于《中华人民共和国政府采购法》、《政府采购货物和服务招标投标管理办法》及政府采购其它相关法规。</w:t>
      </w:r>
    </w:p>
    <w:p>
      <w:pPr>
        <w:spacing w:line="360" w:lineRule="auto"/>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定义</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2.1</w:t>
      </w:r>
      <w:r>
        <w:rPr>
          <w:rFonts w:hint="eastAsia" w:ascii="宋体" w:hAnsi="宋体" w:cs="宋体"/>
          <w:sz w:val="24"/>
          <w:szCs w:val="24"/>
          <w:highlight w:val="none"/>
        </w:rPr>
        <w:t>“采购人”：是指投标人须知前附表说明的单位，在招标阶段称为采购人，</w:t>
      </w:r>
      <w:r>
        <w:rPr>
          <w:rFonts w:ascii="宋体" w:hAnsi="宋体" w:cs="宋体"/>
          <w:sz w:val="24"/>
          <w:szCs w:val="24"/>
          <w:highlight w:val="none"/>
        </w:rPr>
        <w:t xml:space="preserve">  </w:t>
      </w:r>
      <w:r>
        <w:rPr>
          <w:rFonts w:hint="eastAsia" w:ascii="宋体" w:hAnsi="宋体" w:cs="宋体"/>
          <w:sz w:val="24"/>
          <w:szCs w:val="24"/>
          <w:highlight w:val="none"/>
        </w:rPr>
        <w:t>在签订和执行合同阶段或被称为建设单位或业主或甲方或买方。为便于采购文件及附件直接转化为经济合同条款，在采购文件中被称为建设单位或业主或甲方或买方的招标投标阶段均指采购人。</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“监督管理部门”：是指投标人须知前附表说明的部门。负责对采购人、</w:t>
      </w:r>
      <w:r>
        <w:rPr>
          <w:rFonts w:ascii="宋体" w:hAnsi="宋体" w:cs="宋体"/>
          <w:sz w:val="24"/>
          <w:szCs w:val="24"/>
          <w:highlight w:val="none"/>
        </w:rPr>
        <w:t xml:space="preserve"> </w:t>
      </w:r>
      <w:r>
        <w:rPr>
          <w:rFonts w:hint="eastAsia" w:ascii="宋体" w:hAnsi="宋体" w:cs="宋体"/>
          <w:sz w:val="24"/>
          <w:szCs w:val="24"/>
          <w:highlight w:val="none"/>
        </w:rPr>
        <w:t>采购代理机构、投标人和评审专家的监督检查。</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采购代理机构”：是指依法取得招标资格、从事招标代理业务并提供相关服务的专门机构，本文特指新疆华域建设工程项目管理咨询有限公司。是本次整个采购活动的组织者，依法负责编制和发布采购文件，对采购文件拥有最终的解释权。</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“招标采购单位”：是指采购人，政府采购代理机构。</w:t>
      </w:r>
    </w:p>
    <w:p>
      <w:pPr>
        <w:spacing w:line="360" w:lineRule="auto"/>
        <w:ind w:firstLine="477" w:firstLineChars="199"/>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“日期、天数、时间”：除非本采购文件另有规定，均为公历日（天）及</w:t>
      </w:r>
      <w:r>
        <w:rPr>
          <w:rFonts w:ascii="宋体" w:hAnsi="宋体" w:cs="宋体"/>
          <w:sz w:val="24"/>
          <w:szCs w:val="24"/>
          <w:highlight w:val="none"/>
        </w:rPr>
        <w:t xml:space="preserve"> </w:t>
      </w:r>
      <w:r>
        <w:rPr>
          <w:rFonts w:hint="eastAsia" w:ascii="宋体" w:hAnsi="宋体" w:cs="宋体"/>
          <w:sz w:val="24"/>
          <w:szCs w:val="24"/>
          <w:highlight w:val="none"/>
        </w:rPr>
        <w:t>北京时间。</w:t>
      </w:r>
    </w:p>
    <w:p>
      <w:pPr>
        <w:spacing w:line="360" w:lineRule="auto"/>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合格的货物、工程和服务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本次招标项目是满足本采购文件第三章用户需求书的招标。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各种形态和种类的物品，包括原材料、燃料、设备、产品等。“合格的货物”是指投标人制造或组织符合采购文件要求的全新的货物等。采购文件没有提及招标货物来源地的，根据《中华人民共和国政府采购法》的相关规定均应是本国货物，如本次采购文件第二章中已说明，允许部分或全部产品采购进口产品，投标人既可提供本国产品，也可以提供进口产品，进口产品是指通过中国海关报关验放进入中国境内且产自关境外的产品。招标优先采购节能、环保产品。投标货物的设计、制造、包装和运输必须符合中华人民共和国的相关国家标准、行业标准或企业标准（如有）的强制性规定，并满足采购文件规定的规格、参数、质量、价格、有效期、售后服务等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采购文件规定的质量验收等级标准的建设工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w:t>
      </w:r>
      <w:r>
        <w:rPr>
          <w:rFonts w:hint="eastAsia" w:ascii="宋体" w:hAnsi="宋体" w:cs="宋体"/>
          <w:sz w:val="24"/>
          <w:szCs w:val="24"/>
          <w:highlight w:val="none"/>
        </w:rPr>
        <w:t>“服务”是指除货物和工程以外的其他采购对象。“合格的服务”是指投标人按采购文件的规定，依据中华人民共和国的相关法律、法规、规章以及相关国家标准、行业标准或地方（或企业）标准（如有）的规定或规范要求，向采购人提供的满足采购文件规定的需求或特定目标的服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3.5</w:t>
      </w:r>
      <w:r>
        <w:rPr>
          <w:rFonts w:hint="eastAsia" w:ascii="宋体" w:hAnsi="宋体" w:cs="宋体"/>
          <w:sz w:val="24"/>
          <w:szCs w:val="24"/>
          <w:highlight w:val="none"/>
        </w:rPr>
        <w:t>投标人须保证，采购人在中华人民共和国接受和使用投标人所提供的货物、工程和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p>
      <w:pPr>
        <w:spacing w:line="360" w:lineRule="auto"/>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合格的投标人、中标人</w:t>
      </w:r>
    </w:p>
    <w:p>
      <w:pPr>
        <w:spacing w:line="360" w:lineRule="auto"/>
        <w:ind w:left="479" w:leftChars="228"/>
        <w:rPr>
          <w:rFonts w:asci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投标人除应具备《政府采购法》第二十二条投标人资格条件外，还应满足采购文件第一章“竞争性磋商公告”中所规定的投标人的资格条件。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rPr>
        <w:t>投标人必须在采购代理机构登记报名并购买了采购文件。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4.3</w:t>
      </w:r>
      <w:r>
        <w:rPr>
          <w:rFonts w:hint="eastAsia" w:ascii="宋体" w:hAnsi="宋体" w:cs="宋体"/>
          <w:sz w:val="24"/>
          <w:szCs w:val="24"/>
          <w:highlight w:val="none"/>
        </w:rPr>
        <w:t>“中标人”：指经法定程序确定并授予合同的投标人。</w:t>
      </w:r>
    </w:p>
    <w:p>
      <w:pPr>
        <w:spacing w:line="360" w:lineRule="auto"/>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投标费用</w:t>
      </w:r>
    </w:p>
    <w:p>
      <w:pPr>
        <w:spacing w:line="360" w:lineRule="auto"/>
        <w:ind w:left="479" w:leftChars="228"/>
        <w:rPr>
          <w:rFonts w:ascii="宋体" w:cs="宋体"/>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投标人应承担所有与准备和参加投标有关的费用。不论投标结果如何，采购人及采购代理机构均无义务和责任承担任何此类费用。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5.2</w:t>
      </w:r>
      <w:r>
        <w:rPr>
          <w:rFonts w:hint="eastAsia" w:ascii="宋体" w:hAnsi="宋体" w:cs="宋体"/>
          <w:sz w:val="24"/>
          <w:szCs w:val="24"/>
          <w:highlight w:val="none"/>
        </w:rPr>
        <w:t>本次招标向中标人收取的招标代理费，按国家有关规定执行，招标代理费计入投标总价中，但不单独列项。</w:t>
      </w:r>
    </w:p>
    <w:p>
      <w:pPr>
        <w:pStyle w:val="2"/>
        <w:rPr>
          <w:rFonts w:ascii="宋体" w:cs="宋体"/>
          <w:highlight w:val="none"/>
        </w:rPr>
      </w:pPr>
      <w:bookmarkStart w:id="2" w:name="_Toc517776506"/>
      <w:r>
        <w:rPr>
          <w:rFonts w:hint="eastAsia" w:ascii="宋体" w:hAnsi="宋体" w:cs="宋体"/>
          <w:highlight w:val="none"/>
        </w:rPr>
        <w:t>二、采购文件</w:t>
      </w:r>
      <w:bookmarkEnd w:id="2"/>
    </w:p>
    <w:p>
      <w:pPr>
        <w:spacing w:line="360" w:lineRule="auto"/>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采购文件的组成和语言</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6.1</w:t>
      </w:r>
      <w:r>
        <w:rPr>
          <w:rFonts w:hint="eastAsia" w:ascii="宋体" w:hAnsi="宋体" w:cs="宋体"/>
          <w:sz w:val="24"/>
          <w:szCs w:val="24"/>
          <w:highlight w:val="none"/>
        </w:rPr>
        <w:t>采购文件由下列文件以及在招标过程中发出的修正和补充文件组成，共包含以下内容：</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（一）竞争性磋商公告（二）投标人须知（三）用户需求书（四）合同</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（五）投标文件格式</w:t>
      </w:r>
    </w:p>
    <w:p>
      <w:pPr>
        <w:spacing w:line="360" w:lineRule="auto"/>
        <w:ind w:left="239" w:leftChars="114"/>
        <w:rPr>
          <w:rFonts w:ascii="宋体" w:cs="宋体"/>
          <w:sz w:val="24"/>
          <w:szCs w:val="24"/>
          <w:highlight w:val="none"/>
        </w:rPr>
      </w:pPr>
      <w:r>
        <w:rPr>
          <w:rFonts w:ascii="宋体" w:hAnsi="宋体" w:cs="宋体"/>
          <w:sz w:val="24"/>
          <w:szCs w:val="24"/>
          <w:highlight w:val="none"/>
        </w:rPr>
        <w:t>6.2</w:t>
      </w:r>
      <w:r>
        <w:rPr>
          <w:rFonts w:hint="eastAsia" w:ascii="宋体" w:hAnsi="宋体" w:cs="宋体"/>
          <w:sz w:val="24"/>
          <w:szCs w:val="24"/>
          <w:highlight w:val="none"/>
        </w:rPr>
        <w:t>除上述内容外，采购人在规定时间内以书面形式发出的对采购文件的澄清或修改内容，均为采购文件的组成部分，对采购人和投标人起约束作用。</w:t>
      </w:r>
    </w:p>
    <w:p>
      <w:pPr>
        <w:spacing w:line="360" w:lineRule="auto"/>
        <w:ind w:left="239" w:leftChars="114"/>
        <w:rPr>
          <w:rFonts w:ascii="宋体" w:cs="宋体"/>
          <w:sz w:val="24"/>
          <w:szCs w:val="24"/>
          <w:highlight w:val="none"/>
        </w:rPr>
      </w:pPr>
      <w:r>
        <w:rPr>
          <w:rFonts w:ascii="宋体" w:hAnsi="宋体" w:cs="宋体"/>
          <w:sz w:val="24"/>
          <w:szCs w:val="24"/>
          <w:highlight w:val="none"/>
        </w:rPr>
        <w:t>6.3</w:t>
      </w:r>
      <w:r>
        <w:rPr>
          <w:rFonts w:hint="eastAsia" w:ascii="宋体" w:hAnsi="宋体" w:cs="宋体"/>
          <w:sz w:val="24"/>
          <w:szCs w:val="24"/>
          <w:highlight w:val="none"/>
        </w:rPr>
        <w:t>本文件的专业技术内容如涉及到有官方强制性要求或行业标准规范限制和禁止性内容时，应以官方强制性要求或行业标准规范为准；否则，以本采购文件约定的技术要求为准。</w:t>
      </w:r>
    </w:p>
    <w:p>
      <w:pPr>
        <w:spacing w:line="360" w:lineRule="auto"/>
        <w:ind w:left="239" w:leftChars="114"/>
        <w:rPr>
          <w:rFonts w:ascii="宋体" w:cs="宋体"/>
          <w:sz w:val="24"/>
          <w:szCs w:val="24"/>
          <w:highlight w:val="none"/>
        </w:rPr>
      </w:pPr>
      <w:r>
        <w:rPr>
          <w:rFonts w:ascii="宋体" w:hAnsi="宋体" w:cs="宋体"/>
          <w:sz w:val="24"/>
          <w:szCs w:val="24"/>
          <w:highlight w:val="none"/>
        </w:rPr>
        <w:t>6.4</w:t>
      </w:r>
      <w:r>
        <w:rPr>
          <w:rFonts w:hint="eastAsia" w:ascii="宋体" w:hAnsi="宋体" w:cs="宋体"/>
          <w:sz w:val="24"/>
          <w:szCs w:val="24"/>
          <w:highlight w:val="none"/>
        </w:rPr>
        <w:t>采购人约定对个别产品需要制造商出具技术服务或经销代理资格等证明书时，签证方必须是合法的生产制造企业或其驻中国大陆合法注册的直辖专属机构。签证方须同时负有监督管理供货渠道，确保产品质量和伴随的售后服务，履行相关连带责任和义务。</w:t>
      </w:r>
    </w:p>
    <w:p>
      <w:pPr>
        <w:spacing w:line="360" w:lineRule="auto"/>
        <w:ind w:left="239" w:leftChars="114"/>
        <w:rPr>
          <w:rFonts w:ascii="宋体" w:cs="宋体"/>
          <w:sz w:val="24"/>
          <w:szCs w:val="24"/>
          <w:highlight w:val="none"/>
        </w:rPr>
      </w:pPr>
      <w:r>
        <w:rPr>
          <w:rFonts w:ascii="宋体" w:hAnsi="宋体" w:cs="宋体"/>
          <w:sz w:val="24"/>
          <w:szCs w:val="24"/>
          <w:highlight w:val="none"/>
        </w:rPr>
        <w:t>6.5</w:t>
      </w:r>
      <w:r>
        <w:rPr>
          <w:rFonts w:hint="eastAsia" w:ascii="宋体" w:hAnsi="宋体" w:cs="宋体"/>
          <w:sz w:val="24"/>
          <w:szCs w:val="24"/>
          <w:highlight w:val="none"/>
        </w:rPr>
        <w:t>如采购文件约定投标人投标产品合法来源证明资料，是类指制造商向投标人出具的授权销售证明书或投标人获得的投标产品合法取得始终连续的证明文件等，以保证采购人所使用的产品为投标人合法渠道所生产或获得。</w:t>
      </w:r>
    </w:p>
    <w:p>
      <w:pPr>
        <w:spacing w:line="360" w:lineRule="auto"/>
        <w:rPr>
          <w:rFonts w:ascii="宋体" w:cs="宋体"/>
          <w:sz w:val="24"/>
          <w:szCs w:val="24"/>
          <w:highlight w:val="none"/>
        </w:rPr>
      </w:pPr>
      <w:r>
        <w:rPr>
          <w:rFonts w:ascii="宋体" w:hAnsi="宋体" w:cs="宋体"/>
          <w:sz w:val="24"/>
          <w:szCs w:val="24"/>
          <w:highlight w:val="none"/>
        </w:rPr>
        <w:t>6.6</w:t>
      </w:r>
      <w:r>
        <w:rPr>
          <w:rFonts w:hint="eastAsia" w:ascii="宋体" w:hAnsi="宋体" w:cs="宋体"/>
          <w:sz w:val="24"/>
          <w:szCs w:val="24"/>
          <w:highlight w:val="none"/>
        </w:rPr>
        <w:t>未有注明具体相关服务，均以行业通用标准为准。</w:t>
      </w:r>
    </w:p>
    <w:p>
      <w:pPr>
        <w:spacing w:line="360" w:lineRule="auto"/>
        <w:rPr>
          <w:rFonts w:ascii="宋体" w:cs="宋体"/>
          <w:sz w:val="24"/>
          <w:szCs w:val="24"/>
          <w:highlight w:val="none"/>
        </w:rPr>
      </w:pPr>
      <w:r>
        <w:rPr>
          <w:rFonts w:ascii="宋体" w:hAnsi="宋体" w:cs="宋体"/>
          <w:sz w:val="24"/>
          <w:szCs w:val="24"/>
          <w:highlight w:val="none"/>
        </w:rPr>
        <w:t>6.7</w:t>
      </w:r>
      <w:r>
        <w:rPr>
          <w:rFonts w:hint="eastAsia" w:ascii="宋体" w:hAnsi="宋体" w:cs="宋体"/>
          <w:sz w:val="24"/>
          <w:szCs w:val="24"/>
          <w:highlight w:val="none"/>
        </w:rPr>
        <w:t>采购人在没有特别要求时，只允许参与投标的投标人提供唯一最具代表性和竞争力的投标方案，对提供含糊不清、不确定或可选的方案者均作无效投标处理。</w:t>
      </w:r>
    </w:p>
    <w:p>
      <w:pPr>
        <w:spacing w:line="360" w:lineRule="auto"/>
        <w:rPr>
          <w:rFonts w:ascii="宋体" w:cs="宋体"/>
          <w:sz w:val="24"/>
          <w:szCs w:val="24"/>
          <w:highlight w:val="none"/>
        </w:rPr>
      </w:pPr>
      <w:r>
        <w:rPr>
          <w:rFonts w:ascii="宋体" w:hAnsi="宋体" w:cs="宋体"/>
          <w:sz w:val="24"/>
          <w:szCs w:val="24"/>
          <w:highlight w:val="none"/>
        </w:rPr>
        <w:t>6.8</w:t>
      </w:r>
      <w:r>
        <w:rPr>
          <w:rFonts w:hint="eastAsia" w:ascii="宋体" w:hAnsi="宋体" w:cs="宋体"/>
          <w:sz w:val="24"/>
          <w:szCs w:val="24"/>
          <w:highlight w:val="none"/>
        </w:rPr>
        <w:t>答疑会及踏勘现场</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对于有计划举行项目答疑会时，投标人的项目主要负责人等须按时出席，主办方将围绕采购文件的内容现场澄清、解答投标人提出的问题，对个别内容确有必要作澄清修正时，采购人或采购代理机构将按照极大地促进公平竞争的原则，集中统一后以书面形式通知各投标人，各投标人收悉后须及时予以确认。</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）投标人出席答疑会及踏勘现场的费用、过失责任及风险均自行承担。</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）对未有计划举行项目答疑会时，投标人应及时主动向采购人或招标代理机构了解项目详情。</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6.9</w:t>
      </w:r>
      <w:r>
        <w:rPr>
          <w:rFonts w:hint="eastAsia" w:ascii="宋体" w:hAnsi="宋体" w:cs="宋体"/>
          <w:sz w:val="24"/>
          <w:szCs w:val="24"/>
          <w:highlight w:val="none"/>
        </w:rPr>
        <w:t>投标人应认真阅读、并充分理解采购文件的全部内容（包括所有的补充、修改内容、重要事项、格式、条款和技术规范、参数及要求等）。投标人没有按照采购文件要求提交全部资料，或者投标没有对采购文件在各方面都做出实质性响应，将为投标人带来风险，有可能导致其投标被拒绝，或被认定为无效投标。</w:t>
      </w:r>
    </w:p>
    <w:p>
      <w:pPr>
        <w:spacing w:line="360" w:lineRule="auto"/>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采购文件的澄清</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7.1</w:t>
      </w:r>
      <w:r>
        <w:rPr>
          <w:rFonts w:hint="eastAsia" w:ascii="宋体" w:hAnsi="宋体" w:cs="宋体"/>
          <w:sz w:val="24"/>
          <w:szCs w:val="24"/>
          <w:highlight w:val="none"/>
        </w:rPr>
        <w:t>任何要求对采购文件进行澄清的投标人，均应以书面形式并加盖投标人公章（注明联系人及联系电话、联系地址）在投标截止时间的五个工作日以前通知采购代理机构和采购人。采购代理机构将组织采购人对投标人所要求澄清的内容以书面形式予以答复。必要时，采购代理机构和采购人将组织有关专家召开答疑会，并将会议内容以书面的形式发给每个报名并购买了采购文件的投标人（答复中不包括问题的来源）。投标人在收到该澄清（答疑）文件后，应于二十四小时内予以书面回复收悉。该澄清（答疑）文件的内容为采购文件的组成部分，具有约束作用。若投标人在规定时间内没有回复收悉并经采购代理机构催告后仍不作为的，视其投标已充分考虑了该澄清（答疑）的内容，并视为已放弃对该澄清（答疑）内容收悉的质疑权。</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7.2</w:t>
      </w:r>
      <w:r>
        <w:rPr>
          <w:rFonts w:hint="eastAsia" w:ascii="宋体" w:hAnsi="宋体" w:cs="宋体"/>
          <w:sz w:val="24"/>
          <w:szCs w:val="24"/>
          <w:highlight w:val="none"/>
        </w:rPr>
        <w:t>在规定的时间内未对采购文件提出疑问或澄清要求的投标人，采购人将视为已充分阅读并正确理解采购文件的全部内容且无异议。开标后，如投标人的投标文件显示其对采购文件中的描述有歧意或采购文件的前后内容有不一致的地方，则评标委员会有权依据采购文件及项目需求进行合理评判，但对同一条款的评判应适用于每个投标人。</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7.3</w:t>
      </w:r>
      <w:r>
        <w:rPr>
          <w:rFonts w:hint="eastAsia" w:ascii="宋体" w:hAnsi="宋体" w:cs="宋体"/>
          <w:sz w:val="24"/>
          <w:szCs w:val="24"/>
          <w:highlight w:val="none"/>
        </w:rPr>
        <w:t>采购人或采购代理机构发出澄清文件的时间距投标截止时间不足五个工作日的，在征得已获取采购文件的投标人同意并书面确认后，可不改变投标截止时间。所有澄清内容将同时在发布招标公告网站上发布。</w:t>
      </w:r>
    </w:p>
    <w:p>
      <w:pPr>
        <w:spacing w:line="360" w:lineRule="auto"/>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采购文件的修改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8.1</w:t>
      </w:r>
      <w:r>
        <w:rPr>
          <w:rFonts w:hint="eastAsia" w:ascii="宋体" w:hAnsi="宋体" w:cs="宋体"/>
          <w:sz w:val="24"/>
          <w:szCs w:val="24"/>
          <w:highlight w:val="none"/>
        </w:rPr>
        <w:t>在投标截止时间的五天以前，无论出于何种原因，采购人和采购代理机构可主动地或在解答投标人提出的疑问时对采购文件进行修改。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8.2</w:t>
      </w:r>
      <w:r>
        <w:rPr>
          <w:rFonts w:hint="eastAsia" w:ascii="宋体" w:hAnsi="宋体" w:cs="宋体"/>
          <w:sz w:val="24"/>
          <w:szCs w:val="24"/>
          <w:highlight w:val="none"/>
        </w:rPr>
        <w:t>采购文件的修改将以书面形式通知所有已报名并购买了采购文件的投标人。投标人在收到该修改通知后，应于二十四小时内予以书面回复收悉。该修改通知的内容为采购文件的组成部分，具有约束作用。若投标人在规定时间内没有回复收悉并经采购代理机构催告后仍不作为的，视其投标已充分考虑了该修改通知的内容，并视为已放弃对该修改通知的内容收悉的质疑权。</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采购人或采购代理机构发出修改文件的时间距投标截止时间不足十五天的，在征得已获取采购文件的投标人同意并书面确认后，可不改变投标截止时间。所有修改和更正内容将同时在发布招标公告网站上发布。</w:t>
      </w:r>
    </w:p>
    <w:p>
      <w:pPr>
        <w:pStyle w:val="2"/>
        <w:rPr>
          <w:rFonts w:ascii="宋体" w:cs="宋体"/>
          <w:highlight w:val="none"/>
        </w:rPr>
      </w:pPr>
      <w:bookmarkStart w:id="3" w:name="_Toc517776507"/>
      <w:r>
        <w:rPr>
          <w:rFonts w:hint="eastAsia" w:ascii="宋体" w:hAnsi="宋体" w:cs="宋体"/>
          <w:highlight w:val="none"/>
        </w:rPr>
        <w:t>三、投标文件的编制</w:t>
      </w:r>
      <w:bookmarkEnd w:id="3"/>
    </w:p>
    <w:p>
      <w:pPr>
        <w:spacing w:line="360" w:lineRule="auto"/>
        <w:rPr>
          <w:rFonts w:asci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投标文件的语言和计量单位</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文件的语言：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投标文件的计量单位：除采购文件及其附件资料中有特殊要求外，投标文件中的所有计量单位均应采用中华人民共和国法定计量单位制，等同于国际单位制。</w:t>
      </w:r>
    </w:p>
    <w:p>
      <w:pPr>
        <w:spacing w:line="360" w:lineRule="auto"/>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rPr>
        <w:t>投标文件的组成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投标人编写的投标文件应包括下列部分（具体内容详见“第五章投标文件格式”）。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投标文件所提供的资料必须符合诚实信用、客观真实的原则，对弄虚作假或违背诚信的违法行为，应承担相应的后果及法律责任。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10.3</w:t>
      </w:r>
      <w:r>
        <w:rPr>
          <w:rFonts w:hint="eastAsia" w:ascii="宋体" w:hAnsi="宋体" w:cs="宋体"/>
          <w:b/>
          <w:sz w:val="24"/>
          <w:szCs w:val="24"/>
          <w:highlight w:val="none"/>
        </w:rPr>
        <w:t>投标人应按上述</w:t>
      </w:r>
      <w:r>
        <w:rPr>
          <w:rFonts w:ascii="宋体" w:hAnsi="宋体" w:cs="宋体"/>
          <w:b/>
          <w:sz w:val="24"/>
          <w:szCs w:val="24"/>
          <w:highlight w:val="none"/>
        </w:rPr>
        <w:t>2</w:t>
      </w:r>
      <w:r>
        <w:rPr>
          <w:rFonts w:hint="eastAsia" w:ascii="宋体" w:hAnsi="宋体" w:cs="宋体"/>
          <w:b/>
          <w:sz w:val="24"/>
          <w:szCs w:val="24"/>
          <w:highlight w:val="none"/>
        </w:rPr>
        <w:t>条的内容认真编写投标文件，并使用</w:t>
      </w:r>
      <w:r>
        <w:rPr>
          <w:rFonts w:ascii="宋体" w:hAnsi="宋体" w:cs="宋体"/>
          <w:b/>
          <w:sz w:val="24"/>
          <w:szCs w:val="24"/>
          <w:highlight w:val="none"/>
        </w:rPr>
        <w:t>A4</w:t>
      </w:r>
      <w:r>
        <w:rPr>
          <w:rFonts w:hint="eastAsia" w:ascii="宋体" w:hAnsi="宋体" w:cs="宋体"/>
          <w:b/>
          <w:sz w:val="24"/>
          <w:szCs w:val="24"/>
          <w:highlight w:val="none"/>
        </w:rPr>
        <w:t>规格纸张打印，按规定签字盖章后，将投标文件牢固装订成册（订口在长边，装订线应位于左侧）。投标文件必须编写目录页码（页码应连续），并牢固装订成册。牢固装订成册是指用适当的办法</w:t>
      </w:r>
      <w:r>
        <w:rPr>
          <w:rFonts w:ascii="宋体" w:cs="宋体"/>
          <w:b/>
          <w:sz w:val="24"/>
          <w:szCs w:val="24"/>
          <w:highlight w:val="none"/>
        </w:rPr>
        <w:t>,</w:t>
      </w:r>
      <w:r>
        <w:rPr>
          <w:rFonts w:hint="eastAsia" w:ascii="宋体" w:hAnsi="宋体" w:cs="宋体"/>
          <w:b/>
          <w:sz w:val="24"/>
          <w:szCs w:val="24"/>
          <w:highlight w:val="none"/>
        </w:rPr>
        <w:t>牢固紧密扎紧，以保证投标文件在翻阅过程中不至于散开或用简单办法不能将任何一页在没有任何损坏的情况下取出或插入。各种用活页夹、文件夹、塑料方便式书脊（插入式或穿孔式）装订均不认为是牢固装订。评标过程中由于投标文件没有牢固装订造成散落影响评标结果时，后果由投标企业自负。</w:t>
      </w:r>
    </w:p>
    <w:p>
      <w:pPr>
        <w:spacing w:line="360" w:lineRule="auto"/>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投标人应按采购文件附件中提供的“投标文件格式”填写“投标函”等附件。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11.2</w:t>
      </w:r>
      <w:r>
        <w:rPr>
          <w:rFonts w:hint="eastAsia" w:ascii="宋体" w:hAnsi="宋体" w:cs="宋体"/>
          <w:sz w:val="24"/>
          <w:szCs w:val="24"/>
          <w:highlight w:val="none"/>
        </w:rPr>
        <w:t>投标人不得将同一分包中的内容拆开投标，否则将导致其投标无效。</w:t>
      </w:r>
    </w:p>
    <w:p>
      <w:pPr>
        <w:spacing w:line="360" w:lineRule="auto"/>
        <w:rPr>
          <w:rFonts w:asci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投标货币要求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12.1</w:t>
      </w:r>
      <w:r>
        <w:rPr>
          <w:rFonts w:hint="eastAsia" w:ascii="宋体" w:hAnsi="宋体" w:cs="宋体"/>
          <w:sz w:val="24"/>
          <w:szCs w:val="24"/>
          <w:highlight w:val="none"/>
        </w:rPr>
        <w:t>除非采购文件另有规定或许可，投标人提供的所有工程、货物和服务均应以人民币进行报价。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采购文件除非另有规定的，否则只允许投标人提交一个投标方案</w:t>
      </w:r>
      <w:r>
        <w:rPr>
          <w:rFonts w:ascii="宋体" w:cs="宋体"/>
          <w:sz w:val="24"/>
          <w:szCs w:val="24"/>
          <w:highlight w:val="none"/>
        </w:rPr>
        <w:t>,</w:t>
      </w:r>
      <w:r>
        <w:rPr>
          <w:rFonts w:hint="eastAsia" w:ascii="宋体" w:hAnsi="宋体" w:cs="宋体"/>
          <w:sz w:val="24"/>
          <w:szCs w:val="24"/>
          <w:highlight w:val="none"/>
        </w:rPr>
        <w:t>任何有选择性的投标方案其投标将被视为无效投标。</w:t>
      </w:r>
    </w:p>
    <w:p>
      <w:pPr>
        <w:spacing w:line="360" w:lineRule="auto"/>
        <w:rPr>
          <w:rFonts w:ascii="宋体" w:cs="宋体"/>
          <w:sz w:val="24"/>
          <w:szCs w:val="24"/>
          <w:highlight w:val="none"/>
        </w:rPr>
      </w:pPr>
      <w:r>
        <w:rPr>
          <w:rFonts w:ascii="宋体" w:hAnsi="宋体" w:cs="宋体"/>
          <w:sz w:val="24"/>
          <w:szCs w:val="24"/>
          <w:highlight w:val="none"/>
        </w:rPr>
        <w:t>13.</w:t>
      </w:r>
      <w:r>
        <w:rPr>
          <w:rFonts w:hint="eastAsia" w:ascii="宋体" w:hAnsi="宋体" w:cs="宋体"/>
          <w:sz w:val="24"/>
          <w:szCs w:val="24"/>
          <w:highlight w:val="none"/>
        </w:rPr>
        <w:t>投标人资格的证明文件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13.1</w:t>
      </w:r>
      <w:r>
        <w:rPr>
          <w:rFonts w:hint="eastAsia" w:ascii="宋体" w:hAnsi="宋体" w:cs="宋体"/>
          <w:sz w:val="24"/>
          <w:szCs w:val="24"/>
          <w:highlight w:val="none"/>
        </w:rPr>
        <w:t>投标人应提交证明其有资格参加投标和中标后有能力履行合同的文件，并作为其投标文件的一部分。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13.2</w:t>
      </w:r>
      <w:r>
        <w:rPr>
          <w:rFonts w:hint="eastAsia" w:ascii="宋体" w:hAnsi="宋体" w:cs="宋体"/>
          <w:sz w:val="24"/>
          <w:szCs w:val="24"/>
          <w:highlight w:val="none"/>
        </w:rPr>
        <w:t>如果本次招标允许联合体参加投标，可根据投标人资格要求组成联合体。两个以上法人或者其他组织可以组成一个联合体，以一个投标人的身份共同投标。联合体各方均应当具备承担招标项目的相应能力；国家有关规定或者采购文件对投标人资格条件有规定的，联合体各方均应当具备规定的相应资格条件。由同一专业的单位组成的联合体，按照资质等级较低的单位确定资质等级。联合体各方应当签订共同投标协议，注明主办人，明确约定各方拟承担的工作和责任，并将共同投标协议连同投标文件一并提交采购代理机构。联合体中标的，联合体各方应当共同与采购人签订合同，就中标项目向采购人承担连带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13.3</w:t>
      </w:r>
      <w:r>
        <w:rPr>
          <w:rFonts w:hint="eastAsia" w:ascii="宋体" w:hAnsi="宋体" w:cs="宋体"/>
          <w:sz w:val="24"/>
          <w:szCs w:val="24"/>
          <w:highlight w:val="none"/>
        </w:rPr>
        <w:t>投标人应符合采购文件第一章中规定的投标人资格标准，资格证明文件必须真实有效。</w:t>
      </w:r>
    </w:p>
    <w:p>
      <w:pPr>
        <w:spacing w:line="360" w:lineRule="auto"/>
        <w:rPr>
          <w:rFonts w:ascii="宋体" w:cs="宋体"/>
          <w:sz w:val="24"/>
          <w:szCs w:val="24"/>
          <w:highlight w:val="none"/>
        </w:rPr>
      </w:pPr>
      <w:r>
        <w:rPr>
          <w:rFonts w:ascii="宋体" w:hAnsi="宋体" w:cs="宋体"/>
          <w:sz w:val="24"/>
          <w:szCs w:val="24"/>
          <w:highlight w:val="none"/>
        </w:rPr>
        <w:t>14.</w:t>
      </w:r>
      <w:r>
        <w:rPr>
          <w:rFonts w:hint="eastAsia" w:ascii="宋体" w:hAnsi="宋体" w:cs="宋体"/>
          <w:sz w:val="24"/>
          <w:szCs w:val="24"/>
          <w:highlight w:val="none"/>
        </w:rPr>
        <w:t>证明货物、服务或工程的合格性和符合采购文件规定的文件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14.1</w:t>
      </w:r>
      <w:r>
        <w:rPr>
          <w:rFonts w:hint="eastAsia" w:ascii="宋体" w:hAnsi="宋体" w:cs="宋体"/>
          <w:sz w:val="24"/>
          <w:szCs w:val="24"/>
          <w:highlight w:val="none"/>
        </w:rPr>
        <w:t>投标人应提交证明文件证明其拟供的合同项下的货物、服务或工程的合格性符合采购文件规定。该证明文件作为投标文件的一部分。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14.2</w:t>
      </w:r>
      <w:r>
        <w:rPr>
          <w:rFonts w:hint="eastAsia" w:ascii="宋体" w:hAnsi="宋体" w:cs="宋体"/>
          <w:sz w:val="24"/>
          <w:szCs w:val="24"/>
          <w:highlight w:val="none"/>
        </w:rPr>
        <w:t>证明货物、服务或工程与采购文件的要求相一致的文件，可以是文字资料、图纸和数据。</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14.3</w:t>
      </w:r>
      <w:r>
        <w:rPr>
          <w:rFonts w:hint="eastAsia" w:ascii="宋体" w:hAnsi="宋体" w:cs="宋体"/>
          <w:sz w:val="24"/>
          <w:szCs w:val="24"/>
          <w:highlight w:val="none"/>
        </w:rPr>
        <w:t>对照采购文件要求，逐条说明所提供的货物、服务或工程已对采购人的要求做出了实质性的响应，或申明与要求的偏差和例外。</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14.4</w:t>
      </w:r>
      <w:r>
        <w:rPr>
          <w:rFonts w:hint="eastAsia" w:ascii="宋体" w:hAnsi="宋体" w:cs="宋体"/>
          <w:sz w:val="24"/>
          <w:szCs w:val="24"/>
          <w:highlight w:val="none"/>
        </w:rPr>
        <w:t>评标委员会对投标人所提供的证明货物、服务或工程的合格性的文件进行审查，审查不合格的投标将认定为无效投标。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14.5</w:t>
      </w:r>
      <w:r>
        <w:rPr>
          <w:rFonts w:hint="eastAsia" w:ascii="宋体" w:hAnsi="宋体" w:cs="宋体"/>
          <w:sz w:val="24"/>
          <w:szCs w:val="24"/>
          <w:highlight w:val="none"/>
        </w:rPr>
        <w:t>投标人必须对投标文件所提供的全部资料的真实性承担法律责任，并无条件接受采购代理机构、采购人及政府采购监督管理部门等对其中任何资料进行核实的要求。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14.6</w:t>
      </w:r>
      <w:r>
        <w:rPr>
          <w:rFonts w:hint="eastAsia" w:ascii="宋体" w:hAnsi="宋体" w:cs="宋体"/>
          <w:sz w:val="24"/>
          <w:szCs w:val="24"/>
          <w:highlight w:val="none"/>
        </w:rPr>
        <w:t>如果因为投标人投标文件填报的内容不详，或没有提供采购文件中所要求的全部资料及数据，由此造成的后果，其责任由投标人承担。</w:t>
      </w:r>
    </w:p>
    <w:p>
      <w:pPr>
        <w:spacing w:line="360" w:lineRule="auto"/>
        <w:rPr>
          <w:rFonts w:ascii="宋体" w:cs="宋体"/>
          <w:sz w:val="24"/>
          <w:szCs w:val="24"/>
          <w:highlight w:val="none"/>
        </w:rPr>
      </w:pPr>
      <w:r>
        <w:rPr>
          <w:rFonts w:ascii="宋体" w:hAnsi="宋体" w:cs="宋体"/>
          <w:sz w:val="24"/>
          <w:szCs w:val="24"/>
          <w:highlight w:val="none"/>
        </w:rPr>
        <w:t>15.</w:t>
      </w:r>
      <w:r>
        <w:rPr>
          <w:rFonts w:hint="eastAsia" w:ascii="宋体" w:hAnsi="宋体" w:cs="宋体"/>
          <w:sz w:val="24"/>
          <w:szCs w:val="24"/>
          <w:highlight w:val="none"/>
        </w:rPr>
        <w:t>投标保证金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15.1</w:t>
      </w:r>
      <w:r>
        <w:rPr>
          <w:rFonts w:hint="eastAsia" w:ascii="宋体" w:hAnsi="宋体" w:cs="宋体"/>
          <w:sz w:val="24"/>
          <w:szCs w:val="24"/>
          <w:highlight w:val="none"/>
        </w:rPr>
        <w:t>投标人应向采购代理机构提交投标保证金金额为投标人须知前附表规定的数额，并作为其投标的一部分。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15.2</w:t>
      </w:r>
      <w:r>
        <w:rPr>
          <w:rFonts w:hint="eastAsia" w:ascii="宋体" w:hAnsi="宋体" w:cs="宋体"/>
          <w:sz w:val="24"/>
          <w:szCs w:val="24"/>
          <w:highlight w:val="none"/>
        </w:rPr>
        <w:t>投标保证金是为了保护采购代理机构和采购人免遭因投标人的行为而蒙受损失。采购代理机构和采购人在因投标人的行为受到损害时可根据本须知有关规定没收投标人的投标保证金。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投标保证金应用投标货币即人民币，并采用投标人须知前附表规定的形式提交。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15.4</w:t>
      </w:r>
      <w:r>
        <w:rPr>
          <w:rFonts w:hint="eastAsia" w:ascii="宋体" w:hAnsi="宋体" w:cs="宋体"/>
          <w:sz w:val="24"/>
          <w:szCs w:val="24"/>
          <w:highlight w:val="none"/>
        </w:rPr>
        <w:t>以上形式的保证金须在投标人须知前附表规定的时间之前到帐。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15.5</w:t>
      </w:r>
      <w:r>
        <w:rPr>
          <w:rFonts w:hint="eastAsia" w:ascii="宋体" w:hAnsi="宋体" w:cs="宋体"/>
          <w:sz w:val="24"/>
          <w:szCs w:val="24"/>
          <w:highlight w:val="none"/>
        </w:rPr>
        <w:t>投标保证金请按以下帐号提供：见投标人须知前附表。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15.6</w:t>
      </w:r>
      <w:r>
        <w:rPr>
          <w:rFonts w:hint="eastAsia" w:ascii="宋体" w:hAnsi="宋体" w:cs="宋体"/>
          <w:sz w:val="24"/>
          <w:szCs w:val="24"/>
          <w:highlight w:val="none"/>
        </w:rPr>
        <w:t>凡没有按照本须知规定随附有效的投标保证金的投标，应按本须知有关规定视为非响应性投标予以作为无效投标处理。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15.7</w:t>
      </w:r>
      <w:r>
        <w:rPr>
          <w:rFonts w:hint="eastAsia" w:ascii="宋体" w:hAnsi="宋体" w:cs="宋体"/>
          <w:sz w:val="24"/>
          <w:szCs w:val="24"/>
          <w:highlight w:val="none"/>
        </w:rPr>
        <w:t>未中标的投标人的投标保证金，将在中标人签订合同后三日内原额不计息退还投标人。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15.8</w:t>
      </w:r>
      <w:r>
        <w:rPr>
          <w:rFonts w:hint="eastAsia" w:ascii="宋体" w:hAnsi="宋体" w:cs="宋体"/>
          <w:sz w:val="24"/>
          <w:szCs w:val="24"/>
          <w:highlight w:val="none"/>
        </w:rPr>
        <w:t>中标人的投标保证金的退还，必须同时满足以下要求：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15.8.1</w:t>
      </w:r>
      <w:r>
        <w:rPr>
          <w:rFonts w:hint="eastAsia" w:ascii="宋体" w:hAnsi="宋体" w:cs="宋体"/>
          <w:sz w:val="24"/>
          <w:szCs w:val="24"/>
          <w:highlight w:val="none"/>
        </w:rPr>
        <w:t>中标人按投标人须知的规定签订合同。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w:t>
      </w:r>
      <w:r>
        <w:rPr>
          <w:rFonts w:hint="eastAsia" w:ascii="宋体" w:hAnsi="宋体" w:cs="宋体"/>
          <w:sz w:val="24"/>
          <w:szCs w:val="24"/>
          <w:highlight w:val="none"/>
        </w:rPr>
        <w:t>下列任何一种情况发生时，投标保证金将被没收：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15.9.1</w:t>
      </w:r>
      <w:r>
        <w:rPr>
          <w:rFonts w:hint="eastAsia" w:ascii="宋体" w:hAnsi="宋体" w:cs="宋体"/>
          <w:sz w:val="24"/>
          <w:szCs w:val="24"/>
          <w:highlight w:val="none"/>
        </w:rPr>
        <w:t>投标人在投标文件中响应的投标有效期内撤回其投标；</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15.9.2</w:t>
      </w:r>
      <w:r>
        <w:rPr>
          <w:rFonts w:hint="eastAsia" w:ascii="宋体" w:hAnsi="宋体" w:cs="宋体"/>
          <w:sz w:val="24"/>
          <w:szCs w:val="24"/>
          <w:highlight w:val="none"/>
        </w:rPr>
        <w:t>中标人在规定期限内未能根据投标人须知的规定签订合同；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15.9.3</w:t>
      </w:r>
      <w:r>
        <w:rPr>
          <w:rFonts w:hint="eastAsia" w:ascii="宋体" w:hAnsi="宋体" w:cs="宋体"/>
          <w:sz w:val="24"/>
          <w:szCs w:val="24"/>
          <w:highlight w:val="none"/>
        </w:rPr>
        <w:t>投标人有不真实投标或有违法违规行为的。</w:t>
      </w:r>
    </w:p>
    <w:p>
      <w:pPr>
        <w:spacing w:line="360" w:lineRule="auto"/>
        <w:rPr>
          <w:rFonts w:ascii="宋体" w:cs="宋体"/>
          <w:sz w:val="24"/>
          <w:szCs w:val="24"/>
          <w:highlight w:val="none"/>
        </w:rPr>
      </w:pPr>
      <w:r>
        <w:rPr>
          <w:rFonts w:ascii="宋体" w:hAnsi="宋体" w:cs="宋体"/>
          <w:sz w:val="24"/>
          <w:szCs w:val="24"/>
          <w:highlight w:val="none"/>
        </w:rPr>
        <w:t>16.</w:t>
      </w:r>
      <w:r>
        <w:rPr>
          <w:rFonts w:hint="eastAsia" w:ascii="宋体" w:hAnsi="宋体" w:cs="宋体"/>
          <w:sz w:val="24"/>
          <w:szCs w:val="24"/>
          <w:highlight w:val="none"/>
        </w:rPr>
        <w:t>投标的截止期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16.1</w:t>
      </w:r>
      <w:r>
        <w:rPr>
          <w:rFonts w:hint="eastAsia" w:ascii="宋体" w:hAnsi="宋体" w:cs="宋体"/>
          <w:sz w:val="24"/>
          <w:szCs w:val="24"/>
          <w:highlight w:val="none"/>
        </w:rPr>
        <w:t>超过截止时点后的投标为无效投标。</w:t>
      </w:r>
    </w:p>
    <w:p>
      <w:pPr>
        <w:spacing w:line="360" w:lineRule="auto"/>
        <w:rPr>
          <w:rFonts w:ascii="宋体" w:cs="宋体"/>
          <w:sz w:val="24"/>
          <w:szCs w:val="24"/>
          <w:highlight w:val="none"/>
        </w:rPr>
      </w:pPr>
      <w:r>
        <w:rPr>
          <w:rFonts w:ascii="宋体" w:hAnsi="宋体" w:cs="宋体"/>
          <w:sz w:val="24"/>
          <w:szCs w:val="24"/>
          <w:highlight w:val="none"/>
        </w:rPr>
        <w:t>17.</w:t>
      </w:r>
      <w:r>
        <w:rPr>
          <w:rFonts w:hint="eastAsia" w:ascii="宋体" w:hAnsi="宋体" w:cs="宋体"/>
          <w:sz w:val="24"/>
          <w:szCs w:val="24"/>
          <w:highlight w:val="none"/>
        </w:rPr>
        <w:t>投标有效期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17.1</w:t>
      </w:r>
      <w:r>
        <w:rPr>
          <w:rFonts w:hint="eastAsia" w:ascii="宋体" w:hAnsi="宋体" w:cs="宋体"/>
          <w:sz w:val="24"/>
          <w:szCs w:val="24"/>
          <w:highlight w:val="none"/>
        </w:rPr>
        <w:t>投标有效期为投标截止日期后投标人须知前附表规定的天数，投标人的投标文件应在投标有效期内保持有效。投标有效期不足的将被视为实质性不响应采购文件而被宣布无效投标。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17.2</w:t>
      </w:r>
      <w:r>
        <w:rPr>
          <w:rFonts w:hint="eastAsia" w:ascii="宋体" w:hAnsi="宋体" w:cs="宋体"/>
          <w:sz w:val="24"/>
          <w:szCs w:val="24"/>
          <w:highlight w:val="none"/>
        </w:rPr>
        <w:t>特殊情况下，在原投标有效期截止之前，采购人可要求投标人同意延长其投标有效期。这种要求和答复均应以书面形式提供。投标人可拒绝采购人的这种要求。接受延长投标有效期的投标人将不会被要求和允许修正其投标，而只会被要求相应的延长其投标保证金的有效期，在这种情况下，本须知有关投标保证金的退还和没收的规定将在延长了的有效期内继续有效。</w:t>
      </w:r>
    </w:p>
    <w:p>
      <w:pPr>
        <w:spacing w:line="360" w:lineRule="auto"/>
        <w:rPr>
          <w:rFonts w:ascii="宋体" w:cs="宋体"/>
          <w:sz w:val="24"/>
          <w:szCs w:val="24"/>
          <w:highlight w:val="none"/>
        </w:rPr>
      </w:pPr>
      <w:r>
        <w:rPr>
          <w:rFonts w:ascii="宋体" w:hAnsi="宋体" w:cs="宋体"/>
          <w:sz w:val="24"/>
          <w:szCs w:val="24"/>
          <w:highlight w:val="none"/>
        </w:rPr>
        <w:t>18.</w:t>
      </w:r>
      <w:r>
        <w:rPr>
          <w:rFonts w:hint="eastAsia" w:ascii="宋体" w:hAnsi="宋体" w:cs="宋体"/>
          <w:sz w:val="24"/>
          <w:szCs w:val="24"/>
          <w:highlight w:val="none"/>
        </w:rPr>
        <w:t>投标文件的编制和签署</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18.1</w:t>
      </w:r>
      <w:r>
        <w:rPr>
          <w:rFonts w:hint="eastAsia" w:ascii="宋体" w:hAnsi="宋体" w:cs="宋体"/>
          <w:sz w:val="24"/>
          <w:szCs w:val="24"/>
          <w:highlight w:val="none"/>
        </w:rPr>
        <w:t>投标文件应按照本须知有关规定内容及采购文件第五章“投标文件格式”的要求进行编写，并使用</w:t>
      </w:r>
      <w:r>
        <w:rPr>
          <w:rFonts w:ascii="宋体" w:hAnsi="宋体" w:cs="宋体"/>
          <w:sz w:val="24"/>
          <w:szCs w:val="24"/>
          <w:highlight w:val="none"/>
        </w:rPr>
        <w:t>A4</w:t>
      </w:r>
      <w:r>
        <w:rPr>
          <w:rFonts w:hint="eastAsia" w:ascii="宋体" w:hAnsi="宋体" w:cs="宋体"/>
          <w:sz w:val="24"/>
          <w:szCs w:val="24"/>
          <w:highlight w:val="none"/>
        </w:rPr>
        <w:t>规格纸张打印，按规定签字盖章后，将投标文件牢固装订成册（订口在长边，装订线应位于左侧）。投标文件必须编写目录页码（页码应连续），并牢固装订成册。牢固装订成册是指用适当的办法</w:t>
      </w:r>
      <w:r>
        <w:rPr>
          <w:rFonts w:ascii="宋体" w:cs="宋体"/>
          <w:sz w:val="24"/>
          <w:szCs w:val="24"/>
          <w:highlight w:val="none"/>
        </w:rPr>
        <w:t>,</w:t>
      </w:r>
      <w:r>
        <w:rPr>
          <w:rFonts w:hint="eastAsia" w:ascii="宋体" w:hAnsi="宋体" w:cs="宋体"/>
          <w:sz w:val="24"/>
          <w:szCs w:val="24"/>
          <w:highlight w:val="none"/>
        </w:rPr>
        <w:t>牢固紧密扎紧，以保证投标文件在翻阅过程中不至于散开或用简单办法不能将任何一页在没有任何损坏的情况下取出或插入。各种用活页夹、文件夹、塑料方便式书脊（插入式或穿孔式）装订均不认为是牢固装订。评标过程中由于投标文件没有牢固装订造成散落影响评标结果时，后果由投标企业自负。</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18.2</w:t>
      </w:r>
      <w:r>
        <w:rPr>
          <w:rFonts w:hint="eastAsia" w:ascii="宋体" w:hAnsi="宋体" w:cs="宋体"/>
          <w:sz w:val="24"/>
          <w:szCs w:val="24"/>
          <w:highlight w:val="none"/>
        </w:rPr>
        <w:t>投标文件中所引用的顺序和编号应与采购文件的要求相一致。投标人在具体的投标内容中应逐条进行回应，可以增加说明或描述性文字。投标文件对采购文件未提出异议的条款，均被视为接受和同意。投标文件与采购文件的任何差异之处，均应按本采购文件第五章投标文件格式中的《项目需求相应表》的格式在表中逐一说明。</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18.3</w:t>
      </w:r>
      <w:r>
        <w:rPr>
          <w:rFonts w:hint="eastAsia" w:ascii="宋体" w:hAnsi="宋体" w:cs="宋体"/>
          <w:sz w:val="24"/>
          <w:szCs w:val="24"/>
          <w:highlight w:val="none"/>
        </w:rPr>
        <w:t>投标人应编制投标文件正本和副本的数量详见投标人须知前附表。并在投标文件封面上清楚地标明“正本”或“副本”字样。若正本和副本、电子版（如有）不符，则以正本为准。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18.4</w:t>
      </w:r>
      <w:r>
        <w:rPr>
          <w:rFonts w:hint="eastAsia" w:ascii="宋体" w:hAnsi="宋体" w:cs="宋体"/>
          <w:sz w:val="24"/>
          <w:szCs w:val="24"/>
          <w:highlight w:val="none"/>
        </w:rPr>
        <w:t>投标文件的正本需打印或用不褪色墨水书写，并在封面及内容格式有提示的地方由投标人的法定代表人或经法定代表人正式授权的代表签字及加盖单位公章。如为授权代表签字，则须以第五章“投标文件格式”规定的格式出具“授权书”原件并附在投标文件中。投标文件的副本可采用签字盖章后的正本的复印件。所有投标文件（包括正本和副本）均须在封面和骑缝加盖公章，所有的复印件（包括正本中的投标资料）均应保证清晰可辨，否则评标委员会有权予以对其作出无效投标的认定。</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18.5</w:t>
      </w:r>
      <w:r>
        <w:rPr>
          <w:rFonts w:hint="eastAsia" w:ascii="宋体" w:hAnsi="宋体" w:cs="宋体"/>
          <w:sz w:val="24"/>
          <w:szCs w:val="24"/>
          <w:highlight w:val="none"/>
        </w:rPr>
        <w:t>投标文件中任何行间插字、涂改和增删，必须由投标文件签字人在旁边签字并加盖投标人公章后方为有效。</w:t>
      </w:r>
    </w:p>
    <w:p>
      <w:pPr>
        <w:pStyle w:val="2"/>
        <w:rPr>
          <w:rFonts w:ascii="宋体" w:cs="宋体"/>
          <w:highlight w:val="none"/>
        </w:rPr>
      </w:pPr>
      <w:bookmarkStart w:id="4" w:name="_Toc517776508"/>
      <w:r>
        <w:rPr>
          <w:rFonts w:hint="eastAsia" w:ascii="宋体" w:hAnsi="宋体" w:cs="宋体"/>
          <w:highlight w:val="none"/>
        </w:rPr>
        <w:t>四、投标文件的递交</w:t>
      </w:r>
      <w:bookmarkEnd w:id="4"/>
    </w:p>
    <w:p>
      <w:pPr>
        <w:spacing w:line="360" w:lineRule="auto"/>
        <w:rPr>
          <w:rFonts w:ascii="宋体" w:cs="宋体"/>
          <w:sz w:val="24"/>
          <w:szCs w:val="24"/>
          <w:highlight w:val="none"/>
        </w:rPr>
      </w:pPr>
      <w:r>
        <w:rPr>
          <w:rFonts w:ascii="宋体" w:hAnsi="宋体" w:cs="宋体"/>
          <w:sz w:val="24"/>
          <w:szCs w:val="24"/>
          <w:highlight w:val="none"/>
        </w:rPr>
        <w:t>19.</w:t>
      </w:r>
      <w:r>
        <w:rPr>
          <w:rFonts w:hint="eastAsia" w:ascii="宋体" w:hAnsi="宋体" w:cs="宋体"/>
          <w:sz w:val="24"/>
          <w:szCs w:val="24"/>
          <w:highlight w:val="none"/>
        </w:rPr>
        <w:t>投标文件的密封、标记和递交</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19.1</w:t>
      </w:r>
      <w:r>
        <w:rPr>
          <w:rFonts w:hint="eastAsia" w:ascii="宋体" w:hAnsi="宋体" w:cs="宋体"/>
          <w:sz w:val="24"/>
          <w:szCs w:val="24"/>
          <w:highlight w:val="none"/>
        </w:rPr>
        <w:t>投标人可将投标文件正本和所有的副本分别用密封袋密封，亦可将所有的投标文件装在同一密封袋中密封；无论如何密封，所有密封袋的封口处均须骑缝加盖投标人公章，并按格式要求标注密封袋封面，否则其投标将被拒绝（投标文件密封袋封面格式见第五章投标文件格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19.2</w:t>
      </w:r>
      <w:r>
        <w:rPr>
          <w:rFonts w:hint="eastAsia" w:ascii="宋体" w:hAnsi="宋体" w:cs="宋体"/>
          <w:sz w:val="24"/>
          <w:szCs w:val="24"/>
          <w:highlight w:val="none"/>
        </w:rPr>
        <w:t>所有的密封包装外均应注明以下内容：</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）清楚标明递交至：新疆华域建设工程项目管理咨询有限公司</w:t>
      </w:r>
    </w:p>
    <w:p>
      <w:pPr>
        <w:spacing w:line="360" w:lineRule="auto"/>
        <w:ind w:left="240" w:hanging="240" w:hanging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）项目名称、项目编号、所投包号、投标文件内容名称（“开标一览表”、“投标文件”、“正本”、“副本”）；</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）“在年月日时分（注：指开标时间）之前不得启封”的字样；</w:t>
      </w:r>
    </w:p>
    <w:p>
      <w:pPr>
        <w:spacing w:line="360" w:lineRule="auto"/>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）投标人名称和地址，以便若其投标被宣布为“迟到”投标时，能原封退回。</w:t>
      </w:r>
    </w:p>
    <w:p>
      <w:pPr>
        <w:spacing w:line="360" w:lineRule="auto"/>
        <w:ind w:left="480" w:hanging="480" w:hanging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）如果投标文件未能按上述要求进行密封包装和加写标记，则采购人及采购代理机构将拒绝接收受理。</w:t>
      </w:r>
    </w:p>
    <w:p>
      <w:pPr>
        <w:spacing w:line="360" w:lineRule="auto"/>
        <w:rPr>
          <w:rFonts w:ascii="宋体" w:cs="宋体"/>
          <w:sz w:val="24"/>
          <w:szCs w:val="24"/>
          <w:highlight w:val="none"/>
        </w:rPr>
      </w:pPr>
      <w:r>
        <w:rPr>
          <w:rFonts w:ascii="宋体" w:hAnsi="宋体" w:cs="宋体"/>
          <w:sz w:val="24"/>
          <w:szCs w:val="24"/>
          <w:highlight w:val="none"/>
        </w:rPr>
        <w:t>20.</w:t>
      </w:r>
      <w:r>
        <w:rPr>
          <w:rFonts w:hint="eastAsia" w:ascii="宋体" w:hAnsi="宋体" w:cs="宋体"/>
          <w:sz w:val="24"/>
          <w:szCs w:val="24"/>
          <w:highlight w:val="none"/>
        </w:rPr>
        <w:t>投标截止时间及投标地址</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投标截止时间及投标地址详见第一章竞争性磋商公告的规定。</w:t>
      </w:r>
    </w:p>
    <w:p>
      <w:pPr>
        <w:spacing w:line="360" w:lineRule="auto"/>
        <w:ind w:left="239" w:leftChars="114"/>
        <w:rPr>
          <w:rFonts w:ascii="宋体" w:cs="宋体"/>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采购人及采购代理机构将拒绝受理迟于投标截止时间送达的投标文件，亦不受理未按规定的投标地址送达的投标文件。</w:t>
      </w:r>
    </w:p>
    <w:p>
      <w:pPr>
        <w:spacing w:line="360" w:lineRule="auto"/>
        <w:ind w:left="239" w:leftChars="114"/>
        <w:rPr>
          <w:rFonts w:ascii="宋体" w:cs="宋体"/>
          <w:sz w:val="24"/>
          <w:szCs w:val="24"/>
          <w:highlight w:val="none"/>
        </w:rPr>
      </w:pPr>
      <w:r>
        <w:rPr>
          <w:rFonts w:ascii="宋体" w:hAnsi="宋体" w:cs="宋体"/>
          <w:sz w:val="24"/>
          <w:szCs w:val="24"/>
          <w:highlight w:val="none"/>
        </w:rPr>
        <w:t>20.3</w:t>
      </w:r>
      <w:r>
        <w:rPr>
          <w:rFonts w:hint="eastAsia" w:ascii="宋体" w:hAnsi="宋体" w:cs="宋体"/>
          <w:sz w:val="24"/>
          <w:szCs w:val="24"/>
          <w:highlight w:val="none"/>
        </w:rPr>
        <w:t>根据本须知“采购文件的修改”规定，采购人有权通过修改采购文件而适当延长投标截止时间。在此情况下，采购人和投标人受投标截止时间制约的所有权利和义务均应延长至新的截止时间。</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20.4</w:t>
      </w:r>
      <w:r>
        <w:rPr>
          <w:rFonts w:hint="eastAsia" w:ascii="宋体" w:hAnsi="宋体" w:cs="宋体"/>
          <w:sz w:val="24"/>
          <w:szCs w:val="24"/>
          <w:highlight w:val="none"/>
        </w:rPr>
        <w:t>采购代理机构于开标截止时间前见投标人须知前附表开始接收投标文件。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20.5</w:t>
      </w:r>
      <w:r>
        <w:rPr>
          <w:rFonts w:hint="eastAsia" w:ascii="宋体" w:hAnsi="宋体" w:cs="宋体"/>
          <w:sz w:val="24"/>
          <w:szCs w:val="24"/>
          <w:highlight w:val="none"/>
        </w:rPr>
        <w:t>投标人代表以密封包装当面递交，不接受邮递方式或第三方转交方式。</w:t>
      </w:r>
    </w:p>
    <w:p>
      <w:pPr>
        <w:spacing w:line="360" w:lineRule="auto"/>
        <w:rPr>
          <w:rFonts w:ascii="宋体" w:cs="宋体"/>
          <w:sz w:val="24"/>
          <w:szCs w:val="24"/>
          <w:highlight w:val="none"/>
        </w:rPr>
      </w:pPr>
      <w:r>
        <w:rPr>
          <w:rFonts w:ascii="宋体" w:hAnsi="宋体" w:cs="宋体"/>
          <w:sz w:val="24"/>
          <w:szCs w:val="24"/>
          <w:highlight w:val="none"/>
        </w:rPr>
        <w:t>21.</w:t>
      </w:r>
      <w:r>
        <w:rPr>
          <w:rFonts w:hint="eastAsia" w:ascii="宋体" w:hAnsi="宋体" w:cs="宋体"/>
          <w:sz w:val="24"/>
          <w:szCs w:val="24"/>
          <w:highlight w:val="none"/>
        </w:rPr>
        <w:t>迟到的投标文件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采购人将拒绝并原封退回本次招标投标截止时间后收到的任何投标文件。</w:t>
      </w:r>
    </w:p>
    <w:p>
      <w:pPr>
        <w:spacing w:line="360" w:lineRule="auto"/>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投标文件的修改与撤回</w:t>
      </w:r>
    </w:p>
    <w:p>
      <w:pPr>
        <w:spacing w:line="360" w:lineRule="auto"/>
        <w:ind w:left="239" w:leftChars="114"/>
        <w:rPr>
          <w:rFonts w:ascii="宋体" w:cs="宋体"/>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投标人在投标截止时间前，可对所递交的投标文件进行补充、修改或者撤回，并书面通知招标采购单位。补充、修改的内容应当按采购文件要求签署、盖章，并作为投标文件的组成部分。在投标截止时点之后，投标人不得对其投标文件做任何修改和补充。</w:t>
      </w:r>
    </w:p>
    <w:p>
      <w:pPr>
        <w:spacing w:line="360" w:lineRule="auto"/>
        <w:ind w:left="239" w:leftChars="114"/>
        <w:rPr>
          <w:rFonts w:ascii="宋体" w:cs="宋体"/>
          <w:sz w:val="24"/>
          <w:szCs w:val="24"/>
          <w:highlight w:val="none"/>
        </w:rPr>
      </w:pPr>
      <w:r>
        <w:rPr>
          <w:rFonts w:ascii="宋体" w:hAnsi="宋体" w:cs="宋体"/>
          <w:sz w:val="24"/>
          <w:szCs w:val="24"/>
          <w:highlight w:val="none"/>
        </w:rPr>
        <w:t>22.2</w:t>
      </w:r>
      <w:r>
        <w:rPr>
          <w:rFonts w:hint="eastAsia" w:ascii="宋体" w:hAnsi="宋体" w:cs="宋体"/>
          <w:sz w:val="24"/>
          <w:szCs w:val="24"/>
          <w:highlight w:val="none"/>
        </w:rPr>
        <w:t>投标人在递交投标文件后，可以撤回其投标，但投标人必须在规定的投标截止时点前以书面形式告知采购代理机构。</w:t>
      </w:r>
    </w:p>
    <w:p>
      <w:pPr>
        <w:spacing w:line="360" w:lineRule="auto"/>
        <w:ind w:left="239" w:leftChars="114"/>
        <w:rPr>
          <w:rFonts w:ascii="宋体" w:cs="宋体"/>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从投标截止期至投标人在投标函格式中确定的投标有效期期满这段时间内，投标人不得撤回其投标，否则其投标保证金将按照本须知的规定被没收。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22.4</w:t>
      </w:r>
      <w:r>
        <w:rPr>
          <w:rFonts w:hint="eastAsia" w:ascii="宋体" w:hAnsi="宋体" w:cs="宋体"/>
          <w:sz w:val="24"/>
          <w:szCs w:val="24"/>
          <w:highlight w:val="none"/>
        </w:rPr>
        <w:t>投标人所提交的投标文件在评标结束后，无论中标与否都不退还。</w:t>
      </w:r>
    </w:p>
    <w:p>
      <w:pPr>
        <w:pStyle w:val="2"/>
        <w:rPr>
          <w:rFonts w:ascii="宋体" w:cs="宋体"/>
          <w:highlight w:val="none"/>
        </w:rPr>
      </w:pPr>
      <w:bookmarkStart w:id="5" w:name="_Toc517776509"/>
      <w:r>
        <w:rPr>
          <w:rFonts w:hint="eastAsia" w:ascii="宋体" w:hAnsi="宋体" w:cs="宋体"/>
          <w:highlight w:val="none"/>
        </w:rPr>
        <w:t>五、开标、评标和定标</w:t>
      </w:r>
      <w:bookmarkEnd w:id="5"/>
    </w:p>
    <w:p>
      <w:pPr>
        <w:spacing w:line="360" w:lineRule="auto"/>
        <w:rPr>
          <w:rFonts w:ascii="宋体" w:cs="宋体"/>
          <w:sz w:val="24"/>
          <w:szCs w:val="24"/>
          <w:highlight w:val="none"/>
        </w:rPr>
      </w:pPr>
      <w:r>
        <w:rPr>
          <w:rFonts w:ascii="宋体" w:hAnsi="宋体" w:cs="宋体"/>
          <w:sz w:val="24"/>
          <w:szCs w:val="24"/>
          <w:highlight w:val="none"/>
        </w:rPr>
        <w:t>23.</w:t>
      </w:r>
      <w:r>
        <w:rPr>
          <w:rFonts w:hint="eastAsia" w:ascii="宋体" w:hAnsi="宋体" w:cs="宋体"/>
          <w:sz w:val="24"/>
          <w:szCs w:val="24"/>
          <w:highlight w:val="none"/>
        </w:rPr>
        <w:t>开标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23.1</w:t>
      </w:r>
      <w:r>
        <w:rPr>
          <w:rFonts w:hint="eastAsia" w:ascii="宋体" w:hAnsi="宋体" w:cs="宋体"/>
          <w:sz w:val="24"/>
          <w:szCs w:val="24"/>
          <w:highlight w:val="none"/>
        </w:rPr>
        <w:t>采购代理机构在《招标招标公告》中规定的日期、时间和地点组织开标。投标人代表及被邀请的有关代表均应依时参加。参加开标的代表应签到以证明其出席。</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23.2</w:t>
      </w:r>
      <w:r>
        <w:rPr>
          <w:rFonts w:hint="eastAsia" w:ascii="宋体" w:hAnsi="宋体" w:cs="宋体"/>
          <w:sz w:val="24"/>
          <w:szCs w:val="24"/>
          <w:highlight w:val="none"/>
        </w:rPr>
        <w:t>投标人代表必须按照投标人须知前附表规定的要求参加开标会议。</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23.3</w:t>
      </w:r>
      <w:r>
        <w:rPr>
          <w:rFonts w:hint="eastAsia" w:ascii="宋体" w:hAnsi="宋体" w:cs="宋体"/>
          <w:sz w:val="24"/>
          <w:szCs w:val="24"/>
          <w:highlight w:val="none"/>
        </w:rPr>
        <w:t>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文件的其他主要内容和采购文件允许提供的备选投标方案。</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23.4</w:t>
      </w:r>
      <w:r>
        <w:rPr>
          <w:rFonts w:hint="eastAsia" w:ascii="宋体" w:hAnsi="宋体" w:cs="宋体"/>
          <w:sz w:val="24"/>
          <w:szCs w:val="24"/>
          <w:highlight w:val="none"/>
        </w:rPr>
        <w:t>除了按照本须知“迟到的投标文件”规定原封退回迟到的投标之外，开标时将不得拒绝任何投标。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23.5</w:t>
      </w:r>
      <w:r>
        <w:rPr>
          <w:rFonts w:hint="eastAsia" w:ascii="宋体" w:hAnsi="宋体" w:cs="宋体"/>
          <w:sz w:val="24"/>
          <w:szCs w:val="24"/>
          <w:highlight w:val="none"/>
        </w:rPr>
        <w:t>在开标时没有启封和读出的投标文件（包括按照本须知投标文件的修改与撤回递交的修改书），在评标时将不予考虑。没有启封和读出的投标文件将原封退回给投标人。</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23.6</w:t>
      </w:r>
      <w:r>
        <w:rPr>
          <w:rFonts w:hint="eastAsia" w:ascii="宋体" w:hAnsi="宋体" w:cs="宋体"/>
          <w:sz w:val="24"/>
          <w:szCs w:val="24"/>
          <w:highlight w:val="none"/>
        </w:rPr>
        <w:t>采购代理机构将在开标记录表上记录唱标内容，并当场公示。如开标记录表上内容与投标文件不一致时，投标人代表须当场提出。开标记录表由记录人、唱标人、投标人代表和有关人员共同签字确认。</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23.7</w:t>
      </w:r>
      <w:r>
        <w:rPr>
          <w:rFonts w:hint="eastAsia" w:ascii="宋体" w:hAnsi="宋体" w:cs="宋体"/>
          <w:sz w:val="24"/>
          <w:szCs w:val="24"/>
          <w:highlight w:val="none"/>
        </w:rPr>
        <w:t>磋商程序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、代理机构按竞争性磋商文件规定的时间、地点组织开标、磋商。采购单位代表及有关工作人员参加，政府采购监管部门视情况参与。</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、供应商应委派法人或授权代表磋商活动，参加磋商的人员须持本人身份证原件签名报到，授权代表还需提供法人授权委托书。</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开标会议由代理机构主持。开标时，由监督人员对供应商的资格条件、磋商保证金提交等内容进行审查，在监督人员的监督下由供应商检查响应文件的密封。对检查未通过的，采购人将拒绝并原封退回其响应文件。</w:t>
      </w:r>
      <w:r>
        <w:rPr>
          <w:rFonts w:ascii="宋体" w:hAnsi="宋体" w:cs="宋体"/>
          <w:sz w:val="24"/>
          <w:szCs w:val="24"/>
          <w:highlight w:val="none"/>
        </w:rPr>
        <w:t xml:space="preserve"> </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、磋商会议由磋商小组组长主持。磋商小组首先对各响应文件进行初步审查，初步审查包括资格性审查和符合性审查，未通过审查的为无效标。</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⑴资格性检查：磋商小组将根据法律法规和竞争性磋商文件的规定，对响应文件的资格证明文件、磋商保证金等进行审查，以确定供应商是否具备竞争性磋商资格。</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、磋商小组判断“响应文件”的响应性，仅基于“响应文件”本身而不靠外部证据。对非实质性响应的响应文件，供应商不能通过修正或撤销不符之处，而使其成为实质性响应。</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、磋商小组根据竞争性磋商文件要求，讨论、通过磋商工作流程和磋商要点。</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、采购人按照投标人签到逆顺序通知有效供应商磋商。</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参与二次报价及服务承诺的人员须是供应商法定代表人或其授权代表（核对身份证）。</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、围绕磋商要点，磋商小组全体成员集中与单一供应商分别进行磋商，逐家磋商一次为一个轮次，磋商轮次原则上为两轮，具体由磋商小组视情况决定。</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、竞争性磋商文件有较大变动的，磋商小组将以书面形式通知所有参加磋商的供应商。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10</w:t>
      </w:r>
      <w:r>
        <w:rPr>
          <w:rFonts w:hint="eastAsia" w:ascii="宋体" w:hAnsi="宋体" w:cs="宋体"/>
          <w:sz w:val="24"/>
          <w:szCs w:val="24"/>
          <w:highlight w:val="none"/>
        </w:rPr>
        <w:t>、供应商未及时参与磋商的，视为自动放弃参与磋商的资格</w:t>
      </w:r>
      <w:r>
        <w:rPr>
          <w:rFonts w:ascii="宋体" w:hAnsi="宋体" w:cs="宋体"/>
          <w:sz w:val="24"/>
          <w:szCs w:val="24"/>
          <w:highlight w:val="none"/>
        </w:rPr>
        <w:t xml:space="preserve"> </w:t>
      </w:r>
    </w:p>
    <w:p>
      <w:pPr>
        <w:spacing w:line="360" w:lineRule="auto"/>
        <w:ind w:firstLine="240" w:firstLineChars="100"/>
        <w:rPr>
          <w:rFonts w:ascii="宋体" w:cs="宋体"/>
          <w:b/>
          <w:sz w:val="24"/>
          <w:szCs w:val="24"/>
          <w:highlight w:val="none"/>
        </w:rPr>
      </w:pPr>
      <w:r>
        <w:rPr>
          <w:rFonts w:hint="eastAsia" w:ascii="宋体" w:hAnsi="宋体" w:cs="宋体"/>
          <w:sz w:val="24"/>
          <w:szCs w:val="24"/>
          <w:highlight w:val="none"/>
        </w:rPr>
        <w:t>磋商结束后，磋商小组将要求所有有效供应商在规定时间内提交最终报价及服务承诺</w:t>
      </w:r>
    </w:p>
    <w:p>
      <w:pPr>
        <w:spacing w:line="360" w:lineRule="auto"/>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评标委员会的组成及评审工作要求</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24.1</w:t>
      </w:r>
      <w:r>
        <w:rPr>
          <w:rFonts w:hint="eastAsia" w:ascii="宋体" w:hAnsi="宋体" w:cs="宋体"/>
          <w:sz w:val="24"/>
          <w:szCs w:val="24"/>
          <w:highlight w:val="none"/>
        </w:rPr>
        <w:t>评标由采购代理机构依照政府采购法律、法规、规章、政策的规定，组建的评标委员会负责。评标委员会成员由采购人代表和（技术、经济等）方面的评审专家组成，采购人代表人数、专家人数及专业构成按政府采购规定确定。评标委员会成员依法从政府采购专家库中随机抽取。</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24.2</w:t>
      </w:r>
      <w:r>
        <w:rPr>
          <w:rFonts w:hint="eastAsia" w:ascii="宋体" w:hAnsi="宋体" w:cs="宋体"/>
          <w:sz w:val="24"/>
          <w:szCs w:val="24"/>
          <w:highlight w:val="none"/>
        </w:rPr>
        <w:t>评标委员会将按照采购文件确定的评标方法进行评标。评标委员会对投标文件的评审分为符合性检查和商务评审、技术评审、价格评审。</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24.3</w:t>
      </w:r>
      <w:r>
        <w:rPr>
          <w:rFonts w:hint="eastAsia" w:ascii="宋体" w:hAnsi="宋体" w:cs="宋体"/>
          <w:sz w:val="24"/>
          <w:szCs w:val="24"/>
          <w:highlight w:val="none"/>
        </w:rPr>
        <w:t>评标委员会将本着公平、公正、科学、择优的原则，严格按照法律法规和采购文件的要求推荐评审结果。如发现评标委员会的工作明显偏离采购文件的要求，或违反国家法律法规，采购人和采购代理机构可会同监管部门有权解散评标委员会，重新组织招标或评标。</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24.4</w:t>
      </w:r>
      <w:r>
        <w:rPr>
          <w:rFonts w:hint="eastAsia" w:ascii="宋体" w:hAnsi="宋体" w:cs="宋体"/>
          <w:sz w:val="24"/>
          <w:szCs w:val="24"/>
          <w:highlight w:val="none"/>
        </w:rPr>
        <w:t>评审期间，采购人、采购代理机构、评标委员会不得对采购文件中一些涉及竞争的公平、公正性重要内容进行现场临时修改调整，也不得单独与投标人进行联系接触。</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24.5</w:t>
      </w:r>
      <w:r>
        <w:rPr>
          <w:rFonts w:hint="eastAsia" w:ascii="宋体" w:hAnsi="宋体" w:cs="宋体"/>
          <w:sz w:val="24"/>
          <w:szCs w:val="24"/>
          <w:highlight w:val="none"/>
        </w:rPr>
        <w:t>评标委员会判断投标文件的有效性、合格性和响应情况，仅依赖于投标人最基本的商业诚信和所递交一切文件的真实表述，不额外主动寻求外部证据，不受与本项目无直接关联的外部信息、传言而影响自身的专业判断。</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24.6</w:t>
      </w:r>
      <w:r>
        <w:rPr>
          <w:rFonts w:hint="eastAsia" w:ascii="宋体" w:hAnsi="宋体" w:cs="宋体"/>
          <w:sz w:val="24"/>
          <w:szCs w:val="24"/>
          <w:highlight w:val="none"/>
        </w:rPr>
        <w:t>如对采购文件、投标文件及相关补充文件的理解存有歧义时，评标委员会可对这些文件或向有关方面进行查证了解质询，并通过集体讨论或表决达成一致处理意见。任何形式的决定，须以合法公正和有利于项目的安全顺利实施为前提。</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24.7</w:t>
      </w:r>
      <w:r>
        <w:rPr>
          <w:rFonts w:hint="eastAsia" w:ascii="宋体" w:hAnsi="宋体" w:cs="宋体"/>
          <w:sz w:val="24"/>
          <w:szCs w:val="24"/>
          <w:highlight w:val="none"/>
        </w:rPr>
        <w:t>评标委员会只就投标文件中所载明的情况进行评审，严格按照采购文件规定的评标方法和评标标准进行评标，独立对每个有效投标人的投标文件进行评价、打分。</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24.8</w:t>
      </w:r>
      <w:r>
        <w:rPr>
          <w:rFonts w:hint="eastAsia" w:ascii="宋体" w:hAnsi="宋体" w:cs="宋体"/>
          <w:sz w:val="24"/>
          <w:szCs w:val="24"/>
          <w:highlight w:val="none"/>
        </w:rPr>
        <w:t>评分按四舍五入的原则精确至小数点后两位。</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24.9</w:t>
      </w:r>
      <w:r>
        <w:rPr>
          <w:rFonts w:hint="eastAsia" w:ascii="宋体" w:hAnsi="宋体" w:cs="宋体"/>
          <w:sz w:val="24"/>
          <w:szCs w:val="24"/>
          <w:highlight w:val="none"/>
        </w:rPr>
        <w:t>评标委员会不向投标人退还投标文件。</w:t>
      </w:r>
    </w:p>
    <w:p>
      <w:pPr>
        <w:spacing w:line="360" w:lineRule="auto"/>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投标文件初审</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初审分为资格性审查和符合性审查。</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资格性审查：依据法律法规和采购文件的规定，对照采购文件中“投标人资格要求”的内容进行审查，以确定投标人是否符合投标资格。</w:t>
      </w:r>
    </w:p>
    <w:tbl>
      <w:tblPr>
        <w:tblStyle w:val="36"/>
        <w:tblpPr w:leftFromText="180" w:rightFromText="180" w:vertAnchor="text" w:horzAnchor="page" w:tblpX="1612" w:tblpY="475"/>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225" w:type="dxa"/>
            <w:gridSpan w:val="2"/>
            <w:vAlign w:val="center"/>
          </w:tcPr>
          <w:p>
            <w:pPr>
              <w:jc w:val="center"/>
              <w:rPr>
                <w:rFonts w:ascii="宋体"/>
                <w:sz w:val="24"/>
                <w:szCs w:val="24"/>
                <w:highlight w:val="none"/>
              </w:rPr>
            </w:pPr>
            <w:r>
              <w:rPr>
                <w:rFonts w:hint="eastAsia" w:ascii="宋体" w:hAnsi="宋体"/>
                <w:sz w:val="24"/>
                <w:szCs w:val="24"/>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pPr>
              <w:jc w:val="center"/>
              <w:rPr>
                <w:rFonts w:ascii="宋体"/>
                <w:sz w:val="24"/>
                <w:szCs w:val="24"/>
                <w:highlight w:val="none"/>
              </w:rPr>
            </w:pPr>
            <w:r>
              <w:rPr>
                <w:rFonts w:hint="eastAsia" w:ascii="宋体" w:hAnsi="宋体"/>
                <w:sz w:val="24"/>
                <w:szCs w:val="24"/>
                <w:highlight w:val="none"/>
              </w:rPr>
              <w:t>序号</w:t>
            </w:r>
          </w:p>
        </w:tc>
        <w:tc>
          <w:tcPr>
            <w:tcW w:w="8385" w:type="dxa"/>
            <w:vAlign w:val="center"/>
          </w:tcPr>
          <w:p>
            <w:pPr>
              <w:ind w:firstLine="3120" w:firstLineChars="1300"/>
              <w:rPr>
                <w:rFonts w:ascii="宋体"/>
                <w:sz w:val="24"/>
                <w:szCs w:val="24"/>
                <w:highlight w:val="none"/>
              </w:rPr>
            </w:pPr>
            <w:r>
              <w:rPr>
                <w:rFonts w:hint="eastAsia" w:ascii="宋体" w:hAnsi="宋体"/>
                <w:sz w:val="24"/>
                <w:szCs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40" w:type="dxa"/>
            <w:vAlign w:val="center"/>
          </w:tcPr>
          <w:p>
            <w:pPr>
              <w:jc w:val="center"/>
              <w:rPr>
                <w:rFonts w:ascii="宋体"/>
                <w:sz w:val="24"/>
                <w:szCs w:val="24"/>
                <w:highlight w:val="none"/>
              </w:rPr>
            </w:pPr>
            <w:r>
              <w:rPr>
                <w:rFonts w:ascii="宋体" w:hAnsi="宋体"/>
                <w:sz w:val="24"/>
                <w:szCs w:val="24"/>
                <w:highlight w:val="none"/>
              </w:rPr>
              <w:t>1</w:t>
            </w:r>
          </w:p>
        </w:tc>
        <w:tc>
          <w:tcPr>
            <w:tcW w:w="8385" w:type="dxa"/>
            <w:vAlign w:val="center"/>
          </w:tcPr>
          <w:p>
            <w:pPr>
              <w:jc w:val="center"/>
              <w:rPr>
                <w:rFonts w:ascii="宋体"/>
                <w:sz w:val="24"/>
                <w:szCs w:val="24"/>
                <w:highlight w:val="none"/>
              </w:rPr>
            </w:pPr>
            <w:r>
              <w:rPr>
                <w:rFonts w:hint="eastAsia" w:ascii="宋体" w:hAnsi="宋体"/>
                <w:sz w:val="24"/>
                <w:szCs w:val="24"/>
                <w:highlight w:val="none"/>
              </w:rPr>
              <w:t>法定代表人授权委托书原件及被授权人《居民身份证》原件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40" w:type="dxa"/>
            <w:vAlign w:val="center"/>
          </w:tcPr>
          <w:p>
            <w:pPr>
              <w:jc w:val="center"/>
              <w:rPr>
                <w:rFonts w:ascii="宋体"/>
                <w:sz w:val="24"/>
                <w:szCs w:val="24"/>
                <w:highlight w:val="none"/>
              </w:rPr>
            </w:pPr>
            <w:r>
              <w:rPr>
                <w:rFonts w:ascii="宋体" w:hAnsi="宋体"/>
                <w:sz w:val="24"/>
                <w:szCs w:val="24"/>
                <w:highlight w:val="none"/>
              </w:rPr>
              <w:t>2</w:t>
            </w:r>
          </w:p>
        </w:tc>
        <w:tc>
          <w:tcPr>
            <w:tcW w:w="8385" w:type="dxa"/>
            <w:vAlign w:val="center"/>
          </w:tcPr>
          <w:p>
            <w:pPr>
              <w:jc w:val="center"/>
              <w:rPr>
                <w:rFonts w:ascii="宋体"/>
                <w:sz w:val="24"/>
                <w:szCs w:val="24"/>
                <w:highlight w:val="none"/>
              </w:rPr>
            </w:pPr>
            <w:r>
              <w:rPr>
                <w:rFonts w:hint="eastAsia" w:ascii="宋体" w:hAnsi="宋体"/>
                <w:sz w:val="24"/>
                <w:szCs w:val="24"/>
                <w:highlight w:val="none"/>
              </w:rPr>
              <w:t>“三证合一”的企业法人营业执照原件</w:t>
            </w:r>
          </w:p>
        </w:tc>
      </w:tr>
    </w:tbl>
    <w:p>
      <w:pPr>
        <w:spacing w:line="360" w:lineRule="auto"/>
        <w:rPr>
          <w:rFonts w:ascii="宋体" w:cs="宋体"/>
          <w:sz w:val="24"/>
          <w:szCs w:val="24"/>
          <w:highlight w:val="none"/>
        </w:rPr>
      </w:pPr>
    </w:p>
    <w:p>
      <w:pPr>
        <w:spacing w:line="360" w:lineRule="auto"/>
        <w:ind w:firstLine="480" w:firstLineChars="200"/>
        <w:rPr>
          <w:rFonts w:ascii="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符合性审查：</w:t>
      </w:r>
      <w:r>
        <w:rPr>
          <w:rFonts w:hint="eastAsia" w:ascii="宋体" w:hAnsi="宋体"/>
          <w:sz w:val="24"/>
          <w:szCs w:val="24"/>
          <w:highlight w:val="none"/>
        </w:rPr>
        <w:t>依据采购文件的规定，从投标文件的有效性、完整性和对采购文件的响应程度进行审查，以确定是否对采购文件的实质性要求作出响应。</w:t>
      </w:r>
    </w:p>
    <w:p>
      <w:pPr>
        <w:spacing w:line="360" w:lineRule="auto"/>
        <w:rPr>
          <w:rFonts w:ascii="宋体"/>
          <w:sz w:val="24"/>
          <w:szCs w:val="24"/>
          <w:highlight w:val="none"/>
        </w:rPr>
      </w:pPr>
      <w:r>
        <w:rPr>
          <w:rFonts w:hint="eastAsia" w:ascii="宋体" w:hAnsi="宋体"/>
          <w:sz w:val="24"/>
          <w:szCs w:val="24"/>
          <w:highlight w:val="none"/>
        </w:rPr>
        <w:t>实质性响应的投标是指投标符合采购文件的所有条款、条件和规定，且没有重大偏离或保留。重大偏离或保留系指将会影响到采购文件中标的清单及技术参数的要求，或限制了采购人权力和投标人义务的规定，而纠正这些偏离将影响到其他投标人的公平竞争地位。</w:t>
      </w:r>
    </w:p>
    <w:p>
      <w:pPr>
        <w:spacing w:line="360" w:lineRule="auto"/>
        <w:ind w:firstLine="480" w:firstLineChars="200"/>
        <w:rPr>
          <w:rFonts w:ascii="宋体"/>
          <w:sz w:val="24"/>
          <w:szCs w:val="24"/>
          <w:highlight w:val="none"/>
        </w:rPr>
      </w:pPr>
      <w:r>
        <w:rPr>
          <w:rFonts w:hint="eastAsia" w:ascii="宋体" w:hAnsi="宋体"/>
          <w:sz w:val="24"/>
          <w:szCs w:val="24"/>
          <w:highlight w:val="none"/>
        </w:rPr>
        <w:t>招标人将拒绝被确定为非实质性响应的投标人。</w:t>
      </w:r>
    </w:p>
    <w:p>
      <w:pPr>
        <w:spacing w:line="360" w:lineRule="auto"/>
        <w:ind w:firstLine="480" w:firstLineChars="200"/>
        <w:rPr>
          <w:rFonts w:ascii="宋体"/>
          <w:sz w:val="24"/>
          <w:szCs w:val="24"/>
          <w:highlight w:val="none"/>
        </w:rPr>
      </w:pPr>
      <w:r>
        <w:rPr>
          <w:rFonts w:hint="eastAsia" w:ascii="宋体" w:hAnsi="宋体"/>
          <w:sz w:val="24"/>
          <w:szCs w:val="24"/>
          <w:highlight w:val="none"/>
        </w:rPr>
        <w:t>符合性审查内容详见下表：</w:t>
      </w:r>
    </w:p>
    <w:tbl>
      <w:tblPr>
        <w:tblStyle w:val="36"/>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095" w:type="dxa"/>
            <w:gridSpan w:val="2"/>
            <w:vAlign w:val="center"/>
          </w:tcPr>
          <w:p>
            <w:pPr>
              <w:jc w:val="center"/>
              <w:rPr>
                <w:rFonts w:ascii="宋体"/>
                <w:sz w:val="24"/>
                <w:szCs w:val="24"/>
                <w:highlight w:val="none"/>
              </w:rPr>
            </w:pPr>
            <w:r>
              <w:rPr>
                <w:rFonts w:hint="eastAsia" w:ascii="宋体" w:hAnsi="宋体"/>
                <w:sz w:val="24"/>
                <w:szCs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9" w:type="dxa"/>
            <w:vAlign w:val="center"/>
          </w:tcPr>
          <w:p>
            <w:pPr>
              <w:jc w:val="center"/>
              <w:rPr>
                <w:rFonts w:ascii="宋体"/>
                <w:sz w:val="24"/>
                <w:szCs w:val="24"/>
                <w:highlight w:val="none"/>
              </w:rPr>
            </w:pPr>
            <w:r>
              <w:rPr>
                <w:rFonts w:hint="eastAsia" w:ascii="宋体" w:hAnsi="宋体"/>
                <w:sz w:val="24"/>
                <w:szCs w:val="24"/>
                <w:highlight w:val="none"/>
              </w:rPr>
              <w:t>序号</w:t>
            </w:r>
          </w:p>
        </w:tc>
        <w:tc>
          <w:tcPr>
            <w:tcW w:w="8346" w:type="dxa"/>
            <w:vAlign w:val="center"/>
          </w:tcPr>
          <w:p>
            <w:pPr>
              <w:ind w:firstLine="3120" w:firstLineChars="1300"/>
              <w:rPr>
                <w:rFonts w:ascii="宋体"/>
                <w:sz w:val="24"/>
                <w:szCs w:val="24"/>
                <w:highlight w:val="none"/>
              </w:rPr>
            </w:pPr>
            <w:r>
              <w:rPr>
                <w:rFonts w:hint="eastAsia" w:ascii="宋体" w:hAnsi="宋体"/>
                <w:sz w:val="24"/>
                <w:szCs w:val="24"/>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1</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没有按照采购文件要求提供投标保证金的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2</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未按采购文件要求截止时间之前递交投标文件的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3</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投标文件没有投标人授权代表签字和加盖公章的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4</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投标文件中附有招标人不能接受的条件的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5</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投标人的报价超过了采购预算，采购人不能支付的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49" w:type="dxa"/>
            <w:vAlign w:val="center"/>
          </w:tcPr>
          <w:p>
            <w:pPr>
              <w:jc w:val="center"/>
              <w:rPr>
                <w:rFonts w:ascii="宋体"/>
                <w:sz w:val="24"/>
                <w:szCs w:val="24"/>
                <w:highlight w:val="none"/>
              </w:rPr>
            </w:pPr>
            <w:r>
              <w:rPr>
                <w:rFonts w:ascii="宋体" w:hAnsi="宋体"/>
                <w:sz w:val="24"/>
                <w:szCs w:val="24"/>
                <w:highlight w:val="none"/>
              </w:rPr>
              <w:t>6</w:t>
            </w:r>
          </w:p>
        </w:tc>
        <w:tc>
          <w:tcPr>
            <w:tcW w:w="8346" w:type="dxa"/>
            <w:vAlign w:val="center"/>
          </w:tcPr>
          <w:p>
            <w:pPr>
              <w:jc w:val="center"/>
              <w:rPr>
                <w:rFonts w:ascii="宋体"/>
                <w:sz w:val="24"/>
                <w:szCs w:val="24"/>
                <w:highlight w:val="none"/>
              </w:rPr>
            </w:pPr>
            <w:r>
              <w:rPr>
                <w:rFonts w:hint="eastAsia" w:ascii="宋体" w:hAnsi="宋体"/>
                <w:sz w:val="24"/>
                <w:szCs w:val="24"/>
                <w:highlight w:val="none"/>
              </w:rPr>
              <w:t>清单内容有缺项漏项或低于采购人要求的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49" w:type="dxa"/>
            <w:vAlign w:val="center"/>
          </w:tcPr>
          <w:p>
            <w:pPr>
              <w:jc w:val="center"/>
              <w:rPr>
                <w:rFonts w:ascii="宋体"/>
                <w:sz w:val="24"/>
                <w:szCs w:val="24"/>
                <w:highlight w:val="none"/>
              </w:rPr>
            </w:pPr>
            <w:r>
              <w:rPr>
                <w:rFonts w:ascii="宋体" w:hAnsi="宋体"/>
                <w:sz w:val="24"/>
                <w:szCs w:val="24"/>
                <w:highlight w:val="none"/>
              </w:rPr>
              <w:t>7</w:t>
            </w:r>
          </w:p>
        </w:tc>
        <w:tc>
          <w:tcPr>
            <w:tcW w:w="8346" w:type="dxa"/>
            <w:vAlign w:val="center"/>
          </w:tcPr>
          <w:p>
            <w:pPr>
              <w:jc w:val="center"/>
              <w:rPr>
                <w:rFonts w:ascii="宋体"/>
                <w:sz w:val="24"/>
                <w:szCs w:val="24"/>
                <w:highlight w:val="none"/>
              </w:rPr>
            </w:pPr>
            <w:r>
              <w:rPr>
                <w:rFonts w:hint="eastAsia" w:ascii="宋体" w:hAnsi="宋体"/>
                <w:sz w:val="24"/>
                <w:szCs w:val="24"/>
                <w:highlight w:val="none"/>
              </w:rPr>
              <w:t>不符合采购文件中规定的其他实质性要求的</w:t>
            </w:r>
          </w:p>
        </w:tc>
      </w:tr>
    </w:tbl>
    <w:p>
      <w:pPr>
        <w:spacing w:line="360" w:lineRule="auto"/>
        <w:rPr>
          <w:rFonts w:ascii="宋体" w:cs="宋体"/>
          <w:sz w:val="24"/>
          <w:szCs w:val="24"/>
          <w:highlight w:val="none"/>
        </w:rPr>
      </w:pPr>
    </w:p>
    <w:p>
      <w:pPr>
        <w:spacing w:line="360" w:lineRule="auto"/>
        <w:ind w:firstLine="240" w:firstLineChars="1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符合性审查：对照本项目的技术、商务、预算金额及文件制作要求，审查投标文件是否完全</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实质性响应采购文件的要求，没有出现重大偏离。</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投标文件的澄清：评标期间，对投标文件中含义不明确、同类问题表述不一致或者有明显文字和计算错误的内容，评标委员会可以书面形式（应当由评标委员会专家签字）要求投标人作出必要的澄清、说明或者补正，但不得允许投标人对投标报价、投标方案等涉及竞争性和实质性内容做任何更改。投标人的澄清、说明或者补正应当采用书面形式，由其授权的代表签字，并作为投标文件不可分割的内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实质性响应：是指符合采购文件的关键性和重要要求、条款、条件、规定，且没有不利于项目实施质量效果和服务保障的重大偏离或保留。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重大偏离或保留：是指影响到采购文件规定的范围、质量和性能或限制了采购人的权力和投标人义务的规定，而调整纠正这些偏离将直接影响到其它投标人的公平竞争地位。</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25.6</w:t>
      </w:r>
      <w:r>
        <w:rPr>
          <w:rFonts w:hint="eastAsia" w:ascii="宋体" w:hAnsi="宋体" w:cs="宋体"/>
          <w:sz w:val="24"/>
          <w:szCs w:val="24"/>
          <w:highlight w:val="none"/>
        </w:rPr>
        <w:t>轻微偏离</w:t>
      </w:r>
      <w:r>
        <w:rPr>
          <w:rFonts w:ascii="宋体" w:hAnsi="宋体" w:cs="宋体"/>
          <w:sz w:val="24"/>
          <w:szCs w:val="24"/>
          <w:highlight w:val="none"/>
        </w:rPr>
        <w:t>:</w:t>
      </w:r>
      <w:r>
        <w:rPr>
          <w:rFonts w:hint="eastAsia" w:ascii="宋体" w:hAnsi="宋体" w:cs="宋体"/>
          <w:sz w:val="24"/>
          <w:szCs w:val="24"/>
          <w:highlight w:val="none"/>
        </w:rPr>
        <w:t>是指投标文件能够实质上响应采购文件要求，但在个别地方存在漏项或者提供了不完整的技术信息和数据等情况，并且补正这些遗漏或者不完整不会对其他投标人造成不公平的结果。它包括负偏离（劣于）和正偏离</w:t>
      </w:r>
      <w:r>
        <w:rPr>
          <w:rFonts w:ascii="宋体" w:hAnsi="宋体" w:cs="宋体"/>
          <w:sz w:val="24"/>
          <w:szCs w:val="24"/>
          <w:highlight w:val="none"/>
        </w:rPr>
        <w:t>(</w:t>
      </w:r>
      <w:r>
        <w:rPr>
          <w:rFonts w:hint="eastAsia" w:ascii="宋体" w:hAnsi="宋体" w:cs="宋体"/>
          <w:sz w:val="24"/>
          <w:szCs w:val="24"/>
          <w:highlight w:val="none"/>
        </w:rPr>
        <w:t>优于</w:t>
      </w:r>
      <w:r>
        <w:rPr>
          <w:rFonts w:ascii="宋体" w:hAnsi="宋体" w:cs="宋体"/>
          <w:sz w:val="24"/>
          <w:szCs w:val="24"/>
          <w:highlight w:val="none"/>
        </w:rPr>
        <w:t>)</w:t>
      </w:r>
      <w:r>
        <w:rPr>
          <w:rFonts w:hint="eastAsia" w:ascii="宋体" w:hAnsi="宋体" w:cs="宋体"/>
          <w:sz w:val="24"/>
          <w:szCs w:val="24"/>
          <w:highlight w:val="none"/>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25.7</w:t>
      </w:r>
      <w:r>
        <w:rPr>
          <w:rFonts w:hint="eastAsia" w:ascii="宋体" w:hAnsi="宋体" w:cs="宋体"/>
          <w:sz w:val="24"/>
          <w:szCs w:val="24"/>
          <w:highlight w:val="none"/>
        </w:rPr>
        <w:t>评标委员会将审查投标文件是否完整、总体编排是否有序、文件签署是否合格、投标人是否按规定提交投标保证金、有无计算上的错误等。</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25.8</w:t>
      </w:r>
      <w:r>
        <w:rPr>
          <w:rFonts w:hint="eastAsia" w:ascii="宋体" w:hAnsi="宋体" w:cs="宋体"/>
          <w:sz w:val="24"/>
          <w:szCs w:val="24"/>
          <w:highlight w:val="none"/>
        </w:rPr>
        <w:t>比较与评价：评标委员会重点对各投标文件的技术、商务方案进行细化评审和综合比较，对照所公布的量化评分内容进行独立评分。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25.9</w:t>
      </w:r>
      <w:r>
        <w:rPr>
          <w:rFonts w:hint="eastAsia" w:ascii="宋体" w:hAnsi="宋体" w:cs="宋体"/>
          <w:sz w:val="24"/>
          <w:szCs w:val="24"/>
          <w:highlight w:val="none"/>
        </w:rPr>
        <w:t>综合汇总：将各评委的评分进行汇总，按综合总分从高到低顺序排列，并按照排名顺序推荐中标候选人。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25.10</w:t>
      </w:r>
      <w:r>
        <w:rPr>
          <w:rFonts w:hint="eastAsia" w:ascii="宋体" w:hAnsi="宋体" w:cs="宋体"/>
          <w:sz w:val="24"/>
          <w:szCs w:val="24"/>
          <w:highlight w:val="none"/>
        </w:rPr>
        <w:t>原件备查（如有要求）：本采购文件如有要求须提供原件备查的资料，投标人在递交投标文件的同时须递交原件以供评标委员会核查。所有拟提交备查的原件应装在一个带锁扣或绳扣的文件袋（牛皮纸质或塑料材质均可）内并附列清单明细，以便交接时核对。未能提交原件以供评标委员会核查的投标资料，评标委员会有权不予认可其有效性，投标人须自行承担不利后果。所有提交备查的原件将在评标委员会核查完毕后退回。</w:t>
      </w:r>
    </w:p>
    <w:p>
      <w:pPr>
        <w:spacing w:line="360" w:lineRule="auto"/>
        <w:rPr>
          <w:rFonts w:ascii="宋体" w:cs="宋体"/>
          <w:sz w:val="24"/>
          <w:szCs w:val="24"/>
          <w:highlight w:val="none"/>
        </w:rPr>
      </w:pPr>
      <w:r>
        <w:rPr>
          <w:rFonts w:ascii="宋体" w:hAnsi="宋体" w:cs="宋体"/>
          <w:sz w:val="24"/>
          <w:szCs w:val="24"/>
          <w:highlight w:val="none"/>
        </w:rPr>
        <w:t>26.</w:t>
      </w:r>
      <w:r>
        <w:rPr>
          <w:rFonts w:hint="eastAsia" w:ascii="宋体" w:hAnsi="宋体" w:cs="宋体"/>
          <w:sz w:val="24"/>
          <w:szCs w:val="24"/>
          <w:highlight w:val="none"/>
        </w:rPr>
        <w:t>废标条件</w:t>
      </w:r>
    </w:p>
    <w:p>
      <w:pPr>
        <w:spacing w:line="360" w:lineRule="auto"/>
        <w:ind w:firstLine="240" w:firstLineChars="100"/>
        <w:rPr>
          <w:rFonts w:ascii="宋体" w:cs="宋体"/>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本项目或独立分包出现下列条件之一则对应定作废标：</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）符合专业资格条件者或对竞争性磋商文件作实质响应的有效投标人不足三家；</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）采购过程出现影响公平竞争的违法、违规行为；</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）因重大变故，接政府采购管理部门通知本项目采购活动须即中止或取消。</w:t>
      </w:r>
    </w:p>
    <w:p>
      <w:pPr>
        <w:spacing w:line="360" w:lineRule="auto"/>
        <w:rPr>
          <w:rFonts w:ascii="宋体" w:cs="宋体"/>
          <w:color w:val="000000"/>
          <w:sz w:val="24"/>
          <w:szCs w:val="24"/>
          <w:highlight w:val="none"/>
        </w:rPr>
      </w:pPr>
      <w:r>
        <w:rPr>
          <w:rFonts w:ascii="宋体" w:hAnsi="宋体" w:cs="宋体"/>
          <w:color w:val="000000"/>
          <w:sz w:val="24"/>
          <w:szCs w:val="24"/>
          <w:highlight w:val="none"/>
        </w:rPr>
        <w:t>27.</w:t>
      </w:r>
      <w:r>
        <w:rPr>
          <w:rFonts w:hint="eastAsia" w:ascii="宋体" w:hAnsi="宋体" w:cs="宋体"/>
          <w:color w:val="000000"/>
          <w:sz w:val="24"/>
          <w:szCs w:val="24"/>
          <w:highlight w:val="none"/>
        </w:rPr>
        <w:t>无效投标行为的认定</w:t>
      </w: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）投标人未提交投标保证金或金额不足、投标保证金提交形式不符合采购文件要求的；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）投标金额超过本项目采购预算；</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）投标人的投标书或资格证明文件未提供或不符合采购文件要求的；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）不具备采购文件中规定资格要求的；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）未按照采购文件规定要求签署、盖章的；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）投标文件无法定代表人签字或签字人无法定代表人有效授权的；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）参加政府采购活动前三年内，在经营活动中有重大违法记录的；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8</w:t>
      </w:r>
      <w:r>
        <w:rPr>
          <w:rFonts w:hint="eastAsia" w:ascii="宋体" w:hAnsi="宋体" w:cs="宋体"/>
          <w:sz w:val="24"/>
          <w:szCs w:val="24"/>
          <w:highlight w:val="none"/>
        </w:rPr>
        <w:t>）符合采购文件中规定的被视为无效投标的其它条款的；</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9</w:t>
      </w:r>
      <w:r>
        <w:rPr>
          <w:rFonts w:hint="eastAsia" w:ascii="宋体" w:hAnsi="宋体" w:cs="宋体"/>
          <w:sz w:val="24"/>
          <w:szCs w:val="24"/>
          <w:highlight w:val="none"/>
        </w:rPr>
        <w:t>）不符合法律、法规规定的其他实质性要求的。</w:t>
      </w:r>
    </w:p>
    <w:p>
      <w:pPr>
        <w:pStyle w:val="2"/>
        <w:rPr>
          <w:rFonts w:ascii="宋体" w:cs="宋体"/>
          <w:highlight w:val="none"/>
        </w:rPr>
      </w:pPr>
      <w:bookmarkStart w:id="6" w:name="_Toc517776510"/>
      <w:r>
        <w:rPr>
          <w:rFonts w:hint="eastAsia" w:ascii="宋体" w:hAnsi="宋体" w:cs="宋体"/>
          <w:highlight w:val="none"/>
        </w:rPr>
        <w:t>六、评审方法及标准</w:t>
      </w:r>
      <w:bookmarkEnd w:id="6"/>
    </w:p>
    <w:p>
      <w:pPr>
        <w:spacing w:line="360" w:lineRule="auto"/>
        <w:rPr>
          <w:rFonts w:ascii="宋体" w:cs="宋体"/>
          <w:sz w:val="24"/>
          <w:szCs w:val="24"/>
          <w:highlight w:val="none"/>
        </w:rPr>
      </w:pPr>
      <w:r>
        <w:rPr>
          <w:rFonts w:ascii="宋体" w:hAnsi="宋体" w:cs="宋体"/>
          <w:sz w:val="24"/>
          <w:szCs w:val="24"/>
          <w:highlight w:val="none"/>
        </w:rPr>
        <w:t>28.</w:t>
      </w:r>
      <w:r>
        <w:rPr>
          <w:rFonts w:hint="eastAsia" w:ascii="宋体" w:hAnsi="宋体" w:cs="宋体"/>
          <w:sz w:val="24"/>
          <w:szCs w:val="24"/>
          <w:highlight w:val="none"/>
        </w:rPr>
        <w:t>评审方法</w:t>
      </w:r>
    </w:p>
    <w:p>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投标书的评价采用综合评分法，评分按价格、技术和商务三部分分别打分的方式进行。三项总分为</w:t>
      </w:r>
      <w:r>
        <w:rPr>
          <w:rFonts w:ascii="宋体" w:hAnsi="宋体" w:cs="宋体"/>
          <w:sz w:val="24"/>
          <w:szCs w:val="24"/>
          <w:highlight w:val="none"/>
        </w:rPr>
        <w:t>100</w:t>
      </w:r>
      <w:r>
        <w:rPr>
          <w:rFonts w:hint="eastAsia" w:ascii="宋体" w:hAnsi="宋体" w:cs="宋体"/>
          <w:sz w:val="24"/>
          <w:szCs w:val="24"/>
          <w:highlight w:val="none"/>
        </w:rPr>
        <w:t>分，其中价格得分占</w:t>
      </w:r>
      <w:r>
        <w:rPr>
          <w:rFonts w:ascii="宋体" w:hAnsi="宋体" w:cs="宋体"/>
          <w:sz w:val="24"/>
          <w:szCs w:val="24"/>
          <w:highlight w:val="none"/>
        </w:rPr>
        <w:t>3</w:t>
      </w:r>
      <w:r>
        <w:rPr>
          <w:rFonts w:ascii="宋体" w:cs="宋体"/>
          <w:sz w:val="24"/>
          <w:szCs w:val="24"/>
          <w:highlight w:val="none"/>
        </w:rPr>
        <w:t>0</w:t>
      </w:r>
      <w:r>
        <w:rPr>
          <w:rFonts w:hint="eastAsia" w:ascii="宋体" w:hAnsi="宋体" w:cs="宋体"/>
          <w:sz w:val="24"/>
          <w:szCs w:val="24"/>
          <w:highlight w:val="none"/>
        </w:rPr>
        <w:t>％，技术、商务得分占</w:t>
      </w:r>
      <w:r>
        <w:rPr>
          <w:rFonts w:ascii="宋体" w:hAnsi="宋体" w:cs="宋体"/>
          <w:sz w:val="24"/>
          <w:szCs w:val="24"/>
          <w:highlight w:val="none"/>
        </w:rPr>
        <w:t>7</w:t>
      </w:r>
      <w:r>
        <w:rPr>
          <w:rFonts w:ascii="宋体" w:cs="宋体"/>
          <w:sz w:val="24"/>
          <w:szCs w:val="24"/>
          <w:highlight w:val="none"/>
        </w:rPr>
        <w:t>0</w:t>
      </w:r>
      <w:r>
        <w:rPr>
          <w:rFonts w:hint="eastAsia" w:ascii="宋体" w:hAnsi="宋体" w:cs="宋体"/>
          <w:sz w:val="24"/>
          <w:szCs w:val="24"/>
          <w:highlight w:val="none"/>
        </w:rPr>
        <w:t>％。注：投标单位技术标、商务标得分为所有专家每个单项的算术平均值之和</w:t>
      </w:r>
      <w:r>
        <w:rPr>
          <w:rFonts w:hint="eastAsia" w:ascii="宋体" w:hAnsi="宋体" w:cs="宋体"/>
          <w:color w:val="000000"/>
          <w:sz w:val="24"/>
          <w:szCs w:val="24"/>
          <w:highlight w:val="none"/>
        </w:rPr>
        <w:t>（为保证甲方招到满足市场先进性、满足生产能力的产品，投标方的报价低于成本价或明显低于其他投标人投标报价的投标方视为废标）。</w:t>
      </w:r>
    </w:p>
    <w:p>
      <w:pPr>
        <w:spacing w:line="360" w:lineRule="auto"/>
        <w:ind w:firstLine="480" w:firstLineChars="200"/>
        <w:rPr>
          <w:rFonts w:ascii="宋体" w:cs="宋体"/>
          <w:color w:val="000000"/>
          <w:sz w:val="24"/>
          <w:szCs w:val="24"/>
          <w:highlight w:val="none"/>
        </w:rPr>
      </w:pPr>
    </w:p>
    <w:p>
      <w:pPr>
        <w:spacing w:line="360" w:lineRule="auto"/>
        <w:ind w:firstLine="482" w:firstLineChars="200"/>
        <w:rPr>
          <w:rFonts w:ascii="宋体" w:cs="宋体"/>
          <w:b/>
          <w:color w:val="000000"/>
          <w:sz w:val="24"/>
          <w:szCs w:val="24"/>
          <w:highlight w:val="none"/>
        </w:rPr>
      </w:pPr>
      <w:r>
        <w:rPr>
          <w:rFonts w:ascii="宋体" w:hAnsi="宋体" w:cs="宋体"/>
          <w:b/>
          <w:color w:val="000000"/>
          <w:sz w:val="24"/>
          <w:szCs w:val="24"/>
          <w:highlight w:val="none"/>
        </w:rPr>
        <w:t>1</w:t>
      </w:r>
      <w:r>
        <w:rPr>
          <w:rFonts w:hint="eastAsia" w:ascii="宋体" w:hAnsi="宋体" w:cs="宋体"/>
          <w:b/>
          <w:color w:val="000000"/>
          <w:sz w:val="24"/>
          <w:szCs w:val="24"/>
          <w:highlight w:val="none"/>
        </w:rPr>
        <w:t>、价格评分（</w:t>
      </w:r>
      <w:r>
        <w:rPr>
          <w:rFonts w:ascii="宋体" w:hAnsi="宋体" w:cs="宋体"/>
          <w:b/>
          <w:color w:val="000000"/>
          <w:sz w:val="24"/>
          <w:szCs w:val="24"/>
          <w:highlight w:val="none"/>
        </w:rPr>
        <w:t>3</w:t>
      </w:r>
      <w:r>
        <w:rPr>
          <w:rFonts w:ascii="宋体" w:cs="宋体"/>
          <w:b/>
          <w:color w:val="000000"/>
          <w:sz w:val="24"/>
          <w:szCs w:val="24"/>
          <w:highlight w:val="none"/>
        </w:rPr>
        <w:t>0</w:t>
      </w:r>
      <w:r>
        <w:rPr>
          <w:rFonts w:hint="eastAsia" w:ascii="宋体" w:hAnsi="宋体" w:cs="宋体"/>
          <w:b/>
          <w:color w:val="000000"/>
          <w:sz w:val="24"/>
          <w:szCs w:val="24"/>
          <w:highlight w:val="none"/>
        </w:rPr>
        <w:t>分）：</w:t>
      </w:r>
    </w:p>
    <w:p>
      <w:pPr>
        <w:spacing w:line="480" w:lineRule="exact"/>
        <w:ind w:firstLine="480" w:firstLineChars="200"/>
        <w:rPr>
          <w:rFonts w:ascii="宋体" w:cs="宋体"/>
          <w:sz w:val="24"/>
          <w:szCs w:val="24"/>
          <w:highlight w:val="none"/>
        </w:rPr>
      </w:pPr>
      <w:r>
        <w:rPr>
          <w:rFonts w:hint="eastAsia" w:ascii="宋体" w:hAnsi="宋体" w:cs="宋体"/>
          <w:sz w:val="24"/>
          <w:szCs w:val="24"/>
          <w:highlight w:val="none"/>
        </w:rPr>
        <w:t>价格分统一采用低价优先法计算，即满足采购文件要求（通过资格性审查和符合性审查）且价格最低的投标价确定为评标基准价，其价格分为满分。其他投标人的价格分统一按照下列公式计算：（以投标人在开标现场做出最终报价为准）</w:t>
      </w:r>
    </w:p>
    <w:p>
      <w:pPr>
        <w:spacing w:line="480" w:lineRule="exact"/>
        <w:rPr>
          <w:rFonts w:ascii="宋体" w:cs="宋体"/>
          <w:sz w:val="24"/>
          <w:szCs w:val="24"/>
          <w:highlight w:val="none"/>
        </w:rPr>
      </w:pPr>
      <w:r>
        <w:rPr>
          <w:rFonts w:hint="eastAsia" w:ascii="宋体" w:hAnsi="宋体" w:cs="宋体"/>
          <w:sz w:val="24"/>
          <w:szCs w:val="24"/>
          <w:highlight w:val="none"/>
        </w:rPr>
        <w:t>价格评分</w:t>
      </w:r>
      <w:r>
        <w:rPr>
          <w:rFonts w:ascii="宋体" w:hAnsi="宋体" w:cs="宋体"/>
          <w:sz w:val="24"/>
          <w:szCs w:val="24"/>
          <w:highlight w:val="none"/>
        </w:rPr>
        <w:t>=</w:t>
      </w:r>
      <w:r>
        <w:rPr>
          <w:rFonts w:hint="eastAsia" w:ascii="宋体" w:hAnsi="宋体" w:cs="宋体"/>
          <w:sz w:val="24"/>
          <w:szCs w:val="24"/>
          <w:highlight w:val="none"/>
        </w:rPr>
        <w:t>（评标基准价／投标价）×</w:t>
      </w:r>
      <w:r>
        <w:rPr>
          <w:rFonts w:ascii="宋体" w:hAnsi="宋体" w:cs="宋体"/>
          <w:sz w:val="24"/>
          <w:szCs w:val="24"/>
          <w:highlight w:val="none"/>
        </w:rPr>
        <w:t>100</w:t>
      </w:r>
      <w:r>
        <w:rPr>
          <w:rFonts w:hint="eastAsia" w:ascii="宋体" w:hAnsi="宋体" w:cs="宋体"/>
          <w:sz w:val="24"/>
          <w:szCs w:val="24"/>
          <w:highlight w:val="none"/>
        </w:rPr>
        <w:t>×</w:t>
      </w:r>
      <w:r>
        <w:rPr>
          <w:rFonts w:ascii="宋体" w:cs="宋体"/>
          <w:sz w:val="24"/>
          <w:szCs w:val="24"/>
          <w:highlight w:val="none"/>
        </w:rPr>
        <w:t>0.</w:t>
      </w:r>
      <w:r>
        <w:rPr>
          <w:rFonts w:ascii="宋体" w:hAnsi="宋体" w:cs="宋体"/>
          <w:sz w:val="24"/>
          <w:szCs w:val="24"/>
          <w:highlight w:val="none"/>
        </w:rPr>
        <w:t>3</w:t>
      </w:r>
      <w:r>
        <w:rPr>
          <w:rFonts w:hint="eastAsia" w:ascii="宋体" w:hAnsi="宋体" w:cs="宋体"/>
          <w:sz w:val="24"/>
          <w:szCs w:val="24"/>
          <w:highlight w:val="none"/>
        </w:rPr>
        <w:t>，投标人的报价为明显不合理的恶意报价或者明显低于其他投标报价</w:t>
      </w:r>
      <w:r>
        <w:rPr>
          <w:rFonts w:ascii="宋体" w:cs="宋体"/>
          <w:sz w:val="24"/>
          <w:szCs w:val="24"/>
          <w:highlight w:val="none"/>
        </w:rPr>
        <w:t>,</w:t>
      </w:r>
      <w:r>
        <w:rPr>
          <w:rFonts w:hint="eastAsia" w:ascii="宋体" w:hAnsi="宋体" w:cs="宋体"/>
          <w:sz w:val="24"/>
          <w:szCs w:val="24"/>
          <w:highlight w:val="none"/>
        </w:rPr>
        <w:t>此项不得分。计算分数时四舍五入取小数点后两位</w:t>
      </w:r>
      <w:r>
        <w:rPr>
          <w:rFonts w:ascii="宋体" w:cs="宋体"/>
          <w:sz w:val="24"/>
          <w:szCs w:val="24"/>
          <w:highlight w:val="none"/>
        </w:rPr>
        <w:t>,</w:t>
      </w:r>
      <w:r>
        <w:rPr>
          <w:rFonts w:hint="eastAsia" w:ascii="宋体" w:hAnsi="宋体" w:cs="宋体"/>
          <w:sz w:val="24"/>
          <w:szCs w:val="24"/>
          <w:highlight w:val="none"/>
        </w:rPr>
        <w:t>分数最高不超过</w:t>
      </w:r>
      <w:r>
        <w:rPr>
          <w:rFonts w:ascii="宋体" w:hAnsi="宋体" w:cs="宋体"/>
          <w:sz w:val="24"/>
          <w:szCs w:val="24"/>
          <w:highlight w:val="none"/>
        </w:rPr>
        <w:t>3</w:t>
      </w:r>
      <w:r>
        <w:rPr>
          <w:rFonts w:ascii="宋体" w:cs="宋体"/>
          <w:sz w:val="24"/>
          <w:szCs w:val="24"/>
          <w:highlight w:val="none"/>
        </w:rPr>
        <w:t>0</w:t>
      </w:r>
      <w:r>
        <w:rPr>
          <w:rFonts w:hint="eastAsia" w:ascii="宋体" w:hAnsi="宋体" w:cs="宋体"/>
          <w:sz w:val="24"/>
          <w:szCs w:val="24"/>
          <w:highlight w:val="none"/>
        </w:rPr>
        <w:t>分。</w:t>
      </w:r>
    </w:p>
    <w:p>
      <w:pPr>
        <w:spacing w:line="360" w:lineRule="auto"/>
        <w:ind w:firstLine="482" w:firstLineChars="200"/>
        <w:rPr>
          <w:rFonts w:ascii="宋体" w:cs="宋体"/>
          <w:b/>
          <w:sz w:val="24"/>
          <w:szCs w:val="24"/>
          <w:highlight w:val="none"/>
        </w:rPr>
      </w:pPr>
    </w:p>
    <w:p>
      <w:pPr>
        <w:spacing w:line="360" w:lineRule="auto"/>
        <w:ind w:firstLine="482" w:firstLineChars="200"/>
        <w:rPr>
          <w:rFonts w:ascii="宋体" w:cs="宋体"/>
          <w:b/>
          <w:sz w:val="24"/>
          <w:szCs w:val="24"/>
          <w:highlight w:val="none"/>
        </w:rPr>
      </w:pPr>
      <w:r>
        <w:rPr>
          <w:rFonts w:hint="eastAsia" w:ascii="宋体" w:hAnsi="宋体" w:cs="宋体"/>
          <w:b/>
          <w:sz w:val="24"/>
          <w:szCs w:val="24"/>
          <w:highlight w:val="none"/>
        </w:rPr>
        <w:t>注：各投标人不得采取恶意方式投标，不得以低于成本的价格参与投标。</w:t>
      </w:r>
    </w:p>
    <w:p>
      <w:pPr>
        <w:spacing w:line="360" w:lineRule="auto"/>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、技术、商务部分（共</w:t>
      </w:r>
      <w:r>
        <w:rPr>
          <w:rFonts w:ascii="宋体" w:hAnsi="宋体" w:cs="宋体"/>
          <w:b/>
          <w:sz w:val="24"/>
          <w:szCs w:val="24"/>
          <w:highlight w:val="none"/>
        </w:rPr>
        <w:t>7</w:t>
      </w:r>
      <w:r>
        <w:rPr>
          <w:rFonts w:ascii="宋体" w:cs="宋体"/>
          <w:b/>
          <w:sz w:val="24"/>
          <w:szCs w:val="24"/>
          <w:highlight w:val="none"/>
        </w:rPr>
        <w:t>0</w:t>
      </w:r>
      <w:r>
        <w:rPr>
          <w:rFonts w:hint="eastAsia" w:ascii="宋体" w:hAnsi="宋体" w:cs="宋体"/>
          <w:b/>
          <w:sz w:val="24"/>
          <w:szCs w:val="24"/>
          <w:highlight w:val="none"/>
        </w:rPr>
        <w:t>分）</w:t>
      </w:r>
    </w:p>
    <w:p>
      <w:pPr>
        <w:spacing w:before="5"/>
        <w:rPr>
          <w:rFonts w:ascii="仿宋" w:hAnsi="仿宋" w:eastAsia="仿宋" w:cs="仿宋"/>
          <w:sz w:val="2"/>
          <w:szCs w:val="2"/>
          <w:highlight w:val="none"/>
        </w:rPr>
      </w:pPr>
    </w:p>
    <w:tbl>
      <w:tblPr>
        <w:tblStyle w:val="36"/>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108" w:type="dxa"/>
          <w:bottom w:w="0" w:type="dxa"/>
          <w:right w:w="108" w:type="dxa"/>
        </w:tblCellMar>
      </w:tblPr>
      <w:tblGrid>
        <w:gridCol w:w="741"/>
        <w:gridCol w:w="1461"/>
        <w:gridCol w:w="855"/>
        <w:gridCol w:w="541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0" w:hRule="atLeast"/>
          <w:tblHeader/>
        </w:trPr>
        <w:tc>
          <w:tcPr>
            <w:tcW w:w="741"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序号</w:t>
            </w:r>
          </w:p>
        </w:tc>
        <w:tc>
          <w:tcPr>
            <w:tcW w:w="1461"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评审分项</w:t>
            </w:r>
          </w:p>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（合格投标人进行横向比较）</w:t>
            </w:r>
          </w:p>
        </w:tc>
        <w:tc>
          <w:tcPr>
            <w:tcW w:w="855"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最高得分</w:t>
            </w:r>
          </w:p>
        </w:tc>
        <w:tc>
          <w:tcPr>
            <w:tcW w:w="5415" w:type="dxa"/>
            <w:tcBorders>
              <w:tl2br w:val="nil"/>
              <w:tr2bl w:val="nil"/>
            </w:tcBorders>
            <w:shd w:val="clear" w:color="auto" w:fill="FFFFFF" w:themeFill="background1"/>
            <w:vAlign w:val="center"/>
          </w:tcPr>
          <w:p>
            <w:pPr>
              <w:jc w:val="center"/>
              <w:rPr>
                <w:rFonts w:ascii="宋体" w:cs="宋体"/>
                <w:b/>
                <w:bCs/>
                <w:color w:val="auto"/>
                <w:sz w:val="24"/>
                <w:highlight w:val="none"/>
                <w:shd w:val="clear" w:color="auto" w:fill="auto"/>
              </w:rPr>
            </w:pPr>
            <w:r>
              <w:rPr>
                <w:rFonts w:hint="eastAsia" w:ascii="宋体" w:hAnsi="宋体" w:cs="宋体"/>
                <w:b/>
                <w:bCs/>
                <w:color w:val="auto"/>
                <w:sz w:val="24"/>
                <w:highlight w:val="none"/>
                <w:shd w:val="clear" w:color="auto" w:fill="auto"/>
              </w:rPr>
              <w:t>评分标准说明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2017"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产品综合情况</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25</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25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考评投标产品综合情况（投标方案设计、供货范围、冗合性、产品技术成熟度和先进性、质量安全可靠性、效能、市场占有率、品牌信誉度）优：</w:t>
            </w:r>
            <w:r>
              <w:rPr>
                <w:rFonts w:ascii="宋体" w:hAnsi="宋体" w:cs="宋体"/>
                <w:color w:val="auto"/>
                <w:sz w:val="24"/>
                <w:highlight w:val="none"/>
                <w:shd w:val="clear" w:color="auto" w:fill="auto"/>
              </w:rPr>
              <w:t>18-25</w:t>
            </w:r>
            <w:r>
              <w:rPr>
                <w:rFonts w:hint="eastAsia" w:ascii="宋体" w:hAnsi="宋体" w:cs="宋体"/>
                <w:color w:val="auto"/>
                <w:sz w:val="24"/>
                <w:highlight w:val="none"/>
                <w:shd w:val="clear" w:color="auto" w:fill="auto"/>
              </w:rPr>
              <w:t>；良：</w:t>
            </w:r>
            <w:r>
              <w:rPr>
                <w:rFonts w:ascii="宋体" w:hAnsi="宋体" w:cs="宋体"/>
                <w:color w:val="auto"/>
                <w:sz w:val="24"/>
                <w:highlight w:val="none"/>
                <w:shd w:val="clear" w:color="auto" w:fill="auto"/>
              </w:rPr>
              <w:t>11-17</w:t>
            </w:r>
            <w:r>
              <w:rPr>
                <w:rFonts w:hint="eastAsia" w:ascii="宋体" w:hAnsi="宋体" w:cs="宋体"/>
                <w:color w:val="auto"/>
                <w:sz w:val="24"/>
                <w:highlight w:val="none"/>
                <w:shd w:val="clear" w:color="auto" w:fill="auto"/>
              </w:rPr>
              <w:t>；中：</w:t>
            </w:r>
            <w:r>
              <w:rPr>
                <w:rFonts w:ascii="宋体" w:hAnsi="宋体" w:cs="宋体"/>
                <w:color w:val="auto"/>
                <w:sz w:val="24"/>
                <w:highlight w:val="none"/>
                <w:shd w:val="clear" w:color="auto" w:fill="auto"/>
              </w:rPr>
              <w:t>5-10</w:t>
            </w:r>
            <w:r>
              <w:rPr>
                <w:rFonts w:hint="eastAsia" w:ascii="宋体" w:hAnsi="宋体" w:cs="宋体"/>
                <w:color w:val="auto"/>
                <w:sz w:val="24"/>
                <w:highlight w:val="none"/>
                <w:shd w:val="clear" w:color="auto" w:fill="auto"/>
              </w:rPr>
              <w:t>；一般：</w:t>
            </w:r>
            <w:r>
              <w:rPr>
                <w:rFonts w:ascii="宋体" w:hAnsi="宋体" w:cs="宋体"/>
                <w:color w:val="auto"/>
                <w:sz w:val="24"/>
                <w:highlight w:val="none"/>
                <w:shd w:val="clear" w:color="auto" w:fill="auto"/>
              </w:rPr>
              <w:t>1-4</w:t>
            </w:r>
            <w:r>
              <w:rPr>
                <w:rFonts w:hint="eastAsia" w:ascii="宋体" w:hAnsi="宋体" w:cs="宋体"/>
                <w:color w:val="auto"/>
                <w:sz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3235"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售后及维护能力</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20</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20</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投标单位横向比较：</w:t>
            </w:r>
          </w:p>
          <w:p>
            <w:pPr>
              <w:spacing w:line="360" w:lineRule="auto"/>
              <w:rPr>
                <w:rFonts w:ascii="宋体" w:cs="宋体"/>
                <w:color w:val="auto"/>
                <w:sz w:val="24"/>
                <w:highlight w:val="none"/>
                <w:shd w:val="clear" w:color="auto" w:fill="auto"/>
              </w:rPr>
            </w:pP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、提供详细的、有利于采购人售后培训方案措施的、提供了培训方案不详细、可操作性不强或评委认定该方案不完善等情况，良好得</w:t>
            </w:r>
            <w:r>
              <w:rPr>
                <w:rFonts w:ascii="宋体" w:hAnsi="宋体" w:cs="宋体"/>
                <w:color w:val="auto"/>
                <w:sz w:val="24"/>
                <w:highlight w:val="none"/>
                <w:shd w:val="clear" w:color="auto" w:fill="auto"/>
              </w:rPr>
              <w:t>7-10</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3-6</w:t>
            </w:r>
            <w:r>
              <w:rPr>
                <w:rFonts w:hint="eastAsia" w:ascii="宋体" w:hAnsi="宋体" w:cs="宋体"/>
                <w:color w:val="auto"/>
                <w:sz w:val="24"/>
                <w:highlight w:val="none"/>
                <w:shd w:val="clear" w:color="auto" w:fill="auto"/>
              </w:rPr>
              <w:t>，较差得</w:t>
            </w:r>
            <w:r>
              <w:rPr>
                <w:rFonts w:ascii="宋体" w:hAnsi="宋体" w:cs="宋体"/>
                <w:color w:val="auto"/>
                <w:sz w:val="24"/>
                <w:highlight w:val="none"/>
                <w:shd w:val="clear" w:color="auto" w:fill="auto"/>
              </w:rPr>
              <w:t>1-2</w:t>
            </w:r>
            <w:r>
              <w:rPr>
                <w:rFonts w:hint="eastAsia" w:ascii="宋体" w:hAnsi="宋体" w:cs="宋体"/>
                <w:color w:val="auto"/>
                <w:sz w:val="24"/>
                <w:highlight w:val="none"/>
                <w:shd w:val="clear" w:color="auto" w:fill="auto"/>
              </w:rPr>
              <w:t>分，没有不得分；</w:t>
            </w:r>
          </w:p>
          <w:p>
            <w:pPr>
              <w:spacing w:line="360" w:lineRule="auto"/>
              <w:rPr>
                <w:rFonts w:ascii="宋体" w:cs="宋体"/>
                <w:color w:val="auto"/>
                <w:sz w:val="24"/>
                <w:highlight w:val="none"/>
                <w:shd w:val="clear" w:color="auto" w:fill="auto"/>
              </w:rPr>
            </w:pP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、有售后服务队伍，承诺了服务以及响应时间的合理性，售后服务方案良好得</w:t>
            </w:r>
            <w:r>
              <w:rPr>
                <w:rFonts w:ascii="宋体" w:hAnsi="宋体" w:cs="宋体"/>
                <w:color w:val="auto"/>
                <w:sz w:val="24"/>
                <w:highlight w:val="none"/>
                <w:shd w:val="clear" w:color="auto" w:fill="auto"/>
              </w:rPr>
              <w:t>7-10</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3-6</w:t>
            </w:r>
            <w:r>
              <w:rPr>
                <w:rFonts w:hint="eastAsia" w:ascii="宋体" w:hAnsi="宋体" w:cs="宋体"/>
                <w:color w:val="auto"/>
                <w:sz w:val="24"/>
                <w:highlight w:val="none"/>
                <w:shd w:val="clear" w:color="auto" w:fill="auto"/>
              </w:rPr>
              <w:t>，较差得</w:t>
            </w:r>
            <w:r>
              <w:rPr>
                <w:rFonts w:ascii="宋体" w:hAnsi="宋体" w:cs="宋体"/>
                <w:color w:val="auto"/>
                <w:sz w:val="24"/>
                <w:highlight w:val="none"/>
                <w:shd w:val="clear" w:color="auto" w:fill="auto"/>
              </w:rPr>
              <w:t>1-2</w:t>
            </w:r>
            <w:r>
              <w:rPr>
                <w:rFonts w:hint="eastAsia" w:ascii="宋体" w:hAnsi="宋体" w:cs="宋体"/>
                <w:color w:val="auto"/>
                <w:sz w:val="24"/>
                <w:highlight w:val="none"/>
                <w:shd w:val="clear" w:color="auto" w:fill="auto"/>
              </w:rPr>
              <w:t>分，没有不得分。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966"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同类业绩</w:t>
            </w: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投标截止日期前</w:t>
            </w:r>
            <w:r>
              <w:rPr>
                <w:rFonts w:ascii="宋体" w:hAnsi="宋体" w:cs="宋体"/>
                <w:color w:val="auto"/>
                <w:sz w:val="24"/>
                <w:highlight w:val="none"/>
                <w:shd w:val="clear" w:color="auto" w:fill="auto"/>
              </w:rPr>
              <w:t>2</w:t>
            </w:r>
            <w:r>
              <w:rPr>
                <w:rFonts w:hint="eastAsia" w:ascii="宋体" w:hAnsi="宋体" w:cs="宋体"/>
                <w:color w:val="auto"/>
                <w:sz w:val="24"/>
                <w:highlight w:val="none"/>
                <w:shd w:val="clear" w:color="auto" w:fill="auto"/>
              </w:rPr>
              <w:t>年内，供应商提供同类项目业绩，每提供</w:t>
            </w: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份有效合同或中标通知书的得</w:t>
            </w:r>
            <w:r>
              <w:rPr>
                <w:rFonts w:ascii="宋体" w:hAnsi="宋体" w:cs="宋体"/>
                <w:color w:val="auto"/>
                <w:sz w:val="24"/>
                <w:highlight w:val="none"/>
                <w:shd w:val="clear" w:color="auto" w:fill="auto"/>
              </w:rPr>
              <w:t>1</w:t>
            </w:r>
            <w:r>
              <w:rPr>
                <w:rFonts w:hint="eastAsia" w:ascii="宋体" w:hAnsi="宋体" w:cs="宋体"/>
                <w:color w:val="auto"/>
                <w:sz w:val="24"/>
                <w:highlight w:val="none"/>
                <w:shd w:val="clear" w:color="auto" w:fill="auto"/>
              </w:rPr>
              <w:t>分，最多得</w:t>
            </w:r>
            <w:r>
              <w:rPr>
                <w:rFonts w:ascii="宋体" w:hAnsi="宋体" w:cs="宋体"/>
                <w:color w:val="auto"/>
                <w:sz w:val="24"/>
                <w:highlight w:val="none"/>
                <w:shd w:val="clear" w:color="auto" w:fill="auto"/>
              </w:rPr>
              <w:t>8</w:t>
            </w:r>
            <w:r>
              <w:rPr>
                <w:rFonts w:hint="eastAsia" w:ascii="宋体" w:hAnsi="宋体" w:cs="宋体"/>
                <w:color w:val="auto"/>
                <w:sz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861" w:hRule="atLeast"/>
        </w:trPr>
        <w:tc>
          <w:tcPr>
            <w:tcW w:w="741" w:type="dxa"/>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企业资信（</w:t>
            </w: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提供近三年的财务审计报告，且财务状况良好得</w:t>
            </w:r>
            <w:r>
              <w:rPr>
                <w:rFonts w:ascii="宋体" w:hAnsi="宋体" w:cs="宋体"/>
                <w:color w:val="auto"/>
                <w:sz w:val="24"/>
                <w:highlight w:val="none"/>
                <w:shd w:val="clear" w:color="auto" w:fill="auto"/>
              </w:rPr>
              <w:t>3</w:t>
            </w:r>
            <w:r>
              <w:rPr>
                <w:rFonts w:hint="eastAsia" w:ascii="宋体" w:hAnsi="宋体" w:cs="宋体"/>
                <w:color w:val="auto"/>
                <w:sz w:val="24"/>
                <w:highlight w:val="none"/>
                <w:shd w:val="clear" w:color="auto" w:fill="auto"/>
              </w:rPr>
              <w:t>分，没有不得分。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286" w:hRule="atLeast"/>
        </w:trPr>
        <w:tc>
          <w:tcPr>
            <w:tcW w:w="741" w:type="dxa"/>
            <w:vMerge w:val="restart"/>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vMerge w:val="restart"/>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供应商工作方案及具体实施措施</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10</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 xml:space="preserve"> 0-5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横向比较：工作方案切实可行，充分满足项目的需求，具备针对性及合理性的得</w:t>
            </w:r>
            <w:r>
              <w:rPr>
                <w:rFonts w:ascii="宋体" w:hAnsi="宋体" w:cs="宋体"/>
                <w:color w:val="auto"/>
                <w:sz w:val="24"/>
                <w:highlight w:val="none"/>
                <w:shd w:val="clear" w:color="auto" w:fill="auto"/>
              </w:rPr>
              <w:t>4-5</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1-3</w:t>
            </w:r>
            <w:r>
              <w:rPr>
                <w:rFonts w:hint="eastAsia" w:ascii="宋体" w:hAnsi="宋体" w:cs="宋体"/>
                <w:color w:val="auto"/>
                <w:sz w:val="24"/>
                <w:highlight w:val="none"/>
                <w:shd w:val="clear" w:color="auto" w:fill="auto"/>
              </w:rPr>
              <w:t>分，否则不得分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386" w:hRule="atLeast"/>
        </w:trPr>
        <w:tc>
          <w:tcPr>
            <w:tcW w:w="74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146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855" w:type="dxa"/>
            <w:tcBorders>
              <w:tl2br w:val="nil"/>
              <w:tr2bl w:val="nil"/>
            </w:tcBorders>
            <w:shd w:val="clear" w:color="auto" w:fill="FFFFFF" w:themeFill="background1"/>
            <w:vAlign w:val="center"/>
          </w:tcPr>
          <w:p>
            <w:pPr>
              <w:pStyle w:val="128"/>
              <w:spacing w:line="288" w:lineRule="auto"/>
              <w:ind w:firstLine="240" w:firstLineChars="100"/>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0-5</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横向比较：供应商对服务人员的配备、响应时间、响应程度、解决问题的能力等因素做出后续服务的保障承诺，良好得</w:t>
            </w:r>
            <w:r>
              <w:rPr>
                <w:rFonts w:ascii="宋体" w:hAnsi="宋体" w:cs="宋体"/>
                <w:color w:val="auto"/>
                <w:sz w:val="24"/>
                <w:highlight w:val="none"/>
                <w:shd w:val="clear" w:color="auto" w:fill="auto"/>
              </w:rPr>
              <w:t>4-5</w:t>
            </w:r>
            <w:r>
              <w:rPr>
                <w:rFonts w:hint="eastAsia" w:ascii="宋体" w:hAnsi="宋体" w:cs="宋体"/>
                <w:color w:val="auto"/>
                <w:sz w:val="24"/>
                <w:highlight w:val="none"/>
                <w:shd w:val="clear" w:color="auto" w:fill="auto"/>
              </w:rPr>
              <w:t>分，一般得</w:t>
            </w:r>
            <w:r>
              <w:rPr>
                <w:rFonts w:ascii="宋体" w:hAnsi="宋体" w:cs="宋体"/>
                <w:color w:val="auto"/>
                <w:sz w:val="24"/>
                <w:highlight w:val="none"/>
                <w:shd w:val="clear" w:color="auto" w:fill="auto"/>
              </w:rPr>
              <w:t>1-3</w:t>
            </w:r>
            <w:r>
              <w:rPr>
                <w:rFonts w:hint="eastAsia" w:ascii="宋体" w:hAnsi="宋体" w:cs="宋体"/>
                <w:color w:val="auto"/>
                <w:sz w:val="24"/>
                <w:highlight w:val="none"/>
                <w:shd w:val="clear" w:color="auto" w:fill="auto"/>
              </w:rPr>
              <w:t>分，否则不得分。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108" w:type="dxa"/>
            <w:bottom w:w="0" w:type="dxa"/>
            <w:right w:w="108" w:type="dxa"/>
          </w:tblCellMar>
        </w:tblPrEx>
        <w:trPr>
          <w:trHeight w:val="1185" w:hRule="atLeast"/>
        </w:trPr>
        <w:tc>
          <w:tcPr>
            <w:tcW w:w="741" w:type="dxa"/>
            <w:vMerge w:val="restart"/>
            <w:tcBorders>
              <w:tl2br w:val="nil"/>
              <w:tr2bl w:val="nil"/>
            </w:tcBorders>
            <w:shd w:val="clear" w:color="auto" w:fill="FFFFFF" w:themeFill="background1"/>
            <w:vAlign w:val="center"/>
          </w:tcPr>
          <w:p>
            <w:pPr>
              <w:widowControl/>
              <w:numPr>
                <w:ilvl w:val="0"/>
                <w:numId w:val="6"/>
              </w:numPr>
              <w:jc w:val="center"/>
              <w:rPr>
                <w:rFonts w:ascii="宋体" w:cs="宋体"/>
                <w:color w:val="auto"/>
                <w:sz w:val="24"/>
                <w:highlight w:val="none"/>
                <w:shd w:val="clear" w:color="auto" w:fill="auto"/>
              </w:rPr>
            </w:pPr>
          </w:p>
        </w:tc>
        <w:tc>
          <w:tcPr>
            <w:tcW w:w="1461" w:type="dxa"/>
            <w:vMerge w:val="restart"/>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响应文件的质量</w:t>
            </w:r>
          </w:p>
          <w:p>
            <w:pPr>
              <w:jc w:val="center"/>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w:t>
            </w:r>
            <w:r>
              <w:rPr>
                <w:rFonts w:ascii="宋体" w:hAnsi="宋体" w:cs="宋体"/>
                <w:color w:val="auto"/>
                <w:sz w:val="24"/>
                <w:highlight w:val="none"/>
                <w:shd w:val="clear" w:color="auto" w:fill="auto"/>
              </w:rPr>
              <w:t>4</w:t>
            </w:r>
            <w:r>
              <w:rPr>
                <w:rFonts w:hint="eastAsia" w:ascii="宋体" w:hAnsi="宋体" w:cs="宋体"/>
                <w:color w:val="auto"/>
                <w:sz w:val="24"/>
                <w:highlight w:val="none"/>
                <w:shd w:val="clear" w:color="auto" w:fill="auto"/>
              </w:rPr>
              <w:t>分）</w:t>
            </w:r>
          </w:p>
        </w:tc>
        <w:tc>
          <w:tcPr>
            <w:tcW w:w="855" w:type="dxa"/>
            <w:tcBorders>
              <w:tl2br w:val="nil"/>
              <w:tr2bl w:val="nil"/>
            </w:tcBorders>
            <w:shd w:val="clear" w:color="auto" w:fill="FFFFFF" w:themeFill="background1"/>
            <w:vAlign w:val="center"/>
          </w:tcPr>
          <w:p>
            <w:pPr>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bCs/>
                <w:color w:val="auto"/>
                <w:sz w:val="24"/>
                <w:szCs w:val="24"/>
                <w:highlight w:val="none"/>
                <w:shd w:val="clear" w:color="auto" w:fill="auto"/>
              </w:rPr>
            </w:pPr>
            <w:r>
              <w:rPr>
                <w:rFonts w:hint="eastAsia" w:ascii="宋体" w:hAnsi="宋体" w:cs="宋体"/>
                <w:bCs/>
                <w:color w:val="auto"/>
                <w:sz w:val="24"/>
                <w:szCs w:val="24"/>
                <w:highlight w:val="none"/>
                <w:shd w:val="clear" w:color="auto" w:fill="auto"/>
              </w:rPr>
              <w:t>响应文件制作在满足招标文件要求的基础上，目录详尽、标记清楚、文字、复印证件等清晰的，得</w:t>
            </w:r>
            <w:r>
              <w:rPr>
                <w:rFonts w:ascii="宋体" w:hAnsi="宋体" w:cs="宋体"/>
                <w:bCs/>
                <w:color w:val="auto"/>
                <w:sz w:val="24"/>
                <w:szCs w:val="24"/>
                <w:highlight w:val="none"/>
                <w:shd w:val="clear" w:color="auto" w:fill="auto"/>
              </w:rPr>
              <w:t>0-2</w:t>
            </w:r>
            <w:r>
              <w:rPr>
                <w:rFonts w:hint="eastAsia" w:ascii="宋体" w:hAnsi="宋体" w:cs="宋体"/>
                <w:bCs/>
                <w:color w:val="auto"/>
                <w:sz w:val="24"/>
                <w:szCs w:val="24"/>
                <w:highlight w:val="none"/>
                <w:shd w:val="clear" w:color="auto" w:fill="auto"/>
              </w:rPr>
              <w:t>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4" w:hRule="atLeast"/>
        </w:trPr>
        <w:tc>
          <w:tcPr>
            <w:tcW w:w="74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1461" w:type="dxa"/>
            <w:vMerge w:val="continue"/>
            <w:tcBorders>
              <w:tl2br w:val="nil"/>
              <w:tr2bl w:val="nil"/>
            </w:tcBorders>
            <w:shd w:val="clear" w:color="auto" w:fill="FFFFFF" w:themeFill="background1"/>
            <w:vAlign w:val="center"/>
          </w:tcPr>
          <w:p>
            <w:pPr>
              <w:pStyle w:val="128"/>
              <w:spacing w:line="288" w:lineRule="auto"/>
              <w:rPr>
                <w:rFonts w:ascii="宋体" w:cs="宋体"/>
                <w:color w:val="auto"/>
                <w:highlight w:val="none"/>
                <w:shd w:val="clear" w:color="auto" w:fill="auto"/>
              </w:rPr>
            </w:pPr>
          </w:p>
        </w:tc>
        <w:tc>
          <w:tcPr>
            <w:tcW w:w="855" w:type="dxa"/>
            <w:tcBorders>
              <w:tl2br w:val="nil"/>
              <w:tr2bl w:val="nil"/>
            </w:tcBorders>
            <w:shd w:val="clear" w:color="auto" w:fill="FFFFFF" w:themeFill="background1"/>
            <w:vAlign w:val="center"/>
          </w:tcPr>
          <w:p>
            <w:pPr>
              <w:pStyle w:val="128"/>
              <w:spacing w:line="288" w:lineRule="auto"/>
              <w:jc w:val="center"/>
              <w:rPr>
                <w:rFonts w:ascii="宋体" w:cs="宋体"/>
                <w:color w:val="auto"/>
                <w:sz w:val="24"/>
                <w:highlight w:val="none"/>
                <w:shd w:val="clear" w:color="auto" w:fill="auto"/>
              </w:rPr>
            </w:pP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c>
          <w:tcPr>
            <w:tcW w:w="5415" w:type="dxa"/>
            <w:tcBorders>
              <w:tl2br w:val="nil"/>
              <w:tr2bl w:val="nil"/>
            </w:tcBorders>
            <w:shd w:val="clear" w:color="auto" w:fill="FFFFFF" w:themeFill="background1"/>
            <w:vAlign w:val="center"/>
          </w:tcPr>
          <w:p>
            <w:pPr>
              <w:pStyle w:val="128"/>
              <w:spacing w:line="360" w:lineRule="auto"/>
              <w:rPr>
                <w:rFonts w:ascii="宋体" w:cs="宋体"/>
                <w:color w:val="auto"/>
                <w:sz w:val="24"/>
                <w:highlight w:val="none"/>
                <w:shd w:val="clear" w:color="auto" w:fill="auto"/>
              </w:rPr>
            </w:pPr>
            <w:r>
              <w:rPr>
                <w:rFonts w:hint="eastAsia" w:ascii="宋体" w:hAnsi="宋体" w:cs="宋体"/>
                <w:color w:val="auto"/>
                <w:sz w:val="24"/>
                <w:highlight w:val="none"/>
                <w:shd w:val="clear" w:color="auto" w:fill="auto"/>
              </w:rPr>
              <w:t>根据响应文件内容是完整的、叙述是否准确细致得</w:t>
            </w:r>
            <w:r>
              <w:rPr>
                <w:rFonts w:ascii="宋体" w:hAnsi="宋体" w:cs="宋体"/>
                <w:color w:val="auto"/>
                <w:sz w:val="24"/>
                <w:highlight w:val="none"/>
                <w:shd w:val="clear" w:color="auto" w:fill="auto"/>
              </w:rPr>
              <w:t>0-2</w:t>
            </w:r>
            <w:r>
              <w:rPr>
                <w:rFonts w:hint="eastAsia" w:ascii="宋体" w:hAnsi="宋体" w:cs="宋体"/>
                <w:color w:val="auto"/>
                <w:sz w:val="24"/>
                <w:highlight w:val="none"/>
                <w:shd w:val="clear" w:color="auto" w:fill="auto"/>
              </w:rPr>
              <w:t>分</w:t>
            </w:r>
          </w:p>
        </w:tc>
      </w:tr>
    </w:tbl>
    <w:p>
      <w:pPr>
        <w:spacing w:line="360" w:lineRule="auto"/>
        <w:ind w:firstLine="480" w:firstLineChars="200"/>
        <w:rPr>
          <w:rFonts w:ascii="宋体" w:cs="宋体"/>
          <w:sz w:val="24"/>
          <w:szCs w:val="24"/>
          <w:highlight w:val="none"/>
        </w:rPr>
      </w:pPr>
      <w:r>
        <w:rPr>
          <w:rFonts w:ascii="宋体" w:hAnsi="宋体" w:cs="宋体"/>
          <w:sz w:val="24"/>
          <w:szCs w:val="24"/>
          <w:highlight w:val="none"/>
        </w:rPr>
        <w:t>29.2</w:t>
      </w:r>
      <w:r>
        <w:rPr>
          <w:rFonts w:hint="eastAsia" w:ascii="宋体" w:hAnsi="宋体" w:cs="宋体"/>
          <w:sz w:val="24"/>
          <w:szCs w:val="24"/>
          <w:highlight w:val="none"/>
        </w:rPr>
        <w:t>评分汇总</w:t>
      </w:r>
    </w:p>
    <w:p>
      <w:pPr>
        <w:spacing w:line="360" w:lineRule="auto"/>
        <w:ind w:firstLine="1132" w:firstLineChars="472"/>
        <w:rPr>
          <w:rFonts w:ascii="宋体" w:cs="宋体"/>
          <w:sz w:val="24"/>
          <w:szCs w:val="24"/>
          <w:highlight w:val="none"/>
        </w:rPr>
      </w:pPr>
      <w:r>
        <w:rPr>
          <w:rFonts w:hint="eastAsia" w:ascii="宋体" w:hAnsi="宋体" w:cs="宋体"/>
          <w:sz w:val="24"/>
          <w:szCs w:val="24"/>
          <w:highlight w:val="none"/>
        </w:rPr>
        <w:t>技术、商务总分＝各评委技术、商务评分总和÷评委人数</w:t>
      </w:r>
    </w:p>
    <w:p>
      <w:pPr>
        <w:spacing w:line="360" w:lineRule="auto"/>
        <w:ind w:firstLine="1132" w:firstLineChars="472"/>
        <w:rPr>
          <w:rFonts w:ascii="宋体" w:cs="宋体"/>
          <w:sz w:val="24"/>
          <w:szCs w:val="24"/>
          <w:highlight w:val="none"/>
        </w:rPr>
      </w:pPr>
      <w:r>
        <w:rPr>
          <w:rFonts w:hint="eastAsia" w:ascii="宋体" w:hAnsi="宋体" w:cs="宋体"/>
          <w:sz w:val="24"/>
          <w:szCs w:val="24"/>
          <w:highlight w:val="none"/>
        </w:rPr>
        <w:t>综合总分＝报价得分</w:t>
      </w:r>
      <w:r>
        <w:rPr>
          <w:rFonts w:ascii="宋体" w:hAnsi="宋体" w:cs="宋体"/>
          <w:sz w:val="24"/>
          <w:szCs w:val="24"/>
          <w:highlight w:val="none"/>
        </w:rPr>
        <w:t>+</w:t>
      </w:r>
      <w:r>
        <w:rPr>
          <w:rFonts w:hint="eastAsia" w:ascii="宋体" w:hAnsi="宋体" w:cs="宋体"/>
          <w:sz w:val="24"/>
          <w:szCs w:val="24"/>
          <w:highlight w:val="none"/>
        </w:rPr>
        <w:t>技术、商务总分</w:t>
      </w:r>
    </w:p>
    <w:p>
      <w:pPr>
        <w:spacing w:line="360" w:lineRule="auto"/>
        <w:rPr>
          <w:rFonts w:ascii="宋体" w:cs="宋体"/>
          <w:sz w:val="24"/>
          <w:szCs w:val="24"/>
          <w:highlight w:val="none"/>
        </w:rPr>
      </w:pPr>
      <w:r>
        <w:rPr>
          <w:rFonts w:ascii="宋体" w:hAnsi="宋体" w:cs="宋体"/>
          <w:sz w:val="24"/>
          <w:szCs w:val="24"/>
          <w:highlight w:val="none"/>
        </w:rPr>
        <w:t>30.</w:t>
      </w:r>
      <w:r>
        <w:rPr>
          <w:rFonts w:hint="eastAsia" w:ascii="宋体" w:hAnsi="宋体" w:cs="宋体"/>
          <w:sz w:val="24"/>
          <w:szCs w:val="24"/>
          <w:highlight w:val="none"/>
        </w:rPr>
        <w:t>推荐中标候选人名单</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30.1</w:t>
      </w:r>
      <w:r>
        <w:rPr>
          <w:rFonts w:hint="eastAsia" w:ascii="宋体" w:hAnsi="宋体" w:cs="宋体"/>
          <w:sz w:val="24"/>
          <w:szCs w:val="24"/>
          <w:highlight w:val="none"/>
        </w:rPr>
        <w:t>评标委员会按最终评标得分由高到低顺序对有效投标人排序，并按照排名顺序推荐中标候选人。最终评标得分相同的，按技术指标优劣顺序排列。</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30.2</w:t>
      </w:r>
      <w:r>
        <w:rPr>
          <w:rFonts w:hint="eastAsia" w:ascii="宋体" w:hAnsi="宋体" w:cs="宋体"/>
          <w:sz w:val="24"/>
          <w:szCs w:val="24"/>
          <w:highlight w:val="none"/>
        </w:rPr>
        <w:t>评审过程中涉及和产生的所有程序文件、原始打分表格、评审综合评审意见、推荐意见、评标报告等，均须由评委会成员签名确认。</w:t>
      </w:r>
    </w:p>
    <w:p>
      <w:pPr>
        <w:spacing w:line="360" w:lineRule="auto"/>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评审结果的确定</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采购人可事先授权评委会直接确定中标人，或在法定时间内对评审推荐结果进行确认。如非直接授权评委会确定中标人的，采购代理机构将在评审结束后，向采购人递交评审推荐意见。采购人依法确定中标人。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31.2</w:t>
      </w:r>
      <w:r>
        <w:rPr>
          <w:rFonts w:hint="eastAsia" w:ascii="宋体" w:hAnsi="宋体" w:cs="宋体"/>
          <w:sz w:val="24"/>
          <w:szCs w:val="24"/>
          <w:highlight w:val="none"/>
        </w:rPr>
        <w:t>如采购人需对评审推荐结果作进一步核实时，将有权根据评委会推荐的中标候选人名单，且按照采购文件的要求，依排名次序对中标候选人的主要技术和商务条款的响应程度作进一步的核实，确保投标方案能够完全满足采购文件的实时性要求，无出现重大偏离，且方案合法、真实、可行。</w:t>
      </w:r>
    </w:p>
    <w:p>
      <w:pPr>
        <w:spacing w:line="360" w:lineRule="auto"/>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中标结果公告</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32.1</w:t>
      </w:r>
      <w:r>
        <w:rPr>
          <w:rFonts w:hint="eastAsia" w:ascii="宋体" w:hAnsi="宋体" w:cs="宋体"/>
          <w:sz w:val="24"/>
          <w:szCs w:val="24"/>
          <w:highlight w:val="none"/>
        </w:rPr>
        <w:t>评审结果经采购人确认后，采购代理机构将在网上发布中标结果公告。</w:t>
      </w:r>
    </w:p>
    <w:p>
      <w:pPr>
        <w:spacing w:line="360" w:lineRule="auto"/>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33.1</w:t>
      </w:r>
      <w:r>
        <w:rPr>
          <w:rFonts w:hint="eastAsia" w:ascii="宋体" w:hAnsi="宋体" w:cs="宋体"/>
          <w:sz w:val="24"/>
          <w:szCs w:val="24"/>
          <w:highlight w:val="none"/>
        </w:rPr>
        <w:t>中标人确定后，采购代理机构将向中标人发出中标通知书。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33.2</w:t>
      </w:r>
      <w:r>
        <w:rPr>
          <w:rFonts w:hint="eastAsia" w:ascii="宋体" w:hAnsi="宋体" w:cs="宋体"/>
          <w:sz w:val="24"/>
          <w:szCs w:val="24"/>
          <w:highlight w:val="none"/>
        </w:rPr>
        <w:t>中标通知书是合同的一个组成部分。</w:t>
      </w:r>
    </w:p>
    <w:p>
      <w:pPr>
        <w:pStyle w:val="2"/>
        <w:rPr>
          <w:rFonts w:ascii="宋体" w:cs="宋体"/>
          <w:highlight w:val="none"/>
        </w:rPr>
      </w:pPr>
      <w:bookmarkStart w:id="7" w:name="_Toc517776511"/>
      <w:r>
        <w:rPr>
          <w:rFonts w:hint="eastAsia" w:ascii="宋体" w:hAnsi="宋体" w:cs="宋体"/>
          <w:highlight w:val="none"/>
        </w:rPr>
        <w:t>七、授予合同</w:t>
      </w:r>
      <w:bookmarkEnd w:id="7"/>
    </w:p>
    <w:p>
      <w:pPr>
        <w:spacing w:line="360" w:lineRule="auto"/>
        <w:rPr>
          <w:rFonts w:ascii="宋体" w:cs="宋体"/>
          <w:sz w:val="24"/>
          <w:szCs w:val="24"/>
          <w:highlight w:val="none"/>
        </w:rPr>
      </w:pPr>
      <w:r>
        <w:rPr>
          <w:rFonts w:ascii="宋体" w:hAnsi="宋体" w:cs="宋体"/>
          <w:sz w:val="24"/>
          <w:szCs w:val="24"/>
          <w:highlight w:val="none"/>
        </w:rPr>
        <w:t>34.</w:t>
      </w:r>
      <w:r>
        <w:rPr>
          <w:rFonts w:hint="eastAsia" w:ascii="宋体" w:hAnsi="宋体" w:cs="宋体"/>
          <w:sz w:val="24"/>
          <w:szCs w:val="24"/>
          <w:highlight w:val="none"/>
        </w:rPr>
        <w:t>合同的订立和履行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34.1</w:t>
      </w:r>
      <w:r>
        <w:rPr>
          <w:rFonts w:hint="eastAsia" w:ascii="宋体" w:hAnsi="宋体" w:cs="宋体"/>
          <w:sz w:val="24"/>
          <w:szCs w:val="24"/>
          <w:highlight w:val="none"/>
        </w:rPr>
        <w:t>采购人与中标人应按照《中标通知书》指定的时间内依据《合同法》、采购文件要求和中标人投标文件承诺签订政府采购合同。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34.2</w:t>
      </w:r>
      <w:r>
        <w:rPr>
          <w:rFonts w:hint="eastAsia" w:ascii="宋体" w:hAnsi="宋体" w:cs="宋体"/>
          <w:sz w:val="24"/>
          <w:szCs w:val="24"/>
          <w:highlight w:val="none"/>
        </w:rPr>
        <w:t>采购文件、投标文件、招投标过程相关澄清材料及来往文件、《中标通知书》等，均作为合同订立和裁定争议的依据。对这些文件个别条款要约的理解存在歧义、偏差、含糊、疏漏等情形时，均以采购代理机构的理解确认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34.3</w:t>
      </w:r>
      <w:r>
        <w:rPr>
          <w:rFonts w:hint="eastAsia" w:ascii="宋体" w:hAnsi="宋体" w:cs="宋体"/>
          <w:sz w:val="24"/>
          <w:szCs w:val="24"/>
          <w:highlight w:val="none"/>
        </w:rPr>
        <w:t>政府采购合同应当按照平等、自愿的原则拟定，合同标的、数量、金额、服务承诺、履约方式等必须与采购文件和中标人的投标文件保持一致，不得背离采购文件和投标文件实质性内容签订的政府采购合同。在不违反原采购方案要求和各方认可的文件内容前提下，合同当事人可对合同范本中个别非采购文件规定和投标文件承诺的合同条款共同协商完善补充修订。</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34.4</w:t>
      </w:r>
      <w:r>
        <w:rPr>
          <w:rFonts w:hint="eastAsia" w:ascii="宋体" w:hAnsi="宋体" w:cs="宋体"/>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34.5</w:t>
      </w:r>
      <w:r>
        <w:rPr>
          <w:rFonts w:hint="eastAsia" w:ascii="宋体" w:hAnsi="宋体" w:cs="宋体"/>
          <w:sz w:val="24"/>
          <w:szCs w:val="24"/>
          <w:highlight w:val="none"/>
        </w:rPr>
        <w:t>政府采购合同履行中，采购人需追加与合同标的相同的货物、工程或者服务的，在不改变合同其他条款的前提下，可以与投标人签订补充合同，但补充合同的采购金额不得超过原采购金额的百分之十。</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34.6</w:t>
      </w:r>
      <w:r>
        <w:rPr>
          <w:rFonts w:hint="eastAsia" w:ascii="宋体" w:hAnsi="宋体" w:cs="宋体"/>
          <w:sz w:val="24"/>
          <w:szCs w:val="24"/>
          <w:highlight w:val="none"/>
        </w:rPr>
        <w:t>合同生效后一切行为均适用于《中华人民共和国合同法》，履约期间有违约过错的一方，须承担相应的责任。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34.7</w:t>
      </w:r>
      <w:r>
        <w:rPr>
          <w:rFonts w:hint="eastAsia" w:ascii="宋体" w:hAnsi="宋体" w:cs="宋体"/>
          <w:sz w:val="24"/>
          <w:szCs w:val="24"/>
          <w:highlight w:val="none"/>
        </w:rPr>
        <w:t>采购合同根据项目同级政府采购管理部门要求见证的，须向投标人须知前附表规定的部门提交见证。</w:t>
      </w:r>
    </w:p>
    <w:p>
      <w:pPr>
        <w:pStyle w:val="3"/>
        <w:ind w:right="-92" w:rightChars="-44"/>
        <w:rPr>
          <w:rFonts w:ascii="宋体" w:cs="宋体"/>
          <w:szCs w:val="28"/>
          <w:highlight w:val="none"/>
        </w:rPr>
      </w:pPr>
      <w:bookmarkStart w:id="8" w:name="_Toc517776512"/>
      <w:r>
        <w:rPr>
          <w:rFonts w:hint="eastAsia" w:ascii="宋体" w:hAnsi="宋体" w:cs="宋体"/>
          <w:szCs w:val="28"/>
          <w:highlight w:val="none"/>
        </w:rPr>
        <w:t>第三章</w:t>
      </w:r>
      <w:r>
        <w:rPr>
          <w:rFonts w:hint="eastAsia" w:ascii="宋体" w:cs="宋体"/>
          <w:sz w:val="28"/>
          <w:szCs w:val="28"/>
          <w:highlight w:val="none"/>
        </w:rPr>
        <w:t xml:space="preserve">  </w:t>
      </w:r>
      <w:r>
        <w:rPr>
          <w:rFonts w:hint="eastAsia" w:ascii="宋体" w:hAnsi="宋体" w:cs="宋体"/>
          <w:szCs w:val="28"/>
          <w:highlight w:val="none"/>
          <w:lang w:eastAsia="zh-CN"/>
        </w:rPr>
        <w:t>用户</w:t>
      </w:r>
      <w:r>
        <w:rPr>
          <w:rFonts w:hint="eastAsia" w:ascii="宋体" w:hAnsi="宋体" w:cs="宋体"/>
          <w:szCs w:val="28"/>
          <w:highlight w:val="none"/>
        </w:rPr>
        <w:t>需求：</w:t>
      </w:r>
      <w:bookmarkEnd w:id="8"/>
    </w:p>
    <w:p>
      <w:pPr>
        <w:jc w:val="center"/>
        <w:rPr>
          <w:b/>
          <w:sz w:val="36"/>
          <w:szCs w:val="36"/>
        </w:rPr>
      </w:pPr>
      <w:r>
        <w:rPr>
          <w:rFonts w:hint="eastAsia"/>
          <w:b/>
          <w:sz w:val="36"/>
          <w:szCs w:val="36"/>
        </w:rPr>
        <w:t>841台广播电视备品备件采购需求</w:t>
      </w:r>
    </w:p>
    <w:p>
      <w:pPr>
        <w:widowControl/>
        <w:spacing w:line="360" w:lineRule="auto"/>
        <w:ind w:firstLine="420" w:firstLineChars="200"/>
        <w:jc w:val="left"/>
        <w:rPr>
          <w:rFonts w:asciiTheme="minorEastAsia" w:hAnsiTheme="minorEastAsia" w:eastAsiaTheme="minorEastAsia"/>
        </w:rPr>
      </w:pPr>
      <w:bookmarkStart w:id="9" w:name="_Toc352709742"/>
      <w:r>
        <w:rPr>
          <w:rFonts w:hint="eastAsia" w:asciiTheme="minorEastAsia" w:hAnsiTheme="minorEastAsia" w:eastAsiaTheme="minorEastAsia"/>
        </w:rPr>
        <w:t>新疆广电局841台是新疆广电局节目传输中心下属最大转播台站，担负着中央及地方11套调频节目的播出覆盖。根据台站安全播出的要求，拟采购备品备件内容如下：信源智能切换器（接口、操作方式一致，不需要改接口及配置直接替换现有设备）、音频多画面监测系统（与现有机房功能性能一致）、发射机自动化监控软件升级扩容（与现有机房功能性能一致并接入总值班系统）、发射机采集控制器程序升级（与现有功能性能一致）、电视墙框架更新及搬迁等产品及服务，实现现有机房系统的完善、关键设备的备份，信源智能切换及监测、音频信号监测（信源及解调）、发射机自动化监控监测、电视墙搬迁建设等内容，备品备件安装调试完毕后不能影响现有设备及系统的稳定运行，需实现整体功能即总值班及机房所有监测监控系统均稳定正常工作，从而有力保障台站的安全播出。</w:t>
      </w:r>
    </w:p>
    <w:p>
      <w:pPr>
        <w:widowControl/>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广播电视备品备件技术要求如下：</w:t>
      </w:r>
    </w:p>
    <w:bookmarkEnd w:id="9"/>
    <w:tbl>
      <w:tblPr>
        <w:tblStyle w:val="36"/>
        <w:tblW w:w="910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23"/>
        <w:gridCol w:w="3969"/>
        <w:gridCol w:w="709"/>
        <w:gridCol w:w="992"/>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109" w:type="dxa"/>
            <w:gridSpan w:val="6"/>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广播电视备品备件需求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序号</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设备名称</w:t>
            </w:r>
          </w:p>
        </w:tc>
        <w:tc>
          <w:tcPr>
            <w:tcW w:w="396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技术要求</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单位</w:t>
            </w:r>
          </w:p>
        </w:tc>
        <w:tc>
          <w:tcPr>
            <w:tcW w:w="992"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w:t>
            </w:r>
          </w:p>
        </w:tc>
        <w:tc>
          <w:tcPr>
            <w:tcW w:w="887" w:type="dxa"/>
            <w:shd w:val="clear" w:color="auto" w:fill="auto"/>
            <w:noWrap/>
            <w:vAlign w:val="center"/>
          </w:tcPr>
          <w:p>
            <w:pPr>
              <w:widowControl/>
              <w:jc w:val="left"/>
              <w:rPr>
                <w:rFonts w:ascii="宋体" w:hAnsi="宋体" w:cs="宋体"/>
                <w:kern w:val="0"/>
                <w:sz w:val="21"/>
                <w:szCs w:val="21"/>
              </w:rPr>
            </w:pPr>
            <w:r>
              <w:rPr>
                <w:rFonts w:hint="eastAsia" w:ascii="宋体" w:hAnsi="宋体" w:cs="宋体"/>
                <w:kern w:val="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22" w:type="dxa"/>
            <w:gridSpan w:val="5"/>
            <w:shd w:val="clear" w:color="auto" w:fill="auto"/>
            <w:vAlign w:val="center"/>
          </w:tcPr>
          <w:p>
            <w:pPr>
              <w:widowControl/>
              <w:rPr>
                <w:rFonts w:ascii="宋体" w:hAnsi="宋体" w:cs="宋体"/>
                <w:kern w:val="0"/>
                <w:sz w:val="21"/>
                <w:szCs w:val="21"/>
              </w:rPr>
            </w:pPr>
            <w:r>
              <w:rPr>
                <w:rFonts w:hint="eastAsia" w:ascii="宋体" w:hAnsi="宋体" w:cs="宋体"/>
                <w:b/>
                <w:bCs/>
                <w:color w:val="000000"/>
                <w:kern w:val="0"/>
                <w:sz w:val="28"/>
                <w:szCs w:val="28"/>
              </w:rPr>
              <w:t>一、设备新增</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信源智能切换器</w:t>
            </w:r>
          </w:p>
        </w:tc>
        <w:tc>
          <w:tcPr>
            <w:tcW w:w="3969" w:type="dxa"/>
            <w:shd w:val="clear" w:color="auto" w:fill="auto"/>
            <w:vAlign w:val="center"/>
          </w:tcPr>
          <w:p>
            <w:pPr>
              <w:widowControl/>
              <w:rPr>
                <w:rFonts w:ascii="宋体" w:hAnsi="宋体" w:cs="宋体"/>
                <w:kern w:val="0"/>
                <w:sz w:val="21"/>
                <w:szCs w:val="21"/>
              </w:rPr>
            </w:pPr>
            <w:r>
              <w:rPr>
                <w:rFonts w:hint="eastAsia" w:ascii="宋体" w:hAnsi="宋体" w:cs="宋体"/>
                <w:kern w:val="0"/>
                <w:sz w:val="21"/>
                <w:szCs w:val="21"/>
              </w:rPr>
              <w:t>1、提供广电总局备案的检测机构出具的设备检测报告并满足以下参数：</w:t>
            </w:r>
          </w:p>
          <w:p>
            <w:pPr>
              <w:widowControl/>
              <w:rPr>
                <w:rFonts w:ascii="宋体" w:hAnsi="宋体" w:cs="宋体"/>
                <w:kern w:val="0"/>
                <w:sz w:val="21"/>
                <w:szCs w:val="21"/>
              </w:rPr>
            </w:pPr>
            <w:r>
              <w:rPr>
                <w:rFonts w:hint="eastAsia" w:ascii="宋体" w:hAnsi="宋体" w:cs="宋体"/>
                <w:kern w:val="0"/>
                <w:sz w:val="21"/>
                <w:szCs w:val="21"/>
              </w:rPr>
              <w:t>2、音频指标不低于广播电视音频甲级指标；</w:t>
            </w:r>
          </w:p>
          <w:p>
            <w:pPr>
              <w:widowControl/>
              <w:rPr>
                <w:rFonts w:ascii="宋体" w:hAnsi="宋体" w:cs="宋体"/>
                <w:kern w:val="0"/>
                <w:sz w:val="21"/>
                <w:szCs w:val="21"/>
              </w:rPr>
            </w:pPr>
            <w:r>
              <w:rPr>
                <w:rFonts w:hint="eastAsia" w:ascii="宋体" w:hAnsi="宋体" w:cs="宋体"/>
                <w:kern w:val="0"/>
                <w:sz w:val="21"/>
                <w:szCs w:val="21"/>
              </w:rPr>
              <w:t>3、支持模拟音频或数字音频输出功能；</w:t>
            </w:r>
          </w:p>
          <w:p>
            <w:pPr>
              <w:widowControl/>
              <w:rPr>
                <w:rFonts w:ascii="宋体" w:hAnsi="宋体" w:cs="宋体"/>
                <w:kern w:val="0"/>
                <w:sz w:val="21"/>
                <w:szCs w:val="21"/>
              </w:rPr>
            </w:pPr>
            <w:r>
              <w:rPr>
                <w:rFonts w:hint="eastAsia" w:ascii="宋体" w:hAnsi="宋体" w:cs="宋体"/>
                <w:kern w:val="0"/>
                <w:sz w:val="21"/>
                <w:szCs w:val="21"/>
              </w:rPr>
              <w:t>支持4路主信源、1路垫音的自动切换输出功能；</w:t>
            </w:r>
          </w:p>
          <w:p>
            <w:pPr>
              <w:widowControl/>
              <w:rPr>
                <w:rFonts w:ascii="宋体" w:hAnsi="宋体" w:cs="宋体"/>
                <w:kern w:val="0"/>
                <w:sz w:val="21"/>
                <w:szCs w:val="21"/>
              </w:rPr>
            </w:pPr>
            <w:r>
              <w:rPr>
                <w:rFonts w:hint="eastAsia" w:ascii="宋体" w:hAnsi="宋体" w:cs="宋体"/>
                <w:kern w:val="0"/>
                <w:sz w:val="21"/>
                <w:szCs w:val="21"/>
              </w:rPr>
              <w:t>4、第4通道也可定义为应急广播通道，可以进行远程强制切换(自动或手动状态均可)；</w:t>
            </w:r>
          </w:p>
          <w:p>
            <w:pPr>
              <w:widowControl/>
              <w:rPr>
                <w:rFonts w:ascii="宋体" w:hAnsi="宋体" w:cs="宋体"/>
                <w:kern w:val="0"/>
                <w:sz w:val="21"/>
                <w:szCs w:val="21"/>
              </w:rPr>
            </w:pPr>
            <w:r>
              <w:rPr>
                <w:rFonts w:hint="eastAsia" w:ascii="宋体" w:hAnsi="宋体" w:cs="宋体"/>
                <w:kern w:val="0"/>
                <w:sz w:val="21"/>
                <w:szCs w:val="21"/>
              </w:rPr>
              <w:t>5、支持4路模拟音频输出或4路数字音频输出功能；</w:t>
            </w:r>
          </w:p>
          <w:p>
            <w:pPr>
              <w:widowControl/>
              <w:rPr>
                <w:rFonts w:ascii="宋体" w:hAnsi="宋体" w:cs="宋体"/>
                <w:kern w:val="0"/>
                <w:sz w:val="21"/>
                <w:szCs w:val="21"/>
              </w:rPr>
            </w:pPr>
            <w:r>
              <w:rPr>
                <w:rFonts w:hint="eastAsia" w:ascii="宋体" w:hAnsi="宋体" w:cs="宋体"/>
                <w:kern w:val="0"/>
                <w:sz w:val="21"/>
                <w:szCs w:val="21"/>
              </w:rPr>
              <w:t>6、支持切换器的状态、报警参数的网络数字输出功能；</w:t>
            </w:r>
          </w:p>
          <w:p>
            <w:pPr>
              <w:widowControl/>
              <w:rPr>
                <w:rFonts w:ascii="宋体" w:hAnsi="宋体" w:cs="宋体"/>
                <w:kern w:val="0"/>
                <w:sz w:val="21"/>
                <w:szCs w:val="21"/>
              </w:rPr>
            </w:pPr>
            <w:r>
              <w:rPr>
                <w:rFonts w:hint="eastAsia" w:ascii="宋体" w:hAnsi="宋体" w:cs="宋体"/>
                <w:kern w:val="0"/>
                <w:sz w:val="21"/>
                <w:szCs w:val="21"/>
              </w:rPr>
              <w:t>7、支持输入信源的音频环出功能；支持前两路信源的断电直通功能；</w:t>
            </w:r>
          </w:p>
          <w:p>
            <w:pPr>
              <w:widowControl/>
              <w:rPr>
                <w:rFonts w:ascii="宋体" w:hAnsi="宋体" w:cs="宋体"/>
                <w:kern w:val="0"/>
                <w:sz w:val="21"/>
                <w:szCs w:val="21"/>
              </w:rPr>
            </w:pPr>
            <w:r>
              <w:rPr>
                <w:rFonts w:hint="eastAsia" w:ascii="宋体" w:hAnsi="宋体" w:cs="宋体"/>
                <w:kern w:val="0"/>
                <w:sz w:val="21"/>
                <w:szCs w:val="21"/>
              </w:rPr>
              <w:t>8、支持平衡/不平衡输入转换；</w:t>
            </w:r>
          </w:p>
          <w:p>
            <w:pPr>
              <w:widowControl/>
              <w:rPr>
                <w:rFonts w:ascii="宋体" w:hAnsi="宋体" w:cs="宋体"/>
                <w:kern w:val="0"/>
                <w:sz w:val="21"/>
                <w:szCs w:val="21"/>
              </w:rPr>
            </w:pPr>
            <w:r>
              <w:rPr>
                <w:rFonts w:hint="eastAsia" w:ascii="宋体" w:hAnsi="宋体" w:cs="宋体"/>
                <w:kern w:val="0"/>
                <w:sz w:val="21"/>
                <w:szCs w:val="21"/>
              </w:rPr>
              <w:t>9、对输入音频信号进行音量检测，判别门限可选，音频信号静音时间可选；</w:t>
            </w:r>
          </w:p>
          <w:p>
            <w:pPr>
              <w:widowControl/>
              <w:rPr>
                <w:rFonts w:ascii="宋体" w:hAnsi="宋体" w:cs="宋体"/>
                <w:kern w:val="0"/>
                <w:sz w:val="21"/>
                <w:szCs w:val="21"/>
              </w:rPr>
            </w:pPr>
            <w:r>
              <w:rPr>
                <w:rFonts w:hint="eastAsia" w:ascii="宋体" w:hAnsi="宋体" w:cs="宋体"/>
                <w:kern w:val="0"/>
                <w:sz w:val="21"/>
                <w:szCs w:val="21"/>
              </w:rPr>
              <w:t>10、各种设置参数具有掉电记忆功能；</w:t>
            </w:r>
          </w:p>
          <w:p>
            <w:pPr>
              <w:widowControl/>
              <w:rPr>
                <w:rFonts w:ascii="宋体" w:hAnsi="宋体" w:cs="宋体"/>
                <w:kern w:val="0"/>
                <w:sz w:val="21"/>
                <w:szCs w:val="21"/>
              </w:rPr>
            </w:pPr>
            <w:r>
              <w:rPr>
                <w:rFonts w:hint="eastAsia" w:ascii="宋体" w:hAnsi="宋体" w:cs="宋体"/>
                <w:kern w:val="0"/>
                <w:sz w:val="21"/>
                <w:szCs w:val="21"/>
              </w:rPr>
              <w:t>11、支持控制计算机集中监控；</w:t>
            </w:r>
          </w:p>
          <w:p>
            <w:pPr>
              <w:widowControl/>
              <w:rPr>
                <w:rFonts w:ascii="宋体" w:hAnsi="宋体" w:cs="宋体"/>
                <w:kern w:val="0"/>
                <w:sz w:val="21"/>
                <w:szCs w:val="21"/>
              </w:rPr>
            </w:pPr>
            <w:r>
              <w:rPr>
                <w:rFonts w:hint="eastAsia" w:ascii="宋体" w:hAnsi="宋体" w:cs="宋体"/>
                <w:kern w:val="0"/>
                <w:sz w:val="21"/>
                <w:szCs w:val="21"/>
              </w:rPr>
              <w:t>12、支持远程参数设置功能；支持网口通信功能。接口类型为RJ45；</w:t>
            </w:r>
          </w:p>
          <w:p>
            <w:pPr>
              <w:widowControl/>
              <w:rPr>
                <w:rFonts w:ascii="宋体" w:hAnsi="宋体" w:cs="宋体"/>
                <w:kern w:val="0"/>
                <w:sz w:val="21"/>
                <w:szCs w:val="21"/>
              </w:rPr>
            </w:pPr>
            <w:r>
              <w:rPr>
                <w:rFonts w:hint="eastAsia" w:ascii="宋体" w:hAnsi="宋体" w:cs="宋体"/>
                <w:kern w:val="0"/>
                <w:sz w:val="21"/>
                <w:szCs w:val="21"/>
              </w:rPr>
              <w:t>13、支持UDP点对点、单播、组播、RSTP、HTTP协议传输，音频数据通过网络传输；</w:t>
            </w:r>
          </w:p>
          <w:p>
            <w:pPr>
              <w:widowControl/>
              <w:rPr>
                <w:rFonts w:ascii="宋体" w:hAnsi="宋体" w:cs="宋体"/>
                <w:kern w:val="0"/>
                <w:sz w:val="21"/>
                <w:szCs w:val="21"/>
              </w:rPr>
            </w:pPr>
            <w:r>
              <w:rPr>
                <w:rFonts w:hint="eastAsia" w:ascii="宋体" w:hAnsi="宋体" w:cs="宋体"/>
                <w:kern w:val="0"/>
                <w:sz w:val="21"/>
                <w:szCs w:val="21"/>
              </w:rPr>
              <w:t>具有以太网通讯接口，可进行四路信源的音频信号编码输出，接入台站音频对画面监测系统。</w:t>
            </w:r>
          </w:p>
          <w:p>
            <w:pPr>
              <w:widowControl/>
              <w:rPr>
                <w:rFonts w:ascii="宋体" w:hAnsi="宋体" w:cs="宋体"/>
                <w:kern w:val="0"/>
                <w:sz w:val="21"/>
                <w:szCs w:val="21"/>
              </w:rPr>
            </w:pPr>
            <w:r>
              <w:rPr>
                <w:rFonts w:hint="eastAsia" w:ascii="宋体" w:hAnsi="宋体" w:cs="宋体"/>
                <w:kern w:val="0"/>
                <w:sz w:val="21"/>
                <w:szCs w:val="21"/>
              </w:rPr>
              <w:t>提供广播电视器材入网证。</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台</w:t>
            </w:r>
          </w:p>
        </w:tc>
        <w:tc>
          <w:tcPr>
            <w:tcW w:w="992"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887"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配套音频线缆</w:t>
            </w:r>
          </w:p>
        </w:tc>
        <w:tc>
          <w:tcPr>
            <w:tcW w:w="3969"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不低于台站现有的国标线缆质量标准</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米</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kern w:val="0"/>
                <w:sz w:val="21"/>
                <w:szCs w:val="21"/>
              </w:rPr>
              <w:t>600</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222" w:type="dxa"/>
            <w:gridSpan w:val="5"/>
            <w:shd w:val="clear" w:color="auto" w:fill="auto"/>
            <w:vAlign w:val="center"/>
          </w:tcPr>
          <w:p>
            <w:pPr>
              <w:widowControl/>
              <w:rPr>
                <w:rFonts w:ascii="宋体" w:hAnsi="宋体" w:cs="宋体"/>
                <w:b/>
                <w:bCs/>
                <w:color w:val="000000"/>
                <w:kern w:val="0"/>
                <w:sz w:val="28"/>
                <w:szCs w:val="28"/>
              </w:rPr>
            </w:pPr>
            <w:r>
              <w:rPr>
                <w:rFonts w:hint="eastAsia" w:ascii="宋体" w:hAnsi="宋体" w:cs="宋体"/>
                <w:b/>
                <w:bCs/>
                <w:color w:val="000000"/>
                <w:kern w:val="0"/>
                <w:sz w:val="28"/>
                <w:szCs w:val="28"/>
              </w:rPr>
              <w:t>二、自动化监控软件升级</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音频多画面监测系统</w:t>
            </w:r>
          </w:p>
        </w:tc>
        <w:tc>
          <w:tcPr>
            <w:tcW w:w="3969" w:type="dxa"/>
            <w:shd w:val="clear" w:color="auto" w:fill="auto"/>
            <w:vAlign w:val="center"/>
          </w:tcPr>
          <w:p>
            <w:pPr>
              <w:widowControl/>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不低于台站已建设系统的功能及性能</w:t>
            </w:r>
            <w:r>
              <w:rPr>
                <w:rFonts w:hint="eastAsia" w:ascii="宋体" w:hAnsi="宋体" w:cs="宋体"/>
                <w:kern w:val="0"/>
                <w:sz w:val="21"/>
                <w:szCs w:val="21"/>
              </w:rPr>
              <w:t>；</w:t>
            </w:r>
          </w:p>
          <w:p>
            <w:pPr>
              <w:widowControl/>
              <w:rPr>
                <w:rFonts w:ascii="宋体" w:hAnsi="宋体" w:cs="宋体"/>
                <w:kern w:val="0"/>
                <w:sz w:val="21"/>
                <w:szCs w:val="21"/>
              </w:rPr>
            </w:pPr>
            <w:r>
              <w:rPr>
                <w:rFonts w:hint="eastAsia" w:ascii="宋体" w:hAnsi="宋体" w:cs="宋体"/>
                <w:kern w:val="0"/>
                <w:sz w:val="21"/>
                <w:szCs w:val="21"/>
              </w:rPr>
              <w:t>2、实现机房的信号无缝监测；</w:t>
            </w:r>
          </w:p>
          <w:p>
            <w:pPr>
              <w:widowControl/>
              <w:rPr>
                <w:rFonts w:ascii="宋体" w:hAnsi="宋体" w:cs="宋体"/>
                <w:kern w:val="0"/>
                <w:sz w:val="21"/>
                <w:szCs w:val="21"/>
              </w:rPr>
            </w:pPr>
            <w:r>
              <w:rPr>
                <w:rFonts w:hint="eastAsia" w:ascii="宋体" w:hAnsi="宋体" w:cs="宋体"/>
                <w:kern w:val="0"/>
                <w:sz w:val="21"/>
                <w:szCs w:val="21"/>
              </w:rPr>
              <w:t>3、提供广电总局备案的第三方检测机构出具的检测报告；</w:t>
            </w:r>
          </w:p>
          <w:p>
            <w:pPr>
              <w:widowControl/>
              <w:rPr>
                <w:rFonts w:ascii="宋体" w:hAnsi="宋体" w:cs="宋体"/>
                <w:kern w:val="0"/>
                <w:sz w:val="21"/>
                <w:szCs w:val="21"/>
              </w:rPr>
            </w:pPr>
            <w:r>
              <w:rPr>
                <w:rFonts w:hint="eastAsia" w:ascii="宋体" w:hAnsi="宋体" w:cs="宋体"/>
                <w:kern w:val="0"/>
                <w:sz w:val="21"/>
                <w:szCs w:val="21"/>
              </w:rPr>
              <w:t>4、电视节目与广播节目同屏组合监测，具备实时监测与轮循监测相结合的监测模式；</w:t>
            </w:r>
          </w:p>
          <w:p>
            <w:pPr>
              <w:widowControl/>
              <w:rPr>
                <w:rFonts w:ascii="宋体" w:hAnsi="宋体" w:cs="宋体"/>
                <w:kern w:val="0"/>
                <w:sz w:val="21"/>
                <w:szCs w:val="21"/>
              </w:rPr>
            </w:pPr>
            <w:r>
              <w:rPr>
                <w:rFonts w:hint="eastAsia" w:ascii="宋体" w:hAnsi="宋体" w:cs="宋体"/>
                <w:kern w:val="0"/>
                <w:sz w:val="21"/>
                <w:szCs w:val="21"/>
              </w:rPr>
              <w:t>5、轮循时幻灭切换平滑无缝、无黑屏；具备音频丢失、音量过高、音量过低等音频故障监测；</w:t>
            </w:r>
          </w:p>
          <w:p>
            <w:pPr>
              <w:widowControl/>
              <w:rPr>
                <w:rFonts w:ascii="宋体" w:hAnsi="宋体" w:cs="宋体"/>
                <w:kern w:val="0"/>
                <w:sz w:val="21"/>
                <w:szCs w:val="21"/>
              </w:rPr>
            </w:pPr>
            <w:r>
              <w:rPr>
                <w:rFonts w:hint="eastAsia" w:ascii="宋体" w:hAnsi="宋体" w:cs="宋体"/>
                <w:kern w:val="0"/>
                <w:sz w:val="21"/>
                <w:szCs w:val="21"/>
              </w:rPr>
              <w:t>6、系统会实时监视多套视音频信号，一旦发生节目故障，系统会根据用户设置的报警延时给予报警提示，同时实时报警的状态指示灯由绿色变为红色，来告知用户该节目是出现哪种故障；</w:t>
            </w:r>
          </w:p>
          <w:p>
            <w:pPr>
              <w:widowControl/>
              <w:rPr>
                <w:rFonts w:ascii="宋体" w:hAnsi="宋体" w:cs="宋体"/>
                <w:kern w:val="0"/>
                <w:sz w:val="21"/>
                <w:szCs w:val="21"/>
              </w:rPr>
            </w:pPr>
            <w:r>
              <w:rPr>
                <w:rFonts w:hint="eastAsia" w:ascii="宋体" w:hAnsi="宋体" w:cs="宋体"/>
                <w:kern w:val="0"/>
                <w:sz w:val="21"/>
                <w:szCs w:val="21"/>
              </w:rPr>
              <w:t>7、节目设置主要是添加一些正在播放的广播电台节目，某些广播电台节目在播放过程中未被监听，可通过节目设置把想要监听的节目添加到节目列表中即可对此广播电台节目进行监视监听；</w:t>
            </w:r>
          </w:p>
          <w:p>
            <w:pPr>
              <w:widowControl/>
              <w:rPr>
                <w:rFonts w:ascii="宋体" w:hAnsi="宋体" w:cs="宋体"/>
                <w:kern w:val="0"/>
                <w:sz w:val="21"/>
                <w:szCs w:val="21"/>
              </w:rPr>
            </w:pPr>
            <w:r>
              <w:rPr>
                <w:rFonts w:hint="eastAsia" w:ascii="宋体" w:hAnsi="宋体" w:cs="宋体"/>
                <w:kern w:val="0"/>
                <w:sz w:val="21"/>
                <w:szCs w:val="21"/>
              </w:rPr>
              <w:t>8、设置更改该系统的配置信息，包括屏幕设置、录制节目保存路径、录像最小保留时长、文件录制时长、服务IP、服务监听端口等；</w:t>
            </w:r>
          </w:p>
          <w:p>
            <w:pPr>
              <w:widowControl/>
              <w:rPr>
                <w:rFonts w:ascii="宋体" w:hAnsi="宋体" w:cs="宋体"/>
                <w:kern w:val="0"/>
                <w:sz w:val="21"/>
                <w:szCs w:val="21"/>
              </w:rPr>
            </w:pPr>
            <w:r>
              <w:rPr>
                <w:rFonts w:hint="eastAsia" w:ascii="宋体" w:hAnsi="宋体" w:cs="宋体"/>
                <w:kern w:val="0"/>
                <w:sz w:val="21"/>
                <w:szCs w:val="21"/>
              </w:rPr>
              <w:t>9、具备节目源、节目类型设置；支持音频报警门限设置；</w:t>
            </w:r>
          </w:p>
          <w:p>
            <w:pPr>
              <w:widowControl/>
              <w:rPr>
                <w:rFonts w:ascii="宋体" w:hAnsi="宋体" w:cs="宋体"/>
                <w:kern w:val="0"/>
                <w:sz w:val="21"/>
                <w:szCs w:val="21"/>
              </w:rPr>
            </w:pPr>
            <w:r>
              <w:rPr>
                <w:rFonts w:hint="eastAsia" w:ascii="宋体" w:hAnsi="宋体" w:cs="宋体"/>
                <w:kern w:val="0"/>
                <w:sz w:val="21"/>
                <w:szCs w:val="21"/>
              </w:rPr>
              <w:t>10、支持监测节目播出时间设置；支持监测节目播出时间段设置。</w:t>
            </w:r>
          </w:p>
          <w:p>
            <w:pPr>
              <w:widowControl/>
              <w:rPr>
                <w:rFonts w:ascii="宋体" w:hAnsi="宋体" w:cs="宋体"/>
                <w:kern w:val="0"/>
                <w:sz w:val="21"/>
                <w:szCs w:val="21"/>
              </w:rPr>
            </w:pPr>
            <w:r>
              <w:rPr>
                <w:rFonts w:hint="eastAsia" w:ascii="宋体" w:hAnsi="宋体" w:cs="宋体"/>
                <w:kern w:val="0"/>
                <w:sz w:val="21"/>
                <w:szCs w:val="21"/>
              </w:rPr>
              <w:t>11、具备自定义显示模版功能，提供多种信息提示，自定义设置通道显示，以OSD方式显示节目信息；可在指定位置显示模拟/数字时钟，并可叠加图片；</w:t>
            </w:r>
          </w:p>
          <w:p>
            <w:pPr>
              <w:widowControl/>
              <w:rPr>
                <w:rFonts w:ascii="宋体" w:hAnsi="宋体" w:cs="宋体"/>
                <w:kern w:val="0"/>
                <w:sz w:val="21"/>
                <w:szCs w:val="21"/>
              </w:rPr>
            </w:pPr>
            <w:r>
              <w:rPr>
                <w:rFonts w:hint="eastAsia" w:ascii="宋体" w:hAnsi="宋体" w:cs="宋体"/>
                <w:kern w:val="0"/>
                <w:sz w:val="21"/>
                <w:szCs w:val="21"/>
              </w:rPr>
              <w:t>12、具备实时上传报警信息至数据中心，13、支持语音、文字和颜色图形、图像边框和标题等多中报警方式。支持短信、微信报警方式；具备音频丢失报警，对于音频丢失故障，依据电平波动门限判断音频丢失；</w:t>
            </w:r>
          </w:p>
          <w:p>
            <w:pPr>
              <w:widowControl/>
              <w:rPr>
                <w:rFonts w:ascii="宋体" w:hAnsi="宋体" w:cs="宋体"/>
                <w:kern w:val="0"/>
                <w:sz w:val="21"/>
                <w:szCs w:val="21"/>
              </w:rPr>
            </w:pPr>
            <w:r>
              <w:rPr>
                <w:rFonts w:hint="eastAsia" w:ascii="宋体" w:hAnsi="宋体" w:cs="宋体"/>
                <w:kern w:val="0"/>
                <w:sz w:val="21"/>
                <w:szCs w:val="21"/>
              </w:rPr>
              <w:t>14、支持MP2、MP3、AC3、ACC、DRA、DRA+、杜比5.1声道的音频解码；</w:t>
            </w:r>
          </w:p>
          <w:p>
            <w:pPr>
              <w:widowControl/>
              <w:rPr>
                <w:rFonts w:ascii="宋体" w:hAnsi="宋体" w:cs="宋体"/>
                <w:kern w:val="0"/>
                <w:sz w:val="21"/>
                <w:szCs w:val="21"/>
              </w:rPr>
            </w:pPr>
            <w:r>
              <w:rPr>
                <w:rFonts w:hint="eastAsia" w:ascii="宋体" w:hAnsi="宋体" w:cs="宋体"/>
                <w:kern w:val="0"/>
                <w:sz w:val="21"/>
                <w:szCs w:val="21"/>
              </w:rPr>
              <w:t>15、支持电视节目、广播节目多信号源混合监测。</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套</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发射机自动化监控软件升级扩容</w:t>
            </w:r>
          </w:p>
        </w:tc>
        <w:tc>
          <w:tcPr>
            <w:tcW w:w="3969"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1、5主备调频、2主备数字电视、1调频备机自动化监；</w:t>
            </w:r>
          </w:p>
          <w:p>
            <w:pPr>
              <w:widowControl/>
              <w:jc w:val="left"/>
              <w:rPr>
                <w:rFonts w:ascii="宋体" w:hAnsi="宋体" w:cs="宋体"/>
                <w:kern w:val="0"/>
                <w:sz w:val="21"/>
                <w:szCs w:val="21"/>
              </w:rPr>
            </w:pPr>
            <w:r>
              <w:rPr>
                <w:rFonts w:hint="eastAsia" w:ascii="宋体" w:hAnsi="宋体" w:cs="宋体"/>
                <w:kern w:val="0"/>
                <w:sz w:val="21"/>
                <w:szCs w:val="21"/>
              </w:rPr>
              <w:t>2、发射机采集控制器硬件利旧，发射机采集控制器程序升级，增加控制过程详情记录及查询，便于故障精准分析；</w:t>
            </w:r>
          </w:p>
          <w:p>
            <w:pPr>
              <w:widowControl/>
              <w:jc w:val="left"/>
              <w:rPr>
                <w:rFonts w:ascii="宋体" w:hAnsi="宋体" w:cs="宋体"/>
                <w:kern w:val="0"/>
                <w:sz w:val="21"/>
                <w:szCs w:val="21"/>
              </w:rPr>
            </w:pPr>
            <w:r>
              <w:rPr>
                <w:rFonts w:hint="eastAsia" w:ascii="宋体" w:hAnsi="宋体" w:cs="宋体"/>
                <w:kern w:val="0"/>
                <w:sz w:val="21"/>
                <w:szCs w:val="21"/>
              </w:rPr>
              <w:t>3、界面及控制功能与现有已升级系统功能、风格、操作习惯一致；</w:t>
            </w:r>
          </w:p>
          <w:p>
            <w:pPr>
              <w:widowControl/>
              <w:rPr>
                <w:rFonts w:ascii="宋体" w:hAnsi="宋体" w:cs="宋体"/>
                <w:kern w:val="0"/>
                <w:sz w:val="21"/>
                <w:szCs w:val="21"/>
              </w:rPr>
            </w:pPr>
            <w:r>
              <w:rPr>
                <w:rFonts w:hint="eastAsia" w:ascii="宋体" w:hAnsi="宋体" w:cs="宋体"/>
                <w:kern w:val="0"/>
                <w:sz w:val="21"/>
                <w:szCs w:val="21"/>
              </w:rPr>
              <w:t>4、提供广电总局备案的第三方检测机构出具的检测报告。</w:t>
            </w:r>
          </w:p>
          <w:p>
            <w:pPr>
              <w:widowControl/>
              <w:rPr>
                <w:rFonts w:ascii="宋体" w:hAnsi="宋体" w:cs="宋体"/>
                <w:kern w:val="0"/>
                <w:sz w:val="21"/>
                <w:szCs w:val="21"/>
              </w:rPr>
            </w:pPr>
            <w:r>
              <w:rPr>
                <w:rFonts w:hint="eastAsia" w:ascii="宋体" w:hAnsi="宋体" w:cs="宋体"/>
                <w:kern w:val="0"/>
                <w:sz w:val="21"/>
                <w:szCs w:val="21"/>
              </w:rPr>
              <w:t>5、</w:t>
            </w:r>
            <w:r>
              <w:rPr>
                <w:rFonts w:ascii="宋体" w:hAnsi="宋体" w:cs="宋体"/>
                <w:kern w:val="0"/>
                <w:sz w:val="21"/>
                <w:szCs w:val="21"/>
              </w:rPr>
              <w:t>提供第三方检测机构出具的信息系统安全检测报告</w:t>
            </w:r>
            <w:r>
              <w:rPr>
                <w:rFonts w:hint="eastAsia" w:ascii="宋体" w:hAnsi="宋体" w:cs="宋体"/>
                <w:kern w:val="0"/>
                <w:sz w:val="21"/>
                <w:szCs w:val="21"/>
              </w:rPr>
              <w:t>。</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套</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887"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22" w:type="dxa"/>
            <w:gridSpan w:val="5"/>
            <w:shd w:val="clear" w:color="auto" w:fill="auto"/>
            <w:vAlign w:val="center"/>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三、电视墙框架</w:t>
            </w:r>
          </w:p>
        </w:tc>
        <w:tc>
          <w:tcPr>
            <w:tcW w:w="887" w:type="dxa"/>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超五类双屏蔽网线</w:t>
            </w:r>
          </w:p>
        </w:tc>
        <w:tc>
          <w:tcPr>
            <w:tcW w:w="3969"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不低于台站现有的国标线缆质量标准</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米</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305</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安装辅料</w:t>
            </w:r>
          </w:p>
        </w:tc>
        <w:tc>
          <w:tcPr>
            <w:tcW w:w="3969"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不低于台站现有的国标线缆质量标准</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套</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887" w:type="dxa"/>
            <w:shd w:val="clear" w:color="auto" w:fill="auto"/>
            <w:noWrap/>
            <w:vAlign w:val="center"/>
          </w:tcPr>
          <w:p>
            <w:pPr>
              <w:widowControl/>
              <w:jc w:val="left"/>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3</w:t>
            </w:r>
          </w:p>
        </w:tc>
        <w:tc>
          <w:tcPr>
            <w:tcW w:w="17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电视墙框架</w:t>
            </w:r>
          </w:p>
        </w:tc>
        <w:tc>
          <w:tcPr>
            <w:tcW w:w="3969"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按照目前机房尺寸及现有拼接屏定制</w:t>
            </w:r>
          </w:p>
        </w:tc>
        <w:tc>
          <w:tcPr>
            <w:tcW w:w="70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套</w:t>
            </w:r>
          </w:p>
        </w:tc>
        <w:tc>
          <w:tcPr>
            <w:tcW w:w="992" w:type="dxa"/>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887"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109" w:type="dxa"/>
            <w:gridSpan w:val="6"/>
            <w:shd w:val="clear" w:color="auto" w:fill="auto"/>
            <w:vAlign w:val="center"/>
          </w:tcPr>
          <w:p>
            <w:pPr>
              <w:widowControl/>
              <w:jc w:val="left"/>
              <w:rPr>
                <w:rFonts w:ascii="宋体" w:hAnsi="宋体" w:cs="宋体"/>
                <w:kern w:val="0"/>
              </w:rPr>
            </w:pPr>
            <w:r>
              <w:rPr>
                <w:rFonts w:hint="eastAsia" w:ascii="宋体" w:hAnsi="宋体" w:cs="宋体"/>
                <w:kern w:val="0"/>
                <w:sz w:val="21"/>
                <w:szCs w:val="21"/>
              </w:rPr>
              <w:t>以上备品备件应进行安装调试调试，达到系统的整体功能要求，包含机房备品备件的安装调试及总值班室的数据对接等，接口及实现的功能不能低于现有台站的性能及功能。</w:t>
            </w:r>
            <w:r>
              <w:rPr>
                <w:rFonts w:hint="eastAsia" w:ascii="宋体" w:hAnsi="宋体" w:cs="宋体"/>
                <w:kern w:val="0"/>
              </w:rPr>
              <w:t>　</w:t>
            </w:r>
          </w:p>
        </w:tc>
      </w:tr>
    </w:tbl>
    <w:p>
      <w:pPr>
        <w:spacing w:line="480" w:lineRule="exact"/>
        <w:rPr>
          <w:rFonts w:ascii="宋体" w:hAnsi="宋体"/>
          <w:b/>
          <w:sz w:val="24"/>
          <w:highlight w:val="none"/>
        </w:rPr>
      </w:pPr>
    </w:p>
    <w:p>
      <w:pPr>
        <w:spacing w:line="480" w:lineRule="exact"/>
        <w:rPr>
          <w:rFonts w:ascii="宋体" w:hAnsi="宋体"/>
          <w:b/>
          <w:sz w:val="24"/>
          <w:highlight w:val="none"/>
        </w:rPr>
      </w:pPr>
    </w:p>
    <w:p>
      <w:pPr>
        <w:spacing w:line="480" w:lineRule="exact"/>
        <w:rPr>
          <w:rFonts w:ascii="宋体" w:hAnsi="宋体"/>
          <w:b/>
          <w:sz w:val="24"/>
          <w:highlight w:val="none"/>
        </w:rPr>
      </w:pPr>
    </w:p>
    <w:p>
      <w:pPr>
        <w:pStyle w:val="2"/>
      </w:pPr>
    </w:p>
    <w:p/>
    <w:p>
      <w:pPr>
        <w:pStyle w:val="2"/>
      </w:pPr>
    </w:p>
    <w:p/>
    <w:p>
      <w:pPr>
        <w:pStyle w:val="2"/>
      </w:pPr>
    </w:p>
    <w:p/>
    <w:p>
      <w:pPr>
        <w:pStyle w:val="3"/>
        <w:numPr>
          <w:ilvl w:val="0"/>
          <w:numId w:val="7"/>
        </w:numPr>
        <w:rPr>
          <w:highlight w:val="none"/>
        </w:rPr>
      </w:pPr>
      <w:bookmarkStart w:id="10" w:name="_Toc517776520"/>
      <w:bookmarkStart w:id="22" w:name="_GoBack"/>
      <w:bookmarkEnd w:id="22"/>
      <w:r>
        <w:rPr>
          <w:rFonts w:hint="eastAsia" w:ascii="宋体" w:hAnsi="宋体" w:cs="宋体"/>
          <w:highlight w:val="none"/>
        </w:rPr>
        <w:t>合同</w:t>
      </w:r>
      <w:bookmarkEnd w:id="10"/>
    </w:p>
    <w:p>
      <w:pPr>
        <w:jc w:val="center"/>
        <w:rPr>
          <w:sz w:val="22"/>
          <w:szCs w:val="24"/>
          <w:highlight w:val="none"/>
        </w:rPr>
      </w:pPr>
      <w:r>
        <w:rPr>
          <w:rFonts w:hint="eastAsia" w:ascii="宋体" w:hAnsi="宋体" w:cs="宋体"/>
          <w:sz w:val="22"/>
          <w:szCs w:val="24"/>
          <w:highlight w:val="none"/>
        </w:rPr>
        <w:t>（暂定，此合同仅供参考，具体细节于甲乙双方在最终合同中约定）</w:t>
      </w:r>
    </w:p>
    <w:p>
      <w:pPr>
        <w:pStyle w:val="2"/>
        <w:rPr>
          <w:rFonts w:ascii="宋体" w:cs="宋体"/>
          <w:highlight w:val="none"/>
        </w:rPr>
      </w:pPr>
      <w:bookmarkStart w:id="11" w:name="_Toc517776521"/>
      <w:bookmarkStart w:id="12" w:name="_Toc436395121"/>
      <w:r>
        <w:rPr>
          <w:rFonts w:hint="eastAsia" w:ascii="宋体" w:hAnsi="宋体" w:cs="宋体"/>
          <w:highlight w:val="none"/>
        </w:rPr>
        <w:t>一、合同一般条款</w:t>
      </w:r>
      <w:bookmarkEnd w:id="11"/>
      <w:bookmarkEnd w:id="12"/>
    </w:p>
    <w:p>
      <w:pPr>
        <w:pStyle w:val="20"/>
        <w:rPr>
          <w:rFonts w:hAnsi="宋体" w:cs="宋体"/>
          <w:sz w:val="24"/>
          <w:highlight w:val="none"/>
        </w:rPr>
      </w:pPr>
      <w:r>
        <w:rPr>
          <w:rFonts w:hAnsi="宋体" w:cs="宋体"/>
          <w:sz w:val="24"/>
          <w:highlight w:val="none"/>
        </w:rPr>
        <w:t>1</w:t>
      </w:r>
      <w:r>
        <w:rPr>
          <w:rFonts w:hint="eastAsia" w:hAnsi="宋体" w:cs="宋体"/>
          <w:sz w:val="24"/>
          <w:highlight w:val="none"/>
        </w:rPr>
        <w:t>．定义</w:t>
      </w:r>
    </w:p>
    <w:p>
      <w:pPr>
        <w:pStyle w:val="20"/>
        <w:ind w:left="480" w:hanging="480" w:hangingChars="200"/>
        <w:rPr>
          <w:rFonts w:hAnsi="宋体" w:cs="宋体"/>
          <w:sz w:val="24"/>
          <w:highlight w:val="none"/>
        </w:rPr>
      </w:pPr>
      <w:r>
        <w:rPr>
          <w:rFonts w:hAnsi="宋体" w:cs="宋体"/>
          <w:sz w:val="24"/>
          <w:highlight w:val="none"/>
        </w:rPr>
        <w:t xml:space="preserve">1.1 </w:t>
      </w:r>
      <w:r>
        <w:rPr>
          <w:rFonts w:hint="eastAsia" w:hAnsi="宋体" w:cs="宋体"/>
          <w:sz w:val="24"/>
          <w:highlight w:val="none"/>
        </w:rPr>
        <w:t>“合同”系指买方和卖方（以下简称合同双方）已达成的协议，即由双方签订的合同格式中的文件，包括所有的附件、附录和组成合同部分的所有其他文件。</w:t>
      </w:r>
    </w:p>
    <w:p>
      <w:pPr>
        <w:pStyle w:val="20"/>
        <w:ind w:left="480" w:hanging="480" w:hangingChars="200"/>
        <w:rPr>
          <w:rFonts w:hAnsi="宋体" w:cs="宋体"/>
          <w:sz w:val="24"/>
          <w:highlight w:val="none"/>
        </w:rPr>
      </w:pPr>
      <w:r>
        <w:rPr>
          <w:rFonts w:hAnsi="宋体" w:cs="宋体"/>
          <w:sz w:val="24"/>
          <w:highlight w:val="none"/>
        </w:rPr>
        <w:t xml:space="preserve">1.2 </w:t>
      </w:r>
      <w:r>
        <w:rPr>
          <w:rFonts w:hint="eastAsia" w:hAnsi="宋体" w:cs="宋体"/>
          <w:sz w:val="24"/>
          <w:highlight w:val="none"/>
        </w:rPr>
        <w:t>“合同价格”系指根据合同规定，在卖方全面正确地履行合同义务时应支付给卖方的款项。</w:t>
      </w:r>
    </w:p>
    <w:p>
      <w:pPr>
        <w:pStyle w:val="20"/>
        <w:ind w:left="360" w:hanging="360" w:hangingChars="150"/>
        <w:rPr>
          <w:rFonts w:hAnsi="宋体" w:cs="宋体"/>
          <w:sz w:val="24"/>
          <w:highlight w:val="none"/>
        </w:rPr>
      </w:pPr>
      <w:r>
        <w:rPr>
          <w:rFonts w:hAnsi="宋体" w:cs="宋体"/>
          <w:sz w:val="24"/>
          <w:highlight w:val="none"/>
        </w:rPr>
        <w:t xml:space="preserve">1.3 </w:t>
      </w:r>
      <w:r>
        <w:rPr>
          <w:rFonts w:hint="eastAsia" w:hAnsi="宋体" w:cs="宋体"/>
          <w:sz w:val="24"/>
          <w:highlight w:val="none"/>
        </w:rPr>
        <w:t>“货物”系指卖方按合同要求，须向买方提供的一切设备、机械、仪器仪表、备品备件、工具、手册及其它技术资料和其它材料。</w:t>
      </w:r>
    </w:p>
    <w:p>
      <w:pPr>
        <w:pStyle w:val="20"/>
        <w:ind w:left="480" w:hanging="480" w:hangingChars="200"/>
        <w:rPr>
          <w:rFonts w:hAnsi="宋体" w:cs="宋体"/>
          <w:sz w:val="24"/>
          <w:highlight w:val="none"/>
        </w:rPr>
      </w:pPr>
      <w:r>
        <w:rPr>
          <w:rFonts w:hAnsi="宋体" w:cs="宋体"/>
          <w:sz w:val="24"/>
          <w:highlight w:val="none"/>
        </w:rPr>
        <w:t xml:space="preserve">1.4 </w:t>
      </w:r>
      <w:r>
        <w:rPr>
          <w:rFonts w:hint="eastAsia" w:hAnsi="宋体" w:cs="宋体"/>
          <w:sz w:val="24"/>
          <w:highlight w:val="none"/>
        </w:rPr>
        <w:t>“服务”系指合同规定卖方须承担的安装、调试、技术协助、校准、培训以及其他类似的义务。</w:t>
      </w:r>
    </w:p>
    <w:p>
      <w:pPr>
        <w:pStyle w:val="20"/>
        <w:rPr>
          <w:rFonts w:hAnsi="宋体" w:cs="宋体"/>
          <w:sz w:val="24"/>
          <w:highlight w:val="none"/>
        </w:rPr>
      </w:pPr>
      <w:r>
        <w:rPr>
          <w:rFonts w:hAnsi="宋体" w:cs="宋体"/>
          <w:sz w:val="24"/>
          <w:highlight w:val="none"/>
        </w:rPr>
        <w:t xml:space="preserve">1.5 </w:t>
      </w:r>
      <w:r>
        <w:rPr>
          <w:rFonts w:hint="eastAsia" w:hAnsi="宋体" w:cs="宋体"/>
          <w:sz w:val="24"/>
          <w:highlight w:val="none"/>
        </w:rPr>
        <w:t>“买方”系指通过招标采购，接受合同货物及服务的企业或单位。</w:t>
      </w:r>
    </w:p>
    <w:p>
      <w:pPr>
        <w:pStyle w:val="20"/>
        <w:rPr>
          <w:rFonts w:hAnsi="宋体" w:cs="宋体"/>
          <w:sz w:val="24"/>
          <w:highlight w:val="none"/>
        </w:rPr>
      </w:pPr>
      <w:r>
        <w:rPr>
          <w:rFonts w:hAnsi="宋体" w:cs="宋体"/>
          <w:sz w:val="24"/>
          <w:highlight w:val="none"/>
        </w:rPr>
        <w:t xml:space="preserve">1.6 </w:t>
      </w:r>
      <w:r>
        <w:rPr>
          <w:rFonts w:hint="eastAsia" w:hAnsi="宋体" w:cs="宋体"/>
          <w:sz w:val="24"/>
          <w:highlight w:val="none"/>
        </w:rPr>
        <w:t>“卖方”系指成交后提供合同货物和服务的经济实体。</w:t>
      </w:r>
    </w:p>
    <w:p>
      <w:pPr>
        <w:pStyle w:val="20"/>
        <w:rPr>
          <w:rFonts w:hAnsi="宋体" w:cs="宋体"/>
          <w:sz w:val="24"/>
          <w:highlight w:val="none"/>
        </w:rPr>
      </w:pPr>
      <w:r>
        <w:rPr>
          <w:rFonts w:hAnsi="宋体" w:cs="宋体"/>
          <w:sz w:val="24"/>
          <w:highlight w:val="none"/>
        </w:rPr>
        <w:t xml:space="preserve">1.7 </w:t>
      </w:r>
      <w:r>
        <w:rPr>
          <w:rFonts w:hint="eastAsia" w:hAnsi="宋体" w:cs="宋体"/>
          <w:sz w:val="24"/>
          <w:highlight w:val="none"/>
        </w:rPr>
        <w:t>“现场”系指将要进行货物安装和运转的地点。</w:t>
      </w:r>
    </w:p>
    <w:p>
      <w:pPr>
        <w:pStyle w:val="20"/>
        <w:rPr>
          <w:rFonts w:hAnsi="宋体" w:cs="宋体"/>
          <w:sz w:val="24"/>
          <w:highlight w:val="none"/>
        </w:rPr>
      </w:pPr>
      <w:r>
        <w:rPr>
          <w:rFonts w:hAnsi="宋体" w:cs="宋体"/>
          <w:sz w:val="24"/>
          <w:highlight w:val="none"/>
        </w:rPr>
        <w:t xml:space="preserve">1.8 </w:t>
      </w:r>
      <w:r>
        <w:rPr>
          <w:rFonts w:hint="eastAsia" w:hAnsi="宋体" w:cs="宋体"/>
          <w:sz w:val="24"/>
          <w:highlight w:val="none"/>
        </w:rPr>
        <w:t>“验收”系指买方依据技术规格规定接受合同货物所依据的程序和条件。</w:t>
      </w:r>
    </w:p>
    <w:p>
      <w:pPr>
        <w:pStyle w:val="20"/>
        <w:rPr>
          <w:rFonts w:hAnsi="宋体" w:cs="宋体"/>
          <w:sz w:val="24"/>
          <w:highlight w:val="none"/>
        </w:rPr>
      </w:pPr>
      <w:r>
        <w:rPr>
          <w:rFonts w:hAnsi="宋体" w:cs="宋体"/>
          <w:sz w:val="24"/>
          <w:highlight w:val="none"/>
        </w:rPr>
        <w:t>2</w:t>
      </w:r>
      <w:r>
        <w:rPr>
          <w:rFonts w:hint="eastAsia" w:hAnsi="宋体" w:cs="宋体"/>
          <w:sz w:val="24"/>
          <w:highlight w:val="none"/>
        </w:rPr>
        <w:t>．适用范围</w:t>
      </w:r>
    </w:p>
    <w:p>
      <w:pPr>
        <w:pStyle w:val="20"/>
        <w:rPr>
          <w:rFonts w:hAnsi="宋体" w:cs="宋体"/>
          <w:sz w:val="24"/>
          <w:highlight w:val="none"/>
        </w:rPr>
      </w:pPr>
      <w:r>
        <w:rPr>
          <w:rFonts w:hAnsi="宋体" w:cs="宋体"/>
          <w:sz w:val="24"/>
          <w:highlight w:val="none"/>
        </w:rPr>
        <w:t>2.1</w:t>
      </w:r>
      <w:r>
        <w:rPr>
          <w:rFonts w:hint="eastAsia" w:hAnsi="宋体" w:cs="宋体"/>
          <w:sz w:val="24"/>
          <w:highlight w:val="none"/>
        </w:rPr>
        <w:t>本合同条款适用于本次招标活动。</w:t>
      </w:r>
    </w:p>
    <w:p>
      <w:pPr>
        <w:pStyle w:val="20"/>
        <w:rPr>
          <w:rFonts w:hAnsi="宋体" w:cs="宋体"/>
          <w:sz w:val="24"/>
          <w:highlight w:val="none"/>
        </w:rPr>
      </w:pPr>
      <w:r>
        <w:rPr>
          <w:rFonts w:hAnsi="宋体" w:cs="宋体"/>
          <w:sz w:val="24"/>
          <w:highlight w:val="none"/>
        </w:rPr>
        <w:t>3</w:t>
      </w:r>
      <w:r>
        <w:rPr>
          <w:rFonts w:hint="eastAsia" w:hAnsi="宋体" w:cs="宋体"/>
          <w:sz w:val="24"/>
          <w:highlight w:val="none"/>
        </w:rPr>
        <w:t>．原产地</w:t>
      </w:r>
    </w:p>
    <w:p>
      <w:pPr>
        <w:pStyle w:val="20"/>
        <w:rPr>
          <w:rFonts w:hAnsi="宋体" w:cs="宋体"/>
          <w:sz w:val="24"/>
          <w:highlight w:val="none"/>
        </w:rPr>
      </w:pPr>
      <w:r>
        <w:rPr>
          <w:rFonts w:hAnsi="宋体" w:cs="宋体"/>
          <w:sz w:val="24"/>
          <w:highlight w:val="none"/>
        </w:rPr>
        <w:t>3.1</w:t>
      </w:r>
      <w:r>
        <w:rPr>
          <w:rFonts w:hint="eastAsia" w:hAnsi="宋体" w:cs="宋体"/>
          <w:sz w:val="24"/>
          <w:highlight w:val="none"/>
        </w:rPr>
        <w:t>原产地系指货物的生产地，或提供辅助服务的来源地。</w:t>
      </w:r>
    </w:p>
    <w:p>
      <w:pPr>
        <w:pStyle w:val="20"/>
        <w:rPr>
          <w:rFonts w:hAnsi="宋体" w:cs="宋体"/>
          <w:sz w:val="24"/>
          <w:highlight w:val="none"/>
        </w:rPr>
      </w:pPr>
      <w:r>
        <w:rPr>
          <w:rFonts w:hAnsi="宋体" w:cs="宋体"/>
          <w:sz w:val="24"/>
          <w:highlight w:val="none"/>
        </w:rPr>
        <w:t>4</w:t>
      </w:r>
      <w:r>
        <w:rPr>
          <w:rFonts w:hint="eastAsia" w:hAnsi="宋体" w:cs="宋体"/>
          <w:sz w:val="24"/>
          <w:highlight w:val="none"/>
        </w:rPr>
        <w:t>．技术规格和标准</w:t>
      </w:r>
    </w:p>
    <w:p>
      <w:pPr>
        <w:pStyle w:val="20"/>
        <w:ind w:left="360" w:hanging="360" w:hangingChars="150"/>
        <w:rPr>
          <w:rFonts w:hAnsi="宋体" w:cs="宋体"/>
          <w:sz w:val="24"/>
          <w:highlight w:val="none"/>
        </w:rPr>
      </w:pPr>
      <w:r>
        <w:rPr>
          <w:rFonts w:hAnsi="宋体" w:cs="宋体"/>
          <w:sz w:val="24"/>
          <w:highlight w:val="none"/>
        </w:rPr>
        <w:t>4.1</w:t>
      </w:r>
      <w:r>
        <w:rPr>
          <w:rFonts w:hint="eastAsia" w:hAnsi="宋体" w:cs="宋体"/>
          <w:sz w:val="24"/>
          <w:highlight w:val="none"/>
        </w:rPr>
        <w:t>本合同项下所供货物的技术规格应与本询价采购文件技术规格规定的标准相一致。若技术规格中无相应规定，货物则应符合相应的国家标准或有关权威部门最新颁布的相应的正式标准。</w:t>
      </w:r>
    </w:p>
    <w:p>
      <w:pPr>
        <w:pStyle w:val="20"/>
        <w:rPr>
          <w:rFonts w:hAnsi="宋体" w:cs="宋体"/>
          <w:sz w:val="24"/>
          <w:highlight w:val="none"/>
        </w:rPr>
      </w:pPr>
      <w:r>
        <w:rPr>
          <w:rFonts w:hAnsi="宋体" w:cs="宋体"/>
          <w:sz w:val="24"/>
          <w:highlight w:val="none"/>
        </w:rPr>
        <w:t>5</w:t>
      </w:r>
      <w:r>
        <w:rPr>
          <w:rFonts w:hint="eastAsia" w:hAnsi="宋体" w:cs="宋体"/>
          <w:sz w:val="24"/>
          <w:highlight w:val="none"/>
        </w:rPr>
        <w:t>．专利权</w:t>
      </w:r>
    </w:p>
    <w:p>
      <w:pPr>
        <w:pStyle w:val="20"/>
        <w:ind w:left="360" w:hanging="360" w:hangingChars="150"/>
        <w:rPr>
          <w:rFonts w:hAnsi="宋体" w:cs="宋体"/>
          <w:sz w:val="24"/>
          <w:highlight w:val="none"/>
        </w:rPr>
      </w:pPr>
      <w:r>
        <w:rPr>
          <w:rFonts w:hAnsi="宋体" w:cs="宋体"/>
          <w:sz w:val="24"/>
          <w:highlight w:val="none"/>
        </w:rPr>
        <w:t>5.1</w:t>
      </w:r>
      <w:r>
        <w:rPr>
          <w:rFonts w:hint="eastAsia" w:hAnsi="宋体" w:cs="宋体"/>
          <w:sz w:val="24"/>
          <w:highlight w:val="none"/>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20"/>
        <w:rPr>
          <w:rFonts w:hAnsi="宋体" w:cs="宋体"/>
          <w:sz w:val="24"/>
          <w:highlight w:val="none"/>
        </w:rPr>
      </w:pPr>
      <w:r>
        <w:rPr>
          <w:rFonts w:hAnsi="宋体" w:cs="宋体"/>
          <w:sz w:val="24"/>
          <w:highlight w:val="none"/>
        </w:rPr>
        <w:t>6</w:t>
      </w:r>
      <w:r>
        <w:rPr>
          <w:rFonts w:hint="eastAsia" w:hAnsi="宋体" w:cs="宋体"/>
          <w:sz w:val="24"/>
          <w:highlight w:val="none"/>
        </w:rPr>
        <w:t>．包装</w:t>
      </w:r>
    </w:p>
    <w:p>
      <w:pPr>
        <w:pStyle w:val="20"/>
        <w:ind w:left="360" w:hanging="360" w:hangingChars="150"/>
        <w:rPr>
          <w:rFonts w:hAnsi="宋体" w:cs="宋体"/>
          <w:sz w:val="24"/>
          <w:highlight w:val="none"/>
        </w:rPr>
      </w:pPr>
      <w:r>
        <w:rPr>
          <w:rFonts w:hAnsi="宋体" w:cs="宋体"/>
          <w:sz w:val="24"/>
          <w:highlight w:val="none"/>
        </w:rPr>
        <w:t>6.1</w:t>
      </w:r>
      <w:r>
        <w:rPr>
          <w:rFonts w:hint="eastAsia" w:hAnsi="宋体" w:cs="宋体"/>
          <w:sz w:val="24"/>
          <w:highlight w:val="none"/>
        </w:rPr>
        <w:t>除非本合同另有规定，提供的全部货物须采用相应标准的保护措施进行包装。这种包装应适于空运和内陆运输，并有良好的防潮、防震、防锈和防野蛮装卸等保护措施，以确保货物安全运抵现场。</w:t>
      </w:r>
      <w:r>
        <w:rPr>
          <w:rFonts w:hAnsi="宋体" w:cs="宋体"/>
          <w:sz w:val="24"/>
          <w:highlight w:val="none"/>
        </w:rPr>
        <w:t xml:space="preserve">  </w:t>
      </w:r>
      <w:r>
        <w:rPr>
          <w:rFonts w:hint="eastAsia" w:hAnsi="宋体" w:cs="宋体"/>
          <w:sz w:val="24"/>
          <w:highlight w:val="none"/>
        </w:rPr>
        <w:t>卖方应承担由于其包装或其防护措施不妥而引起货物锈蚀、损坏和丢失的任何损失的责任或费用。</w:t>
      </w:r>
    </w:p>
    <w:p>
      <w:pPr>
        <w:pStyle w:val="20"/>
        <w:rPr>
          <w:rFonts w:hAnsi="宋体" w:cs="宋体"/>
          <w:sz w:val="24"/>
          <w:highlight w:val="none"/>
        </w:rPr>
      </w:pPr>
      <w:r>
        <w:rPr>
          <w:rFonts w:hAnsi="宋体" w:cs="宋体"/>
          <w:sz w:val="24"/>
          <w:highlight w:val="none"/>
        </w:rPr>
        <w:t>6.2</w:t>
      </w:r>
      <w:r>
        <w:rPr>
          <w:rFonts w:hint="eastAsia" w:hAnsi="宋体" w:cs="宋体"/>
          <w:sz w:val="24"/>
          <w:highlight w:val="none"/>
        </w:rPr>
        <w:t>每件包装应附有详细装箱单和质量证书各两套，一套在包装箱里，一套在包装箱外。</w:t>
      </w:r>
    </w:p>
    <w:p>
      <w:pPr>
        <w:pStyle w:val="20"/>
        <w:rPr>
          <w:rFonts w:hAnsi="宋体" w:cs="宋体"/>
          <w:sz w:val="24"/>
          <w:highlight w:val="none"/>
        </w:rPr>
      </w:pPr>
      <w:r>
        <w:rPr>
          <w:rFonts w:hAnsi="宋体" w:cs="宋体"/>
          <w:sz w:val="24"/>
          <w:highlight w:val="none"/>
        </w:rPr>
        <w:t>7</w:t>
      </w:r>
      <w:r>
        <w:rPr>
          <w:rFonts w:hint="eastAsia" w:hAnsi="宋体" w:cs="宋体"/>
          <w:sz w:val="24"/>
          <w:highlight w:val="none"/>
        </w:rPr>
        <w:t>．运输标记</w:t>
      </w:r>
    </w:p>
    <w:p>
      <w:pPr>
        <w:pStyle w:val="20"/>
        <w:rPr>
          <w:rFonts w:hAnsi="宋体" w:cs="宋体"/>
          <w:sz w:val="24"/>
          <w:highlight w:val="none"/>
        </w:rPr>
      </w:pPr>
      <w:r>
        <w:rPr>
          <w:rFonts w:hAnsi="宋体" w:cs="宋体"/>
          <w:sz w:val="24"/>
          <w:highlight w:val="none"/>
        </w:rPr>
        <w:t>7.1</w:t>
      </w:r>
      <w:r>
        <w:rPr>
          <w:rFonts w:hint="eastAsia" w:hAnsi="宋体" w:cs="宋体"/>
          <w:sz w:val="24"/>
          <w:highlight w:val="none"/>
        </w:rPr>
        <w:t>卖方应在每一包装箱邻接的四个侧面用不易褪色的油漆以醒目的中文印刷字体标明以下各项：</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）收货人</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）合同号</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）收货人代</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4</w:t>
      </w:r>
      <w:r>
        <w:rPr>
          <w:rFonts w:hint="eastAsia" w:hAnsi="宋体" w:cs="宋体"/>
          <w:sz w:val="24"/>
          <w:highlight w:val="none"/>
        </w:rPr>
        <w:t>）目的地</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5</w:t>
      </w:r>
      <w:r>
        <w:rPr>
          <w:rFonts w:hint="eastAsia" w:hAnsi="宋体" w:cs="宋体"/>
          <w:sz w:val="24"/>
          <w:highlight w:val="none"/>
        </w:rPr>
        <w:t>）货物的名称、品目号、箱号</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6</w:t>
      </w:r>
      <w:r>
        <w:rPr>
          <w:rFonts w:hint="eastAsia" w:hAnsi="宋体" w:cs="宋体"/>
          <w:sz w:val="24"/>
          <w:highlight w:val="none"/>
        </w:rPr>
        <w:t>）毛重／净重（公斤）</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7</w:t>
      </w:r>
      <w:r>
        <w:rPr>
          <w:rFonts w:hint="eastAsia" w:hAnsi="宋体" w:cs="宋体"/>
          <w:sz w:val="24"/>
          <w:highlight w:val="none"/>
        </w:rPr>
        <w:t>）尺寸（长</w:t>
      </w:r>
      <w:r>
        <w:rPr>
          <w:rFonts w:hAnsi="宋体" w:cs="宋体"/>
          <w:sz w:val="24"/>
          <w:highlight w:val="none"/>
        </w:rPr>
        <w:t>x</w:t>
      </w:r>
      <w:r>
        <w:rPr>
          <w:rFonts w:hint="eastAsia" w:hAnsi="宋体" w:cs="宋体"/>
          <w:sz w:val="24"/>
          <w:highlight w:val="none"/>
        </w:rPr>
        <w:t>宽</w:t>
      </w:r>
      <w:r>
        <w:rPr>
          <w:rFonts w:hAnsi="宋体" w:cs="宋体"/>
          <w:sz w:val="24"/>
          <w:highlight w:val="none"/>
        </w:rPr>
        <w:t>x</w:t>
      </w:r>
      <w:r>
        <w:rPr>
          <w:rFonts w:hint="eastAsia" w:hAnsi="宋体" w:cs="宋体"/>
          <w:sz w:val="24"/>
          <w:highlight w:val="none"/>
        </w:rPr>
        <w:t>高，以厘米计）</w:t>
      </w:r>
    </w:p>
    <w:p>
      <w:pPr>
        <w:pStyle w:val="20"/>
        <w:rPr>
          <w:rFonts w:hAnsi="宋体" w:cs="宋体"/>
          <w:sz w:val="24"/>
          <w:highlight w:val="none"/>
        </w:rPr>
      </w:pPr>
      <w:r>
        <w:rPr>
          <w:rFonts w:hAnsi="宋体" w:cs="宋体"/>
          <w:sz w:val="24"/>
          <w:highlight w:val="none"/>
        </w:rPr>
        <w:t>8.</w:t>
      </w:r>
      <w:r>
        <w:rPr>
          <w:rFonts w:hint="eastAsia" w:hAnsi="宋体" w:cs="宋体"/>
          <w:sz w:val="24"/>
          <w:highlight w:val="none"/>
        </w:rPr>
        <w:t>卖方的交货价合同</w:t>
      </w:r>
    </w:p>
    <w:p>
      <w:pPr>
        <w:pStyle w:val="20"/>
        <w:ind w:firstLine="141" w:firstLineChars="59"/>
        <w:rPr>
          <w:rFonts w:hAnsi="宋体" w:cs="宋体"/>
          <w:sz w:val="24"/>
          <w:highlight w:val="none"/>
        </w:rPr>
      </w:pPr>
      <w:r>
        <w:rPr>
          <w:rFonts w:hAnsi="宋体" w:cs="宋体"/>
          <w:sz w:val="24"/>
          <w:highlight w:val="none"/>
        </w:rPr>
        <w:t>8.1</w:t>
      </w:r>
      <w:r>
        <w:rPr>
          <w:rFonts w:hint="eastAsia" w:hAnsi="宋体" w:cs="宋体"/>
          <w:sz w:val="24"/>
          <w:highlight w:val="none"/>
        </w:rPr>
        <w:t>卖方应在合同规定的交货期前</w:t>
      </w:r>
      <w:r>
        <w:rPr>
          <w:rFonts w:hAnsi="宋体" w:cs="宋体"/>
          <w:sz w:val="24"/>
          <w:highlight w:val="none"/>
        </w:rPr>
        <w:t>10</w:t>
      </w:r>
      <w:r>
        <w:rPr>
          <w:rFonts w:hint="eastAsia" w:hAnsi="宋体" w:cs="宋体"/>
          <w:sz w:val="24"/>
          <w:highlight w:val="none"/>
        </w:rPr>
        <w:t>天以电报、传真或电传通知买方合同号、货物名称、数量、包装件数、总毛重、总体积（立方米）和备妥待运日期。同时，卖方应以挂号信寄给买方详细交货清单一式五份，包括合同号、货物名称、规格、数量、总毛重、总体积（立方米）和每一包装箱的尺寸（长</w:t>
      </w:r>
      <w:r>
        <w:rPr>
          <w:rFonts w:hAnsi="宋体" w:cs="宋体"/>
          <w:sz w:val="24"/>
          <w:highlight w:val="none"/>
        </w:rPr>
        <w:t>x</w:t>
      </w:r>
      <w:r>
        <w:rPr>
          <w:rFonts w:hint="eastAsia" w:hAnsi="宋体" w:cs="宋体"/>
          <w:sz w:val="24"/>
          <w:highlight w:val="none"/>
        </w:rPr>
        <w:t>宽</w:t>
      </w:r>
      <w:r>
        <w:rPr>
          <w:rFonts w:hAnsi="宋体" w:cs="宋体"/>
          <w:sz w:val="24"/>
          <w:highlight w:val="none"/>
        </w:rPr>
        <w:t>x</w:t>
      </w:r>
      <w:r>
        <w:rPr>
          <w:rFonts w:hint="eastAsia" w:hAnsi="宋体" w:cs="宋体"/>
          <w:sz w:val="24"/>
          <w:highlight w:val="none"/>
        </w:rPr>
        <w:t>高）、单价和总价、备妥待运日期，以及货物在运输和仓储中的特殊要求和注意事项。</w:t>
      </w:r>
    </w:p>
    <w:p>
      <w:pPr>
        <w:pStyle w:val="20"/>
        <w:ind w:firstLine="141" w:firstLineChars="59"/>
        <w:rPr>
          <w:rFonts w:hAnsi="宋体" w:cs="宋体"/>
          <w:sz w:val="24"/>
          <w:highlight w:val="none"/>
        </w:rPr>
      </w:pPr>
      <w:r>
        <w:rPr>
          <w:rFonts w:hAnsi="宋体" w:cs="宋体"/>
          <w:sz w:val="24"/>
          <w:highlight w:val="none"/>
        </w:rPr>
        <w:t>8.2</w:t>
      </w:r>
      <w:r>
        <w:rPr>
          <w:rFonts w:hint="eastAsia" w:hAnsi="宋体" w:cs="宋体"/>
          <w:sz w:val="24"/>
          <w:highlight w:val="none"/>
        </w:rPr>
        <w:t>卖方负责安排自发运地至买方现场的运输，费用包含在合同总价中。</w:t>
      </w:r>
    </w:p>
    <w:p>
      <w:pPr>
        <w:pStyle w:val="20"/>
        <w:ind w:firstLine="141" w:firstLineChars="59"/>
        <w:rPr>
          <w:rFonts w:hAnsi="宋体" w:cs="宋体"/>
          <w:sz w:val="24"/>
          <w:highlight w:val="none"/>
        </w:rPr>
      </w:pPr>
      <w:r>
        <w:rPr>
          <w:rFonts w:hAnsi="宋体" w:cs="宋体"/>
          <w:sz w:val="24"/>
          <w:highlight w:val="none"/>
        </w:rPr>
        <w:t>8.3</w:t>
      </w:r>
      <w:r>
        <w:rPr>
          <w:rFonts w:hint="eastAsia" w:hAnsi="宋体" w:cs="宋体"/>
          <w:sz w:val="24"/>
          <w:highlight w:val="none"/>
        </w:rPr>
        <w:t>交货日期以货物到达买方现场为准。</w:t>
      </w:r>
    </w:p>
    <w:p>
      <w:pPr>
        <w:pStyle w:val="20"/>
        <w:ind w:firstLine="141" w:firstLineChars="59"/>
        <w:rPr>
          <w:rFonts w:hAnsi="宋体" w:cs="宋体"/>
          <w:sz w:val="24"/>
          <w:highlight w:val="none"/>
        </w:rPr>
      </w:pPr>
      <w:r>
        <w:rPr>
          <w:rFonts w:hAnsi="宋体" w:cs="宋体"/>
          <w:sz w:val="24"/>
          <w:highlight w:val="none"/>
        </w:rPr>
        <w:t>8.4</w:t>
      </w:r>
      <w:r>
        <w:rPr>
          <w:rFonts w:hint="eastAsia" w:hAnsi="宋体" w:cs="宋体"/>
          <w:sz w:val="24"/>
          <w:highlight w:val="none"/>
        </w:rPr>
        <w:t>卖方装运的货物必须符合合同规定的货物名称、型号规格、数量或重量，否则，一切后果均由卖方承担。</w:t>
      </w:r>
    </w:p>
    <w:p>
      <w:pPr>
        <w:pStyle w:val="20"/>
        <w:rPr>
          <w:rFonts w:hAnsi="宋体" w:cs="宋体"/>
          <w:sz w:val="24"/>
          <w:highlight w:val="none"/>
        </w:rPr>
      </w:pPr>
      <w:r>
        <w:rPr>
          <w:rFonts w:hAnsi="宋体" w:cs="宋体"/>
          <w:sz w:val="24"/>
          <w:highlight w:val="none"/>
        </w:rPr>
        <w:t>9</w:t>
      </w:r>
      <w:r>
        <w:rPr>
          <w:rFonts w:hint="eastAsia" w:hAnsi="宋体" w:cs="宋体"/>
          <w:sz w:val="24"/>
          <w:highlight w:val="none"/>
        </w:rPr>
        <w:t>．装运通知</w:t>
      </w:r>
    </w:p>
    <w:p>
      <w:pPr>
        <w:pStyle w:val="20"/>
        <w:ind w:firstLine="141" w:firstLineChars="59"/>
        <w:rPr>
          <w:rFonts w:hAnsi="宋体" w:cs="宋体"/>
          <w:sz w:val="24"/>
          <w:highlight w:val="none"/>
        </w:rPr>
      </w:pPr>
      <w:r>
        <w:rPr>
          <w:rFonts w:hAnsi="宋体" w:cs="宋体"/>
          <w:sz w:val="24"/>
          <w:highlight w:val="none"/>
        </w:rPr>
        <w:t>9.1</w:t>
      </w:r>
      <w:r>
        <w:rPr>
          <w:rFonts w:hint="eastAsia" w:hAnsi="宋体" w:cs="宋体"/>
          <w:sz w:val="24"/>
          <w:highlight w:val="none"/>
        </w:rPr>
        <w:t>卖方应在货物装运完成</w:t>
      </w:r>
      <w:r>
        <w:rPr>
          <w:rFonts w:hAnsi="宋体" w:cs="宋体"/>
          <w:sz w:val="24"/>
          <w:highlight w:val="none"/>
        </w:rPr>
        <w:t>24</w:t>
      </w:r>
      <w:r>
        <w:rPr>
          <w:rFonts w:hint="eastAsia" w:hAnsi="宋体" w:cs="宋体"/>
          <w:sz w:val="24"/>
          <w:highlight w:val="none"/>
        </w:rPr>
        <w:t>小时内以电报、传真或电传通知买方合同号、</w:t>
      </w:r>
      <w:r>
        <w:rPr>
          <w:rFonts w:hAnsi="宋体" w:cs="宋体"/>
          <w:sz w:val="24"/>
          <w:highlight w:val="none"/>
        </w:rPr>
        <w:t xml:space="preserve">  </w:t>
      </w:r>
      <w:r>
        <w:rPr>
          <w:rFonts w:hint="eastAsia" w:hAnsi="宋体" w:cs="宋体"/>
          <w:sz w:val="24"/>
          <w:highlight w:val="none"/>
        </w:rPr>
        <w:t>货物名称、数量、毛重、体积（立方米）、发票金额、载运车次名称和启运日期。如果包装件重量超过</w:t>
      </w:r>
      <w:r>
        <w:rPr>
          <w:rFonts w:hAnsi="宋体" w:cs="宋体"/>
          <w:sz w:val="24"/>
          <w:highlight w:val="none"/>
        </w:rPr>
        <w:t>20</w:t>
      </w:r>
      <w:r>
        <w:rPr>
          <w:rFonts w:hint="eastAsia" w:hAnsi="宋体" w:cs="宋体"/>
          <w:sz w:val="24"/>
          <w:highlight w:val="none"/>
        </w:rPr>
        <w:t>吨或尺寸达到或超过</w:t>
      </w:r>
      <w:r>
        <w:rPr>
          <w:rFonts w:hAnsi="宋体" w:cs="宋体"/>
          <w:sz w:val="24"/>
          <w:highlight w:val="none"/>
        </w:rPr>
        <w:t>12</w:t>
      </w:r>
      <w:r>
        <w:rPr>
          <w:rFonts w:hint="eastAsia" w:hAnsi="宋体" w:cs="宋体"/>
          <w:sz w:val="24"/>
          <w:highlight w:val="none"/>
        </w:rPr>
        <w:t>米长、</w:t>
      </w:r>
      <w:r>
        <w:rPr>
          <w:rFonts w:hAnsi="宋体" w:cs="宋体"/>
          <w:sz w:val="24"/>
          <w:highlight w:val="none"/>
        </w:rPr>
        <w:t>2.7</w:t>
      </w:r>
      <w:r>
        <w:rPr>
          <w:rFonts w:hint="eastAsia" w:hAnsi="宋体" w:cs="宋体"/>
          <w:sz w:val="24"/>
          <w:highlight w:val="none"/>
        </w:rPr>
        <w:t>米宽和</w:t>
      </w:r>
      <w:r>
        <w:rPr>
          <w:rFonts w:hAnsi="宋体" w:cs="宋体"/>
          <w:sz w:val="24"/>
          <w:highlight w:val="none"/>
        </w:rPr>
        <w:t>3</w:t>
      </w:r>
      <w:r>
        <w:rPr>
          <w:rFonts w:hint="eastAsia" w:hAnsi="宋体" w:cs="宋体"/>
          <w:sz w:val="24"/>
          <w:highlight w:val="none"/>
        </w:rPr>
        <w:t>米高，卖方应将其重量或尺寸通知买方。若货物中有易燃品或危险品，卖方也须将详细情况通知买方。</w:t>
      </w:r>
    </w:p>
    <w:p>
      <w:pPr>
        <w:pStyle w:val="20"/>
        <w:rPr>
          <w:rFonts w:hAnsi="宋体" w:cs="宋体"/>
          <w:sz w:val="24"/>
          <w:highlight w:val="none"/>
        </w:rPr>
      </w:pPr>
      <w:r>
        <w:rPr>
          <w:rFonts w:hAnsi="宋体" w:cs="宋体"/>
          <w:sz w:val="24"/>
          <w:highlight w:val="none"/>
        </w:rPr>
        <w:t>10</w:t>
      </w:r>
      <w:r>
        <w:rPr>
          <w:rFonts w:hint="eastAsia" w:hAnsi="宋体" w:cs="宋体"/>
          <w:sz w:val="24"/>
          <w:highlight w:val="none"/>
        </w:rPr>
        <w:t>．保险</w:t>
      </w:r>
    </w:p>
    <w:p>
      <w:pPr>
        <w:spacing w:line="360" w:lineRule="auto"/>
        <w:ind w:firstLine="101"/>
        <w:rPr>
          <w:rFonts w:ascii="宋体" w:cs="宋体"/>
          <w:sz w:val="24"/>
          <w:highlight w:val="none"/>
        </w:rPr>
      </w:pPr>
      <w:r>
        <w:rPr>
          <w:rFonts w:ascii="宋体" w:hAnsi="宋体" w:cs="宋体"/>
          <w:sz w:val="24"/>
          <w:highlight w:val="none"/>
        </w:rPr>
        <w:t>10.1</w:t>
      </w:r>
      <w:r>
        <w:rPr>
          <w:rFonts w:hint="eastAsia" w:ascii="宋体" w:hAnsi="宋体" w:cs="宋体"/>
          <w:sz w:val="24"/>
          <w:highlight w:val="none"/>
        </w:rPr>
        <w:t>在国内交货价合同条件下，由买方在货物装运前或接到装运通知后办理保险。或由买卖双方具体商定。</w:t>
      </w:r>
    </w:p>
    <w:p>
      <w:pPr>
        <w:pStyle w:val="20"/>
        <w:rPr>
          <w:rFonts w:hAnsi="宋体" w:cs="宋体"/>
          <w:sz w:val="24"/>
          <w:highlight w:val="none"/>
        </w:rPr>
      </w:pPr>
      <w:r>
        <w:rPr>
          <w:rFonts w:hAnsi="宋体" w:cs="宋体"/>
          <w:sz w:val="24"/>
          <w:highlight w:val="none"/>
        </w:rPr>
        <w:t>11.</w:t>
      </w:r>
      <w:r>
        <w:rPr>
          <w:rFonts w:hint="eastAsia" w:hAnsi="宋体" w:cs="宋体"/>
          <w:sz w:val="24"/>
          <w:highlight w:val="none"/>
        </w:rPr>
        <w:t>支付</w:t>
      </w:r>
    </w:p>
    <w:p>
      <w:pPr>
        <w:pStyle w:val="20"/>
        <w:ind w:firstLine="141" w:firstLineChars="59"/>
        <w:rPr>
          <w:rFonts w:hAnsi="宋体" w:cs="宋体"/>
          <w:sz w:val="24"/>
          <w:highlight w:val="none"/>
        </w:rPr>
      </w:pPr>
      <w:r>
        <w:rPr>
          <w:rFonts w:hAnsi="宋体" w:cs="宋体"/>
          <w:sz w:val="24"/>
          <w:highlight w:val="none"/>
        </w:rPr>
        <w:t>11.1</w:t>
      </w:r>
      <w:r>
        <w:rPr>
          <w:rFonts w:hint="eastAsia" w:hAnsi="宋体" w:cs="宋体"/>
          <w:sz w:val="24"/>
          <w:highlight w:val="none"/>
        </w:rPr>
        <w:t>除另有规定外，可采用下列付款之方式一种付款：</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）转帐支票；</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）电汇付款。</w:t>
      </w:r>
    </w:p>
    <w:p>
      <w:pPr>
        <w:pStyle w:val="20"/>
        <w:rPr>
          <w:rFonts w:hAnsi="宋体" w:cs="宋体"/>
          <w:sz w:val="24"/>
          <w:highlight w:val="none"/>
        </w:rPr>
      </w:pPr>
      <w:r>
        <w:rPr>
          <w:rFonts w:hAnsi="宋体" w:cs="宋体"/>
          <w:sz w:val="24"/>
          <w:highlight w:val="none"/>
        </w:rPr>
        <w:t>12</w:t>
      </w:r>
      <w:r>
        <w:rPr>
          <w:rFonts w:hint="eastAsia" w:hAnsi="宋体" w:cs="宋体"/>
          <w:sz w:val="24"/>
          <w:highlight w:val="none"/>
        </w:rPr>
        <w:t>．技术资料</w:t>
      </w:r>
    </w:p>
    <w:p>
      <w:pPr>
        <w:pStyle w:val="20"/>
        <w:ind w:firstLine="141" w:firstLineChars="59"/>
        <w:rPr>
          <w:rFonts w:hAnsi="宋体" w:cs="宋体"/>
          <w:sz w:val="24"/>
          <w:highlight w:val="none"/>
        </w:rPr>
      </w:pPr>
      <w:r>
        <w:rPr>
          <w:rFonts w:hAnsi="宋体" w:cs="宋体"/>
          <w:sz w:val="24"/>
          <w:highlight w:val="none"/>
        </w:rPr>
        <w:t>12.1</w:t>
      </w:r>
      <w:r>
        <w:rPr>
          <w:rFonts w:hint="eastAsia" w:hAnsi="宋体" w:cs="宋体"/>
          <w:sz w:val="24"/>
          <w:highlight w:val="none"/>
        </w:rPr>
        <w:t>除询价采购文件的技术规范书中另有规定的外，卖方应准备与合同设备或仪器相符中文技术资料，并于合同生效后</w:t>
      </w:r>
      <w:r>
        <w:rPr>
          <w:rFonts w:hAnsi="宋体" w:cs="宋体"/>
          <w:sz w:val="24"/>
          <w:highlight w:val="none"/>
        </w:rPr>
        <w:t>7</w:t>
      </w:r>
      <w:r>
        <w:rPr>
          <w:rFonts w:hint="eastAsia" w:hAnsi="宋体" w:cs="宋体"/>
          <w:sz w:val="24"/>
          <w:highlight w:val="none"/>
        </w:rPr>
        <w:t>天内寄送到买方，例如：样本、图纸、操作手册、使用说明、维修指南或服务手册等。如本条款所述资料寄送不完整或丢失，卖方应在收到买方通知后立即免费另寄。</w:t>
      </w:r>
    </w:p>
    <w:p>
      <w:pPr>
        <w:pStyle w:val="20"/>
        <w:ind w:firstLine="141" w:firstLineChars="59"/>
        <w:rPr>
          <w:rFonts w:hAnsi="宋体" w:cs="宋体"/>
          <w:sz w:val="24"/>
          <w:highlight w:val="none"/>
        </w:rPr>
      </w:pPr>
      <w:r>
        <w:rPr>
          <w:rFonts w:hAnsi="宋体" w:cs="宋体"/>
          <w:sz w:val="24"/>
          <w:highlight w:val="none"/>
        </w:rPr>
        <w:t>12.2</w:t>
      </w:r>
      <w:r>
        <w:rPr>
          <w:rFonts w:hint="eastAsia" w:hAnsi="宋体" w:cs="宋体"/>
          <w:sz w:val="24"/>
          <w:highlight w:val="none"/>
        </w:rPr>
        <w:t>上述一套完整的资料应包装好随每批货物一起发运。</w:t>
      </w:r>
    </w:p>
    <w:p>
      <w:pPr>
        <w:pStyle w:val="20"/>
        <w:rPr>
          <w:rFonts w:hAnsi="宋体" w:cs="宋体"/>
          <w:sz w:val="24"/>
          <w:highlight w:val="none"/>
        </w:rPr>
      </w:pPr>
      <w:r>
        <w:rPr>
          <w:rFonts w:hAnsi="宋体" w:cs="宋体"/>
          <w:sz w:val="24"/>
          <w:highlight w:val="none"/>
        </w:rPr>
        <w:t>13</w:t>
      </w:r>
      <w:r>
        <w:rPr>
          <w:rFonts w:hint="eastAsia" w:hAnsi="宋体" w:cs="宋体"/>
          <w:sz w:val="24"/>
          <w:highlight w:val="none"/>
        </w:rPr>
        <w:t>．价格</w:t>
      </w:r>
    </w:p>
    <w:p>
      <w:pPr>
        <w:pStyle w:val="20"/>
        <w:ind w:firstLine="141" w:firstLineChars="59"/>
        <w:rPr>
          <w:rFonts w:hAnsi="宋体" w:cs="宋体"/>
          <w:sz w:val="24"/>
          <w:highlight w:val="none"/>
        </w:rPr>
      </w:pPr>
      <w:r>
        <w:rPr>
          <w:rFonts w:hAnsi="宋体" w:cs="宋体"/>
          <w:sz w:val="24"/>
          <w:highlight w:val="none"/>
        </w:rPr>
        <w:t>13.1</w:t>
      </w:r>
      <w:r>
        <w:rPr>
          <w:rFonts w:hint="eastAsia" w:hAnsi="宋体" w:cs="宋体"/>
          <w:sz w:val="24"/>
          <w:highlight w:val="none"/>
        </w:rPr>
        <w:t>除非合同中另有规定，卖方为其所供货物和服务而要求买方支付的金额应与其询价报价一致。</w:t>
      </w:r>
    </w:p>
    <w:p>
      <w:pPr>
        <w:pStyle w:val="20"/>
        <w:rPr>
          <w:rFonts w:hAnsi="宋体" w:cs="宋体"/>
          <w:sz w:val="24"/>
          <w:highlight w:val="none"/>
        </w:rPr>
      </w:pPr>
      <w:r>
        <w:rPr>
          <w:rFonts w:hAnsi="宋体" w:cs="宋体"/>
          <w:sz w:val="24"/>
          <w:highlight w:val="none"/>
        </w:rPr>
        <w:t>14</w:t>
      </w:r>
      <w:r>
        <w:rPr>
          <w:rFonts w:hint="eastAsia" w:hAnsi="宋体" w:cs="宋体"/>
          <w:sz w:val="24"/>
          <w:highlight w:val="none"/>
        </w:rPr>
        <w:t>．质量保证</w:t>
      </w:r>
    </w:p>
    <w:p>
      <w:pPr>
        <w:pStyle w:val="20"/>
        <w:rPr>
          <w:rFonts w:hAnsi="宋体" w:cs="宋体"/>
          <w:sz w:val="24"/>
          <w:highlight w:val="none"/>
        </w:rPr>
      </w:pPr>
      <w:r>
        <w:rPr>
          <w:rFonts w:hAnsi="宋体" w:cs="宋体"/>
          <w:sz w:val="24"/>
          <w:highlight w:val="none"/>
        </w:rPr>
        <w:t xml:space="preserve"> 14.1</w:t>
      </w:r>
      <w:r>
        <w:rPr>
          <w:rFonts w:hint="eastAsia" w:hAnsi="宋体" w:cs="宋体"/>
          <w:sz w:val="24"/>
          <w:highlight w:val="none"/>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宋体" w:cs="宋体"/>
          <w:sz w:val="24"/>
          <w:highlight w:val="none"/>
        </w:rPr>
        <w:t>30</w:t>
      </w:r>
      <w:r>
        <w:rPr>
          <w:rFonts w:hint="eastAsia" w:hAnsi="宋体" w:cs="宋体"/>
          <w:sz w:val="24"/>
          <w:highlight w:val="none"/>
        </w:rPr>
        <w:t>天内，免费负责修理或更换有缺陷的零部件或整机。对造成的损失买方保留索赔的权利。</w:t>
      </w:r>
    </w:p>
    <w:p>
      <w:pPr>
        <w:pStyle w:val="20"/>
        <w:rPr>
          <w:rFonts w:hAnsi="宋体" w:cs="宋体"/>
          <w:sz w:val="24"/>
          <w:highlight w:val="none"/>
        </w:rPr>
      </w:pPr>
      <w:r>
        <w:rPr>
          <w:rFonts w:hAnsi="宋体" w:cs="宋体"/>
          <w:sz w:val="24"/>
          <w:highlight w:val="none"/>
        </w:rPr>
        <w:t xml:space="preserve"> 14.2</w:t>
      </w:r>
      <w:r>
        <w:rPr>
          <w:rFonts w:hint="eastAsia" w:hAnsi="宋体" w:cs="宋体"/>
          <w:sz w:val="24"/>
          <w:highlight w:val="none"/>
        </w:rPr>
        <w:t>除非合同中另有规定，合同项设备及软件质量保证期为货物正式验收后</w:t>
      </w:r>
      <w:r>
        <w:rPr>
          <w:rFonts w:hint="eastAsia" w:hAnsi="宋体" w:cs="宋体"/>
          <w:sz w:val="24"/>
          <w:highlight w:val="none"/>
          <w:lang w:val="en-US" w:eastAsia="zh-CN"/>
        </w:rPr>
        <w:t>36</w:t>
      </w:r>
      <w:r>
        <w:rPr>
          <w:rFonts w:hint="eastAsia" w:hAnsi="宋体" w:cs="宋体"/>
          <w:sz w:val="24"/>
          <w:highlight w:val="none"/>
        </w:rPr>
        <w:t>个月。</w:t>
      </w:r>
    </w:p>
    <w:p>
      <w:pPr>
        <w:pStyle w:val="20"/>
        <w:rPr>
          <w:rFonts w:hAnsi="宋体" w:cs="宋体"/>
          <w:sz w:val="24"/>
          <w:highlight w:val="none"/>
        </w:rPr>
      </w:pPr>
      <w:r>
        <w:rPr>
          <w:rFonts w:hAnsi="宋体" w:cs="宋体"/>
          <w:sz w:val="24"/>
          <w:highlight w:val="none"/>
        </w:rPr>
        <w:t>15</w:t>
      </w:r>
      <w:r>
        <w:rPr>
          <w:rFonts w:hint="eastAsia" w:hAnsi="宋体" w:cs="宋体"/>
          <w:sz w:val="24"/>
          <w:highlight w:val="none"/>
        </w:rPr>
        <w:t>．检验</w:t>
      </w:r>
    </w:p>
    <w:p>
      <w:pPr>
        <w:pStyle w:val="20"/>
        <w:rPr>
          <w:rFonts w:hAnsi="宋体" w:cs="宋体"/>
          <w:sz w:val="24"/>
          <w:highlight w:val="none"/>
        </w:rPr>
      </w:pPr>
      <w:r>
        <w:rPr>
          <w:rFonts w:hAnsi="宋体" w:cs="宋体"/>
          <w:sz w:val="24"/>
          <w:highlight w:val="none"/>
        </w:rPr>
        <w:t xml:space="preserve"> 15.1</w:t>
      </w:r>
      <w:r>
        <w:rPr>
          <w:rFonts w:hint="eastAsia" w:hAnsi="宋体" w:cs="宋体"/>
          <w:sz w:val="24"/>
          <w:highlight w:val="none"/>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0"/>
        <w:rPr>
          <w:rFonts w:hAnsi="宋体" w:cs="宋体"/>
          <w:sz w:val="24"/>
          <w:highlight w:val="none"/>
        </w:rPr>
      </w:pPr>
      <w:r>
        <w:rPr>
          <w:rFonts w:hAnsi="宋体" w:cs="宋体"/>
          <w:sz w:val="24"/>
          <w:highlight w:val="none"/>
        </w:rPr>
        <w:t xml:space="preserve"> 15.2</w:t>
      </w:r>
      <w:r>
        <w:rPr>
          <w:rFonts w:hint="eastAsia" w:hAnsi="宋体" w:cs="宋体"/>
          <w:sz w:val="24"/>
          <w:highlight w:val="none"/>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20"/>
        <w:rPr>
          <w:rFonts w:hAnsi="宋体" w:cs="宋体"/>
          <w:sz w:val="24"/>
          <w:highlight w:val="none"/>
        </w:rPr>
      </w:pPr>
      <w:r>
        <w:rPr>
          <w:rFonts w:hAnsi="宋体" w:cs="宋体"/>
          <w:sz w:val="24"/>
          <w:highlight w:val="none"/>
        </w:rPr>
        <w:t>16</w:t>
      </w:r>
      <w:r>
        <w:rPr>
          <w:rFonts w:hint="eastAsia" w:hAnsi="宋体" w:cs="宋体"/>
          <w:sz w:val="24"/>
          <w:highlight w:val="none"/>
        </w:rPr>
        <w:t>．索赔</w:t>
      </w:r>
    </w:p>
    <w:p>
      <w:pPr>
        <w:pStyle w:val="20"/>
        <w:rPr>
          <w:rFonts w:hAnsi="宋体" w:cs="宋体"/>
          <w:sz w:val="24"/>
          <w:highlight w:val="none"/>
        </w:rPr>
      </w:pPr>
      <w:r>
        <w:rPr>
          <w:rFonts w:hAnsi="宋体" w:cs="宋体"/>
          <w:sz w:val="24"/>
          <w:highlight w:val="none"/>
        </w:rPr>
        <w:t xml:space="preserve"> 16.1</w:t>
      </w:r>
      <w:r>
        <w:rPr>
          <w:rFonts w:hint="eastAsia" w:hAnsi="宋体" w:cs="宋体"/>
          <w:sz w:val="24"/>
          <w:highlight w:val="none"/>
        </w:rPr>
        <w:t>卖方对货物与合同要求不符负有责任，并且买方已于规定的检验、安装、调试和验收测试期限内和质量保证期内提出索赔，卖方应按买方同意的下述一种或多种方法解决索赔事宜。</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）根据货物的疵劣和受损程度以及买方遭受损失的金额，经双方同意降低货物价格。</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）更换有缺陷的零件、部件和设备，或修理缺陷部分，以达到合同规定的规格、质量和性能，卖方承担一切费用和风险并负担买方遭受的一切直接费用。同时卖方应相应延长被更换货物的质量保证期。</w:t>
      </w:r>
    </w:p>
    <w:p>
      <w:pPr>
        <w:pStyle w:val="20"/>
        <w:rPr>
          <w:rFonts w:hAnsi="宋体" w:cs="宋体"/>
          <w:sz w:val="24"/>
          <w:highlight w:val="none"/>
        </w:rPr>
      </w:pPr>
      <w:r>
        <w:rPr>
          <w:rFonts w:hAnsi="宋体" w:cs="宋体"/>
          <w:sz w:val="24"/>
          <w:highlight w:val="none"/>
        </w:rPr>
        <w:t xml:space="preserve"> 16.2</w:t>
      </w:r>
      <w:r>
        <w:rPr>
          <w:rFonts w:hint="eastAsia" w:hAnsi="宋体" w:cs="宋体"/>
          <w:sz w:val="24"/>
          <w:highlight w:val="none"/>
        </w:rPr>
        <w:t>如果买方提出索赔通知后</w:t>
      </w:r>
      <w:r>
        <w:rPr>
          <w:rFonts w:hAnsi="宋体" w:cs="宋体"/>
          <w:sz w:val="24"/>
          <w:highlight w:val="none"/>
        </w:rPr>
        <w:t>30</w:t>
      </w:r>
      <w:r>
        <w:rPr>
          <w:rFonts w:hint="eastAsia" w:hAnsi="宋体" w:cs="宋体"/>
          <w:sz w:val="24"/>
          <w:highlight w:val="none"/>
        </w:rPr>
        <w:t>天内卖方未能予以答复，该索赔应视为已被卖方接受。若卖方未能在买方提出索赔通知的</w:t>
      </w:r>
      <w:r>
        <w:rPr>
          <w:rFonts w:hAnsi="宋体" w:cs="宋体"/>
          <w:sz w:val="24"/>
          <w:highlight w:val="none"/>
        </w:rPr>
        <w:t>30</w:t>
      </w:r>
      <w:r>
        <w:rPr>
          <w:rFonts w:hint="eastAsia" w:hAnsi="宋体" w:cs="宋体"/>
          <w:sz w:val="24"/>
          <w:highlight w:val="none"/>
        </w:rPr>
        <w:t>天内或买方同意的更长一些的时间内，按买方同意的上述任何一种方式处理索赔事宜，买方将从未付款或卖方提供的履约保证金中扣回索赔金额，同时保留进一步要求赔偿的权利。</w:t>
      </w:r>
    </w:p>
    <w:p>
      <w:pPr>
        <w:pStyle w:val="20"/>
        <w:rPr>
          <w:rFonts w:hAnsi="宋体" w:cs="宋体"/>
          <w:sz w:val="24"/>
          <w:highlight w:val="none"/>
        </w:rPr>
      </w:pPr>
      <w:r>
        <w:rPr>
          <w:rFonts w:hAnsi="宋体" w:cs="宋体"/>
          <w:sz w:val="24"/>
          <w:highlight w:val="none"/>
        </w:rPr>
        <w:t>17</w:t>
      </w:r>
      <w:r>
        <w:rPr>
          <w:rFonts w:hint="eastAsia" w:hAnsi="宋体" w:cs="宋体"/>
          <w:sz w:val="24"/>
          <w:highlight w:val="none"/>
        </w:rPr>
        <w:t>．延期交货与核定损失额</w:t>
      </w:r>
    </w:p>
    <w:p>
      <w:pPr>
        <w:pStyle w:val="20"/>
        <w:rPr>
          <w:rFonts w:hAnsi="宋体" w:cs="宋体"/>
          <w:sz w:val="24"/>
          <w:highlight w:val="none"/>
        </w:rPr>
      </w:pPr>
      <w:r>
        <w:rPr>
          <w:rFonts w:hAnsi="宋体" w:cs="宋体"/>
          <w:sz w:val="24"/>
          <w:highlight w:val="none"/>
        </w:rPr>
        <w:t xml:space="preserve"> 17.1</w:t>
      </w:r>
      <w:r>
        <w:rPr>
          <w:rFonts w:hint="eastAsia" w:hAnsi="宋体" w:cs="宋体"/>
          <w:sz w:val="24"/>
          <w:highlight w:val="none"/>
        </w:rPr>
        <w:t>如果卖方未能按合同规定的时间按期交货（本合同第</w:t>
      </w:r>
      <w:r>
        <w:rPr>
          <w:rFonts w:hAnsi="宋体" w:cs="宋体"/>
          <w:sz w:val="24"/>
          <w:highlight w:val="none"/>
        </w:rPr>
        <w:t>18</w:t>
      </w:r>
      <w:r>
        <w:rPr>
          <w:rFonts w:hint="eastAsia" w:hAnsi="宋体" w:cs="宋体"/>
          <w:sz w:val="24"/>
          <w:highlight w:val="none"/>
        </w:rPr>
        <w:t>款规定的不可抗力除外），在卖方同意支付核定损失额的条件下，买方将同意延长交货期。核定损失额的支付将从未付款或从履约保证金中扣除。核定损失额比率为每迟交</w:t>
      </w:r>
      <w:r>
        <w:rPr>
          <w:rFonts w:hAnsi="宋体" w:cs="宋体"/>
          <w:sz w:val="24"/>
          <w:highlight w:val="none"/>
        </w:rPr>
        <w:t>7</w:t>
      </w:r>
      <w:r>
        <w:rPr>
          <w:rFonts w:hint="eastAsia" w:hAnsi="宋体" w:cs="宋体"/>
          <w:sz w:val="24"/>
          <w:highlight w:val="none"/>
        </w:rPr>
        <w:t>天，按迟交货物金额的</w:t>
      </w:r>
      <w:r>
        <w:rPr>
          <w:rFonts w:hAnsi="宋体" w:cs="宋体"/>
          <w:sz w:val="24"/>
          <w:highlight w:val="none"/>
        </w:rPr>
        <w:t>0.5%</w:t>
      </w:r>
      <w:r>
        <w:rPr>
          <w:rFonts w:hint="eastAsia" w:hAnsi="宋体" w:cs="宋体"/>
          <w:sz w:val="24"/>
          <w:highlight w:val="none"/>
        </w:rPr>
        <w:t>，不满</w:t>
      </w:r>
      <w:r>
        <w:rPr>
          <w:rFonts w:hAnsi="宋体" w:cs="宋体"/>
          <w:sz w:val="24"/>
          <w:highlight w:val="none"/>
        </w:rPr>
        <w:t>7</w:t>
      </w:r>
      <w:r>
        <w:rPr>
          <w:rFonts w:hint="eastAsia" w:hAnsi="宋体" w:cs="宋体"/>
          <w:sz w:val="24"/>
          <w:highlight w:val="none"/>
        </w:rPr>
        <w:t>天按</w:t>
      </w:r>
      <w:r>
        <w:rPr>
          <w:rFonts w:hAnsi="宋体" w:cs="宋体"/>
          <w:sz w:val="24"/>
          <w:highlight w:val="none"/>
        </w:rPr>
        <w:t>7</w:t>
      </w:r>
      <w:r>
        <w:rPr>
          <w:rFonts w:hint="eastAsia" w:hAnsi="宋体" w:cs="宋体"/>
          <w:sz w:val="24"/>
          <w:highlight w:val="none"/>
        </w:rPr>
        <w:t>天计算，但是，核定损失额的支付不得超过迟交货物部分合同金额的</w:t>
      </w:r>
      <w:r>
        <w:rPr>
          <w:rFonts w:hAnsi="宋体" w:cs="宋体"/>
          <w:sz w:val="24"/>
          <w:highlight w:val="none"/>
        </w:rPr>
        <w:t>5%</w:t>
      </w:r>
      <w:r>
        <w:rPr>
          <w:rFonts w:hint="eastAsia" w:hAnsi="宋体" w:cs="宋体"/>
          <w:sz w:val="24"/>
          <w:highlight w:val="none"/>
        </w:rPr>
        <w:t>。如果卖方在达到核定损失额的最高限额后仍不能交货，买方有权因卖方违约终止合同，而卖方仍有义务支付上述迟交核定损失金额。</w:t>
      </w:r>
    </w:p>
    <w:p>
      <w:pPr>
        <w:pStyle w:val="20"/>
        <w:rPr>
          <w:rFonts w:hAnsi="宋体" w:cs="宋体"/>
          <w:sz w:val="24"/>
          <w:highlight w:val="none"/>
        </w:rPr>
      </w:pPr>
      <w:r>
        <w:rPr>
          <w:rFonts w:hAnsi="宋体" w:cs="宋体"/>
          <w:sz w:val="24"/>
          <w:highlight w:val="none"/>
        </w:rPr>
        <w:t>18</w:t>
      </w:r>
      <w:r>
        <w:rPr>
          <w:rFonts w:hint="eastAsia" w:hAnsi="宋体" w:cs="宋体"/>
          <w:sz w:val="24"/>
          <w:highlight w:val="none"/>
        </w:rPr>
        <w:t>．不可抗力</w:t>
      </w:r>
    </w:p>
    <w:p>
      <w:pPr>
        <w:pStyle w:val="20"/>
        <w:rPr>
          <w:rFonts w:hAnsi="宋体" w:cs="宋体"/>
          <w:sz w:val="24"/>
          <w:highlight w:val="none"/>
        </w:rPr>
      </w:pPr>
      <w:r>
        <w:rPr>
          <w:rFonts w:hAnsi="宋体" w:cs="宋体"/>
          <w:sz w:val="24"/>
          <w:highlight w:val="none"/>
        </w:rPr>
        <w:t xml:space="preserve"> 18.1</w:t>
      </w:r>
      <w:r>
        <w:rPr>
          <w:rFonts w:hint="eastAsia" w:hAnsi="宋体" w:cs="宋体"/>
          <w:sz w:val="24"/>
          <w:highlight w:val="none"/>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20"/>
        <w:rPr>
          <w:rFonts w:hAnsi="宋体" w:cs="宋体"/>
          <w:sz w:val="24"/>
          <w:highlight w:val="none"/>
        </w:rPr>
      </w:pPr>
      <w:r>
        <w:rPr>
          <w:rFonts w:hAnsi="宋体" w:cs="宋体"/>
          <w:sz w:val="24"/>
          <w:highlight w:val="none"/>
        </w:rPr>
        <w:t xml:space="preserve"> 18.2</w:t>
      </w:r>
      <w:r>
        <w:rPr>
          <w:rFonts w:hint="eastAsia" w:hAnsi="宋体" w:cs="宋体"/>
          <w:sz w:val="24"/>
          <w:highlight w:val="none"/>
        </w:rPr>
        <w:t>受阻一方应在不可抗力事故发生后尽快用电报、传真或电传通知对方，并于事故发生后</w:t>
      </w:r>
      <w:r>
        <w:rPr>
          <w:rFonts w:hAnsi="宋体" w:cs="宋体"/>
          <w:sz w:val="24"/>
          <w:highlight w:val="none"/>
        </w:rPr>
        <w:t>14</w:t>
      </w:r>
      <w:r>
        <w:rPr>
          <w:rFonts w:hint="eastAsia" w:hAnsi="宋体" w:cs="宋体"/>
          <w:sz w:val="24"/>
          <w:highlight w:val="none"/>
        </w:rPr>
        <w:t>天内将有关部门出具的证明文件用特快专递或挂号信寄给对方审阅确认。一旦不可抗力事故的影响持续</w:t>
      </w:r>
      <w:r>
        <w:rPr>
          <w:rFonts w:hAnsi="宋体" w:cs="宋体"/>
          <w:sz w:val="24"/>
          <w:highlight w:val="none"/>
        </w:rPr>
        <w:t>120</w:t>
      </w:r>
      <w:r>
        <w:rPr>
          <w:rFonts w:hint="eastAsia" w:hAnsi="宋体" w:cs="宋体"/>
          <w:sz w:val="24"/>
          <w:highlight w:val="none"/>
        </w:rPr>
        <w:t>天以上，双方应通过友好协商在合理的时间内达成进一步履行合同的协议。</w:t>
      </w:r>
    </w:p>
    <w:p>
      <w:pPr>
        <w:pStyle w:val="20"/>
        <w:rPr>
          <w:rFonts w:hAnsi="宋体" w:cs="宋体"/>
          <w:sz w:val="24"/>
          <w:highlight w:val="none"/>
        </w:rPr>
      </w:pPr>
      <w:r>
        <w:rPr>
          <w:rFonts w:hAnsi="宋体" w:cs="宋体"/>
          <w:sz w:val="24"/>
          <w:highlight w:val="none"/>
        </w:rPr>
        <w:t>19</w:t>
      </w:r>
      <w:r>
        <w:rPr>
          <w:rFonts w:hint="eastAsia" w:hAnsi="宋体" w:cs="宋体"/>
          <w:sz w:val="24"/>
          <w:highlight w:val="none"/>
        </w:rPr>
        <w:t>．履约保证金</w:t>
      </w:r>
    </w:p>
    <w:p>
      <w:pPr>
        <w:pStyle w:val="20"/>
        <w:rPr>
          <w:rFonts w:hAnsi="宋体" w:cs="宋体"/>
          <w:sz w:val="24"/>
          <w:highlight w:val="none"/>
        </w:rPr>
      </w:pPr>
      <w:r>
        <w:rPr>
          <w:rFonts w:hAnsi="宋体" w:cs="宋体"/>
          <w:sz w:val="24"/>
          <w:highlight w:val="none"/>
        </w:rPr>
        <w:t xml:space="preserve"> 19.1</w:t>
      </w:r>
      <w:r>
        <w:rPr>
          <w:rFonts w:hint="eastAsia" w:hAnsi="宋体" w:cs="宋体"/>
          <w:sz w:val="24"/>
          <w:highlight w:val="none"/>
        </w:rPr>
        <w:t>买卖双方应在合同签订后协商确定履约保证金事项，履约保证金的有效期至货物保证期满。履约保证金应由银行开具。</w:t>
      </w:r>
    </w:p>
    <w:p>
      <w:pPr>
        <w:pStyle w:val="20"/>
        <w:rPr>
          <w:rFonts w:hAnsi="宋体" w:cs="宋体"/>
          <w:sz w:val="24"/>
          <w:highlight w:val="none"/>
        </w:rPr>
      </w:pPr>
      <w:r>
        <w:rPr>
          <w:rFonts w:hAnsi="宋体" w:cs="宋体"/>
          <w:sz w:val="24"/>
          <w:highlight w:val="none"/>
        </w:rPr>
        <w:t xml:space="preserve"> 19.2</w:t>
      </w:r>
      <w:r>
        <w:rPr>
          <w:rFonts w:hint="eastAsia" w:hAnsi="宋体" w:cs="宋体"/>
          <w:sz w:val="24"/>
          <w:highlight w:val="none"/>
        </w:rPr>
        <w:t>卖方提供的履约保证金按规定格式以银行保函的形式提供，与此有关的费用由卖方负担。</w:t>
      </w:r>
    </w:p>
    <w:p>
      <w:pPr>
        <w:pStyle w:val="20"/>
        <w:rPr>
          <w:rFonts w:hAnsi="宋体" w:cs="宋体"/>
          <w:sz w:val="24"/>
          <w:highlight w:val="none"/>
        </w:rPr>
      </w:pPr>
      <w:r>
        <w:rPr>
          <w:rFonts w:hAnsi="宋体" w:cs="宋体"/>
          <w:sz w:val="24"/>
          <w:highlight w:val="none"/>
        </w:rPr>
        <w:t xml:space="preserve"> 19.3</w:t>
      </w:r>
      <w:r>
        <w:rPr>
          <w:rFonts w:hint="eastAsia" w:hAnsi="宋体" w:cs="宋体"/>
          <w:sz w:val="24"/>
          <w:highlight w:val="none"/>
        </w:rPr>
        <w:t>如果卖方未能按合同规定履行其义务，买方有权从履约保证金取得补偿。</w:t>
      </w:r>
    </w:p>
    <w:p>
      <w:pPr>
        <w:pStyle w:val="20"/>
        <w:rPr>
          <w:rFonts w:hAnsi="宋体" w:cs="宋体"/>
          <w:sz w:val="24"/>
          <w:highlight w:val="none"/>
        </w:rPr>
      </w:pPr>
      <w:r>
        <w:rPr>
          <w:rFonts w:hAnsi="宋体" w:cs="宋体"/>
          <w:sz w:val="24"/>
          <w:highlight w:val="none"/>
        </w:rPr>
        <w:t>20</w:t>
      </w:r>
      <w:r>
        <w:rPr>
          <w:rFonts w:hint="eastAsia" w:hAnsi="宋体" w:cs="宋体"/>
          <w:sz w:val="24"/>
          <w:highlight w:val="none"/>
        </w:rPr>
        <w:t>．仲裁</w:t>
      </w:r>
    </w:p>
    <w:p>
      <w:pPr>
        <w:pStyle w:val="20"/>
        <w:rPr>
          <w:rFonts w:hAnsi="宋体" w:cs="宋体"/>
          <w:sz w:val="24"/>
          <w:highlight w:val="none"/>
        </w:rPr>
      </w:pPr>
      <w:r>
        <w:rPr>
          <w:rFonts w:hAnsi="宋体" w:cs="宋体"/>
          <w:sz w:val="24"/>
          <w:highlight w:val="none"/>
        </w:rPr>
        <w:t xml:space="preserve"> 20.1</w:t>
      </w:r>
      <w:r>
        <w:rPr>
          <w:rFonts w:hint="eastAsia" w:hAnsi="宋体" w:cs="宋体"/>
          <w:sz w:val="24"/>
          <w:highlight w:val="none"/>
        </w:rPr>
        <w:t>在执行本合同中发生的或与本合同有关的争端，双方应通过友好协商解决，经协商在</w:t>
      </w:r>
      <w:r>
        <w:rPr>
          <w:rFonts w:hAnsi="宋体" w:cs="宋体"/>
          <w:sz w:val="24"/>
          <w:highlight w:val="none"/>
        </w:rPr>
        <w:t>30</w:t>
      </w:r>
      <w:r>
        <w:rPr>
          <w:rFonts w:hint="eastAsia" w:hAnsi="宋体" w:cs="宋体"/>
          <w:sz w:val="24"/>
          <w:highlight w:val="none"/>
        </w:rPr>
        <w:t>天内不能达成协议时，应提交仲裁。</w:t>
      </w:r>
    </w:p>
    <w:p>
      <w:pPr>
        <w:pStyle w:val="20"/>
        <w:rPr>
          <w:rFonts w:hAnsi="宋体" w:cs="宋体"/>
          <w:sz w:val="24"/>
          <w:highlight w:val="none"/>
        </w:rPr>
      </w:pPr>
      <w:r>
        <w:rPr>
          <w:rFonts w:hAnsi="宋体" w:cs="宋体"/>
          <w:sz w:val="24"/>
          <w:highlight w:val="none"/>
        </w:rPr>
        <w:t>20.2</w:t>
      </w:r>
      <w:r>
        <w:rPr>
          <w:rFonts w:hint="eastAsia" w:hAnsi="宋体" w:cs="宋体"/>
          <w:sz w:val="24"/>
          <w:highlight w:val="none"/>
        </w:rPr>
        <w:t>仲裁应由买方当地仲裁机构（乌鲁木齐市仲裁委员会）根据其仲裁程序和暂行规则进行。</w:t>
      </w:r>
    </w:p>
    <w:p>
      <w:pPr>
        <w:pStyle w:val="20"/>
        <w:rPr>
          <w:rFonts w:hAnsi="宋体" w:cs="宋体"/>
          <w:sz w:val="24"/>
          <w:highlight w:val="none"/>
        </w:rPr>
      </w:pPr>
      <w:r>
        <w:rPr>
          <w:rFonts w:hAnsi="宋体" w:cs="宋体"/>
          <w:sz w:val="24"/>
          <w:highlight w:val="none"/>
        </w:rPr>
        <w:t xml:space="preserve"> 20.3</w:t>
      </w:r>
      <w:r>
        <w:rPr>
          <w:rFonts w:hint="eastAsia" w:hAnsi="宋体" w:cs="宋体"/>
          <w:sz w:val="24"/>
          <w:highlight w:val="none"/>
        </w:rPr>
        <w:t>仲裁裁决应为最终决定，并对双方具有约束力。</w:t>
      </w:r>
    </w:p>
    <w:p>
      <w:pPr>
        <w:pStyle w:val="20"/>
        <w:rPr>
          <w:rFonts w:hAnsi="宋体" w:cs="宋体"/>
          <w:sz w:val="24"/>
          <w:highlight w:val="none"/>
        </w:rPr>
      </w:pPr>
      <w:r>
        <w:rPr>
          <w:rFonts w:hAnsi="宋体" w:cs="宋体"/>
          <w:sz w:val="24"/>
          <w:highlight w:val="none"/>
        </w:rPr>
        <w:t xml:space="preserve"> 20.4</w:t>
      </w:r>
      <w:r>
        <w:rPr>
          <w:rFonts w:hint="eastAsia" w:hAnsi="宋体" w:cs="宋体"/>
          <w:sz w:val="24"/>
          <w:highlight w:val="none"/>
        </w:rPr>
        <w:t>除另有裁决外，仲裁费应由败诉方负担。</w:t>
      </w:r>
    </w:p>
    <w:p>
      <w:pPr>
        <w:pStyle w:val="20"/>
        <w:rPr>
          <w:rFonts w:hAnsi="宋体" w:cs="宋体"/>
          <w:sz w:val="24"/>
          <w:highlight w:val="none"/>
        </w:rPr>
      </w:pPr>
      <w:r>
        <w:rPr>
          <w:rFonts w:hAnsi="宋体" w:cs="宋体"/>
          <w:sz w:val="24"/>
          <w:highlight w:val="none"/>
        </w:rPr>
        <w:t xml:space="preserve"> 20.5</w:t>
      </w:r>
      <w:r>
        <w:rPr>
          <w:rFonts w:hint="eastAsia" w:hAnsi="宋体" w:cs="宋体"/>
          <w:sz w:val="24"/>
          <w:highlight w:val="none"/>
        </w:rPr>
        <w:t>在仲裁期间，除正在进行仲裁部分外，合同其它部分继续执行。</w:t>
      </w:r>
    </w:p>
    <w:p>
      <w:pPr>
        <w:pStyle w:val="20"/>
        <w:rPr>
          <w:rFonts w:hAnsi="宋体" w:cs="宋体"/>
          <w:sz w:val="24"/>
          <w:highlight w:val="none"/>
        </w:rPr>
      </w:pPr>
      <w:r>
        <w:rPr>
          <w:rFonts w:hAnsi="宋体" w:cs="宋体"/>
          <w:sz w:val="24"/>
          <w:highlight w:val="none"/>
        </w:rPr>
        <w:t>21</w:t>
      </w:r>
      <w:r>
        <w:rPr>
          <w:rFonts w:hint="eastAsia" w:hAnsi="宋体" w:cs="宋体"/>
          <w:sz w:val="24"/>
          <w:highlight w:val="none"/>
        </w:rPr>
        <w:t>．违约终止合同</w:t>
      </w:r>
    </w:p>
    <w:p>
      <w:pPr>
        <w:pStyle w:val="20"/>
        <w:ind w:firstLine="566" w:firstLineChars="236"/>
        <w:rPr>
          <w:rFonts w:hAnsi="宋体" w:cs="宋体"/>
          <w:sz w:val="24"/>
          <w:highlight w:val="none"/>
        </w:rPr>
      </w:pPr>
      <w:r>
        <w:rPr>
          <w:rFonts w:hAnsi="宋体" w:cs="宋体"/>
          <w:sz w:val="24"/>
          <w:highlight w:val="none"/>
        </w:rPr>
        <w:t>21.1</w:t>
      </w:r>
      <w:r>
        <w:rPr>
          <w:rFonts w:hint="eastAsia" w:hAnsi="宋体" w:cs="宋体"/>
          <w:sz w:val="24"/>
          <w:highlight w:val="none"/>
        </w:rPr>
        <w:t>在补救违约而采取的任何其他措施未能实现的情况下，即在卖方收到买方发出的违约通知后</w:t>
      </w:r>
      <w:r>
        <w:rPr>
          <w:rFonts w:hAnsi="宋体" w:cs="宋体"/>
          <w:sz w:val="24"/>
          <w:highlight w:val="none"/>
        </w:rPr>
        <w:t>30</w:t>
      </w:r>
      <w:r>
        <w:rPr>
          <w:rFonts w:hint="eastAsia" w:hAnsi="宋体" w:cs="宋体"/>
          <w:sz w:val="24"/>
          <w:highlight w:val="none"/>
        </w:rPr>
        <w:t>天内（或经买方书面确认的更长时间内）仍未纠正其下述任何一种违约行为，买方可向卖方发出书面违约通知，终止全部或部分合同：</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）如果卖方未能在合同规定的期限内或买方准许的任何延期内交付部分或全部货物。</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）卖方未能履行合同项下的任何其它义务。</w:t>
      </w:r>
    </w:p>
    <w:p>
      <w:pPr>
        <w:pStyle w:val="20"/>
        <w:rPr>
          <w:rFonts w:hAnsi="宋体" w:cs="宋体"/>
          <w:sz w:val="24"/>
          <w:highlight w:val="none"/>
        </w:rPr>
      </w:pPr>
      <w:r>
        <w:rPr>
          <w:rFonts w:hAnsi="宋体" w:cs="宋体"/>
          <w:sz w:val="24"/>
          <w:highlight w:val="none"/>
        </w:rPr>
        <w:t xml:space="preserve"> 21.2</w:t>
      </w:r>
      <w:r>
        <w:rPr>
          <w:rFonts w:hint="eastAsia" w:hAnsi="宋体" w:cs="宋体"/>
          <w:sz w:val="24"/>
          <w:highlight w:val="none"/>
        </w:rPr>
        <w:t>一旦买方根据第</w:t>
      </w:r>
      <w:r>
        <w:rPr>
          <w:rFonts w:hAnsi="宋体" w:cs="宋体"/>
          <w:sz w:val="24"/>
          <w:highlight w:val="none"/>
        </w:rPr>
        <w:t>21.1</w:t>
      </w:r>
      <w:r>
        <w:rPr>
          <w:rFonts w:hint="eastAsia" w:hAnsi="宋体" w:cs="宋体"/>
          <w:sz w:val="24"/>
          <w:highlight w:val="none"/>
        </w:rPr>
        <w:t>款终止部分或全部合同，买方可以按其认为适当的条件和方式采购类似未交付部分的货物。卖方应承担买方购买类似货物的额外费用。但是，卖方应继续履行合同中未终止的部分。</w:t>
      </w:r>
    </w:p>
    <w:p>
      <w:pPr>
        <w:pStyle w:val="20"/>
        <w:rPr>
          <w:rFonts w:hAnsi="宋体" w:cs="宋体"/>
          <w:sz w:val="24"/>
          <w:highlight w:val="none"/>
        </w:rPr>
      </w:pPr>
      <w:r>
        <w:rPr>
          <w:rFonts w:hAnsi="宋体" w:cs="宋体"/>
          <w:sz w:val="24"/>
          <w:highlight w:val="none"/>
        </w:rPr>
        <w:t>22</w:t>
      </w:r>
      <w:r>
        <w:rPr>
          <w:rFonts w:hint="eastAsia" w:hAnsi="宋体" w:cs="宋体"/>
          <w:sz w:val="24"/>
          <w:highlight w:val="none"/>
        </w:rPr>
        <w:t>．变更指示</w:t>
      </w:r>
    </w:p>
    <w:p>
      <w:pPr>
        <w:pStyle w:val="20"/>
        <w:rPr>
          <w:rFonts w:hAnsi="宋体" w:cs="宋体"/>
          <w:sz w:val="24"/>
          <w:highlight w:val="none"/>
        </w:rPr>
      </w:pPr>
      <w:r>
        <w:rPr>
          <w:rFonts w:hAnsi="宋体" w:cs="宋体"/>
          <w:sz w:val="24"/>
          <w:highlight w:val="none"/>
        </w:rPr>
        <w:t xml:space="preserve"> 22.1</w:t>
      </w:r>
      <w:r>
        <w:rPr>
          <w:rFonts w:hint="eastAsia" w:hAnsi="宋体" w:cs="宋体"/>
          <w:sz w:val="24"/>
          <w:highlight w:val="none"/>
        </w:rPr>
        <w:t>买方可以随时向卖方发出书面指示，在合同总体范围内对如下一点或几点提出变更：</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）合同项下需为买方特殊制造的货物的图纸、设计或规格；</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）装运方式和包装方式；</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）交货地点；</w:t>
      </w:r>
    </w:p>
    <w:p>
      <w:pPr>
        <w:pStyle w:val="20"/>
        <w:ind w:firstLine="566" w:firstLineChars="236"/>
        <w:rPr>
          <w:rFonts w:hAnsi="宋体" w:cs="宋体"/>
          <w:sz w:val="24"/>
          <w:highlight w:val="none"/>
        </w:rPr>
      </w:pPr>
      <w:r>
        <w:rPr>
          <w:rFonts w:hint="eastAsia" w:hAnsi="宋体" w:cs="宋体"/>
          <w:sz w:val="24"/>
          <w:highlight w:val="none"/>
        </w:rPr>
        <w:t>（</w:t>
      </w:r>
      <w:r>
        <w:rPr>
          <w:rFonts w:hAnsi="宋体" w:cs="宋体"/>
          <w:sz w:val="24"/>
          <w:highlight w:val="none"/>
        </w:rPr>
        <w:t>4</w:t>
      </w:r>
      <w:r>
        <w:rPr>
          <w:rFonts w:hint="eastAsia" w:hAnsi="宋体" w:cs="宋体"/>
          <w:sz w:val="24"/>
          <w:highlight w:val="none"/>
        </w:rPr>
        <w:t>）卖方须提供的服务。</w:t>
      </w:r>
    </w:p>
    <w:p>
      <w:pPr>
        <w:pStyle w:val="20"/>
        <w:rPr>
          <w:rFonts w:hAnsi="宋体" w:cs="宋体"/>
          <w:sz w:val="24"/>
          <w:highlight w:val="none"/>
        </w:rPr>
      </w:pPr>
      <w:r>
        <w:rPr>
          <w:rFonts w:hAnsi="宋体" w:cs="宋体"/>
          <w:sz w:val="24"/>
          <w:highlight w:val="none"/>
        </w:rPr>
        <w:t xml:space="preserve"> 22.2</w:t>
      </w:r>
      <w:r>
        <w:rPr>
          <w:rFonts w:hint="eastAsia" w:hAnsi="宋体" w:cs="宋体"/>
          <w:sz w:val="24"/>
          <w:highlight w:val="none"/>
        </w:rPr>
        <w:t>若上述变更导致了卖方履行合同项下任何部分义务的费用或所需时间的增减，应对合同价格或交货进度进行合理的调整，同时相应地修改合同。卖方必须在接到买方的变更指示后</w:t>
      </w:r>
      <w:r>
        <w:rPr>
          <w:rFonts w:hAnsi="宋体" w:cs="宋体"/>
          <w:sz w:val="24"/>
          <w:highlight w:val="none"/>
        </w:rPr>
        <w:t>30</w:t>
      </w:r>
      <w:r>
        <w:rPr>
          <w:rFonts w:hint="eastAsia" w:hAnsi="宋体" w:cs="宋体"/>
          <w:sz w:val="24"/>
          <w:highlight w:val="none"/>
        </w:rPr>
        <w:t>天内根据本款提出调整的实施意见。</w:t>
      </w:r>
    </w:p>
    <w:p>
      <w:pPr>
        <w:pStyle w:val="20"/>
        <w:rPr>
          <w:rFonts w:hAnsi="宋体" w:cs="宋体"/>
          <w:sz w:val="24"/>
          <w:highlight w:val="none"/>
        </w:rPr>
      </w:pPr>
      <w:r>
        <w:rPr>
          <w:rFonts w:hAnsi="宋体" w:cs="宋体"/>
          <w:sz w:val="24"/>
          <w:highlight w:val="none"/>
        </w:rPr>
        <w:t>23</w:t>
      </w:r>
      <w:r>
        <w:rPr>
          <w:rFonts w:hint="eastAsia" w:hAnsi="宋体" w:cs="宋体"/>
          <w:sz w:val="24"/>
          <w:highlight w:val="none"/>
        </w:rPr>
        <w:t>．合同修改</w:t>
      </w:r>
    </w:p>
    <w:p>
      <w:pPr>
        <w:pStyle w:val="20"/>
        <w:rPr>
          <w:rFonts w:hAnsi="宋体" w:cs="宋体"/>
          <w:sz w:val="24"/>
          <w:highlight w:val="none"/>
        </w:rPr>
      </w:pPr>
      <w:r>
        <w:rPr>
          <w:rFonts w:hAnsi="宋体" w:cs="宋体"/>
          <w:sz w:val="24"/>
          <w:highlight w:val="none"/>
        </w:rPr>
        <w:t xml:space="preserve"> 23.1</w:t>
      </w:r>
      <w:r>
        <w:rPr>
          <w:rFonts w:hint="eastAsia" w:hAnsi="宋体" w:cs="宋体"/>
          <w:sz w:val="24"/>
          <w:highlight w:val="none"/>
        </w:rPr>
        <w:t>欲对合同条款作出任何改动或偏离，均须由买卖双方签署书面的合同修改书。</w:t>
      </w:r>
    </w:p>
    <w:p>
      <w:pPr>
        <w:pStyle w:val="20"/>
        <w:rPr>
          <w:rFonts w:hAnsi="宋体" w:cs="宋体"/>
          <w:sz w:val="24"/>
          <w:highlight w:val="none"/>
        </w:rPr>
      </w:pPr>
      <w:r>
        <w:rPr>
          <w:rFonts w:hAnsi="宋体" w:cs="宋体"/>
          <w:sz w:val="24"/>
          <w:highlight w:val="none"/>
        </w:rPr>
        <w:t>24</w:t>
      </w:r>
      <w:r>
        <w:rPr>
          <w:rFonts w:hint="eastAsia" w:hAnsi="宋体" w:cs="宋体"/>
          <w:sz w:val="24"/>
          <w:highlight w:val="none"/>
        </w:rPr>
        <w:t>．转让与分包</w:t>
      </w:r>
    </w:p>
    <w:p>
      <w:pPr>
        <w:pStyle w:val="20"/>
        <w:rPr>
          <w:rFonts w:hAnsi="宋体" w:cs="宋体"/>
          <w:sz w:val="24"/>
          <w:highlight w:val="none"/>
        </w:rPr>
      </w:pPr>
      <w:r>
        <w:rPr>
          <w:rFonts w:hAnsi="宋体" w:cs="宋体"/>
          <w:sz w:val="24"/>
          <w:highlight w:val="none"/>
        </w:rPr>
        <w:t xml:space="preserve"> 24.1</w:t>
      </w:r>
      <w:r>
        <w:rPr>
          <w:rFonts w:hint="eastAsia" w:hAnsi="宋体" w:cs="宋体"/>
          <w:sz w:val="24"/>
          <w:highlight w:val="none"/>
        </w:rPr>
        <w:t>除买方事先同意外，卖方不得部分转让或全部转让其应履行的合同项下的义务。</w:t>
      </w:r>
    </w:p>
    <w:p>
      <w:pPr>
        <w:pStyle w:val="20"/>
        <w:rPr>
          <w:rFonts w:hAnsi="宋体" w:cs="宋体"/>
          <w:sz w:val="24"/>
          <w:highlight w:val="none"/>
        </w:rPr>
      </w:pPr>
      <w:r>
        <w:rPr>
          <w:rFonts w:hAnsi="宋体" w:cs="宋体"/>
          <w:sz w:val="24"/>
          <w:highlight w:val="none"/>
        </w:rPr>
        <w:t xml:space="preserve"> 24.2</w:t>
      </w:r>
      <w:r>
        <w:rPr>
          <w:rFonts w:hint="eastAsia" w:hAnsi="宋体" w:cs="宋体"/>
          <w:sz w:val="24"/>
          <w:highlight w:val="none"/>
        </w:rPr>
        <w:t>卖方应书面通知买方本合同项下所授予的所有分包合同。但该通知不解除卖方承担的本合同项下的任何责任或义务。</w:t>
      </w:r>
    </w:p>
    <w:p>
      <w:pPr>
        <w:pStyle w:val="20"/>
        <w:rPr>
          <w:rFonts w:hAnsi="宋体" w:cs="宋体"/>
          <w:sz w:val="24"/>
          <w:highlight w:val="none"/>
        </w:rPr>
      </w:pPr>
      <w:r>
        <w:rPr>
          <w:rFonts w:hAnsi="宋体" w:cs="宋体"/>
          <w:sz w:val="24"/>
          <w:highlight w:val="none"/>
        </w:rPr>
        <w:t>25</w:t>
      </w:r>
      <w:r>
        <w:rPr>
          <w:rFonts w:hint="eastAsia" w:hAnsi="宋体" w:cs="宋体"/>
          <w:sz w:val="24"/>
          <w:highlight w:val="none"/>
        </w:rPr>
        <w:t>．适用法律</w:t>
      </w:r>
    </w:p>
    <w:p>
      <w:pPr>
        <w:pStyle w:val="20"/>
        <w:rPr>
          <w:rFonts w:hAnsi="宋体" w:cs="宋体"/>
          <w:sz w:val="24"/>
          <w:highlight w:val="none"/>
        </w:rPr>
      </w:pPr>
      <w:r>
        <w:rPr>
          <w:rFonts w:hAnsi="宋体" w:cs="宋体"/>
          <w:sz w:val="24"/>
          <w:highlight w:val="none"/>
        </w:rPr>
        <w:t xml:space="preserve"> 25.1</w:t>
      </w:r>
      <w:r>
        <w:rPr>
          <w:rFonts w:hint="eastAsia" w:hAnsi="宋体" w:cs="宋体"/>
          <w:sz w:val="24"/>
          <w:highlight w:val="none"/>
        </w:rPr>
        <w:t>本合同应按中华人民共和国的相关法律解释。</w:t>
      </w:r>
    </w:p>
    <w:p>
      <w:pPr>
        <w:pStyle w:val="20"/>
        <w:rPr>
          <w:rFonts w:hAnsi="宋体" w:cs="宋体"/>
          <w:sz w:val="24"/>
          <w:highlight w:val="none"/>
        </w:rPr>
      </w:pPr>
      <w:r>
        <w:rPr>
          <w:rFonts w:hAnsi="宋体" w:cs="宋体"/>
          <w:sz w:val="24"/>
          <w:highlight w:val="none"/>
        </w:rPr>
        <w:t>26</w:t>
      </w:r>
      <w:r>
        <w:rPr>
          <w:rFonts w:hint="eastAsia" w:hAnsi="宋体" w:cs="宋体"/>
          <w:sz w:val="24"/>
          <w:highlight w:val="none"/>
        </w:rPr>
        <w:t>．通知</w:t>
      </w:r>
    </w:p>
    <w:p>
      <w:pPr>
        <w:pStyle w:val="20"/>
        <w:rPr>
          <w:rFonts w:hAnsi="宋体" w:cs="宋体"/>
          <w:sz w:val="24"/>
          <w:highlight w:val="none"/>
        </w:rPr>
      </w:pPr>
      <w:r>
        <w:rPr>
          <w:rFonts w:hAnsi="宋体" w:cs="宋体"/>
          <w:sz w:val="24"/>
          <w:highlight w:val="none"/>
        </w:rPr>
        <w:t xml:space="preserve"> 26.1</w:t>
      </w:r>
      <w:r>
        <w:rPr>
          <w:rFonts w:hint="eastAsia" w:hAnsi="宋体" w:cs="宋体"/>
          <w:sz w:val="24"/>
          <w:highlight w:val="none"/>
        </w:rPr>
        <w:t>本合同任何一方给另一方的通知都应以书面或电传、电报、传真的形式发送，而另一方应以书面形式确并发送到对方明确的地址。</w:t>
      </w:r>
    </w:p>
    <w:p>
      <w:pPr>
        <w:pStyle w:val="20"/>
        <w:rPr>
          <w:rFonts w:hAnsi="宋体" w:cs="宋体"/>
          <w:sz w:val="24"/>
          <w:highlight w:val="none"/>
        </w:rPr>
      </w:pPr>
      <w:r>
        <w:rPr>
          <w:rFonts w:hAnsi="宋体" w:cs="宋体"/>
          <w:sz w:val="24"/>
          <w:highlight w:val="none"/>
        </w:rPr>
        <w:t>27</w:t>
      </w:r>
      <w:r>
        <w:rPr>
          <w:rFonts w:hint="eastAsia" w:hAnsi="宋体" w:cs="宋体"/>
          <w:sz w:val="24"/>
          <w:highlight w:val="none"/>
        </w:rPr>
        <w:t>．合同文件及资料的使用</w:t>
      </w:r>
    </w:p>
    <w:p>
      <w:pPr>
        <w:pStyle w:val="20"/>
        <w:rPr>
          <w:rFonts w:hAnsi="宋体" w:cs="宋体"/>
          <w:sz w:val="24"/>
          <w:highlight w:val="none"/>
        </w:rPr>
      </w:pPr>
      <w:r>
        <w:rPr>
          <w:rFonts w:hAnsi="宋体" w:cs="宋体"/>
          <w:sz w:val="24"/>
          <w:highlight w:val="none"/>
        </w:rPr>
        <w:t xml:space="preserve"> 27.1</w:t>
      </w:r>
      <w:r>
        <w:rPr>
          <w:rFonts w:hint="eastAsia" w:hAnsi="宋体" w:cs="宋体"/>
          <w:sz w:val="24"/>
          <w:highlight w:val="none"/>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20"/>
        <w:rPr>
          <w:rFonts w:hAnsi="宋体" w:cs="宋体"/>
          <w:sz w:val="24"/>
          <w:highlight w:val="none"/>
        </w:rPr>
      </w:pPr>
      <w:r>
        <w:rPr>
          <w:rFonts w:hAnsi="宋体" w:cs="宋体"/>
          <w:sz w:val="24"/>
          <w:highlight w:val="none"/>
        </w:rPr>
        <w:t xml:space="preserve"> 27.2</w:t>
      </w:r>
      <w:r>
        <w:rPr>
          <w:rFonts w:hint="eastAsia" w:hAnsi="宋体" w:cs="宋体"/>
          <w:sz w:val="24"/>
          <w:highlight w:val="none"/>
        </w:rPr>
        <w:t>除非执行合同需要，在事先末得到买方同意的情况下，卖方不得使用第</w:t>
      </w:r>
      <w:r>
        <w:rPr>
          <w:rFonts w:hAnsi="宋体" w:cs="宋体"/>
          <w:sz w:val="24"/>
          <w:highlight w:val="none"/>
        </w:rPr>
        <w:t>27.1</w:t>
      </w:r>
      <w:r>
        <w:rPr>
          <w:rFonts w:hint="eastAsia" w:hAnsi="宋体" w:cs="宋体"/>
          <w:sz w:val="24"/>
          <w:highlight w:val="none"/>
        </w:rPr>
        <w:t>款中所列的任何文件和资料。</w:t>
      </w:r>
    </w:p>
    <w:p>
      <w:pPr>
        <w:pStyle w:val="20"/>
        <w:rPr>
          <w:rFonts w:hAnsi="宋体" w:cs="宋体"/>
          <w:sz w:val="24"/>
          <w:highlight w:val="none"/>
        </w:rPr>
      </w:pPr>
      <w:r>
        <w:rPr>
          <w:rFonts w:hAnsi="宋体" w:cs="宋体"/>
          <w:sz w:val="24"/>
          <w:highlight w:val="none"/>
        </w:rPr>
        <w:t xml:space="preserve"> 27.3</w:t>
      </w:r>
      <w:r>
        <w:rPr>
          <w:rFonts w:hint="eastAsia" w:hAnsi="宋体" w:cs="宋体"/>
          <w:sz w:val="24"/>
          <w:highlight w:val="none"/>
        </w:rPr>
        <w:t>除合同本身以外，</w:t>
      </w:r>
      <w:r>
        <w:rPr>
          <w:rFonts w:hAnsi="宋体" w:cs="宋体"/>
          <w:sz w:val="24"/>
          <w:highlight w:val="none"/>
        </w:rPr>
        <w:t>27.1</w:t>
      </w:r>
      <w:r>
        <w:rPr>
          <w:rFonts w:hint="eastAsia" w:hAnsi="宋体" w:cs="宋体"/>
          <w:sz w:val="24"/>
          <w:highlight w:val="none"/>
        </w:rPr>
        <w:t>款列明的所有资料始终为买方的财产，若买方要求，卖方应于其合同义务履行完毕以后将这些资料（包括所有副本）退还买方。</w:t>
      </w:r>
    </w:p>
    <w:p>
      <w:pPr>
        <w:pStyle w:val="20"/>
        <w:rPr>
          <w:rFonts w:hAnsi="宋体" w:cs="宋体"/>
          <w:sz w:val="24"/>
          <w:highlight w:val="none"/>
        </w:rPr>
      </w:pPr>
      <w:r>
        <w:rPr>
          <w:rFonts w:hAnsi="宋体" w:cs="宋体"/>
          <w:sz w:val="24"/>
          <w:highlight w:val="none"/>
        </w:rPr>
        <w:t>28</w:t>
      </w:r>
      <w:r>
        <w:rPr>
          <w:rFonts w:hint="eastAsia" w:hAnsi="宋体" w:cs="宋体"/>
          <w:sz w:val="24"/>
          <w:highlight w:val="none"/>
        </w:rPr>
        <w:t>．合同生效及其他</w:t>
      </w:r>
    </w:p>
    <w:p>
      <w:pPr>
        <w:pStyle w:val="20"/>
        <w:rPr>
          <w:rFonts w:hAnsi="宋体" w:cs="宋体"/>
          <w:sz w:val="24"/>
          <w:highlight w:val="none"/>
        </w:rPr>
      </w:pPr>
      <w:r>
        <w:rPr>
          <w:rFonts w:hAnsi="宋体" w:cs="宋体"/>
          <w:sz w:val="24"/>
          <w:highlight w:val="none"/>
        </w:rPr>
        <w:t xml:space="preserve"> 28.1</w:t>
      </w:r>
      <w:r>
        <w:rPr>
          <w:rFonts w:hint="eastAsia" w:hAnsi="宋体" w:cs="宋体"/>
          <w:sz w:val="24"/>
          <w:highlight w:val="none"/>
        </w:rPr>
        <w:t>本合同应在买方和卖方签字（及买方收到卖方的履约保证金后），即开始生效。</w:t>
      </w:r>
    </w:p>
    <w:p>
      <w:pPr>
        <w:pStyle w:val="20"/>
        <w:rPr>
          <w:rFonts w:hAnsi="宋体" w:cs="宋体"/>
          <w:sz w:val="24"/>
          <w:highlight w:val="none"/>
        </w:rPr>
      </w:pPr>
      <w:r>
        <w:rPr>
          <w:rFonts w:hAnsi="宋体" w:cs="宋体"/>
          <w:sz w:val="24"/>
          <w:highlight w:val="none"/>
        </w:rPr>
        <w:t xml:space="preserve"> 28.2</w:t>
      </w:r>
      <w:r>
        <w:rPr>
          <w:rFonts w:hint="eastAsia" w:hAnsi="宋体" w:cs="宋体"/>
          <w:sz w:val="24"/>
          <w:highlight w:val="none"/>
        </w:rPr>
        <w:t>卖方须按技术规格中的规定，向买方提供与合同项下货物有关的现场安装调试、技术服务、培训等其他相关服务。</w:t>
      </w:r>
    </w:p>
    <w:p>
      <w:pPr>
        <w:pStyle w:val="20"/>
        <w:rPr>
          <w:rFonts w:hAnsi="宋体" w:cs="宋体"/>
          <w:sz w:val="24"/>
          <w:highlight w:val="none"/>
        </w:rPr>
      </w:pPr>
      <w:r>
        <w:rPr>
          <w:rFonts w:hAnsi="宋体" w:cs="宋体"/>
          <w:sz w:val="24"/>
          <w:highlight w:val="none"/>
        </w:rPr>
        <w:t xml:space="preserve"> 28.3 </w:t>
      </w:r>
      <w:r>
        <w:rPr>
          <w:rFonts w:hint="eastAsia" w:hAnsi="宋体" w:cs="宋体"/>
          <w:sz w:val="24"/>
          <w:highlight w:val="none"/>
        </w:rPr>
        <w:t>商务合同应包括买方最后确认的价格条款和付款方式。</w:t>
      </w:r>
    </w:p>
    <w:p>
      <w:pPr>
        <w:pStyle w:val="20"/>
        <w:rPr>
          <w:rFonts w:hAnsi="宋体" w:cs="宋体"/>
          <w:sz w:val="24"/>
          <w:highlight w:val="none"/>
        </w:rPr>
      </w:pPr>
      <w:r>
        <w:rPr>
          <w:rFonts w:hAnsi="宋体" w:cs="宋体"/>
          <w:sz w:val="24"/>
          <w:highlight w:val="none"/>
        </w:rPr>
        <w:t xml:space="preserve"> 28.4</w:t>
      </w:r>
      <w:r>
        <w:rPr>
          <w:rFonts w:hint="eastAsia" w:hAnsi="宋体" w:cs="宋体"/>
          <w:sz w:val="24"/>
          <w:highlight w:val="none"/>
        </w:rPr>
        <w:t>下述文件将作为合同附件为本合同不可分割的部分并与本合具有同等效力；</w:t>
      </w:r>
    </w:p>
    <w:p>
      <w:pPr>
        <w:pStyle w:val="20"/>
        <w:numPr>
          <w:ilvl w:val="0"/>
          <w:numId w:val="8"/>
        </w:numPr>
        <w:adjustRightInd/>
        <w:snapToGrid/>
        <w:rPr>
          <w:rFonts w:hAnsi="宋体" w:cs="宋体"/>
          <w:sz w:val="24"/>
          <w:highlight w:val="none"/>
        </w:rPr>
      </w:pPr>
      <w:r>
        <w:rPr>
          <w:rFonts w:hint="eastAsia" w:hAnsi="宋体" w:cs="宋体"/>
          <w:sz w:val="24"/>
          <w:highlight w:val="none"/>
        </w:rPr>
        <w:t>询价文件</w:t>
      </w:r>
    </w:p>
    <w:p>
      <w:pPr>
        <w:pStyle w:val="20"/>
        <w:numPr>
          <w:ilvl w:val="0"/>
          <w:numId w:val="8"/>
        </w:numPr>
        <w:adjustRightInd/>
        <w:snapToGrid/>
        <w:rPr>
          <w:rFonts w:hAnsi="宋体" w:cs="宋体"/>
          <w:sz w:val="24"/>
          <w:highlight w:val="none"/>
        </w:rPr>
      </w:pPr>
      <w:r>
        <w:rPr>
          <w:rFonts w:hint="eastAsia" w:hAnsi="宋体" w:cs="宋体"/>
          <w:sz w:val="24"/>
          <w:highlight w:val="none"/>
        </w:rPr>
        <w:t>报价文件</w:t>
      </w:r>
    </w:p>
    <w:p>
      <w:pPr>
        <w:pStyle w:val="20"/>
        <w:numPr>
          <w:ilvl w:val="0"/>
          <w:numId w:val="8"/>
        </w:numPr>
        <w:adjustRightInd/>
        <w:snapToGrid/>
        <w:rPr>
          <w:rFonts w:hAnsi="宋体" w:cs="宋体"/>
          <w:sz w:val="24"/>
          <w:highlight w:val="none"/>
        </w:rPr>
      </w:pPr>
      <w:r>
        <w:rPr>
          <w:rFonts w:hint="eastAsia" w:hAnsi="宋体" w:cs="宋体"/>
          <w:sz w:val="24"/>
          <w:highlight w:val="none"/>
        </w:rPr>
        <w:t>成交通知书</w:t>
      </w:r>
    </w:p>
    <w:p>
      <w:pPr>
        <w:pStyle w:val="20"/>
        <w:numPr>
          <w:ilvl w:val="0"/>
          <w:numId w:val="8"/>
        </w:numPr>
        <w:adjustRightInd/>
        <w:snapToGrid/>
        <w:rPr>
          <w:rFonts w:hAnsi="宋体" w:cs="宋体"/>
          <w:sz w:val="24"/>
          <w:highlight w:val="none"/>
        </w:rPr>
      </w:pPr>
      <w:r>
        <w:rPr>
          <w:rFonts w:hint="eastAsia" w:hAnsi="宋体" w:cs="宋体"/>
          <w:sz w:val="24"/>
          <w:highlight w:val="none"/>
        </w:rPr>
        <w:t>成交方的报价文件及询标中的书面答疑</w:t>
      </w:r>
    </w:p>
    <w:p>
      <w:pPr>
        <w:pStyle w:val="20"/>
        <w:numPr>
          <w:ilvl w:val="0"/>
          <w:numId w:val="8"/>
        </w:numPr>
        <w:adjustRightInd/>
        <w:snapToGrid/>
        <w:rPr>
          <w:rFonts w:hAnsi="宋体" w:cs="宋体"/>
          <w:sz w:val="24"/>
          <w:highlight w:val="none"/>
        </w:rPr>
      </w:pPr>
      <w:r>
        <w:rPr>
          <w:rFonts w:hint="eastAsia" w:hAnsi="宋体" w:cs="宋体"/>
          <w:sz w:val="24"/>
          <w:highlight w:val="none"/>
        </w:rPr>
        <w:t>履约保证金保函（如需要）</w:t>
      </w: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20"/>
        <w:tabs>
          <w:tab w:val="left" w:pos="600"/>
        </w:tabs>
        <w:adjustRightInd/>
        <w:snapToGrid/>
        <w:rPr>
          <w:rFonts w:hAnsi="宋体" w:cs="宋体"/>
          <w:sz w:val="24"/>
          <w:highlight w:val="none"/>
        </w:rPr>
      </w:pPr>
    </w:p>
    <w:p>
      <w:pPr>
        <w:pStyle w:val="3"/>
        <w:rPr>
          <w:rFonts w:ascii="宋体" w:cs="宋体"/>
          <w:highlight w:val="none"/>
        </w:rPr>
      </w:pPr>
      <w:bookmarkStart w:id="13" w:name="_Toc517776522"/>
      <w:r>
        <w:rPr>
          <w:rFonts w:hint="eastAsia" w:ascii="宋体" w:hAnsi="宋体" w:cs="宋体"/>
          <w:highlight w:val="none"/>
        </w:rPr>
        <w:t>第五章</w:t>
      </w:r>
      <w:r>
        <w:rPr>
          <w:rFonts w:ascii="宋体" w:hAnsi="宋体" w:cs="宋体"/>
          <w:highlight w:val="none"/>
        </w:rPr>
        <w:t xml:space="preserve"> </w:t>
      </w:r>
      <w:r>
        <w:rPr>
          <w:rFonts w:hint="eastAsia" w:ascii="宋体" w:hAnsi="宋体" w:cs="宋体"/>
          <w:highlight w:val="none"/>
        </w:rPr>
        <w:t>投标文件格式</w:t>
      </w:r>
      <w:bookmarkEnd w:id="13"/>
    </w:p>
    <w:p>
      <w:pPr>
        <w:widowControl/>
        <w:jc w:val="left"/>
        <w:rPr>
          <w:rFonts w:ascii="宋体" w:cs="宋体"/>
          <w:sz w:val="24"/>
          <w:szCs w:val="24"/>
          <w:highlight w:val="none"/>
        </w:rPr>
      </w:pPr>
      <w:r>
        <w:rPr>
          <w:rFonts w:ascii="宋体" w:cs="宋体"/>
          <w:b/>
          <w:bCs/>
          <w:sz w:val="24"/>
          <w:szCs w:val="24"/>
          <w:highlight w:val="none"/>
        </w:rPr>
        <w:br w:type="page"/>
      </w:r>
    </w:p>
    <w:p>
      <w:pPr>
        <w:pStyle w:val="20"/>
        <w:spacing w:before="100" w:beforeAutospacing="1" w:after="100" w:afterAutospacing="1"/>
        <w:ind w:right="-17"/>
        <w:rPr>
          <w:rFonts w:hAnsi="宋体" w:cs="宋体"/>
          <w:b/>
          <w:w w:val="90"/>
          <w:sz w:val="28"/>
          <w:szCs w:val="28"/>
          <w:highlight w:val="none"/>
        </w:rPr>
      </w:pPr>
      <w:r>
        <w:rPr>
          <w:rFonts w:hint="eastAsia" w:hAnsi="宋体" w:cs="宋体"/>
          <w:b/>
          <w:w w:val="90"/>
          <w:sz w:val="28"/>
          <w:szCs w:val="28"/>
          <w:highlight w:val="none"/>
        </w:rPr>
        <w:t>投标文件封页</w:t>
      </w:r>
      <w:r>
        <w:rPr>
          <w:rFonts w:hAnsi="宋体" w:cs="宋体"/>
          <w:b/>
          <w:w w:val="90"/>
          <w:sz w:val="28"/>
          <w:szCs w:val="28"/>
          <w:highlight w:val="none"/>
        </w:rPr>
        <w:t xml:space="preserve">                                          </w:t>
      </w:r>
      <w:r>
        <w:rPr>
          <w:rFonts w:hint="eastAsia" w:hAnsi="宋体" w:cs="宋体"/>
          <w:b/>
          <w:w w:val="90"/>
          <w:sz w:val="28"/>
          <w:szCs w:val="28"/>
          <w:highlight w:val="none"/>
        </w:rPr>
        <w:t>正（副）本</w:t>
      </w:r>
    </w:p>
    <w:p>
      <w:pPr>
        <w:pStyle w:val="20"/>
        <w:spacing w:beforeLines="100" w:afterLines="150"/>
        <w:ind w:right="-17"/>
        <w:jc w:val="center"/>
        <w:rPr>
          <w:rFonts w:hAnsi="宋体" w:cs="宋体"/>
          <w:b/>
          <w:spacing w:val="-16"/>
          <w:sz w:val="36"/>
          <w:szCs w:val="36"/>
          <w:highlight w:val="none"/>
        </w:rPr>
      </w:pPr>
      <w:r>
        <w:rPr>
          <w:rFonts w:hAnsi="宋体" w:cs="宋体"/>
          <w:b/>
          <w:spacing w:val="-16"/>
          <w:sz w:val="36"/>
          <w:szCs w:val="36"/>
          <w:highlight w:val="none"/>
        </w:rPr>
        <w:t>XXXX</w:t>
      </w:r>
      <w:r>
        <w:rPr>
          <w:rFonts w:hint="eastAsia" w:hAnsi="宋体" w:cs="宋体"/>
          <w:b/>
          <w:spacing w:val="-16"/>
          <w:sz w:val="36"/>
          <w:szCs w:val="36"/>
          <w:highlight w:val="none"/>
        </w:rPr>
        <w:t>项目（第</w:t>
      </w:r>
      <w:r>
        <w:rPr>
          <w:rFonts w:hAnsi="宋体" w:cs="宋体"/>
          <w:b/>
          <w:spacing w:val="-16"/>
          <w:sz w:val="36"/>
          <w:szCs w:val="36"/>
          <w:highlight w:val="none"/>
        </w:rPr>
        <w:t>____</w:t>
      </w:r>
      <w:r>
        <w:rPr>
          <w:rFonts w:hint="eastAsia" w:hAnsi="宋体" w:cs="宋体"/>
          <w:b/>
          <w:spacing w:val="-16"/>
          <w:sz w:val="36"/>
          <w:szCs w:val="36"/>
          <w:highlight w:val="none"/>
        </w:rPr>
        <w:t>包）</w:t>
      </w:r>
    </w:p>
    <w:p>
      <w:pPr>
        <w:pStyle w:val="20"/>
        <w:ind w:right="-15"/>
        <w:jc w:val="center"/>
        <w:rPr>
          <w:rFonts w:hAnsi="宋体" w:cs="宋体"/>
          <w:b/>
          <w:w w:val="90"/>
          <w:sz w:val="44"/>
          <w:szCs w:val="44"/>
          <w:highlight w:val="none"/>
        </w:rPr>
      </w:pPr>
    </w:p>
    <w:p>
      <w:pPr>
        <w:pStyle w:val="20"/>
        <w:ind w:right="-15"/>
        <w:jc w:val="center"/>
        <w:rPr>
          <w:rFonts w:hAnsi="宋体" w:cs="宋体"/>
          <w:b/>
          <w:spacing w:val="80"/>
          <w:w w:val="90"/>
          <w:sz w:val="84"/>
          <w:highlight w:val="none"/>
        </w:rPr>
      </w:pPr>
      <w:r>
        <w:rPr>
          <w:rFonts w:hint="eastAsia" w:hAnsi="宋体" w:cs="宋体"/>
          <w:b/>
          <w:spacing w:val="80"/>
          <w:w w:val="90"/>
          <w:sz w:val="84"/>
          <w:highlight w:val="none"/>
        </w:rPr>
        <w:t>投标文件</w:t>
      </w:r>
    </w:p>
    <w:p>
      <w:pPr>
        <w:pStyle w:val="20"/>
        <w:spacing w:beforeLines="1200" w:line="520" w:lineRule="exact"/>
        <w:ind w:right="-17" w:firstLine="972" w:firstLineChars="405"/>
        <w:rPr>
          <w:rFonts w:hAnsi="宋体" w:cs="宋体"/>
          <w:sz w:val="24"/>
          <w:szCs w:val="24"/>
          <w:highlight w:val="none"/>
        </w:rPr>
      </w:pPr>
      <w:r>
        <w:rPr>
          <w:rFonts w:hint="eastAsia" w:hAnsi="宋体" w:cs="宋体"/>
          <w:sz w:val="24"/>
          <w:szCs w:val="24"/>
          <w:highlight w:val="none"/>
        </w:rPr>
        <w:t>采购文件编号：</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投标单位名称（公章）</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投标单位授权代表（签章）</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投标单位地址</w:t>
      </w:r>
      <w:r>
        <w:rPr>
          <w:rFonts w:hAnsi="宋体" w:cs="宋体"/>
          <w:sz w:val="24"/>
          <w:szCs w:val="24"/>
          <w:highlight w:val="none"/>
        </w:rPr>
        <w:t>:</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联系人：</w:t>
      </w:r>
    </w:p>
    <w:p>
      <w:pPr>
        <w:pStyle w:val="20"/>
        <w:spacing w:beforeLines="100" w:afterLines="100" w:line="520" w:lineRule="exact"/>
        <w:ind w:right="-17" w:firstLine="960" w:firstLineChars="400"/>
        <w:rPr>
          <w:rFonts w:hAnsi="宋体" w:cs="宋体"/>
          <w:sz w:val="24"/>
          <w:szCs w:val="24"/>
          <w:highlight w:val="none"/>
        </w:rPr>
      </w:pPr>
      <w:r>
        <w:rPr>
          <w:rFonts w:hint="eastAsia" w:hAnsi="宋体" w:cs="宋体"/>
          <w:sz w:val="24"/>
          <w:szCs w:val="24"/>
          <w:highlight w:val="none"/>
        </w:rPr>
        <w:t>联系电话：</w:t>
      </w:r>
    </w:p>
    <w:p>
      <w:pPr>
        <w:widowControl/>
        <w:jc w:val="left"/>
        <w:rPr>
          <w:rFonts w:hAnsi="宋体" w:cs="宋体"/>
          <w:b/>
          <w:sz w:val="32"/>
          <w:szCs w:val="32"/>
          <w:highlight w:val="none"/>
        </w:rPr>
      </w:pPr>
      <w:r>
        <w:rPr>
          <w:rFonts w:ascii="宋体" w:cs="宋体"/>
          <w:b/>
          <w:sz w:val="24"/>
          <w:szCs w:val="24"/>
          <w:highlight w:val="none"/>
        </w:rPr>
        <w:br w:type="page"/>
      </w:r>
      <w:r>
        <w:rPr>
          <w:rFonts w:hint="eastAsia" w:hAnsi="宋体" w:cs="宋体"/>
          <w:b/>
          <w:sz w:val="32"/>
          <w:szCs w:val="32"/>
          <w:highlight w:val="none"/>
        </w:rPr>
        <w:t>一、目录索引</w:t>
      </w:r>
    </w:p>
    <w:tbl>
      <w:tblPr>
        <w:tblStyle w:val="36"/>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455"/>
        <w:gridCol w:w="2320"/>
        <w:gridCol w:w="178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tblHeader/>
          <w:jc w:val="center"/>
        </w:trPr>
        <w:tc>
          <w:tcPr>
            <w:tcW w:w="5159" w:type="dxa"/>
            <w:gridSpan w:val="2"/>
            <w:vAlign w:val="center"/>
          </w:tcPr>
          <w:p>
            <w:pPr>
              <w:spacing w:line="360" w:lineRule="auto"/>
              <w:ind w:firstLine="742"/>
              <w:jc w:val="center"/>
              <w:rPr>
                <w:rFonts w:ascii="宋体" w:cs="宋体"/>
                <w:b/>
                <w:bCs/>
                <w:sz w:val="24"/>
                <w:szCs w:val="24"/>
                <w:highlight w:val="none"/>
              </w:rPr>
            </w:pPr>
            <w:r>
              <w:rPr>
                <w:rFonts w:hint="eastAsia" w:ascii="宋体" w:hAnsi="宋体" w:cs="宋体"/>
                <w:b/>
                <w:bCs/>
                <w:sz w:val="24"/>
                <w:szCs w:val="24"/>
                <w:highlight w:val="none"/>
              </w:rPr>
              <w:t>评审分项</w:t>
            </w:r>
          </w:p>
        </w:tc>
        <w:tc>
          <w:tcPr>
            <w:tcW w:w="2320" w:type="dxa"/>
            <w:vAlign w:val="center"/>
          </w:tcPr>
          <w:p>
            <w:pPr>
              <w:keepNext/>
              <w:adjustRightInd w:val="0"/>
              <w:spacing w:before="60" w:after="60" w:line="360" w:lineRule="auto"/>
              <w:jc w:val="center"/>
              <w:textAlignment w:val="center"/>
              <w:rPr>
                <w:rFonts w:ascii="宋体" w:cs="宋体"/>
                <w:b/>
                <w:bCs/>
                <w:sz w:val="24"/>
                <w:szCs w:val="24"/>
                <w:highlight w:val="none"/>
              </w:rPr>
            </w:pPr>
            <w:r>
              <w:rPr>
                <w:rFonts w:hint="eastAsia" w:ascii="宋体" w:hAnsi="宋体" w:cs="宋体"/>
                <w:b/>
                <w:bCs/>
                <w:sz w:val="24"/>
                <w:szCs w:val="24"/>
                <w:highlight w:val="none"/>
              </w:rPr>
              <w:t>评审细则（投标人须简单描述情况）</w:t>
            </w:r>
          </w:p>
        </w:tc>
        <w:tc>
          <w:tcPr>
            <w:tcW w:w="1789" w:type="dxa"/>
            <w:vAlign w:val="center"/>
          </w:tcPr>
          <w:p>
            <w:pPr>
              <w:spacing w:line="360" w:lineRule="auto"/>
              <w:jc w:val="center"/>
              <w:rPr>
                <w:rFonts w:ascii="宋体" w:cs="宋体"/>
                <w:b/>
                <w:bCs/>
                <w:sz w:val="24"/>
                <w:szCs w:val="24"/>
                <w:highlight w:val="none"/>
              </w:rPr>
            </w:pPr>
            <w:r>
              <w:rPr>
                <w:rFonts w:hint="eastAsia" w:ascii="宋体" w:hAnsi="宋体" w:cs="宋体"/>
                <w:b/>
                <w:bCs/>
                <w:sz w:val="24"/>
                <w:szCs w:val="24"/>
                <w:highlight w:val="none"/>
              </w:rPr>
              <w:t>证明文件或详细描述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06" w:hRule="atLeast"/>
          <w:jc w:val="center"/>
        </w:trPr>
        <w:tc>
          <w:tcPr>
            <w:tcW w:w="704" w:type="dxa"/>
            <w:vMerge w:val="restart"/>
            <w:vAlign w:val="center"/>
          </w:tcPr>
          <w:p>
            <w:pPr>
              <w:spacing w:line="360" w:lineRule="auto"/>
              <w:jc w:val="center"/>
              <w:rPr>
                <w:rFonts w:ascii="宋体" w:cs="宋体"/>
                <w:bCs/>
                <w:spacing w:val="10"/>
                <w:kern w:val="0"/>
                <w:sz w:val="24"/>
                <w:szCs w:val="24"/>
                <w:highlight w:val="none"/>
              </w:rPr>
            </w:pPr>
            <w:r>
              <w:rPr>
                <w:rFonts w:hint="eastAsia" w:ascii="宋体" w:hAnsi="宋体" w:cs="宋体"/>
                <w:bCs/>
                <w:spacing w:val="10"/>
                <w:kern w:val="0"/>
                <w:sz w:val="24"/>
                <w:szCs w:val="24"/>
                <w:highlight w:val="none"/>
              </w:rPr>
              <w:t>技术部分</w:t>
            </w: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产品综合情况</w:t>
            </w:r>
          </w:p>
        </w:tc>
        <w:tc>
          <w:tcPr>
            <w:tcW w:w="2320" w:type="dxa"/>
            <w:vAlign w:val="center"/>
          </w:tcPr>
          <w:p>
            <w:pPr>
              <w:rPr>
                <w:rFonts w:ascii="宋体" w:cs="宋体"/>
                <w:w w:val="90"/>
                <w:sz w:val="24"/>
                <w:szCs w:val="24"/>
                <w:highlight w:val="none"/>
                <w:u w:val="singl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64"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售后及维护能力</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02"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bCs/>
                <w:iCs/>
                <w:sz w:val="24"/>
                <w:szCs w:val="24"/>
                <w:highlight w:val="none"/>
              </w:rPr>
            </w:pPr>
            <w:r>
              <w:rPr>
                <w:rFonts w:hint="eastAsia" w:ascii="宋体" w:hAnsi="宋体" w:cs="宋体"/>
                <w:sz w:val="24"/>
                <w:szCs w:val="24"/>
                <w:highlight w:val="none"/>
              </w:rPr>
              <w:t>同类业绩</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219"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sz w:val="24"/>
                <w:szCs w:val="24"/>
                <w:highlight w:val="none"/>
              </w:rPr>
            </w:pPr>
            <w:r>
              <w:rPr>
                <w:rFonts w:hint="eastAsia" w:ascii="宋体" w:hAnsi="宋体" w:cs="宋体"/>
                <w:sz w:val="24"/>
                <w:szCs w:val="24"/>
                <w:highlight w:val="none"/>
              </w:rPr>
              <w:t>企业资信</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324" w:hRule="atLeast"/>
          <w:jc w:val="center"/>
        </w:trPr>
        <w:tc>
          <w:tcPr>
            <w:tcW w:w="704" w:type="dxa"/>
            <w:vMerge w:val="continue"/>
            <w:vAlign w:val="center"/>
          </w:tcPr>
          <w:p>
            <w:pPr>
              <w:spacing w:line="360" w:lineRule="auto"/>
              <w:jc w:val="center"/>
              <w:rPr>
                <w:rFonts w:ascii="宋体" w:cs="宋体"/>
                <w:bCs/>
                <w:spacing w:val="10"/>
                <w:kern w:val="0"/>
                <w:sz w:val="24"/>
                <w:szCs w:val="24"/>
                <w:highlight w:val="none"/>
              </w:rPr>
            </w:pPr>
          </w:p>
        </w:tc>
        <w:tc>
          <w:tcPr>
            <w:tcW w:w="4455" w:type="dxa"/>
            <w:vAlign w:val="center"/>
          </w:tcPr>
          <w:p>
            <w:pPr>
              <w:jc w:val="center"/>
              <w:rPr>
                <w:rFonts w:ascii="宋体" w:cs="宋体"/>
                <w:sz w:val="24"/>
                <w:szCs w:val="24"/>
                <w:highlight w:val="none"/>
              </w:rPr>
            </w:pPr>
            <w:r>
              <w:rPr>
                <w:rFonts w:hint="eastAsia" w:ascii="宋体" w:hAnsi="宋体" w:cs="宋体"/>
                <w:sz w:val="24"/>
                <w:szCs w:val="24"/>
                <w:highlight w:val="none"/>
              </w:rPr>
              <w:t>供应商工作方案及具体实施措施</w:t>
            </w:r>
          </w:p>
        </w:tc>
        <w:tc>
          <w:tcPr>
            <w:tcW w:w="2320" w:type="dxa"/>
            <w:vAlign w:val="center"/>
          </w:tcPr>
          <w:p>
            <w:pPr>
              <w:rPr>
                <w:rFonts w:ascii="宋体" w:cs="宋体"/>
                <w:sz w:val="24"/>
                <w:szCs w:val="24"/>
                <w:highlight w:val="none"/>
              </w:rPr>
            </w:pPr>
          </w:p>
        </w:tc>
        <w:tc>
          <w:tcPr>
            <w:tcW w:w="1789" w:type="dxa"/>
            <w:vAlign w:val="center"/>
          </w:tcPr>
          <w:p>
            <w:pPr>
              <w:ind w:left="-171"/>
              <w:jc w:val="center"/>
              <w:rPr>
                <w:rFonts w:ascii="宋体" w:cs="宋体"/>
                <w:sz w:val="24"/>
                <w:szCs w:val="24"/>
                <w:highlight w:val="none"/>
              </w:rPr>
            </w:pPr>
            <w:r>
              <w:rPr>
                <w:rFonts w:hint="eastAsia" w:ascii="宋体" w:hAnsi="宋体" w:cs="宋体"/>
                <w:sz w:val="24"/>
                <w:szCs w:val="24"/>
                <w:highlight w:val="none"/>
              </w:rPr>
              <w:t>见投标文件</w:t>
            </w:r>
          </w:p>
          <w:p>
            <w:pPr>
              <w:ind w:left="-171"/>
              <w:jc w:val="center"/>
              <w:rPr>
                <w:rFonts w:ascii="宋体" w:cs="宋体"/>
                <w:sz w:val="24"/>
                <w:szCs w:val="24"/>
                <w:highlight w:val="none"/>
              </w:rPr>
            </w:pPr>
            <w:r>
              <w:rPr>
                <w:rFonts w:hint="eastAsia" w:ascii="宋体" w:hAnsi="宋体" w:cs="宋体"/>
                <w:sz w:val="24"/>
                <w:szCs w:val="24"/>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jc w:val="center"/>
        </w:trPr>
        <w:tc>
          <w:tcPr>
            <w:tcW w:w="9274" w:type="dxa"/>
            <w:gridSpan w:val="5"/>
            <w:vAlign w:val="center"/>
          </w:tcPr>
          <w:p>
            <w:pPr>
              <w:spacing w:line="360" w:lineRule="auto"/>
              <w:rPr>
                <w:rFonts w:ascii="宋体" w:cs="宋体"/>
                <w:sz w:val="24"/>
                <w:szCs w:val="24"/>
                <w:highlight w:val="none"/>
              </w:rPr>
            </w:pPr>
            <w:r>
              <w:rPr>
                <w:rFonts w:hint="eastAsia" w:ascii="宋体" w:hAnsi="宋体" w:cs="宋体"/>
                <w:sz w:val="24"/>
                <w:szCs w:val="24"/>
                <w:highlight w:val="none"/>
              </w:rPr>
              <w:t>备注：投标人应对照第二章第六项评审方法及标准“综合评审表”的内容，列出相应的评审分项在投标文件中所在的位置，</w:t>
            </w:r>
            <w:r>
              <w:rPr>
                <w:rFonts w:hint="eastAsia" w:ascii="宋体" w:hAnsi="宋体" w:cs="宋体"/>
                <w:b/>
                <w:sz w:val="24"/>
                <w:szCs w:val="24"/>
                <w:highlight w:val="none"/>
              </w:rPr>
              <w:t>并将“详细评审项目资料索引表”放在投标文件前面，</w:t>
            </w:r>
            <w:r>
              <w:rPr>
                <w:rFonts w:hint="eastAsia" w:ascii="宋体" w:hAnsi="宋体" w:cs="宋体"/>
                <w:sz w:val="24"/>
                <w:szCs w:val="24"/>
                <w:highlight w:val="none"/>
              </w:rPr>
              <w:t>以便查对。</w:t>
            </w:r>
          </w:p>
        </w:tc>
      </w:tr>
    </w:tbl>
    <w:p>
      <w:pPr>
        <w:spacing w:line="360" w:lineRule="auto"/>
        <w:rPr>
          <w:rFonts w:ascii="宋体" w:cs="宋体"/>
          <w:sz w:val="24"/>
          <w:szCs w:val="24"/>
          <w:highlight w:val="none"/>
        </w:rPr>
      </w:pPr>
    </w:p>
    <w:p>
      <w:pPr>
        <w:widowControl/>
        <w:jc w:val="left"/>
        <w:rPr>
          <w:rFonts w:ascii="宋体" w:cs="宋体"/>
          <w:sz w:val="24"/>
          <w:szCs w:val="24"/>
          <w:highlight w:val="none"/>
        </w:rPr>
      </w:pPr>
      <w:r>
        <w:rPr>
          <w:rFonts w:ascii="宋体" w:cs="宋体"/>
          <w:sz w:val="24"/>
          <w:szCs w:val="24"/>
          <w:highlight w:val="none"/>
        </w:rPr>
        <w:br w:type="page"/>
      </w:r>
    </w:p>
    <w:p>
      <w:pPr>
        <w:pStyle w:val="2"/>
        <w:jc w:val="center"/>
        <w:rPr>
          <w:rFonts w:ascii="宋体" w:cs="宋体"/>
          <w:highlight w:val="none"/>
        </w:rPr>
      </w:pPr>
      <w:bookmarkStart w:id="14" w:name="_Toc517776523"/>
      <w:r>
        <w:rPr>
          <w:rFonts w:hint="eastAsia" w:ascii="宋体" w:hAnsi="宋体" w:cs="宋体"/>
          <w:highlight w:val="none"/>
        </w:rPr>
        <w:t>二、目录</w:t>
      </w:r>
      <w:bookmarkEnd w:id="14"/>
    </w:p>
    <w:p>
      <w:pPr>
        <w:spacing w:line="360" w:lineRule="auto"/>
        <w:rPr>
          <w:rFonts w:ascii="宋体" w:cs="宋体"/>
          <w:sz w:val="24"/>
          <w:szCs w:val="24"/>
          <w:highlight w:val="none"/>
        </w:rPr>
      </w:pPr>
      <w:r>
        <w:rPr>
          <w:rFonts w:hint="eastAsia" w:ascii="宋体" w:hAnsi="宋体" w:cs="宋体"/>
          <w:sz w:val="24"/>
          <w:szCs w:val="24"/>
          <w:highlight w:val="none"/>
        </w:rPr>
        <w:t>一、目录索引</w:t>
      </w:r>
    </w:p>
    <w:p>
      <w:pPr>
        <w:spacing w:line="360" w:lineRule="auto"/>
        <w:rPr>
          <w:rFonts w:ascii="宋体" w:cs="宋体"/>
          <w:sz w:val="24"/>
          <w:szCs w:val="24"/>
          <w:highlight w:val="none"/>
        </w:rPr>
      </w:pPr>
      <w:r>
        <w:rPr>
          <w:rFonts w:hint="eastAsia" w:ascii="宋体" w:hAnsi="宋体" w:cs="宋体"/>
          <w:sz w:val="24"/>
          <w:szCs w:val="24"/>
          <w:highlight w:val="none"/>
        </w:rPr>
        <w:t>二、目录</w:t>
      </w:r>
    </w:p>
    <w:p>
      <w:pPr>
        <w:spacing w:line="360" w:lineRule="auto"/>
        <w:rPr>
          <w:rFonts w:ascii="宋体" w:cs="宋体"/>
          <w:sz w:val="24"/>
          <w:szCs w:val="24"/>
          <w:highlight w:val="none"/>
        </w:rPr>
      </w:pPr>
      <w:r>
        <w:rPr>
          <w:rFonts w:hint="eastAsia" w:ascii="宋体" w:hAnsi="宋体" w:cs="宋体"/>
          <w:sz w:val="24"/>
          <w:szCs w:val="24"/>
          <w:highlight w:val="none"/>
        </w:rPr>
        <w:t>三、投标函</w:t>
      </w:r>
    </w:p>
    <w:p>
      <w:pPr>
        <w:spacing w:line="360" w:lineRule="auto"/>
        <w:rPr>
          <w:rFonts w:ascii="宋体" w:cs="宋体"/>
          <w:sz w:val="24"/>
          <w:szCs w:val="24"/>
          <w:highlight w:val="none"/>
        </w:rPr>
      </w:pPr>
      <w:r>
        <w:rPr>
          <w:rFonts w:hint="eastAsia" w:ascii="宋体" w:hAnsi="宋体" w:cs="宋体"/>
          <w:sz w:val="24"/>
          <w:szCs w:val="24"/>
          <w:highlight w:val="none"/>
        </w:rPr>
        <w:t>四、报价一览表</w:t>
      </w:r>
    </w:p>
    <w:p>
      <w:pPr>
        <w:spacing w:line="360" w:lineRule="auto"/>
        <w:rPr>
          <w:rFonts w:ascii="宋体" w:cs="宋体"/>
          <w:sz w:val="24"/>
          <w:szCs w:val="24"/>
          <w:highlight w:val="none"/>
        </w:rPr>
      </w:pPr>
      <w:r>
        <w:rPr>
          <w:rFonts w:hint="eastAsia" w:ascii="宋体" w:hAnsi="宋体" w:cs="宋体"/>
          <w:sz w:val="24"/>
          <w:szCs w:val="24"/>
          <w:highlight w:val="none"/>
        </w:rPr>
        <w:t>五、法人代表授权委托书</w:t>
      </w:r>
    </w:p>
    <w:p>
      <w:pPr>
        <w:spacing w:line="360" w:lineRule="auto"/>
        <w:rPr>
          <w:rFonts w:ascii="宋体" w:cs="宋体"/>
          <w:sz w:val="24"/>
          <w:szCs w:val="24"/>
          <w:highlight w:val="none"/>
        </w:rPr>
      </w:pPr>
      <w:r>
        <w:rPr>
          <w:rFonts w:hint="eastAsia" w:ascii="宋体" w:hAnsi="宋体" w:cs="宋体"/>
          <w:sz w:val="24"/>
          <w:szCs w:val="24"/>
          <w:highlight w:val="none"/>
        </w:rPr>
        <w:t>六、投标人资格说明</w:t>
      </w:r>
    </w:p>
    <w:p>
      <w:pPr>
        <w:spacing w:line="360" w:lineRule="auto"/>
        <w:rPr>
          <w:rFonts w:ascii="宋体" w:cs="宋体"/>
          <w:sz w:val="24"/>
          <w:szCs w:val="24"/>
          <w:highlight w:val="none"/>
        </w:rPr>
      </w:pPr>
      <w:r>
        <w:rPr>
          <w:rFonts w:hint="eastAsia" w:ascii="宋体" w:hAnsi="宋体" w:cs="宋体"/>
          <w:sz w:val="24"/>
          <w:szCs w:val="24"/>
          <w:highlight w:val="none"/>
        </w:rPr>
        <w:t>七、分项报价表</w:t>
      </w:r>
    </w:p>
    <w:p>
      <w:pPr>
        <w:spacing w:line="360" w:lineRule="auto"/>
        <w:rPr>
          <w:rFonts w:ascii="宋体" w:cs="宋体"/>
          <w:sz w:val="24"/>
          <w:szCs w:val="24"/>
          <w:highlight w:val="none"/>
        </w:rPr>
      </w:pPr>
      <w:r>
        <w:rPr>
          <w:rFonts w:hint="eastAsia" w:ascii="宋体" w:hAnsi="宋体" w:cs="宋体"/>
          <w:sz w:val="24"/>
          <w:szCs w:val="24"/>
          <w:highlight w:val="none"/>
        </w:rPr>
        <w:t>八、企业完成同类项目一览表</w:t>
      </w:r>
    </w:p>
    <w:p>
      <w:pPr>
        <w:spacing w:line="360" w:lineRule="auto"/>
        <w:rPr>
          <w:rFonts w:ascii="宋体" w:cs="宋体"/>
          <w:sz w:val="24"/>
          <w:szCs w:val="24"/>
          <w:highlight w:val="none"/>
        </w:rPr>
      </w:pPr>
      <w:r>
        <w:rPr>
          <w:rFonts w:hint="eastAsia" w:ascii="宋体" w:hAnsi="宋体" w:cs="宋体"/>
          <w:sz w:val="24"/>
          <w:szCs w:val="24"/>
          <w:highlight w:val="none"/>
        </w:rPr>
        <w:t>九、项目技术方案（格式自定）</w:t>
      </w:r>
    </w:p>
    <w:p>
      <w:pPr>
        <w:spacing w:line="360" w:lineRule="auto"/>
        <w:rPr>
          <w:rFonts w:ascii="宋体" w:cs="宋体"/>
          <w:sz w:val="24"/>
          <w:szCs w:val="24"/>
          <w:highlight w:val="none"/>
        </w:rPr>
      </w:pPr>
      <w:r>
        <w:rPr>
          <w:rFonts w:hint="eastAsia" w:ascii="宋体" w:hAnsi="宋体" w:cs="宋体"/>
          <w:sz w:val="24"/>
          <w:szCs w:val="24"/>
          <w:highlight w:val="none"/>
        </w:rPr>
        <w:t>十、售后及维护能力（格式自定）</w:t>
      </w:r>
    </w:p>
    <w:p>
      <w:pPr>
        <w:spacing w:line="360" w:lineRule="auto"/>
        <w:rPr>
          <w:rFonts w:ascii="宋体" w:cs="宋体"/>
          <w:sz w:val="24"/>
          <w:szCs w:val="24"/>
          <w:highlight w:val="none"/>
        </w:rPr>
      </w:pPr>
      <w:r>
        <w:rPr>
          <w:rFonts w:hint="eastAsia" w:ascii="宋体" w:hAnsi="宋体" w:cs="宋体"/>
          <w:sz w:val="24"/>
          <w:szCs w:val="24"/>
          <w:highlight w:val="none"/>
        </w:rPr>
        <w:t>十一、投标企业认为有必要提供的其他资料。</w:t>
      </w:r>
    </w:p>
    <w:p>
      <w:pPr>
        <w:widowControl/>
        <w:jc w:val="left"/>
        <w:rPr>
          <w:rFonts w:ascii="宋体" w:cs="宋体"/>
          <w:highlight w:val="none"/>
        </w:rPr>
      </w:pPr>
      <w:r>
        <w:rPr>
          <w:rFonts w:ascii="宋体" w:cs="宋体"/>
          <w:highlight w:val="none"/>
        </w:rPr>
        <w:br w:type="page"/>
      </w:r>
    </w:p>
    <w:p>
      <w:pPr>
        <w:rPr>
          <w:rFonts w:ascii="宋体" w:cs="宋体"/>
          <w:highlight w:val="none"/>
        </w:rPr>
      </w:pPr>
    </w:p>
    <w:p>
      <w:pPr>
        <w:pStyle w:val="2"/>
        <w:jc w:val="center"/>
        <w:rPr>
          <w:rFonts w:ascii="宋体" w:cs="宋体"/>
          <w:highlight w:val="none"/>
        </w:rPr>
      </w:pPr>
      <w:bookmarkStart w:id="15" w:name="_Toc517776524"/>
      <w:r>
        <w:rPr>
          <w:rFonts w:hint="eastAsia" w:ascii="宋体" w:hAnsi="宋体" w:cs="宋体"/>
          <w:highlight w:val="none"/>
        </w:rPr>
        <w:t>三、投标函</w:t>
      </w:r>
      <w:bookmarkEnd w:id="15"/>
    </w:p>
    <w:p>
      <w:pPr>
        <w:spacing w:line="360" w:lineRule="auto"/>
        <w:rPr>
          <w:rFonts w:ascii="宋体" w:cs="宋体"/>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新疆维吾尔自治区广播电视局八四一台</w:t>
      </w:r>
      <w:r>
        <w:rPr>
          <w:rFonts w:hint="eastAsia" w:ascii="宋体" w:hAnsi="宋体" w:cs="宋体"/>
          <w:b/>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根据贵方为项目名称（项目编号：）（包号）采购文件，我方代表（姓名、职务）经正式授权并代表（投标人名称）提交下述文件正本壹份，副本肆份。</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在此，我方声明如下：</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同意并接受采购文件的各项要求，遵守采购文件中的各项规定，按采购文件中的“用户需求书”执行结算。</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本投标的有效期为递交投标文件之日起</w:t>
      </w:r>
      <w:r>
        <w:rPr>
          <w:rFonts w:ascii="宋体" w:hAnsi="宋体" w:cs="宋体"/>
          <w:sz w:val="24"/>
          <w:szCs w:val="24"/>
          <w:highlight w:val="none"/>
          <w:u w:val="single"/>
        </w:rPr>
        <w:t>90</w:t>
      </w:r>
      <w:r>
        <w:rPr>
          <w:rFonts w:hint="eastAsia" w:ascii="宋体" w:hAnsi="宋体" w:cs="宋体"/>
          <w:sz w:val="24"/>
          <w:szCs w:val="24"/>
          <w:highlight w:val="none"/>
        </w:rPr>
        <w:t>天；中标后，投标有效期延至合同验收之日。</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我方已经详细地阅读了全部采购文件及其附件，包括澄清及参考文件（如果有的话）。我方已完全清晰理解采购文件的要求，不存在任何含糊不清和误解之处，同意放弃对这些文件提出异议和质疑的权力。</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我方已毫无保留地向贵方提供一切所需的证明材料。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我方承诺在本投标文件中提供的一切文件和资料，无论是原件还是复印件均为真实和准确的，绝无任何虚假、伪造和夸大的成份。否则，愿意承担相应的后果和法律责任。</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我方完全服从和尊重评委会所作的评定结果。</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我方同意按采购文件的规定向采购代理机构缴纳招标代理费。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8.</w:t>
      </w:r>
      <w:r>
        <w:rPr>
          <w:rFonts w:hint="eastAsia" w:ascii="宋体" w:hAnsi="宋体" w:cs="宋体"/>
          <w:sz w:val="24"/>
          <w:szCs w:val="24"/>
          <w:highlight w:val="none"/>
        </w:rPr>
        <w:t>我方同意按照采购文件的要求认真履行中标投标人应尽的义务，若我方行为不当而损害了采购方的合法权益，我方愿在任何时候无条件承担相应的缔约过失责任和经济赔偿。</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投标人名称（盖单位公章）：</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投标人代表姓名（打印）：签字：</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地址：</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传真：</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电话：</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邮箱：</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日期：年月日</w:t>
      </w:r>
    </w:p>
    <w:p>
      <w:pPr>
        <w:widowControl/>
        <w:jc w:val="left"/>
        <w:rPr>
          <w:rFonts w:ascii="宋体" w:cs="宋体"/>
          <w:sz w:val="24"/>
          <w:szCs w:val="24"/>
          <w:highlight w:val="none"/>
        </w:rPr>
      </w:pPr>
      <w:r>
        <w:rPr>
          <w:rFonts w:ascii="宋体" w:cs="宋体"/>
          <w:sz w:val="24"/>
          <w:szCs w:val="24"/>
          <w:highlight w:val="none"/>
        </w:rPr>
        <w:br w:type="page"/>
      </w:r>
    </w:p>
    <w:p>
      <w:pPr>
        <w:pStyle w:val="2"/>
        <w:jc w:val="center"/>
        <w:rPr>
          <w:rFonts w:ascii="宋体" w:cs="宋体"/>
          <w:highlight w:val="none"/>
        </w:rPr>
      </w:pPr>
      <w:bookmarkStart w:id="16" w:name="_Toc517776525"/>
      <w:r>
        <w:rPr>
          <w:rFonts w:hint="eastAsia" w:ascii="宋体" w:hAnsi="宋体" w:cs="宋体"/>
          <w:highlight w:val="none"/>
        </w:rPr>
        <w:t>四、报价一览表</w:t>
      </w:r>
      <w:bookmarkEnd w:id="16"/>
    </w:p>
    <w:p>
      <w:pPr>
        <w:tabs>
          <w:tab w:val="left" w:pos="9135"/>
        </w:tabs>
        <w:spacing w:line="360" w:lineRule="auto"/>
        <w:rPr>
          <w:rFonts w:ascii="宋体" w:cs="宋体"/>
          <w:sz w:val="24"/>
          <w:highlight w:val="none"/>
          <w:u w:val="single"/>
        </w:rPr>
      </w:pPr>
      <w:r>
        <w:rPr>
          <w:rFonts w:hint="eastAsia" w:ascii="宋体" w:hAnsi="宋体" w:cs="宋体"/>
          <w:sz w:val="24"/>
          <w:highlight w:val="none"/>
        </w:rPr>
        <w:t>项目名称：</w:t>
      </w:r>
      <w:r>
        <w:rPr>
          <w:rFonts w:ascii="宋体" w:hAnsi="宋体" w:cs="宋体"/>
          <w:sz w:val="24"/>
          <w:highlight w:val="none"/>
          <w:u w:val="single"/>
        </w:rPr>
        <w:t xml:space="preserve">                      </w:t>
      </w:r>
      <w:r>
        <w:rPr>
          <w:rFonts w:hint="eastAsia" w:ascii="宋体" w:hAnsi="宋体" w:cs="宋体"/>
          <w:sz w:val="24"/>
          <w:highlight w:val="none"/>
          <w:u w:val="single"/>
        </w:rPr>
        <w:t>（第</w:t>
      </w:r>
      <w:r>
        <w:rPr>
          <w:rFonts w:ascii="宋体" w:hAnsi="宋体" w:cs="宋体"/>
          <w:sz w:val="24"/>
          <w:highlight w:val="none"/>
          <w:u w:val="single"/>
        </w:rPr>
        <w:t xml:space="preserve">   </w:t>
      </w:r>
      <w:r>
        <w:rPr>
          <w:rFonts w:hint="eastAsia" w:ascii="宋体" w:hAnsi="宋体" w:cs="宋体"/>
          <w:sz w:val="24"/>
          <w:highlight w:val="none"/>
          <w:u w:val="single"/>
        </w:rPr>
        <w:t>包）</w:t>
      </w:r>
      <w:r>
        <w:rPr>
          <w:rFonts w:ascii="宋体" w:hAnsi="宋体" w:cs="宋体"/>
          <w:sz w:val="24"/>
          <w:highlight w:val="none"/>
          <w:u w:val="single"/>
        </w:rPr>
        <w:t xml:space="preserve">             </w:t>
      </w:r>
      <w:r>
        <w:rPr>
          <w:rFonts w:hint="eastAsia" w:ascii="宋体" w:hAnsi="宋体" w:cs="宋体"/>
          <w:sz w:val="24"/>
          <w:highlight w:val="none"/>
        </w:rPr>
        <w:t>项目编号：</w:t>
      </w:r>
      <w:r>
        <w:rPr>
          <w:rFonts w:ascii="宋体" w:hAnsi="宋体" w:cs="宋体"/>
          <w:sz w:val="24"/>
          <w:highlight w:val="none"/>
          <w:u w:val="single"/>
        </w:rPr>
        <w:t xml:space="preserve">               </w:t>
      </w:r>
    </w:p>
    <w:tbl>
      <w:tblPr>
        <w:tblStyle w:val="36"/>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816"/>
        <w:gridCol w:w="2694"/>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273"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序号</w:t>
            </w:r>
          </w:p>
        </w:tc>
        <w:tc>
          <w:tcPr>
            <w:tcW w:w="2816"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名称</w:t>
            </w:r>
          </w:p>
        </w:tc>
        <w:tc>
          <w:tcPr>
            <w:tcW w:w="2694"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投标价格</w:t>
            </w:r>
          </w:p>
        </w:tc>
        <w:tc>
          <w:tcPr>
            <w:tcW w:w="2329" w:type="dxa"/>
            <w:vAlign w:val="center"/>
          </w:tcPr>
          <w:p>
            <w:pPr>
              <w:tabs>
                <w:tab w:val="left" w:pos="9135"/>
              </w:tabs>
              <w:spacing w:line="360" w:lineRule="auto"/>
              <w:jc w:val="center"/>
              <w:rPr>
                <w:rFonts w:ascii="宋体" w:cs="宋体"/>
                <w:sz w:val="24"/>
                <w:highlight w:val="none"/>
              </w:rPr>
            </w:pPr>
            <w:r>
              <w:rPr>
                <w:rFonts w:hint="eastAsia" w:ascii="宋体" w:hAnsi="宋体" w:cs="宋体"/>
                <w:sz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273" w:type="dxa"/>
            <w:vAlign w:val="center"/>
          </w:tcPr>
          <w:p>
            <w:pPr>
              <w:numPr>
                <w:ilvl w:val="0"/>
                <w:numId w:val="9"/>
              </w:numPr>
              <w:tabs>
                <w:tab w:val="left" w:pos="9135"/>
              </w:tabs>
              <w:spacing w:line="360" w:lineRule="auto"/>
              <w:jc w:val="center"/>
              <w:rPr>
                <w:rFonts w:ascii="宋体" w:cs="宋体"/>
                <w:sz w:val="24"/>
                <w:highlight w:val="none"/>
              </w:rPr>
            </w:pPr>
          </w:p>
        </w:tc>
        <w:tc>
          <w:tcPr>
            <w:tcW w:w="2816" w:type="dxa"/>
            <w:vAlign w:val="center"/>
          </w:tcPr>
          <w:p>
            <w:pPr>
              <w:spacing w:line="360" w:lineRule="auto"/>
              <w:jc w:val="center"/>
              <w:rPr>
                <w:rFonts w:ascii="宋体" w:cs="宋体"/>
                <w:sz w:val="24"/>
                <w:highlight w:val="none"/>
              </w:rPr>
            </w:pPr>
          </w:p>
        </w:tc>
        <w:tc>
          <w:tcPr>
            <w:tcW w:w="2694" w:type="dxa"/>
            <w:vAlign w:val="center"/>
          </w:tcPr>
          <w:p>
            <w:pPr>
              <w:tabs>
                <w:tab w:val="left" w:pos="9135"/>
              </w:tabs>
              <w:spacing w:line="360" w:lineRule="auto"/>
              <w:jc w:val="center"/>
              <w:rPr>
                <w:rFonts w:ascii="宋体" w:cs="宋体"/>
                <w:sz w:val="24"/>
                <w:highlight w:val="none"/>
              </w:rPr>
            </w:pPr>
          </w:p>
        </w:tc>
        <w:tc>
          <w:tcPr>
            <w:tcW w:w="2329" w:type="dxa"/>
            <w:vAlign w:val="center"/>
          </w:tcPr>
          <w:p>
            <w:pPr>
              <w:tabs>
                <w:tab w:val="left" w:pos="9135"/>
              </w:tabs>
              <w:spacing w:line="360" w:lineRule="auto"/>
              <w:jc w:val="center"/>
              <w:rPr>
                <w:rFonts w:asci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273" w:type="dxa"/>
            <w:vAlign w:val="center"/>
          </w:tcPr>
          <w:p>
            <w:pPr>
              <w:numPr>
                <w:ilvl w:val="0"/>
                <w:numId w:val="9"/>
              </w:numPr>
              <w:tabs>
                <w:tab w:val="left" w:pos="9135"/>
              </w:tabs>
              <w:spacing w:line="360" w:lineRule="auto"/>
              <w:jc w:val="center"/>
              <w:rPr>
                <w:rFonts w:ascii="宋体" w:cs="宋体"/>
                <w:sz w:val="24"/>
                <w:highlight w:val="none"/>
              </w:rPr>
            </w:pPr>
          </w:p>
        </w:tc>
        <w:tc>
          <w:tcPr>
            <w:tcW w:w="7839" w:type="dxa"/>
            <w:gridSpan w:val="3"/>
            <w:vAlign w:val="center"/>
          </w:tcPr>
          <w:p>
            <w:pPr>
              <w:tabs>
                <w:tab w:val="left" w:pos="9135"/>
              </w:tabs>
              <w:spacing w:line="360" w:lineRule="auto"/>
              <w:rPr>
                <w:rFonts w:ascii="宋体" w:cs="宋体"/>
                <w:sz w:val="24"/>
                <w:highlight w:val="none"/>
              </w:rPr>
            </w:pPr>
            <w:r>
              <w:rPr>
                <w:rFonts w:hint="eastAsia" w:ascii="宋体" w:hAnsi="宋体" w:cs="宋体"/>
                <w:sz w:val="24"/>
                <w:highlight w:val="none"/>
              </w:rPr>
              <w:t>大写：</w:t>
            </w:r>
          </w:p>
        </w:tc>
      </w:tr>
    </w:tbl>
    <w:p>
      <w:pPr>
        <w:spacing w:line="360" w:lineRule="auto"/>
        <w:ind w:firstLine="280"/>
        <w:rPr>
          <w:rFonts w:ascii="宋体" w:cs="宋体"/>
          <w:b/>
          <w:sz w:val="24"/>
          <w:highlight w:val="none"/>
        </w:rPr>
      </w:pPr>
      <w:r>
        <w:rPr>
          <w:rFonts w:hint="eastAsia" w:ascii="宋体" w:hAnsi="宋体" w:cs="宋体"/>
          <w:b/>
          <w:sz w:val="24"/>
          <w:highlight w:val="none"/>
        </w:rPr>
        <w:t>注：投标人报价除包含指定产品的价格外，还包括调试费、税费、人员培训费、维护服务费等，买方不必支付其它任何费用。</w:t>
      </w:r>
    </w:p>
    <w:p>
      <w:pPr>
        <w:spacing w:line="360" w:lineRule="auto"/>
        <w:ind w:firstLine="280"/>
        <w:rPr>
          <w:rFonts w:ascii="宋体" w:cs="宋体"/>
          <w:b/>
          <w:sz w:val="24"/>
          <w:highlight w:val="none"/>
        </w:rPr>
      </w:pPr>
      <w:r>
        <w:rPr>
          <w:rFonts w:hint="eastAsia" w:ascii="宋体" w:hAnsi="宋体" w:cs="宋体"/>
          <w:b/>
          <w:sz w:val="24"/>
          <w:highlight w:val="none"/>
        </w:rPr>
        <w:t>此报价一览除投标文件中必须有外，还需单独提供一份并单独密封。</w:t>
      </w:r>
    </w:p>
    <w:p>
      <w:pPr>
        <w:spacing w:line="360" w:lineRule="auto"/>
        <w:ind w:firstLine="280"/>
        <w:rPr>
          <w:rFonts w:ascii="宋体" w:cs="宋体"/>
          <w:sz w:val="24"/>
          <w:highlight w:val="none"/>
        </w:rPr>
      </w:pPr>
      <w:r>
        <w:rPr>
          <w:rFonts w:hint="eastAsia" w:ascii="宋体" w:hAnsi="宋体" w:cs="宋体"/>
          <w:sz w:val="24"/>
          <w:highlight w:val="none"/>
        </w:rPr>
        <w:t>投标人代表签字：</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widowControl/>
        <w:jc w:val="left"/>
        <w:rPr>
          <w:rFonts w:ascii="宋体" w:cs="宋体"/>
          <w:highlight w:val="none"/>
        </w:rPr>
      </w:pPr>
    </w:p>
    <w:p>
      <w:pPr>
        <w:widowControl/>
        <w:jc w:val="left"/>
        <w:rPr>
          <w:rFonts w:ascii="宋体" w:cs="宋体"/>
          <w:b/>
          <w:bCs/>
          <w:sz w:val="28"/>
          <w:szCs w:val="32"/>
          <w:highlight w:val="none"/>
        </w:rPr>
      </w:pPr>
      <w:r>
        <w:rPr>
          <w:rFonts w:ascii="宋体" w:cs="宋体"/>
          <w:highlight w:val="none"/>
        </w:rPr>
        <w:br w:type="page"/>
      </w:r>
    </w:p>
    <w:p>
      <w:pPr>
        <w:pStyle w:val="2"/>
        <w:jc w:val="center"/>
        <w:rPr>
          <w:rFonts w:ascii="宋体" w:cs="宋体"/>
          <w:highlight w:val="none"/>
        </w:rPr>
      </w:pPr>
      <w:bookmarkStart w:id="17" w:name="_Toc517776526"/>
      <w:r>
        <w:rPr>
          <w:rFonts w:hint="eastAsia" w:ascii="宋体" w:hAnsi="宋体" w:cs="宋体"/>
          <w:highlight w:val="none"/>
        </w:rPr>
        <w:t>五、法人代表授权委托书</w:t>
      </w:r>
      <w:bookmarkEnd w:id="17"/>
    </w:p>
    <w:p>
      <w:pPr>
        <w:rPr>
          <w:rFonts w:ascii="宋体" w:cs="宋体"/>
          <w:highlight w:val="none"/>
        </w:rPr>
      </w:pPr>
    </w:p>
    <w:p>
      <w:pPr>
        <w:pStyle w:val="20"/>
        <w:ind w:right="-15"/>
        <w:rPr>
          <w:rFonts w:hAnsi="宋体" w:cs="宋体"/>
          <w:b/>
          <w:sz w:val="24"/>
          <w:szCs w:val="24"/>
          <w:highlight w:val="none"/>
        </w:rPr>
      </w:pPr>
      <w:r>
        <w:rPr>
          <w:rFonts w:hint="eastAsia" w:hAnsi="宋体" w:cs="宋体"/>
          <w:b/>
          <w:sz w:val="24"/>
          <w:szCs w:val="24"/>
          <w:highlight w:val="none"/>
          <w:lang w:eastAsia="zh-CN"/>
        </w:rPr>
        <w:t>新疆维吾尔自治区广播电视局八四一台</w:t>
      </w:r>
      <w:r>
        <w:rPr>
          <w:rFonts w:hAnsi="宋体" w:cs="宋体"/>
          <w:b/>
          <w:sz w:val="24"/>
          <w:szCs w:val="24"/>
          <w:highlight w:val="none"/>
        </w:rPr>
        <w:t>:</w:t>
      </w:r>
    </w:p>
    <w:p>
      <w:pPr>
        <w:pStyle w:val="20"/>
        <w:ind w:right="-15" w:firstLine="645"/>
        <w:rPr>
          <w:rFonts w:hAnsi="宋体" w:cs="宋体"/>
          <w:sz w:val="24"/>
          <w:szCs w:val="24"/>
          <w:highlight w:val="none"/>
        </w:rPr>
      </w:pPr>
      <w:r>
        <w:rPr>
          <w:rFonts w:hint="eastAsia" w:hAnsi="宋体" w:cs="宋体"/>
          <w:sz w:val="24"/>
          <w:szCs w:val="24"/>
          <w:highlight w:val="none"/>
        </w:rPr>
        <w:t>我公司法定代表人现委托参加贵招标公司组织的招标活动</w:t>
      </w:r>
      <w:r>
        <w:rPr>
          <w:rFonts w:hAnsi="宋体" w:cs="宋体"/>
          <w:sz w:val="24"/>
          <w:szCs w:val="24"/>
          <w:highlight w:val="none"/>
        </w:rPr>
        <w:t>,</w:t>
      </w:r>
      <w:r>
        <w:rPr>
          <w:rFonts w:hint="eastAsia" w:hAnsi="宋体" w:cs="宋体"/>
          <w:sz w:val="24"/>
          <w:szCs w:val="24"/>
          <w:highlight w:val="none"/>
        </w:rPr>
        <w:t>全权代表我公司处理招标的有关事宜</w:t>
      </w:r>
      <w:r>
        <w:rPr>
          <w:rFonts w:hAnsi="宋体" w:cs="宋体"/>
          <w:sz w:val="24"/>
          <w:szCs w:val="24"/>
          <w:highlight w:val="none"/>
        </w:rPr>
        <w:t>,</w:t>
      </w:r>
      <w:r>
        <w:rPr>
          <w:rFonts w:hint="eastAsia" w:hAnsi="宋体" w:cs="宋体"/>
          <w:sz w:val="24"/>
          <w:szCs w:val="24"/>
          <w:highlight w:val="none"/>
        </w:rPr>
        <w:t>代理人所签署的一切有关文件</w:t>
      </w:r>
      <w:r>
        <w:rPr>
          <w:rFonts w:hAnsi="宋体" w:cs="宋体"/>
          <w:sz w:val="24"/>
          <w:szCs w:val="24"/>
          <w:highlight w:val="none"/>
        </w:rPr>
        <w:t>,</w:t>
      </w:r>
      <w:r>
        <w:rPr>
          <w:rFonts w:hint="eastAsia" w:hAnsi="宋体" w:cs="宋体"/>
          <w:sz w:val="24"/>
          <w:szCs w:val="24"/>
          <w:highlight w:val="none"/>
        </w:rPr>
        <w:t>我公司均予承认。</w:t>
      </w:r>
    </w:p>
    <w:p>
      <w:pPr>
        <w:pStyle w:val="20"/>
        <w:ind w:right="-15"/>
        <w:rPr>
          <w:rFonts w:hAnsi="宋体" w:cs="宋体"/>
          <w:sz w:val="24"/>
          <w:szCs w:val="24"/>
          <w:highlight w:val="none"/>
        </w:rPr>
      </w:pPr>
    </w:p>
    <w:p>
      <w:pPr>
        <w:pStyle w:val="20"/>
        <w:ind w:right="-15"/>
        <w:rPr>
          <w:rFonts w:hAnsi="宋体" w:cs="宋体"/>
          <w:sz w:val="24"/>
          <w:szCs w:val="24"/>
          <w:highlight w:val="none"/>
        </w:rPr>
      </w:pPr>
    </w:p>
    <w:p>
      <w:pPr>
        <w:pStyle w:val="20"/>
        <w:ind w:right="-15"/>
        <w:rPr>
          <w:rFonts w:hAnsi="宋体" w:cs="宋体"/>
          <w:b/>
          <w:sz w:val="24"/>
          <w:szCs w:val="24"/>
          <w:highlight w:val="none"/>
        </w:rPr>
      </w:pPr>
      <w:r>
        <w:rPr>
          <w:rFonts w:hint="eastAsia" w:hAnsi="宋体" w:cs="宋体"/>
          <w:b/>
          <w:sz w:val="24"/>
          <w:szCs w:val="24"/>
          <w:highlight w:val="none"/>
        </w:rPr>
        <w:t>代理人情况</w:t>
      </w:r>
      <w:r>
        <w:rPr>
          <w:rFonts w:hAnsi="宋体" w:cs="宋体"/>
          <w:b/>
          <w:sz w:val="24"/>
          <w:szCs w:val="24"/>
          <w:highlight w:val="none"/>
        </w:rPr>
        <w:t>:</w:t>
      </w:r>
    </w:p>
    <w:p>
      <w:pPr>
        <w:pStyle w:val="20"/>
        <w:ind w:right="-15"/>
        <w:rPr>
          <w:rFonts w:hAnsi="宋体" w:cs="宋体"/>
          <w:sz w:val="24"/>
          <w:szCs w:val="24"/>
          <w:highlight w:val="none"/>
          <w:u w:val="single"/>
        </w:rPr>
      </w:pPr>
      <w:r>
        <w:rPr>
          <w:rFonts w:hint="eastAsia" w:hAnsi="宋体" w:cs="宋体"/>
          <w:sz w:val="24"/>
          <w:szCs w:val="24"/>
          <w:highlight w:val="none"/>
        </w:rPr>
        <w:t>姓名</w:t>
      </w:r>
      <w:r>
        <w:rPr>
          <w:rFonts w:hAnsi="宋体" w:cs="宋体"/>
          <w:sz w:val="24"/>
          <w:szCs w:val="24"/>
          <w:highlight w:val="none"/>
        </w:rPr>
        <w:t xml:space="preserve">:                             </w:t>
      </w:r>
      <w:r>
        <w:rPr>
          <w:rFonts w:hint="eastAsia" w:hAnsi="宋体" w:cs="宋体"/>
          <w:sz w:val="24"/>
          <w:szCs w:val="24"/>
          <w:highlight w:val="none"/>
        </w:rPr>
        <w:t>性别</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年龄</w:t>
      </w:r>
      <w:r>
        <w:rPr>
          <w:rFonts w:hAnsi="宋体" w:cs="宋体"/>
          <w:sz w:val="24"/>
          <w:szCs w:val="24"/>
          <w:highlight w:val="none"/>
        </w:rPr>
        <w:t xml:space="preserve">:                             </w:t>
      </w:r>
      <w:r>
        <w:rPr>
          <w:rFonts w:hint="eastAsia" w:hAnsi="宋体" w:cs="宋体"/>
          <w:sz w:val="24"/>
          <w:szCs w:val="24"/>
          <w:highlight w:val="none"/>
        </w:rPr>
        <w:t>职务</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身份证号码</w:t>
      </w:r>
      <w:r>
        <w:rPr>
          <w:rFonts w:hAnsi="宋体" w:cs="宋体"/>
          <w:sz w:val="24"/>
          <w:szCs w:val="24"/>
          <w:highlight w:val="none"/>
        </w:rPr>
        <w:t>:</w:t>
      </w:r>
    </w:p>
    <w:p>
      <w:pPr>
        <w:pStyle w:val="20"/>
        <w:ind w:right="-15"/>
        <w:rPr>
          <w:rFonts w:hAnsi="宋体" w:cs="宋体"/>
          <w:sz w:val="24"/>
          <w:szCs w:val="24"/>
          <w:highlight w:val="none"/>
        </w:rPr>
      </w:pPr>
      <w:r>
        <w:rPr>
          <w:rFonts w:hint="eastAsia" w:hAnsi="宋体" w:cs="宋体"/>
          <w:sz w:val="24"/>
          <w:szCs w:val="24"/>
          <w:highlight w:val="none"/>
        </w:rPr>
        <w:t>详细地址</w:t>
      </w:r>
      <w:r>
        <w:rPr>
          <w:rFonts w:hAnsi="宋体" w:cs="宋体"/>
          <w:sz w:val="24"/>
          <w:szCs w:val="24"/>
          <w:highlight w:val="none"/>
        </w:rPr>
        <w:t>:</w:t>
      </w:r>
    </w:p>
    <w:p>
      <w:pPr>
        <w:pStyle w:val="20"/>
        <w:ind w:right="-15"/>
        <w:rPr>
          <w:rFonts w:hAnsi="宋体" w:cs="宋体"/>
          <w:sz w:val="24"/>
          <w:szCs w:val="24"/>
          <w:highlight w:val="none"/>
          <w:u w:val="single"/>
        </w:rPr>
      </w:pPr>
      <w:r>
        <w:rPr>
          <w:rFonts w:hint="eastAsia" w:hAnsi="宋体" w:cs="宋体"/>
          <w:sz w:val="24"/>
          <w:szCs w:val="24"/>
          <w:highlight w:val="none"/>
        </w:rPr>
        <w:t>电话</w:t>
      </w:r>
      <w:r>
        <w:rPr>
          <w:rFonts w:hAnsi="宋体" w:cs="宋体"/>
          <w:sz w:val="24"/>
          <w:szCs w:val="24"/>
          <w:highlight w:val="none"/>
        </w:rPr>
        <w:t xml:space="preserve">:                             </w:t>
      </w:r>
      <w:r>
        <w:rPr>
          <w:rFonts w:hint="eastAsia" w:hAnsi="宋体" w:cs="宋体"/>
          <w:sz w:val="24"/>
          <w:szCs w:val="24"/>
          <w:highlight w:val="none"/>
        </w:rPr>
        <w:t>传真</w:t>
      </w:r>
      <w:r>
        <w:rPr>
          <w:rFonts w:hAnsi="宋体" w:cs="宋体"/>
          <w:sz w:val="24"/>
          <w:szCs w:val="24"/>
          <w:highlight w:val="none"/>
        </w:rPr>
        <w:t>:</w:t>
      </w:r>
    </w:p>
    <w:tbl>
      <w:tblPr>
        <w:tblStyle w:val="3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8280" w:type="dxa"/>
            <w:vAlign w:val="center"/>
          </w:tcPr>
          <w:p>
            <w:pPr>
              <w:pStyle w:val="20"/>
              <w:ind w:right="-15"/>
              <w:jc w:val="center"/>
              <w:rPr>
                <w:rFonts w:hAnsi="宋体" w:cs="宋体"/>
                <w:sz w:val="24"/>
                <w:szCs w:val="24"/>
                <w:highlight w:val="none"/>
              </w:rPr>
            </w:pPr>
            <w:r>
              <w:rPr>
                <w:rFonts w:hint="eastAsia" w:hAnsi="宋体" w:cs="宋体"/>
                <w:sz w:val="24"/>
                <w:szCs w:val="24"/>
                <w:highlight w:val="none"/>
              </w:rPr>
              <w:t>授权人身份证复印件（正、反面）</w:t>
            </w:r>
          </w:p>
        </w:tc>
      </w:tr>
    </w:tbl>
    <w:p>
      <w:pPr>
        <w:pStyle w:val="20"/>
        <w:ind w:right="-15" w:firstLine="240" w:firstLineChars="100"/>
        <w:rPr>
          <w:rFonts w:hAnsi="宋体" w:cs="宋体"/>
          <w:sz w:val="24"/>
          <w:szCs w:val="24"/>
          <w:highlight w:val="none"/>
        </w:rPr>
      </w:pPr>
    </w:p>
    <w:p>
      <w:pPr>
        <w:spacing w:line="360" w:lineRule="auto"/>
        <w:ind w:firstLine="280"/>
        <w:rPr>
          <w:rFonts w:ascii="宋体" w:cs="宋体"/>
          <w:sz w:val="24"/>
          <w:highlight w:val="none"/>
        </w:rPr>
      </w:pPr>
      <w:r>
        <w:rPr>
          <w:rFonts w:hint="eastAsia" w:ascii="宋体" w:hAnsi="宋体" w:cs="宋体"/>
          <w:sz w:val="24"/>
          <w:highlight w:val="none"/>
        </w:rPr>
        <w:t>法定代表签字或盖章：</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pStyle w:val="20"/>
        <w:rPr>
          <w:rFonts w:hAnsi="宋体" w:cs="宋体"/>
          <w:b/>
          <w:sz w:val="24"/>
          <w:szCs w:val="24"/>
          <w:highlight w:val="none"/>
        </w:rPr>
      </w:pPr>
      <w:r>
        <w:rPr>
          <w:rFonts w:hint="eastAsia" w:hAnsi="宋体" w:cs="宋体"/>
          <w:b/>
          <w:sz w:val="24"/>
          <w:szCs w:val="24"/>
          <w:highlight w:val="none"/>
        </w:rPr>
        <w:t>注：本授权书在开标会现场携带一份，同时投标文件中也必须附有。</w:t>
      </w:r>
    </w:p>
    <w:p>
      <w:pPr>
        <w:pStyle w:val="20"/>
        <w:rPr>
          <w:rFonts w:hAnsi="宋体" w:cs="宋体"/>
          <w:b/>
          <w:sz w:val="24"/>
          <w:szCs w:val="24"/>
          <w:highlight w:val="none"/>
        </w:rPr>
      </w:pPr>
      <w:r>
        <w:rPr>
          <w:rFonts w:hAnsi="宋体" w:cs="宋体"/>
          <w:b/>
          <w:sz w:val="24"/>
          <w:szCs w:val="24"/>
          <w:highlight w:val="none"/>
        </w:rPr>
        <w:br w:type="page"/>
      </w:r>
    </w:p>
    <w:p>
      <w:pPr>
        <w:pStyle w:val="2"/>
        <w:jc w:val="center"/>
        <w:rPr>
          <w:rFonts w:ascii="宋体" w:cs="宋体"/>
          <w:sz w:val="24"/>
          <w:szCs w:val="24"/>
          <w:highlight w:val="none"/>
        </w:rPr>
      </w:pPr>
      <w:bookmarkStart w:id="18" w:name="_Toc517776527"/>
      <w:r>
        <w:rPr>
          <w:rFonts w:hint="eastAsia" w:ascii="宋体" w:hAnsi="宋体" w:cs="宋体"/>
          <w:sz w:val="24"/>
          <w:szCs w:val="24"/>
          <w:highlight w:val="none"/>
        </w:rPr>
        <w:t>六、投标人资格说明</w:t>
      </w:r>
      <w:bookmarkEnd w:id="18"/>
    </w:p>
    <w:p>
      <w:pPr>
        <w:spacing w:line="360" w:lineRule="auto"/>
        <w:ind w:left="-240"/>
        <w:rPr>
          <w:rFonts w:ascii="宋体" w:cs="宋体"/>
          <w:b/>
          <w:sz w:val="24"/>
          <w:szCs w:val="24"/>
          <w:highlight w:val="none"/>
        </w:rPr>
      </w:pPr>
      <w:r>
        <w:rPr>
          <w:rFonts w:hint="eastAsia" w:ascii="宋体" w:hAnsi="宋体" w:cs="宋体"/>
          <w:b/>
          <w:sz w:val="24"/>
          <w:szCs w:val="24"/>
          <w:highlight w:val="none"/>
        </w:rPr>
        <w:t>投标人情况介绍表</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202"/>
        <w:gridCol w:w="1305"/>
        <w:gridCol w:w="1275"/>
        <w:gridCol w:w="52"/>
        <w:gridCol w:w="1009"/>
        <w:gridCol w:w="304"/>
        <w:gridCol w:w="73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单位名称</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地址</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主管部门</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法人代表</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职务</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经济类型</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授权代表</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职务</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邮编</w:t>
            </w: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电话</w:t>
            </w:r>
          </w:p>
        </w:tc>
        <w:tc>
          <w:tcPr>
            <w:tcW w:w="1275" w:type="dxa"/>
            <w:vAlign w:val="center"/>
          </w:tcPr>
          <w:p>
            <w:pPr>
              <w:tabs>
                <w:tab w:val="left" w:pos="540"/>
              </w:tabs>
              <w:ind w:left="-132" w:leftChars="-64" w:right="-105" w:rightChars="-50" w:hanging="2"/>
              <w:jc w:val="center"/>
              <w:rPr>
                <w:rFonts w:ascii="宋体" w:cs="宋体"/>
                <w:sz w:val="24"/>
                <w:szCs w:val="24"/>
                <w:highlight w:val="none"/>
              </w:rPr>
            </w:pPr>
          </w:p>
        </w:tc>
        <w:tc>
          <w:tcPr>
            <w:tcW w:w="1365" w:type="dxa"/>
            <w:gridSpan w:val="3"/>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传真</w:t>
            </w:r>
          </w:p>
        </w:tc>
        <w:tc>
          <w:tcPr>
            <w:tcW w:w="2371" w:type="dxa"/>
            <w:gridSpan w:val="2"/>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5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单位简介及机构设置</w:t>
            </w:r>
          </w:p>
        </w:tc>
        <w:tc>
          <w:tcPr>
            <w:tcW w:w="7518" w:type="dxa"/>
            <w:gridSpan w:val="8"/>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55"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单位概况</w:t>
            </w: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注册资本</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占地面积</w:t>
            </w:r>
          </w:p>
        </w:tc>
        <w:tc>
          <w:tcPr>
            <w:tcW w:w="3684" w:type="dxa"/>
            <w:gridSpan w:val="4"/>
            <w:vAlign w:val="center"/>
          </w:tcPr>
          <w:p>
            <w:pPr>
              <w:tabs>
                <w:tab w:val="left" w:pos="540"/>
              </w:tabs>
              <w:ind w:left="-134" w:leftChars="-64" w:right="-105" w:rightChars="-50"/>
              <w:jc w:val="center"/>
              <w:rPr>
                <w:rFonts w:ascii="宋体" w:cs="宋体"/>
                <w:sz w:val="24"/>
                <w:szCs w:val="24"/>
                <w:highlight w:val="none"/>
              </w:rPr>
            </w:pPr>
            <w:r>
              <w:rPr>
                <w:rFonts w:ascii="宋体" w:hAnsi="宋体" w:cs="宋体"/>
                <w:sz w:val="24"/>
                <w:szCs w:val="24"/>
                <w:highlight w:val="none"/>
              </w:rPr>
              <w:t>M</w:t>
            </w:r>
            <w:r>
              <w:rPr>
                <w:rFonts w:ascii="宋体" w:hAnsi="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职工总数</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人</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建筑面积</w:t>
            </w:r>
          </w:p>
        </w:tc>
        <w:tc>
          <w:tcPr>
            <w:tcW w:w="3684" w:type="dxa"/>
            <w:gridSpan w:val="4"/>
            <w:vAlign w:val="center"/>
          </w:tcPr>
          <w:p>
            <w:pPr>
              <w:tabs>
                <w:tab w:val="left" w:pos="540"/>
              </w:tabs>
              <w:ind w:left="-134" w:leftChars="-64" w:right="-105" w:rightChars="-50"/>
              <w:jc w:val="center"/>
              <w:rPr>
                <w:rFonts w:ascii="宋体" w:cs="宋体"/>
                <w:sz w:val="24"/>
                <w:szCs w:val="24"/>
                <w:highlight w:val="none"/>
              </w:rPr>
            </w:pPr>
            <w:r>
              <w:rPr>
                <w:rFonts w:ascii="宋体" w:hAnsi="宋体" w:cs="宋体"/>
                <w:sz w:val="24"/>
                <w:szCs w:val="24"/>
                <w:highlight w:val="none"/>
              </w:rPr>
              <w:t>M</w:t>
            </w:r>
            <w:r>
              <w:rPr>
                <w:rFonts w:ascii="宋体" w:hAnsi="宋体" w:cs="宋体"/>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资产情况</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净资产</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3684" w:type="dxa"/>
            <w:gridSpan w:val="4"/>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固定资产原值万元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负债</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3684" w:type="dxa"/>
            <w:gridSpan w:val="4"/>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固定资产净值万元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5" w:type="dxa"/>
            <w:vMerge w:val="restart"/>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财务状况</w:t>
            </w:r>
          </w:p>
        </w:tc>
        <w:tc>
          <w:tcPr>
            <w:tcW w:w="1202"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年度</w:t>
            </w:r>
          </w:p>
        </w:tc>
        <w:tc>
          <w:tcPr>
            <w:tcW w:w="1305"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主营收入</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收入总额</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009"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利润总额</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净利润</w:t>
            </w:r>
          </w:p>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（万元）</w:t>
            </w:r>
          </w:p>
        </w:tc>
        <w:tc>
          <w:tcPr>
            <w:tcW w:w="1636" w:type="dxa"/>
            <w:vAlign w:val="center"/>
          </w:tcPr>
          <w:p>
            <w:pPr>
              <w:tabs>
                <w:tab w:val="left" w:pos="540"/>
              </w:tabs>
              <w:ind w:left="-132" w:leftChars="-64" w:right="-105" w:rightChars="-50" w:hanging="2"/>
              <w:jc w:val="center"/>
              <w:rPr>
                <w:rFonts w:ascii="宋体" w:cs="宋体"/>
                <w:sz w:val="24"/>
                <w:szCs w:val="24"/>
                <w:highlight w:val="none"/>
              </w:rPr>
            </w:pPr>
            <w:r>
              <w:rPr>
                <w:rFonts w:hint="eastAsia" w:ascii="宋体" w:hAnsi="宋体" w:cs="宋体"/>
                <w:sz w:val="24"/>
                <w:szCs w:val="24"/>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009" w:type="dxa"/>
            <w:vAlign w:val="center"/>
          </w:tcPr>
          <w:p>
            <w:pPr>
              <w:tabs>
                <w:tab w:val="left" w:pos="540"/>
              </w:tabs>
              <w:ind w:left="-132" w:leftChars="-64" w:right="-105" w:rightChars="-50" w:hanging="2"/>
              <w:jc w:val="center"/>
              <w:rPr>
                <w:rFonts w:ascii="宋体" w:cs="宋体"/>
                <w:sz w:val="24"/>
                <w:szCs w:val="24"/>
                <w:highlight w:val="none"/>
              </w:rPr>
            </w:pP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636" w:type="dxa"/>
            <w:vAlign w:val="center"/>
          </w:tcPr>
          <w:p>
            <w:pPr>
              <w:tabs>
                <w:tab w:val="left" w:pos="540"/>
              </w:tabs>
              <w:ind w:left="-132" w:leftChars="-64" w:right="-105" w:rightChars="-50" w:hanging="2"/>
              <w:jc w:val="center"/>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55" w:type="dxa"/>
            <w:vMerge w:val="continue"/>
            <w:vAlign w:val="center"/>
          </w:tcPr>
          <w:p>
            <w:pPr>
              <w:tabs>
                <w:tab w:val="left" w:pos="540"/>
              </w:tabs>
              <w:ind w:left="-132" w:leftChars="-64" w:right="-105" w:rightChars="-50" w:hanging="2"/>
              <w:jc w:val="center"/>
              <w:rPr>
                <w:rFonts w:ascii="宋体" w:cs="宋体"/>
                <w:sz w:val="24"/>
                <w:szCs w:val="24"/>
                <w:highlight w:val="none"/>
              </w:rPr>
            </w:pPr>
          </w:p>
        </w:tc>
        <w:tc>
          <w:tcPr>
            <w:tcW w:w="1202" w:type="dxa"/>
            <w:vAlign w:val="center"/>
          </w:tcPr>
          <w:p>
            <w:pPr>
              <w:tabs>
                <w:tab w:val="left" w:pos="540"/>
              </w:tabs>
              <w:ind w:left="-132" w:leftChars="-64" w:right="-105" w:rightChars="-50" w:hanging="2"/>
              <w:jc w:val="center"/>
              <w:rPr>
                <w:rFonts w:ascii="宋体" w:cs="宋体"/>
                <w:sz w:val="24"/>
                <w:szCs w:val="24"/>
                <w:highlight w:val="none"/>
              </w:rPr>
            </w:pPr>
          </w:p>
        </w:tc>
        <w:tc>
          <w:tcPr>
            <w:tcW w:w="1305" w:type="dxa"/>
            <w:vAlign w:val="center"/>
          </w:tcPr>
          <w:p>
            <w:pPr>
              <w:tabs>
                <w:tab w:val="left" w:pos="540"/>
              </w:tabs>
              <w:ind w:left="-132" w:leftChars="-64" w:right="-105" w:rightChars="-50" w:hanging="2"/>
              <w:jc w:val="center"/>
              <w:rPr>
                <w:rFonts w:ascii="宋体" w:cs="宋体"/>
                <w:sz w:val="24"/>
                <w:szCs w:val="24"/>
                <w:highlight w:val="none"/>
              </w:rPr>
            </w:pPr>
          </w:p>
        </w:tc>
        <w:tc>
          <w:tcPr>
            <w:tcW w:w="1327"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009" w:type="dxa"/>
            <w:vAlign w:val="center"/>
          </w:tcPr>
          <w:p>
            <w:pPr>
              <w:tabs>
                <w:tab w:val="left" w:pos="540"/>
              </w:tabs>
              <w:ind w:left="-132" w:leftChars="-64" w:right="-105" w:rightChars="-50" w:hanging="2"/>
              <w:jc w:val="center"/>
              <w:rPr>
                <w:rFonts w:ascii="宋体" w:cs="宋体"/>
                <w:sz w:val="24"/>
                <w:szCs w:val="24"/>
                <w:highlight w:val="none"/>
              </w:rPr>
            </w:pPr>
          </w:p>
        </w:tc>
        <w:tc>
          <w:tcPr>
            <w:tcW w:w="1039" w:type="dxa"/>
            <w:gridSpan w:val="2"/>
            <w:vAlign w:val="center"/>
          </w:tcPr>
          <w:p>
            <w:pPr>
              <w:tabs>
                <w:tab w:val="left" w:pos="540"/>
              </w:tabs>
              <w:ind w:left="-132" w:leftChars="-64" w:right="-105" w:rightChars="-50" w:hanging="2"/>
              <w:jc w:val="center"/>
              <w:rPr>
                <w:rFonts w:ascii="宋体" w:cs="宋体"/>
                <w:sz w:val="24"/>
                <w:szCs w:val="24"/>
                <w:highlight w:val="none"/>
              </w:rPr>
            </w:pPr>
          </w:p>
        </w:tc>
        <w:tc>
          <w:tcPr>
            <w:tcW w:w="1636" w:type="dxa"/>
            <w:vAlign w:val="center"/>
          </w:tcPr>
          <w:p>
            <w:pPr>
              <w:tabs>
                <w:tab w:val="left" w:pos="540"/>
              </w:tabs>
              <w:ind w:left="-132" w:leftChars="-64" w:right="-105" w:rightChars="-50" w:hanging="2"/>
              <w:jc w:val="center"/>
              <w:rPr>
                <w:rFonts w:ascii="宋体" w:cs="宋体"/>
                <w:sz w:val="24"/>
                <w:szCs w:val="24"/>
                <w:highlight w:val="none"/>
              </w:rPr>
            </w:pPr>
          </w:p>
        </w:tc>
      </w:tr>
    </w:tbl>
    <w:p>
      <w:pPr>
        <w:spacing w:line="360" w:lineRule="auto"/>
        <w:ind w:firstLine="420"/>
        <w:rPr>
          <w:rFonts w:ascii="宋体" w:cs="宋体"/>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企业资质随表附后。</w:t>
      </w:r>
    </w:p>
    <w:p>
      <w:pPr>
        <w:spacing w:line="360" w:lineRule="auto"/>
        <w:ind w:firstLine="42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如投标人此表数据有虚假，一经查实，自行承担相关责任。</w:t>
      </w:r>
    </w:p>
    <w:p>
      <w:pPr>
        <w:spacing w:line="360" w:lineRule="auto"/>
        <w:ind w:firstLine="42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兹证明上述声明是真实、正确的，并提供了全部能提供的资料和数据，我们同意遵照贵方要求出示有关证明文件。</w:t>
      </w:r>
    </w:p>
    <w:p>
      <w:pPr>
        <w:widowControl/>
        <w:jc w:val="left"/>
        <w:rPr>
          <w:rFonts w:ascii="宋体" w:cs="宋体"/>
          <w:sz w:val="24"/>
          <w:szCs w:val="24"/>
          <w:highlight w:val="none"/>
        </w:rPr>
      </w:pPr>
      <w:r>
        <w:rPr>
          <w:rFonts w:ascii="宋体" w:cs="宋体"/>
          <w:sz w:val="24"/>
          <w:szCs w:val="24"/>
          <w:highlight w:val="none"/>
        </w:rPr>
        <w:br w:type="page"/>
      </w:r>
    </w:p>
    <w:p>
      <w:pPr>
        <w:pStyle w:val="2"/>
        <w:jc w:val="center"/>
        <w:rPr>
          <w:rFonts w:ascii="宋体" w:cs="宋体"/>
          <w:sz w:val="24"/>
          <w:szCs w:val="24"/>
          <w:highlight w:val="none"/>
        </w:rPr>
      </w:pPr>
      <w:bookmarkStart w:id="19" w:name="_Toc517776528"/>
      <w:r>
        <w:rPr>
          <w:rFonts w:hint="eastAsia" w:ascii="宋体" w:hAnsi="宋体" w:cs="宋体"/>
          <w:sz w:val="24"/>
          <w:szCs w:val="24"/>
          <w:highlight w:val="none"/>
        </w:rPr>
        <w:t>七、分项报价表</w:t>
      </w:r>
      <w:bookmarkEnd w:id="19"/>
    </w:p>
    <w:p>
      <w:pPr>
        <w:ind w:firstLine="240" w:firstLineChars="100"/>
        <w:rPr>
          <w:rFonts w:ascii="宋体" w:cs="宋体"/>
          <w:sz w:val="24"/>
          <w:szCs w:val="24"/>
          <w:highlight w:val="none"/>
        </w:rPr>
      </w:pPr>
      <w:r>
        <w:rPr>
          <w:rFonts w:hint="eastAsia" w:ascii="宋体" w:hAnsi="宋体" w:cs="宋体"/>
          <w:sz w:val="24"/>
          <w:szCs w:val="24"/>
          <w:highlight w:val="none"/>
        </w:rPr>
        <w:t>投标人名称：</w:t>
      </w:r>
    </w:p>
    <w:p>
      <w:pPr>
        <w:ind w:firstLine="240" w:firstLineChars="100"/>
        <w:rPr>
          <w:rFonts w:ascii="宋体" w:cs="宋体"/>
          <w:sz w:val="24"/>
          <w:szCs w:val="24"/>
          <w:highlight w:val="none"/>
        </w:rPr>
      </w:pPr>
    </w:p>
    <w:p>
      <w:pPr>
        <w:ind w:firstLine="240" w:firstLineChars="100"/>
        <w:rPr>
          <w:rFonts w:ascii="宋体" w:cs="宋体"/>
          <w:sz w:val="24"/>
          <w:szCs w:val="24"/>
          <w:highlight w:val="none"/>
        </w:rPr>
      </w:pPr>
      <w:r>
        <w:rPr>
          <w:rFonts w:hint="eastAsia" w:ascii="宋体" w:hAnsi="宋体" w:cs="宋体"/>
          <w:sz w:val="24"/>
          <w:szCs w:val="24"/>
          <w:highlight w:val="none"/>
        </w:rPr>
        <w:t>采购文件编号：</w:t>
      </w:r>
    </w:p>
    <w:p>
      <w:pPr>
        <w:pStyle w:val="20"/>
        <w:tabs>
          <w:tab w:val="left" w:pos="9720"/>
        </w:tabs>
        <w:ind w:right="-15"/>
        <w:rPr>
          <w:rFonts w:hAnsi="宋体" w:cs="宋体"/>
          <w:b/>
          <w:sz w:val="24"/>
          <w:szCs w:val="24"/>
          <w:highlight w:val="none"/>
        </w:rPr>
      </w:pPr>
    </w:p>
    <w:tbl>
      <w:tblPr>
        <w:tblStyle w:val="36"/>
        <w:tblW w:w="9386" w:type="dxa"/>
        <w:jc w:val="center"/>
        <w:tblLayout w:type="fixed"/>
        <w:tblCellMar>
          <w:top w:w="0" w:type="dxa"/>
          <w:left w:w="30" w:type="dxa"/>
          <w:bottom w:w="0" w:type="dxa"/>
          <w:right w:w="30" w:type="dxa"/>
        </w:tblCellMar>
      </w:tblPr>
      <w:tblGrid>
        <w:gridCol w:w="1832"/>
        <w:gridCol w:w="892"/>
        <w:gridCol w:w="840"/>
        <w:gridCol w:w="839"/>
        <w:gridCol w:w="959"/>
        <w:gridCol w:w="839"/>
        <w:gridCol w:w="839"/>
        <w:gridCol w:w="840"/>
        <w:gridCol w:w="797"/>
        <w:gridCol w:w="709"/>
      </w:tblGrid>
      <w:tr>
        <w:tblPrEx>
          <w:tblCellMar>
            <w:top w:w="0" w:type="dxa"/>
            <w:left w:w="30" w:type="dxa"/>
            <w:bottom w:w="0" w:type="dxa"/>
            <w:right w:w="30" w:type="dxa"/>
          </w:tblCellMar>
        </w:tblPrEx>
        <w:trPr>
          <w:trHeight w:val="641" w:hRule="atLeast"/>
          <w:jc w:val="center"/>
        </w:trPr>
        <w:tc>
          <w:tcPr>
            <w:tcW w:w="1832"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名称</w:t>
            </w:r>
          </w:p>
        </w:tc>
        <w:tc>
          <w:tcPr>
            <w:tcW w:w="892"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单价</w:t>
            </w:r>
          </w:p>
        </w:tc>
        <w:tc>
          <w:tcPr>
            <w:tcW w:w="840"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出厂价</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包装费</w:t>
            </w:r>
          </w:p>
        </w:tc>
        <w:tc>
          <w:tcPr>
            <w:tcW w:w="95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运输费</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保险费</w:t>
            </w:r>
          </w:p>
        </w:tc>
        <w:tc>
          <w:tcPr>
            <w:tcW w:w="83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服务费</w:t>
            </w:r>
          </w:p>
        </w:tc>
        <w:tc>
          <w:tcPr>
            <w:tcW w:w="840"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w:t>
            </w:r>
          </w:p>
        </w:tc>
        <w:tc>
          <w:tcPr>
            <w:tcW w:w="797"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数量</w:t>
            </w:r>
          </w:p>
        </w:tc>
        <w:tc>
          <w:tcPr>
            <w:tcW w:w="709" w:type="dxa"/>
            <w:tcBorders>
              <w:top w:val="single" w:color="auto" w:sz="6"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r>
              <w:rPr>
                <w:rFonts w:hint="eastAsia" w:hAnsi="宋体" w:cs="宋体"/>
                <w:b/>
                <w:sz w:val="24"/>
                <w:szCs w:val="24"/>
                <w:highlight w:val="none"/>
              </w:rPr>
              <w:t>合价</w:t>
            </w:r>
          </w:p>
        </w:tc>
      </w:tr>
      <w:tr>
        <w:tblPrEx>
          <w:tblCellMar>
            <w:top w:w="0" w:type="dxa"/>
            <w:left w:w="30" w:type="dxa"/>
            <w:bottom w:w="0" w:type="dxa"/>
            <w:right w:w="30" w:type="dxa"/>
          </w:tblCellMar>
        </w:tblPrEx>
        <w:trPr>
          <w:trHeight w:val="876" w:hRule="atLeast"/>
          <w:jc w:val="center"/>
        </w:trPr>
        <w:tc>
          <w:tcPr>
            <w:tcW w:w="1832"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92"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95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97"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09" w:type="dxa"/>
            <w:tcBorders>
              <w:top w:val="single" w:color="auto" w:sz="4" w:space="0"/>
              <w:left w:val="single" w:color="auto" w:sz="6" w:space="0"/>
              <w:bottom w:val="single" w:color="auto" w:sz="4" w:space="0"/>
              <w:right w:val="single" w:color="auto" w:sz="6" w:space="0"/>
            </w:tcBorders>
            <w:vAlign w:val="center"/>
          </w:tcPr>
          <w:p>
            <w:pPr>
              <w:pStyle w:val="20"/>
              <w:tabs>
                <w:tab w:val="left" w:pos="9720"/>
              </w:tabs>
              <w:ind w:right="-15"/>
              <w:jc w:val="center"/>
              <w:rPr>
                <w:rFonts w:hAnsi="宋体" w:cs="宋体"/>
                <w:b/>
                <w:sz w:val="24"/>
                <w:szCs w:val="24"/>
                <w:highlight w:val="none"/>
              </w:rPr>
            </w:pPr>
          </w:p>
        </w:tc>
      </w:tr>
      <w:tr>
        <w:tblPrEx>
          <w:tblCellMar>
            <w:top w:w="0" w:type="dxa"/>
            <w:left w:w="30" w:type="dxa"/>
            <w:bottom w:w="0" w:type="dxa"/>
            <w:right w:w="30" w:type="dxa"/>
          </w:tblCellMar>
        </w:tblPrEx>
        <w:trPr>
          <w:trHeight w:val="876" w:hRule="atLeast"/>
          <w:jc w:val="center"/>
        </w:trPr>
        <w:tc>
          <w:tcPr>
            <w:tcW w:w="1832"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92"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95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3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840"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97"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c>
          <w:tcPr>
            <w:tcW w:w="709" w:type="dxa"/>
            <w:tcBorders>
              <w:top w:val="single" w:color="auto" w:sz="4" w:space="0"/>
              <w:left w:val="single" w:color="auto" w:sz="6" w:space="0"/>
              <w:bottom w:val="single" w:color="auto" w:sz="6" w:space="0"/>
              <w:right w:val="single" w:color="auto" w:sz="6" w:space="0"/>
            </w:tcBorders>
            <w:vAlign w:val="center"/>
          </w:tcPr>
          <w:p>
            <w:pPr>
              <w:pStyle w:val="20"/>
              <w:tabs>
                <w:tab w:val="left" w:pos="9720"/>
              </w:tabs>
              <w:ind w:right="-15"/>
              <w:jc w:val="center"/>
              <w:rPr>
                <w:rFonts w:hAnsi="宋体" w:cs="宋体"/>
                <w:b/>
                <w:sz w:val="24"/>
                <w:szCs w:val="24"/>
                <w:highlight w:val="none"/>
              </w:rPr>
            </w:pPr>
          </w:p>
        </w:tc>
      </w:tr>
    </w:tbl>
    <w:p>
      <w:pPr>
        <w:pStyle w:val="20"/>
        <w:tabs>
          <w:tab w:val="left" w:pos="9720"/>
        </w:tabs>
        <w:ind w:right="-15"/>
        <w:rPr>
          <w:rFonts w:hAnsi="宋体" w:cs="宋体"/>
          <w:b/>
          <w:sz w:val="24"/>
          <w:szCs w:val="24"/>
          <w:highlight w:val="none"/>
        </w:rPr>
      </w:pPr>
    </w:p>
    <w:p>
      <w:pPr>
        <w:pStyle w:val="20"/>
        <w:tabs>
          <w:tab w:val="left" w:pos="9720"/>
        </w:tabs>
        <w:ind w:right="-15"/>
        <w:rPr>
          <w:rFonts w:hAnsi="宋体" w:cs="宋体"/>
          <w:b/>
          <w:sz w:val="24"/>
          <w:szCs w:val="24"/>
          <w:highlight w:val="none"/>
        </w:rPr>
      </w:pPr>
      <w:r>
        <w:rPr>
          <w:rFonts w:hint="eastAsia" w:hAnsi="宋体" w:cs="宋体"/>
          <w:b/>
          <w:sz w:val="24"/>
          <w:szCs w:val="24"/>
          <w:highlight w:val="none"/>
        </w:rPr>
        <w:t>注：投标单位的投标单价</w:t>
      </w:r>
      <w:r>
        <w:rPr>
          <w:rFonts w:hAnsi="宋体" w:cs="宋体"/>
          <w:b/>
          <w:sz w:val="24"/>
          <w:szCs w:val="24"/>
          <w:highlight w:val="none"/>
        </w:rPr>
        <w:t>=</w:t>
      </w:r>
      <w:r>
        <w:rPr>
          <w:rFonts w:hint="eastAsia" w:hAnsi="宋体" w:cs="宋体"/>
          <w:b/>
          <w:sz w:val="24"/>
          <w:szCs w:val="24"/>
          <w:highlight w:val="none"/>
        </w:rPr>
        <w:t>出厂价</w:t>
      </w:r>
      <w:r>
        <w:rPr>
          <w:rFonts w:hAnsi="宋体" w:cs="宋体"/>
          <w:b/>
          <w:sz w:val="24"/>
          <w:szCs w:val="24"/>
          <w:highlight w:val="none"/>
        </w:rPr>
        <w:t>+</w:t>
      </w:r>
      <w:r>
        <w:rPr>
          <w:rFonts w:hint="eastAsia" w:hAnsi="宋体" w:cs="宋体"/>
          <w:b/>
          <w:sz w:val="24"/>
          <w:szCs w:val="24"/>
          <w:highlight w:val="none"/>
        </w:rPr>
        <w:t>包装费</w:t>
      </w:r>
      <w:r>
        <w:rPr>
          <w:rFonts w:hAnsi="宋体" w:cs="宋体"/>
          <w:b/>
          <w:sz w:val="24"/>
          <w:szCs w:val="24"/>
          <w:highlight w:val="none"/>
        </w:rPr>
        <w:t>+</w:t>
      </w:r>
      <w:r>
        <w:rPr>
          <w:rFonts w:hint="eastAsia" w:hAnsi="宋体" w:cs="宋体"/>
          <w:b/>
          <w:sz w:val="24"/>
          <w:szCs w:val="24"/>
          <w:highlight w:val="none"/>
        </w:rPr>
        <w:t>运输费</w:t>
      </w:r>
      <w:r>
        <w:rPr>
          <w:rFonts w:hAnsi="宋体" w:cs="宋体"/>
          <w:b/>
          <w:sz w:val="24"/>
          <w:szCs w:val="24"/>
          <w:highlight w:val="none"/>
        </w:rPr>
        <w:t>+</w:t>
      </w:r>
      <w:r>
        <w:rPr>
          <w:rFonts w:hint="eastAsia" w:hAnsi="宋体" w:cs="宋体"/>
          <w:b/>
          <w:sz w:val="24"/>
          <w:szCs w:val="24"/>
          <w:highlight w:val="none"/>
        </w:rPr>
        <w:t>保险费</w:t>
      </w:r>
      <w:r>
        <w:rPr>
          <w:rFonts w:hAnsi="宋体" w:cs="宋体"/>
          <w:b/>
          <w:sz w:val="24"/>
          <w:szCs w:val="24"/>
          <w:highlight w:val="none"/>
        </w:rPr>
        <w:t>+</w:t>
      </w:r>
      <w:r>
        <w:rPr>
          <w:rFonts w:hint="eastAsia" w:hAnsi="宋体" w:cs="宋体"/>
          <w:b/>
          <w:sz w:val="24"/>
          <w:szCs w:val="24"/>
          <w:highlight w:val="none"/>
        </w:rPr>
        <w:t>服务费</w:t>
      </w:r>
      <w:r>
        <w:rPr>
          <w:rFonts w:hAnsi="宋体" w:cs="宋体"/>
          <w:b/>
          <w:sz w:val="24"/>
          <w:szCs w:val="24"/>
          <w:highlight w:val="none"/>
        </w:rPr>
        <w:t>+</w:t>
      </w:r>
      <w:r>
        <w:rPr>
          <w:rFonts w:hint="eastAsia" w:hAnsi="宋体" w:cs="宋体"/>
          <w:sz w:val="24"/>
          <w:szCs w:val="24"/>
          <w:highlight w:val="none"/>
        </w:rPr>
        <w:t>……</w:t>
      </w:r>
    </w:p>
    <w:p>
      <w:pPr>
        <w:pStyle w:val="20"/>
        <w:tabs>
          <w:tab w:val="left" w:pos="9720"/>
        </w:tabs>
        <w:ind w:right="-15"/>
        <w:rPr>
          <w:rFonts w:hAnsi="宋体" w:cs="宋体"/>
          <w:b/>
          <w:sz w:val="24"/>
          <w:szCs w:val="24"/>
          <w:highlight w:val="none"/>
        </w:rPr>
      </w:pPr>
    </w:p>
    <w:p>
      <w:pPr>
        <w:pStyle w:val="20"/>
        <w:spacing w:line="400" w:lineRule="exact"/>
        <w:ind w:right="-15" w:firstLine="480" w:firstLineChars="200"/>
        <w:rPr>
          <w:rFonts w:hAnsi="宋体" w:cs="宋体"/>
          <w:sz w:val="24"/>
          <w:szCs w:val="24"/>
          <w:highlight w:val="none"/>
        </w:rPr>
      </w:pPr>
      <w:r>
        <w:rPr>
          <w:rFonts w:hint="eastAsia" w:hAnsi="宋体" w:cs="宋体"/>
          <w:sz w:val="24"/>
          <w:szCs w:val="24"/>
          <w:highlight w:val="none"/>
        </w:rPr>
        <w:t>投标企业代表签字：</w:t>
      </w:r>
    </w:p>
    <w:p>
      <w:pPr>
        <w:pStyle w:val="20"/>
        <w:spacing w:line="400" w:lineRule="exact"/>
        <w:ind w:right="-15" w:firstLine="480" w:firstLineChars="200"/>
        <w:rPr>
          <w:rFonts w:hAnsi="宋体" w:cs="宋体"/>
          <w:sz w:val="24"/>
          <w:szCs w:val="24"/>
          <w:highlight w:val="none"/>
        </w:rPr>
      </w:pPr>
      <w:r>
        <w:rPr>
          <w:rFonts w:hAnsi="宋体" w:cs="宋体"/>
          <w:sz w:val="24"/>
          <w:szCs w:val="24"/>
          <w:highlight w:val="none"/>
        </w:rPr>
        <w:t xml:space="preserve">  </w:t>
      </w:r>
    </w:p>
    <w:p>
      <w:pPr>
        <w:pStyle w:val="20"/>
        <w:spacing w:line="400" w:lineRule="exact"/>
        <w:ind w:right="-15" w:firstLine="480" w:firstLineChars="200"/>
        <w:rPr>
          <w:rFonts w:hAnsi="宋体" w:cs="宋体"/>
          <w:sz w:val="24"/>
          <w:szCs w:val="24"/>
          <w:highlight w:val="none"/>
        </w:rPr>
      </w:pPr>
    </w:p>
    <w:p>
      <w:pPr>
        <w:pStyle w:val="20"/>
        <w:spacing w:line="400" w:lineRule="exact"/>
        <w:ind w:right="-15" w:firstLine="480" w:firstLineChars="200"/>
        <w:rPr>
          <w:rFonts w:hAnsi="宋体" w:cs="宋体"/>
          <w:sz w:val="24"/>
          <w:szCs w:val="24"/>
          <w:highlight w:val="none"/>
        </w:rPr>
      </w:pPr>
    </w:p>
    <w:p>
      <w:pPr>
        <w:pStyle w:val="20"/>
        <w:spacing w:line="400" w:lineRule="exact"/>
        <w:ind w:right="-15" w:firstLine="480" w:firstLineChars="200"/>
        <w:rPr>
          <w:rFonts w:hAnsi="宋体" w:cs="宋体"/>
          <w:sz w:val="24"/>
          <w:szCs w:val="24"/>
          <w:highlight w:val="none"/>
        </w:rPr>
      </w:pPr>
      <w:r>
        <w:rPr>
          <w:rFonts w:hint="eastAsia" w:hAnsi="宋体" w:cs="宋体"/>
          <w:sz w:val="24"/>
          <w:szCs w:val="24"/>
          <w:highlight w:val="none"/>
        </w:rPr>
        <w:t>投标企业公章：</w:t>
      </w: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pStyle w:val="20"/>
        <w:spacing w:line="400" w:lineRule="exact"/>
        <w:ind w:right="-15"/>
        <w:rPr>
          <w:rFonts w:hAnsi="宋体" w:cs="宋体"/>
          <w:sz w:val="24"/>
          <w:szCs w:val="24"/>
          <w:highlight w:val="none"/>
        </w:rPr>
      </w:pPr>
    </w:p>
    <w:p>
      <w:pPr>
        <w:wordWrap w:val="0"/>
        <w:ind w:right="729" w:firstLine="480" w:firstLineChars="200"/>
        <w:rPr>
          <w:rFonts w:ascii="宋体" w:cs="宋体"/>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pStyle w:val="20"/>
        <w:tabs>
          <w:tab w:val="left" w:pos="9720"/>
        </w:tabs>
        <w:ind w:right="-15"/>
        <w:rPr>
          <w:rFonts w:hAnsi="宋体" w:cs="宋体"/>
          <w:b/>
          <w:sz w:val="24"/>
          <w:szCs w:val="24"/>
          <w:highlight w:val="none"/>
        </w:rPr>
      </w:pPr>
    </w:p>
    <w:p>
      <w:pPr>
        <w:widowControl/>
        <w:jc w:val="left"/>
        <w:rPr>
          <w:rFonts w:ascii="宋体" w:cs="宋体"/>
          <w:b/>
          <w:sz w:val="18"/>
          <w:szCs w:val="21"/>
          <w:highlight w:val="none"/>
        </w:rPr>
      </w:pPr>
      <w:r>
        <w:rPr>
          <w:rFonts w:ascii="宋体" w:cs="宋体"/>
          <w:b/>
          <w:sz w:val="18"/>
          <w:highlight w:val="none"/>
        </w:rPr>
        <w:br w:type="page"/>
      </w:r>
    </w:p>
    <w:p>
      <w:pPr>
        <w:pStyle w:val="2"/>
        <w:jc w:val="center"/>
        <w:rPr>
          <w:rFonts w:ascii="宋体" w:cs="宋体"/>
          <w:highlight w:val="none"/>
        </w:rPr>
      </w:pPr>
      <w:bookmarkStart w:id="20" w:name="_Toc517776529"/>
      <w:r>
        <w:rPr>
          <w:rFonts w:hint="eastAsia" w:ascii="宋体" w:hAnsi="宋体" w:cs="宋体"/>
          <w:highlight w:val="none"/>
        </w:rPr>
        <w:t>八、企业完成同类项目一览表</w:t>
      </w:r>
      <w:bookmarkEnd w:id="20"/>
    </w:p>
    <w:p>
      <w:pPr>
        <w:rPr>
          <w:rFonts w:ascii="宋体" w:cs="宋体"/>
          <w:highlight w:val="none"/>
        </w:rPr>
      </w:pPr>
    </w:p>
    <w:tbl>
      <w:tblPr>
        <w:tblStyle w:val="36"/>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044"/>
        <w:gridCol w:w="1417"/>
        <w:gridCol w:w="226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int="eastAsia" w:hAnsi="宋体" w:cs="宋体"/>
                <w:b/>
                <w:sz w:val="24"/>
                <w:szCs w:val="24"/>
                <w:highlight w:val="none"/>
              </w:rPr>
              <w:t>序号</w:t>
            </w:r>
          </w:p>
        </w:tc>
        <w:tc>
          <w:tcPr>
            <w:tcW w:w="3044" w:type="dxa"/>
            <w:vAlign w:val="center"/>
          </w:tcPr>
          <w:p>
            <w:pPr>
              <w:pStyle w:val="20"/>
              <w:jc w:val="center"/>
              <w:rPr>
                <w:rFonts w:hAnsi="宋体" w:cs="宋体"/>
                <w:b/>
                <w:sz w:val="24"/>
                <w:szCs w:val="24"/>
                <w:highlight w:val="none"/>
              </w:rPr>
            </w:pPr>
            <w:r>
              <w:rPr>
                <w:rFonts w:hint="eastAsia" w:hAnsi="宋体" w:cs="宋体"/>
                <w:b/>
                <w:sz w:val="24"/>
                <w:szCs w:val="24"/>
                <w:highlight w:val="none"/>
              </w:rPr>
              <w:t>项目名称</w:t>
            </w:r>
          </w:p>
        </w:tc>
        <w:tc>
          <w:tcPr>
            <w:tcW w:w="1417" w:type="dxa"/>
            <w:vAlign w:val="center"/>
          </w:tcPr>
          <w:p>
            <w:pPr>
              <w:pStyle w:val="20"/>
              <w:jc w:val="center"/>
              <w:rPr>
                <w:rFonts w:hAnsi="宋体" w:cs="宋体"/>
                <w:b/>
                <w:sz w:val="24"/>
                <w:szCs w:val="24"/>
                <w:highlight w:val="none"/>
              </w:rPr>
            </w:pPr>
            <w:r>
              <w:rPr>
                <w:rFonts w:hint="eastAsia" w:hAnsi="宋体" w:cs="宋体"/>
                <w:b/>
                <w:sz w:val="24"/>
                <w:szCs w:val="24"/>
                <w:highlight w:val="none"/>
              </w:rPr>
              <w:t>完成日期</w:t>
            </w:r>
          </w:p>
        </w:tc>
        <w:tc>
          <w:tcPr>
            <w:tcW w:w="2268" w:type="dxa"/>
            <w:vAlign w:val="center"/>
          </w:tcPr>
          <w:p>
            <w:pPr>
              <w:pStyle w:val="20"/>
              <w:jc w:val="center"/>
              <w:rPr>
                <w:rFonts w:hAnsi="宋体" w:cs="宋体"/>
                <w:b/>
                <w:sz w:val="24"/>
                <w:szCs w:val="24"/>
                <w:highlight w:val="none"/>
              </w:rPr>
            </w:pPr>
            <w:r>
              <w:rPr>
                <w:rFonts w:hint="eastAsia" w:hAnsi="宋体" w:cs="宋体"/>
                <w:b/>
                <w:sz w:val="24"/>
                <w:szCs w:val="24"/>
                <w:highlight w:val="none"/>
              </w:rPr>
              <w:t>业主名称</w:t>
            </w:r>
          </w:p>
        </w:tc>
        <w:tc>
          <w:tcPr>
            <w:tcW w:w="993" w:type="dxa"/>
            <w:vAlign w:val="center"/>
          </w:tcPr>
          <w:p>
            <w:pPr>
              <w:pStyle w:val="20"/>
              <w:jc w:val="center"/>
              <w:rPr>
                <w:rFonts w:hAnsi="宋体" w:cs="宋体"/>
                <w:b/>
                <w:sz w:val="24"/>
                <w:szCs w:val="24"/>
                <w:highlight w:val="none"/>
              </w:rPr>
            </w:pPr>
            <w:r>
              <w:rPr>
                <w:rFonts w:hint="eastAsia" w:hAnsi="宋体" w:cs="宋体"/>
                <w:b/>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1</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2</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3</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r>
              <w:rPr>
                <w:rFonts w:hAnsi="宋体" w:cs="宋体"/>
                <w:b/>
                <w:sz w:val="24"/>
                <w:szCs w:val="24"/>
                <w:highlight w:val="none"/>
              </w:rPr>
              <w:t>4</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r>
              <w:rPr>
                <w:rFonts w:hint="eastAsia" w:hAnsi="宋体" w:cs="宋体"/>
                <w:b/>
                <w:sz w:val="24"/>
                <w:szCs w:val="24"/>
                <w:highlight w:val="none"/>
              </w:rPr>
              <w:t>……</w:t>
            </w: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vAlign w:val="center"/>
          </w:tcPr>
          <w:p>
            <w:pPr>
              <w:pStyle w:val="20"/>
              <w:jc w:val="center"/>
              <w:rPr>
                <w:rFonts w:hAnsi="宋体" w:cs="宋体"/>
                <w:b/>
                <w:sz w:val="24"/>
                <w:szCs w:val="24"/>
                <w:highlight w:val="none"/>
              </w:rPr>
            </w:pPr>
          </w:p>
        </w:tc>
        <w:tc>
          <w:tcPr>
            <w:tcW w:w="3044" w:type="dxa"/>
            <w:vAlign w:val="center"/>
          </w:tcPr>
          <w:p>
            <w:pPr>
              <w:pStyle w:val="20"/>
              <w:jc w:val="center"/>
              <w:rPr>
                <w:rFonts w:hAnsi="宋体" w:cs="宋体"/>
                <w:b/>
                <w:sz w:val="24"/>
                <w:szCs w:val="24"/>
                <w:highlight w:val="none"/>
              </w:rPr>
            </w:pPr>
          </w:p>
        </w:tc>
        <w:tc>
          <w:tcPr>
            <w:tcW w:w="1417" w:type="dxa"/>
            <w:vAlign w:val="center"/>
          </w:tcPr>
          <w:p>
            <w:pPr>
              <w:pStyle w:val="20"/>
              <w:jc w:val="center"/>
              <w:rPr>
                <w:rFonts w:hAnsi="宋体" w:cs="宋体"/>
                <w:b/>
                <w:sz w:val="24"/>
                <w:szCs w:val="24"/>
                <w:highlight w:val="none"/>
              </w:rPr>
            </w:pPr>
          </w:p>
        </w:tc>
        <w:tc>
          <w:tcPr>
            <w:tcW w:w="2268" w:type="dxa"/>
            <w:vAlign w:val="center"/>
          </w:tcPr>
          <w:p>
            <w:pPr>
              <w:pStyle w:val="20"/>
              <w:jc w:val="center"/>
              <w:rPr>
                <w:rFonts w:hAnsi="宋体" w:cs="宋体"/>
                <w:b/>
                <w:sz w:val="24"/>
                <w:szCs w:val="24"/>
                <w:highlight w:val="none"/>
              </w:rPr>
            </w:pPr>
          </w:p>
        </w:tc>
        <w:tc>
          <w:tcPr>
            <w:tcW w:w="993" w:type="dxa"/>
            <w:vAlign w:val="center"/>
          </w:tcPr>
          <w:p>
            <w:pPr>
              <w:pStyle w:val="20"/>
              <w:jc w:val="center"/>
              <w:rPr>
                <w:rFonts w:hAnsi="宋体" w:cs="宋体"/>
                <w:b/>
                <w:sz w:val="24"/>
                <w:szCs w:val="24"/>
                <w:highlight w:val="none"/>
              </w:rPr>
            </w:pPr>
          </w:p>
        </w:tc>
      </w:tr>
    </w:tbl>
    <w:p>
      <w:pPr>
        <w:spacing w:line="360" w:lineRule="auto"/>
        <w:ind w:left="210" w:leftChars="100"/>
        <w:rPr>
          <w:rFonts w:ascii="宋体" w:cs="宋体"/>
          <w:sz w:val="24"/>
          <w:szCs w:val="24"/>
          <w:highlight w:val="none"/>
          <w:lang w:val="en-GB"/>
        </w:rPr>
      </w:pPr>
      <w:r>
        <w:rPr>
          <w:rFonts w:hint="eastAsia" w:ascii="宋体" w:hAnsi="宋体" w:cs="宋体"/>
          <w:sz w:val="24"/>
          <w:szCs w:val="24"/>
          <w:highlight w:val="none"/>
          <w:lang w:val="en-GB"/>
        </w:rPr>
        <w:t>注：以上业绩证明文件随表附后。（有效合同加盖投标人公章的复印件）</w:t>
      </w:r>
    </w:p>
    <w:p>
      <w:pPr>
        <w:spacing w:line="360" w:lineRule="auto"/>
        <w:ind w:left="210" w:leftChars="100"/>
        <w:rPr>
          <w:rFonts w:ascii="宋体" w:cs="宋体"/>
          <w:sz w:val="24"/>
          <w:szCs w:val="24"/>
          <w:highlight w:val="none"/>
          <w:lang w:val="en-GB"/>
        </w:rPr>
      </w:pPr>
    </w:p>
    <w:p>
      <w:pPr>
        <w:spacing w:line="360" w:lineRule="auto"/>
        <w:ind w:firstLine="280"/>
        <w:rPr>
          <w:rFonts w:ascii="宋体" w:cs="宋体"/>
          <w:sz w:val="24"/>
          <w:highlight w:val="none"/>
        </w:rPr>
      </w:pPr>
      <w:r>
        <w:rPr>
          <w:rFonts w:hint="eastAsia" w:ascii="宋体" w:hAnsi="宋体" w:cs="宋体"/>
          <w:sz w:val="24"/>
          <w:highlight w:val="none"/>
        </w:rPr>
        <w:t>投标人代表签字：</w:t>
      </w:r>
    </w:p>
    <w:p>
      <w:pPr>
        <w:spacing w:line="360" w:lineRule="auto"/>
        <w:ind w:firstLine="280"/>
        <w:rPr>
          <w:rFonts w:ascii="宋体" w:cs="宋体"/>
          <w:sz w:val="24"/>
          <w:highlight w:val="none"/>
        </w:rPr>
      </w:pPr>
      <w:r>
        <w:rPr>
          <w:rFonts w:hint="eastAsia" w:ascii="宋体" w:hAnsi="宋体" w:cs="宋体"/>
          <w:sz w:val="24"/>
          <w:highlight w:val="none"/>
        </w:rPr>
        <w:t>投标人名称（盖章）：</w:t>
      </w:r>
    </w:p>
    <w:p>
      <w:pPr>
        <w:spacing w:line="360" w:lineRule="auto"/>
        <w:ind w:firstLine="280"/>
        <w:rPr>
          <w:rFonts w:ascii="宋体" w:cs="宋体"/>
          <w:sz w:val="24"/>
          <w:highlight w:val="none"/>
        </w:rPr>
      </w:pP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widowControl/>
        <w:jc w:val="left"/>
        <w:rPr>
          <w:rFonts w:ascii="宋体" w:cs="宋体"/>
          <w:sz w:val="24"/>
          <w:szCs w:val="24"/>
          <w:highlight w:val="none"/>
        </w:rPr>
      </w:pPr>
      <w:r>
        <w:rPr>
          <w:rFonts w:ascii="宋体" w:cs="宋体"/>
          <w:sz w:val="24"/>
          <w:szCs w:val="24"/>
          <w:highlight w:val="none"/>
        </w:rPr>
        <w:br w:type="page"/>
      </w:r>
    </w:p>
    <w:p>
      <w:pPr>
        <w:pStyle w:val="2"/>
        <w:jc w:val="center"/>
        <w:rPr>
          <w:rFonts w:ascii="宋体" w:cs="宋体"/>
          <w:highlight w:val="none"/>
        </w:rPr>
      </w:pPr>
      <w:bookmarkStart w:id="21" w:name="_Toc517776530"/>
      <w:r>
        <w:rPr>
          <w:rFonts w:hint="eastAsia" w:ascii="宋体" w:hAnsi="宋体" w:cs="宋体"/>
          <w:highlight w:val="none"/>
        </w:rPr>
        <w:t>九、售后及维护能力（格式自定）</w:t>
      </w:r>
      <w:bookmarkEnd w:id="21"/>
    </w:p>
    <w:p>
      <w:pPr>
        <w:ind w:firstLine="480" w:firstLineChars="200"/>
        <w:rPr>
          <w:rFonts w:ascii="宋体" w:cs="宋体"/>
          <w:sz w:val="24"/>
          <w:szCs w:val="24"/>
          <w:highlight w:val="none"/>
          <w:lang w:val="en-GB"/>
        </w:rPr>
      </w:pPr>
      <w:r>
        <w:rPr>
          <w:rFonts w:hint="eastAsia" w:ascii="宋体" w:hAnsi="宋体" w:cs="宋体"/>
          <w:sz w:val="24"/>
          <w:szCs w:val="24"/>
          <w:highlight w:val="none"/>
          <w:lang w:val="en-GB"/>
        </w:rPr>
        <w:t>提供售后服务条件，进度安排、人员配置、质量保障、项目文档管理等，综合评定售后方案。当地具备同一法人代表投资控股的分支服务机构。</w:t>
      </w:r>
    </w:p>
    <w:p>
      <w:pPr>
        <w:ind w:firstLine="480" w:firstLineChars="200"/>
        <w:rPr>
          <w:rFonts w:ascii="宋体" w:cs="宋体"/>
          <w:sz w:val="24"/>
          <w:szCs w:val="24"/>
          <w:highlight w:val="none"/>
        </w:rPr>
      </w:pPr>
      <w:r>
        <w:rPr>
          <w:rFonts w:hint="eastAsia" w:ascii="宋体" w:hAnsi="宋体" w:cs="宋体"/>
          <w:sz w:val="24"/>
          <w:szCs w:val="24"/>
          <w:highlight w:val="none"/>
        </w:rPr>
        <w:t>承诺根据招标方提供的培训计划，及时安排招标方进行技术培训，并承诺提供相应的培训场地、教材。</w:t>
      </w:r>
      <w:r>
        <w:rPr>
          <w:rFonts w:ascii="宋体" w:hAnsi="宋体" w:cs="宋体"/>
          <w:sz w:val="24"/>
          <w:szCs w:val="24"/>
          <w:highlight w:val="none"/>
          <w:lang w:val="en-GB"/>
        </w:rPr>
        <w:t xml:space="preserve"> </w:t>
      </w:r>
    </w:p>
    <w:p>
      <w:pPr>
        <w:rPr>
          <w:rFonts w:ascii="宋体" w:cs="宋体"/>
          <w:sz w:val="24"/>
          <w:szCs w:val="24"/>
          <w:highlight w:val="none"/>
          <w:lang w:val="en-GB"/>
        </w:rPr>
      </w:pPr>
      <w:r>
        <w:rPr>
          <w:rFonts w:hint="eastAsia" w:ascii="宋体" w:hAnsi="宋体" w:cs="宋体"/>
          <w:sz w:val="24"/>
          <w:szCs w:val="24"/>
          <w:highlight w:val="none"/>
          <w:lang w:val="en-GB"/>
        </w:rPr>
        <w:t>注：投标人提供在完成的广电项目的售后服务情况，需有当地广电部门的售后服务评价附后（提供证明材料复印件）</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9</w:t>
    </w:r>
    <w:r>
      <w:rPr>
        <w:lang w:val="zh-CN"/>
      </w:rPr>
      <w:fldChar w:fldCharType="end"/>
    </w:r>
  </w:p>
  <w:p>
    <w:pPr>
      <w:pStyle w:val="2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04684"/>
    <w:multiLevelType w:val="singleLevel"/>
    <w:tmpl w:val="CB104684"/>
    <w:lvl w:ilvl="0" w:tentative="0">
      <w:start w:val="1"/>
      <w:numFmt w:val="chineseCounting"/>
      <w:suff w:val="nothing"/>
      <w:lvlText w:val="%1、"/>
      <w:lvlJc w:val="left"/>
      <w:rPr>
        <w:rFonts w:hint="eastAsia" w:cs="Times New Roman"/>
      </w:rPr>
    </w:lvl>
  </w:abstractNum>
  <w:abstractNum w:abstractNumId="1">
    <w:nsid w:val="05E2516E"/>
    <w:multiLevelType w:val="multilevel"/>
    <w:tmpl w:val="05E2516E"/>
    <w:lvl w:ilvl="0" w:tentative="0">
      <w:start w:val="1"/>
      <w:numFmt w:val="decimal"/>
      <w:lvlText w:val="%1"/>
      <w:lvlJc w:val="center"/>
      <w:pPr>
        <w:tabs>
          <w:tab w:val="left" w:pos="-160"/>
        </w:tabs>
        <w:ind w:left="123" w:firstLine="57"/>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
    <w:nsid w:val="214644F7"/>
    <w:multiLevelType w:val="multilevel"/>
    <w:tmpl w:val="214644F7"/>
    <w:lvl w:ilvl="0" w:tentative="0">
      <w:start w:val="1"/>
      <w:numFmt w:val="decimal"/>
      <w:lvlText w:val="%1）"/>
      <w:lvlJc w:val="left"/>
      <w:pPr>
        <w:tabs>
          <w:tab w:val="left" w:pos="600"/>
        </w:tabs>
        <w:ind w:left="600" w:hanging="360"/>
      </w:pPr>
      <w:rPr>
        <w:rFonts w:hint="eastAsia" w:cs="Times New Roman"/>
      </w:rPr>
    </w:lvl>
    <w:lvl w:ilvl="1" w:tentative="0">
      <w:start w:val="1"/>
      <w:numFmt w:val="lowerLetter"/>
      <w:lvlText w:val="%2)"/>
      <w:lvlJc w:val="left"/>
      <w:pPr>
        <w:tabs>
          <w:tab w:val="left" w:pos="1080"/>
        </w:tabs>
        <w:ind w:left="1080" w:hanging="420"/>
      </w:pPr>
      <w:rPr>
        <w:rFonts w:cs="Times New Roman"/>
      </w:rPr>
    </w:lvl>
    <w:lvl w:ilvl="2" w:tentative="0">
      <w:start w:val="1"/>
      <w:numFmt w:val="lowerRoman"/>
      <w:lvlText w:val="%3."/>
      <w:lvlJc w:val="right"/>
      <w:pPr>
        <w:tabs>
          <w:tab w:val="left" w:pos="1500"/>
        </w:tabs>
        <w:ind w:left="1500" w:hanging="420"/>
      </w:pPr>
      <w:rPr>
        <w:rFonts w:cs="Times New Roman"/>
      </w:rPr>
    </w:lvl>
    <w:lvl w:ilvl="3" w:tentative="0">
      <w:start w:val="1"/>
      <w:numFmt w:val="decimal"/>
      <w:lvlText w:val="%4."/>
      <w:lvlJc w:val="left"/>
      <w:pPr>
        <w:tabs>
          <w:tab w:val="left" w:pos="1920"/>
        </w:tabs>
        <w:ind w:left="1920" w:hanging="420"/>
      </w:pPr>
      <w:rPr>
        <w:rFonts w:cs="Times New Roman"/>
      </w:rPr>
    </w:lvl>
    <w:lvl w:ilvl="4" w:tentative="0">
      <w:start w:val="1"/>
      <w:numFmt w:val="lowerLetter"/>
      <w:lvlText w:val="%5)"/>
      <w:lvlJc w:val="left"/>
      <w:pPr>
        <w:tabs>
          <w:tab w:val="left" w:pos="2340"/>
        </w:tabs>
        <w:ind w:left="2340" w:hanging="420"/>
      </w:pPr>
      <w:rPr>
        <w:rFonts w:cs="Times New Roman"/>
      </w:rPr>
    </w:lvl>
    <w:lvl w:ilvl="5" w:tentative="0">
      <w:start w:val="1"/>
      <w:numFmt w:val="lowerRoman"/>
      <w:lvlText w:val="%6."/>
      <w:lvlJc w:val="right"/>
      <w:pPr>
        <w:tabs>
          <w:tab w:val="left" w:pos="2760"/>
        </w:tabs>
        <w:ind w:left="2760" w:hanging="420"/>
      </w:pPr>
      <w:rPr>
        <w:rFonts w:cs="Times New Roman"/>
      </w:rPr>
    </w:lvl>
    <w:lvl w:ilvl="6" w:tentative="0">
      <w:start w:val="1"/>
      <w:numFmt w:val="decimal"/>
      <w:lvlText w:val="%7."/>
      <w:lvlJc w:val="left"/>
      <w:pPr>
        <w:tabs>
          <w:tab w:val="left" w:pos="3180"/>
        </w:tabs>
        <w:ind w:left="3180" w:hanging="420"/>
      </w:pPr>
      <w:rPr>
        <w:rFonts w:cs="Times New Roman"/>
      </w:rPr>
    </w:lvl>
    <w:lvl w:ilvl="7" w:tentative="0">
      <w:start w:val="1"/>
      <w:numFmt w:val="lowerLetter"/>
      <w:lvlText w:val="%8)"/>
      <w:lvlJc w:val="left"/>
      <w:pPr>
        <w:tabs>
          <w:tab w:val="left" w:pos="3600"/>
        </w:tabs>
        <w:ind w:left="3600" w:hanging="420"/>
      </w:pPr>
      <w:rPr>
        <w:rFonts w:cs="Times New Roman"/>
      </w:rPr>
    </w:lvl>
    <w:lvl w:ilvl="8" w:tentative="0">
      <w:start w:val="1"/>
      <w:numFmt w:val="lowerRoman"/>
      <w:lvlText w:val="%9."/>
      <w:lvlJc w:val="right"/>
      <w:pPr>
        <w:tabs>
          <w:tab w:val="left" w:pos="4020"/>
        </w:tabs>
        <w:ind w:left="4020" w:hanging="420"/>
      </w:pPr>
      <w:rPr>
        <w:rFonts w:cs="Times New Roman"/>
      </w:rPr>
    </w:lvl>
  </w:abstractNum>
  <w:abstractNum w:abstractNumId="3">
    <w:nsid w:val="31E3035B"/>
    <w:multiLevelType w:val="multilevel"/>
    <w:tmpl w:val="31E3035B"/>
    <w:lvl w:ilvl="0" w:tentative="0">
      <w:start w:val="1"/>
      <w:numFmt w:val="decimal"/>
      <w:lvlText w:val="%1"/>
      <w:lvlJc w:val="left"/>
      <w:pPr>
        <w:tabs>
          <w:tab w:val="left" w:pos="900"/>
        </w:tabs>
        <w:ind w:left="9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481F0D7A"/>
    <w:multiLevelType w:val="multilevel"/>
    <w:tmpl w:val="481F0D7A"/>
    <w:lvl w:ilvl="0" w:tentative="0">
      <w:start w:val="1"/>
      <w:numFmt w:val="decimal"/>
      <w:pStyle w:val="115"/>
      <w:lvlText w:val="%1)"/>
      <w:lvlJc w:val="left"/>
      <w:pPr>
        <w:tabs>
          <w:tab w:val="left" w:pos="1304"/>
        </w:tabs>
        <w:ind w:left="1304" w:hanging="39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484967A4"/>
    <w:multiLevelType w:val="multilevel"/>
    <w:tmpl w:val="484967A4"/>
    <w:lvl w:ilvl="0" w:tentative="0">
      <w:start w:val="1"/>
      <w:numFmt w:val="decimal"/>
      <w:pStyle w:val="116"/>
      <w:suff w:val="space"/>
      <w:lvlText w:val="第%1章"/>
      <w:lvlJc w:val="left"/>
      <w:rPr>
        <w:rFonts w:hint="eastAsia" w:cs="Times New Roman"/>
      </w:rPr>
    </w:lvl>
    <w:lvl w:ilvl="1" w:tentative="0">
      <w:start w:val="1"/>
      <w:numFmt w:val="decimal"/>
      <w:pStyle w:val="117"/>
      <w:suff w:val="space"/>
      <w:lvlText w:val="%1.%2"/>
      <w:lvlJc w:val="left"/>
      <w:rPr>
        <w:rFonts w:hint="eastAsia" w:cs="Times New Roman"/>
      </w:rPr>
    </w:lvl>
    <w:lvl w:ilvl="2" w:tentative="0">
      <w:start w:val="1"/>
      <w:numFmt w:val="decimal"/>
      <w:pStyle w:val="118"/>
      <w:suff w:val="space"/>
      <w:lvlText w:val="%1.%2.%3"/>
      <w:lvlJc w:val="left"/>
      <w:rPr>
        <w:rFonts w:hint="eastAsia" w:cs="Times New Roman"/>
      </w:rPr>
    </w:lvl>
    <w:lvl w:ilvl="3" w:tentative="0">
      <w:start w:val="1"/>
      <w:numFmt w:val="decimal"/>
      <w:pStyle w:val="119"/>
      <w:suff w:val="space"/>
      <w:lvlText w:val="%1.%2.%3.%4"/>
      <w:lvlJc w:val="left"/>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61914CB0"/>
    <w:multiLevelType w:val="multilevel"/>
    <w:tmpl w:val="61914CB0"/>
    <w:lvl w:ilvl="0" w:tentative="0">
      <w:start w:val="1"/>
      <w:numFmt w:val="decimal"/>
      <w:pStyle w:val="112"/>
      <w:lvlText w:val="%1、"/>
      <w:lvlJc w:val="left"/>
      <w:pPr>
        <w:tabs>
          <w:tab w:val="left" w:pos="840"/>
        </w:tabs>
        <w:ind w:left="84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F281923"/>
    <w:multiLevelType w:val="singleLevel"/>
    <w:tmpl w:val="6F281923"/>
    <w:lvl w:ilvl="0" w:tentative="0">
      <w:start w:val="4"/>
      <w:numFmt w:val="chineseCounting"/>
      <w:suff w:val="space"/>
      <w:lvlText w:val="第%1章"/>
      <w:lvlJc w:val="left"/>
      <w:rPr>
        <w:rFonts w:hint="eastAsia" w:cs="Times New Roman"/>
      </w:rPr>
    </w:lvl>
  </w:abstractNum>
  <w:abstractNum w:abstractNumId="8">
    <w:nsid w:val="77B64E34"/>
    <w:multiLevelType w:val="multilevel"/>
    <w:tmpl w:val="77B64E34"/>
    <w:lvl w:ilvl="0" w:tentative="0">
      <w:start w:val="1"/>
      <w:numFmt w:val="bullet"/>
      <w:pStyle w:val="114"/>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6"/>
  </w:num>
  <w:num w:numId="2">
    <w:abstractNumId w:val="8"/>
  </w:num>
  <w:num w:numId="3">
    <w:abstractNumId w:val="4"/>
  </w:num>
  <w:num w:numId="4">
    <w:abstractNumId w:val="5"/>
  </w:num>
  <w:num w:numId="5">
    <w:abstractNumId w:val="0"/>
    <w:lvlOverride w:ilvl="0">
      <w:startOverride w:val="1"/>
    </w:lvlOverride>
  </w:num>
  <w:num w:numId="6">
    <w:abstractNumId w:val="1"/>
    <w:lvlOverride w:ilvl="0">
      <w:startOverride w:val="1"/>
    </w:lvlOverride>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U1NTY0YTU4NGNiOGNjZWQ5Y2E0NDRlMjhjZGUzYmEifQ=="/>
  </w:docVars>
  <w:rsids>
    <w:rsidRoot w:val="005D2D31"/>
    <w:rsid w:val="000042EA"/>
    <w:rsid w:val="00005E78"/>
    <w:rsid w:val="0001126E"/>
    <w:rsid w:val="000170DC"/>
    <w:rsid w:val="00017F0A"/>
    <w:rsid w:val="000215D8"/>
    <w:rsid w:val="000228C9"/>
    <w:rsid w:val="00025F90"/>
    <w:rsid w:val="00026D6B"/>
    <w:rsid w:val="000309FB"/>
    <w:rsid w:val="00032B55"/>
    <w:rsid w:val="000341E4"/>
    <w:rsid w:val="00040841"/>
    <w:rsid w:val="000409B9"/>
    <w:rsid w:val="00044999"/>
    <w:rsid w:val="00055D35"/>
    <w:rsid w:val="00065751"/>
    <w:rsid w:val="00073F29"/>
    <w:rsid w:val="0007550B"/>
    <w:rsid w:val="00077D81"/>
    <w:rsid w:val="00086C0A"/>
    <w:rsid w:val="00087E6F"/>
    <w:rsid w:val="00090337"/>
    <w:rsid w:val="000A1C46"/>
    <w:rsid w:val="000A362B"/>
    <w:rsid w:val="000A3E1D"/>
    <w:rsid w:val="000A4D7B"/>
    <w:rsid w:val="000A5126"/>
    <w:rsid w:val="000B29B7"/>
    <w:rsid w:val="000B7F67"/>
    <w:rsid w:val="000C1ED9"/>
    <w:rsid w:val="000C418B"/>
    <w:rsid w:val="000D208A"/>
    <w:rsid w:val="000D34A7"/>
    <w:rsid w:val="000D796F"/>
    <w:rsid w:val="000D7B81"/>
    <w:rsid w:val="000E0B16"/>
    <w:rsid w:val="000E3F37"/>
    <w:rsid w:val="000F1060"/>
    <w:rsid w:val="000F1DEB"/>
    <w:rsid w:val="000F3B16"/>
    <w:rsid w:val="000F7095"/>
    <w:rsid w:val="00107E00"/>
    <w:rsid w:val="001131FD"/>
    <w:rsid w:val="00117002"/>
    <w:rsid w:val="001306A6"/>
    <w:rsid w:val="00131B97"/>
    <w:rsid w:val="001322A1"/>
    <w:rsid w:val="00136DF4"/>
    <w:rsid w:val="00137BC7"/>
    <w:rsid w:val="00143C11"/>
    <w:rsid w:val="001468AC"/>
    <w:rsid w:val="00146A09"/>
    <w:rsid w:val="001472C9"/>
    <w:rsid w:val="00151B4B"/>
    <w:rsid w:val="00154360"/>
    <w:rsid w:val="00157F3A"/>
    <w:rsid w:val="0016147D"/>
    <w:rsid w:val="00163484"/>
    <w:rsid w:val="001641DF"/>
    <w:rsid w:val="0016483C"/>
    <w:rsid w:val="00165F96"/>
    <w:rsid w:val="001731E0"/>
    <w:rsid w:val="00175E23"/>
    <w:rsid w:val="00177E3A"/>
    <w:rsid w:val="00183040"/>
    <w:rsid w:val="0018522D"/>
    <w:rsid w:val="0018785D"/>
    <w:rsid w:val="00187B5A"/>
    <w:rsid w:val="0019670C"/>
    <w:rsid w:val="00197DC9"/>
    <w:rsid w:val="001A437B"/>
    <w:rsid w:val="001A783D"/>
    <w:rsid w:val="001B6264"/>
    <w:rsid w:val="001B74E3"/>
    <w:rsid w:val="001C1D21"/>
    <w:rsid w:val="001C2003"/>
    <w:rsid w:val="001C775B"/>
    <w:rsid w:val="001C77E3"/>
    <w:rsid w:val="001C7BDB"/>
    <w:rsid w:val="001D0339"/>
    <w:rsid w:val="001D17D1"/>
    <w:rsid w:val="001D590A"/>
    <w:rsid w:val="001D7C4D"/>
    <w:rsid w:val="001E13E2"/>
    <w:rsid w:val="001E3793"/>
    <w:rsid w:val="001F0A89"/>
    <w:rsid w:val="001F0F16"/>
    <w:rsid w:val="001F15D3"/>
    <w:rsid w:val="002024B0"/>
    <w:rsid w:val="00207513"/>
    <w:rsid w:val="0020795C"/>
    <w:rsid w:val="00213A8D"/>
    <w:rsid w:val="00220985"/>
    <w:rsid w:val="00224FC5"/>
    <w:rsid w:val="00234120"/>
    <w:rsid w:val="00236BAC"/>
    <w:rsid w:val="0023731B"/>
    <w:rsid w:val="00242DB0"/>
    <w:rsid w:val="002441C0"/>
    <w:rsid w:val="00251DAE"/>
    <w:rsid w:val="00272996"/>
    <w:rsid w:val="00273A10"/>
    <w:rsid w:val="00275123"/>
    <w:rsid w:val="002754E5"/>
    <w:rsid w:val="002807CE"/>
    <w:rsid w:val="00294937"/>
    <w:rsid w:val="00296CA2"/>
    <w:rsid w:val="0029722C"/>
    <w:rsid w:val="002A273D"/>
    <w:rsid w:val="002A4494"/>
    <w:rsid w:val="002A5010"/>
    <w:rsid w:val="002B7956"/>
    <w:rsid w:val="002C3955"/>
    <w:rsid w:val="002C3C06"/>
    <w:rsid w:val="002C672B"/>
    <w:rsid w:val="002C771E"/>
    <w:rsid w:val="002D71D6"/>
    <w:rsid w:val="002E2563"/>
    <w:rsid w:val="002E79C5"/>
    <w:rsid w:val="002F1C5A"/>
    <w:rsid w:val="002F4DFF"/>
    <w:rsid w:val="00300135"/>
    <w:rsid w:val="00302C6C"/>
    <w:rsid w:val="00304B71"/>
    <w:rsid w:val="003078A7"/>
    <w:rsid w:val="00310CC9"/>
    <w:rsid w:val="00312EC8"/>
    <w:rsid w:val="003131D1"/>
    <w:rsid w:val="00316D11"/>
    <w:rsid w:val="003171F4"/>
    <w:rsid w:val="003178C4"/>
    <w:rsid w:val="003202AA"/>
    <w:rsid w:val="003225AF"/>
    <w:rsid w:val="00324ABE"/>
    <w:rsid w:val="0032660A"/>
    <w:rsid w:val="00334EA8"/>
    <w:rsid w:val="00336741"/>
    <w:rsid w:val="00340874"/>
    <w:rsid w:val="003412A7"/>
    <w:rsid w:val="00344838"/>
    <w:rsid w:val="00345568"/>
    <w:rsid w:val="0034559D"/>
    <w:rsid w:val="00346F96"/>
    <w:rsid w:val="003534F0"/>
    <w:rsid w:val="003554CF"/>
    <w:rsid w:val="00356383"/>
    <w:rsid w:val="0036226A"/>
    <w:rsid w:val="00364804"/>
    <w:rsid w:val="00364F79"/>
    <w:rsid w:val="00370B5E"/>
    <w:rsid w:val="00371EFD"/>
    <w:rsid w:val="00377442"/>
    <w:rsid w:val="003805A0"/>
    <w:rsid w:val="00381090"/>
    <w:rsid w:val="0038403E"/>
    <w:rsid w:val="00390D9A"/>
    <w:rsid w:val="00396D50"/>
    <w:rsid w:val="003A0D61"/>
    <w:rsid w:val="003B1E1C"/>
    <w:rsid w:val="003B7600"/>
    <w:rsid w:val="003C57CA"/>
    <w:rsid w:val="003D49AF"/>
    <w:rsid w:val="003D7E43"/>
    <w:rsid w:val="003E0ED7"/>
    <w:rsid w:val="003E263F"/>
    <w:rsid w:val="003E67FB"/>
    <w:rsid w:val="003E759A"/>
    <w:rsid w:val="003F099F"/>
    <w:rsid w:val="003F2E43"/>
    <w:rsid w:val="003F5BC6"/>
    <w:rsid w:val="003F6FBD"/>
    <w:rsid w:val="00403BE3"/>
    <w:rsid w:val="00403D52"/>
    <w:rsid w:val="0040577C"/>
    <w:rsid w:val="00407A5E"/>
    <w:rsid w:val="00411850"/>
    <w:rsid w:val="00411DA5"/>
    <w:rsid w:val="00415EBB"/>
    <w:rsid w:val="0042682C"/>
    <w:rsid w:val="00430644"/>
    <w:rsid w:val="00431314"/>
    <w:rsid w:val="004356C2"/>
    <w:rsid w:val="0044189E"/>
    <w:rsid w:val="0044479C"/>
    <w:rsid w:val="00445D7D"/>
    <w:rsid w:val="004526B9"/>
    <w:rsid w:val="00454A9D"/>
    <w:rsid w:val="004574A7"/>
    <w:rsid w:val="0046035A"/>
    <w:rsid w:val="00460C7D"/>
    <w:rsid w:val="00461778"/>
    <w:rsid w:val="00477B43"/>
    <w:rsid w:val="00486B40"/>
    <w:rsid w:val="00490174"/>
    <w:rsid w:val="0049193E"/>
    <w:rsid w:val="00491BA5"/>
    <w:rsid w:val="00493278"/>
    <w:rsid w:val="0049616E"/>
    <w:rsid w:val="004A2ED3"/>
    <w:rsid w:val="004A323C"/>
    <w:rsid w:val="004A38BA"/>
    <w:rsid w:val="004A4B33"/>
    <w:rsid w:val="004A56A5"/>
    <w:rsid w:val="004A7685"/>
    <w:rsid w:val="004B3CF9"/>
    <w:rsid w:val="004C392A"/>
    <w:rsid w:val="004C76CA"/>
    <w:rsid w:val="004D4C37"/>
    <w:rsid w:val="004D4EA3"/>
    <w:rsid w:val="004F6432"/>
    <w:rsid w:val="00500D89"/>
    <w:rsid w:val="00503F1A"/>
    <w:rsid w:val="00505438"/>
    <w:rsid w:val="00505F19"/>
    <w:rsid w:val="0051155B"/>
    <w:rsid w:val="00511883"/>
    <w:rsid w:val="005140EA"/>
    <w:rsid w:val="00514280"/>
    <w:rsid w:val="0051574B"/>
    <w:rsid w:val="00516502"/>
    <w:rsid w:val="00521371"/>
    <w:rsid w:val="005222E5"/>
    <w:rsid w:val="00530F96"/>
    <w:rsid w:val="00533B0D"/>
    <w:rsid w:val="0053618F"/>
    <w:rsid w:val="005368F8"/>
    <w:rsid w:val="00537737"/>
    <w:rsid w:val="00537DD2"/>
    <w:rsid w:val="00540B89"/>
    <w:rsid w:val="00543117"/>
    <w:rsid w:val="005443A5"/>
    <w:rsid w:val="00545ABC"/>
    <w:rsid w:val="005470B5"/>
    <w:rsid w:val="005549E5"/>
    <w:rsid w:val="005614BF"/>
    <w:rsid w:val="0056383F"/>
    <w:rsid w:val="005640B9"/>
    <w:rsid w:val="005717DB"/>
    <w:rsid w:val="005733CC"/>
    <w:rsid w:val="00580887"/>
    <w:rsid w:val="00580B8A"/>
    <w:rsid w:val="00583487"/>
    <w:rsid w:val="00584EC9"/>
    <w:rsid w:val="00592FDF"/>
    <w:rsid w:val="005B1F9E"/>
    <w:rsid w:val="005B267B"/>
    <w:rsid w:val="005B5FB1"/>
    <w:rsid w:val="005C040A"/>
    <w:rsid w:val="005C0FC6"/>
    <w:rsid w:val="005C37D1"/>
    <w:rsid w:val="005D2D31"/>
    <w:rsid w:val="005D3FA0"/>
    <w:rsid w:val="005D47C3"/>
    <w:rsid w:val="005E4405"/>
    <w:rsid w:val="005E52DB"/>
    <w:rsid w:val="005E7BDE"/>
    <w:rsid w:val="005E7DAE"/>
    <w:rsid w:val="0060091C"/>
    <w:rsid w:val="006027A0"/>
    <w:rsid w:val="00602A4F"/>
    <w:rsid w:val="00607891"/>
    <w:rsid w:val="00610321"/>
    <w:rsid w:val="00613C2E"/>
    <w:rsid w:val="00621DCB"/>
    <w:rsid w:val="00621DEF"/>
    <w:rsid w:val="00624617"/>
    <w:rsid w:val="00632B2A"/>
    <w:rsid w:val="0063342D"/>
    <w:rsid w:val="00633B8F"/>
    <w:rsid w:val="00634968"/>
    <w:rsid w:val="006401AE"/>
    <w:rsid w:val="006403BE"/>
    <w:rsid w:val="006509DB"/>
    <w:rsid w:val="006530F6"/>
    <w:rsid w:val="006533BF"/>
    <w:rsid w:val="006569B3"/>
    <w:rsid w:val="00657DA9"/>
    <w:rsid w:val="00657E5B"/>
    <w:rsid w:val="00657EDB"/>
    <w:rsid w:val="0066532C"/>
    <w:rsid w:val="0066602A"/>
    <w:rsid w:val="006748B9"/>
    <w:rsid w:val="0067635C"/>
    <w:rsid w:val="00684564"/>
    <w:rsid w:val="006847DF"/>
    <w:rsid w:val="006916B2"/>
    <w:rsid w:val="006944E4"/>
    <w:rsid w:val="006A4A73"/>
    <w:rsid w:val="006A601A"/>
    <w:rsid w:val="006B09DB"/>
    <w:rsid w:val="006B10B5"/>
    <w:rsid w:val="006C0C85"/>
    <w:rsid w:val="006C189E"/>
    <w:rsid w:val="006C1A7A"/>
    <w:rsid w:val="006C7F6F"/>
    <w:rsid w:val="006D3312"/>
    <w:rsid w:val="006D6B83"/>
    <w:rsid w:val="006E6C48"/>
    <w:rsid w:val="006F0276"/>
    <w:rsid w:val="006F1854"/>
    <w:rsid w:val="006F21EC"/>
    <w:rsid w:val="006F26C0"/>
    <w:rsid w:val="006F3A43"/>
    <w:rsid w:val="006F6CF9"/>
    <w:rsid w:val="006F6F65"/>
    <w:rsid w:val="007008CB"/>
    <w:rsid w:val="00702F04"/>
    <w:rsid w:val="00703737"/>
    <w:rsid w:val="00714E5B"/>
    <w:rsid w:val="0071598D"/>
    <w:rsid w:val="00717324"/>
    <w:rsid w:val="0072371A"/>
    <w:rsid w:val="00736E3C"/>
    <w:rsid w:val="0074243F"/>
    <w:rsid w:val="00743747"/>
    <w:rsid w:val="0074784A"/>
    <w:rsid w:val="00747D10"/>
    <w:rsid w:val="007538CA"/>
    <w:rsid w:val="00757725"/>
    <w:rsid w:val="00760E5D"/>
    <w:rsid w:val="00763A32"/>
    <w:rsid w:val="00764E9A"/>
    <w:rsid w:val="00765FCC"/>
    <w:rsid w:val="0077242B"/>
    <w:rsid w:val="007807F2"/>
    <w:rsid w:val="00781F25"/>
    <w:rsid w:val="00782DFE"/>
    <w:rsid w:val="007866C8"/>
    <w:rsid w:val="00786F9B"/>
    <w:rsid w:val="0079096D"/>
    <w:rsid w:val="00796562"/>
    <w:rsid w:val="007A21CF"/>
    <w:rsid w:val="007A3C2A"/>
    <w:rsid w:val="007A5CB4"/>
    <w:rsid w:val="007A6FAB"/>
    <w:rsid w:val="007B36AB"/>
    <w:rsid w:val="007B40DF"/>
    <w:rsid w:val="007B6A48"/>
    <w:rsid w:val="007B7980"/>
    <w:rsid w:val="007B7A71"/>
    <w:rsid w:val="007C3221"/>
    <w:rsid w:val="007C737C"/>
    <w:rsid w:val="007D3069"/>
    <w:rsid w:val="007E5E7F"/>
    <w:rsid w:val="007E6052"/>
    <w:rsid w:val="007F017F"/>
    <w:rsid w:val="007F22A8"/>
    <w:rsid w:val="007F43B0"/>
    <w:rsid w:val="007F5D65"/>
    <w:rsid w:val="00800A80"/>
    <w:rsid w:val="00801903"/>
    <w:rsid w:val="00807F01"/>
    <w:rsid w:val="008123E7"/>
    <w:rsid w:val="00815B48"/>
    <w:rsid w:val="00816048"/>
    <w:rsid w:val="0081644D"/>
    <w:rsid w:val="008205AF"/>
    <w:rsid w:val="00822583"/>
    <w:rsid w:val="00823630"/>
    <w:rsid w:val="00826F97"/>
    <w:rsid w:val="00831028"/>
    <w:rsid w:val="00832517"/>
    <w:rsid w:val="0083356D"/>
    <w:rsid w:val="00834D9C"/>
    <w:rsid w:val="0084439D"/>
    <w:rsid w:val="0084446B"/>
    <w:rsid w:val="00847CD8"/>
    <w:rsid w:val="0085514B"/>
    <w:rsid w:val="00855406"/>
    <w:rsid w:val="00857693"/>
    <w:rsid w:val="0086051D"/>
    <w:rsid w:val="0086105A"/>
    <w:rsid w:val="00871870"/>
    <w:rsid w:val="00875A66"/>
    <w:rsid w:val="008802BC"/>
    <w:rsid w:val="00883D17"/>
    <w:rsid w:val="0089058C"/>
    <w:rsid w:val="008A7FBD"/>
    <w:rsid w:val="008B336B"/>
    <w:rsid w:val="008B4250"/>
    <w:rsid w:val="008C304B"/>
    <w:rsid w:val="008C390D"/>
    <w:rsid w:val="008C39CE"/>
    <w:rsid w:val="008C632A"/>
    <w:rsid w:val="008D0BFC"/>
    <w:rsid w:val="008D3DF0"/>
    <w:rsid w:val="008D62B0"/>
    <w:rsid w:val="008D695C"/>
    <w:rsid w:val="008E20FB"/>
    <w:rsid w:val="008E269B"/>
    <w:rsid w:val="008E511C"/>
    <w:rsid w:val="008E73CE"/>
    <w:rsid w:val="008F36ED"/>
    <w:rsid w:val="008F5942"/>
    <w:rsid w:val="008F5A17"/>
    <w:rsid w:val="008F7705"/>
    <w:rsid w:val="00901022"/>
    <w:rsid w:val="00901875"/>
    <w:rsid w:val="00904181"/>
    <w:rsid w:val="009071FD"/>
    <w:rsid w:val="0091219E"/>
    <w:rsid w:val="00915602"/>
    <w:rsid w:val="00916CE1"/>
    <w:rsid w:val="00917EF2"/>
    <w:rsid w:val="009218F9"/>
    <w:rsid w:val="009245F5"/>
    <w:rsid w:val="00930370"/>
    <w:rsid w:val="00930EA4"/>
    <w:rsid w:val="00930F05"/>
    <w:rsid w:val="009333E4"/>
    <w:rsid w:val="00933ECA"/>
    <w:rsid w:val="009506F0"/>
    <w:rsid w:val="00954AA7"/>
    <w:rsid w:val="00956902"/>
    <w:rsid w:val="00960E34"/>
    <w:rsid w:val="009617CE"/>
    <w:rsid w:val="00964559"/>
    <w:rsid w:val="009729A3"/>
    <w:rsid w:val="009737FB"/>
    <w:rsid w:val="00976377"/>
    <w:rsid w:val="009769D6"/>
    <w:rsid w:val="009800A4"/>
    <w:rsid w:val="00980D88"/>
    <w:rsid w:val="0098187E"/>
    <w:rsid w:val="00981D25"/>
    <w:rsid w:val="00985D7C"/>
    <w:rsid w:val="00995D3A"/>
    <w:rsid w:val="009A01D4"/>
    <w:rsid w:val="009A633A"/>
    <w:rsid w:val="009A6F1D"/>
    <w:rsid w:val="009A72BE"/>
    <w:rsid w:val="009A78BF"/>
    <w:rsid w:val="009A7BF7"/>
    <w:rsid w:val="009B094B"/>
    <w:rsid w:val="009B0FD1"/>
    <w:rsid w:val="009B142D"/>
    <w:rsid w:val="009B1992"/>
    <w:rsid w:val="009B5C8F"/>
    <w:rsid w:val="009B73FC"/>
    <w:rsid w:val="009B79F2"/>
    <w:rsid w:val="009C3E7C"/>
    <w:rsid w:val="009D2EB8"/>
    <w:rsid w:val="009D56A6"/>
    <w:rsid w:val="009D76C7"/>
    <w:rsid w:val="009E2118"/>
    <w:rsid w:val="009E460D"/>
    <w:rsid w:val="009E7D87"/>
    <w:rsid w:val="009F57FB"/>
    <w:rsid w:val="009F5A2E"/>
    <w:rsid w:val="00A04D67"/>
    <w:rsid w:val="00A068B8"/>
    <w:rsid w:val="00A071C3"/>
    <w:rsid w:val="00A1061A"/>
    <w:rsid w:val="00A152BB"/>
    <w:rsid w:val="00A165BA"/>
    <w:rsid w:val="00A22EDF"/>
    <w:rsid w:val="00A23749"/>
    <w:rsid w:val="00A335A5"/>
    <w:rsid w:val="00A406B1"/>
    <w:rsid w:val="00A4511A"/>
    <w:rsid w:val="00A4755D"/>
    <w:rsid w:val="00A5050A"/>
    <w:rsid w:val="00A51ED2"/>
    <w:rsid w:val="00A6303E"/>
    <w:rsid w:val="00A63A32"/>
    <w:rsid w:val="00A745F3"/>
    <w:rsid w:val="00A75251"/>
    <w:rsid w:val="00A75E07"/>
    <w:rsid w:val="00A824F5"/>
    <w:rsid w:val="00A8486B"/>
    <w:rsid w:val="00A92977"/>
    <w:rsid w:val="00A93F61"/>
    <w:rsid w:val="00AA077A"/>
    <w:rsid w:val="00AA27B4"/>
    <w:rsid w:val="00AA38F2"/>
    <w:rsid w:val="00AA6270"/>
    <w:rsid w:val="00AD03D5"/>
    <w:rsid w:val="00AD6B19"/>
    <w:rsid w:val="00AD79E0"/>
    <w:rsid w:val="00AE07B1"/>
    <w:rsid w:val="00AF3AE1"/>
    <w:rsid w:val="00AF52A5"/>
    <w:rsid w:val="00AF775C"/>
    <w:rsid w:val="00B002BE"/>
    <w:rsid w:val="00B0519C"/>
    <w:rsid w:val="00B12EB0"/>
    <w:rsid w:val="00B136A5"/>
    <w:rsid w:val="00B14383"/>
    <w:rsid w:val="00B15E06"/>
    <w:rsid w:val="00B20080"/>
    <w:rsid w:val="00B213DE"/>
    <w:rsid w:val="00B26C62"/>
    <w:rsid w:val="00B27842"/>
    <w:rsid w:val="00B333DA"/>
    <w:rsid w:val="00B4151A"/>
    <w:rsid w:val="00B421B8"/>
    <w:rsid w:val="00B4578B"/>
    <w:rsid w:val="00B55B06"/>
    <w:rsid w:val="00B62008"/>
    <w:rsid w:val="00B7415B"/>
    <w:rsid w:val="00B81740"/>
    <w:rsid w:val="00B91A5D"/>
    <w:rsid w:val="00BA2E6D"/>
    <w:rsid w:val="00BA6CBF"/>
    <w:rsid w:val="00BA6EF3"/>
    <w:rsid w:val="00BB25ED"/>
    <w:rsid w:val="00BB26E3"/>
    <w:rsid w:val="00BB2EB5"/>
    <w:rsid w:val="00BB3F6C"/>
    <w:rsid w:val="00BB67B9"/>
    <w:rsid w:val="00BC14BA"/>
    <w:rsid w:val="00BC17DD"/>
    <w:rsid w:val="00BD5D2E"/>
    <w:rsid w:val="00BE154D"/>
    <w:rsid w:val="00BE65A1"/>
    <w:rsid w:val="00BF1BAF"/>
    <w:rsid w:val="00BF1C28"/>
    <w:rsid w:val="00BF2DBD"/>
    <w:rsid w:val="00BF7256"/>
    <w:rsid w:val="00BF7F90"/>
    <w:rsid w:val="00C05972"/>
    <w:rsid w:val="00C072A2"/>
    <w:rsid w:val="00C07819"/>
    <w:rsid w:val="00C130D1"/>
    <w:rsid w:val="00C203BA"/>
    <w:rsid w:val="00C218E4"/>
    <w:rsid w:val="00C21F55"/>
    <w:rsid w:val="00C26031"/>
    <w:rsid w:val="00C32A4F"/>
    <w:rsid w:val="00C351E5"/>
    <w:rsid w:val="00C50AD3"/>
    <w:rsid w:val="00C5726F"/>
    <w:rsid w:val="00C63146"/>
    <w:rsid w:val="00C636B7"/>
    <w:rsid w:val="00C75990"/>
    <w:rsid w:val="00C85CD9"/>
    <w:rsid w:val="00C8644C"/>
    <w:rsid w:val="00C870BC"/>
    <w:rsid w:val="00C95A4D"/>
    <w:rsid w:val="00C96DA3"/>
    <w:rsid w:val="00CA0FEA"/>
    <w:rsid w:val="00CA2EC7"/>
    <w:rsid w:val="00CA3C2B"/>
    <w:rsid w:val="00CA44A5"/>
    <w:rsid w:val="00CA541D"/>
    <w:rsid w:val="00CA6696"/>
    <w:rsid w:val="00CA7759"/>
    <w:rsid w:val="00CA7E5D"/>
    <w:rsid w:val="00CB12FB"/>
    <w:rsid w:val="00CB4710"/>
    <w:rsid w:val="00CB4CC9"/>
    <w:rsid w:val="00CC14A6"/>
    <w:rsid w:val="00CC4EEB"/>
    <w:rsid w:val="00CD0727"/>
    <w:rsid w:val="00CD0D3C"/>
    <w:rsid w:val="00CD2B58"/>
    <w:rsid w:val="00CD318A"/>
    <w:rsid w:val="00CE5A30"/>
    <w:rsid w:val="00CE5ED0"/>
    <w:rsid w:val="00CF07DB"/>
    <w:rsid w:val="00CF2B7B"/>
    <w:rsid w:val="00CF327C"/>
    <w:rsid w:val="00CF38E1"/>
    <w:rsid w:val="00CF6492"/>
    <w:rsid w:val="00CF7241"/>
    <w:rsid w:val="00D020C5"/>
    <w:rsid w:val="00D05345"/>
    <w:rsid w:val="00D05965"/>
    <w:rsid w:val="00D1111C"/>
    <w:rsid w:val="00D12004"/>
    <w:rsid w:val="00D1554A"/>
    <w:rsid w:val="00D15EDD"/>
    <w:rsid w:val="00D21235"/>
    <w:rsid w:val="00D21FF7"/>
    <w:rsid w:val="00D24B8E"/>
    <w:rsid w:val="00D3197F"/>
    <w:rsid w:val="00D32E27"/>
    <w:rsid w:val="00D351FE"/>
    <w:rsid w:val="00D45ECE"/>
    <w:rsid w:val="00D47895"/>
    <w:rsid w:val="00D516DC"/>
    <w:rsid w:val="00D51CB6"/>
    <w:rsid w:val="00D52C4E"/>
    <w:rsid w:val="00D53D13"/>
    <w:rsid w:val="00D54091"/>
    <w:rsid w:val="00D55E43"/>
    <w:rsid w:val="00D57537"/>
    <w:rsid w:val="00D62C0E"/>
    <w:rsid w:val="00D64190"/>
    <w:rsid w:val="00D64A93"/>
    <w:rsid w:val="00D70755"/>
    <w:rsid w:val="00D7080D"/>
    <w:rsid w:val="00D77CCF"/>
    <w:rsid w:val="00D802A5"/>
    <w:rsid w:val="00D81395"/>
    <w:rsid w:val="00D84C2C"/>
    <w:rsid w:val="00D85C77"/>
    <w:rsid w:val="00D86383"/>
    <w:rsid w:val="00D866CE"/>
    <w:rsid w:val="00D874BA"/>
    <w:rsid w:val="00D91155"/>
    <w:rsid w:val="00D939C6"/>
    <w:rsid w:val="00D9502C"/>
    <w:rsid w:val="00D95A79"/>
    <w:rsid w:val="00DA6CCD"/>
    <w:rsid w:val="00DC0CF5"/>
    <w:rsid w:val="00DC1DF1"/>
    <w:rsid w:val="00DC7EDF"/>
    <w:rsid w:val="00DD3A07"/>
    <w:rsid w:val="00DD6A21"/>
    <w:rsid w:val="00DE21F3"/>
    <w:rsid w:val="00DF3AF9"/>
    <w:rsid w:val="00DF3E94"/>
    <w:rsid w:val="00E001F1"/>
    <w:rsid w:val="00E011CA"/>
    <w:rsid w:val="00E07E1B"/>
    <w:rsid w:val="00E1398D"/>
    <w:rsid w:val="00E16D6C"/>
    <w:rsid w:val="00E205A9"/>
    <w:rsid w:val="00E2530D"/>
    <w:rsid w:val="00E30A18"/>
    <w:rsid w:val="00E32426"/>
    <w:rsid w:val="00E3672F"/>
    <w:rsid w:val="00E37DA3"/>
    <w:rsid w:val="00E424C5"/>
    <w:rsid w:val="00E53668"/>
    <w:rsid w:val="00E60C7C"/>
    <w:rsid w:val="00E648E4"/>
    <w:rsid w:val="00E672B1"/>
    <w:rsid w:val="00E718B0"/>
    <w:rsid w:val="00E71A11"/>
    <w:rsid w:val="00E76A82"/>
    <w:rsid w:val="00E772C3"/>
    <w:rsid w:val="00E8043D"/>
    <w:rsid w:val="00E81476"/>
    <w:rsid w:val="00E85E3D"/>
    <w:rsid w:val="00E86611"/>
    <w:rsid w:val="00E93F70"/>
    <w:rsid w:val="00EA6740"/>
    <w:rsid w:val="00EB236C"/>
    <w:rsid w:val="00EB35CB"/>
    <w:rsid w:val="00EB4555"/>
    <w:rsid w:val="00EC1600"/>
    <w:rsid w:val="00EC5EF3"/>
    <w:rsid w:val="00ED12A5"/>
    <w:rsid w:val="00ED18D9"/>
    <w:rsid w:val="00ED20C8"/>
    <w:rsid w:val="00ED3CDE"/>
    <w:rsid w:val="00EE20AA"/>
    <w:rsid w:val="00EE368B"/>
    <w:rsid w:val="00EE379C"/>
    <w:rsid w:val="00EE540B"/>
    <w:rsid w:val="00EE5D8F"/>
    <w:rsid w:val="00EF5CE2"/>
    <w:rsid w:val="00EF7D97"/>
    <w:rsid w:val="00F0122D"/>
    <w:rsid w:val="00F02279"/>
    <w:rsid w:val="00F027D5"/>
    <w:rsid w:val="00F1120C"/>
    <w:rsid w:val="00F1148B"/>
    <w:rsid w:val="00F12745"/>
    <w:rsid w:val="00F215FD"/>
    <w:rsid w:val="00F21B1E"/>
    <w:rsid w:val="00F24E58"/>
    <w:rsid w:val="00F344B7"/>
    <w:rsid w:val="00F35298"/>
    <w:rsid w:val="00F36DFE"/>
    <w:rsid w:val="00F412A0"/>
    <w:rsid w:val="00F473E7"/>
    <w:rsid w:val="00F54870"/>
    <w:rsid w:val="00F56439"/>
    <w:rsid w:val="00F63694"/>
    <w:rsid w:val="00F63A5E"/>
    <w:rsid w:val="00F725EA"/>
    <w:rsid w:val="00F73858"/>
    <w:rsid w:val="00F76CA2"/>
    <w:rsid w:val="00F77624"/>
    <w:rsid w:val="00F77DE3"/>
    <w:rsid w:val="00F84B1E"/>
    <w:rsid w:val="00F873B8"/>
    <w:rsid w:val="00F876C4"/>
    <w:rsid w:val="00F900CC"/>
    <w:rsid w:val="00F909CC"/>
    <w:rsid w:val="00F90FF3"/>
    <w:rsid w:val="00F93FF6"/>
    <w:rsid w:val="00F9556E"/>
    <w:rsid w:val="00FA2EB8"/>
    <w:rsid w:val="00FA5469"/>
    <w:rsid w:val="00FA6CDF"/>
    <w:rsid w:val="00FA7E13"/>
    <w:rsid w:val="00FB02B0"/>
    <w:rsid w:val="00FB3682"/>
    <w:rsid w:val="00FB4FD1"/>
    <w:rsid w:val="00FB6B8C"/>
    <w:rsid w:val="00FC25F5"/>
    <w:rsid w:val="00FC3FE0"/>
    <w:rsid w:val="00FC6D28"/>
    <w:rsid w:val="00FD1C3B"/>
    <w:rsid w:val="00FD2C1A"/>
    <w:rsid w:val="00FE0FB7"/>
    <w:rsid w:val="00FE616E"/>
    <w:rsid w:val="00FF199F"/>
    <w:rsid w:val="01B40034"/>
    <w:rsid w:val="02140EAA"/>
    <w:rsid w:val="0331230D"/>
    <w:rsid w:val="035630E2"/>
    <w:rsid w:val="051811B3"/>
    <w:rsid w:val="052518A5"/>
    <w:rsid w:val="062F2B08"/>
    <w:rsid w:val="06F43E46"/>
    <w:rsid w:val="08443B04"/>
    <w:rsid w:val="088C7A8C"/>
    <w:rsid w:val="089C4809"/>
    <w:rsid w:val="08CE6D38"/>
    <w:rsid w:val="09161F29"/>
    <w:rsid w:val="09C32A71"/>
    <w:rsid w:val="09EE3D92"/>
    <w:rsid w:val="0AAE4D43"/>
    <w:rsid w:val="0B0D24E9"/>
    <w:rsid w:val="0BFD5880"/>
    <w:rsid w:val="0C583548"/>
    <w:rsid w:val="0D000E0B"/>
    <w:rsid w:val="0DD63C7A"/>
    <w:rsid w:val="0EE609A4"/>
    <w:rsid w:val="0EEA4741"/>
    <w:rsid w:val="0F727360"/>
    <w:rsid w:val="0FA764C7"/>
    <w:rsid w:val="0FC8117D"/>
    <w:rsid w:val="10426527"/>
    <w:rsid w:val="114F61E9"/>
    <w:rsid w:val="118F055E"/>
    <w:rsid w:val="11E503CB"/>
    <w:rsid w:val="11FF1BF2"/>
    <w:rsid w:val="1209048D"/>
    <w:rsid w:val="12DE4031"/>
    <w:rsid w:val="12EC7ED1"/>
    <w:rsid w:val="13093455"/>
    <w:rsid w:val="13392F64"/>
    <w:rsid w:val="138060A1"/>
    <w:rsid w:val="147F5C5A"/>
    <w:rsid w:val="14DC4E59"/>
    <w:rsid w:val="16405617"/>
    <w:rsid w:val="164903DA"/>
    <w:rsid w:val="16563271"/>
    <w:rsid w:val="174837E2"/>
    <w:rsid w:val="17733BFC"/>
    <w:rsid w:val="18611535"/>
    <w:rsid w:val="188B3569"/>
    <w:rsid w:val="19314142"/>
    <w:rsid w:val="19BD360E"/>
    <w:rsid w:val="19C54B1E"/>
    <w:rsid w:val="1B12329A"/>
    <w:rsid w:val="1B2D6CEE"/>
    <w:rsid w:val="1B8263AB"/>
    <w:rsid w:val="1BA44DC3"/>
    <w:rsid w:val="1C47145A"/>
    <w:rsid w:val="1EC37788"/>
    <w:rsid w:val="1F183D18"/>
    <w:rsid w:val="1F3D5241"/>
    <w:rsid w:val="21322B47"/>
    <w:rsid w:val="21486DA2"/>
    <w:rsid w:val="21A1232E"/>
    <w:rsid w:val="22381052"/>
    <w:rsid w:val="229D0C17"/>
    <w:rsid w:val="22EF62E1"/>
    <w:rsid w:val="233E0794"/>
    <w:rsid w:val="23E57C69"/>
    <w:rsid w:val="24C47C53"/>
    <w:rsid w:val="25314AAB"/>
    <w:rsid w:val="2634051F"/>
    <w:rsid w:val="26BA5F55"/>
    <w:rsid w:val="26DF32C9"/>
    <w:rsid w:val="27173ACE"/>
    <w:rsid w:val="2990627D"/>
    <w:rsid w:val="29BD6E3C"/>
    <w:rsid w:val="2B110EC5"/>
    <w:rsid w:val="2BB814F4"/>
    <w:rsid w:val="2BFB36BF"/>
    <w:rsid w:val="2C6D0AB9"/>
    <w:rsid w:val="2D8333A1"/>
    <w:rsid w:val="2D924DBF"/>
    <w:rsid w:val="2DF745E7"/>
    <w:rsid w:val="2E1454FC"/>
    <w:rsid w:val="2EDD64ED"/>
    <w:rsid w:val="2EF30D3E"/>
    <w:rsid w:val="2F841FF3"/>
    <w:rsid w:val="2FC370B7"/>
    <w:rsid w:val="2FEA2B60"/>
    <w:rsid w:val="30985EC5"/>
    <w:rsid w:val="31837193"/>
    <w:rsid w:val="321E7986"/>
    <w:rsid w:val="32256095"/>
    <w:rsid w:val="32353AE3"/>
    <w:rsid w:val="330C6211"/>
    <w:rsid w:val="33E650A6"/>
    <w:rsid w:val="34887862"/>
    <w:rsid w:val="34917FA6"/>
    <w:rsid w:val="35077005"/>
    <w:rsid w:val="370F6F92"/>
    <w:rsid w:val="376D3F36"/>
    <w:rsid w:val="38530626"/>
    <w:rsid w:val="386C6676"/>
    <w:rsid w:val="387A0545"/>
    <w:rsid w:val="390B38E9"/>
    <w:rsid w:val="3A56273B"/>
    <w:rsid w:val="3A6B512D"/>
    <w:rsid w:val="3B9C18B7"/>
    <w:rsid w:val="3BCF2CCF"/>
    <w:rsid w:val="3C47585D"/>
    <w:rsid w:val="3C9438AB"/>
    <w:rsid w:val="3C9810D3"/>
    <w:rsid w:val="3D42363B"/>
    <w:rsid w:val="3DB477E5"/>
    <w:rsid w:val="3E5D345C"/>
    <w:rsid w:val="3F383B8E"/>
    <w:rsid w:val="3FBF2CFF"/>
    <w:rsid w:val="3FC065E2"/>
    <w:rsid w:val="40645348"/>
    <w:rsid w:val="411D7FA1"/>
    <w:rsid w:val="41A32317"/>
    <w:rsid w:val="41BA104B"/>
    <w:rsid w:val="42181462"/>
    <w:rsid w:val="4324131C"/>
    <w:rsid w:val="44876303"/>
    <w:rsid w:val="44F152F8"/>
    <w:rsid w:val="4507756E"/>
    <w:rsid w:val="4538644A"/>
    <w:rsid w:val="45B54EBB"/>
    <w:rsid w:val="4600111B"/>
    <w:rsid w:val="46B929E3"/>
    <w:rsid w:val="47DF4EC7"/>
    <w:rsid w:val="48067F96"/>
    <w:rsid w:val="49E33343"/>
    <w:rsid w:val="4A12383F"/>
    <w:rsid w:val="4A2D53B9"/>
    <w:rsid w:val="4AB937AC"/>
    <w:rsid w:val="4B391840"/>
    <w:rsid w:val="4BE31994"/>
    <w:rsid w:val="4C0459A5"/>
    <w:rsid w:val="4FC25104"/>
    <w:rsid w:val="50A20CBC"/>
    <w:rsid w:val="50E03673"/>
    <w:rsid w:val="5123013B"/>
    <w:rsid w:val="521F6ED3"/>
    <w:rsid w:val="52886814"/>
    <w:rsid w:val="544A782B"/>
    <w:rsid w:val="550C26B8"/>
    <w:rsid w:val="5549738B"/>
    <w:rsid w:val="55D631B3"/>
    <w:rsid w:val="56461697"/>
    <w:rsid w:val="56906A25"/>
    <w:rsid w:val="58760A7C"/>
    <w:rsid w:val="58A1063D"/>
    <w:rsid w:val="58FD3B63"/>
    <w:rsid w:val="59E11C47"/>
    <w:rsid w:val="5A044E81"/>
    <w:rsid w:val="5A7404AC"/>
    <w:rsid w:val="5A790F67"/>
    <w:rsid w:val="5A867920"/>
    <w:rsid w:val="5AAA0C15"/>
    <w:rsid w:val="5AD233A8"/>
    <w:rsid w:val="5B2572C2"/>
    <w:rsid w:val="5B97587B"/>
    <w:rsid w:val="5B9C067A"/>
    <w:rsid w:val="5CB96772"/>
    <w:rsid w:val="5D534D29"/>
    <w:rsid w:val="5D840DF2"/>
    <w:rsid w:val="5EAE5E66"/>
    <w:rsid w:val="5EC72ACE"/>
    <w:rsid w:val="5EC80FB9"/>
    <w:rsid w:val="5F73566A"/>
    <w:rsid w:val="5FC741AF"/>
    <w:rsid w:val="602968A7"/>
    <w:rsid w:val="60704C19"/>
    <w:rsid w:val="612C6EAA"/>
    <w:rsid w:val="620A5CC7"/>
    <w:rsid w:val="62C20F76"/>
    <w:rsid w:val="63FF6DA7"/>
    <w:rsid w:val="64FA4AA4"/>
    <w:rsid w:val="65EE51F0"/>
    <w:rsid w:val="666B27FD"/>
    <w:rsid w:val="68443577"/>
    <w:rsid w:val="6AD53D68"/>
    <w:rsid w:val="6C050481"/>
    <w:rsid w:val="6CF3020B"/>
    <w:rsid w:val="6D661327"/>
    <w:rsid w:val="6DBB649A"/>
    <w:rsid w:val="6E4075DA"/>
    <w:rsid w:val="6EEF4BB1"/>
    <w:rsid w:val="6EF23A6F"/>
    <w:rsid w:val="6FEA7F0D"/>
    <w:rsid w:val="7016394C"/>
    <w:rsid w:val="713156F8"/>
    <w:rsid w:val="7143252D"/>
    <w:rsid w:val="71551A53"/>
    <w:rsid w:val="71F520D5"/>
    <w:rsid w:val="72CE765A"/>
    <w:rsid w:val="73766FD8"/>
    <w:rsid w:val="74E112D6"/>
    <w:rsid w:val="75530962"/>
    <w:rsid w:val="75BB7DFC"/>
    <w:rsid w:val="761C77D2"/>
    <w:rsid w:val="768D1CF9"/>
    <w:rsid w:val="769024A9"/>
    <w:rsid w:val="7691161D"/>
    <w:rsid w:val="769C1518"/>
    <w:rsid w:val="77321D1C"/>
    <w:rsid w:val="7735682C"/>
    <w:rsid w:val="78363CD5"/>
    <w:rsid w:val="78AA55D9"/>
    <w:rsid w:val="7957232B"/>
    <w:rsid w:val="7A471767"/>
    <w:rsid w:val="7A670F5D"/>
    <w:rsid w:val="7A951295"/>
    <w:rsid w:val="7AA03288"/>
    <w:rsid w:val="7ADA199A"/>
    <w:rsid w:val="7AF70001"/>
    <w:rsid w:val="7C0946FE"/>
    <w:rsid w:val="7C384EAE"/>
    <w:rsid w:val="7CAC4E54"/>
    <w:rsid w:val="7CCA1AA3"/>
    <w:rsid w:val="7D572A81"/>
    <w:rsid w:val="7D8E2B39"/>
    <w:rsid w:val="7E1428F7"/>
    <w:rsid w:val="7E2D702E"/>
    <w:rsid w:val="7E5404BD"/>
    <w:rsid w:val="7E5C1786"/>
    <w:rsid w:val="7FE70160"/>
    <w:rsid w:val="7FF10A6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uiPriority="99" w:name="List 2" w:locked="1"/>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4"/>
    <w:qFormat/>
    <w:uiPriority w:val="99"/>
    <w:pPr>
      <w:keepNext/>
      <w:keepLines/>
      <w:spacing w:line="360" w:lineRule="auto"/>
      <w:jc w:val="center"/>
      <w:outlineLvl w:val="0"/>
    </w:pPr>
    <w:rPr>
      <w:b/>
      <w:bCs/>
      <w:kern w:val="44"/>
      <w:sz w:val="32"/>
      <w:szCs w:val="32"/>
    </w:rPr>
  </w:style>
  <w:style w:type="paragraph" w:styleId="2">
    <w:name w:val="heading 2"/>
    <w:basedOn w:val="1"/>
    <w:next w:val="1"/>
    <w:link w:val="45"/>
    <w:qFormat/>
    <w:uiPriority w:val="99"/>
    <w:pPr>
      <w:keepNext/>
      <w:keepLines/>
      <w:spacing w:line="360" w:lineRule="auto"/>
      <w:outlineLvl w:val="1"/>
    </w:pPr>
    <w:rPr>
      <w:rFonts w:ascii="Calibri Light" w:hAnsi="Calibri Light"/>
      <w:b/>
      <w:bCs/>
      <w:sz w:val="28"/>
      <w:szCs w:val="32"/>
    </w:rPr>
  </w:style>
  <w:style w:type="paragraph" w:styleId="4">
    <w:name w:val="heading 3"/>
    <w:basedOn w:val="1"/>
    <w:next w:val="1"/>
    <w:link w:val="46"/>
    <w:qFormat/>
    <w:uiPriority w:val="99"/>
    <w:pPr>
      <w:keepNext/>
      <w:keepLines/>
      <w:snapToGrid w:val="0"/>
      <w:spacing w:before="260" w:after="260" w:line="360" w:lineRule="auto"/>
      <w:ind w:left="480"/>
      <w:outlineLvl w:val="2"/>
    </w:pPr>
    <w:rPr>
      <w:rFonts w:ascii="宋体" w:hAnsi="宋体" w:cs="宋体"/>
      <w:b/>
      <w:bCs/>
      <w:kern w:val="0"/>
      <w:szCs w:val="21"/>
    </w:rPr>
  </w:style>
  <w:style w:type="paragraph" w:styleId="5">
    <w:name w:val="heading 4"/>
    <w:basedOn w:val="1"/>
    <w:next w:val="1"/>
    <w:link w:val="47"/>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48"/>
    <w:qFormat/>
    <w:uiPriority w:val="99"/>
    <w:pPr>
      <w:keepNext/>
      <w:keepLines/>
      <w:tabs>
        <w:tab w:val="left" w:pos="0"/>
      </w:tabs>
      <w:adjustRightInd w:val="0"/>
      <w:spacing w:line="360" w:lineRule="auto"/>
      <w:jc w:val="left"/>
      <w:textAlignment w:val="baseline"/>
      <w:outlineLvl w:val="4"/>
    </w:pPr>
    <w:rPr>
      <w:rFonts w:ascii="Times New Roman" w:hAnsi="Times New Roman"/>
      <w:kern w:val="0"/>
      <w:sz w:val="24"/>
      <w:szCs w:val="20"/>
    </w:rPr>
  </w:style>
  <w:style w:type="paragraph" w:styleId="7">
    <w:name w:val="heading 6"/>
    <w:basedOn w:val="1"/>
    <w:next w:val="1"/>
    <w:link w:val="49"/>
    <w:qFormat/>
    <w:uiPriority w:val="99"/>
    <w:pPr>
      <w:keepNext/>
      <w:keepLines/>
      <w:tabs>
        <w:tab w:val="left" w:pos="0"/>
      </w:tabs>
      <w:adjustRightInd w:val="0"/>
      <w:spacing w:line="360" w:lineRule="auto"/>
      <w:jc w:val="left"/>
      <w:textAlignment w:val="baseline"/>
      <w:outlineLvl w:val="5"/>
    </w:pPr>
    <w:rPr>
      <w:rFonts w:ascii="Arial" w:hAnsi="Arial"/>
      <w:kern w:val="0"/>
      <w:sz w:val="24"/>
      <w:szCs w:val="20"/>
    </w:rPr>
  </w:style>
  <w:style w:type="paragraph" w:styleId="8">
    <w:name w:val="heading 7"/>
    <w:basedOn w:val="1"/>
    <w:next w:val="1"/>
    <w:link w:val="50"/>
    <w:qFormat/>
    <w:uiPriority w:val="99"/>
    <w:pPr>
      <w:keepNext/>
      <w:keepLines/>
      <w:tabs>
        <w:tab w:val="left" w:pos="0"/>
      </w:tabs>
      <w:adjustRightInd w:val="0"/>
      <w:spacing w:line="360" w:lineRule="auto"/>
      <w:jc w:val="left"/>
      <w:textAlignment w:val="baseline"/>
      <w:outlineLvl w:val="6"/>
    </w:pPr>
    <w:rPr>
      <w:rFonts w:ascii="Times New Roman" w:hAnsi="Times New Roman"/>
      <w:kern w:val="0"/>
      <w:sz w:val="24"/>
      <w:szCs w:val="20"/>
    </w:rPr>
  </w:style>
  <w:style w:type="paragraph" w:styleId="9">
    <w:name w:val="heading 8"/>
    <w:basedOn w:val="1"/>
    <w:next w:val="1"/>
    <w:link w:val="51"/>
    <w:qFormat/>
    <w:uiPriority w:val="99"/>
    <w:pPr>
      <w:keepNext/>
      <w:keepLines/>
      <w:tabs>
        <w:tab w:val="left" w:pos="0"/>
      </w:tabs>
      <w:adjustRightInd w:val="0"/>
      <w:spacing w:line="360" w:lineRule="auto"/>
      <w:jc w:val="left"/>
      <w:textAlignment w:val="baseline"/>
      <w:outlineLvl w:val="7"/>
    </w:pPr>
    <w:rPr>
      <w:rFonts w:ascii="Arial" w:hAnsi="Arial"/>
      <w:kern w:val="0"/>
      <w:sz w:val="24"/>
      <w:szCs w:val="24"/>
    </w:rPr>
  </w:style>
  <w:style w:type="paragraph" w:styleId="10">
    <w:name w:val="heading 9"/>
    <w:basedOn w:val="1"/>
    <w:next w:val="1"/>
    <w:link w:val="52"/>
    <w:qFormat/>
    <w:uiPriority w:val="99"/>
    <w:pPr>
      <w:keepNext/>
      <w:keepLines/>
      <w:tabs>
        <w:tab w:val="left" w:pos="0"/>
      </w:tabs>
      <w:adjustRightInd w:val="0"/>
      <w:spacing w:line="360" w:lineRule="auto"/>
      <w:jc w:val="left"/>
      <w:textAlignment w:val="baseline"/>
      <w:outlineLvl w:val="8"/>
    </w:pPr>
    <w:rPr>
      <w:rFonts w:ascii="宋体" w:hAnsi="Arial"/>
      <w:kern w:val="0"/>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rFonts w:ascii="Times New Roman" w:hAnsi="Times New Roman"/>
      <w:szCs w:val="24"/>
    </w:rPr>
  </w:style>
  <w:style w:type="paragraph" w:styleId="12">
    <w:name w:val="Normal Indent"/>
    <w:basedOn w:val="1"/>
    <w:qFormat/>
    <w:uiPriority w:val="0"/>
    <w:pPr>
      <w:ind w:firstLine="420" w:firstLineChars="200"/>
    </w:pPr>
    <w:rPr>
      <w:rFonts w:ascii="Times New Roman" w:hAnsi="Times New Roman"/>
      <w:szCs w:val="24"/>
    </w:rPr>
  </w:style>
  <w:style w:type="paragraph" w:styleId="13">
    <w:name w:val="Document Map"/>
    <w:basedOn w:val="1"/>
    <w:link w:val="57"/>
    <w:qFormat/>
    <w:uiPriority w:val="99"/>
    <w:rPr>
      <w:rFonts w:ascii="宋体" w:hAnsi="Times New Roman"/>
      <w:sz w:val="18"/>
      <w:szCs w:val="18"/>
    </w:rPr>
  </w:style>
  <w:style w:type="paragraph" w:styleId="14">
    <w:name w:val="toa heading"/>
    <w:basedOn w:val="1"/>
    <w:next w:val="1"/>
    <w:semiHidden/>
    <w:qFormat/>
    <w:uiPriority w:val="99"/>
    <w:pPr>
      <w:spacing w:before="120"/>
    </w:pPr>
    <w:rPr>
      <w:rFonts w:ascii="Arial" w:hAnsi="Arial" w:cs="Arial"/>
      <w:sz w:val="24"/>
      <w:szCs w:val="24"/>
    </w:rPr>
  </w:style>
  <w:style w:type="paragraph" w:styleId="15">
    <w:name w:val="annotation text"/>
    <w:basedOn w:val="1"/>
    <w:link w:val="53"/>
    <w:qFormat/>
    <w:uiPriority w:val="0"/>
    <w:pPr>
      <w:jc w:val="left"/>
    </w:pPr>
  </w:style>
  <w:style w:type="paragraph" w:styleId="16">
    <w:name w:val="Body Text 3"/>
    <w:basedOn w:val="1"/>
    <w:link w:val="58"/>
    <w:qFormat/>
    <w:uiPriority w:val="99"/>
    <w:rPr>
      <w:rFonts w:ascii="宋体" w:hAnsi="Times New Roman"/>
      <w:sz w:val="24"/>
      <w:szCs w:val="20"/>
    </w:rPr>
  </w:style>
  <w:style w:type="paragraph" w:styleId="17">
    <w:name w:val="Body Text"/>
    <w:basedOn w:val="1"/>
    <w:link w:val="55"/>
    <w:qFormat/>
    <w:uiPriority w:val="99"/>
    <w:rPr>
      <w:rFonts w:ascii="Times New Roman" w:hAnsi="Times New Roman"/>
      <w:sz w:val="24"/>
      <w:szCs w:val="24"/>
    </w:rPr>
  </w:style>
  <w:style w:type="paragraph" w:styleId="18">
    <w:name w:val="Body Text Indent"/>
    <w:basedOn w:val="1"/>
    <w:link w:val="59"/>
    <w:qFormat/>
    <w:uiPriority w:val="99"/>
    <w:pPr>
      <w:spacing w:after="120"/>
      <w:ind w:left="420" w:leftChars="200"/>
    </w:pPr>
  </w:style>
  <w:style w:type="paragraph" w:styleId="19">
    <w:name w:val="toc 3"/>
    <w:basedOn w:val="1"/>
    <w:next w:val="1"/>
    <w:qFormat/>
    <w:uiPriority w:val="99"/>
    <w:pPr>
      <w:widowControl/>
      <w:spacing w:after="100" w:line="259" w:lineRule="auto"/>
      <w:ind w:left="440"/>
      <w:jc w:val="left"/>
    </w:pPr>
    <w:rPr>
      <w:kern w:val="0"/>
      <w:sz w:val="22"/>
    </w:rPr>
  </w:style>
  <w:style w:type="paragraph" w:styleId="20">
    <w:name w:val="Plain Text"/>
    <w:basedOn w:val="1"/>
    <w:link w:val="60"/>
    <w:qFormat/>
    <w:uiPriority w:val="0"/>
    <w:pPr>
      <w:adjustRightInd w:val="0"/>
      <w:snapToGrid w:val="0"/>
      <w:spacing w:line="360" w:lineRule="auto"/>
    </w:pPr>
    <w:rPr>
      <w:rFonts w:ascii="宋体" w:hAnsi="Courier New"/>
      <w:szCs w:val="20"/>
    </w:rPr>
  </w:style>
  <w:style w:type="paragraph" w:styleId="21">
    <w:name w:val="Date"/>
    <w:basedOn w:val="1"/>
    <w:next w:val="1"/>
    <w:link w:val="61"/>
    <w:qFormat/>
    <w:uiPriority w:val="99"/>
    <w:rPr>
      <w:rFonts w:ascii="宋体" w:hAnsi="宋体"/>
      <w:sz w:val="24"/>
      <w:szCs w:val="24"/>
    </w:rPr>
  </w:style>
  <w:style w:type="paragraph" w:styleId="22">
    <w:name w:val="Body Text Indent 2"/>
    <w:basedOn w:val="1"/>
    <w:link w:val="62"/>
    <w:qFormat/>
    <w:uiPriority w:val="99"/>
    <w:pPr>
      <w:widowControl/>
      <w:snapToGrid w:val="0"/>
      <w:spacing w:line="400" w:lineRule="exact"/>
      <w:ind w:left="425"/>
    </w:pPr>
    <w:rPr>
      <w:rFonts w:ascii="仿宋_GB2312" w:hAnsi="Times New Roman" w:eastAsia="仿宋_GB2312"/>
      <w:kern w:val="0"/>
      <w:szCs w:val="24"/>
    </w:rPr>
  </w:style>
  <w:style w:type="paragraph" w:styleId="23">
    <w:name w:val="Balloon Text"/>
    <w:basedOn w:val="1"/>
    <w:link w:val="63"/>
    <w:qFormat/>
    <w:uiPriority w:val="99"/>
    <w:rPr>
      <w:sz w:val="18"/>
      <w:szCs w:val="18"/>
    </w:rPr>
  </w:style>
  <w:style w:type="paragraph" w:styleId="24">
    <w:name w:val="footer"/>
    <w:basedOn w:val="1"/>
    <w:link w:val="64"/>
    <w:qFormat/>
    <w:uiPriority w:val="99"/>
    <w:pPr>
      <w:tabs>
        <w:tab w:val="center" w:pos="4153"/>
        <w:tab w:val="right" w:pos="8306"/>
      </w:tabs>
      <w:snapToGrid w:val="0"/>
      <w:jc w:val="left"/>
    </w:pPr>
    <w:rPr>
      <w:sz w:val="18"/>
      <w:szCs w:val="18"/>
    </w:rPr>
  </w:style>
  <w:style w:type="paragraph" w:styleId="25">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pPr>
      <w:widowControl/>
      <w:spacing w:after="100" w:line="259" w:lineRule="auto"/>
      <w:jc w:val="left"/>
    </w:pPr>
    <w:rPr>
      <w:kern w:val="0"/>
      <w:sz w:val="22"/>
    </w:rPr>
  </w:style>
  <w:style w:type="paragraph" w:styleId="27">
    <w:name w:val="Subtitle"/>
    <w:basedOn w:val="1"/>
    <w:next w:val="1"/>
    <w:link w:val="167"/>
    <w:qFormat/>
    <w:locked/>
    <w:uiPriority w:val="0"/>
    <w:pPr>
      <w:spacing w:before="240" w:after="60" w:line="312" w:lineRule="auto"/>
      <w:jc w:val="center"/>
      <w:outlineLvl w:val="1"/>
    </w:pPr>
    <w:rPr>
      <w:rFonts w:ascii="Cambria" w:hAnsi="Cambria"/>
      <w:b/>
      <w:bCs/>
      <w:kern w:val="28"/>
      <w:sz w:val="32"/>
      <w:szCs w:val="32"/>
    </w:rPr>
  </w:style>
  <w:style w:type="paragraph" w:styleId="28">
    <w:name w:val="Body Text Indent 3"/>
    <w:basedOn w:val="1"/>
    <w:link w:val="67"/>
    <w:qFormat/>
    <w:uiPriority w:val="99"/>
    <w:pPr>
      <w:ind w:right="18" w:firstLine="480"/>
    </w:pPr>
    <w:rPr>
      <w:rFonts w:ascii="宋体" w:hAnsi="Times New Roman"/>
      <w:sz w:val="24"/>
      <w:szCs w:val="20"/>
    </w:rPr>
  </w:style>
  <w:style w:type="paragraph" w:styleId="29">
    <w:name w:val="toc 2"/>
    <w:basedOn w:val="1"/>
    <w:next w:val="1"/>
    <w:qFormat/>
    <w:uiPriority w:val="99"/>
    <w:pPr>
      <w:widowControl/>
      <w:spacing w:after="100" w:line="259" w:lineRule="auto"/>
      <w:ind w:left="220"/>
      <w:jc w:val="left"/>
    </w:pPr>
    <w:rPr>
      <w:kern w:val="0"/>
      <w:sz w:val="22"/>
    </w:rPr>
  </w:style>
  <w:style w:type="paragraph" w:styleId="30">
    <w:name w:val="Body Text 2"/>
    <w:basedOn w:val="1"/>
    <w:link w:val="68"/>
    <w:qFormat/>
    <w:uiPriority w:val="99"/>
    <w:pPr>
      <w:spacing w:after="120" w:line="480" w:lineRule="auto"/>
    </w:pPr>
    <w:rPr>
      <w:rFonts w:ascii="Times New Roman" w:hAnsi="Times New Roman"/>
      <w:szCs w:val="24"/>
    </w:rPr>
  </w:style>
  <w:style w:type="paragraph" w:styleId="31">
    <w:name w:val="Normal (Web)"/>
    <w:basedOn w:val="1"/>
    <w:qFormat/>
    <w:uiPriority w:val="99"/>
    <w:rPr>
      <w:rFonts w:ascii="Times New Roman" w:hAnsi="Times New Roman"/>
      <w:sz w:val="24"/>
      <w:szCs w:val="24"/>
    </w:rPr>
  </w:style>
  <w:style w:type="paragraph" w:styleId="32">
    <w:name w:val="Title"/>
    <w:basedOn w:val="1"/>
    <w:link w:val="145"/>
    <w:qFormat/>
    <w:uiPriority w:val="99"/>
    <w:pPr>
      <w:spacing w:before="240" w:after="60"/>
      <w:jc w:val="center"/>
      <w:outlineLvl w:val="0"/>
    </w:pPr>
    <w:rPr>
      <w:rFonts w:ascii="Arial" w:hAnsi="Arial"/>
      <w:b/>
      <w:sz w:val="22"/>
      <w:szCs w:val="20"/>
    </w:rPr>
  </w:style>
  <w:style w:type="paragraph" w:styleId="33">
    <w:name w:val="annotation subject"/>
    <w:basedOn w:val="15"/>
    <w:next w:val="15"/>
    <w:link w:val="54"/>
    <w:qFormat/>
    <w:uiPriority w:val="99"/>
    <w:rPr>
      <w:b/>
      <w:bCs/>
    </w:rPr>
  </w:style>
  <w:style w:type="paragraph" w:styleId="34">
    <w:name w:val="Body Text First Indent"/>
    <w:basedOn w:val="17"/>
    <w:link w:val="56"/>
    <w:qFormat/>
    <w:uiPriority w:val="99"/>
    <w:pPr>
      <w:spacing w:after="120"/>
      <w:ind w:firstLine="420" w:firstLineChars="100"/>
    </w:pPr>
    <w:rPr>
      <w:sz w:val="21"/>
    </w:rPr>
  </w:style>
  <w:style w:type="paragraph" w:styleId="35">
    <w:name w:val="Body Text First Indent 2"/>
    <w:basedOn w:val="18"/>
    <w:link w:val="65"/>
    <w:qFormat/>
    <w:locked/>
    <w:uiPriority w:val="99"/>
    <w:pPr>
      <w:spacing w:after="0" w:line="360" w:lineRule="auto"/>
      <w:ind w:left="0" w:leftChars="0" w:firstLine="200" w:firstLineChars="200"/>
    </w:pPr>
    <w:rPr>
      <w:rFonts w:ascii="Times New Roman" w:hAnsi="Times New Roman"/>
      <w:kern w:val="0"/>
      <w:sz w:val="24"/>
      <w:szCs w:val="20"/>
    </w:rPr>
  </w:style>
  <w:style w:type="table" w:styleId="37">
    <w:name w:val="Table Grid"/>
    <w:basedOn w:val="3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99"/>
    <w:rPr>
      <w:rFonts w:cs="Times New Roman"/>
      <w:b/>
      <w:bCs/>
    </w:rPr>
  </w:style>
  <w:style w:type="character" w:styleId="40">
    <w:name w:val="page number"/>
    <w:basedOn w:val="38"/>
    <w:qFormat/>
    <w:uiPriority w:val="99"/>
    <w:rPr>
      <w:rFonts w:cs="Times New Roman"/>
    </w:rPr>
  </w:style>
  <w:style w:type="character" w:styleId="41">
    <w:name w:val="FollowedHyperlink"/>
    <w:basedOn w:val="38"/>
    <w:qFormat/>
    <w:uiPriority w:val="99"/>
    <w:rPr>
      <w:rFonts w:cs="Times New Roman"/>
      <w:color w:val="954F72"/>
      <w:u w:val="single"/>
    </w:rPr>
  </w:style>
  <w:style w:type="character" w:styleId="42">
    <w:name w:val="Hyperlink"/>
    <w:basedOn w:val="38"/>
    <w:qFormat/>
    <w:uiPriority w:val="99"/>
    <w:rPr>
      <w:rFonts w:cs="Times New Roman"/>
      <w:color w:val="0563C1"/>
      <w:u w:val="single"/>
    </w:rPr>
  </w:style>
  <w:style w:type="character" w:styleId="43">
    <w:name w:val="annotation reference"/>
    <w:basedOn w:val="38"/>
    <w:qFormat/>
    <w:uiPriority w:val="99"/>
    <w:rPr>
      <w:rFonts w:cs="Times New Roman"/>
      <w:sz w:val="21"/>
      <w:szCs w:val="21"/>
    </w:rPr>
  </w:style>
  <w:style w:type="character" w:customStyle="1" w:styleId="44">
    <w:name w:val="标题 1 Char"/>
    <w:basedOn w:val="38"/>
    <w:link w:val="3"/>
    <w:qFormat/>
    <w:locked/>
    <w:uiPriority w:val="99"/>
    <w:rPr>
      <w:rFonts w:cs="Times New Roman"/>
      <w:b/>
      <w:bCs/>
      <w:kern w:val="44"/>
      <w:sz w:val="32"/>
      <w:szCs w:val="32"/>
    </w:rPr>
  </w:style>
  <w:style w:type="character" w:customStyle="1" w:styleId="45">
    <w:name w:val="标题 2 Char"/>
    <w:basedOn w:val="38"/>
    <w:link w:val="2"/>
    <w:qFormat/>
    <w:locked/>
    <w:uiPriority w:val="99"/>
    <w:rPr>
      <w:rFonts w:ascii="Calibri Light" w:hAnsi="Calibri Light" w:eastAsia="宋体" w:cs="Times New Roman"/>
      <w:b/>
      <w:bCs/>
      <w:sz w:val="32"/>
      <w:szCs w:val="32"/>
    </w:rPr>
  </w:style>
  <w:style w:type="character" w:customStyle="1" w:styleId="46">
    <w:name w:val="标题 3 Char"/>
    <w:basedOn w:val="38"/>
    <w:link w:val="4"/>
    <w:qFormat/>
    <w:locked/>
    <w:uiPriority w:val="99"/>
    <w:rPr>
      <w:rFonts w:ascii="宋体" w:eastAsia="宋体" w:cs="宋体"/>
      <w:b/>
      <w:bCs/>
      <w:kern w:val="0"/>
      <w:sz w:val="21"/>
      <w:szCs w:val="21"/>
    </w:rPr>
  </w:style>
  <w:style w:type="character" w:customStyle="1" w:styleId="47">
    <w:name w:val="标题 4 Char"/>
    <w:basedOn w:val="38"/>
    <w:link w:val="5"/>
    <w:qFormat/>
    <w:locked/>
    <w:uiPriority w:val="99"/>
    <w:rPr>
      <w:rFonts w:ascii="Calibri Light" w:hAnsi="Calibri Light" w:eastAsia="宋体" w:cs="Times New Roman"/>
      <w:b/>
      <w:bCs/>
      <w:sz w:val="28"/>
      <w:szCs w:val="28"/>
    </w:rPr>
  </w:style>
  <w:style w:type="character" w:customStyle="1" w:styleId="48">
    <w:name w:val="标题 5 Char"/>
    <w:basedOn w:val="38"/>
    <w:link w:val="6"/>
    <w:qFormat/>
    <w:locked/>
    <w:uiPriority w:val="99"/>
    <w:rPr>
      <w:rFonts w:ascii="Times New Roman" w:hAnsi="Times New Roman" w:eastAsia="宋体" w:cs="Times New Roman"/>
      <w:kern w:val="0"/>
      <w:sz w:val="20"/>
      <w:szCs w:val="20"/>
    </w:rPr>
  </w:style>
  <w:style w:type="character" w:customStyle="1" w:styleId="49">
    <w:name w:val="标题 6 Char"/>
    <w:basedOn w:val="38"/>
    <w:link w:val="7"/>
    <w:qFormat/>
    <w:locked/>
    <w:uiPriority w:val="99"/>
    <w:rPr>
      <w:rFonts w:ascii="Arial" w:hAnsi="Arial" w:eastAsia="宋体" w:cs="Times New Roman"/>
      <w:kern w:val="0"/>
      <w:sz w:val="20"/>
      <w:szCs w:val="20"/>
    </w:rPr>
  </w:style>
  <w:style w:type="character" w:customStyle="1" w:styleId="50">
    <w:name w:val="标题 7 Char"/>
    <w:basedOn w:val="38"/>
    <w:link w:val="8"/>
    <w:qFormat/>
    <w:locked/>
    <w:uiPriority w:val="99"/>
    <w:rPr>
      <w:rFonts w:ascii="Times New Roman" w:hAnsi="Times New Roman" w:eastAsia="宋体" w:cs="Times New Roman"/>
      <w:kern w:val="0"/>
      <w:sz w:val="20"/>
      <w:szCs w:val="20"/>
    </w:rPr>
  </w:style>
  <w:style w:type="character" w:customStyle="1" w:styleId="51">
    <w:name w:val="标题 8 Char"/>
    <w:basedOn w:val="38"/>
    <w:link w:val="9"/>
    <w:qFormat/>
    <w:locked/>
    <w:uiPriority w:val="99"/>
    <w:rPr>
      <w:rFonts w:ascii="Arial" w:hAnsi="Arial" w:eastAsia="宋体" w:cs="Times New Roman"/>
      <w:kern w:val="0"/>
      <w:sz w:val="24"/>
      <w:szCs w:val="24"/>
    </w:rPr>
  </w:style>
  <w:style w:type="character" w:customStyle="1" w:styleId="52">
    <w:name w:val="标题 9 Char"/>
    <w:basedOn w:val="38"/>
    <w:link w:val="10"/>
    <w:qFormat/>
    <w:locked/>
    <w:uiPriority w:val="99"/>
    <w:rPr>
      <w:rFonts w:ascii="宋体" w:hAnsi="Arial" w:eastAsia="宋体" w:cs="Times New Roman"/>
      <w:kern w:val="0"/>
      <w:sz w:val="24"/>
      <w:szCs w:val="24"/>
    </w:rPr>
  </w:style>
  <w:style w:type="character" w:customStyle="1" w:styleId="53">
    <w:name w:val="批注文字 Char"/>
    <w:basedOn w:val="38"/>
    <w:link w:val="15"/>
    <w:qFormat/>
    <w:locked/>
    <w:uiPriority w:val="99"/>
    <w:rPr>
      <w:rFonts w:cs="Times New Roman"/>
    </w:rPr>
  </w:style>
  <w:style w:type="character" w:customStyle="1" w:styleId="54">
    <w:name w:val="批注主题 Char"/>
    <w:basedOn w:val="53"/>
    <w:link w:val="33"/>
    <w:qFormat/>
    <w:locked/>
    <w:uiPriority w:val="99"/>
    <w:rPr>
      <w:b/>
      <w:bCs/>
    </w:rPr>
  </w:style>
  <w:style w:type="character" w:customStyle="1" w:styleId="55">
    <w:name w:val="正文文本 Char"/>
    <w:basedOn w:val="38"/>
    <w:link w:val="17"/>
    <w:qFormat/>
    <w:locked/>
    <w:uiPriority w:val="99"/>
    <w:rPr>
      <w:rFonts w:ascii="Times New Roman" w:hAnsi="Times New Roman" w:eastAsia="宋体" w:cs="Times New Roman"/>
      <w:sz w:val="24"/>
      <w:szCs w:val="24"/>
    </w:rPr>
  </w:style>
  <w:style w:type="character" w:customStyle="1" w:styleId="56">
    <w:name w:val="正文首行缩进 Char"/>
    <w:basedOn w:val="55"/>
    <w:link w:val="34"/>
    <w:qFormat/>
    <w:locked/>
    <w:uiPriority w:val="99"/>
  </w:style>
  <w:style w:type="character" w:customStyle="1" w:styleId="57">
    <w:name w:val="文档结构图 Char"/>
    <w:basedOn w:val="38"/>
    <w:link w:val="13"/>
    <w:semiHidden/>
    <w:qFormat/>
    <w:locked/>
    <w:uiPriority w:val="99"/>
    <w:rPr>
      <w:rFonts w:ascii="宋体" w:hAnsi="Times New Roman" w:eastAsia="宋体" w:cs="Times New Roman"/>
      <w:sz w:val="18"/>
      <w:szCs w:val="18"/>
    </w:rPr>
  </w:style>
  <w:style w:type="character" w:customStyle="1" w:styleId="58">
    <w:name w:val="正文文本 3 Char"/>
    <w:basedOn w:val="38"/>
    <w:link w:val="16"/>
    <w:qFormat/>
    <w:locked/>
    <w:uiPriority w:val="99"/>
    <w:rPr>
      <w:rFonts w:ascii="宋体" w:hAnsi="Times New Roman" w:eastAsia="宋体" w:cs="Times New Roman"/>
      <w:sz w:val="20"/>
      <w:szCs w:val="20"/>
    </w:rPr>
  </w:style>
  <w:style w:type="character" w:customStyle="1" w:styleId="59">
    <w:name w:val="正文文本缩进 Char"/>
    <w:basedOn w:val="38"/>
    <w:link w:val="18"/>
    <w:qFormat/>
    <w:locked/>
    <w:uiPriority w:val="99"/>
    <w:rPr>
      <w:rFonts w:cs="Times New Roman"/>
    </w:rPr>
  </w:style>
  <w:style w:type="character" w:customStyle="1" w:styleId="60">
    <w:name w:val="纯文本 Char"/>
    <w:basedOn w:val="38"/>
    <w:link w:val="20"/>
    <w:qFormat/>
    <w:locked/>
    <w:uiPriority w:val="0"/>
    <w:rPr>
      <w:rFonts w:ascii="宋体" w:hAnsi="Courier New" w:eastAsia="宋体" w:cs="Times New Roman"/>
      <w:sz w:val="20"/>
      <w:szCs w:val="20"/>
    </w:rPr>
  </w:style>
  <w:style w:type="character" w:customStyle="1" w:styleId="61">
    <w:name w:val="日期 Char"/>
    <w:basedOn w:val="38"/>
    <w:link w:val="21"/>
    <w:qFormat/>
    <w:locked/>
    <w:uiPriority w:val="99"/>
    <w:rPr>
      <w:rFonts w:ascii="宋体" w:hAnsi="宋体" w:eastAsia="宋体" w:cs="Times New Roman"/>
      <w:sz w:val="24"/>
      <w:szCs w:val="24"/>
    </w:rPr>
  </w:style>
  <w:style w:type="character" w:customStyle="1" w:styleId="62">
    <w:name w:val="正文文本缩进 2 Char"/>
    <w:basedOn w:val="38"/>
    <w:link w:val="22"/>
    <w:qFormat/>
    <w:locked/>
    <w:uiPriority w:val="99"/>
    <w:rPr>
      <w:rFonts w:ascii="仿宋_GB2312" w:hAnsi="Times New Roman" w:eastAsia="仿宋_GB2312" w:cs="Times New Roman"/>
      <w:kern w:val="0"/>
      <w:sz w:val="24"/>
      <w:szCs w:val="24"/>
    </w:rPr>
  </w:style>
  <w:style w:type="character" w:customStyle="1" w:styleId="63">
    <w:name w:val="批注框文本 Char"/>
    <w:basedOn w:val="38"/>
    <w:link w:val="23"/>
    <w:semiHidden/>
    <w:qFormat/>
    <w:locked/>
    <w:uiPriority w:val="99"/>
    <w:rPr>
      <w:rFonts w:cs="Times New Roman"/>
      <w:sz w:val="18"/>
      <w:szCs w:val="18"/>
    </w:rPr>
  </w:style>
  <w:style w:type="character" w:customStyle="1" w:styleId="64">
    <w:name w:val="页脚 Char"/>
    <w:basedOn w:val="38"/>
    <w:link w:val="24"/>
    <w:qFormat/>
    <w:locked/>
    <w:uiPriority w:val="99"/>
    <w:rPr>
      <w:rFonts w:cs="Times New Roman"/>
      <w:sz w:val="18"/>
      <w:szCs w:val="18"/>
    </w:rPr>
  </w:style>
  <w:style w:type="character" w:customStyle="1" w:styleId="65">
    <w:name w:val="正文首行缩进 2 Char"/>
    <w:basedOn w:val="59"/>
    <w:link w:val="35"/>
    <w:semiHidden/>
    <w:qFormat/>
    <w:locked/>
    <w:uiPriority w:val="99"/>
    <w:rPr>
      <w:rFonts w:ascii="Calibri" w:hAnsi="Calibri"/>
    </w:rPr>
  </w:style>
  <w:style w:type="character" w:customStyle="1" w:styleId="66">
    <w:name w:val="页眉 Char"/>
    <w:basedOn w:val="38"/>
    <w:link w:val="25"/>
    <w:qFormat/>
    <w:locked/>
    <w:uiPriority w:val="99"/>
    <w:rPr>
      <w:rFonts w:cs="Times New Roman"/>
      <w:sz w:val="18"/>
      <w:szCs w:val="18"/>
    </w:rPr>
  </w:style>
  <w:style w:type="character" w:customStyle="1" w:styleId="67">
    <w:name w:val="正文文本缩进 3 Char"/>
    <w:basedOn w:val="38"/>
    <w:link w:val="28"/>
    <w:qFormat/>
    <w:locked/>
    <w:uiPriority w:val="99"/>
    <w:rPr>
      <w:rFonts w:ascii="宋体" w:hAnsi="Times New Roman" w:eastAsia="宋体" w:cs="Times New Roman"/>
      <w:sz w:val="20"/>
      <w:szCs w:val="20"/>
    </w:rPr>
  </w:style>
  <w:style w:type="character" w:customStyle="1" w:styleId="68">
    <w:name w:val="正文文本 2 Char"/>
    <w:basedOn w:val="38"/>
    <w:link w:val="30"/>
    <w:qFormat/>
    <w:locked/>
    <w:uiPriority w:val="99"/>
    <w:rPr>
      <w:rFonts w:ascii="Times New Roman" w:hAnsi="Times New Roman" w:eastAsia="宋体" w:cs="Times New Roman"/>
      <w:sz w:val="24"/>
      <w:szCs w:val="24"/>
    </w:rPr>
  </w:style>
  <w:style w:type="character" w:customStyle="1" w:styleId="69">
    <w:name w:val="Title Char"/>
    <w:basedOn w:val="38"/>
    <w:link w:val="32"/>
    <w:qFormat/>
    <w:locked/>
    <w:uiPriority w:val="99"/>
    <w:rPr>
      <w:rFonts w:ascii="Cambria" w:hAnsi="Cambria" w:cs="Times New Roman"/>
      <w:b/>
      <w:bCs/>
      <w:sz w:val="32"/>
      <w:szCs w:val="32"/>
    </w:rPr>
  </w:style>
  <w:style w:type="paragraph" w:customStyle="1" w:styleId="70">
    <w:name w:val="图"/>
    <w:basedOn w:val="1"/>
    <w:qFormat/>
    <w:uiPriority w:val="99"/>
    <w:pPr>
      <w:keepNext/>
      <w:adjustRightInd w:val="0"/>
      <w:spacing w:before="60" w:after="60" w:line="300" w:lineRule="auto"/>
      <w:jc w:val="center"/>
      <w:textAlignment w:val="center"/>
    </w:pPr>
    <w:rPr>
      <w:rFonts w:ascii="Times New Roman" w:hAnsi="Times New Roman"/>
      <w:spacing w:val="20"/>
      <w:kern w:val="0"/>
      <w:sz w:val="24"/>
      <w:szCs w:val="20"/>
    </w:rPr>
  </w:style>
  <w:style w:type="paragraph" w:customStyle="1" w:styleId="71">
    <w:name w:val="TOC 标题1"/>
    <w:basedOn w:val="3"/>
    <w:next w:val="1"/>
    <w:qFormat/>
    <w:uiPriority w:val="99"/>
    <w:pPr>
      <w:widowControl/>
      <w:spacing w:before="240" w:line="259" w:lineRule="auto"/>
      <w:jc w:val="left"/>
      <w:outlineLvl w:val="9"/>
    </w:pPr>
    <w:rPr>
      <w:rFonts w:ascii="Calibri Light" w:hAnsi="Calibri Light"/>
      <w:b w:val="0"/>
      <w:bCs w:val="0"/>
      <w:color w:val="2E74B5"/>
      <w:kern w:val="0"/>
    </w:rPr>
  </w:style>
  <w:style w:type="paragraph" w:styleId="72">
    <w:name w:val="List Paragraph"/>
    <w:basedOn w:val="1"/>
    <w:qFormat/>
    <w:uiPriority w:val="34"/>
    <w:pPr>
      <w:ind w:firstLine="420" w:firstLineChars="200"/>
    </w:pPr>
  </w:style>
  <w:style w:type="character" w:customStyle="1" w:styleId="73">
    <w:name w:val="Char Char"/>
    <w:basedOn w:val="38"/>
    <w:semiHidden/>
    <w:qFormat/>
    <w:uiPriority w:val="99"/>
    <w:rPr>
      <w:rFonts w:ascii="宋体" w:hAnsi="Courier New" w:eastAsia="宋体" w:cs="Times New Roman"/>
      <w:kern w:val="2"/>
      <w:sz w:val="21"/>
      <w:lang w:val="en-US" w:eastAsia="zh-CN" w:bidi="ar-SA"/>
    </w:rPr>
  </w:style>
  <w:style w:type="paragraph" w:customStyle="1" w:styleId="74">
    <w:name w:val="目录2"/>
    <w:basedOn w:val="20"/>
    <w:qFormat/>
    <w:uiPriority w:val="99"/>
    <w:pPr>
      <w:adjustRightInd/>
      <w:snapToGrid/>
      <w:spacing w:line="800" w:lineRule="exact"/>
      <w:jc w:val="center"/>
    </w:pPr>
    <w:rPr>
      <w:rFonts w:ascii="华文中宋" w:hAnsi="华文中宋" w:eastAsia="华文中宋"/>
      <w:b/>
      <w:bCs/>
      <w:sz w:val="32"/>
    </w:rPr>
  </w:style>
  <w:style w:type="paragraph" w:customStyle="1" w:styleId="75">
    <w:name w:val="目录1"/>
    <w:basedOn w:val="20"/>
    <w:qFormat/>
    <w:uiPriority w:val="99"/>
    <w:pPr>
      <w:topLinePunct/>
      <w:adjustRightInd/>
      <w:snapToGrid/>
      <w:spacing w:beforeLines="100" w:afterLines="100" w:line="500" w:lineRule="exact"/>
      <w:jc w:val="center"/>
    </w:pPr>
    <w:rPr>
      <w:rFonts w:ascii="黑体" w:eastAsia="黑体"/>
      <w:b/>
      <w:bCs/>
      <w:sz w:val="40"/>
    </w:rPr>
  </w:style>
  <w:style w:type="paragraph" w:customStyle="1" w:styleId="76">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77">
    <w:name w:val="font6"/>
    <w:basedOn w:val="1"/>
    <w:qFormat/>
    <w:uiPriority w:val="99"/>
    <w:pPr>
      <w:widowControl/>
      <w:spacing w:before="100" w:beforeAutospacing="1" w:after="100" w:afterAutospacing="1"/>
      <w:jc w:val="left"/>
    </w:pPr>
    <w:rPr>
      <w:rFonts w:ascii="宋体" w:hAnsi="宋体"/>
      <w:kern w:val="0"/>
      <w:sz w:val="20"/>
      <w:szCs w:val="20"/>
    </w:rPr>
  </w:style>
  <w:style w:type="paragraph" w:customStyle="1" w:styleId="78">
    <w:name w:val="xl25"/>
    <w:basedOn w:val="1"/>
    <w:qFormat/>
    <w:uiPriority w:val="99"/>
    <w:pPr>
      <w:widowControl/>
      <w:pBdr>
        <w:top w:val="double" w:color="auto" w:sz="6"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79">
    <w:name w:val="xl26"/>
    <w:basedOn w:val="1"/>
    <w:qFormat/>
    <w:uiPriority w:val="99"/>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0">
    <w:name w:val="xl27"/>
    <w:basedOn w:val="1"/>
    <w:qFormat/>
    <w:uiPriority w:val="99"/>
    <w:pPr>
      <w:widowControl/>
      <w:pBdr>
        <w:top w:val="double" w:color="auto" w:sz="6" w:space="0"/>
        <w:left w:val="single" w:color="auto" w:sz="4" w:space="0"/>
        <w:right w:val="double" w:color="auto" w:sz="6" w:space="0"/>
      </w:pBdr>
      <w:spacing w:before="100" w:beforeAutospacing="1" w:after="100" w:afterAutospacing="1"/>
      <w:jc w:val="center"/>
      <w:textAlignment w:val="center"/>
    </w:pPr>
    <w:rPr>
      <w:rFonts w:ascii="宋体" w:hAnsi="宋体"/>
      <w:kern w:val="0"/>
      <w:sz w:val="20"/>
      <w:szCs w:val="20"/>
    </w:rPr>
  </w:style>
  <w:style w:type="paragraph" w:customStyle="1" w:styleId="81">
    <w:name w:val="xl28"/>
    <w:basedOn w:val="1"/>
    <w:qFormat/>
    <w:uiPriority w:val="99"/>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2">
    <w:name w:val="xl29"/>
    <w:basedOn w:val="1"/>
    <w:qFormat/>
    <w:uiPriority w:val="99"/>
    <w:pPr>
      <w:widowControl/>
      <w:pBdr>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3">
    <w:name w:val="xl30"/>
    <w:basedOn w:val="1"/>
    <w:qFormat/>
    <w:uiPriority w:val="99"/>
    <w:pPr>
      <w:widowControl/>
      <w:pBdr>
        <w:top w:val="double" w:color="auto" w:sz="6"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84">
    <w:name w:val="xl31"/>
    <w:basedOn w:val="1"/>
    <w:qFormat/>
    <w:uiPriority w:val="99"/>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textAlignment w:val="center"/>
    </w:pPr>
    <w:rPr>
      <w:rFonts w:ascii="宋体" w:hAnsi="宋体"/>
      <w:kern w:val="0"/>
      <w:sz w:val="18"/>
      <w:szCs w:val="18"/>
    </w:rPr>
  </w:style>
  <w:style w:type="paragraph" w:customStyle="1" w:styleId="85">
    <w:name w:val="xl32"/>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8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18"/>
      <w:szCs w:val="18"/>
    </w:rPr>
  </w:style>
  <w:style w:type="paragraph" w:customStyle="1" w:styleId="87">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8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89">
    <w:name w:val="xl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90">
    <w:name w:val="xl37"/>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1">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3">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4">
    <w:name w:val="xl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8"/>
      <w:szCs w:val="18"/>
    </w:rPr>
  </w:style>
  <w:style w:type="paragraph" w:customStyle="1" w:styleId="97">
    <w:name w:val="xl44"/>
    <w:basedOn w:val="1"/>
    <w:qFormat/>
    <w:uiPriority w:val="99"/>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9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kern w:val="0"/>
      <w:sz w:val="18"/>
      <w:szCs w:val="18"/>
    </w:rPr>
  </w:style>
  <w:style w:type="paragraph" w:customStyle="1" w:styleId="99">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00">
    <w:name w:val="xl47"/>
    <w:basedOn w:val="1"/>
    <w:qFormat/>
    <w:uiPriority w:val="99"/>
    <w:pPr>
      <w:widowControl/>
      <w:pBdr>
        <w:top w:val="single" w:color="auto" w:sz="4" w:space="0"/>
        <w:left w:val="single" w:color="auto" w:sz="4" w:space="0"/>
        <w:bottom w:val="double" w:color="auto" w:sz="6" w:space="0"/>
      </w:pBdr>
      <w:spacing w:before="100" w:beforeAutospacing="1" w:after="100" w:afterAutospacing="1"/>
      <w:jc w:val="center"/>
      <w:textAlignment w:val="center"/>
    </w:pPr>
    <w:rPr>
      <w:rFonts w:ascii="Times New Roman" w:hAnsi="Times New Roman"/>
      <w:b/>
      <w:bCs/>
      <w:kern w:val="0"/>
      <w:sz w:val="18"/>
      <w:szCs w:val="18"/>
    </w:rPr>
  </w:style>
  <w:style w:type="paragraph" w:customStyle="1" w:styleId="101">
    <w:name w:val="正文编号"/>
    <w:basedOn w:val="1"/>
    <w:next w:val="22"/>
    <w:qFormat/>
    <w:uiPriority w:val="99"/>
    <w:pPr>
      <w:spacing w:line="480" w:lineRule="auto"/>
      <w:ind w:firstLine="560" w:firstLineChars="200"/>
    </w:pPr>
    <w:rPr>
      <w:rFonts w:ascii="宋体" w:hAnsi="宋体" w:cs="Arial"/>
      <w:kern w:val="24"/>
      <w:sz w:val="28"/>
      <w:szCs w:val="28"/>
      <w:lang w:val="sv-SE"/>
    </w:rPr>
  </w:style>
  <w:style w:type="paragraph" w:customStyle="1" w:styleId="102">
    <w:name w:val="Bodytext"/>
    <w:basedOn w:val="1"/>
    <w:next w:val="18"/>
    <w:qFormat/>
    <w:uiPriority w:val="99"/>
    <w:pPr>
      <w:autoSpaceDE w:val="0"/>
      <w:autoSpaceDN w:val="0"/>
      <w:adjustRightInd w:val="0"/>
      <w:ind w:firstLine="480"/>
      <w:textAlignment w:val="bottom"/>
    </w:pPr>
    <w:rPr>
      <w:rFonts w:ascii="宋体" w:hAnsi="Times New Roman"/>
      <w:kern w:val="0"/>
      <w:sz w:val="24"/>
      <w:szCs w:val="20"/>
    </w:rPr>
  </w:style>
  <w:style w:type="character" w:customStyle="1" w:styleId="103">
    <w:name w:val="Char Char2"/>
    <w:basedOn w:val="38"/>
    <w:qFormat/>
    <w:uiPriority w:val="99"/>
    <w:rPr>
      <w:rFonts w:cs="Times New Roman"/>
      <w:kern w:val="2"/>
      <w:sz w:val="24"/>
      <w:szCs w:val="24"/>
    </w:rPr>
  </w:style>
  <w:style w:type="character" w:customStyle="1" w:styleId="104">
    <w:name w:val="Char Char1"/>
    <w:basedOn w:val="103"/>
    <w:qFormat/>
    <w:uiPriority w:val="99"/>
    <w:rPr>
      <w:b/>
      <w:bCs/>
    </w:rPr>
  </w:style>
  <w:style w:type="character" w:customStyle="1" w:styleId="105">
    <w:name w:val="Char Char3"/>
    <w:basedOn w:val="38"/>
    <w:semiHidden/>
    <w:qFormat/>
    <w:uiPriority w:val="99"/>
    <w:rPr>
      <w:rFonts w:ascii="宋体" w:cs="Times New Roman"/>
      <w:kern w:val="2"/>
      <w:sz w:val="18"/>
      <w:szCs w:val="18"/>
    </w:rPr>
  </w:style>
  <w:style w:type="paragraph" w:customStyle="1" w:styleId="106">
    <w:name w:val="xl77"/>
    <w:basedOn w:val="1"/>
    <w:qFormat/>
    <w:uiPriority w:val="99"/>
    <w:pPr>
      <w:widowControl/>
      <w:pBdr>
        <w:bottom w:val="single" w:color="auto" w:sz="8" w:space="0"/>
      </w:pBdr>
      <w:spacing w:before="100" w:beforeAutospacing="1" w:after="100" w:afterAutospacing="1"/>
      <w:jc w:val="left"/>
      <w:textAlignment w:val="center"/>
    </w:pPr>
    <w:rPr>
      <w:rFonts w:ascii="宋体" w:hAnsi="宋体"/>
      <w:kern w:val="0"/>
      <w:sz w:val="24"/>
      <w:szCs w:val="24"/>
    </w:rPr>
  </w:style>
  <w:style w:type="paragraph" w:customStyle="1" w:styleId="10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08">
    <w:name w:val="普通正文"/>
    <w:basedOn w:val="1"/>
    <w:qFormat/>
    <w:uiPriority w:val="99"/>
    <w:pPr>
      <w:adjustRightInd w:val="0"/>
      <w:spacing w:before="100" w:after="100" w:line="340" w:lineRule="exact"/>
      <w:ind w:firstLine="482"/>
      <w:jc w:val="left"/>
      <w:textAlignment w:val="baseline"/>
    </w:pPr>
    <w:rPr>
      <w:rFonts w:ascii="Arial" w:hAnsi="Arial"/>
      <w:kern w:val="0"/>
      <w:sz w:val="24"/>
      <w:szCs w:val="24"/>
    </w:rPr>
  </w:style>
  <w:style w:type="paragraph" w:customStyle="1" w:styleId="109">
    <w:name w:val="#"/>
    <w:basedOn w:val="1"/>
    <w:qFormat/>
    <w:uiPriority w:val="99"/>
    <w:pPr>
      <w:tabs>
        <w:tab w:val="left" w:pos="964"/>
      </w:tabs>
      <w:spacing w:line="360" w:lineRule="auto"/>
      <w:ind w:left="964" w:hanging="482"/>
    </w:pPr>
    <w:rPr>
      <w:rFonts w:ascii="Times New Roman" w:hAnsi="Times New Roman"/>
      <w:sz w:val="24"/>
      <w:szCs w:val="24"/>
    </w:rPr>
  </w:style>
  <w:style w:type="paragraph" w:customStyle="1" w:styleId="110">
    <w:name w:val="7"/>
    <w:basedOn w:val="1"/>
    <w:qFormat/>
    <w:uiPriority w:val="99"/>
    <w:rPr>
      <w:rFonts w:ascii="Times New Roman" w:hAnsi="Times New Roman"/>
      <w:szCs w:val="24"/>
    </w:rPr>
  </w:style>
  <w:style w:type="paragraph" w:customStyle="1" w:styleId="111">
    <w:name w:val="标准正文"/>
    <w:basedOn w:val="1"/>
    <w:qFormat/>
    <w:uiPriority w:val="99"/>
    <w:pPr>
      <w:spacing w:before="60" w:after="60" w:line="360" w:lineRule="auto"/>
      <w:ind w:firstLine="482" w:firstLineChars="200"/>
    </w:pPr>
    <w:rPr>
      <w:rFonts w:ascii="Arial" w:hAnsi="Arial"/>
      <w:b/>
      <w:sz w:val="24"/>
      <w:szCs w:val="20"/>
    </w:rPr>
  </w:style>
  <w:style w:type="paragraph" w:customStyle="1" w:styleId="112">
    <w:name w:val="样式 行距: 1.5 倍行距"/>
    <w:basedOn w:val="1"/>
    <w:qFormat/>
    <w:uiPriority w:val="99"/>
    <w:pPr>
      <w:numPr>
        <w:ilvl w:val="0"/>
        <w:numId w:val="1"/>
      </w:numPr>
      <w:spacing w:line="360" w:lineRule="auto"/>
    </w:pPr>
    <w:rPr>
      <w:rFonts w:ascii="Times New Roman" w:hAnsi="Times New Roman" w:eastAsia="楷体_GB2312"/>
      <w:sz w:val="24"/>
      <w:szCs w:val="20"/>
    </w:rPr>
  </w:style>
  <w:style w:type="paragraph" w:customStyle="1" w:styleId="113">
    <w:name w:val="样式3"/>
    <w:basedOn w:val="20"/>
    <w:qFormat/>
    <w:uiPriority w:val="99"/>
    <w:pPr>
      <w:adjustRightInd/>
      <w:snapToGrid/>
      <w:spacing w:line="240" w:lineRule="atLeast"/>
      <w:outlineLvl w:val="0"/>
    </w:pPr>
    <w:rPr>
      <w:sz w:val="28"/>
    </w:rPr>
  </w:style>
  <w:style w:type="paragraph" w:customStyle="1" w:styleId="114">
    <w:name w:val="@"/>
    <w:basedOn w:val="1"/>
    <w:qFormat/>
    <w:uiPriority w:val="99"/>
    <w:pPr>
      <w:numPr>
        <w:ilvl w:val="0"/>
        <w:numId w:val="2"/>
      </w:numPr>
      <w:spacing w:line="360" w:lineRule="auto"/>
    </w:pPr>
    <w:rPr>
      <w:rFonts w:ascii="Times New Roman" w:hAnsi="Times New Roman"/>
      <w:sz w:val="24"/>
      <w:szCs w:val="24"/>
    </w:rPr>
  </w:style>
  <w:style w:type="paragraph" w:customStyle="1" w:styleId="115">
    <w:name w:val="Style8"/>
    <w:basedOn w:val="1"/>
    <w:qFormat/>
    <w:uiPriority w:val="99"/>
    <w:pPr>
      <w:numPr>
        <w:ilvl w:val="0"/>
        <w:numId w:val="3"/>
      </w:numPr>
      <w:spacing w:beforeLines="50" w:afterLines="50" w:line="276" w:lineRule="auto"/>
    </w:pPr>
    <w:rPr>
      <w:rFonts w:ascii="Arial" w:hAnsi="Arial"/>
      <w:sz w:val="24"/>
      <w:szCs w:val="24"/>
    </w:rPr>
  </w:style>
  <w:style w:type="paragraph" w:customStyle="1" w:styleId="116">
    <w:name w:val="MM Topic 1"/>
    <w:basedOn w:val="3"/>
    <w:qFormat/>
    <w:uiPriority w:val="99"/>
    <w:pPr>
      <w:numPr>
        <w:ilvl w:val="0"/>
        <w:numId w:val="4"/>
      </w:numPr>
      <w:spacing w:before="340" w:after="330" w:line="578" w:lineRule="auto"/>
      <w:jc w:val="both"/>
    </w:pPr>
    <w:rPr>
      <w:rFonts w:ascii="Times New Roman" w:hAnsi="Times New Roman"/>
      <w:sz w:val="44"/>
      <w:szCs w:val="44"/>
    </w:rPr>
  </w:style>
  <w:style w:type="paragraph" w:customStyle="1" w:styleId="117">
    <w:name w:val="MM Topic 2"/>
    <w:basedOn w:val="2"/>
    <w:qFormat/>
    <w:uiPriority w:val="99"/>
    <w:pPr>
      <w:numPr>
        <w:ilvl w:val="1"/>
        <w:numId w:val="4"/>
      </w:numPr>
      <w:spacing w:before="260" w:after="260" w:line="416" w:lineRule="auto"/>
    </w:pPr>
    <w:rPr>
      <w:rFonts w:ascii="Arial" w:hAnsi="Arial" w:eastAsia="黑体"/>
      <w:sz w:val="32"/>
    </w:rPr>
  </w:style>
  <w:style w:type="paragraph" w:customStyle="1" w:styleId="118">
    <w:name w:val="MM Topic 3"/>
    <w:basedOn w:val="4"/>
    <w:qFormat/>
    <w:uiPriority w:val="99"/>
    <w:pPr>
      <w:numPr>
        <w:ilvl w:val="2"/>
        <w:numId w:val="4"/>
      </w:numPr>
      <w:ind w:left="0"/>
    </w:pPr>
    <w:rPr>
      <w:rFonts w:ascii="Times New Roman" w:hAnsi="Times New Roman" w:cs="Times New Roman"/>
    </w:rPr>
  </w:style>
  <w:style w:type="paragraph" w:customStyle="1" w:styleId="119">
    <w:name w:val="MM Topic 4"/>
    <w:basedOn w:val="5"/>
    <w:qFormat/>
    <w:uiPriority w:val="99"/>
    <w:pPr>
      <w:numPr>
        <w:ilvl w:val="3"/>
        <w:numId w:val="4"/>
      </w:numPr>
    </w:pPr>
    <w:rPr>
      <w:rFonts w:ascii="Arial" w:hAnsi="Arial" w:eastAsia="黑体"/>
    </w:rPr>
  </w:style>
  <w:style w:type="paragraph" w:customStyle="1" w:styleId="120">
    <w:name w:val="样式 标题 3标题 3my第二层条第三层h3H3l3CTLevel 3 Topic HeadingHeadin..."/>
    <w:basedOn w:val="4"/>
    <w:qFormat/>
    <w:uiPriority w:val="99"/>
    <w:pPr>
      <w:tabs>
        <w:tab w:val="left" w:pos="2160"/>
      </w:tabs>
      <w:suppressAutoHyphens/>
      <w:adjustRightInd w:val="0"/>
      <w:ind w:hanging="360"/>
      <w:jc w:val="left"/>
      <w:textAlignment w:val="baseline"/>
    </w:pPr>
    <w:rPr>
      <w:rFonts w:ascii="黑体" w:eastAsia="黑体" w:cs="Times New Roman"/>
      <w:b w:val="0"/>
      <w:bCs w:val="0"/>
      <w:color w:val="000000"/>
    </w:rPr>
  </w:style>
  <w:style w:type="paragraph" w:customStyle="1" w:styleId="121">
    <w:name w:val="Char Char Char Char Char Char Char"/>
    <w:basedOn w:val="1"/>
    <w:qFormat/>
    <w:uiPriority w:val="99"/>
    <w:pPr>
      <w:spacing w:line="360" w:lineRule="auto"/>
    </w:pPr>
    <w:rPr>
      <w:rFonts w:ascii="Tahoma" w:hAnsi="Tahoma"/>
      <w:sz w:val="24"/>
      <w:szCs w:val="20"/>
    </w:rPr>
  </w:style>
  <w:style w:type="paragraph" w:customStyle="1" w:styleId="122">
    <w:name w:val="Char1"/>
    <w:basedOn w:val="1"/>
    <w:qFormat/>
    <w:uiPriority w:val="99"/>
    <w:pPr>
      <w:spacing w:line="360" w:lineRule="auto"/>
    </w:pPr>
    <w:rPr>
      <w:rFonts w:ascii="Tahoma" w:hAnsi="Tahoma" w:cs="仿宋_GB2312"/>
      <w:szCs w:val="20"/>
    </w:rPr>
  </w:style>
  <w:style w:type="paragraph" w:customStyle="1" w:styleId="123">
    <w:name w:val="Char Char Char Char Char Char Char Char Char Char Char Char Char Char Char Char Char Char Char Char Char1 Char"/>
    <w:basedOn w:val="1"/>
    <w:qFormat/>
    <w:uiPriority w:val="99"/>
    <w:pPr>
      <w:widowControl/>
      <w:spacing w:after="160" w:line="240" w:lineRule="exact"/>
      <w:jc w:val="left"/>
    </w:pPr>
    <w:rPr>
      <w:rFonts w:ascii="Verdana" w:hAnsi="Verdana" w:eastAsia="仿宋_GB2312"/>
      <w:color w:val="000000"/>
      <w:kern w:val="0"/>
      <w:sz w:val="24"/>
      <w:szCs w:val="20"/>
      <w:lang w:eastAsia="en-US"/>
    </w:rPr>
  </w:style>
  <w:style w:type="paragraph" w:customStyle="1" w:styleId="124">
    <w:name w:val="样式"/>
    <w:qFormat/>
    <w:uiPriority w:val="99"/>
    <w:pPr>
      <w:widowControl w:val="0"/>
      <w:suppressAutoHyphens/>
      <w:autoSpaceDE w:val="0"/>
    </w:pPr>
    <w:rPr>
      <w:rFonts w:ascii="宋体" w:hAnsi="宋体" w:eastAsia="宋体" w:cs="宋体"/>
      <w:kern w:val="0"/>
      <w:sz w:val="24"/>
      <w:szCs w:val="24"/>
      <w:lang w:val="en-US" w:eastAsia="ar-SA" w:bidi="ar-SA"/>
    </w:rPr>
  </w:style>
  <w:style w:type="character" w:customStyle="1" w:styleId="125">
    <w:name w:val="样式 标题 1 +1 Char Char"/>
    <w:basedOn w:val="38"/>
    <w:qFormat/>
    <w:uiPriority w:val="99"/>
    <w:rPr>
      <w:rFonts w:eastAsia="宋体" w:cs="Times New Roman"/>
      <w:b/>
      <w:bCs/>
      <w:sz w:val="44"/>
      <w:szCs w:val="44"/>
      <w:lang w:val="en-US" w:eastAsia="zh-CN" w:bidi="ar-SA"/>
    </w:rPr>
  </w:style>
  <w:style w:type="paragraph" w:customStyle="1" w:styleId="126">
    <w:name w:val="列出段落1"/>
    <w:basedOn w:val="1"/>
    <w:link w:val="151"/>
    <w:qFormat/>
    <w:uiPriority w:val="99"/>
    <w:pPr>
      <w:ind w:firstLine="420" w:firstLineChars="200"/>
    </w:pPr>
    <w:rPr>
      <w:sz w:val="24"/>
      <w:szCs w:val="20"/>
    </w:rPr>
  </w:style>
  <w:style w:type="paragraph" w:customStyle="1" w:styleId="127">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_Style 4"/>
    <w:qFormat/>
    <w:uiPriority w:val="99"/>
    <w:rPr>
      <w:rFonts w:ascii="Calibri" w:hAnsi="Calibri" w:eastAsia="宋体" w:cs="Times New Roman"/>
      <w:kern w:val="0"/>
      <w:sz w:val="22"/>
      <w:szCs w:val="22"/>
      <w:lang w:val="en-US" w:eastAsia="zh-CN" w:bidi="ar-SA"/>
    </w:rPr>
  </w:style>
  <w:style w:type="character" w:customStyle="1" w:styleId="129">
    <w:name w:val="apple-converted-space"/>
    <w:basedOn w:val="38"/>
    <w:uiPriority w:val="99"/>
    <w:rPr>
      <w:rFonts w:cs="Times New Roman"/>
    </w:rPr>
  </w:style>
  <w:style w:type="paragraph" w:customStyle="1" w:styleId="130">
    <w:name w:val="1"/>
    <w:basedOn w:val="1"/>
    <w:next w:val="1"/>
    <w:uiPriority w:val="99"/>
    <w:rPr>
      <w:rFonts w:ascii="Times New Roman" w:hAnsi="Times New Roman"/>
      <w:szCs w:val="24"/>
    </w:rPr>
  </w:style>
  <w:style w:type="paragraph" w:customStyle="1" w:styleId="131">
    <w:name w:val="Table Paragraph"/>
    <w:basedOn w:val="1"/>
    <w:qFormat/>
    <w:uiPriority w:val="99"/>
    <w:pPr>
      <w:jc w:val="left"/>
    </w:pPr>
    <w:rPr>
      <w:kern w:val="0"/>
      <w:sz w:val="22"/>
      <w:lang w:eastAsia="en-US"/>
    </w:rPr>
  </w:style>
  <w:style w:type="character" w:customStyle="1" w:styleId="132">
    <w:name w:val="占位符文本1"/>
    <w:semiHidden/>
    <w:uiPriority w:val="99"/>
    <w:rPr>
      <w:color w:val="808080"/>
    </w:rPr>
  </w:style>
  <w:style w:type="character" w:customStyle="1" w:styleId="133">
    <w:name w:val="Char Char10"/>
    <w:semiHidden/>
    <w:uiPriority w:val="99"/>
    <w:rPr>
      <w:rFonts w:ascii="Cambria" w:hAnsi="Cambria" w:eastAsia="宋体"/>
      <w:b/>
      <w:kern w:val="2"/>
      <w:sz w:val="24"/>
    </w:rPr>
  </w:style>
  <w:style w:type="character" w:customStyle="1" w:styleId="134">
    <w:name w:val="Char Char7"/>
    <w:semiHidden/>
    <w:uiPriority w:val="99"/>
    <w:rPr>
      <w:rFonts w:ascii="Cambria" w:hAnsi="Cambria" w:eastAsia="宋体"/>
      <w:kern w:val="2"/>
      <w:sz w:val="21"/>
    </w:rPr>
  </w:style>
  <w:style w:type="character" w:customStyle="1" w:styleId="135">
    <w:name w:val="二级 Char"/>
    <w:link w:val="136"/>
    <w:qFormat/>
    <w:locked/>
    <w:uiPriority w:val="99"/>
    <w:rPr>
      <w:rFonts w:ascii="宋体" w:hAnsi="宋体" w:eastAsia="宋体"/>
      <w:b/>
      <w:sz w:val="28"/>
    </w:rPr>
  </w:style>
  <w:style w:type="paragraph" w:customStyle="1" w:styleId="136">
    <w:name w:val="二级"/>
    <w:basedOn w:val="2"/>
    <w:link w:val="135"/>
    <w:qFormat/>
    <w:uiPriority w:val="99"/>
    <w:pPr>
      <w:spacing w:before="260" w:after="260" w:line="416" w:lineRule="auto"/>
    </w:pPr>
    <w:rPr>
      <w:rFonts w:ascii="宋体" w:hAnsi="宋体"/>
      <w:bCs w:val="0"/>
      <w:kern w:val="0"/>
      <w:szCs w:val="20"/>
    </w:rPr>
  </w:style>
  <w:style w:type="character" w:customStyle="1" w:styleId="137">
    <w:name w:val="4 级标题 Char"/>
    <w:link w:val="138"/>
    <w:qFormat/>
    <w:locked/>
    <w:uiPriority w:val="99"/>
    <w:rPr>
      <w:rFonts w:ascii="Arial" w:hAnsi="Arial" w:eastAsia="宋体"/>
      <w:b/>
      <w:kern w:val="2"/>
      <w:sz w:val="28"/>
    </w:rPr>
  </w:style>
  <w:style w:type="paragraph" w:customStyle="1" w:styleId="138">
    <w:name w:val="4 级标题"/>
    <w:basedOn w:val="5"/>
    <w:link w:val="137"/>
    <w:qFormat/>
    <w:uiPriority w:val="99"/>
    <w:pPr>
      <w:spacing w:before="120" w:after="120" w:line="360" w:lineRule="auto"/>
      <w:ind w:right="27" w:rightChars="13"/>
      <w:jc w:val="left"/>
    </w:pPr>
    <w:rPr>
      <w:rFonts w:ascii="Arial" w:hAnsi="Arial"/>
      <w:bCs w:val="0"/>
      <w:szCs w:val="20"/>
    </w:rPr>
  </w:style>
  <w:style w:type="character" w:customStyle="1" w:styleId="139">
    <w:name w:val="明显强调1"/>
    <w:qFormat/>
    <w:uiPriority w:val="99"/>
    <w:rPr>
      <w:b/>
      <w:i/>
      <w:color w:val="4F81BD"/>
    </w:rPr>
  </w:style>
  <w:style w:type="character" w:customStyle="1" w:styleId="140">
    <w:name w:val="列出段落 Char"/>
    <w:link w:val="141"/>
    <w:qFormat/>
    <w:locked/>
    <w:uiPriority w:val="99"/>
    <w:rPr>
      <w:rFonts w:ascii="Calibri" w:hAnsi="Calibri" w:eastAsia="宋体"/>
      <w:kern w:val="2"/>
      <w:sz w:val="21"/>
      <w:lang w:val="en-US" w:eastAsia="zh-CN"/>
    </w:rPr>
  </w:style>
  <w:style w:type="paragraph" w:customStyle="1" w:styleId="141">
    <w:name w:val="列表段落"/>
    <w:basedOn w:val="1"/>
    <w:link w:val="140"/>
    <w:uiPriority w:val="99"/>
    <w:pPr>
      <w:ind w:firstLine="420" w:firstLineChars="200"/>
    </w:pPr>
    <w:rPr>
      <w:szCs w:val="20"/>
    </w:rPr>
  </w:style>
  <w:style w:type="character" w:customStyle="1" w:styleId="142">
    <w:name w:val="Char Char15"/>
    <w:uiPriority w:val="99"/>
    <w:rPr>
      <w:rFonts w:ascii="Times New Roman" w:hAnsi="Times New Roman"/>
      <w:b/>
      <w:kern w:val="44"/>
      <w:sz w:val="44"/>
    </w:rPr>
  </w:style>
  <w:style w:type="character" w:customStyle="1" w:styleId="143">
    <w:name w:val="Char Char6"/>
    <w:basedOn w:val="38"/>
    <w:semiHidden/>
    <w:qFormat/>
    <w:uiPriority w:val="99"/>
    <w:rPr>
      <w:rFonts w:cs="Times New Roman"/>
    </w:rPr>
  </w:style>
  <w:style w:type="character" w:customStyle="1" w:styleId="144">
    <w:name w:val="Char Char13"/>
    <w:uiPriority w:val="99"/>
    <w:rPr>
      <w:rFonts w:ascii="Times New Roman" w:hAnsi="Times New Roman" w:eastAsia="宋体"/>
      <w:b/>
      <w:kern w:val="2"/>
      <w:sz w:val="32"/>
    </w:rPr>
  </w:style>
  <w:style w:type="character" w:customStyle="1" w:styleId="145">
    <w:name w:val="标题 Char"/>
    <w:link w:val="32"/>
    <w:qFormat/>
    <w:locked/>
    <w:uiPriority w:val="99"/>
    <w:rPr>
      <w:rFonts w:ascii="Arial" w:hAnsi="Arial" w:eastAsia="宋体"/>
      <w:b/>
      <w:kern w:val="2"/>
      <w:sz w:val="22"/>
      <w:lang w:val="en-US" w:eastAsia="zh-CN"/>
    </w:rPr>
  </w:style>
  <w:style w:type="character" w:customStyle="1" w:styleId="146">
    <w:name w:val="Char Char11"/>
    <w:qFormat/>
    <w:uiPriority w:val="99"/>
    <w:rPr>
      <w:rFonts w:ascii="Times New Roman" w:hAnsi="Times New Roman" w:eastAsia="宋体"/>
      <w:b/>
      <w:kern w:val="2"/>
      <w:sz w:val="28"/>
    </w:rPr>
  </w:style>
  <w:style w:type="character" w:customStyle="1" w:styleId="147">
    <w:name w:val="Char Char8"/>
    <w:semiHidden/>
    <w:uiPriority w:val="99"/>
    <w:rPr>
      <w:rFonts w:ascii="Cambria" w:hAnsi="Cambria" w:eastAsia="宋体"/>
      <w:kern w:val="2"/>
      <w:sz w:val="24"/>
    </w:rPr>
  </w:style>
  <w:style w:type="character" w:customStyle="1" w:styleId="148">
    <w:name w:val="段 Char"/>
    <w:link w:val="149"/>
    <w:qFormat/>
    <w:locked/>
    <w:uiPriority w:val="99"/>
    <w:rPr>
      <w:rFonts w:ascii="宋体" w:hAnsi="Times New Roman" w:eastAsia="Times New Roman"/>
      <w:sz w:val="21"/>
      <w:lang w:val="en-US" w:eastAsia="zh-CN"/>
    </w:rPr>
  </w:style>
  <w:style w:type="paragraph" w:customStyle="1" w:styleId="149">
    <w:name w:val="段"/>
    <w:link w:val="148"/>
    <w:qFormat/>
    <w:uiPriority w:val="99"/>
    <w:pPr>
      <w:autoSpaceDE w:val="0"/>
      <w:autoSpaceDN w:val="0"/>
      <w:ind w:firstLine="200" w:firstLineChars="200"/>
      <w:jc w:val="both"/>
    </w:pPr>
    <w:rPr>
      <w:rFonts w:ascii="宋体" w:hAnsi="Times New Roman" w:eastAsia="Times New Roman" w:cs="Times New Roman"/>
      <w:kern w:val="0"/>
      <w:sz w:val="21"/>
      <w:szCs w:val="20"/>
      <w:lang w:val="en-US" w:eastAsia="zh-CN" w:bidi="ar-SA"/>
    </w:rPr>
  </w:style>
  <w:style w:type="character" w:customStyle="1" w:styleId="150">
    <w:name w:val="Char Char5"/>
    <w:qFormat/>
    <w:uiPriority w:val="99"/>
    <w:rPr>
      <w:rFonts w:ascii="宋体" w:hAnsi="Courier New" w:eastAsia="宋体"/>
      <w:kern w:val="2"/>
      <w:sz w:val="28"/>
    </w:rPr>
  </w:style>
  <w:style w:type="character" w:customStyle="1" w:styleId="151">
    <w:name w:val="列出段落 Char Char"/>
    <w:link w:val="126"/>
    <w:qFormat/>
    <w:locked/>
    <w:uiPriority w:val="99"/>
    <w:rPr>
      <w:rFonts w:eastAsia="宋体"/>
      <w:kern w:val="2"/>
      <w:sz w:val="24"/>
      <w:lang w:val="en-US" w:eastAsia="zh-CN"/>
    </w:rPr>
  </w:style>
  <w:style w:type="character" w:customStyle="1" w:styleId="152">
    <w:name w:val="正文内容 Char"/>
    <w:link w:val="153"/>
    <w:qFormat/>
    <w:locked/>
    <w:uiPriority w:val="99"/>
    <w:rPr>
      <w:rFonts w:eastAsia="宋体"/>
      <w:kern w:val="2"/>
      <w:sz w:val="24"/>
    </w:rPr>
  </w:style>
  <w:style w:type="paragraph" w:customStyle="1" w:styleId="153">
    <w:name w:val="正文内容"/>
    <w:basedOn w:val="1"/>
    <w:link w:val="152"/>
    <w:qFormat/>
    <w:uiPriority w:val="99"/>
    <w:pPr>
      <w:spacing w:line="360" w:lineRule="auto"/>
      <w:ind w:firstLine="420"/>
    </w:pPr>
    <w:rPr>
      <w:sz w:val="24"/>
      <w:szCs w:val="20"/>
    </w:rPr>
  </w:style>
  <w:style w:type="character" w:customStyle="1" w:styleId="154">
    <w:name w:val="Char Char4"/>
    <w:semiHidden/>
    <w:qFormat/>
    <w:uiPriority w:val="99"/>
    <w:rPr>
      <w:sz w:val="18"/>
    </w:rPr>
  </w:style>
  <w:style w:type="character" w:customStyle="1" w:styleId="155">
    <w:name w:val="Char Char12"/>
    <w:uiPriority w:val="99"/>
    <w:rPr>
      <w:rFonts w:ascii="Times New Roman" w:hAnsi="Times New Roman" w:eastAsia="宋体"/>
      <w:b/>
      <w:kern w:val="2"/>
      <w:sz w:val="28"/>
    </w:rPr>
  </w:style>
  <w:style w:type="character" w:customStyle="1" w:styleId="156">
    <w:name w:val="Char Char16"/>
    <w:qFormat/>
    <w:uiPriority w:val="99"/>
    <w:rPr>
      <w:sz w:val="18"/>
    </w:rPr>
  </w:style>
  <w:style w:type="character" w:customStyle="1" w:styleId="157">
    <w:name w:val="Char Char31"/>
    <w:qFormat/>
    <w:uiPriority w:val="99"/>
    <w:rPr>
      <w:sz w:val="18"/>
    </w:rPr>
  </w:style>
  <w:style w:type="character" w:customStyle="1" w:styleId="158">
    <w:name w:val="Char Char14"/>
    <w:qFormat/>
    <w:uiPriority w:val="99"/>
    <w:rPr>
      <w:rFonts w:ascii="Times New Roman" w:hAnsi="Times New Roman" w:eastAsia="宋体"/>
      <w:b/>
      <w:kern w:val="2"/>
      <w:sz w:val="32"/>
    </w:rPr>
  </w:style>
  <w:style w:type="character" w:customStyle="1" w:styleId="159">
    <w:name w:val="Body Text First Indent 2 Char1"/>
    <w:qFormat/>
    <w:locked/>
    <w:uiPriority w:val="99"/>
    <w:rPr>
      <w:rFonts w:eastAsia="宋体"/>
      <w:sz w:val="24"/>
    </w:rPr>
  </w:style>
  <w:style w:type="character" w:customStyle="1" w:styleId="160">
    <w:name w:val="Char Char9"/>
    <w:semiHidden/>
    <w:uiPriority w:val="99"/>
    <w:rPr>
      <w:b/>
      <w:kern w:val="2"/>
      <w:sz w:val="24"/>
    </w:rPr>
  </w:style>
  <w:style w:type="character" w:customStyle="1" w:styleId="161">
    <w:name w:val="二级条标题 Char"/>
    <w:link w:val="162"/>
    <w:qFormat/>
    <w:locked/>
    <w:uiPriority w:val="99"/>
    <w:rPr>
      <w:rFonts w:ascii="黑体" w:eastAsia="黑体"/>
      <w:sz w:val="21"/>
    </w:rPr>
  </w:style>
  <w:style w:type="paragraph" w:customStyle="1" w:styleId="162">
    <w:name w:val="二级条标题"/>
    <w:basedOn w:val="1"/>
    <w:next w:val="149"/>
    <w:link w:val="161"/>
    <w:qFormat/>
    <w:uiPriority w:val="99"/>
    <w:pPr>
      <w:widowControl/>
      <w:tabs>
        <w:tab w:val="left" w:pos="2160"/>
      </w:tabs>
      <w:spacing w:line="360" w:lineRule="auto"/>
      <w:ind w:hanging="420" w:firstLineChars="200"/>
      <w:contextualSpacing/>
      <w:outlineLvl w:val="3"/>
    </w:pPr>
    <w:rPr>
      <w:rFonts w:ascii="黑体" w:eastAsia="黑体"/>
      <w:kern w:val="0"/>
      <w:szCs w:val="20"/>
    </w:rPr>
  </w:style>
  <w:style w:type="character" w:customStyle="1" w:styleId="163">
    <w:name w:val="5 级标题 Char"/>
    <w:link w:val="164"/>
    <w:qFormat/>
    <w:locked/>
    <w:uiPriority w:val="99"/>
    <w:rPr>
      <w:rFonts w:eastAsia="宋体"/>
      <w:b/>
      <w:kern w:val="2"/>
      <w:sz w:val="28"/>
    </w:rPr>
  </w:style>
  <w:style w:type="paragraph" w:customStyle="1" w:styleId="164">
    <w:name w:val="5 级标题"/>
    <w:basedOn w:val="6"/>
    <w:link w:val="163"/>
    <w:qFormat/>
    <w:uiPriority w:val="99"/>
    <w:pPr>
      <w:tabs>
        <w:tab w:val="clear" w:pos="0"/>
      </w:tabs>
      <w:adjustRightInd/>
      <w:spacing w:before="120" w:after="120"/>
      <w:ind w:right="27" w:rightChars="13"/>
      <w:textAlignment w:val="auto"/>
    </w:pPr>
    <w:rPr>
      <w:rFonts w:ascii="Calibri" w:hAnsi="Calibri"/>
      <w:b/>
      <w:kern w:val="2"/>
      <w:sz w:val="28"/>
    </w:rPr>
  </w:style>
  <w:style w:type="paragraph" w:customStyle="1" w:styleId="165">
    <w:name w:val="无间隔1"/>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66">
    <w:name w:val="列表段落 字符"/>
    <w:qFormat/>
    <w:locked/>
    <w:uiPriority w:val="99"/>
  </w:style>
  <w:style w:type="character" w:customStyle="1" w:styleId="167">
    <w:name w:val="副标题 Char"/>
    <w:basedOn w:val="38"/>
    <w:link w:val="27"/>
    <w:qFormat/>
    <w:uiPriority w:val="0"/>
    <w:rPr>
      <w:rFonts w:ascii="Cambria" w:hAnsi="Cambria"/>
      <w:b/>
      <w:bCs/>
      <w:kern w:val="28"/>
      <w:sz w:val="32"/>
      <w:szCs w:val="32"/>
    </w:rPr>
  </w:style>
  <w:style w:type="paragraph" w:customStyle="1" w:styleId="168">
    <w:name w:val="样式 样式 首行缩进:  2 字符 + 首行缩进:  2 字符"/>
    <w:basedOn w:val="1"/>
    <w:qFormat/>
    <w:uiPriority w:val="0"/>
    <w:pPr>
      <w:widowControl/>
      <w:overflowPunct w:val="0"/>
      <w:autoSpaceDE w:val="0"/>
      <w:autoSpaceDN w:val="0"/>
      <w:adjustRightInd w:val="0"/>
      <w:spacing w:line="360" w:lineRule="auto"/>
      <w:ind w:firstLine="200" w:firstLineChars="200"/>
      <w:jc w:val="left"/>
      <w:textAlignment w:val="baseline"/>
    </w:pPr>
    <w:rPr>
      <w:rFonts w:ascii="Times New Roman" w:hAnsi="Times New Roman"/>
      <w:kern w:val="0"/>
      <w:sz w:val="20"/>
      <w:szCs w:val="20"/>
    </w:rPr>
  </w:style>
  <w:style w:type="paragraph" w:customStyle="1" w:styleId="169">
    <w:name w:val="xiao b"/>
    <w:basedOn w:val="1"/>
    <w:qFormat/>
    <w:uiPriority w:val="0"/>
    <w:pPr>
      <w:widowControl/>
      <w:overflowPunct w:val="0"/>
      <w:autoSpaceDE w:val="0"/>
      <w:autoSpaceDN w:val="0"/>
      <w:adjustRightInd w:val="0"/>
      <w:jc w:val="center"/>
      <w:textAlignment w:val="baseline"/>
    </w:pPr>
    <w:rPr>
      <w:rFonts w:ascii="Times New Roman" w:hAnsi="Times New Roman" w:eastAsia="黑体"/>
      <w:kern w:val="0"/>
      <w:sz w:val="24"/>
      <w:szCs w:val="20"/>
    </w:rPr>
  </w:style>
  <w:style w:type="character" w:customStyle="1" w:styleId="170">
    <w:name w:val="font61"/>
    <w:basedOn w:val="38"/>
    <w:uiPriority w:val="0"/>
    <w:rPr>
      <w:rFonts w:hint="eastAsia" w:ascii="宋体" w:hAnsi="宋体" w:eastAsia="宋体" w:cs="宋体"/>
      <w:color w:val="000000"/>
      <w:sz w:val="24"/>
      <w:szCs w:val="24"/>
      <w:u w:val="none"/>
    </w:rPr>
  </w:style>
  <w:style w:type="character" w:customStyle="1" w:styleId="171">
    <w:name w:val="font41"/>
    <w:basedOn w:val="38"/>
    <w:uiPriority w:val="0"/>
    <w:rPr>
      <w:rFonts w:hint="eastAsia" w:ascii="宋体" w:hAnsi="宋体" w:eastAsia="宋体" w:cs="宋体"/>
      <w:color w:val="000000"/>
      <w:sz w:val="22"/>
      <w:szCs w:val="22"/>
      <w:u w:val="none"/>
    </w:rPr>
  </w:style>
  <w:style w:type="character" w:customStyle="1" w:styleId="172">
    <w:name w:val="font101"/>
    <w:basedOn w:val="38"/>
    <w:uiPriority w:val="0"/>
    <w:rPr>
      <w:rFonts w:hint="eastAsia" w:ascii="宋体" w:hAnsi="宋体" w:eastAsia="宋体" w:cs="宋体"/>
      <w:b/>
      <w:color w:val="000000"/>
      <w:sz w:val="28"/>
      <w:szCs w:val="28"/>
      <w:u w:val="none"/>
    </w:rPr>
  </w:style>
  <w:style w:type="character" w:customStyle="1" w:styleId="173">
    <w:name w:val="font21"/>
    <w:basedOn w:val="38"/>
    <w:uiPriority w:val="0"/>
    <w:rPr>
      <w:rFonts w:hint="default" w:ascii="Arial" w:hAnsi="Arial" w:cs="Arial"/>
      <w:color w:val="000000"/>
      <w:sz w:val="20"/>
      <w:szCs w:val="20"/>
      <w:u w:val="none"/>
    </w:rPr>
  </w:style>
  <w:style w:type="character" w:customStyle="1" w:styleId="174">
    <w:name w:val="font01"/>
    <w:basedOn w:val="38"/>
    <w:uiPriority w:val="0"/>
    <w:rPr>
      <w:rFonts w:hint="eastAsia" w:ascii="宋体" w:hAnsi="宋体" w:eastAsia="宋体" w:cs="宋体"/>
      <w:color w:val="000000"/>
      <w:sz w:val="20"/>
      <w:szCs w:val="20"/>
      <w:u w:val="none"/>
    </w:rPr>
  </w:style>
  <w:style w:type="character" w:customStyle="1" w:styleId="175">
    <w:name w:val="font91"/>
    <w:basedOn w:val="38"/>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Documents%252525252525252525252520and%252525252525252525252520Settings/Administrator/My%252525252525252525252520Documents/Tencent%252525252525252525252520Files/348424112/Image/C2C/%25252525252525252525255b35@IDDQEUL@STM3E(G$%25252525252525252525257bUT.jpg"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48</Pages>
  <Words>24573</Words>
  <Characters>25623</Characters>
  <Lines>34</Lines>
  <Paragraphs>54</Paragraphs>
  <TotalTime>0</TotalTime>
  <ScaleCrop>false</ScaleCrop>
  <LinksUpToDate>false</LinksUpToDate>
  <CharactersWithSpaces>26067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2018-05-10T04:17:00Z</dcterms:created>
  <dc:creator>Akay</dc:creator>
  <cp:lastModifiedBy>mEng</cp:lastModifiedBy>
  <cp:lastPrinted>2019-03-13T02:57:00Z</cp:lastPrinted>
  <dcterms:modified xsi:type="dcterms:W3CDTF">2022-11-17T08:01:12Z</dcterms:modified>
  <cp:revision>289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C8F564C743004554B0B4455C549C58E1</vt:lpwstr>
  </property>
</Properties>
</file>