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cs="宋体"/>
          <w:sz w:val="44"/>
          <w:szCs w:val="44"/>
        </w:rPr>
      </w:pPr>
    </w:p>
    <w:p>
      <w:pPr>
        <w:pStyle w:val="25"/>
        <w:ind w:firstLine="210"/>
      </w:pPr>
    </w:p>
    <w:p>
      <w:pPr>
        <w:pStyle w:val="7"/>
      </w:pPr>
    </w:p>
    <w:p>
      <w:pPr>
        <w:spacing w:line="900" w:lineRule="exact"/>
        <w:jc w:val="center"/>
        <w:rPr>
          <w:rFonts w:cs="宋体"/>
          <w:b/>
          <w:bCs/>
          <w:sz w:val="32"/>
          <w:szCs w:val="32"/>
        </w:rPr>
      </w:pPr>
      <w:r>
        <w:rPr>
          <w:rFonts w:hint="eastAsia" w:cs="宋体"/>
          <w:b/>
          <w:sz w:val="84"/>
          <w:szCs w:val="84"/>
        </w:rPr>
        <w:t>竞争性磋商文件</w:t>
      </w:r>
    </w:p>
    <w:p>
      <w:pPr>
        <w:pStyle w:val="7"/>
        <w:ind w:firstLine="0"/>
      </w:pPr>
    </w:p>
    <w:p>
      <w:pPr>
        <w:spacing w:line="900" w:lineRule="exact"/>
        <w:ind w:left="2400" w:leftChars="375" w:hanging="1500" w:hangingChars="500"/>
        <w:rPr>
          <w:rFonts w:hint="eastAsia" w:eastAsia="宋体" w:cs="宋体"/>
          <w:b/>
          <w:bCs/>
          <w:sz w:val="30"/>
          <w:szCs w:val="30"/>
          <w:lang w:eastAsia="zh-CN"/>
        </w:rPr>
      </w:pPr>
      <w:r>
        <w:rPr>
          <w:rFonts w:hint="eastAsia" w:cs="宋体"/>
          <w:b/>
          <w:bCs/>
          <w:sz w:val="30"/>
          <w:szCs w:val="30"/>
        </w:rPr>
        <w:t>项目名称：</w:t>
      </w:r>
      <w:r>
        <w:rPr>
          <w:rFonts w:hint="eastAsia" w:cs="宋体"/>
          <w:b/>
          <w:bCs/>
          <w:sz w:val="30"/>
          <w:szCs w:val="30"/>
          <w:lang w:eastAsia="zh-CN"/>
        </w:rPr>
        <w:t>新疆维吾尔自治区交通运输综合行政执法局治超系统网络云资源项目（二次）</w:t>
      </w:r>
    </w:p>
    <w:p>
      <w:pPr>
        <w:spacing w:line="720" w:lineRule="auto"/>
        <w:ind w:firstLine="900" w:firstLineChars="300"/>
        <w:rPr>
          <w:rFonts w:hint="eastAsia" w:ascii="宋体" w:hAnsi="宋体" w:eastAsia="宋体" w:cs="宋体"/>
          <w:b/>
          <w:kern w:val="0"/>
          <w:sz w:val="30"/>
          <w:szCs w:val="30"/>
          <w:lang w:eastAsia="zh-CN"/>
        </w:rPr>
      </w:pPr>
      <w:r>
        <w:rPr>
          <w:rFonts w:hint="eastAsia" w:cs="宋体"/>
          <w:b/>
          <w:bCs/>
          <w:sz w:val="30"/>
          <w:szCs w:val="30"/>
        </w:rPr>
        <w:t>项目编号：</w:t>
      </w:r>
      <w:r>
        <w:rPr>
          <w:rFonts w:hint="eastAsia" w:cs="宋体"/>
          <w:b/>
          <w:bCs/>
          <w:sz w:val="30"/>
          <w:szCs w:val="30"/>
          <w:lang w:eastAsia="zh-CN"/>
        </w:rPr>
        <w:t>ZRYHXJ-JTYS-005</w:t>
      </w:r>
    </w:p>
    <w:p>
      <w:pPr>
        <w:spacing w:line="900" w:lineRule="exact"/>
        <w:ind w:firstLine="640" w:firstLineChars="200"/>
        <w:rPr>
          <w:rFonts w:cs="宋体"/>
          <w:b/>
          <w:bCs/>
          <w:sz w:val="32"/>
          <w:szCs w:val="32"/>
        </w:rPr>
      </w:pPr>
    </w:p>
    <w:p>
      <w:pPr>
        <w:widowControl/>
        <w:tabs>
          <w:tab w:val="left" w:pos="8713"/>
        </w:tabs>
        <w:jc w:val="left"/>
        <w:rPr>
          <w:rFonts w:cs="宋体"/>
          <w:b/>
          <w:szCs w:val="28"/>
        </w:rPr>
      </w:pPr>
    </w:p>
    <w:p>
      <w:pPr>
        <w:pStyle w:val="15"/>
      </w:pPr>
    </w:p>
    <w:p>
      <w:pPr>
        <w:pStyle w:val="15"/>
      </w:pPr>
    </w:p>
    <w:p>
      <w:pPr>
        <w:pStyle w:val="15"/>
      </w:pPr>
    </w:p>
    <w:p>
      <w:pPr>
        <w:pStyle w:val="15"/>
      </w:pPr>
    </w:p>
    <w:p>
      <w:pPr>
        <w:pStyle w:val="15"/>
      </w:pPr>
    </w:p>
    <w:p>
      <w:pPr>
        <w:pStyle w:val="15"/>
      </w:pPr>
    </w:p>
    <w:p>
      <w:pPr>
        <w:spacing w:line="900" w:lineRule="exact"/>
        <w:ind w:firstLine="1200" w:firstLineChars="400"/>
        <w:rPr>
          <w:rFonts w:cs="宋体"/>
          <w:b/>
          <w:bCs/>
          <w:sz w:val="30"/>
          <w:szCs w:val="30"/>
        </w:rPr>
      </w:pPr>
      <w:r>
        <w:rPr>
          <w:rFonts w:hint="eastAsia" w:cs="宋体"/>
          <w:b/>
          <w:bCs/>
          <w:sz w:val="30"/>
          <w:szCs w:val="30"/>
        </w:rPr>
        <w:t>采 购 人：新疆维吾尔自治区交通运输综合行政执法局</w:t>
      </w:r>
    </w:p>
    <w:p>
      <w:pPr>
        <w:pStyle w:val="6"/>
        <w:rPr>
          <w:sz w:val="30"/>
          <w:szCs w:val="30"/>
        </w:rPr>
      </w:pPr>
    </w:p>
    <w:p>
      <w:pPr>
        <w:spacing w:line="900" w:lineRule="exact"/>
        <w:ind w:firstLine="1200" w:firstLineChars="400"/>
        <w:rPr>
          <w:rFonts w:asciiTheme="minorEastAsia" w:hAnsiTheme="minorEastAsia" w:eastAsiaTheme="minorEastAsia" w:cstheme="minorEastAsia"/>
          <w:b/>
          <w:bCs/>
          <w:sz w:val="30"/>
          <w:szCs w:val="30"/>
        </w:rPr>
      </w:pPr>
      <w:r>
        <w:rPr>
          <w:rFonts w:hint="eastAsia" w:cs="宋体"/>
          <w:b/>
          <w:bCs/>
          <w:sz w:val="30"/>
          <w:szCs w:val="30"/>
        </w:rPr>
        <w:t>代理机构：中瑞岳华（上海）项目管理有限公司</w:t>
      </w:r>
    </w:p>
    <w:p>
      <w:pPr>
        <w:spacing w:line="900" w:lineRule="exact"/>
        <w:ind w:firstLine="3900" w:firstLineChars="130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2022年</w:t>
      </w:r>
      <w:r>
        <w:rPr>
          <w:rFonts w:hint="eastAsia" w:asciiTheme="minorEastAsia" w:hAnsiTheme="minorEastAsia" w:eastAsiaTheme="minorEastAsia" w:cstheme="minorEastAsia"/>
          <w:b/>
          <w:bCs/>
          <w:sz w:val="30"/>
          <w:szCs w:val="30"/>
          <w:lang w:val="en-US" w:eastAsia="zh-CN"/>
        </w:rPr>
        <w:t>11</w:t>
      </w:r>
      <w:r>
        <w:rPr>
          <w:rFonts w:hint="eastAsia" w:asciiTheme="minorEastAsia" w:hAnsiTheme="minorEastAsia" w:eastAsiaTheme="minorEastAsia" w:cstheme="minorEastAsia"/>
          <w:b/>
          <w:bCs/>
          <w:sz w:val="30"/>
          <w:szCs w:val="30"/>
        </w:rPr>
        <w:t>月</w:t>
      </w:r>
    </w:p>
    <w:p>
      <w:pPr>
        <w:spacing w:line="560" w:lineRule="exact"/>
        <w:jc w:val="center"/>
        <w:rPr>
          <w:rFonts w:ascii="黑体" w:hAnsi="黑体" w:eastAsia="黑体" w:cs="黑体"/>
          <w:sz w:val="30"/>
          <w:szCs w:val="30"/>
        </w:rPr>
        <w:sectPr>
          <w:pgSz w:w="11906" w:h="16838"/>
          <w:pgMar w:top="1440" w:right="1080" w:bottom="1440" w:left="1080" w:header="851" w:footer="992" w:gutter="0"/>
          <w:pgNumType w:start="1"/>
          <w:cols w:space="720" w:num="1"/>
          <w:docGrid w:type="linesAndChars" w:linePitch="312" w:charSpace="0"/>
        </w:sectPr>
      </w:pPr>
    </w:p>
    <w:sdt>
      <w:sdtPr>
        <w:rPr>
          <w:rFonts w:ascii="宋体" w:hAnsi="宋体" w:eastAsia="宋体" w:cs="Times New Roman"/>
          <w:kern w:val="2"/>
          <w:sz w:val="21"/>
          <w:szCs w:val="24"/>
          <w:lang w:val="en-US" w:eastAsia="zh-CN" w:bidi="ar-SA"/>
        </w:rPr>
        <w:id w:val="147457432"/>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Style w:val="53"/>
            </w:rPr>
          </w:pPr>
          <w:r>
            <w:rPr>
              <w:rStyle w:val="53"/>
            </w:rPr>
            <w:t>目</w:t>
          </w:r>
          <w:r>
            <w:rPr>
              <w:rStyle w:val="53"/>
              <w:rFonts w:hint="eastAsia"/>
              <w:lang w:val="en-US" w:eastAsia="zh-CN"/>
            </w:rPr>
            <w:t xml:space="preserve">  </w:t>
          </w:r>
          <w:r>
            <w:rPr>
              <w:rStyle w:val="53"/>
            </w:rPr>
            <w:t>录</w:t>
          </w:r>
        </w:p>
        <w:p>
          <w:pPr>
            <w:pStyle w:val="49"/>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b/>
              <w:sz w:val="24"/>
              <w:szCs w:val="24"/>
            </w:rPr>
          </w:pPr>
          <w:r>
            <w:rPr>
              <w:sz w:val="24"/>
              <w:szCs w:val="24"/>
            </w:rPr>
            <w:fldChar w:fldCharType="begin"/>
          </w:r>
          <w:r>
            <w:rPr>
              <w:sz w:val="24"/>
              <w:szCs w:val="24"/>
            </w:rPr>
            <w:instrText xml:space="preserve">TOC \o "1-2" \h \u </w:instrText>
          </w:r>
          <w:r>
            <w:rPr>
              <w:sz w:val="24"/>
              <w:szCs w:val="24"/>
            </w:rPr>
            <w:fldChar w:fldCharType="separate"/>
          </w:r>
          <w:r>
            <w:rPr>
              <w:b/>
              <w:sz w:val="24"/>
              <w:szCs w:val="24"/>
            </w:rPr>
            <w:fldChar w:fldCharType="begin"/>
          </w:r>
          <w:r>
            <w:rPr>
              <w:b/>
              <w:sz w:val="24"/>
              <w:szCs w:val="24"/>
            </w:rPr>
            <w:instrText xml:space="preserve"> HYPERLINK \l _Toc20001 </w:instrText>
          </w:r>
          <w:r>
            <w:rPr>
              <w:b/>
              <w:sz w:val="24"/>
              <w:szCs w:val="24"/>
            </w:rPr>
            <w:fldChar w:fldCharType="separate"/>
          </w:r>
          <w:r>
            <w:rPr>
              <w:rFonts w:hint="eastAsia"/>
              <w:b/>
              <w:sz w:val="24"/>
              <w:szCs w:val="24"/>
            </w:rPr>
            <w:t>第一章 磋商公告</w:t>
          </w:r>
          <w:r>
            <w:rPr>
              <w:b/>
              <w:sz w:val="24"/>
              <w:szCs w:val="24"/>
            </w:rPr>
            <w:tab/>
          </w:r>
          <w:r>
            <w:rPr>
              <w:b/>
              <w:sz w:val="24"/>
              <w:szCs w:val="24"/>
            </w:rPr>
            <w:fldChar w:fldCharType="begin"/>
          </w:r>
          <w:r>
            <w:rPr>
              <w:b/>
              <w:sz w:val="24"/>
              <w:szCs w:val="24"/>
            </w:rPr>
            <w:instrText xml:space="preserve"> PAGEREF _Toc20001 \h </w:instrText>
          </w:r>
          <w:r>
            <w:rPr>
              <w:b/>
              <w:sz w:val="24"/>
              <w:szCs w:val="24"/>
            </w:rPr>
            <w:fldChar w:fldCharType="separate"/>
          </w:r>
          <w:r>
            <w:rPr>
              <w:b/>
              <w:sz w:val="24"/>
              <w:szCs w:val="24"/>
            </w:rPr>
            <w:t>4</w:t>
          </w:r>
          <w:r>
            <w:rPr>
              <w:b/>
              <w:sz w:val="24"/>
              <w:szCs w:val="24"/>
            </w:rPr>
            <w:fldChar w:fldCharType="end"/>
          </w:r>
          <w:r>
            <w:rPr>
              <w:b/>
              <w:sz w:val="24"/>
              <w:szCs w:val="24"/>
            </w:rPr>
            <w:fldChar w:fldCharType="end"/>
          </w:r>
        </w:p>
        <w:p>
          <w:pPr>
            <w:pStyle w:val="49"/>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b/>
              <w:sz w:val="24"/>
              <w:szCs w:val="24"/>
            </w:rPr>
          </w:pPr>
          <w:r>
            <w:rPr>
              <w:b/>
              <w:sz w:val="24"/>
              <w:szCs w:val="24"/>
            </w:rPr>
            <w:fldChar w:fldCharType="begin"/>
          </w:r>
          <w:r>
            <w:rPr>
              <w:b/>
              <w:sz w:val="24"/>
              <w:szCs w:val="24"/>
            </w:rPr>
            <w:instrText xml:space="preserve"> HYPERLINK \l _Toc6566 </w:instrText>
          </w:r>
          <w:r>
            <w:rPr>
              <w:b/>
              <w:sz w:val="24"/>
              <w:szCs w:val="24"/>
            </w:rPr>
            <w:fldChar w:fldCharType="separate"/>
          </w:r>
          <w:r>
            <w:rPr>
              <w:rFonts w:hint="eastAsia"/>
              <w:b/>
              <w:sz w:val="24"/>
              <w:szCs w:val="24"/>
            </w:rPr>
            <w:t>第二章 服务商须知前附表</w:t>
          </w:r>
          <w:r>
            <w:rPr>
              <w:b/>
              <w:sz w:val="24"/>
              <w:szCs w:val="24"/>
            </w:rPr>
            <w:tab/>
          </w:r>
          <w:r>
            <w:rPr>
              <w:b/>
              <w:sz w:val="24"/>
              <w:szCs w:val="24"/>
            </w:rPr>
            <w:fldChar w:fldCharType="begin"/>
          </w:r>
          <w:r>
            <w:rPr>
              <w:b/>
              <w:sz w:val="24"/>
              <w:szCs w:val="24"/>
            </w:rPr>
            <w:instrText xml:space="preserve"> PAGEREF _Toc6566 \h </w:instrText>
          </w:r>
          <w:r>
            <w:rPr>
              <w:b/>
              <w:sz w:val="24"/>
              <w:szCs w:val="24"/>
            </w:rPr>
            <w:fldChar w:fldCharType="separate"/>
          </w:r>
          <w:r>
            <w:rPr>
              <w:b/>
              <w:sz w:val="24"/>
              <w:szCs w:val="24"/>
            </w:rPr>
            <w:t>7</w:t>
          </w:r>
          <w:r>
            <w:rPr>
              <w:b/>
              <w:sz w:val="24"/>
              <w:szCs w:val="24"/>
            </w:rPr>
            <w:fldChar w:fldCharType="end"/>
          </w:r>
          <w:r>
            <w:rPr>
              <w:b/>
              <w:sz w:val="24"/>
              <w:szCs w:val="24"/>
            </w:rPr>
            <w:fldChar w:fldCharType="end"/>
          </w:r>
        </w:p>
        <w:p>
          <w:pPr>
            <w:pStyle w:val="49"/>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b/>
              <w:sz w:val="24"/>
              <w:szCs w:val="24"/>
            </w:rPr>
          </w:pPr>
          <w:r>
            <w:rPr>
              <w:b/>
              <w:sz w:val="24"/>
              <w:szCs w:val="24"/>
            </w:rPr>
            <w:fldChar w:fldCharType="begin"/>
          </w:r>
          <w:r>
            <w:rPr>
              <w:b/>
              <w:sz w:val="24"/>
              <w:szCs w:val="24"/>
            </w:rPr>
            <w:instrText xml:space="preserve"> HYPERLINK \l _Toc21600 </w:instrText>
          </w:r>
          <w:r>
            <w:rPr>
              <w:b/>
              <w:sz w:val="24"/>
              <w:szCs w:val="24"/>
            </w:rPr>
            <w:fldChar w:fldCharType="separate"/>
          </w:r>
          <w:r>
            <w:rPr>
              <w:rFonts w:hint="eastAsia"/>
              <w:b/>
              <w:sz w:val="24"/>
              <w:szCs w:val="24"/>
            </w:rPr>
            <w:t>第三章 服务商须知</w:t>
          </w:r>
          <w:r>
            <w:rPr>
              <w:b/>
              <w:sz w:val="24"/>
              <w:szCs w:val="24"/>
            </w:rPr>
            <w:tab/>
          </w:r>
          <w:r>
            <w:rPr>
              <w:b/>
              <w:sz w:val="24"/>
              <w:szCs w:val="24"/>
            </w:rPr>
            <w:fldChar w:fldCharType="begin"/>
          </w:r>
          <w:r>
            <w:rPr>
              <w:b/>
              <w:sz w:val="24"/>
              <w:szCs w:val="24"/>
            </w:rPr>
            <w:instrText xml:space="preserve"> PAGEREF _Toc21600 \h </w:instrText>
          </w:r>
          <w:r>
            <w:rPr>
              <w:b/>
              <w:sz w:val="24"/>
              <w:szCs w:val="24"/>
            </w:rPr>
            <w:fldChar w:fldCharType="separate"/>
          </w:r>
          <w:r>
            <w:rPr>
              <w:b/>
              <w:sz w:val="24"/>
              <w:szCs w:val="24"/>
            </w:rPr>
            <w:t>11</w:t>
          </w:r>
          <w:r>
            <w:rPr>
              <w:b/>
              <w:sz w:val="24"/>
              <w:szCs w:val="24"/>
            </w:rPr>
            <w:fldChar w:fldCharType="end"/>
          </w:r>
          <w:r>
            <w:rPr>
              <w:b/>
              <w:sz w:val="24"/>
              <w:szCs w:val="24"/>
            </w:rPr>
            <w:fldChar w:fldCharType="end"/>
          </w:r>
        </w:p>
        <w:p>
          <w:pPr>
            <w:pStyle w:val="50"/>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_Toc8128 </w:instrText>
          </w:r>
          <w:r>
            <w:rPr>
              <w:sz w:val="24"/>
              <w:szCs w:val="24"/>
            </w:rPr>
            <w:fldChar w:fldCharType="separate"/>
          </w:r>
          <w:r>
            <w:rPr>
              <w:rFonts w:hint="eastAsia"/>
              <w:sz w:val="24"/>
              <w:szCs w:val="24"/>
            </w:rPr>
            <w:t>（一）总则</w:t>
          </w:r>
          <w:r>
            <w:rPr>
              <w:sz w:val="24"/>
              <w:szCs w:val="24"/>
            </w:rPr>
            <w:tab/>
          </w:r>
          <w:r>
            <w:rPr>
              <w:sz w:val="24"/>
              <w:szCs w:val="24"/>
            </w:rPr>
            <w:fldChar w:fldCharType="begin"/>
          </w:r>
          <w:r>
            <w:rPr>
              <w:sz w:val="24"/>
              <w:szCs w:val="24"/>
            </w:rPr>
            <w:instrText xml:space="preserve"> PAGEREF _Toc8128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50"/>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_Toc28138 </w:instrText>
          </w:r>
          <w:r>
            <w:rPr>
              <w:sz w:val="24"/>
              <w:szCs w:val="24"/>
            </w:rPr>
            <w:fldChar w:fldCharType="separate"/>
          </w:r>
          <w:r>
            <w:rPr>
              <w:rFonts w:hint="eastAsia"/>
              <w:sz w:val="24"/>
              <w:szCs w:val="24"/>
            </w:rPr>
            <w:t>（二）磋商文件</w:t>
          </w:r>
          <w:r>
            <w:rPr>
              <w:sz w:val="24"/>
              <w:szCs w:val="24"/>
            </w:rPr>
            <w:tab/>
          </w:r>
          <w:r>
            <w:rPr>
              <w:sz w:val="24"/>
              <w:szCs w:val="24"/>
            </w:rPr>
            <w:fldChar w:fldCharType="begin"/>
          </w:r>
          <w:r>
            <w:rPr>
              <w:sz w:val="24"/>
              <w:szCs w:val="24"/>
            </w:rPr>
            <w:instrText xml:space="preserve"> PAGEREF _Toc28138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50"/>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_Toc7643 </w:instrText>
          </w:r>
          <w:r>
            <w:rPr>
              <w:sz w:val="24"/>
              <w:szCs w:val="24"/>
            </w:rPr>
            <w:fldChar w:fldCharType="separate"/>
          </w:r>
          <w:r>
            <w:rPr>
              <w:rFonts w:hint="eastAsia"/>
              <w:sz w:val="24"/>
              <w:szCs w:val="24"/>
            </w:rPr>
            <w:t>（三）响应文件的编制</w:t>
          </w:r>
          <w:r>
            <w:rPr>
              <w:sz w:val="24"/>
              <w:szCs w:val="24"/>
            </w:rPr>
            <w:tab/>
          </w:r>
          <w:r>
            <w:rPr>
              <w:sz w:val="24"/>
              <w:szCs w:val="24"/>
            </w:rPr>
            <w:fldChar w:fldCharType="begin"/>
          </w:r>
          <w:r>
            <w:rPr>
              <w:sz w:val="24"/>
              <w:szCs w:val="24"/>
            </w:rPr>
            <w:instrText xml:space="preserve"> PAGEREF _Toc7643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50"/>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_Toc25193 </w:instrText>
          </w:r>
          <w:r>
            <w:rPr>
              <w:sz w:val="24"/>
              <w:szCs w:val="24"/>
            </w:rPr>
            <w:fldChar w:fldCharType="separate"/>
          </w:r>
          <w:r>
            <w:rPr>
              <w:rFonts w:hint="eastAsia"/>
              <w:sz w:val="24"/>
              <w:szCs w:val="24"/>
            </w:rPr>
            <w:t>（四）响应文件的递交</w:t>
          </w:r>
          <w:r>
            <w:rPr>
              <w:sz w:val="24"/>
              <w:szCs w:val="24"/>
            </w:rPr>
            <w:tab/>
          </w:r>
          <w:r>
            <w:rPr>
              <w:sz w:val="24"/>
              <w:szCs w:val="24"/>
            </w:rPr>
            <w:fldChar w:fldCharType="begin"/>
          </w:r>
          <w:r>
            <w:rPr>
              <w:sz w:val="24"/>
              <w:szCs w:val="24"/>
            </w:rPr>
            <w:instrText xml:space="preserve"> PAGEREF _Toc25193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50"/>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_Toc17509 </w:instrText>
          </w:r>
          <w:r>
            <w:rPr>
              <w:sz w:val="24"/>
              <w:szCs w:val="24"/>
            </w:rPr>
            <w:fldChar w:fldCharType="separate"/>
          </w:r>
          <w:r>
            <w:rPr>
              <w:rFonts w:hint="eastAsia"/>
              <w:sz w:val="24"/>
              <w:szCs w:val="24"/>
            </w:rPr>
            <w:t>（五）磋商评审</w:t>
          </w:r>
          <w:r>
            <w:rPr>
              <w:sz w:val="24"/>
              <w:szCs w:val="24"/>
            </w:rPr>
            <w:tab/>
          </w:r>
          <w:r>
            <w:rPr>
              <w:sz w:val="24"/>
              <w:szCs w:val="24"/>
            </w:rPr>
            <w:fldChar w:fldCharType="begin"/>
          </w:r>
          <w:r>
            <w:rPr>
              <w:sz w:val="24"/>
              <w:szCs w:val="24"/>
            </w:rPr>
            <w:instrText xml:space="preserve"> PAGEREF _Toc17509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50"/>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_Toc10027 </w:instrText>
          </w:r>
          <w:r>
            <w:rPr>
              <w:sz w:val="24"/>
              <w:szCs w:val="24"/>
            </w:rPr>
            <w:fldChar w:fldCharType="separate"/>
          </w:r>
          <w:r>
            <w:rPr>
              <w:rFonts w:hint="eastAsia"/>
              <w:sz w:val="24"/>
              <w:szCs w:val="24"/>
            </w:rPr>
            <w:t>（六）确定成交</w:t>
          </w:r>
          <w:r>
            <w:rPr>
              <w:sz w:val="24"/>
              <w:szCs w:val="24"/>
            </w:rPr>
            <w:tab/>
          </w:r>
          <w:r>
            <w:rPr>
              <w:sz w:val="24"/>
              <w:szCs w:val="24"/>
            </w:rPr>
            <w:fldChar w:fldCharType="begin"/>
          </w:r>
          <w:r>
            <w:rPr>
              <w:sz w:val="24"/>
              <w:szCs w:val="24"/>
            </w:rPr>
            <w:instrText xml:space="preserve"> PAGEREF _Toc10027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50"/>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_Toc10144 </w:instrText>
          </w:r>
          <w:r>
            <w:rPr>
              <w:sz w:val="24"/>
              <w:szCs w:val="24"/>
            </w:rPr>
            <w:fldChar w:fldCharType="separate"/>
          </w:r>
          <w:r>
            <w:rPr>
              <w:rFonts w:hint="eastAsia"/>
              <w:sz w:val="24"/>
              <w:szCs w:val="24"/>
              <w:lang w:eastAsia="zh-CN"/>
            </w:rPr>
            <w:t xml:space="preserve">（七） </w:t>
          </w:r>
          <w:r>
            <w:rPr>
              <w:rFonts w:hint="eastAsia"/>
              <w:sz w:val="24"/>
              <w:szCs w:val="24"/>
            </w:rPr>
            <w:t>评标办法</w:t>
          </w:r>
          <w:r>
            <w:rPr>
              <w:sz w:val="24"/>
              <w:szCs w:val="24"/>
            </w:rPr>
            <w:tab/>
          </w:r>
          <w:r>
            <w:rPr>
              <w:sz w:val="24"/>
              <w:szCs w:val="24"/>
            </w:rPr>
            <w:fldChar w:fldCharType="begin"/>
          </w:r>
          <w:r>
            <w:rPr>
              <w:sz w:val="24"/>
              <w:szCs w:val="24"/>
            </w:rPr>
            <w:instrText xml:space="preserve"> PAGEREF _Toc10144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50"/>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_Toc32670 </w:instrText>
          </w:r>
          <w:r>
            <w:rPr>
              <w:sz w:val="24"/>
              <w:szCs w:val="24"/>
            </w:rPr>
            <w:fldChar w:fldCharType="separate"/>
          </w:r>
          <w:r>
            <w:rPr>
              <w:rFonts w:hint="eastAsia"/>
              <w:sz w:val="24"/>
              <w:szCs w:val="24"/>
            </w:rPr>
            <w:t>（八）合同及履约验收</w:t>
          </w:r>
          <w:r>
            <w:rPr>
              <w:sz w:val="24"/>
              <w:szCs w:val="24"/>
            </w:rPr>
            <w:tab/>
          </w:r>
          <w:r>
            <w:rPr>
              <w:sz w:val="24"/>
              <w:szCs w:val="24"/>
            </w:rPr>
            <w:fldChar w:fldCharType="begin"/>
          </w:r>
          <w:r>
            <w:rPr>
              <w:sz w:val="24"/>
              <w:szCs w:val="24"/>
            </w:rPr>
            <w:instrText xml:space="preserve"> PAGEREF _Toc32670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50"/>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_Toc6722 </w:instrText>
          </w:r>
          <w:r>
            <w:rPr>
              <w:sz w:val="24"/>
              <w:szCs w:val="24"/>
            </w:rPr>
            <w:fldChar w:fldCharType="separate"/>
          </w:r>
          <w:r>
            <w:rPr>
              <w:rFonts w:hint="eastAsia"/>
              <w:sz w:val="24"/>
              <w:szCs w:val="24"/>
            </w:rPr>
            <w:t>（九）质疑和投诉</w:t>
          </w:r>
          <w:r>
            <w:rPr>
              <w:sz w:val="24"/>
              <w:szCs w:val="24"/>
            </w:rPr>
            <w:tab/>
          </w:r>
          <w:r>
            <w:rPr>
              <w:sz w:val="24"/>
              <w:szCs w:val="24"/>
            </w:rPr>
            <w:fldChar w:fldCharType="begin"/>
          </w:r>
          <w:r>
            <w:rPr>
              <w:sz w:val="24"/>
              <w:szCs w:val="24"/>
            </w:rPr>
            <w:instrText xml:space="preserve"> PAGEREF _Toc6722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49"/>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b/>
              <w:sz w:val="24"/>
              <w:szCs w:val="24"/>
            </w:rPr>
          </w:pPr>
          <w:r>
            <w:rPr>
              <w:b/>
              <w:sz w:val="24"/>
              <w:szCs w:val="24"/>
            </w:rPr>
            <w:fldChar w:fldCharType="begin"/>
          </w:r>
          <w:r>
            <w:rPr>
              <w:b/>
              <w:sz w:val="24"/>
              <w:szCs w:val="24"/>
            </w:rPr>
            <w:instrText xml:space="preserve"> HYPERLINK \l _Toc2137 </w:instrText>
          </w:r>
          <w:r>
            <w:rPr>
              <w:b/>
              <w:sz w:val="24"/>
              <w:szCs w:val="24"/>
            </w:rPr>
            <w:fldChar w:fldCharType="separate"/>
          </w:r>
          <w:r>
            <w:rPr>
              <w:b/>
              <w:sz w:val="24"/>
              <w:szCs w:val="24"/>
            </w:rPr>
            <w:t xml:space="preserve">第四章 </w:t>
          </w:r>
          <w:r>
            <w:rPr>
              <w:rFonts w:hint="eastAsia"/>
              <w:b/>
              <w:sz w:val="24"/>
              <w:szCs w:val="24"/>
            </w:rPr>
            <w:t>项目说明和采购需求</w:t>
          </w:r>
          <w:r>
            <w:rPr>
              <w:b/>
              <w:sz w:val="24"/>
              <w:szCs w:val="24"/>
            </w:rPr>
            <w:tab/>
          </w:r>
          <w:r>
            <w:rPr>
              <w:b/>
              <w:sz w:val="24"/>
              <w:szCs w:val="24"/>
            </w:rPr>
            <w:fldChar w:fldCharType="begin"/>
          </w:r>
          <w:r>
            <w:rPr>
              <w:b/>
              <w:sz w:val="24"/>
              <w:szCs w:val="24"/>
            </w:rPr>
            <w:instrText xml:space="preserve"> PAGEREF _Toc2137 \h </w:instrText>
          </w:r>
          <w:r>
            <w:rPr>
              <w:b/>
              <w:sz w:val="24"/>
              <w:szCs w:val="24"/>
            </w:rPr>
            <w:fldChar w:fldCharType="separate"/>
          </w:r>
          <w:r>
            <w:rPr>
              <w:b/>
              <w:sz w:val="24"/>
              <w:szCs w:val="24"/>
            </w:rPr>
            <w:t>22</w:t>
          </w:r>
          <w:r>
            <w:rPr>
              <w:b/>
              <w:sz w:val="24"/>
              <w:szCs w:val="24"/>
            </w:rPr>
            <w:fldChar w:fldCharType="end"/>
          </w:r>
          <w:r>
            <w:rPr>
              <w:b/>
              <w:sz w:val="24"/>
              <w:szCs w:val="24"/>
            </w:rPr>
            <w:fldChar w:fldCharType="end"/>
          </w:r>
        </w:p>
        <w:p>
          <w:pPr>
            <w:pStyle w:val="49"/>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sz w:val="24"/>
              <w:szCs w:val="24"/>
            </w:rPr>
          </w:pPr>
          <w:r>
            <w:rPr>
              <w:b/>
              <w:sz w:val="24"/>
              <w:szCs w:val="24"/>
            </w:rPr>
            <w:fldChar w:fldCharType="begin"/>
          </w:r>
          <w:r>
            <w:rPr>
              <w:b/>
              <w:sz w:val="24"/>
              <w:szCs w:val="24"/>
            </w:rPr>
            <w:instrText xml:space="preserve"> HYPERLINK \l _Toc31345 </w:instrText>
          </w:r>
          <w:r>
            <w:rPr>
              <w:b/>
              <w:sz w:val="24"/>
              <w:szCs w:val="24"/>
            </w:rPr>
            <w:fldChar w:fldCharType="separate"/>
          </w:r>
          <w:r>
            <w:rPr>
              <w:rFonts w:hint="eastAsia"/>
              <w:b/>
              <w:sz w:val="24"/>
              <w:szCs w:val="24"/>
            </w:rPr>
            <w:t>第五章 政府采购合同范本</w:t>
          </w:r>
          <w:r>
            <w:rPr>
              <w:b/>
              <w:sz w:val="24"/>
              <w:szCs w:val="24"/>
            </w:rPr>
            <w:tab/>
          </w:r>
          <w:r>
            <w:rPr>
              <w:b/>
              <w:sz w:val="24"/>
              <w:szCs w:val="24"/>
            </w:rPr>
            <w:fldChar w:fldCharType="begin"/>
          </w:r>
          <w:r>
            <w:rPr>
              <w:b/>
              <w:sz w:val="24"/>
              <w:szCs w:val="24"/>
            </w:rPr>
            <w:instrText xml:space="preserve"> PAGEREF _Toc31345 \h </w:instrText>
          </w:r>
          <w:r>
            <w:rPr>
              <w:b/>
              <w:sz w:val="24"/>
              <w:szCs w:val="24"/>
            </w:rPr>
            <w:fldChar w:fldCharType="separate"/>
          </w:r>
          <w:r>
            <w:rPr>
              <w:b/>
              <w:sz w:val="24"/>
              <w:szCs w:val="24"/>
            </w:rPr>
            <w:t>23</w:t>
          </w:r>
          <w:r>
            <w:rPr>
              <w:b/>
              <w:sz w:val="24"/>
              <w:szCs w:val="24"/>
            </w:rPr>
            <w:fldChar w:fldCharType="end"/>
          </w:r>
          <w:r>
            <w:rPr>
              <w:b/>
              <w:sz w:val="24"/>
              <w:szCs w:val="24"/>
            </w:rPr>
            <w:fldChar w:fldCharType="end"/>
          </w:r>
        </w:p>
        <w:p>
          <w:pPr>
            <w:pStyle w:val="49"/>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sz w:val="24"/>
              <w:szCs w:val="24"/>
            </w:rPr>
          </w:pPr>
          <w:r>
            <w:rPr>
              <w:b/>
              <w:sz w:val="24"/>
              <w:szCs w:val="24"/>
            </w:rPr>
            <w:fldChar w:fldCharType="begin"/>
          </w:r>
          <w:r>
            <w:rPr>
              <w:b/>
              <w:sz w:val="24"/>
              <w:szCs w:val="24"/>
            </w:rPr>
            <w:instrText xml:space="preserve"> HYPERLINK \l _Toc30648 </w:instrText>
          </w:r>
          <w:r>
            <w:rPr>
              <w:b/>
              <w:sz w:val="24"/>
              <w:szCs w:val="24"/>
            </w:rPr>
            <w:fldChar w:fldCharType="separate"/>
          </w:r>
          <w:r>
            <w:rPr>
              <w:rFonts w:hint="eastAsia"/>
              <w:b/>
              <w:sz w:val="24"/>
              <w:szCs w:val="24"/>
            </w:rPr>
            <w:t>第六章 响应文件格式</w:t>
          </w:r>
          <w:r>
            <w:rPr>
              <w:b/>
              <w:sz w:val="24"/>
              <w:szCs w:val="24"/>
            </w:rPr>
            <w:tab/>
          </w:r>
          <w:r>
            <w:rPr>
              <w:b/>
              <w:sz w:val="24"/>
              <w:szCs w:val="24"/>
            </w:rPr>
            <w:fldChar w:fldCharType="begin"/>
          </w:r>
          <w:r>
            <w:rPr>
              <w:b/>
              <w:sz w:val="24"/>
              <w:szCs w:val="24"/>
            </w:rPr>
            <w:instrText xml:space="preserve"> PAGEREF _Toc30648 \h </w:instrText>
          </w:r>
          <w:r>
            <w:rPr>
              <w:b/>
              <w:sz w:val="24"/>
              <w:szCs w:val="24"/>
            </w:rPr>
            <w:fldChar w:fldCharType="separate"/>
          </w:r>
          <w:r>
            <w:rPr>
              <w:b/>
              <w:sz w:val="24"/>
              <w:szCs w:val="24"/>
            </w:rPr>
            <w:t>26</w:t>
          </w:r>
          <w:r>
            <w:rPr>
              <w:b/>
              <w:sz w:val="24"/>
              <w:szCs w:val="24"/>
            </w:rPr>
            <w:fldChar w:fldCharType="end"/>
          </w:r>
          <w:r>
            <w:rPr>
              <w:b/>
              <w:sz w:val="24"/>
              <w:szCs w:val="24"/>
            </w:rPr>
            <w:fldChar w:fldCharType="end"/>
          </w:r>
        </w:p>
        <w:p>
          <w:pPr>
            <w:pStyle w:val="49"/>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b/>
              <w:sz w:val="24"/>
              <w:szCs w:val="24"/>
            </w:rPr>
          </w:pPr>
          <w:r>
            <w:rPr>
              <w:b/>
              <w:sz w:val="24"/>
              <w:szCs w:val="24"/>
            </w:rPr>
            <w:fldChar w:fldCharType="begin"/>
          </w:r>
          <w:r>
            <w:rPr>
              <w:b/>
              <w:sz w:val="24"/>
              <w:szCs w:val="24"/>
            </w:rPr>
            <w:instrText xml:space="preserve"> HYPERLINK \l _Toc5487 </w:instrText>
          </w:r>
          <w:r>
            <w:rPr>
              <w:b/>
              <w:sz w:val="24"/>
              <w:szCs w:val="24"/>
            </w:rPr>
            <w:fldChar w:fldCharType="separate"/>
          </w:r>
          <w:r>
            <w:rPr>
              <w:rFonts w:hint="eastAsia"/>
              <w:b/>
              <w:sz w:val="24"/>
              <w:szCs w:val="24"/>
            </w:rPr>
            <w:t>一、响应函</w:t>
          </w:r>
          <w:r>
            <w:rPr>
              <w:b/>
              <w:sz w:val="24"/>
              <w:szCs w:val="24"/>
            </w:rPr>
            <w:tab/>
          </w:r>
          <w:r>
            <w:rPr>
              <w:b/>
              <w:sz w:val="24"/>
              <w:szCs w:val="24"/>
            </w:rPr>
            <w:fldChar w:fldCharType="begin"/>
          </w:r>
          <w:r>
            <w:rPr>
              <w:b/>
              <w:sz w:val="24"/>
              <w:szCs w:val="24"/>
            </w:rPr>
            <w:instrText xml:space="preserve"> PAGEREF _Toc5487 \h </w:instrText>
          </w:r>
          <w:r>
            <w:rPr>
              <w:b/>
              <w:sz w:val="24"/>
              <w:szCs w:val="24"/>
            </w:rPr>
            <w:fldChar w:fldCharType="separate"/>
          </w:r>
          <w:r>
            <w:rPr>
              <w:b/>
              <w:sz w:val="24"/>
              <w:szCs w:val="24"/>
            </w:rPr>
            <w:t>28</w:t>
          </w:r>
          <w:r>
            <w:rPr>
              <w:b/>
              <w:sz w:val="24"/>
              <w:szCs w:val="24"/>
            </w:rPr>
            <w:fldChar w:fldCharType="end"/>
          </w:r>
          <w:r>
            <w:rPr>
              <w:b/>
              <w:sz w:val="24"/>
              <w:szCs w:val="24"/>
            </w:rPr>
            <w:fldChar w:fldCharType="end"/>
          </w:r>
        </w:p>
        <w:p>
          <w:pPr>
            <w:pStyle w:val="49"/>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b/>
              <w:sz w:val="24"/>
              <w:szCs w:val="24"/>
            </w:rPr>
          </w:pPr>
          <w:r>
            <w:rPr>
              <w:b/>
              <w:sz w:val="24"/>
              <w:szCs w:val="24"/>
            </w:rPr>
            <w:fldChar w:fldCharType="begin"/>
          </w:r>
          <w:r>
            <w:rPr>
              <w:b/>
              <w:sz w:val="24"/>
              <w:szCs w:val="24"/>
            </w:rPr>
            <w:instrText xml:space="preserve"> HYPERLINK \l _Toc22789 </w:instrText>
          </w:r>
          <w:r>
            <w:rPr>
              <w:b/>
              <w:sz w:val="24"/>
              <w:szCs w:val="24"/>
            </w:rPr>
            <w:fldChar w:fldCharType="separate"/>
          </w:r>
          <w:r>
            <w:rPr>
              <w:rFonts w:hint="eastAsia"/>
              <w:b/>
              <w:sz w:val="24"/>
              <w:szCs w:val="24"/>
            </w:rPr>
            <w:t>二、响应一览表</w:t>
          </w:r>
          <w:r>
            <w:rPr>
              <w:b/>
              <w:sz w:val="24"/>
              <w:szCs w:val="24"/>
            </w:rPr>
            <w:tab/>
          </w:r>
          <w:r>
            <w:rPr>
              <w:b/>
              <w:sz w:val="24"/>
              <w:szCs w:val="24"/>
            </w:rPr>
            <w:fldChar w:fldCharType="begin"/>
          </w:r>
          <w:r>
            <w:rPr>
              <w:b/>
              <w:sz w:val="24"/>
              <w:szCs w:val="24"/>
            </w:rPr>
            <w:instrText xml:space="preserve"> PAGEREF _Toc22789 \h </w:instrText>
          </w:r>
          <w:r>
            <w:rPr>
              <w:b/>
              <w:sz w:val="24"/>
              <w:szCs w:val="24"/>
            </w:rPr>
            <w:fldChar w:fldCharType="separate"/>
          </w:r>
          <w:r>
            <w:rPr>
              <w:b/>
              <w:sz w:val="24"/>
              <w:szCs w:val="24"/>
            </w:rPr>
            <w:t>29</w:t>
          </w:r>
          <w:r>
            <w:rPr>
              <w:b/>
              <w:sz w:val="24"/>
              <w:szCs w:val="24"/>
            </w:rPr>
            <w:fldChar w:fldCharType="end"/>
          </w:r>
          <w:r>
            <w:rPr>
              <w:b/>
              <w:sz w:val="24"/>
              <w:szCs w:val="24"/>
            </w:rPr>
            <w:fldChar w:fldCharType="end"/>
          </w:r>
        </w:p>
        <w:p>
          <w:pPr>
            <w:pStyle w:val="49"/>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b/>
              <w:sz w:val="24"/>
              <w:szCs w:val="24"/>
            </w:rPr>
          </w:pPr>
          <w:r>
            <w:rPr>
              <w:b/>
              <w:sz w:val="24"/>
              <w:szCs w:val="24"/>
            </w:rPr>
            <w:fldChar w:fldCharType="begin"/>
          </w:r>
          <w:r>
            <w:rPr>
              <w:b/>
              <w:sz w:val="24"/>
              <w:szCs w:val="24"/>
            </w:rPr>
            <w:instrText xml:space="preserve"> HYPERLINK \l _Toc18637 </w:instrText>
          </w:r>
          <w:r>
            <w:rPr>
              <w:b/>
              <w:sz w:val="24"/>
              <w:szCs w:val="24"/>
            </w:rPr>
            <w:fldChar w:fldCharType="separate"/>
          </w:r>
          <w:r>
            <w:rPr>
              <w:rFonts w:hint="eastAsia"/>
              <w:b/>
              <w:sz w:val="24"/>
              <w:szCs w:val="24"/>
            </w:rPr>
            <w:t>三、 响应价格明细表（可根据实际情况修改）</w:t>
          </w:r>
          <w:r>
            <w:rPr>
              <w:b/>
              <w:sz w:val="24"/>
              <w:szCs w:val="24"/>
            </w:rPr>
            <w:tab/>
          </w:r>
          <w:r>
            <w:rPr>
              <w:b/>
              <w:sz w:val="24"/>
              <w:szCs w:val="24"/>
            </w:rPr>
            <w:fldChar w:fldCharType="begin"/>
          </w:r>
          <w:r>
            <w:rPr>
              <w:b/>
              <w:sz w:val="24"/>
              <w:szCs w:val="24"/>
            </w:rPr>
            <w:instrText xml:space="preserve"> PAGEREF _Toc18637 \h </w:instrText>
          </w:r>
          <w:r>
            <w:rPr>
              <w:b/>
              <w:sz w:val="24"/>
              <w:szCs w:val="24"/>
            </w:rPr>
            <w:fldChar w:fldCharType="separate"/>
          </w:r>
          <w:r>
            <w:rPr>
              <w:b/>
              <w:sz w:val="24"/>
              <w:szCs w:val="24"/>
            </w:rPr>
            <w:t>30</w:t>
          </w:r>
          <w:r>
            <w:rPr>
              <w:b/>
              <w:sz w:val="24"/>
              <w:szCs w:val="24"/>
            </w:rPr>
            <w:fldChar w:fldCharType="end"/>
          </w:r>
          <w:r>
            <w:rPr>
              <w:b/>
              <w:sz w:val="24"/>
              <w:szCs w:val="24"/>
            </w:rPr>
            <w:fldChar w:fldCharType="end"/>
          </w:r>
        </w:p>
        <w:p>
          <w:pPr>
            <w:pStyle w:val="49"/>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b/>
              <w:sz w:val="24"/>
              <w:szCs w:val="24"/>
            </w:rPr>
          </w:pPr>
          <w:r>
            <w:rPr>
              <w:b/>
              <w:sz w:val="24"/>
              <w:szCs w:val="24"/>
            </w:rPr>
            <w:fldChar w:fldCharType="begin"/>
          </w:r>
          <w:r>
            <w:rPr>
              <w:b/>
              <w:sz w:val="24"/>
              <w:szCs w:val="24"/>
            </w:rPr>
            <w:instrText xml:space="preserve"> HYPERLINK \l _Toc31214 </w:instrText>
          </w:r>
          <w:r>
            <w:rPr>
              <w:b/>
              <w:sz w:val="24"/>
              <w:szCs w:val="24"/>
            </w:rPr>
            <w:fldChar w:fldCharType="separate"/>
          </w:r>
          <w:r>
            <w:rPr>
              <w:rFonts w:hint="eastAsia"/>
              <w:b/>
              <w:sz w:val="24"/>
              <w:szCs w:val="24"/>
            </w:rPr>
            <w:t>四、采购需求响应表（可根据实际情况修改）</w:t>
          </w:r>
          <w:r>
            <w:rPr>
              <w:b/>
              <w:sz w:val="24"/>
              <w:szCs w:val="24"/>
            </w:rPr>
            <w:tab/>
          </w:r>
          <w:r>
            <w:rPr>
              <w:b/>
              <w:sz w:val="24"/>
              <w:szCs w:val="24"/>
            </w:rPr>
            <w:fldChar w:fldCharType="begin"/>
          </w:r>
          <w:r>
            <w:rPr>
              <w:b/>
              <w:sz w:val="24"/>
              <w:szCs w:val="24"/>
            </w:rPr>
            <w:instrText xml:space="preserve"> PAGEREF _Toc31214 \h </w:instrText>
          </w:r>
          <w:r>
            <w:rPr>
              <w:b/>
              <w:sz w:val="24"/>
              <w:szCs w:val="24"/>
            </w:rPr>
            <w:fldChar w:fldCharType="separate"/>
          </w:r>
          <w:r>
            <w:rPr>
              <w:b/>
              <w:sz w:val="24"/>
              <w:szCs w:val="24"/>
            </w:rPr>
            <w:t>31</w:t>
          </w:r>
          <w:r>
            <w:rPr>
              <w:b/>
              <w:sz w:val="24"/>
              <w:szCs w:val="24"/>
            </w:rPr>
            <w:fldChar w:fldCharType="end"/>
          </w:r>
          <w:r>
            <w:rPr>
              <w:b/>
              <w:sz w:val="24"/>
              <w:szCs w:val="24"/>
            </w:rPr>
            <w:fldChar w:fldCharType="end"/>
          </w:r>
        </w:p>
        <w:p>
          <w:pPr>
            <w:pStyle w:val="49"/>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b/>
              <w:sz w:val="24"/>
              <w:szCs w:val="24"/>
            </w:rPr>
          </w:pPr>
          <w:r>
            <w:rPr>
              <w:b/>
              <w:sz w:val="24"/>
              <w:szCs w:val="24"/>
            </w:rPr>
            <w:fldChar w:fldCharType="begin"/>
          </w:r>
          <w:r>
            <w:rPr>
              <w:b/>
              <w:sz w:val="24"/>
              <w:szCs w:val="24"/>
            </w:rPr>
            <w:instrText xml:space="preserve"> HYPERLINK \l _Toc3020 </w:instrText>
          </w:r>
          <w:r>
            <w:rPr>
              <w:b/>
              <w:sz w:val="24"/>
              <w:szCs w:val="24"/>
            </w:rPr>
            <w:fldChar w:fldCharType="separate"/>
          </w:r>
          <w:r>
            <w:rPr>
              <w:rFonts w:hint="eastAsia"/>
              <w:b/>
              <w:sz w:val="24"/>
              <w:szCs w:val="24"/>
              <w:lang w:val="en-US" w:eastAsia="zh-CN"/>
            </w:rPr>
            <w:t>五</w:t>
          </w:r>
          <w:r>
            <w:rPr>
              <w:rFonts w:hint="eastAsia"/>
              <w:b/>
              <w:sz w:val="24"/>
              <w:szCs w:val="24"/>
            </w:rPr>
            <w:t>、采购需求及相关要求响应详情</w:t>
          </w:r>
          <w:r>
            <w:rPr>
              <w:b/>
              <w:sz w:val="24"/>
              <w:szCs w:val="24"/>
            </w:rPr>
            <w:tab/>
          </w:r>
          <w:r>
            <w:rPr>
              <w:b/>
              <w:sz w:val="24"/>
              <w:szCs w:val="24"/>
            </w:rPr>
            <w:fldChar w:fldCharType="begin"/>
          </w:r>
          <w:r>
            <w:rPr>
              <w:b/>
              <w:sz w:val="24"/>
              <w:szCs w:val="24"/>
            </w:rPr>
            <w:instrText xml:space="preserve"> PAGEREF _Toc3020 \h </w:instrText>
          </w:r>
          <w:r>
            <w:rPr>
              <w:b/>
              <w:sz w:val="24"/>
              <w:szCs w:val="24"/>
            </w:rPr>
            <w:fldChar w:fldCharType="separate"/>
          </w:r>
          <w:r>
            <w:rPr>
              <w:b/>
              <w:sz w:val="24"/>
              <w:szCs w:val="24"/>
            </w:rPr>
            <w:t>32</w:t>
          </w:r>
          <w:r>
            <w:rPr>
              <w:b/>
              <w:sz w:val="24"/>
              <w:szCs w:val="24"/>
            </w:rPr>
            <w:fldChar w:fldCharType="end"/>
          </w:r>
          <w:r>
            <w:rPr>
              <w:b/>
              <w:sz w:val="24"/>
              <w:szCs w:val="24"/>
            </w:rPr>
            <w:fldChar w:fldCharType="end"/>
          </w:r>
        </w:p>
        <w:p>
          <w:pPr>
            <w:pStyle w:val="49"/>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b/>
              <w:sz w:val="24"/>
              <w:szCs w:val="24"/>
            </w:rPr>
          </w:pPr>
          <w:r>
            <w:rPr>
              <w:b/>
              <w:sz w:val="24"/>
              <w:szCs w:val="24"/>
            </w:rPr>
            <w:fldChar w:fldCharType="begin"/>
          </w:r>
          <w:r>
            <w:rPr>
              <w:b/>
              <w:sz w:val="24"/>
              <w:szCs w:val="24"/>
            </w:rPr>
            <w:instrText xml:space="preserve"> HYPERLINK \l _Toc12893 </w:instrText>
          </w:r>
          <w:r>
            <w:rPr>
              <w:b/>
              <w:sz w:val="24"/>
              <w:szCs w:val="24"/>
            </w:rPr>
            <w:fldChar w:fldCharType="separate"/>
          </w:r>
          <w:r>
            <w:rPr>
              <w:rFonts w:hint="eastAsia"/>
              <w:b/>
              <w:sz w:val="24"/>
              <w:szCs w:val="24"/>
              <w:lang w:val="en-US" w:eastAsia="zh-CN"/>
            </w:rPr>
            <w:t>六</w:t>
          </w:r>
          <w:r>
            <w:rPr>
              <w:rFonts w:hint="eastAsia"/>
              <w:b/>
              <w:sz w:val="24"/>
              <w:szCs w:val="24"/>
            </w:rPr>
            <w:t>、资格证明文件</w:t>
          </w:r>
          <w:r>
            <w:rPr>
              <w:b/>
              <w:sz w:val="24"/>
              <w:szCs w:val="24"/>
            </w:rPr>
            <w:tab/>
          </w:r>
          <w:r>
            <w:rPr>
              <w:b/>
              <w:sz w:val="24"/>
              <w:szCs w:val="24"/>
            </w:rPr>
            <w:fldChar w:fldCharType="begin"/>
          </w:r>
          <w:r>
            <w:rPr>
              <w:b/>
              <w:sz w:val="24"/>
              <w:szCs w:val="24"/>
            </w:rPr>
            <w:instrText xml:space="preserve"> PAGEREF _Toc12893 \h </w:instrText>
          </w:r>
          <w:r>
            <w:rPr>
              <w:b/>
              <w:sz w:val="24"/>
              <w:szCs w:val="24"/>
            </w:rPr>
            <w:fldChar w:fldCharType="separate"/>
          </w:r>
          <w:r>
            <w:rPr>
              <w:b/>
              <w:sz w:val="24"/>
              <w:szCs w:val="24"/>
            </w:rPr>
            <w:t>33</w:t>
          </w:r>
          <w:r>
            <w:rPr>
              <w:b/>
              <w:sz w:val="24"/>
              <w:szCs w:val="24"/>
            </w:rPr>
            <w:fldChar w:fldCharType="end"/>
          </w:r>
          <w:r>
            <w:rPr>
              <w:b/>
              <w:sz w:val="24"/>
              <w:szCs w:val="24"/>
            </w:rPr>
            <w:fldChar w:fldCharType="end"/>
          </w:r>
        </w:p>
        <w:p>
          <w:pPr>
            <w:pStyle w:val="50"/>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_Toc1631 </w:instrText>
          </w:r>
          <w:r>
            <w:rPr>
              <w:sz w:val="24"/>
              <w:szCs w:val="24"/>
            </w:rPr>
            <w:fldChar w:fldCharType="separate"/>
          </w:r>
          <w:r>
            <w:rPr>
              <w:rFonts w:hint="eastAsia"/>
              <w:sz w:val="24"/>
              <w:szCs w:val="24"/>
            </w:rPr>
            <w:t>（一）法人或者非法人组织的营业执照等证明文件或自然人的身份证明</w:t>
          </w:r>
          <w:r>
            <w:rPr>
              <w:sz w:val="24"/>
              <w:szCs w:val="24"/>
            </w:rPr>
            <w:tab/>
          </w:r>
          <w:r>
            <w:rPr>
              <w:sz w:val="24"/>
              <w:szCs w:val="24"/>
            </w:rPr>
            <w:fldChar w:fldCharType="begin"/>
          </w:r>
          <w:r>
            <w:rPr>
              <w:sz w:val="24"/>
              <w:szCs w:val="24"/>
            </w:rPr>
            <w:instrText xml:space="preserve"> PAGEREF _Toc1631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50"/>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_Toc24237 </w:instrText>
          </w:r>
          <w:r>
            <w:rPr>
              <w:sz w:val="24"/>
              <w:szCs w:val="24"/>
            </w:rPr>
            <w:fldChar w:fldCharType="separate"/>
          </w:r>
          <w:r>
            <w:rPr>
              <w:rFonts w:hint="eastAsia"/>
              <w:sz w:val="24"/>
              <w:szCs w:val="24"/>
            </w:rPr>
            <w:t>（二）法定代表人授权委托书</w:t>
          </w:r>
          <w:r>
            <w:rPr>
              <w:sz w:val="24"/>
              <w:szCs w:val="24"/>
            </w:rPr>
            <w:tab/>
          </w:r>
          <w:r>
            <w:rPr>
              <w:sz w:val="24"/>
              <w:szCs w:val="24"/>
            </w:rPr>
            <w:fldChar w:fldCharType="begin"/>
          </w:r>
          <w:r>
            <w:rPr>
              <w:sz w:val="24"/>
              <w:szCs w:val="24"/>
            </w:rPr>
            <w:instrText xml:space="preserve"> PAGEREF _Toc24237 \h </w:instrText>
          </w:r>
          <w:r>
            <w:rPr>
              <w:sz w:val="24"/>
              <w:szCs w:val="24"/>
            </w:rPr>
            <w:fldChar w:fldCharType="separate"/>
          </w:r>
          <w:r>
            <w:rPr>
              <w:sz w:val="24"/>
              <w:szCs w:val="24"/>
            </w:rPr>
            <w:t>34</w:t>
          </w:r>
          <w:r>
            <w:rPr>
              <w:sz w:val="24"/>
              <w:szCs w:val="24"/>
            </w:rPr>
            <w:fldChar w:fldCharType="end"/>
          </w:r>
          <w:r>
            <w:rPr>
              <w:sz w:val="24"/>
              <w:szCs w:val="24"/>
            </w:rPr>
            <w:fldChar w:fldCharType="end"/>
          </w:r>
        </w:p>
        <w:p>
          <w:pPr>
            <w:pStyle w:val="50"/>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_Toc5751 </w:instrText>
          </w:r>
          <w:r>
            <w:rPr>
              <w:sz w:val="24"/>
              <w:szCs w:val="24"/>
            </w:rPr>
            <w:fldChar w:fldCharType="separate"/>
          </w:r>
          <w:r>
            <w:rPr>
              <w:rFonts w:hint="eastAsia"/>
              <w:sz w:val="24"/>
              <w:szCs w:val="24"/>
            </w:rPr>
            <w:t>（三）具有良好的商业信誉和健全的财务会计制度承诺书</w:t>
          </w:r>
          <w:r>
            <w:rPr>
              <w:sz w:val="24"/>
              <w:szCs w:val="24"/>
            </w:rPr>
            <w:tab/>
          </w:r>
          <w:r>
            <w:rPr>
              <w:sz w:val="24"/>
              <w:szCs w:val="24"/>
            </w:rPr>
            <w:fldChar w:fldCharType="begin"/>
          </w:r>
          <w:r>
            <w:rPr>
              <w:sz w:val="24"/>
              <w:szCs w:val="24"/>
            </w:rPr>
            <w:instrText xml:space="preserve"> PAGEREF _Toc5751 \h </w:instrText>
          </w:r>
          <w:r>
            <w:rPr>
              <w:sz w:val="24"/>
              <w:szCs w:val="24"/>
            </w:rPr>
            <w:fldChar w:fldCharType="separate"/>
          </w:r>
          <w:r>
            <w:rPr>
              <w:sz w:val="24"/>
              <w:szCs w:val="24"/>
            </w:rPr>
            <w:t>35</w:t>
          </w:r>
          <w:r>
            <w:rPr>
              <w:sz w:val="24"/>
              <w:szCs w:val="24"/>
            </w:rPr>
            <w:fldChar w:fldCharType="end"/>
          </w:r>
          <w:r>
            <w:rPr>
              <w:sz w:val="24"/>
              <w:szCs w:val="24"/>
            </w:rPr>
            <w:fldChar w:fldCharType="end"/>
          </w:r>
        </w:p>
        <w:p>
          <w:pPr>
            <w:pStyle w:val="50"/>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_Toc13290 </w:instrText>
          </w:r>
          <w:r>
            <w:rPr>
              <w:sz w:val="24"/>
              <w:szCs w:val="24"/>
            </w:rPr>
            <w:fldChar w:fldCharType="separate"/>
          </w:r>
          <w:r>
            <w:rPr>
              <w:rFonts w:hint="eastAsia"/>
              <w:sz w:val="24"/>
              <w:szCs w:val="24"/>
            </w:rPr>
            <w:t>（四）依法缴纳社会保障资金的缴纳记录和税收的承诺书</w:t>
          </w:r>
          <w:r>
            <w:rPr>
              <w:sz w:val="24"/>
              <w:szCs w:val="24"/>
            </w:rPr>
            <w:tab/>
          </w:r>
          <w:r>
            <w:rPr>
              <w:sz w:val="24"/>
              <w:szCs w:val="24"/>
            </w:rPr>
            <w:fldChar w:fldCharType="begin"/>
          </w:r>
          <w:r>
            <w:rPr>
              <w:sz w:val="24"/>
              <w:szCs w:val="24"/>
            </w:rPr>
            <w:instrText xml:space="preserve"> PAGEREF _Toc13290 \h </w:instrText>
          </w:r>
          <w:r>
            <w:rPr>
              <w:sz w:val="24"/>
              <w:szCs w:val="24"/>
            </w:rPr>
            <w:fldChar w:fldCharType="separate"/>
          </w:r>
          <w:r>
            <w:rPr>
              <w:sz w:val="24"/>
              <w:szCs w:val="24"/>
            </w:rPr>
            <w:t>36</w:t>
          </w:r>
          <w:r>
            <w:rPr>
              <w:sz w:val="24"/>
              <w:szCs w:val="24"/>
            </w:rPr>
            <w:fldChar w:fldCharType="end"/>
          </w:r>
          <w:r>
            <w:rPr>
              <w:sz w:val="24"/>
              <w:szCs w:val="24"/>
            </w:rPr>
            <w:fldChar w:fldCharType="end"/>
          </w:r>
        </w:p>
        <w:p>
          <w:pPr>
            <w:pStyle w:val="50"/>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_Toc14414 </w:instrText>
          </w:r>
          <w:r>
            <w:rPr>
              <w:sz w:val="24"/>
              <w:szCs w:val="24"/>
            </w:rPr>
            <w:fldChar w:fldCharType="separate"/>
          </w:r>
          <w:r>
            <w:rPr>
              <w:rFonts w:hint="eastAsia"/>
              <w:sz w:val="24"/>
              <w:szCs w:val="24"/>
            </w:rPr>
            <w:t>（五）参加政府采购活动前3年内在经营活动中没有重大违法记录的承诺书</w:t>
          </w:r>
          <w:r>
            <w:rPr>
              <w:sz w:val="24"/>
              <w:szCs w:val="24"/>
            </w:rPr>
            <w:tab/>
          </w:r>
          <w:r>
            <w:rPr>
              <w:sz w:val="24"/>
              <w:szCs w:val="24"/>
            </w:rPr>
            <w:fldChar w:fldCharType="begin"/>
          </w:r>
          <w:r>
            <w:rPr>
              <w:sz w:val="24"/>
              <w:szCs w:val="24"/>
            </w:rPr>
            <w:instrText xml:space="preserve"> PAGEREF _Toc14414 \h </w:instrText>
          </w:r>
          <w:r>
            <w:rPr>
              <w:sz w:val="24"/>
              <w:szCs w:val="24"/>
            </w:rPr>
            <w:fldChar w:fldCharType="separate"/>
          </w:r>
          <w:r>
            <w:rPr>
              <w:sz w:val="24"/>
              <w:szCs w:val="24"/>
            </w:rPr>
            <w:t>37</w:t>
          </w:r>
          <w:r>
            <w:rPr>
              <w:sz w:val="24"/>
              <w:szCs w:val="24"/>
            </w:rPr>
            <w:fldChar w:fldCharType="end"/>
          </w:r>
          <w:r>
            <w:rPr>
              <w:sz w:val="24"/>
              <w:szCs w:val="24"/>
            </w:rPr>
            <w:fldChar w:fldCharType="end"/>
          </w:r>
        </w:p>
        <w:p>
          <w:pPr>
            <w:pStyle w:val="50"/>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_Toc21339 </w:instrText>
          </w:r>
          <w:r>
            <w:rPr>
              <w:sz w:val="24"/>
              <w:szCs w:val="24"/>
            </w:rPr>
            <w:fldChar w:fldCharType="separate"/>
          </w:r>
          <w:r>
            <w:rPr>
              <w:rFonts w:hint="eastAsia"/>
              <w:sz w:val="24"/>
              <w:szCs w:val="24"/>
            </w:rPr>
            <w:t>（六）落实政府采购政策要求的资格证明文件</w:t>
          </w:r>
          <w:r>
            <w:rPr>
              <w:sz w:val="24"/>
              <w:szCs w:val="24"/>
            </w:rPr>
            <w:tab/>
          </w:r>
          <w:r>
            <w:rPr>
              <w:sz w:val="24"/>
              <w:szCs w:val="24"/>
            </w:rPr>
            <w:fldChar w:fldCharType="begin"/>
          </w:r>
          <w:r>
            <w:rPr>
              <w:sz w:val="24"/>
              <w:szCs w:val="24"/>
            </w:rPr>
            <w:instrText xml:space="preserve"> PAGEREF _Toc21339 \h </w:instrText>
          </w:r>
          <w:r>
            <w:rPr>
              <w:sz w:val="24"/>
              <w:szCs w:val="24"/>
            </w:rPr>
            <w:fldChar w:fldCharType="separate"/>
          </w:r>
          <w:r>
            <w:rPr>
              <w:sz w:val="24"/>
              <w:szCs w:val="24"/>
            </w:rPr>
            <w:t>38</w:t>
          </w:r>
          <w:r>
            <w:rPr>
              <w:sz w:val="24"/>
              <w:szCs w:val="24"/>
            </w:rPr>
            <w:fldChar w:fldCharType="end"/>
          </w:r>
          <w:r>
            <w:rPr>
              <w:sz w:val="24"/>
              <w:szCs w:val="24"/>
            </w:rPr>
            <w:fldChar w:fldCharType="end"/>
          </w:r>
        </w:p>
        <w:p>
          <w:pPr>
            <w:pStyle w:val="50"/>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_Toc3639 </w:instrText>
          </w:r>
          <w:r>
            <w:rPr>
              <w:sz w:val="24"/>
              <w:szCs w:val="24"/>
            </w:rPr>
            <w:fldChar w:fldCharType="separate"/>
          </w:r>
          <w:r>
            <w:rPr>
              <w:rFonts w:hint="eastAsia" w:asciiTheme="minorEastAsia" w:hAnsiTheme="minorEastAsia" w:eastAsiaTheme="minorEastAsia" w:cstheme="minorEastAsia"/>
              <w:bCs/>
              <w:sz w:val="24"/>
              <w:szCs w:val="24"/>
            </w:rPr>
            <w:t>中小企业声明函（工程、服务）</w:t>
          </w:r>
          <w:r>
            <w:rPr>
              <w:sz w:val="24"/>
              <w:szCs w:val="24"/>
            </w:rPr>
            <w:tab/>
          </w:r>
          <w:r>
            <w:rPr>
              <w:sz w:val="24"/>
              <w:szCs w:val="24"/>
            </w:rPr>
            <w:fldChar w:fldCharType="begin"/>
          </w:r>
          <w:r>
            <w:rPr>
              <w:sz w:val="24"/>
              <w:szCs w:val="24"/>
            </w:rPr>
            <w:instrText xml:space="preserve"> PAGEREF _Toc3639 \h </w:instrText>
          </w:r>
          <w:r>
            <w:rPr>
              <w:sz w:val="24"/>
              <w:szCs w:val="24"/>
            </w:rPr>
            <w:fldChar w:fldCharType="separate"/>
          </w:r>
          <w:r>
            <w:rPr>
              <w:sz w:val="24"/>
              <w:szCs w:val="24"/>
            </w:rPr>
            <w:t>38</w:t>
          </w:r>
          <w:r>
            <w:rPr>
              <w:sz w:val="24"/>
              <w:szCs w:val="24"/>
            </w:rPr>
            <w:fldChar w:fldCharType="end"/>
          </w:r>
          <w:r>
            <w:rPr>
              <w:sz w:val="24"/>
              <w:szCs w:val="24"/>
            </w:rPr>
            <w:fldChar w:fldCharType="end"/>
          </w:r>
        </w:p>
        <w:p>
          <w:pPr>
            <w:pStyle w:val="50"/>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_Toc27529 </w:instrText>
          </w:r>
          <w:r>
            <w:rPr>
              <w:sz w:val="24"/>
              <w:szCs w:val="24"/>
            </w:rPr>
            <w:fldChar w:fldCharType="separate"/>
          </w:r>
          <w:r>
            <w:rPr>
              <w:rFonts w:hint="eastAsia" w:asciiTheme="minorEastAsia" w:hAnsiTheme="minorEastAsia" w:eastAsiaTheme="minorEastAsia" w:cstheme="minorEastAsia"/>
              <w:sz w:val="24"/>
              <w:szCs w:val="24"/>
            </w:rPr>
            <w:t>残疾人福利性单位声明函</w:t>
          </w:r>
          <w:r>
            <w:rPr>
              <w:sz w:val="24"/>
              <w:szCs w:val="24"/>
            </w:rPr>
            <w:tab/>
          </w:r>
          <w:r>
            <w:rPr>
              <w:sz w:val="24"/>
              <w:szCs w:val="24"/>
            </w:rPr>
            <w:fldChar w:fldCharType="begin"/>
          </w:r>
          <w:r>
            <w:rPr>
              <w:sz w:val="24"/>
              <w:szCs w:val="24"/>
            </w:rPr>
            <w:instrText xml:space="preserve"> PAGEREF _Toc27529 \h </w:instrText>
          </w:r>
          <w:r>
            <w:rPr>
              <w:sz w:val="24"/>
              <w:szCs w:val="24"/>
            </w:rPr>
            <w:fldChar w:fldCharType="separate"/>
          </w:r>
          <w:r>
            <w:rPr>
              <w:sz w:val="24"/>
              <w:szCs w:val="24"/>
            </w:rPr>
            <w:t>39</w:t>
          </w:r>
          <w:r>
            <w:rPr>
              <w:sz w:val="24"/>
              <w:szCs w:val="24"/>
            </w:rPr>
            <w:fldChar w:fldCharType="end"/>
          </w:r>
          <w:r>
            <w:rPr>
              <w:sz w:val="24"/>
              <w:szCs w:val="24"/>
            </w:rPr>
            <w:fldChar w:fldCharType="end"/>
          </w:r>
        </w:p>
        <w:p>
          <w:pPr>
            <w:pStyle w:val="50"/>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_Toc21525 </w:instrText>
          </w:r>
          <w:r>
            <w:rPr>
              <w:sz w:val="24"/>
              <w:szCs w:val="24"/>
            </w:rPr>
            <w:fldChar w:fldCharType="separate"/>
          </w:r>
          <w:r>
            <w:rPr>
              <w:rFonts w:hint="eastAsia" w:asciiTheme="minorEastAsia" w:hAnsiTheme="minorEastAsia" w:eastAsiaTheme="minorEastAsia" w:cstheme="minorEastAsia"/>
              <w:sz w:val="24"/>
              <w:szCs w:val="24"/>
            </w:rPr>
            <w:t>监狱企业声明函</w:t>
          </w:r>
          <w:r>
            <w:rPr>
              <w:sz w:val="24"/>
              <w:szCs w:val="24"/>
            </w:rPr>
            <w:tab/>
          </w:r>
          <w:r>
            <w:rPr>
              <w:sz w:val="24"/>
              <w:szCs w:val="24"/>
            </w:rPr>
            <w:fldChar w:fldCharType="begin"/>
          </w:r>
          <w:r>
            <w:rPr>
              <w:sz w:val="24"/>
              <w:szCs w:val="24"/>
            </w:rPr>
            <w:instrText xml:space="preserve"> PAGEREF _Toc21525 \h </w:instrText>
          </w:r>
          <w:r>
            <w:rPr>
              <w:sz w:val="24"/>
              <w:szCs w:val="24"/>
            </w:rPr>
            <w:fldChar w:fldCharType="separate"/>
          </w:r>
          <w:r>
            <w:rPr>
              <w:sz w:val="24"/>
              <w:szCs w:val="24"/>
            </w:rPr>
            <w:t>40</w:t>
          </w:r>
          <w:r>
            <w:rPr>
              <w:sz w:val="24"/>
              <w:szCs w:val="24"/>
            </w:rPr>
            <w:fldChar w:fldCharType="end"/>
          </w:r>
          <w:r>
            <w:rPr>
              <w:sz w:val="24"/>
              <w:szCs w:val="24"/>
            </w:rPr>
            <w:fldChar w:fldCharType="end"/>
          </w:r>
        </w:p>
        <w:p>
          <w:pPr>
            <w:pStyle w:val="49"/>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b/>
              <w:sz w:val="24"/>
              <w:szCs w:val="24"/>
            </w:rPr>
          </w:pPr>
          <w:r>
            <w:rPr>
              <w:b/>
              <w:sz w:val="24"/>
              <w:szCs w:val="24"/>
            </w:rPr>
            <w:fldChar w:fldCharType="begin"/>
          </w:r>
          <w:r>
            <w:rPr>
              <w:b/>
              <w:sz w:val="24"/>
              <w:szCs w:val="24"/>
            </w:rPr>
            <w:instrText xml:space="preserve"> HYPERLINK \l _Toc23130 </w:instrText>
          </w:r>
          <w:r>
            <w:rPr>
              <w:b/>
              <w:sz w:val="24"/>
              <w:szCs w:val="24"/>
            </w:rPr>
            <w:fldChar w:fldCharType="separate"/>
          </w:r>
          <w:r>
            <w:rPr>
              <w:rFonts w:hint="eastAsia"/>
              <w:b/>
              <w:sz w:val="24"/>
              <w:szCs w:val="24"/>
              <w:lang w:val="en-US" w:eastAsia="zh-CN"/>
            </w:rPr>
            <w:t>七、</w:t>
          </w:r>
          <w:r>
            <w:rPr>
              <w:rFonts w:hint="eastAsia"/>
              <w:b/>
              <w:sz w:val="24"/>
              <w:szCs w:val="24"/>
            </w:rPr>
            <w:t>保证金退还申请书</w:t>
          </w:r>
          <w:r>
            <w:rPr>
              <w:b/>
              <w:sz w:val="24"/>
              <w:szCs w:val="24"/>
            </w:rPr>
            <w:tab/>
          </w:r>
          <w:r>
            <w:rPr>
              <w:b/>
              <w:sz w:val="24"/>
              <w:szCs w:val="24"/>
            </w:rPr>
            <w:fldChar w:fldCharType="begin"/>
          </w:r>
          <w:r>
            <w:rPr>
              <w:b/>
              <w:sz w:val="24"/>
              <w:szCs w:val="24"/>
            </w:rPr>
            <w:instrText xml:space="preserve"> PAGEREF _Toc23130 \h </w:instrText>
          </w:r>
          <w:r>
            <w:rPr>
              <w:b/>
              <w:sz w:val="24"/>
              <w:szCs w:val="24"/>
            </w:rPr>
            <w:fldChar w:fldCharType="separate"/>
          </w:r>
          <w:r>
            <w:rPr>
              <w:b/>
              <w:sz w:val="24"/>
              <w:szCs w:val="24"/>
            </w:rPr>
            <w:t>41</w:t>
          </w:r>
          <w:r>
            <w:rPr>
              <w:b/>
              <w:sz w:val="24"/>
              <w:szCs w:val="24"/>
            </w:rPr>
            <w:fldChar w:fldCharType="end"/>
          </w:r>
          <w:r>
            <w:rPr>
              <w:b/>
              <w:sz w:val="24"/>
              <w:szCs w:val="24"/>
            </w:rPr>
            <w:fldChar w:fldCharType="end"/>
          </w:r>
        </w:p>
        <w:p>
          <w:pPr>
            <w:pStyle w:val="49"/>
            <w:keepNext w:val="0"/>
            <w:keepLines w:val="0"/>
            <w:pageBreakBefore w:val="0"/>
            <w:widowControl/>
            <w:tabs>
              <w:tab w:val="right" w:leader="dot" w:pos="9746"/>
            </w:tabs>
            <w:kinsoku/>
            <w:wordWrap/>
            <w:overflowPunct/>
            <w:topLinePunct w:val="0"/>
            <w:autoSpaceDE/>
            <w:autoSpaceDN/>
            <w:bidi w:val="0"/>
            <w:adjustRightInd/>
            <w:snapToGrid/>
            <w:spacing w:line="360" w:lineRule="auto"/>
            <w:textAlignment w:val="auto"/>
            <w:rPr>
              <w:b/>
              <w:sz w:val="24"/>
              <w:szCs w:val="24"/>
            </w:rPr>
          </w:pPr>
        </w:p>
        <w:p>
          <w:pPr>
            <w:keepNext w:val="0"/>
            <w:keepLines w:val="0"/>
            <w:pageBreakBefore w:val="0"/>
            <w:widowControl/>
            <w:kinsoku/>
            <w:wordWrap/>
            <w:overflowPunct/>
            <w:topLinePunct w:val="0"/>
            <w:autoSpaceDE/>
            <w:autoSpaceDN/>
            <w:bidi w:val="0"/>
            <w:adjustRightInd/>
            <w:snapToGrid/>
            <w:spacing w:line="360" w:lineRule="auto"/>
            <w:textAlignment w:val="auto"/>
            <w:rPr>
              <w:b/>
            </w:rPr>
          </w:pPr>
          <w:r>
            <w:rPr>
              <w:b/>
              <w:sz w:val="24"/>
              <w:szCs w:val="24"/>
            </w:rPr>
            <w:fldChar w:fldCharType="end"/>
          </w:r>
        </w:p>
      </w:sdtContent>
    </w:sdt>
    <w:p>
      <w:pPr>
        <w:keepNext w:val="0"/>
        <w:keepLines w:val="0"/>
        <w:pageBreakBefore w:val="0"/>
        <w:widowControl/>
        <w:kinsoku/>
        <w:wordWrap/>
        <w:overflowPunct/>
        <w:topLinePunct w:val="0"/>
        <w:autoSpaceDE/>
        <w:autoSpaceDN/>
        <w:bidi w:val="0"/>
        <w:adjustRightInd/>
        <w:snapToGrid/>
        <w:spacing w:line="360" w:lineRule="auto"/>
        <w:textAlignment w:val="auto"/>
        <w:rPr>
          <w:b/>
        </w:rPr>
      </w:pPr>
    </w:p>
    <w:p>
      <w:pPr>
        <w:keepNext w:val="0"/>
        <w:keepLines w:val="0"/>
        <w:pageBreakBefore w:val="0"/>
        <w:widowControl/>
        <w:kinsoku/>
        <w:wordWrap/>
        <w:overflowPunct/>
        <w:topLinePunct w:val="0"/>
        <w:autoSpaceDE/>
        <w:autoSpaceDN/>
        <w:bidi w:val="0"/>
        <w:adjustRightInd/>
        <w:snapToGrid/>
        <w:spacing w:line="360" w:lineRule="auto"/>
        <w:textAlignment w:val="auto"/>
        <w:rPr>
          <w:b/>
        </w:rPr>
      </w:pPr>
    </w:p>
    <w:p>
      <w:pPr>
        <w:keepNext w:val="0"/>
        <w:keepLines w:val="0"/>
        <w:pageBreakBefore w:val="0"/>
        <w:widowControl/>
        <w:kinsoku/>
        <w:wordWrap/>
        <w:overflowPunct/>
        <w:topLinePunct w:val="0"/>
        <w:autoSpaceDE/>
        <w:autoSpaceDN/>
        <w:bidi w:val="0"/>
        <w:adjustRightInd/>
        <w:snapToGrid/>
        <w:spacing w:line="360" w:lineRule="auto"/>
        <w:textAlignment w:val="auto"/>
        <w:rPr>
          <w:b/>
        </w:rPr>
      </w:pPr>
    </w:p>
    <w:p>
      <w:pPr>
        <w:keepNext w:val="0"/>
        <w:keepLines w:val="0"/>
        <w:pageBreakBefore w:val="0"/>
        <w:widowControl/>
        <w:kinsoku/>
        <w:wordWrap/>
        <w:overflowPunct/>
        <w:topLinePunct w:val="0"/>
        <w:autoSpaceDE/>
        <w:autoSpaceDN/>
        <w:bidi w:val="0"/>
        <w:adjustRightInd/>
        <w:snapToGrid/>
        <w:spacing w:line="360" w:lineRule="auto"/>
        <w:textAlignment w:val="auto"/>
        <w:rPr>
          <w:b/>
        </w:rPr>
      </w:pPr>
    </w:p>
    <w:p>
      <w:pPr>
        <w:keepNext w:val="0"/>
        <w:keepLines w:val="0"/>
        <w:pageBreakBefore w:val="0"/>
        <w:widowControl/>
        <w:kinsoku/>
        <w:wordWrap/>
        <w:overflowPunct/>
        <w:topLinePunct w:val="0"/>
        <w:autoSpaceDE/>
        <w:autoSpaceDN/>
        <w:bidi w:val="0"/>
        <w:adjustRightInd/>
        <w:snapToGrid/>
        <w:spacing w:line="360" w:lineRule="auto"/>
        <w:textAlignment w:val="auto"/>
        <w:rPr>
          <w:b/>
        </w:rPr>
      </w:pPr>
    </w:p>
    <w:p>
      <w:pPr>
        <w:keepNext w:val="0"/>
        <w:keepLines w:val="0"/>
        <w:pageBreakBefore w:val="0"/>
        <w:widowControl/>
        <w:kinsoku/>
        <w:wordWrap/>
        <w:overflowPunct/>
        <w:topLinePunct w:val="0"/>
        <w:autoSpaceDE/>
        <w:autoSpaceDN/>
        <w:bidi w:val="0"/>
        <w:adjustRightInd/>
        <w:snapToGrid/>
        <w:spacing w:line="360" w:lineRule="auto"/>
        <w:textAlignment w:val="auto"/>
        <w:rPr>
          <w:b/>
        </w:rPr>
      </w:pPr>
    </w:p>
    <w:p>
      <w:pPr>
        <w:keepNext w:val="0"/>
        <w:keepLines w:val="0"/>
        <w:pageBreakBefore w:val="0"/>
        <w:widowControl/>
        <w:kinsoku/>
        <w:wordWrap/>
        <w:overflowPunct/>
        <w:topLinePunct w:val="0"/>
        <w:autoSpaceDE/>
        <w:autoSpaceDN/>
        <w:bidi w:val="0"/>
        <w:adjustRightInd/>
        <w:snapToGrid/>
        <w:spacing w:line="360" w:lineRule="auto"/>
        <w:textAlignment w:val="auto"/>
        <w:rPr>
          <w:b/>
        </w:rPr>
      </w:pPr>
    </w:p>
    <w:p>
      <w:pPr>
        <w:keepNext w:val="0"/>
        <w:keepLines w:val="0"/>
        <w:pageBreakBefore w:val="0"/>
        <w:widowControl/>
        <w:kinsoku/>
        <w:wordWrap/>
        <w:overflowPunct/>
        <w:topLinePunct w:val="0"/>
        <w:autoSpaceDE/>
        <w:autoSpaceDN/>
        <w:bidi w:val="0"/>
        <w:adjustRightInd/>
        <w:snapToGrid/>
        <w:spacing w:line="360" w:lineRule="auto"/>
        <w:textAlignment w:val="auto"/>
        <w:rPr>
          <w:b/>
        </w:rPr>
      </w:pPr>
    </w:p>
    <w:p>
      <w:pPr>
        <w:keepNext w:val="0"/>
        <w:keepLines w:val="0"/>
        <w:pageBreakBefore w:val="0"/>
        <w:widowControl/>
        <w:kinsoku/>
        <w:wordWrap/>
        <w:overflowPunct/>
        <w:topLinePunct w:val="0"/>
        <w:autoSpaceDE/>
        <w:autoSpaceDN/>
        <w:bidi w:val="0"/>
        <w:adjustRightInd/>
        <w:snapToGrid/>
        <w:spacing w:line="360" w:lineRule="auto"/>
        <w:textAlignment w:val="auto"/>
        <w:rPr>
          <w:b/>
        </w:rPr>
      </w:pPr>
    </w:p>
    <w:p>
      <w:pPr>
        <w:keepNext w:val="0"/>
        <w:keepLines w:val="0"/>
        <w:pageBreakBefore w:val="0"/>
        <w:widowControl/>
        <w:kinsoku/>
        <w:wordWrap/>
        <w:overflowPunct/>
        <w:topLinePunct w:val="0"/>
        <w:autoSpaceDE/>
        <w:autoSpaceDN/>
        <w:bidi w:val="0"/>
        <w:adjustRightInd/>
        <w:snapToGrid/>
        <w:spacing w:line="360" w:lineRule="auto"/>
        <w:textAlignment w:val="auto"/>
        <w:rPr>
          <w:b/>
        </w:rPr>
      </w:pPr>
    </w:p>
    <w:p>
      <w:pPr>
        <w:keepNext w:val="0"/>
        <w:keepLines w:val="0"/>
        <w:pageBreakBefore w:val="0"/>
        <w:widowControl/>
        <w:kinsoku/>
        <w:wordWrap/>
        <w:overflowPunct/>
        <w:topLinePunct w:val="0"/>
        <w:autoSpaceDE/>
        <w:autoSpaceDN/>
        <w:bidi w:val="0"/>
        <w:adjustRightInd/>
        <w:snapToGrid/>
        <w:spacing w:line="360" w:lineRule="auto"/>
        <w:textAlignment w:val="auto"/>
        <w:rPr>
          <w:b/>
        </w:rPr>
      </w:pPr>
    </w:p>
    <w:p>
      <w:pPr>
        <w:keepNext w:val="0"/>
        <w:keepLines w:val="0"/>
        <w:pageBreakBefore w:val="0"/>
        <w:widowControl/>
        <w:kinsoku/>
        <w:wordWrap/>
        <w:overflowPunct/>
        <w:topLinePunct w:val="0"/>
        <w:autoSpaceDE/>
        <w:autoSpaceDN/>
        <w:bidi w:val="0"/>
        <w:adjustRightInd/>
        <w:snapToGrid/>
        <w:spacing w:line="360" w:lineRule="auto"/>
        <w:textAlignment w:val="auto"/>
        <w:rPr>
          <w:b/>
        </w:rPr>
      </w:pPr>
    </w:p>
    <w:p>
      <w:pPr>
        <w:keepNext w:val="0"/>
        <w:keepLines w:val="0"/>
        <w:pageBreakBefore w:val="0"/>
        <w:widowControl/>
        <w:kinsoku/>
        <w:wordWrap/>
        <w:overflowPunct/>
        <w:topLinePunct w:val="0"/>
        <w:autoSpaceDE/>
        <w:autoSpaceDN/>
        <w:bidi w:val="0"/>
        <w:adjustRightInd/>
        <w:snapToGrid/>
        <w:spacing w:line="360" w:lineRule="auto"/>
        <w:textAlignment w:val="auto"/>
        <w:rPr>
          <w:b/>
        </w:rPr>
      </w:pPr>
    </w:p>
    <w:p>
      <w:pPr>
        <w:keepNext w:val="0"/>
        <w:keepLines w:val="0"/>
        <w:pageBreakBefore w:val="0"/>
        <w:widowControl/>
        <w:kinsoku/>
        <w:wordWrap/>
        <w:overflowPunct/>
        <w:topLinePunct w:val="0"/>
        <w:autoSpaceDE/>
        <w:autoSpaceDN/>
        <w:bidi w:val="0"/>
        <w:adjustRightInd/>
        <w:snapToGrid/>
        <w:spacing w:line="360" w:lineRule="auto"/>
        <w:textAlignment w:val="auto"/>
        <w:rPr>
          <w:b/>
        </w:rPr>
      </w:pPr>
    </w:p>
    <w:p>
      <w:pPr>
        <w:keepNext w:val="0"/>
        <w:keepLines w:val="0"/>
        <w:pageBreakBefore w:val="0"/>
        <w:widowControl/>
        <w:kinsoku/>
        <w:wordWrap/>
        <w:overflowPunct/>
        <w:topLinePunct w:val="0"/>
        <w:autoSpaceDE/>
        <w:autoSpaceDN/>
        <w:bidi w:val="0"/>
        <w:adjustRightInd/>
        <w:snapToGrid/>
        <w:spacing w:line="360" w:lineRule="auto"/>
        <w:textAlignment w:val="auto"/>
        <w:rPr>
          <w:b/>
        </w:rPr>
      </w:pPr>
    </w:p>
    <w:p>
      <w:pPr>
        <w:keepNext w:val="0"/>
        <w:keepLines w:val="0"/>
        <w:pageBreakBefore w:val="0"/>
        <w:widowControl/>
        <w:kinsoku/>
        <w:wordWrap/>
        <w:overflowPunct/>
        <w:topLinePunct w:val="0"/>
        <w:autoSpaceDE/>
        <w:autoSpaceDN/>
        <w:bidi w:val="0"/>
        <w:adjustRightInd/>
        <w:snapToGrid/>
        <w:spacing w:line="360" w:lineRule="auto"/>
        <w:textAlignment w:val="auto"/>
        <w:rPr>
          <w:b/>
        </w:rPr>
      </w:pPr>
    </w:p>
    <w:p>
      <w:pPr>
        <w:keepNext w:val="0"/>
        <w:keepLines w:val="0"/>
        <w:pageBreakBefore w:val="0"/>
        <w:widowControl/>
        <w:kinsoku/>
        <w:wordWrap/>
        <w:overflowPunct/>
        <w:topLinePunct w:val="0"/>
        <w:autoSpaceDE/>
        <w:autoSpaceDN/>
        <w:bidi w:val="0"/>
        <w:adjustRightInd/>
        <w:snapToGrid/>
        <w:spacing w:line="360" w:lineRule="auto"/>
        <w:textAlignment w:val="auto"/>
        <w:rPr>
          <w:b/>
        </w:rPr>
      </w:pPr>
    </w:p>
    <w:p>
      <w:pPr>
        <w:keepNext w:val="0"/>
        <w:keepLines w:val="0"/>
        <w:pageBreakBefore w:val="0"/>
        <w:widowControl/>
        <w:kinsoku/>
        <w:wordWrap/>
        <w:overflowPunct/>
        <w:topLinePunct w:val="0"/>
        <w:autoSpaceDE/>
        <w:autoSpaceDN/>
        <w:bidi w:val="0"/>
        <w:adjustRightInd/>
        <w:snapToGrid/>
        <w:spacing w:line="360" w:lineRule="auto"/>
        <w:textAlignment w:val="auto"/>
        <w:rPr>
          <w:b/>
        </w:rPr>
      </w:pPr>
    </w:p>
    <w:p>
      <w:pPr>
        <w:keepNext w:val="0"/>
        <w:keepLines w:val="0"/>
        <w:pageBreakBefore w:val="0"/>
        <w:widowControl/>
        <w:kinsoku/>
        <w:wordWrap/>
        <w:overflowPunct/>
        <w:topLinePunct w:val="0"/>
        <w:autoSpaceDE/>
        <w:autoSpaceDN/>
        <w:bidi w:val="0"/>
        <w:adjustRightInd/>
        <w:snapToGrid/>
        <w:spacing w:line="360" w:lineRule="auto"/>
        <w:textAlignment w:val="auto"/>
        <w:rPr>
          <w:b/>
        </w:rPr>
      </w:pPr>
    </w:p>
    <w:p>
      <w:pPr>
        <w:keepNext w:val="0"/>
        <w:keepLines w:val="0"/>
        <w:pageBreakBefore w:val="0"/>
        <w:widowControl/>
        <w:kinsoku/>
        <w:wordWrap/>
        <w:overflowPunct/>
        <w:topLinePunct w:val="0"/>
        <w:autoSpaceDE/>
        <w:autoSpaceDN/>
        <w:bidi w:val="0"/>
        <w:adjustRightInd/>
        <w:snapToGrid/>
        <w:spacing w:line="360" w:lineRule="auto"/>
        <w:textAlignment w:val="auto"/>
        <w:rPr>
          <w:b/>
        </w:rPr>
      </w:pPr>
    </w:p>
    <w:p>
      <w:pPr>
        <w:keepNext w:val="0"/>
        <w:keepLines w:val="0"/>
        <w:pageBreakBefore w:val="0"/>
        <w:widowControl/>
        <w:kinsoku/>
        <w:wordWrap/>
        <w:overflowPunct/>
        <w:topLinePunct w:val="0"/>
        <w:autoSpaceDE/>
        <w:autoSpaceDN/>
        <w:bidi w:val="0"/>
        <w:adjustRightInd/>
        <w:snapToGrid/>
        <w:spacing w:line="360" w:lineRule="auto"/>
        <w:textAlignment w:val="auto"/>
        <w:rPr>
          <w:b/>
        </w:rPr>
      </w:pPr>
    </w:p>
    <w:p>
      <w:pPr>
        <w:keepNext w:val="0"/>
        <w:keepLines w:val="0"/>
        <w:pageBreakBefore w:val="0"/>
        <w:widowControl/>
        <w:kinsoku/>
        <w:wordWrap/>
        <w:overflowPunct/>
        <w:topLinePunct w:val="0"/>
        <w:autoSpaceDE/>
        <w:autoSpaceDN/>
        <w:bidi w:val="0"/>
        <w:adjustRightInd/>
        <w:snapToGrid/>
        <w:spacing w:line="360" w:lineRule="auto"/>
        <w:textAlignment w:val="auto"/>
        <w:rPr>
          <w:b/>
        </w:rPr>
      </w:pPr>
    </w:p>
    <w:p>
      <w:pPr>
        <w:pStyle w:val="3"/>
        <w:bidi w:val="0"/>
      </w:pPr>
      <w:bookmarkStart w:id="0" w:name="_Toc20001"/>
      <w:r>
        <w:rPr>
          <w:rFonts w:hint="eastAsia"/>
        </w:rPr>
        <w:t>第一章 磋商公告</w:t>
      </w:r>
      <w:bookmarkEnd w:id="0"/>
    </w:p>
    <w:p>
      <w:pPr>
        <w:bidi w:val="0"/>
        <w:jc w:val="center"/>
        <w:outlineLvl w:val="1"/>
        <w:rPr>
          <w:rFonts w:hint="eastAsia"/>
          <w:lang w:val="en-US" w:eastAsia="zh-CN"/>
        </w:rPr>
      </w:pPr>
      <w:bookmarkStart w:id="1" w:name="_Toc29179"/>
      <w:bookmarkStart w:id="2" w:name="_Toc6802"/>
      <w:bookmarkStart w:id="3" w:name="_Toc6480"/>
      <w:r>
        <w:rPr>
          <w:rFonts w:hint="eastAsia"/>
          <w:b/>
          <w:bCs/>
          <w:lang w:val="en-US" w:eastAsia="zh-CN"/>
        </w:rPr>
        <w:t>新疆维吾尔自治区交通运输综合行政执法局治超系统网络云资源项目（二次）竞争性磋商公告</w:t>
      </w:r>
      <w:bookmarkEnd w:id="1"/>
      <w:bookmarkEnd w:id="2"/>
      <w:bookmarkEnd w:id="3"/>
    </w:p>
    <w:p>
      <w:pPr>
        <w:bidi w:val="0"/>
        <w:rPr>
          <w:rFonts w:hint="eastAsia"/>
          <w:lang w:val="en-US" w:eastAsia="zh-CN"/>
        </w:rPr>
      </w:pPr>
      <w:r>
        <w:rPr>
          <w:rFonts w:hint="eastAsia"/>
        </w:rPr>
        <w:t>项目概况</w:t>
      </w:r>
      <w:r>
        <w:rPr>
          <w:rFonts w:hint="eastAsia"/>
          <w:lang w:val="en-US" w:eastAsia="zh-CN"/>
        </w:rPr>
        <w:t>:</w:t>
      </w:r>
    </w:p>
    <w:p>
      <w:pPr>
        <w:bidi w:val="0"/>
        <w:ind w:firstLine="480" w:firstLineChars="200"/>
        <w:rPr>
          <w:rFonts w:hint="eastAsia"/>
          <w:lang w:eastAsia="zh-CN"/>
        </w:rPr>
      </w:pPr>
      <w:r>
        <w:rPr>
          <w:rFonts w:hint="eastAsia"/>
          <w:lang w:eastAsia="zh-CN"/>
        </w:rPr>
        <w:t>新疆维吾尔自治区交通运输综合行政执法局治超系统网络云资源项目（二次）</w:t>
      </w:r>
      <w:r>
        <w:rPr>
          <w:rFonts w:hint="eastAsia"/>
        </w:rPr>
        <w:t>潜在服务商应前往中瑞岳华（上海）项目管理有限公司新疆分公司（新疆乌鲁木齐经济技术开发区庐山街696号丝绸之路交易中心1604室）获取采购文件，并于2022年</w:t>
      </w:r>
      <w:r>
        <w:rPr>
          <w:rFonts w:hint="eastAsia"/>
          <w:lang w:val="en-US" w:eastAsia="zh-CN"/>
        </w:rPr>
        <w:t>11</w:t>
      </w:r>
      <w:r>
        <w:rPr>
          <w:rFonts w:hint="eastAsia"/>
        </w:rPr>
        <w:t>月</w:t>
      </w:r>
      <w:r>
        <w:rPr>
          <w:rFonts w:hint="eastAsia"/>
          <w:lang w:val="en-US" w:eastAsia="zh-CN"/>
        </w:rPr>
        <w:t>29</w:t>
      </w:r>
      <w:r>
        <w:rPr>
          <w:rFonts w:hint="eastAsia"/>
        </w:rPr>
        <w:t>日1</w:t>
      </w:r>
      <w:r>
        <w:rPr>
          <w:rFonts w:hint="eastAsia"/>
          <w:lang w:val="en-US" w:eastAsia="zh-CN"/>
        </w:rPr>
        <w:t>1</w:t>
      </w:r>
      <w:r>
        <w:rPr>
          <w:rFonts w:hint="eastAsia"/>
        </w:rPr>
        <w:t>:</w:t>
      </w:r>
      <w:r>
        <w:rPr>
          <w:rFonts w:hint="eastAsia"/>
          <w:lang w:val="en-US" w:eastAsia="zh-CN"/>
        </w:rPr>
        <w:t>0</w:t>
      </w:r>
      <w:r>
        <w:rPr>
          <w:rFonts w:hint="eastAsia"/>
        </w:rPr>
        <w:t xml:space="preserve">0（北京时间）前提交响应文件。  </w:t>
      </w:r>
    </w:p>
    <w:p>
      <w:pPr>
        <w:bidi w:val="0"/>
        <w:outlineLvl w:val="1"/>
        <w:rPr>
          <w:rFonts w:hint="eastAsia"/>
          <w:lang w:eastAsia="zh-CN"/>
        </w:rPr>
      </w:pPr>
      <w:bookmarkStart w:id="4" w:name="_Toc23511"/>
      <w:bookmarkStart w:id="5" w:name="_Toc14276"/>
      <w:bookmarkStart w:id="6" w:name="_Toc519"/>
      <w:r>
        <w:rPr>
          <w:rFonts w:hint="eastAsia"/>
          <w:lang w:eastAsia="zh-CN"/>
        </w:rPr>
        <w:t>一、项目基本情况</w:t>
      </w:r>
      <w:bookmarkEnd w:id="4"/>
      <w:bookmarkEnd w:id="5"/>
      <w:bookmarkEnd w:id="6"/>
    </w:p>
    <w:p>
      <w:pPr>
        <w:bidi w:val="0"/>
        <w:ind w:firstLine="480" w:firstLineChars="200"/>
        <w:rPr>
          <w:rFonts w:hint="eastAsia" w:eastAsia="宋体"/>
          <w:lang w:eastAsia="zh-CN"/>
        </w:rPr>
      </w:pPr>
      <w:r>
        <w:rPr>
          <w:rFonts w:hint="eastAsia"/>
          <w:lang w:eastAsia="zh-CN"/>
        </w:rPr>
        <w:t>项目编号：ZRYHXJ-JTYS-005</w:t>
      </w:r>
    </w:p>
    <w:p>
      <w:pPr>
        <w:bidi w:val="0"/>
        <w:ind w:left="1680" w:leftChars="200" w:hanging="1200" w:hangingChars="500"/>
        <w:rPr>
          <w:rFonts w:hint="eastAsia" w:eastAsia="宋体"/>
          <w:lang w:eastAsia="zh-CN"/>
        </w:rPr>
      </w:pPr>
      <w:r>
        <w:rPr>
          <w:rFonts w:hint="eastAsia"/>
          <w:lang w:val="en-US" w:eastAsia="zh-CN"/>
        </w:rPr>
        <w:t>项目名称：</w:t>
      </w:r>
      <w:r>
        <w:rPr>
          <w:rFonts w:hint="eastAsia"/>
          <w:lang w:eastAsia="zh-CN"/>
        </w:rPr>
        <w:t>新疆维吾尔自治区交通运输综合行政执法局治超系统网络云资源项目（二次）</w:t>
      </w:r>
    </w:p>
    <w:p>
      <w:pPr>
        <w:bidi w:val="0"/>
        <w:ind w:firstLine="480" w:firstLineChars="200"/>
        <w:rPr>
          <w:rFonts w:hint="default"/>
          <w:lang w:val="en-US" w:eastAsia="zh-CN"/>
        </w:rPr>
      </w:pPr>
      <w:r>
        <w:rPr>
          <w:rFonts w:hint="eastAsia"/>
          <w:lang w:val="en-US" w:eastAsia="zh-CN"/>
        </w:rPr>
        <w:t>预算金额（元）：751905.96元/年</w:t>
      </w:r>
    </w:p>
    <w:p>
      <w:pPr>
        <w:bidi w:val="0"/>
        <w:ind w:firstLine="480" w:firstLineChars="200"/>
        <w:rPr>
          <w:rFonts w:hint="eastAsia"/>
          <w:lang w:val="en-US" w:eastAsia="zh-CN"/>
        </w:rPr>
      </w:pPr>
      <w:r>
        <w:rPr>
          <w:rFonts w:hint="eastAsia"/>
          <w:lang w:val="en-US" w:eastAsia="zh-CN"/>
        </w:rPr>
        <w:t>最高限价（元）：751905.96元/年</w:t>
      </w:r>
    </w:p>
    <w:p>
      <w:pPr>
        <w:bidi w:val="0"/>
        <w:ind w:firstLine="480" w:firstLineChars="200"/>
        <w:rPr>
          <w:rFonts w:hint="eastAsia"/>
          <w:lang w:val="en-US" w:eastAsia="zh-CN"/>
        </w:rPr>
      </w:pPr>
      <w:r>
        <w:rPr>
          <w:rFonts w:hint="eastAsia"/>
          <w:lang w:val="en-US" w:eastAsia="zh-CN"/>
        </w:rPr>
        <w:t>采购需求：新疆维吾尔自治区交通运输综合行政执法局需继续采购云数据库服务器、应用服务器，数据存储、网络专线，主机安全、防火墙、堡垒机、数据库安全审计、日志审计、云审计、云监控、存储扩容14T、数据备份4T云服务资源。</w:t>
      </w:r>
    </w:p>
    <w:p>
      <w:pPr>
        <w:bidi w:val="0"/>
        <w:ind w:firstLine="480" w:firstLineChars="200"/>
        <w:rPr>
          <w:rFonts w:hint="eastAsia"/>
          <w:lang w:val="en-US" w:eastAsia="zh-CN"/>
        </w:rPr>
      </w:pPr>
      <w:r>
        <w:rPr>
          <w:rFonts w:hint="eastAsia"/>
          <w:lang w:val="en-US" w:eastAsia="zh-CN"/>
        </w:rPr>
        <w:t>备注：</w:t>
      </w:r>
    </w:p>
    <w:p>
      <w:pPr>
        <w:bidi w:val="0"/>
        <w:ind w:firstLine="480" w:firstLineChars="200"/>
        <w:rPr>
          <w:rFonts w:hint="eastAsia"/>
          <w:lang w:val="en-US" w:eastAsia="zh-CN"/>
        </w:rPr>
      </w:pPr>
      <w:r>
        <w:rPr>
          <w:rFonts w:hint="eastAsia"/>
          <w:lang w:val="en-US" w:eastAsia="zh-CN"/>
        </w:rPr>
        <w:t>合同履约期限：按合同约定</w:t>
      </w:r>
    </w:p>
    <w:p>
      <w:pPr>
        <w:bidi w:val="0"/>
        <w:ind w:firstLine="480" w:firstLineChars="200"/>
        <w:rPr>
          <w:rFonts w:hint="eastAsia"/>
          <w:lang w:val="en-US" w:eastAsia="zh-CN"/>
        </w:rPr>
      </w:pPr>
      <w:r>
        <w:rPr>
          <w:rFonts w:hint="eastAsia"/>
          <w:lang w:val="en-US" w:eastAsia="zh-CN"/>
        </w:rPr>
        <w:t>本项目（否）接受联合体投标</w:t>
      </w:r>
    </w:p>
    <w:p>
      <w:pPr>
        <w:bidi w:val="0"/>
        <w:outlineLvl w:val="1"/>
        <w:rPr>
          <w:rFonts w:hint="eastAsia"/>
          <w:lang w:val="en-US" w:eastAsia="zh-CN"/>
        </w:rPr>
      </w:pPr>
      <w:bookmarkStart w:id="7" w:name="_Toc22138"/>
      <w:bookmarkStart w:id="8" w:name="_Toc16503"/>
      <w:bookmarkStart w:id="9" w:name="_Toc28170"/>
      <w:r>
        <w:rPr>
          <w:rFonts w:hint="eastAsia"/>
          <w:lang w:val="en-US" w:eastAsia="zh-CN"/>
        </w:rPr>
        <w:t>二、申请人的资格要求：</w:t>
      </w:r>
      <w:bookmarkEnd w:id="7"/>
      <w:bookmarkEnd w:id="8"/>
      <w:bookmarkEnd w:id="9"/>
    </w:p>
    <w:p>
      <w:pPr>
        <w:bidi w:val="0"/>
        <w:ind w:firstLine="240" w:firstLineChars="100"/>
        <w:rPr>
          <w:rFonts w:hint="eastAsia"/>
        </w:rPr>
      </w:pPr>
      <w:r>
        <w:rPr>
          <w:rFonts w:hint="eastAsia"/>
        </w:rPr>
        <w:t>1.满足《中华人民共和国政府采购法》第二十二条规定；</w:t>
      </w:r>
    </w:p>
    <w:p>
      <w:pPr>
        <w:bidi w:val="0"/>
        <w:ind w:firstLine="240" w:firstLineChars="100"/>
        <w:rPr>
          <w:rFonts w:hint="eastAsia"/>
          <w:lang w:val="en-US" w:eastAsia="zh-CN"/>
        </w:rPr>
      </w:pPr>
      <w:r>
        <w:rPr>
          <w:rFonts w:hint="eastAsia"/>
        </w:rPr>
        <w:t>2.落实政府采购政策需满足的资格要求：</w:t>
      </w:r>
      <w:r>
        <w:rPr>
          <w:rFonts w:hint="eastAsia"/>
          <w:lang w:val="en-US" w:eastAsia="zh-CN"/>
        </w:rPr>
        <w:t>无</w:t>
      </w:r>
    </w:p>
    <w:p>
      <w:pPr>
        <w:bidi w:val="0"/>
        <w:ind w:firstLine="240" w:firstLineChars="100"/>
        <w:rPr>
          <w:rFonts w:hint="eastAsia"/>
        </w:rPr>
      </w:pPr>
      <w:r>
        <w:rPr>
          <w:rFonts w:hint="eastAsia"/>
        </w:rPr>
        <w:t>3.本项目的特定资格要求：</w:t>
      </w:r>
    </w:p>
    <w:p>
      <w:pPr>
        <w:ind w:firstLine="240" w:firstLineChars="100"/>
        <w:textAlignment w:val="baseline"/>
        <w:rPr>
          <w:sz w:val="20"/>
        </w:rPr>
      </w:pPr>
      <w:r>
        <w:rPr>
          <w:rFonts w:hint="eastAsia"/>
        </w:rPr>
        <w:t>（1）在中华人民共和国境内依法注册，具备有效的营业执照（三证合一）； </w:t>
      </w:r>
    </w:p>
    <w:p>
      <w:pPr>
        <w:ind w:firstLine="240" w:firstLineChars="100"/>
        <w:textAlignment w:val="baseline"/>
        <w:rPr>
          <w:rFonts w:hint="eastAsia"/>
        </w:rPr>
      </w:pPr>
      <w:r>
        <w:rPr>
          <w:rFonts w:hint="eastAsia"/>
        </w:rPr>
        <w:t>（2）法定代表人授权委托书（法人直接参与仅提供身份证明、非法人直接参与须同时提供法人及本授权人身份证明）；</w:t>
      </w:r>
    </w:p>
    <w:p>
      <w:pPr>
        <w:ind w:firstLine="240" w:firstLineChars="100"/>
        <w:textAlignment w:val="baseline"/>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rPr>
        <w:t>近一年的财务</w:t>
      </w:r>
      <w:r>
        <w:rPr>
          <w:rFonts w:hint="eastAsia"/>
          <w:lang w:val="en-US" w:eastAsia="zh-CN"/>
        </w:rPr>
        <w:t>报表</w:t>
      </w:r>
      <w:r>
        <w:rPr>
          <w:rFonts w:hint="eastAsia"/>
        </w:rPr>
        <w:t>（成立不满一年不需提供）</w:t>
      </w:r>
      <w:r>
        <w:rPr>
          <w:rFonts w:hint="eastAsia"/>
          <w:lang w:eastAsia="zh-CN"/>
        </w:rPr>
        <w:t>；</w:t>
      </w:r>
    </w:p>
    <w:p>
      <w:pPr>
        <w:ind w:firstLine="240" w:firstLineChars="100"/>
        <w:textAlignment w:val="baseline"/>
        <w:rPr>
          <w:rFonts w:hint="eastAsia" w:eastAsia="宋体"/>
          <w:lang w:eastAsia="zh-CN"/>
        </w:rPr>
      </w:pPr>
      <w:r>
        <w:rPr>
          <w:rFonts w:hint="eastAsia"/>
          <w:lang w:eastAsia="zh-CN"/>
        </w:rPr>
        <w:t>（</w:t>
      </w:r>
      <w:r>
        <w:rPr>
          <w:rFonts w:hint="eastAsia"/>
          <w:lang w:val="en-US" w:eastAsia="zh-CN"/>
        </w:rPr>
        <w:t>4</w:t>
      </w:r>
      <w:r>
        <w:rPr>
          <w:rFonts w:hint="eastAsia"/>
          <w:lang w:eastAsia="zh-CN"/>
        </w:rPr>
        <w:t>）依法缴纳税收和社会保障资金的相关材料（提供提交投标文件截止时间前一年内至少一个月依法缴纳税收及缴纳社会保障资金的证明材料。投标人依法享受缓缴、免缴税收、社会保障资金的提供证明材料。）；</w:t>
      </w:r>
    </w:p>
    <w:p>
      <w:pPr>
        <w:ind w:firstLine="240" w:firstLineChars="100"/>
        <w:textAlignment w:val="baseline"/>
        <w:rPr>
          <w:rFonts w:hint="eastAsia"/>
        </w:rPr>
      </w:pPr>
      <w:r>
        <w:rPr>
          <w:rFonts w:hint="eastAsia"/>
        </w:rPr>
        <w:t>（</w:t>
      </w:r>
      <w:r>
        <w:rPr>
          <w:rFonts w:hint="eastAsia"/>
          <w:lang w:val="en-US" w:eastAsia="zh-CN"/>
        </w:rPr>
        <w:t>5</w:t>
      </w:r>
      <w:r>
        <w:rPr>
          <w:rFonts w:hint="eastAsia"/>
        </w:rPr>
        <w:t>）“信用中国”以及“中国政府采购网”查询，对列入失信被执行人、重大税收违法案件当事人名单、政府采购严重违法失信行为记录名单及其他不符合《中华人民共和国政府采购法》第二十二条规定条件的</w:t>
      </w:r>
      <w:r>
        <w:rPr>
          <w:rFonts w:hint="eastAsia"/>
          <w:lang w:val="en-US" w:eastAsia="zh-CN"/>
        </w:rPr>
        <w:t>服务商</w:t>
      </w:r>
      <w:r>
        <w:rPr>
          <w:rFonts w:hint="eastAsia"/>
        </w:rPr>
        <w:t>，拒绝其参与政府采购活动；</w:t>
      </w:r>
    </w:p>
    <w:p>
      <w:pPr>
        <w:ind w:firstLine="240" w:firstLineChars="100"/>
        <w:textAlignment w:val="baseline"/>
        <w:rPr>
          <w:rFonts w:hint="eastAsia"/>
        </w:rPr>
      </w:pPr>
      <w:r>
        <w:rPr>
          <w:rFonts w:hint="eastAsia"/>
        </w:rPr>
        <w:t>（</w:t>
      </w:r>
      <w:r>
        <w:rPr>
          <w:rFonts w:hint="eastAsia"/>
          <w:lang w:val="en-US" w:eastAsia="zh-CN"/>
        </w:rPr>
        <w:t>6</w:t>
      </w:r>
      <w:r>
        <w:rPr>
          <w:rFonts w:hint="eastAsia"/>
        </w:rPr>
        <w:t>）具备履行合同所必需的设备和专业技术能力的书面声明；</w:t>
      </w:r>
    </w:p>
    <w:p>
      <w:pPr>
        <w:ind w:firstLine="240" w:firstLineChars="100"/>
        <w:textAlignment w:val="baseline"/>
        <w:rPr>
          <w:rFonts w:hint="eastAsia" w:eastAsia="宋体"/>
          <w:lang w:eastAsia="zh-CN"/>
        </w:rPr>
      </w:pPr>
      <w:r>
        <w:rPr>
          <w:rFonts w:hint="eastAsia"/>
          <w:lang w:eastAsia="zh-CN"/>
        </w:rPr>
        <w:t>（</w:t>
      </w:r>
      <w:r>
        <w:rPr>
          <w:rFonts w:hint="eastAsia"/>
          <w:lang w:val="en-US" w:eastAsia="zh-CN"/>
        </w:rPr>
        <w:t>7</w:t>
      </w:r>
      <w:r>
        <w:rPr>
          <w:rFonts w:hint="eastAsia"/>
          <w:lang w:eastAsia="zh-CN"/>
        </w:rPr>
        <w:t>）</w:t>
      </w:r>
      <w:r>
        <w:rPr>
          <w:rFonts w:hint="eastAsia"/>
        </w:rPr>
        <w:t>参加政府采购活动前3年内在经营活动中没有重大违法记录的书面声明</w:t>
      </w:r>
      <w:r>
        <w:rPr>
          <w:rFonts w:hint="eastAsia"/>
          <w:lang w:eastAsia="zh-CN"/>
        </w:rPr>
        <w:t>；</w:t>
      </w:r>
    </w:p>
    <w:p>
      <w:pPr>
        <w:bidi w:val="0"/>
        <w:ind w:firstLine="240" w:firstLineChars="100"/>
        <w:rPr>
          <w:rFonts w:hint="eastAsia"/>
          <w:lang w:val="en-US" w:eastAsia="zh-CN"/>
        </w:rPr>
      </w:pPr>
      <w:r>
        <w:rPr>
          <w:rFonts w:hint="eastAsia"/>
          <w:lang w:eastAsia="zh-CN"/>
        </w:rPr>
        <w:t>（</w:t>
      </w:r>
      <w:r>
        <w:rPr>
          <w:rFonts w:hint="eastAsia"/>
          <w:lang w:val="en-US" w:eastAsia="zh-CN"/>
        </w:rPr>
        <w:t>8</w:t>
      </w:r>
      <w:r>
        <w:rPr>
          <w:rFonts w:hint="eastAsia"/>
          <w:lang w:eastAsia="zh-CN"/>
        </w:rPr>
        <w:t>）</w:t>
      </w:r>
      <w:r>
        <w:rPr>
          <w:rFonts w:hint="eastAsia"/>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bidi w:val="0"/>
        <w:outlineLvl w:val="1"/>
        <w:rPr>
          <w:rFonts w:hint="eastAsia"/>
          <w:lang w:val="en-US" w:eastAsia="zh-CN"/>
        </w:rPr>
      </w:pPr>
      <w:bookmarkStart w:id="10" w:name="_Toc9466"/>
      <w:bookmarkStart w:id="11" w:name="_Toc19387"/>
      <w:bookmarkStart w:id="12" w:name="_Toc20181"/>
      <w:r>
        <w:rPr>
          <w:rFonts w:hint="eastAsia"/>
          <w:lang w:val="en-US" w:eastAsia="zh-CN"/>
        </w:rPr>
        <w:t>三、获取招标文件</w:t>
      </w:r>
      <w:bookmarkEnd w:id="10"/>
      <w:bookmarkEnd w:id="11"/>
      <w:bookmarkEnd w:id="12"/>
    </w:p>
    <w:p>
      <w:pPr>
        <w:bidi w:val="0"/>
        <w:ind w:firstLine="240" w:firstLineChars="100"/>
        <w:rPr>
          <w:rFonts w:hint="eastAsia"/>
          <w:lang w:val="en-US" w:eastAsia="zh-CN"/>
        </w:rPr>
      </w:pPr>
      <w:r>
        <w:rPr>
          <w:rFonts w:hint="eastAsia"/>
          <w:lang w:val="en-US" w:eastAsia="zh-CN"/>
        </w:rPr>
        <w:t>1、时间：2022年11月18日至2022年11月25日（磋商文件的发售期限自开始之日起不得少于5个工作日），每天上午10：30至13:30，下午16:0</w:t>
      </w:r>
      <w:bookmarkStart w:id="408" w:name="_GoBack"/>
      <w:bookmarkEnd w:id="408"/>
      <w:r>
        <w:rPr>
          <w:rFonts w:hint="eastAsia"/>
          <w:lang w:val="en-US" w:eastAsia="zh-CN"/>
        </w:rPr>
        <w:t xml:space="preserve">0至18:30（北京时间，法定节假日除外 ） </w:t>
      </w:r>
    </w:p>
    <w:p>
      <w:pPr>
        <w:bidi w:val="0"/>
        <w:ind w:firstLine="240" w:firstLineChars="100"/>
        <w:rPr>
          <w:rFonts w:hint="eastAsia"/>
          <w:lang w:val="en-US" w:eastAsia="zh-CN"/>
        </w:rPr>
      </w:pPr>
      <w:r>
        <w:rPr>
          <w:rFonts w:hint="eastAsia"/>
          <w:lang w:val="en-US" w:eastAsia="zh-CN"/>
        </w:rPr>
        <w:t>2、地点：中瑞岳华（上海）项目管理有限公司新疆分公司（新疆乌鲁木齐经济技术开发区庐山街696号丝绸之路交易中心1604室）</w:t>
      </w:r>
    </w:p>
    <w:p>
      <w:pPr>
        <w:bidi w:val="0"/>
        <w:ind w:firstLine="240" w:firstLineChars="100"/>
        <w:rPr>
          <w:rFonts w:hint="eastAsia"/>
          <w:lang w:val="en-US" w:eastAsia="zh-CN"/>
        </w:rPr>
      </w:pPr>
      <w:r>
        <w:rPr>
          <w:rFonts w:hint="eastAsia"/>
          <w:lang w:val="en-US" w:eastAsia="zh-CN"/>
        </w:rPr>
        <w:t>3、方式：线上获取。服务商</w:t>
      </w:r>
      <w:r>
        <w:rPr>
          <w:rFonts w:hint="eastAsia"/>
        </w:rPr>
        <w:t>获取采购文件时应提交的资料</w:t>
      </w:r>
      <w:r>
        <w:rPr>
          <w:rFonts w:hint="eastAsia"/>
          <w:lang w:val="en-US" w:eastAsia="zh-CN"/>
        </w:rPr>
        <w:t>有</w:t>
      </w:r>
      <w:r>
        <w:rPr>
          <w:rFonts w:hint="eastAsia"/>
        </w:rPr>
        <w:t>（1）有效的营业执照副本。（2）投标人法定代表人身份证明书及法定代表人授权委托书。（3）法定代表人身份证或授权委托人身份证。（4）信用信息网页截图（“信用中国”网站上失信被执行人、重大税收违法案件当事人名单、政府采购严重违法失信名单；“中国政府采购网”网站上政府采购严重违法失信行为信息、“中国裁判文书”网无行贿查询记录）</w:t>
      </w:r>
      <w:r>
        <w:rPr>
          <w:rFonts w:hint="eastAsia"/>
          <w:lang w:eastAsia="zh-CN"/>
        </w:rPr>
        <w:t>及</w:t>
      </w:r>
      <w:r>
        <w:rPr>
          <w:rFonts w:hint="eastAsia"/>
        </w:rPr>
        <w:t>“申请人的资格要求”的其他</w:t>
      </w:r>
      <w:r>
        <w:rPr>
          <w:rFonts w:hint="eastAsia"/>
          <w:lang w:eastAsia="zh-CN"/>
        </w:rPr>
        <w:t>资料</w:t>
      </w:r>
      <w:r>
        <w:rPr>
          <w:rFonts w:hint="eastAsia"/>
        </w:rPr>
        <w:t>。</w:t>
      </w:r>
      <w:r>
        <w:rPr>
          <w:rFonts w:hint="eastAsia"/>
          <w:lang w:val="en-US" w:eastAsia="zh-CN"/>
        </w:rPr>
        <w:t>服务商</w:t>
      </w:r>
      <w:r>
        <w:rPr>
          <w:rFonts w:hint="eastAsia"/>
        </w:rPr>
        <w:t>需提供上述材料彩色扫描件以邮件形式发送至zryhxj01@163.com，并以电话形式与采购代理机构项目联系人确认。（投标人对采购公告所要求提供的所有文件的真实性负责。以上资料提交不全者，一律谢绝获取采购文件。）注：如因疫情原因无法加盖公章及法人章，可将有关材料先行提供，待本地区疫情解封后将公章及法人章加盖齐全并重新提供。</w:t>
      </w:r>
    </w:p>
    <w:p>
      <w:pPr>
        <w:bidi w:val="0"/>
        <w:ind w:firstLine="240" w:firstLineChars="100"/>
        <w:rPr>
          <w:rFonts w:hint="eastAsia"/>
          <w:lang w:val="en-US" w:eastAsia="zh-CN"/>
        </w:rPr>
      </w:pPr>
      <w:r>
        <w:rPr>
          <w:rFonts w:hint="eastAsia"/>
          <w:lang w:val="en-US" w:eastAsia="zh-CN"/>
        </w:rPr>
        <w:t xml:space="preserve">4、售价（元）：300元/份（现金缴款，售后不退） </w:t>
      </w:r>
    </w:p>
    <w:p>
      <w:pPr>
        <w:bidi w:val="0"/>
        <w:outlineLvl w:val="1"/>
        <w:rPr>
          <w:rFonts w:hint="eastAsia"/>
          <w:lang w:val="en-US" w:eastAsia="zh-CN"/>
        </w:rPr>
      </w:pPr>
      <w:bookmarkStart w:id="13" w:name="_Toc23866"/>
      <w:bookmarkStart w:id="14" w:name="_Toc24637"/>
      <w:bookmarkStart w:id="15" w:name="_Toc10990"/>
      <w:r>
        <w:rPr>
          <w:rFonts w:hint="eastAsia"/>
          <w:lang w:val="en-US" w:eastAsia="zh-CN"/>
        </w:rPr>
        <w:t>四、提交投标文件截止时间、开标时间和地点</w:t>
      </w:r>
      <w:bookmarkEnd w:id="13"/>
      <w:bookmarkEnd w:id="14"/>
      <w:bookmarkEnd w:id="15"/>
    </w:p>
    <w:p>
      <w:pPr>
        <w:bidi w:val="0"/>
        <w:ind w:firstLine="480" w:firstLineChars="200"/>
        <w:rPr>
          <w:rFonts w:hint="eastAsia"/>
          <w:lang w:val="en-US" w:eastAsia="zh-CN"/>
        </w:rPr>
      </w:pPr>
      <w:r>
        <w:rPr>
          <w:rFonts w:hint="eastAsia"/>
          <w:lang w:val="en-US" w:eastAsia="zh-CN"/>
        </w:rPr>
        <w:t>提交投标文件截止时间：2022年11月29日 11:00时（北京时间）（从磋商文件发出之</w:t>
      </w:r>
    </w:p>
    <w:p>
      <w:pPr>
        <w:bidi w:val="0"/>
        <w:rPr>
          <w:rFonts w:hint="eastAsia"/>
          <w:lang w:val="en-US" w:eastAsia="zh-CN"/>
        </w:rPr>
      </w:pPr>
      <w:r>
        <w:rPr>
          <w:rFonts w:hint="eastAsia"/>
          <w:lang w:val="en-US" w:eastAsia="zh-CN"/>
        </w:rPr>
        <w:t xml:space="preserve">日起至服务商提交首次响应文件截止之日止不得少于10日）； </w:t>
      </w:r>
    </w:p>
    <w:p>
      <w:pPr>
        <w:bidi w:val="0"/>
        <w:ind w:firstLine="480" w:firstLineChars="200"/>
        <w:rPr>
          <w:rFonts w:hint="eastAsia"/>
          <w:lang w:val="en-US" w:eastAsia="zh-CN"/>
        </w:rPr>
      </w:pPr>
      <w:r>
        <w:rPr>
          <w:rFonts w:hint="eastAsia"/>
          <w:lang w:val="en-US" w:eastAsia="zh-CN"/>
        </w:rPr>
        <w:t>地点：中瑞岳华（上海）项目管理有限公司新疆分公司（新疆乌鲁木齐经济技术开发区庐山街696号丝绸之路交易中心1604室）。</w:t>
      </w:r>
    </w:p>
    <w:p>
      <w:pPr>
        <w:bidi w:val="0"/>
        <w:outlineLvl w:val="1"/>
        <w:rPr>
          <w:rFonts w:hint="eastAsia"/>
          <w:lang w:val="en-US" w:eastAsia="zh-CN"/>
        </w:rPr>
      </w:pPr>
      <w:bookmarkStart w:id="16" w:name="_Toc19507"/>
      <w:bookmarkStart w:id="17" w:name="_Toc5324"/>
      <w:bookmarkStart w:id="18" w:name="_Toc27729"/>
      <w:r>
        <w:rPr>
          <w:rFonts w:hint="eastAsia"/>
          <w:lang w:val="en-US" w:eastAsia="zh-CN"/>
        </w:rPr>
        <w:t>五、开启：</w:t>
      </w:r>
      <w:bookmarkEnd w:id="16"/>
      <w:bookmarkEnd w:id="17"/>
      <w:bookmarkEnd w:id="18"/>
    </w:p>
    <w:p>
      <w:pPr>
        <w:bidi w:val="0"/>
        <w:ind w:firstLine="480" w:firstLineChars="200"/>
        <w:rPr>
          <w:rFonts w:hint="eastAsia"/>
          <w:lang w:val="en-US" w:eastAsia="zh-CN"/>
        </w:rPr>
      </w:pPr>
      <w:r>
        <w:rPr>
          <w:rFonts w:hint="eastAsia"/>
          <w:lang w:val="en-US" w:eastAsia="zh-CN"/>
        </w:rPr>
        <w:t>时间：2022年11月29日 11:00时</w:t>
      </w:r>
    </w:p>
    <w:p>
      <w:pPr>
        <w:bidi w:val="0"/>
        <w:ind w:firstLine="480" w:firstLineChars="200"/>
        <w:rPr>
          <w:rFonts w:hint="eastAsia"/>
          <w:lang w:val="en-US" w:eastAsia="zh-CN"/>
        </w:rPr>
      </w:pPr>
      <w:r>
        <w:rPr>
          <w:rFonts w:hint="eastAsia"/>
          <w:lang w:val="en-US" w:eastAsia="zh-CN"/>
        </w:rPr>
        <w:t>地点：中瑞岳华（上海）项目管理有限公司新疆分公司（新疆乌鲁木齐经济技术开发区庐山街696号丝绸之路交易中心1604室）。</w:t>
      </w:r>
    </w:p>
    <w:p>
      <w:pPr>
        <w:bidi w:val="0"/>
        <w:outlineLvl w:val="1"/>
        <w:rPr>
          <w:rFonts w:hint="eastAsia"/>
          <w:lang w:val="en-US" w:eastAsia="zh-CN"/>
        </w:rPr>
      </w:pPr>
      <w:bookmarkStart w:id="19" w:name="_Toc29753"/>
      <w:bookmarkStart w:id="20" w:name="_Toc29883"/>
      <w:bookmarkStart w:id="21" w:name="_Toc7162"/>
      <w:r>
        <w:rPr>
          <w:rFonts w:hint="eastAsia"/>
          <w:lang w:val="en-US" w:eastAsia="zh-CN"/>
        </w:rPr>
        <w:t>六、公告期限</w:t>
      </w:r>
      <w:bookmarkEnd w:id="19"/>
      <w:bookmarkEnd w:id="20"/>
      <w:bookmarkEnd w:id="21"/>
    </w:p>
    <w:p>
      <w:pPr>
        <w:bidi w:val="0"/>
        <w:ind w:firstLine="480" w:firstLineChars="200"/>
        <w:rPr>
          <w:rFonts w:hint="eastAsia"/>
          <w:lang w:val="en-US" w:eastAsia="zh-CN"/>
        </w:rPr>
      </w:pPr>
      <w:r>
        <w:rPr>
          <w:rFonts w:hint="eastAsia"/>
          <w:lang w:val="en-US" w:eastAsia="zh-CN"/>
        </w:rPr>
        <w:t>自本公告发布之日起5个工作日。</w:t>
      </w:r>
    </w:p>
    <w:p>
      <w:pPr>
        <w:bidi w:val="0"/>
        <w:outlineLvl w:val="1"/>
        <w:rPr>
          <w:rFonts w:hint="eastAsia"/>
          <w:lang w:val="en-US" w:eastAsia="zh-CN"/>
        </w:rPr>
      </w:pPr>
      <w:bookmarkStart w:id="22" w:name="_Toc10472"/>
      <w:bookmarkStart w:id="23" w:name="_Toc30803"/>
      <w:bookmarkStart w:id="24" w:name="_Toc15180"/>
      <w:r>
        <w:rPr>
          <w:rFonts w:hint="eastAsia"/>
          <w:lang w:val="en-US" w:eastAsia="zh-CN"/>
        </w:rPr>
        <w:t>七、其他补充事宜</w:t>
      </w:r>
      <w:bookmarkEnd w:id="22"/>
      <w:bookmarkEnd w:id="23"/>
      <w:bookmarkEnd w:id="24"/>
      <w:r>
        <w:rPr>
          <w:rFonts w:hint="eastAsia"/>
          <w:lang w:val="en-US" w:eastAsia="zh-CN"/>
        </w:rPr>
        <w:t xml:space="preserve">  </w:t>
      </w:r>
    </w:p>
    <w:p>
      <w:pPr>
        <w:bidi w:val="0"/>
        <w:ind w:firstLine="480" w:firstLineChars="200"/>
        <w:rPr>
          <w:rFonts w:hint="eastAsia"/>
          <w:lang w:val="en-US" w:eastAsia="zh-CN"/>
        </w:rPr>
      </w:pPr>
      <w:r>
        <w:rPr>
          <w:rFonts w:hint="eastAsia"/>
          <w:lang w:val="en-US" w:eastAsia="zh-CN"/>
        </w:rPr>
        <w:t>无</w:t>
      </w:r>
    </w:p>
    <w:p>
      <w:pPr>
        <w:bidi w:val="0"/>
        <w:outlineLvl w:val="1"/>
        <w:rPr>
          <w:rFonts w:hint="eastAsia"/>
          <w:lang w:val="en-US" w:eastAsia="zh-CN"/>
        </w:rPr>
      </w:pPr>
      <w:bookmarkStart w:id="25" w:name="_Toc14219"/>
      <w:bookmarkStart w:id="26" w:name="_Toc22098"/>
      <w:bookmarkStart w:id="27" w:name="_Toc30678"/>
      <w:r>
        <w:rPr>
          <w:rFonts w:hint="eastAsia"/>
          <w:lang w:val="en-US" w:eastAsia="zh-CN"/>
        </w:rPr>
        <w:t>八、对本次采购提出询问，请按以下方式联系</w:t>
      </w:r>
      <w:bookmarkEnd w:id="25"/>
      <w:bookmarkEnd w:id="26"/>
      <w:bookmarkEnd w:id="27"/>
    </w:p>
    <w:p>
      <w:pPr>
        <w:bidi w:val="0"/>
        <w:ind w:firstLine="240" w:firstLineChars="100"/>
        <w:outlineLvl w:val="2"/>
        <w:rPr>
          <w:rFonts w:hint="eastAsia"/>
          <w:lang w:val="en-US" w:eastAsia="zh-CN"/>
        </w:rPr>
      </w:pPr>
      <w:r>
        <w:rPr>
          <w:rFonts w:hint="eastAsia"/>
          <w:lang w:val="en-US" w:eastAsia="zh-CN"/>
        </w:rPr>
        <w:t>1.采购人信息</w:t>
      </w:r>
    </w:p>
    <w:p>
      <w:pPr>
        <w:bidi w:val="0"/>
        <w:ind w:firstLine="480" w:firstLineChars="200"/>
      </w:pPr>
      <w:r>
        <w:rPr>
          <w:rFonts w:hint="eastAsia"/>
        </w:rPr>
        <w:t>名    称：新疆维吾尔自治区交通运输综合行政执法局</w:t>
      </w:r>
    </w:p>
    <w:p>
      <w:pPr>
        <w:bidi w:val="0"/>
        <w:ind w:firstLine="480" w:firstLineChars="200"/>
      </w:pPr>
      <w:r>
        <w:rPr>
          <w:rFonts w:hint="eastAsia"/>
        </w:rPr>
        <w:t>地    址：新疆乌鲁木齐市扬子江路224号</w:t>
      </w:r>
    </w:p>
    <w:p>
      <w:pPr>
        <w:bidi w:val="0"/>
        <w:ind w:firstLine="480" w:firstLineChars="200"/>
        <w:rPr>
          <w:rFonts w:hint="default" w:eastAsia="宋体"/>
          <w:lang w:val="en-US" w:eastAsia="zh-CN"/>
        </w:rPr>
      </w:pPr>
      <w:r>
        <w:rPr>
          <w:rFonts w:hint="eastAsia"/>
        </w:rPr>
        <w:t>联 系 人：</w:t>
      </w:r>
      <w:r>
        <w:rPr>
          <w:rFonts w:hint="eastAsia"/>
          <w:lang w:val="en-US" w:eastAsia="zh-CN"/>
        </w:rPr>
        <w:t>北拉里丁·阿力木</w:t>
      </w:r>
    </w:p>
    <w:p>
      <w:pPr>
        <w:bidi w:val="0"/>
        <w:ind w:firstLine="480" w:firstLineChars="200"/>
      </w:pPr>
      <w:r>
        <w:rPr>
          <w:rFonts w:hint="eastAsia"/>
        </w:rPr>
        <w:t>联系方式：</w:t>
      </w:r>
      <w:r>
        <w:rPr>
          <w:rFonts w:hint="eastAsia"/>
          <w:lang w:val="en-US" w:eastAsia="zh-CN"/>
        </w:rPr>
        <w:t>0991-5281660</w:t>
      </w:r>
      <w:r>
        <w:rPr>
          <w:rStyle w:val="30"/>
          <w:rFonts w:hint="eastAsia" w:ascii="宋体" w:hAnsi="宋体" w:cs="宋体"/>
          <w:b w:val="0"/>
          <w:bCs/>
          <w:sz w:val="24"/>
        </w:rPr>
        <w:t>　</w:t>
      </w:r>
      <w:r>
        <w:rPr>
          <w:rFonts w:hint="eastAsia"/>
        </w:rPr>
        <w:t xml:space="preserve">　  　　　　　　　　　　　 　 </w:t>
      </w:r>
    </w:p>
    <w:p>
      <w:pPr>
        <w:bidi w:val="0"/>
        <w:ind w:firstLine="240" w:firstLineChars="100"/>
        <w:outlineLvl w:val="2"/>
      </w:pPr>
      <w:r>
        <w:rPr>
          <w:rFonts w:hint="eastAsia"/>
        </w:rPr>
        <w:t>2</w:t>
      </w:r>
      <w:r>
        <w:rPr>
          <w:rFonts w:hint="eastAsia"/>
          <w:lang w:eastAsia="zh-CN"/>
        </w:rPr>
        <w:t>.</w:t>
      </w:r>
      <w:r>
        <w:rPr>
          <w:rFonts w:hint="eastAsia"/>
        </w:rPr>
        <w:t>采购代理机构信息</w:t>
      </w:r>
    </w:p>
    <w:p>
      <w:pPr>
        <w:bidi w:val="0"/>
        <w:ind w:firstLine="480" w:firstLineChars="200"/>
      </w:pPr>
      <w:r>
        <w:rPr>
          <w:rFonts w:hint="eastAsia"/>
        </w:rPr>
        <w:t>名    称：中瑞岳华（上海）项目管理有限公司</w:t>
      </w:r>
    </w:p>
    <w:p>
      <w:pPr>
        <w:bidi w:val="0"/>
        <w:ind w:firstLine="480" w:firstLineChars="200"/>
      </w:pPr>
      <w:r>
        <w:rPr>
          <w:rFonts w:hint="eastAsia"/>
        </w:rPr>
        <w:t>地    址：新疆乌鲁木齐经济技术开发区庐山街696号丝绸之路交易中心1604室</w:t>
      </w:r>
    </w:p>
    <w:p>
      <w:pPr>
        <w:bidi w:val="0"/>
        <w:ind w:firstLine="480" w:firstLineChars="200"/>
      </w:pPr>
      <w:r>
        <w:rPr>
          <w:rFonts w:hint="eastAsia"/>
        </w:rPr>
        <w:t>联 系 人：令文君</w:t>
      </w:r>
    </w:p>
    <w:p>
      <w:pPr>
        <w:bidi w:val="0"/>
        <w:ind w:firstLine="480" w:firstLineChars="200"/>
      </w:pPr>
      <w:r>
        <w:rPr>
          <w:rFonts w:hint="eastAsia"/>
        </w:rPr>
        <w:t>联系方式：15160968614</w:t>
      </w:r>
    </w:p>
    <w:p>
      <w:pPr>
        <w:bidi w:val="0"/>
      </w:pPr>
    </w:p>
    <w:p>
      <w:pPr>
        <w:bidi w:val="0"/>
        <w:rPr>
          <w:rFonts w:asciiTheme="minorEastAsia" w:hAnsiTheme="minorEastAsia" w:eastAsiaTheme="minorEastAsia" w:cstheme="minorEastAsia"/>
          <w:sz w:val="32"/>
          <w:szCs w:val="32"/>
        </w:rPr>
      </w:pPr>
      <w:r>
        <w:rPr>
          <w:rFonts w:hint="eastAsia"/>
          <w:lang w:val="en-US" w:eastAsia="zh-CN"/>
        </w:rPr>
        <w:t xml:space="preserve">    </w:t>
      </w:r>
      <w:r>
        <w:rPr>
          <w:rStyle w:val="30"/>
          <w:rFonts w:hint="eastAsia" w:asciiTheme="minorEastAsia" w:hAnsiTheme="minorEastAsia" w:eastAsiaTheme="minorEastAsia" w:cstheme="minorEastAsia"/>
          <w:color w:val="000000"/>
          <w:sz w:val="24"/>
        </w:rPr>
        <w:t xml:space="preserve">                                      </w:t>
      </w:r>
      <w:r>
        <w:rPr>
          <w:rStyle w:val="30"/>
          <w:rFonts w:hint="eastAsia" w:asciiTheme="minorEastAsia" w:hAnsiTheme="minorEastAsia" w:eastAsiaTheme="minorEastAsia" w:cstheme="minorEastAsia"/>
          <w:color w:val="000000"/>
          <w:sz w:val="32"/>
          <w:szCs w:val="32"/>
        </w:rPr>
        <w:br w:type="page"/>
      </w:r>
    </w:p>
    <w:p>
      <w:pPr>
        <w:pStyle w:val="3"/>
        <w:bidi w:val="0"/>
      </w:pPr>
      <w:bookmarkStart w:id="28" w:name="_Toc6566"/>
      <w:bookmarkStart w:id="29" w:name="_Toc22374"/>
      <w:r>
        <w:rPr>
          <w:rFonts w:hint="eastAsia"/>
        </w:rPr>
        <w:t>第二章 服务商须知前附表</w:t>
      </w:r>
      <w:bookmarkEnd w:id="28"/>
      <w:bookmarkEnd w:id="29"/>
    </w:p>
    <w:p>
      <w:pPr>
        <w:bidi w:val="0"/>
        <w:ind w:firstLine="480" w:firstLineChars="200"/>
      </w:pPr>
      <w:r>
        <w:rPr>
          <w:rFonts w:hint="eastAsia"/>
        </w:rPr>
        <w:t>本表是本采购项目的具体资料，是对服务商须知的具体补充和修改，如有矛盾，应以本表为准。</w:t>
      </w:r>
    </w:p>
    <w:tbl>
      <w:tblPr>
        <w:tblStyle w:val="27"/>
        <w:tblW w:w="994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99"/>
        <w:gridCol w:w="92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699" w:type="dxa"/>
            <w:vAlign w:val="center"/>
          </w:tcPr>
          <w:p>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序号</w:t>
            </w:r>
          </w:p>
        </w:tc>
        <w:tc>
          <w:tcPr>
            <w:tcW w:w="9247" w:type="dxa"/>
            <w:vAlign w:val="center"/>
          </w:tcPr>
          <w:p>
            <w:pPr>
              <w:jc w:val="center"/>
              <w:rPr>
                <w:rFonts w:ascii="宋体" w:hAnsi="宋体" w:cs="宋体"/>
                <w:sz w:val="24"/>
              </w:rPr>
            </w:pPr>
            <w:r>
              <w:rPr>
                <w:rFonts w:hint="eastAsia" w:asciiTheme="minorEastAsia" w:hAnsiTheme="minorEastAsia" w:eastAsiaTheme="minorEastAsia" w:cstheme="minorEastAsia"/>
                <w:b/>
                <w:bCs/>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85" w:hRule="atLeast"/>
        </w:trPr>
        <w:tc>
          <w:tcPr>
            <w:tcW w:w="699" w:type="dxa"/>
            <w:vAlign w:val="center"/>
          </w:tcPr>
          <w:p>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9247" w:type="dxa"/>
            <w:vAlign w:val="center"/>
          </w:tcPr>
          <w:p>
            <w:pPr>
              <w:pStyle w:val="22"/>
              <w:spacing w:before="0" w:beforeAutospacing="0" w:after="0" w:afterAutospacing="0" w:line="360" w:lineRule="auto"/>
              <w:ind w:left="1200" w:hanging="1200" w:hangingChars="500"/>
              <w:rPr>
                <w:rStyle w:val="30"/>
                <w:rFonts w:hint="eastAsia" w:ascii="宋体" w:hAnsi="宋体" w:eastAsia="宋体" w:cs="宋体"/>
                <w:b w:val="0"/>
                <w:bCs/>
                <w:lang w:eastAsia="zh-CN"/>
              </w:rPr>
            </w:pPr>
            <w:r>
              <w:rPr>
                <w:rStyle w:val="30"/>
                <w:rFonts w:hint="eastAsia" w:ascii="宋体" w:hAnsi="宋体" w:cs="宋体"/>
                <w:b w:val="0"/>
                <w:bCs/>
              </w:rPr>
              <w:t>项目名称：</w:t>
            </w:r>
            <w:r>
              <w:rPr>
                <w:rFonts w:hint="eastAsia"/>
                <w:lang w:eastAsia="zh-CN"/>
              </w:rPr>
              <w:t>新疆维吾尔自治区交通运输综合行政执法局治超系统网络云资源项目（二次）</w:t>
            </w:r>
          </w:p>
          <w:p>
            <w:pPr>
              <w:spacing w:line="360" w:lineRule="auto"/>
              <w:rPr>
                <w:rStyle w:val="30"/>
                <w:rFonts w:ascii="宋体" w:hAnsi="宋体" w:cs="宋体"/>
                <w:b w:val="0"/>
                <w:bCs/>
                <w:sz w:val="24"/>
              </w:rPr>
            </w:pPr>
            <w:r>
              <w:rPr>
                <w:rStyle w:val="30"/>
                <w:rFonts w:hint="eastAsia" w:ascii="宋体" w:hAnsi="宋体" w:cs="宋体"/>
                <w:b w:val="0"/>
                <w:bCs/>
                <w:sz w:val="24"/>
              </w:rPr>
              <w:t>项目编号：</w:t>
            </w:r>
            <w:r>
              <w:rPr>
                <w:rStyle w:val="30"/>
                <w:rFonts w:hint="eastAsia" w:ascii="宋体" w:hAnsi="宋体" w:cs="宋体"/>
                <w:b w:val="0"/>
                <w:bCs/>
                <w:sz w:val="24"/>
                <w:lang w:eastAsia="zh-CN"/>
              </w:rPr>
              <w:t>ZRYHXJ-JTYS-005</w:t>
            </w:r>
            <w:r>
              <w:rPr>
                <w:rStyle w:val="30"/>
                <w:rFonts w:hint="eastAsia" w:ascii="宋体" w:hAnsi="宋体" w:cs="宋体"/>
                <w:b w:val="0"/>
                <w:bCs/>
                <w:sz w:val="24"/>
              </w:rPr>
              <w:t>　</w:t>
            </w:r>
          </w:p>
          <w:p>
            <w:pPr>
              <w:spacing w:line="360" w:lineRule="auto"/>
            </w:pPr>
            <w:r>
              <w:rPr>
                <w:rStyle w:val="30"/>
                <w:rFonts w:hint="eastAsia" w:ascii="宋体" w:hAnsi="宋体" w:cs="宋体"/>
                <w:b w:val="0"/>
                <w:bCs/>
                <w:color w:val="000000" w:themeColor="text1"/>
                <w:sz w:val="24"/>
                <w14:textFill>
                  <w14:solidFill>
                    <w14:schemeClr w14:val="tx1"/>
                  </w14:solidFill>
                </w14:textFill>
              </w:rPr>
              <w:t>服 务 期：</w:t>
            </w:r>
            <w:r>
              <w:rPr>
                <w:rStyle w:val="30"/>
                <w:rFonts w:hint="eastAsia" w:ascii="宋体" w:hAnsi="宋体" w:cs="宋体"/>
                <w:b w:val="0"/>
                <w:bCs/>
                <w:color w:val="000000" w:themeColor="text1"/>
                <w:sz w:val="24"/>
                <w:u w:val="single"/>
                <w:lang w:val="en-US" w:eastAsia="zh-CN"/>
                <w14:textFill>
                  <w14:solidFill>
                    <w14:schemeClr w14:val="tx1"/>
                  </w14:solidFill>
                </w14:textFill>
              </w:rPr>
              <w:t>一年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699" w:type="dxa"/>
            <w:vAlign w:val="center"/>
          </w:tcPr>
          <w:p>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9247" w:type="dxa"/>
            <w:vAlign w:val="center"/>
          </w:tcPr>
          <w:p>
            <w:pPr>
              <w:pStyle w:val="22"/>
              <w:spacing w:before="0" w:beforeAutospacing="0" w:after="0" w:afterAutospacing="0" w:line="360" w:lineRule="auto"/>
              <w:rPr>
                <w:rStyle w:val="30"/>
                <w:rFonts w:ascii="宋体" w:hAnsi="宋体" w:cs="宋体"/>
                <w:b w:val="0"/>
                <w:bCs/>
              </w:rPr>
            </w:pPr>
            <w:r>
              <w:rPr>
                <w:rFonts w:hint="eastAsia"/>
              </w:rPr>
              <w:t>采</w:t>
            </w:r>
            <w:r>
              <w:rPr>
                <w:rStyle w:val="30"/>
                <w:rFonts w:hint="eastAsia" w:ascii="宋体" w:hAnsi="宋体" w:cs="宋体"/>
                <w:b w:val="0"/>
                <w:bCs/>
              </w:rPr>
              <w:t>购人：新疆维吾尔自治区交通运输综合行政执法局　　　　　　　　</w:t>
            </w:r>
          </w:p>
          <w:p>
            <w:pPr>
              <w:pStyle w:val="22"/>
              <w:spacing w:before="0" w:beforeAutospacing="0" w:after="0" w:afterAutospacing="0" w:line="360" w:lineRule="auto"/>
              <w:rPr>
                <w:rStyle w:val="30"/>
                <w:rFonts w:ascii="宋体" w:hAnsi="宋体" w:cs="宋体"/>
                <w:b w:val="0"/>
                <w:bCs/>
              </w:rPr>
            </w:pPr>
            <w:r>
              <w:rPr>
                <w:rStyle w:val="30"/>
                <w:rFonts w:hint="eastAsia" w:ascii="宋体" w:hAnsi="宋体" w:cs="宋体"/>
                <w:b w:val="0"/>
                <w:bCs/>
              </w:rPr>
              <w:t xml:space="preserve">地  址：新疆乌鲁木齐市扬子江路224号　　　　　　　　　　 </w:t>
            </w:r>
          </w:p>
          <w:p>
            <w:pPr>
              <w:bidi w:val="0"/>
              <w:rPr>
                <w:rFonts w:hint="default" w:eastAsia="宋体"/>
                <w:lang w:val="en-US" w:eastAsia="zh-CN"/>
              </w:rPr>
            </w:pPr>
            <w:r>
              <w:rPr>
                <w:rFonts w:hint="eastAsia"/>
              </w:rPr>
              <w:t>联 系 人：</w:t>
            </w:r>
            <w:r>
              <w:rPr>
                <w:rFonts w:hint="eastAsia"/>
                <w:lang w:val="en-US" w:eastAsia="zh-CN"/>
              </w:rPr>
              <w:t>北拉里丁·阿力木</w:t>
            </w:r>
          </w:p>
          <w:p>
            <w:pPr>
              <w:spacing w:line="360" w:lineRule="auto"/>
              <w:rPr>
                <w:rStyle w:val="30"/>
                <w:rFonts w:ascii="宋体" w:hAnsi="宋体" w:cs="宋体"/>
                <w:b w:val="0"/>
                <w:bCs/>
                <w:sz w:val="24"/>
              </w:rPr>
            </w:pPr>
            <w:r>
              <w:rPr>
                <w:rFonts w:hint="eastAsia"/>
              </w:rPr>
              <w:t>联系方式：</w:t>
            </w:r>
            <w:r>
              <w:rPr>
                <w:rFonts w:hint="eastAsia" w:asciiTheme="minorEastAsia" w:hAnsiTheme="minorEastAsia" w:eastAsiaTheme="minorEastAsia" w:cstheme="minorEastAsia"/>
                <w:lang w:val="en-US" w:eastAsia="zh-CN"/>
              </w:rPr>
              <w:t>0991-5281660</w:t>
            </w:r>
            <w:r>
              <w:rPr>
                <w:rStyle w:val="30"/>
                <w:rFonts w:hint="eastAsia" w:ascii="宋体" w:hAnsi="宋体" w:cs="宋体"/>
                <w:b w:val="0"/>
                <w:bCs/>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699" w:type="dxa"/>
            <w:vAlign w:val="center"/>
          </w:tcPr>
          <w:p>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9247" w:type="dxa"/>
            <w:vAlign w:val="center"/>
          </w:tcPr>
          <w:p>
            <w:pPr>
              <w:spacing w:line="360" w:lineRule="auto"/>
              <w:rPr>
                <w:rStyle w:val="30"/>
                <w:rFonts w:ascii="宋体" w:hAnsi="宋体" w:cs="宋体"/>
                <w:b w:val="0"/>
                <w:bCs/>
                <w:sz w:val="24"/>
              </w:rPr>
            </w:pPr>
            <w:r>
              <w:rPr>
                <w:rStyle w:val="30"/>
                <w:rFonts w:hint="eastAsia" w:ascii="宋体" w:hAnsi="宋体" w:cs="宋体"/>
                <w:b w:val="0"/>
                <w:bCs/>
                <w:sz w:val="24"/>
              </w:rPr>
              <w:t>代理机构：中瑞岳华（上海）项目管理有限公司</w:t>
            </w:r>
          </w:p>
          <w:p>
            <w:pPr>
              <w:spacing w:line="360" w:lineRule="auto"/>
              <w:rPr>
                <w:rStyle w:val="30"/>
                <w:rFonts w:ascii="宋体" w:hAnsi="宋体" w:cs="宋体"/>
                <w:b w:val="0"/>
                <w:bCs/>
                <w:sz w:val="24"/>
              </w:rPr>
            </w:pPr>
            <w:r>
              <w:rPr>
                <w:rStyle w:val="30"/>
                <w:rFonts w:hint="eastAsia" w:ascii="宋体" w:hAnsi="宋体" w:cs="宋体"/>
                <w:b w:val="0"/>
                <w:bCs/>
                <w:sz w:val="24"/>
              </w:rPr>
              <w:t>联系地址：新疆乌鲁木齐经济技术开发区庐山街696号丝绸之路交易中心1604室</w:t>
            </w:r>
          </w:p>
          <w:p>
            <w:pPr>
              <w:spacing w:line="360" w:lineRule="auto"/>
              <w:rPr>
                <w:rStyle w:val="30"/>
                <w:rFonts w:ascii="宋体" w:hAnsi="宋体" w:cs="宋体"/>
                <w:b w:val="0"/>
                <w:bCs/>
                <w:sz w:val="24"/>
              </w:rPr>
            </w:pPr>
            <w:r>
              <w:rPr>
                <w:rStyle w:val="30"/>
                <w:rFonts w:hint="eastAsia" w:ascii="宋体" w:hAnsi="宋体" w:cs="宋体"/>
                <w:b w:val="0"/>
                <w:bCs/>
                <w:sz w:val="24"/>
              </w:rPr>
              <w:t>联 系 人：令文君</w:t>
            </w:r>
          </w:p>
          <w:p>
            <w:pPr>
              <w:adjustRightInd w:val="0"/>
              <w:snapToGrid w:val="0"/>
              <w:spacing w:line="360" w:lineRule="auto"/>
              <w:rPr>
                <w:rStyle w:val="30"/>
                <w:rFonts w:ascii="宋体" w:hAnsi="宋体" w:cs="宋体"/>
                <w:b w:val="0"/>
                <w:bCs/>
                <w:sz w:val="24"/>
              </w:rPr>
            </w:pPr>
            <w:r>
              <w:rPr>
                <w:rStyle w:val="30"/>
                <w:rFonts w:hint="eastAsia" w:ascii="宋体" w:hAnsi="宋体" w:cs="宋体"/>
                <w:b w:val="0"/>
                <w:bCs/>
                <w:sz w:val="24"/>
              </w:rPr>
              <w:t>联系电话：</w:t>
            </w:r>
            <w:r>
              <w:rPr>
                <w:rStyle w:val="30"/>
                <w:rFonts w:hint="eastAsia" w:asciiTheme="minorEastAsia" w:hAnsiTheme="minorEastAsia" w:eastAsiaTheme="minorEastAsia" w:cstheme="minorEastAsia"/>
                <w:b w:val="0"/>
                <w:bCs/>
                <w:sz w:val="24"/>
              </w:rPr>
              <w:t>15160968614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99" w:type="dxa"/>
            <w:vAlign w:val="center"/>
          </w:tcPr>
          <w:p>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9247" w:type="dxa"/>
            <w:vAlign w:val="center"/>
          </w:tcPr>
          <w:p>
            <w:pPr>
              <w:spacing w:line="360" w:lineRule="auto"/>
              <w:rPr>
                <w:rFonts w:hint="eastAsia"/>
              </w:rPr>
            </w:pPr>
            <w:r>
              <w:rPr>
                <w:rFonts w:hint="eastAsia"/>
              </w:rPr>
              <w:t>合格服务商的资格要求：</w:t>
            </w:r>
          </w:p>
          <w:p>
            <w:pPr>
              <w:ind w:firstLine="240" w:firstLineChars="100"/>
              <w:textAlignment w:val="baseline"/>
              <w:rPr>
                <w:sz w:val="20"/>
              </w:rPr>
            </w:pPr>
            <w:r>
              <w:rPr>
                <w:rFonts w:hint="eastAsia"/>
              </w:rPr>
              <w:t>（1）在中华人民共和国境内依法注册，具备有效的营业执照（三证合一）； </w:t>
            </w:r>
          </w:p>
          <w:p>
            <w:pPr>
              <w:ind w:firstLine="240" w:firstLineChars="100"/>
              <w:textAlignment w:val="baseline"/>
              <w:rPr>
                <w:rFonts w:hint="eastAsia"/>
              </w:rPr>
            </w:pPr>
            <w:r>
              <w:rPr>
                <w:rFonts w:hint="eastAsia"/>
              </w:rPr>
              <w:t>（2）法定代表人授权委托书（法人直接参与仅提供身份证明、非法人直接参与须同时提供法人及本授权人身份证明）；</w:t>
            </w:r>
          </w:p>
          <w:p>
            <w:pPr>
              <w:ind w:firstLine="240" w:firstLineChars="100"/>
              <w:textAlignment w:val="baseline"/>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rPr>
              <w:t>近一年的财务</w:t>
            </w:r>
            <w:r>
              <w:rPr>
                <w:rFonts w:hint="eastAsia"/>
                <w:lang w:val="en-US" w:eastAsia="zh-CN"/>
              </w:rPr>
              <w:t>报表</w:t>
            </w:r>
            <w:r>
              <w:rPr>
                <w:rFonts w:hint="eastAsia"/>
              </w:rPr>
              <w:t>（成立不满一年不需提供）</w:t>
            </w:r>
            <w:r>
              <w:rPr>
                <w:rFonts w:hint="eastAsia"/>
                <w:lang w:eastAsia="zh-CN"/>
              </w:rPr>
              <w:t>；</w:t>
            </w:r>
          </w:p>
          <w:p>
            <w:pPr>
              <w:ind w:firstLine="240" w:firstLineChars="100"/>
              <w:textAlignment w:val="baseline"/>
              <w:rPr>
                <w:rFonts w:hint="eastAsia" w:eastAsia="宋体"/>
                <w:lang w:eastAsia="zh-CN"/>
              </w:rPr>
            </w:pPr>
            <w:r>
              <w:rPr>
                <w:rFonts w:hint="eastAsia"/>
                <w:lang w:eastAsia="zh-CN"/>
              </w:rPr>
              <w:t>（</w:t>
            </w:r>
            <w:r>
              <w:rPr>
                <w:rFonts w:hint="eastAsia"/>
                <w:lang w:val="en-US" w:eastAsia="zh-CN"/>
              </w:rPr>
              <w:t>4</w:t>
            </w:r>
            <w:r>
              <w:rPr>
                <w:rFonts w:hint="eastAsia"/>
                <w:lang w:eastAsia="zh-CN"/>
              </w:rPr>
              <w:t>）依法缴纳税收和社会保障资金的相关材料（提供提交投标文件截止时间前一年内至少一个月依法缴纳税收及缴纳社会保障资金的证明材料。投标人依法享受缓缴、免缴税收、社会保障资金的提供证明材料。）；</w:t>
            </w:r>
          </w:p>
          <w:p>
            <w:pPr>
              <w:ind w:firstLine="240" w:firstLineChars="100"/>
              <w:textAlignment w:val="baseline"/>
              <w:rPr>
                <w:rFonts w:hint="eastAsia"/>
              </w:rPr>
            </w:pPr>
            <w:r>
              <w:rPr>
                <w:rFonts w:hint="eastAsia"/>
              </w:rPr>
              <w:t>（</w:t>
            </w:r>
            <w:r>
              <w:rPr>
                <w:rFonts w:hint="eastAsia"/>
                <w:lang w:val="en-US" w:eastAsia="zh-CN"/>
              </w:rPr>
              <w:t>5</w:t>
            </w:r>
            <w:r>
              <w:rPr>
                <w:rFonts w:hint="eastAsia"/>
              </w:rPr>
              <w:t>）“信用中国”以及“中国政府采购网”查询，对列入失信被执行人、重大税收违法案件当事人名单、政府采购严重违法失信行为记录名单及其他不符合《中华人民共和国政府采购法》第二十二条规定条件的</w:t>
            </w:r>
            <w:r>
              <w:rPr>
                <w:rFonts w:hint="eastAsia"/>
                <w:lang w:val="en-US" w:eastAsia="zh-CN"/>
              </w:rPr>
              <w:t>服务商</w:t>
            </w:r>
            <w:r>
              <w:rPr>
                <w:rFonts w:hint="eastAsia"/>
              </w:rPr>
              <w:t>，拒绝其参与政府采购活动；</w:t>
            </w:r>
          </w:p>
          <w:p>
            <w:pPr>
              <w:ind w:firstLine="240" w:firstLineChars="100"/>
              <w:textAlignment w:val="baseline"/>
              <w:rPr>
                <w:rFonts w:hint="eastAsia"/>
              </w:rPr>
            </w:pPr>
            <w:r>
              <w:rPr>
                <w:rFonts w:hint="eastAsia"/>
              </w:rPr>
              <w:t>（</w:t>
            </w:r>
            <w:r>
              <w:rPr>
                <w:rFonts w:hint="eastAsia"/>
                <w:lang w:val="en-US" w:eastAsia="zh-CN"/>
              </w:rPr>
              <w:t>6</w:t>
            </w:r>
            <w:r>
              <w:rPr>
                <w:rFonts w:hint="eastAsia"/>
              </w:rPr>
              <w:t>）具备履行合同所必需的设备和专业技术能力的书面声明；</w:t>
            </w:r>
          </w:p>
          <w:p>
            <w:pPr>
              <w:ind w:firstLine="240" w:firstLineChars="100"/>
              <w:textAlignment w:val="baseline"/>
              <w:rPr>
                <w:rFonts w:hint="eastAsia" w:eastAsia="宋体"/>
                <w:lang w:eastAsia="zh-CN"/>
              </w:rPr>
            </w:pPr>
            <w:r>
              <w:rPr>
                <w:rFonts w:hint="eastAsia"/>
                <w:lang w:eastAsia="zh-CN"/>
              </w:rPr>
              <w:t>（</w:t>
            </w:r>
            <w:r>
              <w:rPr>
                <w:rFonts w:hint="eastAsia"/>
                <w:lang w:val="en-US" w:eastAsia="zh-CN"/>
              </w:rPr>
              <w:t>7</w:t>
            </w:r>
            <w:r>
              <w:rPr>
                <w:rFonts w:hint="eastAsia"/>
                <w:lang w:eastAsia="zh-CN"/>
              </w:rPr>
              <w:t>）</w:t>
            </w:r>
            <w:r>
              <w:rPr>
                <w:rFonts w:hint="eastAsia"/>
              </w:rPr>
              <w:t>参加政府采购活动前3年内在经营活动中没有重大违法记录的书面声明</w:t>
            </w:r>
            <w:r>
              <w:rPr>
                <w:rFonts w:hint="eastAsia"/>
                <w:lang w:eastAsia="zh-CN"/>
              </w:rPr>
              <w:t>；</w:t>
            </w:r>
          </w:p>
          <w:p>
            <w:pPr>
              <w:pStyle w:val="22"/>
              <w:spacing w:before="0" w:beforeAutospacing="0" w:after="0" w:afterAutospacing="0"/>
              <w:ind w:firstLine="240" w:firstLineChars="100"/>
              <w:textAlignment w:val="baseline"/>
            </w:pPr>
            <w:r>
              <w:rPr>
                <w:rFonts w:hint="eastAsia"/>
                <w:lang w:eastAsia="zh-CN"/>
              </w:rPr>
              <w:t>（</w:t>
            </w:r>
            <w:r>
              <w:rPr>
                <w:rFonts w:hint="eastAsia"/>
                <w:lang w:val="en-US" w:eastAsia="zh-CN"/>
              </w:rPr>
              <w:t>8</w:t>
            </w:r>
            <w:r>
              <w:rPr>
                <w:rFonts w:hint="eastAsia"/>
                <w:lang w:eastAsia="zh-CN"/>
              </w:rPr>
              <w:t>）</w:t>
            </w:r>
            <w:r>
              <w:rPr>
                <w:rFonts w:hint="eastAsia"/>
              </w:rPr>
              <w:t xml:space="preserve">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 </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Times New Roman" w:hAnsi="Times New Roman" w:eastAsia="宋体" w:cs="Times New Roman"/>
                <w:lang w:val="en-US" w:eastAsia="zh-CN"/>
              </w:rPr>
            </w:pPr>
            <w:r>
              <w:rPr>
                <w:rFonts w:hint="eastAsia"/>
              </w:rPr>
              <w:t>（</w:t>
            </w:r>
            <w:r>
              <w:rPr>
                <w:rFonts w:hint="eastAsia"/>
                <w:lang w:val="en-US" w:eastAsia="zh-CN"/>
              </w:rPr>
              <w:t>9</w:t>
            </w:r>
            <w:r>
              <w:rPr>
                <w:rFonts w:hint="eastAsia"/>
              </w:rPr>
              <w:t>）投标保证金汇款凭证。</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lang w:val="en-US" w:eastAsia="zh-CN"/>
              </w:rPr>
            </w:pPr>
            <w:r>
              <w:rPr>
                <w:rFonts w:hint="eastAsia" w:ascii="Times New Roman" w:hAnsi="Times New Roman" w:eastAsia="宋体" w:cs="Times New Roman"/>
                <w:b/>
                <w:bCs/>
                <w:lang w:val="en-US" w:eastAsia="zh-CN"/>
              </w:rPr>
              <w:t>备</w:t>
            </w:r>
            <w:r>
              <w:rPr>
                <w:rFonts w:hint="eastAsia" w:ascii="Times New Roman" w:hAnsi="Times New Roman" w:eastAsia="宋体" w:cs="Times New Roman"/>
                <w:b/>
                <w:bCs/>
                <w:lang w:val="zh-CN" w:eastAsia="zh-CN"/>
              </w:rPr>
              <w:t>注：以上文件在开标现场需按照以上内容提供，投标文件中附复印件，不符合要求的资格审查不予通过。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trPr>
        <w:tc>
          <w:tcPr>
            <w:tcW w:w="699" w:type="dxa"/>
            <w:vAlign w:val="center"/>
          </w:tcPr>
          <w:p>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9247" w:type="dxa"/>
            <w:vAlign w:val="center"/>
          </w:tcPr>
          <w:p>
            <w:pPr>
              <w:spacing w:line="360" w:lineRule="auto"/>
              <w:rPr>
                <w:rStyle w:val="30"/>
                <w:rFonts w:ascii="宋体" w:hAnsi="宋体" w:cs="宋体"/>
                <w:b w:val="0"/>
                <w:bCs/>
                <w:sz w:val="24"/>
              </w:rPr>
            </w:pPr>
            <w:r>
              <w:rPr>
                <w:rStyle w:val="30"/>
                <w:rFonts w:hint="eastAsia" w:ascii="宋体" w:hAnsi="宋体" w:cs="宋体"/>
                <w:b w:val="0"/>
                <w:bCs/>
                <w:sz w:val="24"/>
              </w:rPr>
              <w:t>合格服务商的其他资格要求：无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699" w:type="dxa"/>
            <w:vAlign w:val="center"/>
          </w:tcPr>
          <w:p>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9247" w:type="dxa"/>
            <w:vAlign w:val="center"/>
          </w:tcPr>
          <w:p>
            <w:pPr>
              <w:spacing w:line="360" w:lineRule="auto"/>
              <w:rPr>
                <w:rStyle w:val="30"/>
                <w:rFonts w:ascii="宋体" w:hAnsi="宋体" w:cs="宋体"/>
                <w:b w:val="0"/>
                <w:bCs/>
                <w:sz w:val="24"/>
              </w:rPr>
            </w:pPr>
            <w:r>
              <w:rPr>
                <w:rStyle w:val="30"/>
                <w:rFonts w:hint="eastAsia" w:ascii="宋体" w:hAnsi="宋体" w:cs="宋体"/>
                <w:b w:val="0"/>
                <w:bCs/>
                <w:sz w:val="24"/>
              </w:rPr>
              <w:t>是否为专门面向中小企业采购：是</w:t>
            </w:r>
          </w:p>
          <w:p>
            <w:pPr>
              <w:spacing w:line="360" w:lineRule="auto"/>
              <w:rPr>
                <w:rStyle w:val="30"/>
                <w:rFonts w:ascii="宋体" w:hAnsi="宋体" w:cs="宋体"/>
                <w:b w:val="0"/>
                <w:bCs/>
                <w:sz w:val="24"/>
              </w:rPr>
            </w:pPr>
            <w:r>
              <w:rPr>
                <w:rStyle w:val="30"/>
                <w:rFonts w:hint="eastAsia" w:ascii="宋体" w:hAnsi="宋体" w:cs="宋体"/>
                <w:b w:val="0"/>
                <w:bCs/>
                <w:sz w:val="24"/>
              </w:rPr>
              <w:t>（1）小型、微型企业应出具《中小企业声明函》（投标文件正副本均为投标人鲜章），对报价给予</w:t>
            </w:r>
            <w:r>
              <w:rPr>
                <w:rStyle w:val="30"/>
                <w:rFonts w:hint="eastAsia" w:ascii="宋体" w:hAnsi="宋体" w:cs="宋体"/>
                <w:b w:val="0"/>
                <w:bCs/>
                <w:sz w:val="24"/>
                <w:lang w:val="en-US" w:eastAsia="zh-CN"/>
              </w:rPr>
              <w:t>10</w:t>
            </w:r>
            <w:r>
              <w:rPr>
                <w:rStyle w:val="30"/>
                <w:rFonts w:hint="eastAsia" w:ascii="宋体" w:hAnsi="宋体" w:cs="宋体"/>
                <w:b w:val="0"/>
                <w:bCs/>
                <w:sz w:val="24"/>
              </w:rPr>
              <w:t>%的扣除，用扣除后的价格参与评审；</w:t>
            </w:r>
          </w:p>
          <w:p>
            <w:pPr>
              <w:spacing w:line="360" w:lineRule="auto"/>
              <w:rPr>
                <w:rStyle w:val="30"/>
                <w:rFonts w:ascii="宋体" w:hAnsi="宋体" w:cs="宋体"/>
                <w:b w:val="0"/>
                <w:bCs/>
                <w:sz w:val="24"/>
              </w:rPr>
            </w:pPr>
            <w:r>
              <w:rPr>
                <w:rStyle w:val="30"/>
                <w:rFonts w:hint="eastAsia" w:ascii="宋体" w:hAnsi="宋体" w:cs="宋体"/>
                <w:b w:val="0"/>
                <w:bCs/>
                <w:sz w:val="24"/>
              </w:rPr>
              <w:t>（2）监狱企业应出具《监狱企业声明函》（投标文件正副本均为投标人鲜章），对报价给予</w:t>
            </w:r>
            <w:r>
              <w:rPr>
                <w:rStyle w:val="30"/>
                <w:rFonts w:hint="eastAsia" w:ascii="宋体" w:hAnsi="宋体" w:cs="宋体"/>
                <w:b w:val="0"/>
                <w:bCs/>
                <w:sz w:val="24"/>
                <w:lang w:val="en-US" w:eastAsia="zh-CN"/>
              </w:rPr>
              <w:t>10</w:t>
            </w:r>
            <w:r>
              <w:rPr>
                <w:rStyle w:val="30"/>
                <w:rFonts w:hint="eastAsia" w:ascii="宋体" w:hAnsi="宋体" w:cs="宋体"/>
                <w:b w:val="0"/>
                <w:bCs/>
                <w:sz w:val="24"/>
              </w:rPr>
              <w:t>%的扣除，用扣除后的价格参与评审；</w:t>
            </w:r>
          </w:p>
          <w:p>
            <w:pPr>
              <w:spacing w:line="360" w:lineRule="auto"/>
              <w:rPr>
                <w:rStyle w:val="30"/>
                <w:rFonts w:ascii="宋体" w:hAnsi="宋体" w:cs="宋体"/>
                <w:b w:val="0"/>
                <w:bCs/>
                <w:sz w:val="24"/>
              </w:rPr>
            </w:pPr>
            <w:r>
              <w:rPr>
                <w:rStyle w:val="30"/>
                <w:rFonts w:hint="eastAsia" w:ascii="宋体" w:hAnsi="宋体" w:cs="宋体"/>
                <w:b w:val="0"/>
                <w:bCs/>
                <w:sz w:val="24"/>
              </w:rPr>
              <w:t>（3）残疾人福利性单位应出具《残疾人福利性单位声明函》（投标文件正副本均为投标人鲜章），对报价给予</w:t>
            </w:r>
            <w:r>
              <w:rPr>
                <w:rStyle w:val="30"/>
                <w:rFonts w:hint="eastAsia" w:ascii="宋体" w:hAnsi="宋体" w:cs="宋体"/>
                <w:b w:val="0"/>
                <w:bCs/>
                <w:sz w:val="24"/>
                <w:lang w:val="en-US" w:eastAsia="zh-CN"/>
              </w:rPr>
              <w:t>10</w:t>
            </w:r>
            <w:r>
              <w:rPr>
                <w:rStyle w:val="30"/>
                <w:rFonts w:hint="eastAsia" w:ascii="宋体" w:hAnsi="宋体" w:cs="宋体"/>
                <w:b w:val="0"/>
                <w:bCs/>
                <w:sz w:val="24"/>
              </w:rPr>
              <w:t>%的扣除，用扣除后的价格参与评审；</w:t>
            </w:r>
          </w:p>
          <w:p>
            <w:pPr>
              <w:spacing w:line="360" w:lineRule="auto"/>
              <w:rPr>
                <w:rStyle w:val="30"/>
                <w:rFonts w:ascii="宋体" w:hAnsi="宋体" w:cs="宋体"/>
                <w:b w:val="0"/>
                <w:bCs/>
                <w:sz w:val="24"/>
              </w:rPr>
            </w:pPr>
            <w:r>
              <w:rPr>
                <w:rStyle w:val="30"/>
                <w:rFonts w:hint="eastAsia" w:ascii="宋体" w:hAnsi="宋体" w:cs="宋体"/>
                <w:sz w:val="24"/>
              </w:rPr>
              <w:t>注：以上政策不重复享受。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699" w:type="dxa"/>
            <w:vAlign w:val="center"/>
          </w:tcPr>
          <w:p>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9247" w:type="dxa"/>
            <w:vAlign w:val="center"/>
          </w:tcPr>
          <w:p>
            <w:pPr>
              <w:spacing w:line="360" w:lineRule="auto"/>
              <w:rPr>
                <w:rStyle w:val="30"/>
                <w:rFonts w:ascii="宋体" w:hAnsi="宋体" w:cs="宋体"/>
                <w:b w:val="0"/>
                <w:bCs/>
                <w:sz w:val="24"/>
              </w:rPr>
            </w:pPr>
            <w:r>
              <w:rPr>
                <w:rStyle w:val="30"/>
                <w:rFonts w:hint="eastAsia" w:ascii="宋体" w:hAnsi="宋体" w:cs="宋体"/>
                <w:b w:val="0"/>
                <w:bCs/>
                <w:sz w:val="24"/>
              </w:rPr>
              <w:t>是否允许联合体投标：否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699" w:type="dxa"/>
            <w:vAlign w:val="center"/>
          </w:tcPr>
          <w:p>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9247" w:type="dxa"/>
            <w:vAlign w:val="center"/>
          </w:tcPr>
          <w:p>
            <w:pPr>
              <w:spacing w:line="360" w:lineRule="auto"/>
              <w:rPr>
                <w:rStyle w:val="30"/>
                <w:rFonts w:ascii="宋体" w:hAnsi="宋体" w:cs="宋体"/>
                <w:b w:val="0"/>
                <w:bCs/>
                <w:sz w:val="24"/>
              </w:rPr>
            </w:pPr>
            <w:r>
              <w:rPr>
                <w:rStyle w:val="30"/>
                <w:rFonts w:hint="eastAsia" w:ascii="宋体" w:hAnsi="宋体" w:cs="宋体"/>
                <w:b w:val="0"/>
                <w:bCs/>
                <w:sz w:val="24"/>
              </w:rPr>
              <w:t>（1）投标文件（纸质/电子）提交截止时间：北京时间2022年</w:t>
            </w:r>
            <w:r>
              <w:rPr>
                <w:rStyle w:val="30"/>
                <w:rFonts w:hint="eastAsia" w:ascii="宋体" w:hAnsi="宋体" w:cs="宋体"/>
                <w:b w:val="0"/>
                <w:bCs/>
                <w:sz w:val="24"/>
                <w:lang w:val="en-US" w:eastAsia="zh-CN"/>
              </w:rPr>
              <w:t>11</w:t>
            </w:r>
            <w:r>
              <w:rPr>
                <w:rStyle w:val="30"/>
                <w:rFonts w:hint="eastAsia" w:ascii="宋体" w:hAnsi="宋体" w:cs="宋体"/>
                <w:b w:val="0"/>
                <w:bCs/>
                <w:sz w:val="24"/>
              </w:rPr>
              <w:t>月</w:t>
            </w:r>
            <w:r>
              <w:rPr>
                <w:rStyle w:val="30"/>
                <w:rFonts w:hint="eastAsia" w:ascii="宋体" w:hAnsi="宋体" w:cs="宋体"/>
                <w:b w:val="0"/>
                <w:bCs/>
                <w:sz w:val="24"/>
                <w:lang w:val="en-US" w:eastAsia="zh-CN"/>
              </w:rPr>
              <w:t>29</w:t>
            </w:r>
            <w:r>
              <w:rPr>
                <w:rStyle w:val="30"/>
                <w:rFonts w:hint="eastAsia" w:ascii="宋体" w:hAnsi="宋体" w:cs="宋体"/>
                <w:b w:val="0"/>
                <w:bCs/>
                <w:sz w:val="24"/>
              </w:rPr>
              <w:t xml:space="preserve">日 </w:t>
            </w:r>
            <w:r>
              <w:rPr>
                <w:rStyle w:val="30"/>
                <w:rFonts w:hint="eastAsia" w:ascii="宋体" w:hAnsi="宋体" w:cs="宋体"/>
                <w:b w:val="0"/>
                <w:bCs/>
                <w:sz w:val="24"/>
                <w:lang w:val="en-US" w:eastAsia="zh-CN"/>
              </w:rPr>
              <w:t>11</w:t>
            </w:r>
            <w:r>
              <w:rPr>
                <w:rStyle w:val="30"/>
                <w:rFonts w:hint="eastAsia" w:ascii="宋体" w:hAnsi="宋体" w:cs="宋体"/>
                <w:b w:val="0"/>
                <w:bCs/>
                <w:sz w:val="24"/>
              </w:rPr>
              <w:t>：00分之前；</w:t>
            </w:r>
          </w:p>
          <w:p>
            <w:pPr>
              <w:spacing w:line="360" w:lineRule="auto"/>
              <w:rPr>
                <w:rStyle w:val="30"/>
                <w:rFonts w:ascii="宋体" w:hAnsi="宋体" w:cs="宋体"/>
                <w:b w:val="0"/>
                <w:bCs/>
                <w:color w:val="000000" w:themeColor="text1"/>
                <w:sz w:val="24"/>
                <w14:textFill>
                  <w14:solidFill>
                    <w14:schemeClr w14:val="tx1"/>
                  </w14:solidFill>
                </w14:textFill>
              </w:rPr>
            </w:pPr>
            <w:r>
              <w:rPr>
                <w:rStyle w:val="30"/>
                <w:rFonts w:hint="eastAsia" w:ascii="宋体" w:hAnsi="宋体" w:cs="宋体"/>
                <w:b w:val="0"/>
                <w:bCs/>
                <w:sz w:val="24"/>
              </w:rPr>
              <w:t>（2）</w:t>
            </w:r>
            <w:r>
              <w:rPr>
                <w:rStyle w:val="30"/>
                <w:rFonts w:hint="eastAsia" w:ascii="宋体" w:hAnsi="宋体" w:cs="宋体"/>
                <w:b w:val="0"/>
                <w:bCs/>
                <w:color w:val="000000" w:themeColor="text1"/>
                <w:sz w:val="24"/>
                <w14:textFill>
                  <w14:solidFill>
                    <w14:schemeClr w14:val="tx1"/>
                  </w14:solidFill>
                </w14:textFill>
              </w:rPr>
              <w:t>投标文件份数：</w:t>
            </w:r>
            <w:r>
              <w:rPr>
                <w:rStyle w:val="30"/>
                <w:rFonts w:hint="eastAsia" w:ascii="宋体" w:hAnsi="宋体" w:cs="宋体"/>
                <w:b w:val="0"/>
                <w:bCs/>
                <w:color w:val="000000" w:themeColor="text1"/>
                <w14:textFill>
                  <w14:solidFill>
                    <w14:schemeClr w14:val="tx1"/>
                  </w14:solidFill>
                </w14:textFill>
              </w:rPr>
              <w:t>正本一份，副本</w:t>
            </w:r>
            <w:r>
              <w:rPr>
                <w:rStyle w:val="30"/>
                <w:rFonts w:hint="eastAsia" w:ascii="宋体" w:hAnsi="宋体" w:cs="宋体"/>
                <w:b w:val="0"/>
                <w:bCs/>
                <w:color w:val="000000" w:themeColor="text1"/>
                <w:lang w:val="en-US" w:eastAsia="zh-CN"/>
                <w14:textFill>
                  <w14:solidFill>
                    <w14:schemeClr w14:val="tx1"/>
                  </w14:solidFill>
                </w14:textFill>
              </w:rPr>
              <w:t>两</w:t>
            </w:r>
            <w:r>
              <w:rPr>
                <w:rStyle w:val="30"/>
                <w:rFonts w:hint="eastAsia" w:ascii="宋体" w:hAnsi="宋体" w:cs="宋体"/>
                <w:b w:val="0"/>
                <w:bCs/>
                <w:color w:val="000000" w:themeColor="text1"/>
                <w14:textFill>
                  <w14:solidFill>
                    <w14:schemeClr w14:val="tx1"/>
                  </w14:solidFill>
                </w14:textFill>
              </w:rPr>
              <w:t>份，电子版两份（以</w:t>
            </w:r>
            <w:r>
              <w:rPr>
                <w:rStyle w:val="30"/>
                <w:rFonts w:hint="eastAsia" w:ascii="宋体" w:hAnsi="宋体" w:cs="宋体"/>
                <w:b w:val="0"/>
                <w:bCs/>
                <w:color w:val="000000" w:themeColor="text1"/>
                <w:lang w:val="en-US" w:eastAsia="zh-CN"/>
                <w14:textFill>
                  <w14:solidFill>
                    <w14:schemeClr w14:val="tx1"/>
                  </w14:solidFill>
                </w14:textFill>
              </w:rPr>
              <w:t>U</w:t>
            </w:r>
            <w:r>
              <w:rPr>
                <w:rStyle w:val="30"/>
                <w:rFonts w:hint="eastAsia" w:ascii="宋体" w:hAnsi="宋体" w:cs="宋体"/>
                <w:b w:val="0"/>
                <w:bCs/>
                <w:color w:val="000000" w:themeColor="text1"/>
                <w14:textFill>
                  <w14:solidFill>
                    <w14:schemeClr w14:val="tx1"/>
                  </w14:solidFill>
                </w14:textFill>
              </w:rPr>
              <w:t>盘为存储介质，须为投标文件正本签字盖章后的PDF扫描件，正本、副本、电子版须单独密封并在封套上标明“正本”“副本”“电子版投标文件”字样）；开标一览表一份（须单独密封）</w:t>
            </w:r>
            <w:r>
              <w:rPr>
                <w:rStyle w:val="30"/>
                <w:rFonts w:hint="eastAsia" w:ascii="宋体" w:hAnsi="宋体" w:cs="宋体"/>
                <w:b w:val="0"/>
                <w:bCs/>
                <w:color w:val="000000" w:themeColor="text1"/>
                <w:sz w:val="24"/>
                <w14:textFill>
                  <w14:solidFill>
                    <w14:schemeClr w14:val="tx1"/>
                  </w14:solidFill>
                </w14:textFill>
              </w:rPr>
              <w:t>。</w:t>
            </w:r>
          </w:p>
          <w:p>
            <w:pPr>
              <w:spacing w:line="360" w:lineRule="auto"/>
              <w:ind w:firstLine="480" w:firstLineChars="200"/>
              <w:rPr>
                <w:rStyle w:val="30"/>
                <w:rFonts w:ascii="宋体" w:hAnsi="宋体" w:cs="宋体"/>
                <w:b w:val="0"/>
                <w:bCs/>
                <w:sz w:val="24"/>
                <w:u w:val="single"/>
              </w:rPr>
            </w:pPr>
            <w:r>
              <w:rPr>
                <w:rStyle w:val="30"/>
                <w:rFonts w:hint="eastAsia" w:ascii="宋体" w:hAnsi="宋体" w:cs="宋体"/>
                <w:b w:val="0"/>
                <w:bCs/>
                <w:color w:val="000000" w:themeColor="text1"/>
                <w:sz w:val="24"/>
                <w14:textFill>
                  <w14:solidFill>
                    <w14:schemeClr w14:val="tx1"/>
                  </w14:solidFill>
                </w14:textFill>
              </w:rPr>
              <w:t>项目名称：</w:t>
            </w:r>
            <w:r>
              <w:rPr>
                <w:rStyle w:val="30"/>
                <w:rFonts w:hint="eastAsia" w:ascii="宋体" w:hAnsi="宋体" w:cs="宋体"/>
                <w:b w:val="0"/>
                <w:bCs/>
                <w:color w:val="000000" w:themeColor="text1"/>
                <w:sz w:val="24"/>
                <w:u w:val="single"/>
                <w14:textFill>
                  <w14:solidFill>
                    <w14:schemeClr w14:val="tx1"/>
                  </w14:solidFill>
                </w14:textFill>
              </w:rPr>
              <w:t xml:space="preserve">                                                      </w:t>
            </w:r>
          </w:p>
          <w:p>
            <w:pPr>
              <w:spacing w:line="360" w:lineRule="auto"/>
              <w:ind w:firstLine="480" w:firstLineChars="200"/>
              <w:rPr>
                <w:rStyle w:val="30"/>
                <w:rFonts w:ascii="宋体" w:hAnsi="宋体" w:cs="宋体"/>
                <w:b w:val="0"/>
                <w:bCs/>
                <w:sz w:val="24"/>
                <w:u w:val="single"/>
              </w:rPr>
            </w:pPr>
            <w:r>
              <w:rPr>
                <w:rStyle w:val="30"/>
                <w:rFonts w:hint="eastAsia" w:ascii="宋体" w:hAnsi="宋体" w:cs="宋体"/>
                <w:b w:val="0"/>
                <w:bCs/>
                <w:sz w:val="24"/>
              </w:rPr>
              <w:t>项目编号：</w:t>
            </w:r>
            <w:r>
              <w:rPr>
                <w:rStyle w:val="30"/>
                <w:rFonts w:hint="eastAsia" w:ascii="宋体" w:hAnsi="宋体" w:cs="宋体"/>
                <w:b w:val="0"/>
                <w:bCs/>
                <w:sz w:val="24"/>
                <w:u w:val="single"/>
              </w:rPr>
              <w:t xml:space="preserve">                                                      </w:t>
            </w:r>
          </w:p>
          <w:p>
            <w:pPr>
              <w:spacing w:line="360" w:lineRule="auto"/>
              <w:ind w:firstLine="480" w:firstLineChars="200"/>
              <w:rPr>
                <w:rStyle w:val="30"/>
                <w:rFonts w:ascii="宋体" w:hAnsi="宋体" w:cs="宋体"/>
                <w:b w:val="0"/>
                <w:bCs/>
                <w:sz w:val="24"/>
              </w:rPr>
            </w:pPr>
            <w:r>
              <w:rPr>
                <w:rStyle w:val="30"/>
                <w:rFonts w:hint="eastAsia" w:ascii="宋体" w:hAnsi="宋体" w:cs="宋体"/>
                <w:b w:val="0"/>
                <w:bCs/>
                <w:sz w:val="24"/>
              </w:rPr>
              <w:t>在</w:t>
            </w:r>
            <w:r>
              <w:rPr>
                <w:rStyle w:val="30"/>
                <w:rFonts w:hint="eastAsia" w:ascii="宋体" w:hAnsi="宋体" w:cs="宋体"/>
                <w:b w:val="0"/>
                <w:bCs/>
                <w:sz w:val="24"/>
                <w:u w:val="single"/>
              </w:rPr>
              <w:t xml:space="preserve">     </w:t>
            </w:r>
            <w:r>
              <w:rPr>
                <w:rStyle w:val="30"/>
                <w:rFonts w:hint="eastAsia" w:ascii="宋体" w:hAnsi="宋体" w:cs="宋体"/>
                <w:b w:val="0"/>
                <w:bCs/>
                <w:sz w:val="24"/>
              </w:rPr>
              <w:t>年</w:t>
            </w:r>
            <w:r>
              <w:rPr>
                <w:rStyle w:val="30"/>
                <w:rFonts w:hint="eastAsia" w:ascii="宋体" w:hAnsi="宋体" w:cs="宋体"/>
                <w:b w:val="0"/>
                <w:bCs/>
                <w:sz w:val="24"/>
                <w:u w:val="single"/>
              </w:rPr>
              <w:t xml:space="preserve">     </w:t>
            </w:r>
            <w:r>
              <w:rPr>
                <w:rStyle w:val="30"/>
                <w:rFonts w:hint="eastAsia" w:ascii="宋体" w:hAnsi="宋体" w:cs="宋体"/>
                <w:b w:val="0"/>
                <w:bCs/>
                <w:sz w:val="24"/>
              </w:rPr>
              <w:t>月</w:t>
            </w:r>
            <w:r>
              <w:rPr>
                <w:rStyle w:val="30"/>
                <w:rFonts w:hint="eastAsia" w:ascii="宋体" w:hAnsi="宋体" w:cs="宋体"/>
                <w:b w:val="0"/>
                <w:bCs/>
                <w:sz w:val="24"/>
                <w:u w:val="single"/>
              </w:rPr>
              <w:t xml:space="preserve">     </w:t>
            </w:r>
            <w:r>
              <w:rPr>
                <w:rStyle w:val="30"/>
                <w:rFonts w:hint="eastAsia" w:ascii="宋体" w:hAnsi="宋体" w:cs="宋体"/>
                <w:b w:val="0"/>
                <w:bCs/>
                <w:sz w:val="24"/>
              </w:rPr>
              <w:t xml:space="preserve">日 </w:t>
            </w:r>
            <w:r>
              <w:rPr>
                <w:rStyle w:val="30"/>
                <w:rFonts w:hint="eastAsia" w:ascii="宋体" w:hAnsi="宋体" w:cs="宋体"/>
                <w:b w:val="0"/>
                <w:bCs/>
                <w:sz w:val="24"/>
                <w:u w:val="single"/>
              </w:rPr>
              <w:t xml:space="preserve">       </w:t>
            </w:r>
            <w:r>
              <w:rPr>
                <w:rStyle w:val="30"/>
                <w:rFonts w:hint="eastAsia" w:ascii="宋体" w:hAnsi="宋体" w:cs="宋体"/>
                <w:b w:val="0"/>
                <w:bCs/>
                <w:sz w:val="24"/>
              </w:rPr>
              <w:t xml:space="preserve"> 时之前不得启封</w:t>
            </w:r>
          </w:p>
          <w:p>
            <w:pPr>
              <w:spacing w:line="360" w:lineRule="auto"/>
              <w:ind w:firstLine="480" w:firstLineChars="200"/>
              <w:rPr>
                <w:rStyle w:val="30"/>
                <w:rFonts w:ascii="宋体" w:hAnsi="宋体" w:cs="宋体"/>
                <w:b w:val="0"/>
                <w:bCs/>
                <w:sz w:val="24"/>
                <w:u w:val="single"/>
              </w:rPr>
            </w:pPr>
            <w:r>
              <w:rPr>
                <w:rStyle w:val="30"/>
                <w:rFonts w:hint="eastAsia" w:ascii="宋体" w:hAnsi="宋体" w:cs="宋体"/>
                <w:b w:val="0"/>
                <w:bCs/>
                <w:sz w:val="24"/>
              </w:rPr>
              <w:t>投标人名称：</w:t>
            </w:r>
            <w:r>
              <w:rPr>
                <w:rStyle w:val="30"/>
                <w:rFonts w:hint="eastAsia" w:ascii="宋体" w:hAnsi="宋体" w:cs="宋体"/>
                <w:b w:val="0"/>
                <w:bCs/>
                <w:sz w:val="24"/>
                <w:u w:val="single"/>
              </w:rPr>
              <w:t xml:space="preserve">                                                     </w:t>
            </w:r>
          </w:p>
          <w:p>
            <w:pPr>
              <w:spacing w:line="360" w:lineRule="auto"/>
              <w:ind w:firstLine="480" w:firstLineChars="200"/>
              <w:rPr>
                <w:rStyle w:val="30"/>
                <w:rFonts w:ascii="宋体" w:hAnsi="宋体" w:cs="宋体"/>
                <w:b w:val="0"/>
                <w:bCs/>
                <w:sz w:val="24"/>
                <w:u w:val="single"/>
              </w:rPr>
            </w:pPr>
            <w:r>
              <w:rPr>
                <w:rStyle w:val="30"/>
                <w:rFonts w:hint="eastAsia" w:ascii="宋体" w:hAnsi="宋体" w:cs="宋体"/>
                <w:b w:val="0"/>
                <w:bCs/>
                <w:sz w:val="24"/>
              </w:rPr>
              <w:t>其      他：</w:t>
            </w:r>
            <w:r>
              <w:rPr>
                <w:rStyle w:val="30"/>
                <w:rFonts w:hint="eastAsia" w:ascii="宋体" w:hAnsi="宋体" w:cs="宋体"/>
                <w:b w:val="0"/>
                <w:bCs/>
                <w:sz w:val="24"/>
                <w:u w:val="single"/>
              </w:rPr>
              <w:t xml:space="preserve">                                                     </w:t>
            </w:r>
          </w:p>
          <w:p>
            <w:pPr>
              <w:spacing w:line="360" w:lineRule="auto"/>
              <w:rPr>
                <w:rStyle w:val="30"/>
                <w:rFonts w:ascii="宋体" w:hAnsi="宋体" w:cs="宋体"/>
                <w:b w:val="0"/>
                <w:bCs/>
                <w:sz w:val="24"/>
              </w:rPr>
            </w:pPr>
            <w:r>
              <w:rPr>
                <w:rStyle w:val="30"/>
                <w:rFonts w:hint="eastAsia" w:ascii="宋体" w:hAnsi="宋体" w:cs="宋体"/>
                <w:b w:val="0"/>
                <w:bCs/>
                <w:sz w:val="24"/>
              </w:rPr>
              <w:t>（3）投标文件提交地点：</w:t>
            </w:r>
            <w:r>
              <w:rPr>
                <w:rStyle w:val="30"/>
                <w:rFonts w:hint="eastAsia" w:ascii="宋体" w:hAnsi="宋体" w:cs="宋体"/>
                <w:b w:val="0"/>
                <w:bCs/>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699" w:type="dxa"/>
            <w:vAlign w:val="center"/>
          </w:tcPr>
          <w:p>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9247" w:type="dxa"/>
            <w:vAlign w:val="center"/>
          </w:tcPr>
          <w:p>
            <w:pPr>
              <w:spacing w:line="360" w:lineRule="auto"/>
            </w:pPr>
            <w:r>
              <w:rPr>
                <w:rFonts w:hint="eastAsia"/>
              </w:rPr>
              <w:t>项目预算金额：</w:t>
            </w:r>
            <w:r>
              <w:rPr>
                <w:rFonts w:hint="eastAsia"/>
                <w:lang w:val="en-US" w:eastAsia="zh-CN"/>
              </w:rPr>
              <w:t xml:space="preserve">751905.96元/年           </w:t>
            </w:r>
            <w:r>
              <w:rPr>
                <w:rFonts w:hint="eastAsia"/>
              </w:rPr>
              <w:t>最高限价：</w:t>
            </w:r>
            <w:r>
              <w:rPr>
                <w:rFonts w:hint="eastAsia"/>
                <w:lang w:val="en-US" w:eastAsia="zh-CN"/>
              </w:rPr>
              <w:t xml:space="preserve">751905.96元/年                   </w:t>
            </w:r>
            <w:r>
              <w:t xml:space="preserve"> </w:t>
            </w:r>
          </w:p>
          <w:p>
            <w:pPr>
              <w:pStyle w:val="25"/>
              <w:ind w:left="0" w:leftChars="0" w:firstLine="0" w:firstLineChars="0"/>
            </w:pPr>
            <w:r>
              <w:rPr>
                <w:rFonts w:hint="eastAsia"/>
                <w:b/>
                <w:bCs/>
                <w:lang w:val="en-US" w:eastAsia="zh-CN"/>
              </w:rPr>
              <w:t>备注：</w:t>
            </w:r>
            <w:r>
              <w:rPr>
                <w:rFonts w:hint="eastAsia"/>
                <w:b/>
                <w:bCs/>
              </w:rPr>
              <w:t>投标</w:t>
            </w:r>
            <w:r>
              <w:rPr>
                <w:rFonts w:hint="eastAsia"/>
                <w:b/>
                <w:bCs/>
                <w:lang w:val="en-US" w:eastAsia="zh-CN"/>
              </w:rPr>
              <w:t>服务商</w:t>
            </w:r>
            <w:r>
              <w:rPr>
                <w:rFonts w:hint="eastAsia"/>
                <w:b/>
                <w:bCs/>
              </w:rPr>
              <w:t>的投标报价不得超出最高投标限价；且分项报价也不得超出各项目分项的限价（如有），否则其响应文件将被否决。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699" w:type="dxa"/>
            <w:vAlign w:val="center"/>
          </w:tcPr>
          <w:p>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9247" w:type="dxa"/>
            <w:vAlign w:val="center"/>
          </w:tcPr>
          <w:p>
            <w:pPr>
              <w:spacing w:line="52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磋商响应保证金：</w:t>
            </w:r>
            <w:r>
              <w:rPr>
                <w:rFonts w:hint="eastAsia" w:ascii="宋体" w:hAnsi="宋体" w:cs="宋体"/>
                <w:color w:val="000000" w:themeColor="text1"/>
                <w:sz w:val="24"/>
                <w:u w:val="single"/>
                <w:lang w:val="en-US" w:eastAsia="zh-CN"/>
                <w14:textFill>
                  <w14:solidFill>
                    <w14:schemeClr w14:val="tx1"/>
                  </w14:solidFill>
                </w14:textFill>
              </w:rPr>
              <w:t>12000.00元</w:t>
            </w:r>
            <w:r>
              <w:rPr>
                <w:rFonts w:ascii="宋体" w:hAnsi="宋体" w:cs="宋体"/>
                <w:color w:val="000000" w:themeColor="text1"/>
                <w:sz w:val="24"/>
                <w14:textFill>
                  <w14:solidFill>
                    <w14:schemeClr w14:val="tx1"/>
                  </w14:solidFill>
                </w14:textFill>
              </w:rPr>
              <w:t xml:space="preserve"> </w:t>
            </w:r>
          </w:p>
          <w:p>
            <w:pPr>
              <w:spacing w:line="52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账户名称：中瑞岳华(上海)项目管理有限公司新疆分公司</w:t>
            </w:r>
          </w:p>
          <w:p>
            <w:pPr>
              <w:spacing w:line="52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开户银行：交通银行股份有限公司乌鲁木齐幸福路支行</w:t>
            </w:r>
          </w:p>
          <w:p>
            <w:pPr>
              <w:spacing w:line="52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账    号：651651030013000629209</w:t>
            </w:r>
          </w:p>
          <w:p>
            <w:pPr>
              <w:pStyle w:val="25"/>
              <w:ind w:firstLine="0" w:firstLineChars="0"/>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备注：</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1、招标方因投标人的违规行为而受到损害时将不予退还投标人的响应保证金，将其作为所受损害的补偿。</w:t>
            </w:r>
          </w:p>
          <w:p>
            <w:pPr>
              <w:pStyle w:val="13"/>
              <w:spacing w:line="440" w:lineRule="exact"/>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2、响应保证金应当以支票、汇票、本票等形式提交，银行转账必须从投标人基本账户转出，其有效期应不低于投标有效期。投标人未按照招标文件要求提交响应保证金的，投标无效。</w:t>
            </w:r>
          </w:p>
          <w:p>
            <w:pPr>
              <w:pStyle w:val="13"/>
              <w:spacing w:line="440" w:lineRule="exact"/>
              <w:ind w:firstLine="480" w:firstLineChars="200"/>
              <w:rPr>
                <w:rStyle w:val="30"/>
                <w:rFonts w:hAnsi="宋体" w:cs="宋体"/>
                <w:b w:val="0"/>
                <w:bCs/>
                <w:color w:val="000000" w:themeColor="text1"/>
                <w:sz w:val="24"/>
                <w:szCs w:val="24"/>
                <w14:textFill>
                  <w14:solidFill>
                    <w14:schemeClr w14:val="tx1"/>
                  </w14:solidFill>
                </w14:textFill>
              </w:rPr>
            </w:pPr>
            <w:r>
              <w:rPr>
                <w:rFonts w:hint="eastAsia" w:hAnsi="宋体"/>
                <w:color w:val="000000" w:themeColor="text1"/>
                <w:sz w:val="24"/>
                <w14:textFill>
                  <w14:solidFill>
                    <w14:schemeClr w14:val="tx1"/>
                  </w14:solidFill>
                </w14:textFill>
              </w:rPr>
              <w:t>3、</w:t>
            </w:r>
            <w:r>
              <w:rPr>
                <w:rFonts w:hint="eastAsia" w:hAnsi="宋体"/>
                <w:color w:val="000000" w:themeColor="text1"/>
                <w14:textFill>
                  <w14:solidFill>
                    <w14:schemeClr w14:val="tx1"/>
                  </w14:solidFill>
                </w14:textFill>
              </w:rPr>
              <w:t>投标人提交的响应保证金应于投标截止时间前一天18:00时（北京时间）前到达中瑞岳华（上海）项目管理有限公司新疆分公司指定账户（人民币）。如是本地转账支票需于响应保证金缴纳截止时间三个工作日前向中瑞岳华（上海）项目管理有限公司新疆分公司送达，如响应保证金为汇款形式的，汇款时汇款单填写内容须备注投标企业名称、项目名称及项目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699" w:type="dxa"/>
            <w:vAlign w:val="center"/>
          </w:tcPr>
          <w:p>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9247" w:type="dxa"/>
            <w:vAlign w:val="center"/>
          </w:tcPr>
          <w:p>
            <w:pPr>
              <w:spacing w:line="360" w:lineRule="auto"/>
              <w:rPr>
                <w:rStyle w:val="30"/>
                <w:rFonts w:ascii="宋体" w:hAnsi="宋体" w:cs="宋体"/>
                <w:b w:val="0"/>
                <w:bCs/>
                <w:sz w:val="24"/>
              </w:rPr>
            </w:pPr>
            <w:r>
              <w:rPr>
                <w:rStyle w:val="30"/>
                <w:rFonts w:hint="eastAsia" w:ascii="宋体" w:hAnsi="宋体" w:cs="宋体"/>
                <w:b w:val="0"/>
                <w:bCs/>
                <w:sz w:val="24"/>
              </w:rPr>
              <w:t>是否组织现场考察或者召开答疑会：否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699" w:type="dxa"/>
            <w:vAlign w:val="center"/>
          </w:tcPr>
          <w:p>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9247" w:type="dxa"/>
            <w:vAlign w:val="center"/>
          </w:tcPr>
          <w:p>
            <w:pPr>
              <w:spacing w:line="360" w:lineRule="auto"/>
              <w:rPr>
                <w:rStyle w:val="30"/>
                <w:rFonts w:ascii="宋体" w:hAnsi="宋体" w:cs="宋体"/>
                <w:b w:val="0"/>
                <w:bCs/>
                <w:sz w:val="24"/>
              </w:rPr>
            </w:pPr>
            <w:r>
              <w:rPr>
                <w:rStyle w:val="30"/>
                <w:rFonts w:hint="eastAsia" w:ascii="宋体" w:hAnsi="宋体" w:cs="宋体"/>
                <w:b w:val="0"/>
                <w:bCs/>
                <w:sz w:val="24"/>
              </w:rPr>
              <w:t>磋商有效期：提交响应文件截止之日起60个日历日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99" w:type="dxa"/>
            <w:vAlign w:val="center"/>
          </w:tcPr>
          <w:p>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9247" w:type="dxa"/>
            <w:vAlign w:val="center"/>
          </w:tcPr>
          <w:p>
            <w:pPr>
              <w:spacing w:line="360" w:lineRule="auto"/>
              <w:rPr>
                <w:rStyle w:val="30"/>
                <w:rFonts w:ascii="宋体" w:hAnsi="宋体" w:cs="宋体"/>
                <w:b w:val="0"/>
                <w:bCs/>
                <w:sz w:val="24"/>
              </w:rPr>
            </w:pPr>
            <w:r>
              <w:rPr>
                <w:rStyle w:val="30"/>
                <w:rFonts w:hint="eastAsia" w:ascii="宋体" w:hAnsi="宋体" w:cs="宋体"/>
                <w:b w:val="0"/>
                <w:bCs/>
                <w:sz w:val="24"/>
              </w:rPr>
              <w:t>响应文件（电子/纸质）提交截止时间：北京时间2022年</w:t>
            </w:r>
            <w:r>
              <w:rPr>
                <w:rStyle w:val="30"/>
                <w:rFonts w:hint="eastAsia" w:ascii="宋体" w:hAnsi="宋体" w:cs="宋体"/>
                <w:b w:val="0"/>
                <w:bCs/>
                <w:sz w:val="24"/>
                <w:lang w:val="en-US" w:eastAsia="zh-CN"/>
              </w:rPr>
              <w:t>11</w:t>
            </w:r>
            <w:r>
              <w:rPr>
                <w:rStyle w:val="30"/>
                <w:rFonts w:hint="eastAsia" w:ascii="宋体" w:hAnsi="宋体" w:cs="宋体"/>
                <w:b w:val="0"/>
                <w:bCs/>
                <w:sz w:val="24"/>
              </w:rPr>
              <w:t>月</w:t>
            </w:r>
            <w:r>
              <w:rPr>
                <w:rStyle w:val="30"/>
                <w:rFonts w:hint="eastAsia" w:ascii="宋体" w:hAnsi="宋体" w:cs="宋体"/>
                <w:b w:val="0"/>
                <w:bCs/>
                <w:sz w:val="24"/>
                <w:lang w:val="en-US" w:eastAsia="zh-CN"/>
              </w:rPr>
              <w:t>29</w:t>
            </w:r>
            <w:r>
              <w:rPr>
                <w:rStyle w:val="30"/>
                <w:rFonts w:hint="eastAsia" w:ascii="宋体" w:hAnsi="宋体" w:cs="宋体"/>
                <w:b w:val="0"/>
                <w:bCs/>
                <w:sz w:val="24"/>
              </w:rPr>
              <w:t>日1</w:t>
            </w:r>
            <w:r>
              <w:rPr>
                <w:rStyle w:val="30"/>
                <w:rFonts w:hint="eastAsia" w:ascii="宋体" w:hAnsi="宋体" w:cs="宋体"/>
                <w:b w:val="0"/>
                <w:bCs/>
                <w:sz w:val="24"/>
                <w:lang w:val="en-US" w:eastAsia="zh-CN"/>
              </w:rPr>
              <w:t>1</w:t>
            </w:r>
            <w:r>
              <w:rPr>
                <w:rStyle w:val="30"/>
                <w:rFonts w:hint="eastAsia" w:ascii="宋体" w:hAnsi="宋体" w:cs="宋体"/>
                <w:b w:val="0"/>
                <w:bCs/>
                <w:sz w:val="24"/>
              </w:rPr>
              <w:t>:00整</w:t>
            </w:r>
          </w:p>
          <w:p>
            <w:pPr>
              <w:spacing w:line="360" w:lineRule="auto"/>
              <w:rPr>
                <w:rStyle w:val="30"/>
                <w:rFonts w:ascii="宋体" w:hAnsi="宋体" w:cs="宋体"/>
                <w:b w:val="0"/>
                <w:bCs/>
                <w:sz w:val="24"/>
              </w:rPr>
            </w:pPr>
            <w:r>
              <w:rPr>
                <w:rStyle w:val="30"/>
                <w:rFonts w:hint="eastAsia" w:ascii="宋体" w:hAnsi="宋体" w:cs="宋体"/>
                <w:b w:val="0"/>
                <w:bCs/>
                <w:sz w:val="24"/>
              </w:rPr>
              <w:t>提交地点：</w:t>
            </w:r>
            <w:r>
              <w:rPr>
                <w:rFonts w:hint="eastAsia"/>
                <w:lang w:val="en-US" w:eastAsia="zh-CN"/>
              </w:rPr>
              <w:t>中瑞岳华（上海）项目管理有限公司新疆分公司（新疆乌鲁木齐经济技术开发区庐山街696号丝绸之路交易中心1604室）。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699" w:type="dxa"/>
            <w:vAlign w:val="center"/>
          </w:tcPr>
          <w:p>
            <w:pPr>
              <w:spacing w:line="5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9247" w:type="dxa"/>
            <w:vAlign w:val="center"/>
          </w:tcPr>
          <w:p>
            <w:pPr>
              <w:spacing w:line="360" w:lineRule="auto"/>
              <w:rPr>
                <w:rStyle w:val="30"/>
                <w:rFonts w:ascii="宋体" w:hAnsi="宋体" w:cs="宋体"/>
                <w:b w:val="0"/>
                <w:bCs/>
                <w:sz w:val="24"/>
              </w:rPr>
            </w:pPr>
            <w:r>
              <w:rPr>
                <w:rStyle w:val="30"/>
                <w:rFonts w:hint="eastAsia" w:ascii="宋体" w:hAnsi="宋体" w:cs="宋体"/>
                <w:b w:val="0"/>
                <w:bCs/>
                <w:sz w:val="24"/>
              </w:rPr>
              <w:t>磋商时间：北京时间2022年</w:t>
            </w:r>
            <w:r>
              <w:rPr>
                <w:rStyle w:val="30"/>
                <w:rFonts w:hint="eastAsia" w:ascii="宋体" w:hAnsi="宋体" w:cs="宋体"/>
                <w:b w:val="0"/>
                <w:bCs/>
                <w:sz w:val="24"/>
                <w:lang w:val="en-US" w:eastAsia="zh-CN"/>
              </w:rPr>
              <w:t>11</w:t>
            </w:r>
            <w:r>
              <w:rPr>
                <w:rStyle w:val="30"/>
                <w:rFonts w:hint="eastAsia" w:ascii="宋体" w:hAnsi="宋体" w:cs="宋体"/>
                <w:b w:val="0"/>
                <w:bCs/>
                <w:sz w:val="24"/>
              </w:rPr>
              <w:t>月</w:t>
            </w:r>
            <w:r>
              <w:rPr>
                <w:rStyle w:val="30"/>
                <w:rFonts w:hint="eastAsia" w:ascii="宋体" w:hAnsi="宋体" w:cs="宋体"/>
                <w:b w:val="0"/>
                <w:bCs/>
                <w:sz w:val="24"/>
                <w:lang w:val="en-US" w:eastAsia="zh-CN"/>
              </w:rPr>
              <w:t>29</w:t>
            </w:r>
            <w:r>
              <w:rPr>
                <w:rStyle w:val="30"/>
                <w:rFonts w:hint="eastAsia" w:ascii="宋体" w:hAnsi="宋体" w:cs="宋体"/>
                <w:b w:val="0"/>
                <w:bCs/>
                <w:sz w:val="24"/>
              </w:rPr>
              <w:t>日1</w:t>
            </w:r>
            <w:r>
              <w:rPr>
                <w:rStyle w:val="30"/>
                <w:rFonts w:hint="eastAsia" w:ascii="宋体" w:hAnsi="宋体" w:cs="宋体"/>
                <w:b w:val="0"/>
                <w:bCs/>
                <w:sz w:val="24"/>
                <w:lang w:val="en-US" w:eastAsia="zh-CN"/>
              </w:rPr>
              <w:t>1</w:t>
            </w:r>
            <w:r>
              <w:rPr>
                <w:rStyle w:val="30"/>
                <w:rFonts w:hint="eastAsia" w:ascii="宋体" w:hAnsi="宋体" w:cs="宋体"/>
                <w:b w:val="0"/>
                <w:bCs/>
                <w:sz w:val="24"/>
              </w:rPr>
              <w:t>:00整</w:t>
            </w:r>
          </w:p>
          <w:p>
            <w:pPr>
              <w:spacing w:line="360" w:lineRule="auto"/>
              <w:rPr>
                <w:rStyle w:val="30"/>
                <w:rFonts w:ascii="宋体" w:hAnsi="宋体" w:cs="宋体"/>
                <w:b w:val="0"/>
                <w:bCs/>
                <w:sz w:val="24"/>
              </w:rPr>
            </w:pPr>
            <w:r>
              <w:rPr>
                <w:rStyle w:val="30"/>
                <w:rFonts w:hint="eastAsia" w:ascii="宋体" w:hAnsi="宋体" w:cs="宋体"/>
                <w:b w:val="0"/>
                <w:bCs/>
                <w:sz w:val="24"/>
              </w:rPr>
              <w:t>磋商地点：</w:t>
            </w:r>
            <w:r>
              <w:rPr>
                <w:rFonts w:hint="eastAsia"/>
                <w:lang w:val="en-US" w:eastAsia="zh-CN"/>
              </w:rPr>
              <w:t>中瑞岳华（上海）项目管理有限公司新疆分公司（新疆乌鲁木齐经济技术开发区庐山街696号丝绸之路交易中心1604室）。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699" w:type="dxa"/>
            <w:vAlign w:val="center"/>
          </w:tcPr>
          <w:p>
            <w:pPr>
              <w:spacing w:line="56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5</w:t>
            </w:r>
          </w:p>
        </w:tc>
        <w:tc>
          <w:tcPr>
            <w:tcW w:w="9247" w:type="dxa"/>
            <w:vAlign w:val="center"/>
          </w:tcPr>
          <w:p>
            <w:pPr>
              <w:spacing w:line="360" w:lineRule="auto"/>
              <w:rPr>
                <w:rStyle w:val="30"/>
                <w:rFonts w:ascii="宋体" w:hAnsi="宋体" w:cs="宋体"/>
                <w:b w:val="0"/>
                <w:bCs/>
                <w:sz w:val="24"/>
              </w:rPr>
            </w:pPr>
            <w:r>
              <w:rPr>
                <w:rStyle w:val="30"/>
                <w:rFonts w:hint="eastAsia" w:ascii="宋体" w:hAnsi="宋体" w:cs="宋体"/>
                <w:b w:val="0"/>
                <w:bCs/>
                <w:sz w:val="24"/>
              </w:rPr>
              <w:t>推荐成交候选人的数量：</w:t>
            </w:r>
            <w:r>
              <w:rPr>
                <w:rStyle w:val="30"/>
                <w:rFonts w:hint="eastAsia" w:ascii="宋体" w:hAnsi="宋体" w:cs="宋体"/>
                <w:b w:val="0"/>
                <w:bCs/>
                <w:sz w:val="24"/>
                <w:u w:val="single"/>
              </w:rPr>
              <w:t>3</w:t>
            </w:r>
            <w:r>
              <w:rPr>
                <w:rStyle w:val="30"/>
                <w:rFonts w:hint="eastAsia" w:ascii="宋体" w:hAnsi="宋体" w:cs="宋体"/>
                <w:b w:val="0"/>
                <w:bCs/>
                <w:sz w:val="24"/>
              </w:rPr>
              <w:t>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699" w:type="dxa"/>
            <w:vAlign w:val="center"/>
          </w:tcPr>
          <w:p>
            <w:pPr>
              <w:spacing w:line="56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6</w:t>
            </w:r>
          </w:p>
        </w:tc>
        <w:tc>
          <w:tcPr>
            <w:tcW w:w="9247" w:type="dxa"/>
            <w:vAlign w:val="center"/>
          </w:tcPr>
          <w:p>
            <w:pPr>
              <w:spacing w:line="360" w:lineRule="auto"/>
              <w:rPr>
                <w:rStyle w:val="30"/>
                <w:rFonts w:ascii="宋体" w:hAnsi="宋体" w:cs="宋体"/>
                <w:b w:val="0"/>
                <w:bCs/>
                <w:sz w:val="24"/>
              </w:rPr>
            </w:pPr>
            <w:r>
              <w:rPr>
                <w:rStyle w:val="30"/>
                <w:rFonts w:hint="eastAsia" w:ascii="宋体" w:hAnsi="宋体" w:cs="宋体"/>
                <w:b w:val="0"/>
                <w:bCs/>
                <w:sz w:val="24"/>
              </w:rPr>
              <w:t>采购人是否委托磋商小组直接确定成交服务商：是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699" w:type="dxa"/>
            <w:vAlign w:val="center"/>
          </w:tcPr>
          <w:p>
            <w:pPr>
              <w:spacing w:line="5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17</w:t>
            </w:r>
          </w:p>
        </w:tc>
        <w:tc>
          <w:tcPr>
            <w:tcW w:w="9247" w:type="dxa"/>
            <w:vAlign w:val="center"/>
          </w:tcPr>
          <w:p>
            <w:pPr>
              <w:bidi w:val="0"/>
            </w:pPr>
            <w:r>
              <w:rPr>
                <w:rFonts w:hint="eastAsia"/>
              </w:rPr>
              <w:t>评标委员会的组建：评标委员会</w:t>
            </w:r>
            <w:r>
              <w:rPr>
                <w:rFonts w:hint="eastAsia"/>
                <w:u w:val="single"/>
                <w:lang w:val="en-US" w:eastAsia="zh-CN"/>
              </w:rPr>
              <w:t>2</w:t>
            </w:r>
            <w:r>
              <w:rPr>
                <w:rFonts w:hint="eastAsia"/>
              </w:rPr>
              <w:t>人，其中业主代表</w:t>
            </w:r>
            <w:r>
              <w:rPr>
                <w:rFonts w:hint="eastAsia"/>
                <w:u w:val="single"/>
                <w:lang w:val="en-US" w:eastAsia="zh-CN"/>
              </w:rPr>
              <w:t>1</w:t>
            </w:r>
            <w:r>
              <w:rPr>
                <w:rFonts w:hint="eastAsia"/>
              </w:rPr>
              <w:t>人。</w:t>
            </w:r>
          </w:p>
          <w:p>
            <w:pPr>
              <w:bidi w:val="0"/>
              <w:rPr>
                <w:rStyle w:val="30"/>
                <w:rFonts w:hint="eastAsia" w:ascii="宋体" w:hAnsi="宋体" w:cs="宋体"/>
                <w:b w:val="0"/>
                <w:bCs/>
                <w:sz w:val="24"/>
              </w:rPr>
            </w:pPr>
            <w:r>
              <w:rPr>
                <w:rFonts w:hint="eastAsia"/>
              </w:rPr>
              <w:t>专家确定方式：在政采云平台专家库中随机抽取。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699" w:type="dxa"/>
            <w:vAlign w:val="center"/>
          </w:tcPr>
          <w:p>
            <w:pPr>
              <w:spacing w:line="56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8</w:t>
            </w:r>
          </w:p>
        </w:tc>
        <w:tc>
          <w:tcPr>
            <w:tcW w:w="9247" w:type="dxa"/>
            <w:vAlign w:val="center"/>
          </w:tcPr>
          <w:p>
            <w:pPr>
              <w:spacing w:line="360" w:lineRule="auto"/>
              <w:rPr>
                <w:rStyle w:val="30"/>
                <w:rFonts w:ascii="宋体" w:hAnsi="宋体" w:cs="宋体"/>
                <w:b w:val="0"/>
                <w:bCs/>
                <w:sz w:val="24"/>
              </w:rPr>
            </w:pPr>
            <w:r>
              <w:rPr>
                <w:rStyle w:val="30"/>
                <w:rFonts w:hint="eastAsia" w:ascii="宋体" w:hAnsi="宋体" w:cs="宋体"/>
                <w:b w:val="0"/>
                <w:bCs/>
                <w:sz w:val="24"/>
              </w:rPr>
              <w:t>是否提交履约保证金：否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699" w:type="dxa"/>
            <w:vAlign w:val="center"/>
          </w:tcPr>
          <w:p>
            <w:pPr>
              <w:spacing w:line="56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9</w:t>
            </w:r>
          </w:p>
        </w:tc>
        <w:tc>
          <w:tcPr>
            <w:tcW w:w="9247" w:type="dxa"/>
            <w:vAlign w:val="center"/>
          </w:tcPr>
          <w:p>
            <w:pPr>
              <w:spacing w:line="360" w:lineRule="auto"/>
              <w:rPr>
                <w:rStyle w:val="30"/>
                <w:rFonts w:ascii="宋体" w:hAnsi="宋体" w:cs="宋体"/>
                <w:b w:val="0"/>
                <w:bCs/>
                <w:sz w:val="24"/>
              </w:rPr>
            </w:pPr>
            <w:r>
              <w:rPr>
                <w:rStyle w:val="30"/>
                <w:rFonts w:hint="eastAsia" w:ascii="宋体" w:hAnsi="宋体" w:cs="宋体"/>
                <w:b w:val="0"/>
                <w:bCs/>
                <w:sz w:val="24"/>
              </w:rPr>
              <w:t>是否收取招标代理费：是</w:t>
            </w:r>
          </w:p>
          <w:p>
            <w:pPr>
              <w:spacing w:line="360" w:lineRule="auto"/>
              <w:rPr>
                <w:rStyle w:val="30"/>
                <w:rFonts w:ascii="宋体" w:hAnsi="宋体" w:cs="宋体"/>
                <w:b w:val="0"/>
                <w:bCs/>
                <w:sz w:val="24"/>
              </w:rPr>
            </w:pPr>
            <w:r>
              <w:rPr>
                <w:rStyle w:val="30"/>
                <w:rFonts w:hint="eastAsia" w:ascii="宋体" w:hAnsi="宋体" w:cs="宋体"/>
                <w:b w:val="0"/>
                <w:bCs/>
                <w:sz w:val="24"/>
              </w:rPr>
              <w:t>是否由中标服务商缴纳招标代理费：是</w:t>
            </w:r>
          </w:p>
          <w:p>
            <w:pPr>
              <w:spacing w:line="360" w:lineRule="auto"/>
              <w:rPr>
                <w:rStyle w:val="30"/>
                <w:rFonts w:ascii="宋体" w:hAnsi="宋体" w:cs="宋体"/>
                <w:b w:val="0"/>
                <w:bCs/>
                <w:sz w:val="24"/>
              </w:rPr>
            </w:pPr>
            <w:r>
              <w:rPr>
                <w:rStyle w:val="30"/>
                <w:rFonts w:hint="eastAsia" w:ascii="宋体" w:hAnsi="宋体" w:cs="宋体"/>
                <w:b w:val="0"/>
                <w:bCs/>
                <w:sz w:val="24"/>
              </w:rPr>
              <w:t>招标代理费：依据计价格【2002】1980 号文件</w:t>
            </w:r>
          </w:p>
          <w:p>
            <w:pPr>
              <w:spacing w:line="360" w:lineRule="auto"/>
              <w:rPr>
                <w:rStyle w:val="30"/>
                <w:rFonts w:ascii="宋体" w:hAnsi="宋体" w:cs="宋体"/>
                <w:b w:val="0"/>
                <w:bCs/>
                <w:sz w:val="24"/>
              </w:rPr>
            </w:pPr>
            <w:r>
              <w:rPr>
                <w:rStyle w:val="30"/>
                <w:rFonts w:hint="eastAsia" w:ascii="宋体" w:hAnsi="宋体" w:cs="宋体"/>
                <w:b w:val="0"/>
                <w:bCs/>
                <w:sz w:val="24"/>
              </w:rPr>
              <w:t>收取形式：转账或现金</w:t>
            </w:r>
          </w:p>
          <w:p>
            <w:pPr>
              <w:spacing w:line="360" w:lineRule="auto"/>
              <w:rPr>
                <w:rStyle w:val="30"/>
                <w:rFonts w:ascii="宋体" w:hAnsi="宋体" w:cs="宋体"/>
                <w:b w:val="0"/>
                <w:bCs/>
                <w:sz w:val="24"/>
              </w:rPr>
            </w:pPr>
            <w:r>
              <w:rPr>
                <w:rStyle w:val="30"/>
                <w:rFonts w:hint="eastAsia" w:ascii="宋体" w:hAnsi="宋体" w:cs="宋体"/>
                <w:b w:val="0"/>
                <w:bCs/>
                <w:sz w:val="24"/>
              </w:rPr>
              <w:t>收取时间：中标通知书发出前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699" w:type="dxa"/>
            <w:vAlign w:val="center"/>
          </w:tcPr>
          <w:p>
            <w:pPr>
              <w:spacing w:line="56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20</w:t>
            </w:r>
          </w:p>
        </w:tc>
        <w:tc>
          <w:tcPr>
            <w:tcW w:w="9247" w:type="dxa"/>
            <w:vAlign w:val="center"/>
          </w:tcPr>
          <w:p>
            <w:pPr>
              <w:spacing w:line="360" w:lineRule="auto"/>
              <w:rPr>
                <w:rStyle w:val="30"/>
                <w:rFonts w:ascii="宋体" w:hAnsi="宋体" w:cs="宋体"/>
                <w:b w:val="0"/>
                <w:bCs/>
                <w:sz w:val="24"/>
              </w:rPr>
            </w:pPr>
            <w:r>
              <w:rPr>
                <w:rStyle w:val="30"/>
                <w:rFonts w:hint="eastAsia" w:ascii="宋体" w:hAnsi="宋体" w:cs="宋体"/>
                <w:b w:val="0"/>
                <w:bCs/>
                <w:sz w:val="24"/>
              </w:rPr>
              <w:t>针对同一采购程序环节的质疑次数及形式：</w:t>
            </w:r>
          </w:p>
          <w:p>
            <w:pPr>
              <w:spacing w:line="360" w:lineRule="auto"/>
              <w:rPr>
                <w:rStyle w:val="30"/>
                <w:rFonts w:ascii="宋体" w:hAnsi="宋体" w:cs="宋体"/>
                <w:b w:val="0"/>
                <w:bCs/>
                <w:sz w:val="24"/>
              </w:rPr>
            </w:pPr>
            <w:r>
              <w:rPr>
                <w:rStyle w:val="30"/>
                <w:rFonts w:hint="eastAsia" w:ascii="宋体" w:hAnsi="宋体" w:cs="宋体"/>
                <w:b w:val="0"/>
                <w:bCs/>
                <w:sz w:val="24"/>
              </w:rPr>
              <w:t>■一次性提出；质疑服务商应在法定质疑期内提出质疑。</w:t>
            </w:r>
          </w:p>
          <w:p>
            <w:pPr>
              <w:spacing w:line="360" w:lineRule="auto"/>
              <w:rPr>
                <w:rStyle w:val="30"/>
                <w:rFonts w:ascii="宋体" w:hAnsi="宋体" w:cs="宋体"/>
                <w:b w:val="0"/>
                <w:bCs/>
                <w:sz w:val="24"/>
              </w:rPr>
            </w:pPr>
            <w:r>
              <w:rPr>
                <w:rStyle w:val="30"/>
                <w:rFonts w:hint="eastAsia" w:ascii="宋体" w:hAnsi="宋体" w:cs="宋体"/>
                <w:b w:val="0"/>
                <w:bCs/>
                <w:sz w:val="24"/>
              </w:rPr>
              <w:t>接受质疑方式：</w:t>
            </w:r>
          </w:p>
          <w:p>
            <w:pPr>
              <w:spacing w:line="360" w:lineRule="auto"/>
              <w:rPr>
                <w:rStyle w:val="30"/>
                <w:rFonts w:ascii="宋体" w:hAnsi="宋体" w:cs="宋体"/>
                <w:b w:val="0"/>
                <w:bCs/>
                <w:sz w:val="24"/>
              </w:rPr>
            </w:pPr>
            <w:r>
              <w:rPr>
                <w:rStyle w:val="30"/>
                <w:rFonts w:hint="eastAsia" w:ascii="宋体" w:hAnsi="宋体" w:cs="宋体"/>
                <w:b w:val="0"/>
                <w:bCs/>
                <w:sz w:val="24"/>
              </w:rPr>
              <w:t>联系单位：中瑞岳华（上海）项目管理有限公司</w:t>
            </w:r>
          </w:p>
          <w:p>
            <w:pPr>
              <w:spacing w:line="360" w:lineRule="auto"/>
              <w:rPr>
                <w:rStyle w:val="30"/>
                <w:rFonts w:ascii="宋体" w:hAnsi="宋体" w:cs="宋体"/>
                <w:b w:val="0"/>
                <w:bCs/>
                <w:sz w:val="24"/>
              </w:rPr>
            </w:pPr>
            <w:r>
              <w:rPr>
                <w:rStyle w:val="30"/>
                <w:rFonts w:hint="eastAsia" w:ascii="宋体" w:hAnsi="宋体" w:cs="宋体"/>
                <w:b w:val="0"/>
                <w:bCs/>
                <w:sz w:val="24"/>
              </w:rPr>
              <w:t>联系电话：15160968614</w:t>
            </w:r>
          </w:p>
          <w:p>
            <w:pPr>
              <w:spacing w:line="360" w:lineRule="auto"/>
              <w:rPr>
                <w:rStyle w:val="30"/>
                <w:rFonts w:ascii="宋体" w:hAnsi="宋体" w:cs="宋体"/>
                <w:b w:val="0"/>
                <w:bCs/>
                <w:sz w:val="24"/>
              </w:rPr>
            </w:pPr>
            <w:r>
              <w:rPr>
                <w:rStyle w:val="30"/>
                <w:rFonts w:hint="eastAsia" w:ascii="宋体" w:hAnsi="宋体" w:cs="宋体"/>
                <w:b w:val="0"/>
                <w:bCs/>
                <w:sz w:val="24"/>
              </w:rPr>
              <w:t>联系地址：新疆乌鲁木齐经济技术开发区庐山街696号丝绸之路交易中心1604室</w:t>
            </w:r>
          </w:p>
          <w:p>
            <w:pPr>
              <w:spacing w:line="360" w:lineRule="auto"/>
              <w:rPr>
                <w:rStyle w:val="30"/>
                <w:rFonts w:ascii="宋体" w:hAnsi="宋体" w:cs="宋体"/>
                <w:b w:val="0"/>
                <w:bCs/>
                <w:sz w:val="24"/>
              </w:rPr>
            </w:pPr>
            <w:r>
              <w:rPr>
                <w:rStyle w:val="30"/>
                <w:rFonts w:hint="eastAsia" w:ascii="宋体" w:hAnsi="宋体" w:cs="宋体"/>
                <w:b w:val="0"/>
                <w:bCs/>
                <w:sz w:val="24"/>
              </w:rPr>
              <w:t>联系邮箱：zryhxj01@163.com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699" w:type="dxa"/>
            <w:vAlign w:val="center"/>
          </w:tcPr>
          <w:p>
            <w:pPr>
              <w:spacing w:line="56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21</w:t>
            </w:r>
          </w:p>
        </w:tc>
        <w:tc>
          <w:tcPr>
            <w:tcW w:w="9247" w:type="dxa"/>
            <w:vAlign w:val="center"/>
          </w:tcPr>
          <w:p>
            <w:pPr>
              <w:bidi w:val="0"/>
              <w:rPr>
                <w:rFonts w:hint="eastAsia"/>
              </w:rPr>
            </w:pPr>
            <w:r>
              <w:rPr>
                <w:rFonts w:hint="eastAsia"/>
              </w:rPr>
              <w:t>其他政府采购政策：</w:t>
            </w:r>
          </w:p>
          <w:p>
            <w:pPr>
              <w:bidi w:val="0"/>
              <w:rPr>
                <w:rFonts w:hint="eastAsia"/>
              </w:rPr>
            </w:pPr>
            <w:r>
              <w:rPr>
                <w:rFonts w:hint="eastAsia"/>
              </w:rPr>
              <w:t>（1）澄清或者修改时间：不影响投标文件编制的在提交投标文件截止时间前；可能影响投标文件编制的在提交首次投标文件截止时间5日前。</w:t>
            </w:r>
          </w:p>
          <w:p>
            <w:pPr>
              <w:bidi w:val="0"/>
            </w:pPr>
            <w:r>
              <w:rPr>
                <w:rFonts w:hint="eastAsia"/>
                <w:lang w:eastAsia="zh-CN"/>
              </w:rPr>
              <w:t>（</w:t>
            </w:r>
            <w:r>
              <w:rPr>
                <w:rFonts w:hint="eastAsia"/>
                <w:lang w:val="en-US" w:eastAsia="zh-CN"/>
              </w:rPr>
              <w:t>2</w:t>
            </w:r>
            <w:r>
              <w:rPr>
                <w:rFonts w:hint="eastAsia"/>
                <w:lang w:eastAsia="zh-CN"/>
              </w:rPr>
              <w:t>）</w:t>
            </w:r>
            <w:r>
              <w:rPr>
                <w:rFonts w:hint="eastAsia"/>
              </w:rPr>
              <w:t>为保证本项目质量，良好的售后服务，最低报价不作为中标的唯一依据。</w:t>
            </w:r>
          </w:p>
          <w:p>
            <w:pPr>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采购人若发现中标候选人在投标过程中提供虚假证明文件，故意隐瞒公司不良信誉和财务状况，以及存在可能对合同圆满履行造成风险的其他因素等，则按规定取消其中标资格，监管部门依法进行处理。</w:t>
            </w:r>
          </w:p>
          <w:p>
            <w:pPr>
              <w:spacing w:line="360" w:lineRule="auto"/>
              <w:rPr>
                <w:rStyle w:val="30"/>
                <w:rFonts w:ascii="宋体" w:hAnsi="宋体" w:cs="宋体"/>
                <w:b w:val="0"/>
                <w:bCs/>
                <w:sz w:val="24"/>
              </w:rPr>
            </w:pPr>
            <w:r>
              <w:rPr>
                <w:rFonts w:hint="eastAsia"/>
                <w:lang w:eastAsia="zh-CN"/>
              </w:rPr>
              <w:t>（</w:t>
            </w:r>
            <w:r>
              <w:rPr>
                <w:rFonts w:hint="eastAsia"/>
                <w:lang w:val="en-US" w:eastAsia="zh-CN"/>
              </w:rPr>
              <w:t>4</w:t>
            </w:r>
            <w:r>
              <w:rPr>
                <w:rFonts w:hint="eastAsia"/>
                <w:lang w:eastAsia="zh-CN"/>
              </w:rPr>
              <w:t>）</w:t>
            </w:r>
            <w:r>
              <w:rPr>
                <w:rFonts w:hint="eastAsia"/>
              </w:rPr>
              <w:t>本项目设最高限价，超出此限价的投标将被做无效标处理。</w:t>
            </w:r>
          </w:p>
        </w:tc>
      </w:tr>
    </w:tbl>
    <w:p>
      <w:pPr>
        <w:pStyle w:val="25"/>
        <w:ind w:firstLine="0" w:firstLineChars="0"/>
        <w:rPr>
          <w:b/>
          <w:bCs/>
          <w:sz w:val="32"/>
          <w:szCs w:val="20"/>
          <w:lang w:eastAsia="zh-CN"/>
        </w:rPr>
      </w:pPr>
    </w:p>
    <w:p>
      <w:pPr>
        <w:pStyle w:val="25"/>
        <w:ind w:firstLine="0" w:firstLineChars="0"/>
        <w:rPr>
          <w:b/>
          <w:bCs/>
          <w:sz w:val="32"/>
          <w:szCs w:val="20"/>
          <w:lang w:eastAsia="zh-CN"/>
        </w:rPr>
      </w:pPr>
    </w:p>
    <w:p>
      <w:pPr>
        <w:pStyle w:val="25"/>
        <w:ind w:firstLine="0" w:firstLineChars="0"/>
        <w:rPr>
          <w:b/>
          <w:bCs/>
          <w:sz w:val="32"/>
          <w:szCs w:val="20"/>
          <w:lang w:eastAsia="zh-CN"/>
        </w:rPr>
      </w:pPr>
    </w:p>
    <w:p>
      <w:pPr>
        <w:pStyle w:val="3"/>
        <w:bidi w:val="0"/>
      </w:pPr>
      <w:bookmarkStart w:id="30" w:name="_Toc21600"/>
      <w:bookmarkStart w:id="31" w:name="_Toc14382"/>
      <w:r>
        <w:rPr>
          <w:rFonts w:hint="eastAsia"/>
        </w:rPr>
        <w:t>第三章 服务商须知</w:t>
      </w:r>
      <w:bookmarkEnd w:id="30"/>
      <w:bookmarkEnd w:id="31"/>
      <w:bookmarkStart w:id="32" w:name="_Toc520356143"/>
      <w:bookmarkStart w:id="33" w:name="_Toc515647757"/>
      <w:bookmarkStart w:id="34" w:name="_Toc216582805"/>
      <w:bookmarkStart w:id="35" w:name="_Toc21015"/>
      <w:bookmarkStart w:id="36" w:name="_Toc532473449"/>
      <w:bookmarkStart w:id="37" w:name="_Toc21215"/>
      <w:bookmarkStart w:id="38" w:name="_Toc2582263"/>
    </w:p>
    <w:bookmarkEnd w:id="32"/>
    <w:bookmarkEnd w:id="33"/>
    <w:bookmarkEnd w:id="34"/>
    <w:p>
      <w:pPr>
        <w:pStyle w:val="2"/>
        <w:bidi w:val="0"/>
        <w:jc w:val="center"/>
      </w:pPr>
      <w:bookmarkStart w:id="39" w:name="_Toc8128"/>
      <w:bookmarkStart w:id="40" w:name="_Toc19745"/>
      <w:bookmarkStart w:id="41" w:name="_Toc20433"/>
      <w:r>
        <w:rPr>
          <w:rFonts w:hint="eastAsia"/>
        </w:rPr>
        <w:t>（一）总则</w:t>
      </w:r>
      <w:bookmarkEnd w:id="35"/>
      <w:bookmarkEnd w:id="36"/>
      <w:bookmarkEnd w:id="37"/>
      <w:bookmarkEnd w:id="38"/>
      <w:bookmarkEnd w:id="39"/>
      <w:bookmarkEnd w:id="40"/>
      <w:bookmarkEnd w:id="41"/>
    </w:p>
    <w:p>
      <w:pPr>
        <w:bidi w:val="0"/>
        <w:rPr>
          <w:b/>
          <w:bCs/>
        </w:rPr>
      </w:pPr>
      <w:bookmarkStart w:id="42" w:name="_Toc532473450"/>
      <w:bookmarkStart w:id="43" w:name="_Toc2582264"/>
      <w:bookmarkStart w:id="44" w:name="_Toc515647758"/>
      <w:bookmarkStart w:id="45" w:name="_Toc32189"/>
      <w:bookmarkStart w:id="46" w:name="_Toc520356144"/>
      <w:bookmarkStart w:id="47" w:name="_Toc32623"/>
      <w:r>
        <w:rPr>
          <w:rFonts w:hint="eastAsia"/>
          <w:b/>
          <w:bCs/>
        </w:rPr>
        <w:t>1.采购人、采购代理机构及</w:t>
      </w:r>
      <w:bookmarkEnd w:id="42"/>
      <w:bookmarkEnd w:id="43"/>
      <w:bookmarkEnd w:id="44"/>
      <w:bookmarkEnd w:id="45"/>
      <w:bookmarkEnd w:id="46"/>
      <w:bookmarkEnd w:id="47"/>
      <w:r>
        <w:rPr>
          <w:rFonts w:hint="eastAsia"/>
          <w:b/>
          <w:bCs/>
        </w:rPr>
        <w:t>磋商服务商</w:t>
      </w:r>
    </w:p>
    <w:p>
      <w:pPr>
        <w:tabs>
          <w:tab w:val="left" w:pos="0"/>
        </w:tabs>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   采购人：</w:t>
      </w:r>
      <w:r>
        <w:rPr>
          <w:rStyle w:val="30"/>
          <w:rFonts w:hint="eastAsia" w:asciiTheme="minorEastAsia" w:hAnsiTheme="minorEastAsia" w:eastAsiaTheme="minorEastAsia" w:cstheme="minorEastAsia"/>
          <w:b w:val="0"/>
          <w:bCs/>
          <w:sz w:val="24"/>
        </w:rPr>
        <w:t>新疆维吾尔自治区交通运输综合行政执法局</w:t>
      </w:r>
      <w:r>
        <w:rPr>
          <w:rFonts w:hint="eastAsia" w:asciiTheme="minorEastAsia" w:hAnsiTheme="minorEastAsia" w:eastAsiaTheme="minorEastAsia" w:cstheme="minorEastAsia"/>
          <w:sz w:val="24"/>
        </w:rPr>
        <w:t xml:space="preserve"> </w:t>
      </w:r>
    </w:p>
    <w:p>
      <w:pPr>
        <w:tabs>
          <w:tab w:val="left" w:pos="142"/>
        </w:tabs>
        <w:spacing w:line="360" w:lineRule="auto"/>
        <w:ind w:left="708" w:hanging="708" w:hangingChars="29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   采购代理机构：中瑞岳华（上海）项目管理有限公司</w:t>
      </w:r>
    </w:p>
    <w:p>
      <w:pPr>
        <w:tabs>
          <w:tab w:val="left" w:pos="142"/>
        </w:tabs>
        <w:spacing w:line="360" w:lineRule="auto"/>
        <w:ind w:left="708" w:hanging="708" w:hangingChars="29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   磋商服务商：是指响应磋商文件的法人、非法人组织或者自然人。潜在磋商服务商：</w:t>
      </w:r>
    </w:p>
    <w:p>
      <w:pPr>
        <w:tabs>
          <w:tab w:val="left" w:pos="142"/>
        </w:tabs>
        <w:spacing w:line="360" w:lineRule="auto"/>
        <w:ind w:left="708" w:hanging="708" w:hangingChars="29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以磋商文件规定的方式获取本项目磋商文件的法人、非法人组织或者自然人。</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   服务商及其响应的货物须满足以下条件：</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 具备《中华人民共和国政府采购法》第二十二条关于服务商条件的规定。</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 以磋商文件规定的方式获得了本项目的磋商文件。</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1.4.3 符合本项目合格服务商的其他资格要求</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1.4.4 若本项目专门面向中小企业采购的，如服务商所投产品为非中小企业制造，其响应将被认定为响应</w:t>
      </w:r>
      <w:r>
        <w:rPr>
          <w:rFonts w:hint="eastAsia" w:asciiTheme="minorEastAsia" w:hAnsiTheme="minorEastAsia" w:eastAsiaTheme="minorEastAsia" w:cstheme="minorEastAsia"/>
          <w:b/>
          <w:bCs/>
          <w:sz w:val="24"/>
        </w:rPr>
        <w:t>无效</w:t>
      </w:r>
      <w:r>
        <w:rPr>
          <w:rFonts w:hint="eastAsia" w:asciiTheme="minorEastAsia" w:hAnsiTheme="minorEastAsia" w:eastAsiaTheme="minorEastAsia" w:cstheme="minorEastAsia"/>
          <w:sz w:val="24"/>
        </w:rPr>
        <w:t>。</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   如本项目允许联合体投标，对联合体规定如下：</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1.5.1 两个及以上服务商可以组成一个响应联合体，以一个服务商的身份投标。</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1.5.2 联合体各方均应符合本须知1.4.1的规定。</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1.5.3 采购人根据采购项目对投标人的特殊要求，联合体中至少应当有一方符合相关规定。</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1.5.4 联合体各方应签订共同响应协议，明确约定联合体各方承担的工作和相应的责任，并</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将共同响应协议作为响应文件的内容提交。</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1.5.5 大中型企业、其他自然人、法人或者非法人组织与小型、微型企业组成联合体共同参</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加的，共同响应协议中应写明小型、微型企业的协议合同金额占到共同响应协议投标总金额的比例。</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1.5.6 以联合体形式参加政府采购活动的，联合体各方不得再单独参加或者与其他服务商另</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外组成联合体参加本项目同一合同项下的响应，否则相关响应将被认定为响应</w:t>
      </w:r>
      <w:r>
        <w:rPr>
          <w:rFonts w:hint="eastAsia" w:asciiTheme="minorEastAsia" w:hAnsiTheme="minorEastAsia" w:eastAsiaTheme="minorEastAsia" w:cstheme="minorEastAsia"/>
          <w:b/>
          <w:sz w:val="24"/>
        </w:rPr>
        <w:t>无效。</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  单位负责人为同一人或者存在直接控股、管理关系的不同服务商参与本项目同一合同项</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下的响应的，其相关响应将被认定为响应</w:t>
      </w:r>
      <w:r>
        <w:rPr>
          <w:rFonts w:hint="eastAsia" w:asciiTheme="minorEastAsia" w:hAnsiTheme="minorEastAsia" w:eastAsiaTheme="minorEastAsia" w:cstheme="minorEastAsia"/>
          <w:b/>
          <w:sz w:val="24"/>
        </w:rPr>
        <w:t>无效</w:t>
      </w:r>
      <w:r>
        <w:rPr>
          <w:rFonts w:hint="eastAsia" w:asciiTheme="minorEastAsia" w:hAnsiTheme="minorEastAsia" w:eastAsiaTheme="minorEastAsia" w:cstheme="minorEastAsia"/>
          <w:sz w:val="24"/>
        </w:rPr>
        <w:t>。</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   为本项目提供过整体设计、规范编制或者项目管理、监理、检测等服务的服务商，不</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得再参加本项目上述服务以外的其他采购活动。否则其响应将被认定为响应</w:t>
      </w:r>
      <w:r>
        <w:rPr>
          <w:rFonts w:hint="eastAsia" w:asciiTheme="minorEastAsia" w:hAnsiTheme="minorEastAsia" w:eastAsiaTheme="minorEastAsia" w:cstheme="minorEastAsia"/>
          <w:b/>
          <w:bCs/>
          <w:sz w:val="24"/>
        </w:rPr>
        <w:t>无效</w:t>
      </w:r>
      <w:r>
        <w:rPr>
          <w:rFonts w:hint="eastAsia" w:asciiTheme="minorEastAsia" w:hAnsiTheme="minorEastAsia" w:eastAsiaTheme="minorEastAsia" w:cstheme="minorEastAsia"/>
          <w:sz w:val="24"/>
        </w:rPr>
        <w:t>。</w:t>
      </w:r>
    </w:p>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 xml:space="preserve">1.8   </w:t>
      </w:r>
      <w:r>
        <w:rPr>
          <w:rFonts w:hint="eastAsia" w:asciiTheme="minorEastAsia" w:hAnsiTheme="minorEastAsia" w:eastAsiaTheme="minorEastAsia" w:cstheme="minorEastAsia"/>
          <w:bCs/>
          <w:sz w:val="24"/>
        </w:rPr>
        <w:t>在政府采购活动中，采购人员及相关人员与服务商有下列利害关系之一的，应当回避：</w:t>
      </w:r>
    </w:p>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1.8.1 参加采购活动前3年内与服务商存在劳动关系。</w:t>
      </w:r>
    </w:p>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1.8.2 参加采购活动前3年内担任服务商的董事、监事。</w:t>
      </w:r>
    </w:p>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1.8.3 参加采购活动前3年内是服务商的控股股东或者实际控制人。</w:t>
      </w:r>
    </w:p>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1.8.4 与服务商的法定代表人或者负责人有夫妻、直系血亲、三代以内旁系血亲或者近姻亲关系。</w:t>
      </w:r>
    </w:p>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1.8.5 与服务商有其他可能影响政府采购活动公平、公正进行的关系。</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1.8.6 服务商认为采购人员及相关人员与其他服务商有利害关系的，可以向采购人或者采购代理机构书面提出回避申请，并说明理由。采购人或者采购代理机构应当及时询问被申请回避人员，有利害关系的被申请回避人员应当回避。</w:t>
      </w:r>
    </w:p>
    <w:p>
      <w:pPr>
        <w:bidi w:val="0"/>
        <w:rPr>
          <w:b/>
          <w:bCs/>
        </w:rPr>
      </w:pPr>
      <w:bookmarkStart w:id="48" w:name="_Toc515647759"/>
      <w:bookmarkStart w:id="49" w:name="_Toc5286"/>
      <w:bookmarkStart w:id="50" w:name="_Toc532473451"/>
      <w:bookmarkStart w:id="51" w:name="_Toc12139"/>
      <w:bookmarkStart w:id="52" w:name="_Toc2582265"/>
      <w:r>
        <w:rPr>
          <w:rFonts w:hint="eastAsia"/>
          <w:b/>
          <w:bCs/>
        </w:rPr>
        <w:t>2.资金来源</w:t>
      </w:r>
      <w:bookmarkEnd w:id="48"/>
      <w:bookmarkEnd w:id="49"/>
      <w:bookmarkEnd w:id="50"/>
      <w:bookmarkEnd w:id="51"/>
      <w:bookmarkEnd w:id="52"/>
    </w:p>
    <w:p>
      <w:pPr>
        <w:spacing w:line="360" w:lineRule="auto"/>
        <w:ind w:left="1024" w:leftChars="152" w:hanging="660" w:hangingChars="2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本项目的采购人已获得足以支付本次磋商后所签订的合同项下的资金。</w:t>
      </w:r>
    </w:p>
    <w:p>
      <w:pPr>
        <w:bidi w:val="0"/>
        <w:rPr>
          <w:b/>
          <w:bCs/>
        </w:rPr>
      </w:pPr>
      <w:bookmarkStart w:id="53" w:name="_Toc15936"/>
      <w:bookmarkStart w:id="54" w:name="_Toc532473452"/>
      <w:bookmarkStart w:id="55" w:name="_Toc2582266"/>
      <w:bookmarkStart w:id="56" w:name="_Toc20526"/>
      <w:bookmarkStart w:id="57" w:name="_Toc520356145"/>
      <w:bookmarkStart w:id="58" w:name="_Toc515647760"/>
      <w:r>
        <w:rPr>
          <w:rFonts w:hint="eastAsia"/>
          <w:b/>
          <w:bCs/>
        </w:rPr>
        <w:t>3.投标费用</w:t>
      </w:r>
      <w:bookmarkEnd w:id="53"/>
      <w:bookmarkEnd w:id="54"/>
      <w:bookmarkEnd w:id="55"/>
      <w:bookmarkEnd w:id="56"/>
      <w:bookmarkEnd w:id="57"/>
      <w:bookmarkEnd w:id="58"/>
    </w:p>
    <w:p>
      <w:pPr>
        <w:spacing w:line="360" w:lineRule="auto"/>
        <w:ind w:firstLine="624" w:firstLineChars="2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不论结果如何，服务商应承担所有与磋商有关的费用。</w:t>
      </w:r>
    </w:p>
    <w:p>
      <w:pPr>
        <w:pStyle w:val="2"/>
        <w:bidi w:val="0"/>
        <w:jc w:val="center"/>
      </w:pPr>
      <w:bookmarkStart w:id="59" w:name="_Toc216582806"/>
      <w:bookmarkStart w:id="60" w:name="_Toc515647762"/>
      <w:bookmarkStart w:id="61" w:name="_Toc532473454"/>
      <w:bookmarkStart w:id="62" w:name="_Toc520356146"/>
      <w:bookmarkStart w:id="63" w:name="_Toc28138"/>
      <w:bookmarkStart w:id="64" w:name="_Toc21566"/>
      <w:bookmarkStart w:id="65" w:name="_Toc4365"/>
      <w:bookmarkStart w:id="66" w:name="_Toc2582268"/>
      <w:r>
        <w:rPr>
          <w:rFonts w:hint="eastAsia"/>
        </w:rPr>
        <w:t>（二）磋商文件</w:t>
      </w:r>
      <w:bookmarkEnd w:id="59"/>
      <w:bookmarkEnd w:id="60"/>
      <w:bookmarkEnd w:id="61"/>
      <w:bookmarkEnd w:id="62"/>
      <w:bookmarkEnd w:id="63"/>
      <w:bookmarkEnd w:id="64"/>
      <w:bookmarkEnd w:id="65"/>
      <w:bookmarkEnd w:id="66"/>
    </w:p>
    <w:p>
      <w:pPr>
        <w:bidi w:val="0"/>
        <w:rPr>
          <w:b/>
          <w:bCs/>
        </w:rPr>
      </w:pPr>
      <w:bookmarkStart w:id="67" w:name="_Toc25743"/>
      <w:bookmarkStart w:id="68" w:name="_Toc532473455"/>
      <w:bookmarkStart w:id="69" w:name="_Toc2582269"/>
      <w:bookmarkStart w:id="70" w:name="_Toc520356147"/>
      <w:bookmarkStart w:id="71" w:name="_Toc14084"/>
      <w:bookmarkStart w:id="72" w:name="_Toc515647763"/>
      <w:r>
        <w:rPr>
          <w:rFonts w:hint="eastAsia"/>
          <w:b/>
          <w:bCs/>
        </w:rPr>
        <w:t>4.磋商文件构成</w:t>
      </w:r>
      <w:bookmarkEnd w:id="67"/>
      <w:bookmarkEnd w:id="68"/>
      <w:bookmarkEnd w:id="69"/>
      <w:bookmarkEnd w:id="70"/>
      <w:bookmarkEnd w:id="71"/>
      <w:bookmarkEnd w:id="72"/>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   磋商邀请</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   服务商须知前附表</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   服务商须知</w:t>
      </w:r>
      <w:bookmarkStart w:id="73" w:name="_Toc21818"/>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4.4   项目说明和采购需求</w:t>
      </w:r>
      <w:bookmarkEnd w:id="73"/>
    </w:p>
    <w:p>
      <w:pPr>
        <w:pStyle w:val="7"/>
        <w:spacing w:line="360" w:lineRule="auto"/>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4.5   政府采购合同范本</w:t>
      </w:r>
    </w:p>
    <w:p>
      <w:pPr>
        <w:pStyle w:val="7"/>
        <w:spacing w:line="360" w:lineRule="auto"/>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4.6   响应文件格式</w:t>
      </w:r>
    </w:p>
    <w:p>
      <w:pPr>
        <w:bidi w:val="0"/>
        <w:rPr>
          <w:rFonts w:asciiTheme="minorEastAsia" w:hAnsiTheme="minorEastAsia" w:eastAsiaTheme="minorEastAsia" w:cstheme="minorEastAsia"/>
          <w:szCs w:val="24"/>
          <w:u w:val="none"/>
        </w:rPr>
      </w:pPr>
      <w:bookmarkStart w:id="74" w:name="_Toc515904805"/>
      <w:bookmarkStart w:id="75" w:name="_Toc520356148"/>
      <w:bookmarkStart w:id="76" w:name="_Toc532473456"/>
      <w:bookmarkStart w:id="77" w:name="_Toc26044"/>
      <w:bookmarkStart w:id="78" w:name="_Toc9232"/>
      <w:bookmarkStart w:id="79" w:name="_Toc2582270"/>
      <w:r>
        <w:rPr>
          <w:rFonts w:hint="eastAsia"/>
          <w:b/>
          <w:bCs/>
        </w:rPr>
        <w:t>5.磋商文件的澄清</w:t>
      </w:r>
      <w:bookmarkEnd w:id="74"/>
      <w:bookmarkEnd w:id="75"/>
      <w:r>
        <w:rPr>
          <w:rFonts w:hint="eastAsia"/>
          <w:b/>
          <w:bCs/>
        </w:rPr>
        <w:t>与修改</w:t>
      </w:r>
      <w:bookmarkEnd w:id="76"/>
      <w:bookmarkEnd w:id="77"/>
      <w:bookmarkEnd w:id="78"/>
      <w:bookmarkEnd w:id="79"/>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   采购人、采购代理机构可以对已发出的磋商文件等进行必要的澄清或者修改。澄清或</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者修改的内容为磋商文件的组成部分。澄清或者修改应当在原公告发布媒体上发布澄清公告。</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   磋商文件中有不一致的，有澄清的部分以最终的澄清更正内容为准；未澄清的，以服务商须知前附表为准；服务商须知前附表不涉及的内容，以编排在后的最后描述为准。</w:t>
      </w:r>
      <w:bookmarkStart w:id="80" w:name="_Toc10813"/>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   服务商应及时关注本项目原公告发布媒体上发布的澄清公告或修改内容</w:t>
      </w:r>
      <w:bookmarkEnd w:id="80"/>
      <w:bookmarkStart w:id="81" w:name="_Toc2987"/>
      <w:r>
        <w:rPr>
          <w:rFonts w:hint="eastAsia" w:asciiTheme="minorEastAsia" w:hAnsiTheme="minorEastAsia" w:eastAsiaTheme="minorEastAsia" w:cstheme="minorEastAsia"/>
          <w:sz w:val="24"/>
        </w:rPr>
        <w:t>并自行下载，采购人、采购代理机构不再另行通知。</w:t>
      </w:r>
      <w:bookmarkEnd w:id="81"/>
      <w:bookmarkStart w:id="82" w:name="_Toc532473457"/>
      <w:bookmarkStart w:id="83" w:name="_Toc25635"/>
      <w:bookmarkStart w:id="84" w:name="_Toc2582271"/>
      <w:bookmarkStart w:id="85" w:name="_Toc14569"/>
    </w:p>
    <w:p>
      <w:pPr>
        <w:bidi w:val="0"/>
        <w:rPr>
          <w:b/>
          <w:bCs/>
        </w:rPr>
      </w:pPr>
      <w:r>
        <w:rPr>
          <w:rFonts w:hint="eastAsia"/>
          <w:b/>
          <w:bCs/>
        </w:rPr>
        <w:t>6.响应截止时间的顺延</w:t>
      </w:r>
      <w:bookmarkEnd w:id="82"/>
      <w:bookmarkEnd w:id="83"/>
      <w:bookmarkEnd w:id="84"/>
      <w:bookmarkEnd w:id="85"/>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   为使服务商有足够的时间对磋商文件的澄清或者修改部分进行研究而准备或因其他原</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因，采购人将依法决定是否顺延响应截止时间。顺延变更公告应当在原公告发布媒体上发布。</w:t>
      </w:r>
    </w:p>
    <w:p>
      <w:pPr>
        <w:pStyle w:val="2"/>
        <w:spacing w:before="0" w:after="0" w:line="360" w:lineRule="auto"/>
        <w:rPr>
          <w:rFonts w:asciiTheme="minorEastAsia" w:hAnsiTheme="minorEastAsia" w:eastAsiaTheme="minorEastAsia" w:cstheme="minorEastAsia"/>
          <w:b w:val="0"/>
          <w:bCs w:val="0"/>
          <w:sz w:val="24"/>
          <w:szCs w:val="24"/>
        </w:rPr>
      </w:pPr>
      <w:bookmarkStart w:id="86" w:name="_Toc2991"/>
      <w:bookmarkStart w:id="87" w:name="_Toc13158"/>
      <w:bookmarkStart w:id="88" w:name="_Toc23394"/>
      <w:bookmarkStart w:id="89" w:name="_Toc20504"/>
      <w:bookmarkStart w:id="90" w:name="_Toc18872"/>
      <w:r>
        <w:rPr>
          <w:rFonts w:hint="eastAsia" w:asciiTheme="minorEastAsia" w:hAnsiTheme="minorEastAsia" w:eastAsiaTheme="minorEastAsia" w:cstheme="minorEastAsia"/>
          <w:b w:val="0"/>
          <w:bCs w:val="0"/>
          <w:sz w:val="24"/>
          <w:szCs w:val="24"/>
        </w:rPr>
        <w:t>6.2   服务商应及时关注本项目原公告发布媒体上发布的变更公告，采购人、采</w:t>
      </w:r>
      <w:bookmarkEnd w:id="86"/>
      <w:bookmarkStart w:id="91" w:name="_Toc3495"/>
      <w:r>
        <w:rPr>
          <w:rFonts w:hint="eastAsia" w:asciiTheme="minorEastAsia" w:hAnsiTheme="minorEastAsia" w:eastAsiaTheme="minorEastAsia" w:cstheme="minorEastAsia"/>
          <w:b w:val="0"/>
          <w:bCs w:val="0"/>
          <w:sz w:val="24"/>
          <w:szCs w:val="24"/>
        </w:rPr>
        <w:t>购代理机构不再另行通知。</w:t>
      </w:r>
      <w:bookmarkEnd w:id="87"/>
      <w:bookmarkEnd w:id="88"/>
      <w:bookmarkEnd w:id="89"/>
      <w:bookmarkEnd w:id="90"/>
      <w:bookmarkEnd w:id="91"/>
    </w:p>
    <w:p>
      <w:pPr>
        <w:bidi w:val="0"/>
        <w:rPr>
          <w:b/>
          <w:bCs/>
        </w:rPr>
      </w:pPr>
      <w:r>
        <w:rPr>
          <w:rFonts w:hint="eastAsia"/>
          <w:b/>
          <w:bCs/>
        </w:rPr>
        <w:t>7.其他事项</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   服务商应认真阅读磋商文件所有的事项、格式、条款和技术规范等。如服务商没有按</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照磋商文件要求提交全部资料，或者响应文件没有对磋商文件的实质性要求做出响应，其响应将被认定为响应</w:t>
      </w:r>
      <w:r>
        <w:rPr>
          <w:rFonts w:hint="eastAsia" w:asciiTheme="minorEastAsia" w:hAnsiTheme="minorEastAsia" w:eastAsiaTheme="minorEastAsia" w:cstheme="minorEastAsia"/>
          <w:b/>
          <w:bCs/>
          <w:sz w:val="24"/>
        </w:rPr>
        <w:t>无效</w:t>
      </w:r>
      <w:r>
        <w:rPr>
          <w:rFonts w:hint="eastAsia" w:asciiTheme="minorEastAsia" w:hAnsiTheme="minorEastAsia" w:eastAsiaTheme="minorEastAsia" w:cstheme="minorEastAsia"/>
          <w:sz w:val="24"/>
        </w:rPr>
        <w:t>。</w:t>
      </w:r>
    </w:p>
    <w:p>
      <w:pPr>
        <w:pStyle w:val="2"/>
        <w:bidi w:val="0"/>
        <w:jc w:val="center"/>
      </w:pPr>
      <w:bookmarkStart w:id="92" w:name="_Toc516367020"/>
      <w:bookmarkStart w:id="93" w:name="_Toc216582807"/>
      <w:bookmarkStart w:id="94" w:name="_Toc520356150"/>
      <w:bookmarkStart w:id="95" w:name="_Toc532473458"/>
      <w:bookmarkStart w:id="96" w:name="_Toc2582272"/>
      <w:bookmarkStart w:id="97" w:name="_Toc515647766"/>
      <w:bookmarkStart w:id="98" w:name="_Toc30808"/>
      <w:bookmarkStart w:id="99" w:name="_Toc7643"/>
      <w:bookmarkStart w:id="100" w:name="_Toc7636"/>
      <w:r>
        <w:rPr>
          <w:rFonts w:hint="eastAsia"/>
        </w:rPr>
        <w:t>（三）响应文件</w:t>
      </w:r>
      <w:bookmarkEnd w:id="92"/>
      <w:r>
        <w:rPr>
          <w:rFonts w:hint="eastAsia"/>
        </w:rPr>
        <w:t>的编制</w:t>
      </w:r>
      <w:bookmarkEnd w:id="93"/>
      <w:bookmarkEnd w:id="94"/>
      <w:bookmarkEnd w:id="95"/>
      <w:bookmarkEnd w:id="96"/>
      <w:bookmarkEnd w:id="97"/>
      <w:bookmarkEnd w:id="98"/>
      <w:bookmarkEnd w:id="99"/>
      <w:bookmarkEnd w:id="100"/>
    </w:p>
    <w:p>
      <w:pPr>
        <w:bidi w:val="0"/>
        <w:rPr>
          <w:b/>
          <w:bCs/>
        </w:rPr>
      </w:pPr>
      <w:bookmarkStart w:id="101" w:name="_Toc532473459"/>
      <w:bookmarkStart w:id="102" w:name="_Toc516367021"/>
      <w:bookmarkStart w:id="103" w:name="_Toc7786"/>
      <w:bookmarkStart w:id="104" w:name="_Toc3553"/>
      <w:bookmarkStart w:id="105" w:name="_Toc2582273"/>
      <w:bookmarkStart w:id="106" w:name="_Toc520356151"/>
      <w:bookmarkStart w:id="107" w:name="_Toc515647767"/>
      <w:r>
        <w:rPr>
          <w:rFonts w:hint="eastAsia"/>
          <w:b/>
          <w:bCs/>
        </w:rPr>
        <w:t>8.</w:t>
      </w:r>
      <w:bookmarkEnd w:id="101"/>
      <w:bookmarkEnd w:id="102"/>
      <w:bookmarkEnd w:id="103"/>
      <w:bookmarkEnd w:id="104"/>
      <w:bookmarkEnd w:id="105"/>
      <w:bookmarkEnd w:id="106"/>
      <w:bookmarkEnd w:id="107"/>
      <w:r>
        <w:rPr>
          <w:rFonts w:hint="eastAsia"/>
          <w:b/>
          <w:bCs/>
        </w:rPr>
        <w:t>响应范围及文字、计量单位要求</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8.1   服务商应当对磋商文件中所列的所有内容进行投标，如仅响应部分内容，其响应将被认定为响应</w:t>
      </w:r>
      <w:r>
        <w:rPr>
          <w:rFonts w:hint="eastAsia" w:asciiTheme="minorEastAsia" w:hAnsiTheme="minorEastAsia" w:eastAsiaTheme="minorEastAsia" w:cstheme="minorEastAsia"/>
          <w:b/>
          <w:bCs/>
          <w:sz w:val="24"/>
        </w:rPr>
        <w:t>无效</w:t>
      </w:r>
      <w:r>
        <w:rPr>
          <w:rFonts w:hint="eastAsia" w:asciiTheme="minorEastAsia" w:hAnsiTheme="minorEastAsia" w:eastAsiaTheme="minorEastAsia" w:cstheme="minorEastAsia"/>
          <w:sz w:val="24"/>
        </w:rPr>
        <w:t>。</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8.2   无论磋商文件中是否要求，服务商所投服务及伴随的货物和工程均应符合国家强制性标准。</w:t>
      </w:r>
      <w:bookmarkStart w:id="108" w:name="_Toc24101"/>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8.3   响应文件应使用规范汉字书写(专有名词须加注中文解释)，并采用通用的图形符号，不得出现与常规书写格式不符的内容。</w:t>
      </w:r>
      <w:bookmarkEnd w:id="108"/>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8.4   除磋商文件中有特殊要求外，响应文件中所使用的计量单位，应采用中华人民共和国</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法定计量单位。</w:t>
      </w:r>
    </w:p>
    <w:p>
      <w:pPr>
        <w:bidi w:val="0"/>
        <w:rPr>
          <w:b/>
          <w:bCs/>
        </w:rPr>
      </w:pPr>
      <w:bookmarkStart w:id="109" w:name="_Toc516367022"/>
      <w:bookmarkStart w:id="110" w:name="_Ref467306195"/>
      <w:bookmarkStart w:id="111" w:name="_Ref467306676"/>
      <w:bookmarkStart w:id="112" w:name="_Toc515647768"/>
      <w:bookmarkStart w:id="113" w:name="_Toc10364"/>
      <w:bookmarkStart w:id="114" w:name="_Toc520356152"/>
      <w:bookmarkStart w:id="115" w:name="_Toc532473460"/>
      <w:bookmarkStart w:id="116" w:name="_Toc2582274"/>
      <w:bookmarkStart w:id="117" w:name="_Toc28307"/>
      <w:r>
        <w:rPr>
          <w:rFonts w:hint="eastAsia"/>
          <w:b/>
          <w:bCs/>
        </w:rPr>
        <w:t>9.响应文件</w:t>
      </w:r>
      <w:bookmarkEnd w:id="109"/>
      <w:bookmarkEnd w:id="110"/>
      <w:bookmarkEnd w:id="111"/>
      <w:r>
        <w:rPr>
          <w:rFonts w:hint="eastAsia"/>
          <w:b/>
          <w:bCs/>
        </w:rPr>
        <w:t>的组成</w:t>
      </w:r>
      <w:bookmarkEnd w:id="112"/>
      <w:bookmarkEnd w:id="113"/>
      <w:bookmarkEnd w:id="114"/>
      <w:bookmarkEnd w:id="115"/>
      <w:bookmarkEnd w:id="116"/>
      <w:bookmarkEnd w:id="117"/>
    </w:p>
    <w:p>
      <w:pPr>
        <w:tabs>
          <w:tab w:val="left" w:pos="900"/>
          <w:tab w:val="left" w:pos="5580"/>
        </w:tabs>
        <w:spacing w:line="360" w:lineRule="auto"/>
        <w:ind w:firstLine="240" w:firstLineChars="100"/>
        <w:rPr>
          <w:rFonts w:asciiTheme="minorEastAsia" w:hAnsiTheme="minorEastAsia" w:eastAsiaTheme="minorEastAsia" w:cstheme="minorEastAsia"/>
          <w:sz w:val="24"/>
        </w:rPr>
      </w:pPr>
      <w:bookmarkStart w:id="118" w:name="_Ref467052588"/>
      <w:r>
        <w:rPr>
          <w:rFonts w:hint="eastAsia" w:asciiTheme="minorEastAsia" w:hAnsiTheme="minorEastAsia" w:eastAsiaTheme="minorEastAsia" w:cstheme="minorEastAsia"/>
          <w:sz w:val="24"/>
        </w:rPr>
        <w:t xml:space="preserve">  服务商应完整地按照磋商文件提供的响应文件格式及要求编写响应文件，对其响应文件的真实性与准确性负责，成交后，其响应文件将作为合同的组成部分。</w:t>
      </w:r>
    </w:p>
    <w:bookmarkEnd w:id="118"/>
    <w:p>
      <w:pPr>
        <w:bidi w:val="0"/>
        <w:rPr>
          <w:b/>
          <w:bCs/>
        </w:rPr>
      </w:pPr>
      <w:bookmarkStart w:id="119" w:name="_Toc516367023"/>
      <w:bookmarkStart w:id="120" w:name="_Toc2582275"/>
      <w:bookmarkStart w:id="121" w:name="_Toc515647769"/>
      <w:bookmarkStart w:id="122" w:name="_Toc532473461"/>
      <w:bookmarkStart w:id="123" w:name="_Toc10379"/>
      <w:bookmarkStart w:id="124" w:name="_Toc4601"/>
      <w:bookmarkStart w:id="125" w:name="_Toc520356153"/>
      <w:r>
        <w:rPr>
          <w:rFonts w:hint="eastAsia"/>
          <w:b/>
          <w:bCs/>
        </w:rPr>
        <w:t>10.证明响应标的的合格性和符合磋商文件规定的技术文件</w:t>
      </w:r>
      <w:bookmarkEnd w:id="119"/>
      <w:bookmarkEnd w:id="120"/>
      <w:bookmarkEnd w:id="121"/>
      <w:bookmarkEnd w:id="122"/>
      <w:bookmarkEnd w:id="123"/>
      <w:bookmarkEnd w:id="124"/>
      <w:bookmarkEnd w:id="125"/>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10.1   服务商应提交证明文件，证明其响应标的符合磋商文件规定。该证明件是响应文件的</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技术文件。</w:t>
      </w:r>
    </w:p>
    <w:p>
      <w:pPr>
        <w:spacing w:line="360" w:lineRule="auto"/>
        <w:ind w:left="900" w:hanging="900" w:hangingChars="375"/>
        <w:rPr>
          <w:rFonts w:asciiTheme="minorEastAsia" w:hAnsiTheme="minorEastAsia" w:eastAsiaTheme="minorEastAsia" w:cstheme="minorEastAsia"/>
          <w:sz w:val="24"/>
        </w:rPr>
      </w:pPr>
      <w:bookmarkStart w:id="126" w:name="_Ref467306244"/>
      <w:r>
        <w:rPr>
          <w:rFonts w:hint="eastAsia" w:asciiTheme="minorEastAsia" w:hAnsiTheme="minorEastAsia" w:eastAsiaTheme="minorEastAsia" w:cstheme="minorEastAsia"/>
          <w:sz w:val="24"/>
        </w:rPr>
        <w:t>10.2   上款所述的证明文件，可以是文字资料、图纸和数据</w:t>
      </w:r>
      <w:bookmarkEnd w:id="126"/>
      <w:r>
        <w:rPr>
          <w:rFonts w:hint="eastAsia" w:asciiTheme="minorEastAsia" w:hAnsiTheme="minorEastAsia" w:eastAsiaTheme="minorEastAsia" w:cstheme="minorEastAsia"/>
          <w:sz w:val="24"/>
        </w:rPr>
        <w:t>。</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10.3   本条所指证明文件不包括对磋商文件相关部分的文字、图标的复制。</w:t>
      </w:r>
    </w:p>
    <w:p>
      <w:pPr>
        <w:bidi w:val="0"/>
        <w:rPr>
          <w:b/>
          <w:bCs/>
        </w:rPr>
      </w:pPr>
      <w:bookmarkStart w:id="127" w:name="_Toc2582276"/>
      <w:bookmarkStart w:id="128" w:name="_Toc515647770"/>
      <w:bookmarkStart w:id="129" w:name="_Toc2248"/>
      <w:bookmarkStart w:id="130" w:name="_Toc520356155"/>
      <w:bookmarkStart w:id="131" w:name="_Toc532473462"/>
      <w:bookmarkStart w:id="132" w:name="_Toc23231"/>
      <w:r>
        <w:rPr>
          <w:rFonts w:hint="eastAsia"/>
          <w:b/>
          <w:bCs/>
        </w:rPr>
        <w:t>11.投标报价</w:t>
      </w:r>
      <w:bookmarkEnd w:id="127"/>
      <w:bookmarkEnd w:id="128"/>
      <w:bookmarkEnd w:id="129"/>
      <w:bookmarkEnd w:id="130"/>
      <w:bookmarkEnd w:id="131"/>
      <w:bookmarkEnd w:id="132"/>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  服务商的报价应当包括满足本次磋商全部采购需求所应提供的服务，以及伴随的货物</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和工程。所有响应均应以人民币报价。</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  服务商应在价格明细表上标明响应服务及相关货物、工程（如适用）和总价，并由法</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定代表人或其授权代表签署。</w:t>
      </w:r>
    </w:p>
    <w:p>
      <w:pPr>
        <w:bidi w:val="0"/>
        <w:rPr>
          <w:b/>
          <w:bCs/>
        </w:rPr>
      </w:pPr>
      <w:bookmarkStart w:id="133" w:name="_Ref467306513"/>
      <w:bookmarkStart w:id="134" w:name="_Toc532473463"/>
      <w:bookmarkStart w:id="135" w:name="_Toc17788"/>
      <w:bookmarkStart w:id="136" w:name="_Toc520356156"/>
      <w:bookmarkStart w:id="137" w:name="_Toc515647771"/>
      <w:bookmarkStart w:id="138" w:name="_Toc11514"/>
      <w:bookmarkStart w:id="139" w:name="_Toc2582277"/>
      <w:r>
        <w:rPr>
          <w:rFonts w:hint="eastAsia"/>
          <w:b/>
          <w:bCs/>
        </w:rPr>
        <w:t>12.响应保证金</w:t>
      </w:r>
      <w:bookmarkEnd w:id="133"/>
      <w:bookmarkEnd w:id="134"/>
      <w:bookmarkEnd w:id="135"/>
      <w:bookmarkEnd w:id="136"/>
      <w:bookmarkEnd w:id="137"/>
      <w:bookmarkEnd w:id="138"/>
      <w:bookmarkEnd w:id="139"/>
    </w:p>
    <w:p>
      <w:pPr>
        <w:spacing w:line="360" w:lineRule="auto"/>
        <w:rPr>
          <w:rFonts w:asciiTheme="minorEastAsia" w:hAnsiTheme="minorEastAsia" w:eastAsiaTheme="minorEastAsia" w:cstheme="minorEastAsia"/>
          <w:sz w:val="24"/>
        </w:rPr>
      </w:pPr>
      <w:bookmarkStart w:id="140" w:name="_Ref467306302"/>
      <w:r>
        <w:rPr>
          <w:rFonts w:hint="eastAsia" w:asciiTheme="minorEastAsia" w:hAnsiTheme="minorEastAsia" w:eastAsiaTheme="minorEastAsia" w:cstheme="minorEastAsia"/>
          <w:sz w:val="24"/>
        </w:rPr>
        <w:t>12.1  保证金是磋商文件的组成部分。本项目要求服务商提交响应保证金的，应当在磋商文件中明确保证金的数额及缴纳形式。</w:t>
      </w:r>
    </w:p>
    <w:p>
      <w:pPr>
        <w:pStyle w:val="2"/>
        <w:spacing w:before="0" w:after="0" w:line="360" w:lineRule="auto"/>
        <w:rPr>
          <w:rFonts w:asciiTheme="minorEastAsia" w:hAnsiTheme="minorEastAsia" w:eastAsiaTheme="minorEastAsia" w:cstheme="minorEastAsia"/>
          <w:b w:val="0"/>
          <w:bCs w:val="0"/>
          <w:sz w:val="24"/>
          <w:szCs w:val="24"/>
        </w:rPr>
      </w:pPr>
      <w:bookmarkStart w:id="141" w:name="_Toc7963"/>
      <w:bookmarkStart w:id="142" w:name="_Toc16348"/>
      <w:bookmarkStart w:id="143" w:name="_Toc31612"/>
      <w:bookmarkStart w:id="144" w:name="_Toc21030"/>
      <w:bookmarkStart w:id="145" w:name="_Toc505"/>
      <w:r>
        <w:rPr>
          <w:rFonts w:hint="eastAsia" w:asciiTheme="minorEastAsia" w:hAnsiTheme="minorEastAsia" w:eastAsiaTheme="minorEastAsia" w:cstheme="minorEastAsia"/>
          <w:b w:val="0"/>
          <w:bCs w:val="0"/>
          <w:sz w:val="24"/>
          <w:szCs w:val="24"/>
        </w:rPr>
        <w:t>12.2  服务商未在规定时间内缴纳保证金或保证金数额不足以及未按磋商文件规定交纳保证金的，其响应将被认定为响应无效。</w:t>
      </w:r>
      <w:bookmarkEnd w:id="141"/>
      <w:bookmarkEnd w:id="142"/>
      <w:bookmarkEnd w:id="143"/>
      <w:bookmarkEnd w:id="144"/>
      <w:bookmarkEnd w:id="145"/>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 xml:space="preserve">12.3  </w:t>
      </w:r>
      <w:r>
        <w:rPr>
          <w:rFonts w:hint="eastAsia" w:asciiTheme="minorEastAsia" w:hAnsiTheme="minorEastAsia" w:eastAsiaTheme="minorEastAsia" w:cstheme="minorEastAsia"/>
          <w:sz w:val="24"/>
        </w:rPr>
        <w:t>采购人或者采购代理机构应当自成交通知书发出之日起5个工作日内退还未成交服务商的响应保证金；自采购合同签订之日起5个工作日内退还成交服务商的响应保证金，成交</w:t>
      </w:r>
      <w:r>
        <w:rPr>
          <w:rFonts w:hint="eastAsia" w:asciiTheme="minorEastAsia" w:hAnsiTheme="minorEastAsia" w:eastAsiaTheme="minorEastAsia" w:cstheme="minorEastAsia"/>
          <w:sz w:val="24"/>
          <w:lang w:eastAsia="zh-CN"/>
        </w:rPr>
        <w:t>服务商</w:t>
      </w:r>
      <w:r>
        <w:rPr>
          <w:rFonts w:hint="eastAsia" w:asciiTheme="minorEastAsia" w:hAnsiTheme="minorEastAsia" w:eastAsiaTheme="minorEastAsia" w:cstheme="minorEastAsia"/>
          <w:sz w:val="24"/>
        </w:rPr>
        <w:t>同时向代理公司提供采购合同</w:t>
      </w:r>
      <w:bookmarkStart w:id="146" w:name="_Toc218"/>
      <w:r>
        <w:rPr>
          <w:rFonts w:hint="eastAsia" w:asciiTheme="minorEastAsia" w:hAnsiTheme="minorEastAsia" w:eastAsiaTheme="minorEastAsia" w:cstheme="minorEastAsia"/>
          <w:sz w:val="24"/>
        </w:rPr>
        <w:t>一份。</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12.4    服务商有下列情形之一的，保证金不予退还：</w:t>
      </w:r>
      <w:bookmarkEnd w:id="146"/>
    </w:p>
    <w:p>
      <w:pPr>
        <w:pStyle w:val="7"/>
        <w:spacing w:line="360" w:lineRule="auto"/>
        <w:ind w:firstLine="0"/>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12.4.1  服务商在提交响应文件截止时间后撤回响应文件的；</w:t>
      </w:r>
    </w:p>
    <w:p>
      <w:pPr>
        <w:pStyle w:val="7"/>
        <w:spacing w:line="360" w:lineRule="auto"/>
        <w:ind w:firstLine="0"/>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12.4.2  服务商在响应文件中提供虚假材料的；</w:t>
      </w:r>
    </w:p>
    <w:p>
      <w:pPr>
        <w:pStyle w:val="7"/>
        <w:spacing w:line="360" w:lineRule="auto"/>
        <w:ind w:left="720" w:hanging="720" w:hangingChars="300"/>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12.4.3  除因不可抗力或磋商文件认可的情形之外，成交服务商不与采购人签订合同的；</w:t>
      </w:r>
    </w:p>
    <w:p>
      <w:pPr>
        <w:pStyle w:val="7"/>
        <w:spacing w:line="360" w:lineRule="auto"/>
        <w:ind w:firstLine="0"/>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12.4.4  服务商与采购人、其他服务商或者采购代理机构恶意串通的；</w:t>
      </w:r>
    </w:p>
    <w:p>
      <w:pPr>
        <w:pStyle w:val="7"/>
        <w:spacing w:line="360" w:lineRule="auto"/>
        <w:ind w:firstLine="0"/>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 xml:space="preserve">12.4.5 </w:t>
      </w:r>
      <w:r>
        <w:rPr>
          <w:rFonts w:hint="eastAsia" w:asciiTheme="minorEastAsia" w:hAnsiTheme="minorEastAsia" w:eastAsiaTheme="minorEastAsia" w:cstheme="minorEastAsia"/>
          <w:sz w:val="24"/>
        </w:rPr>
        <w:t>磋商</w:t>
      </w:r>
      <w:r>
        <w:rPr>
          <w:rFonts w:hint="eastAsia" w:asciiTheme="minorEastAsia" w:hAnsiTheme="minorEastAsia" w:eastAsiaTheme="minorEastAsia" w:cstheme="minorEastAsia"/>
          <w:kern w:val="2"/>
          <w:sz w:val="24"/>
        </w:rPr>
        <w:t>文件规定的其他情形。</w:t>
      </w:r>
    </w:p>
    <w:bookmarkEnd w:id="140"/>
    <w:p>
      <w:pPr>
        <w:bidi w:val="0"/>
        <w:rPr>
          <w:b/>
          <w:bCs/>
        </w:rPr>
      </w:pPr>
      <w:bookmarkStart w:id="147" w:name="_Toc2582278"/>
      <w:bookmarkStart w:id="148" w:name="_Toc520356157"/>
      <w:bookmarkStart w:id="149" w:name="_Toc515647772"/>
      <w:bookmarkStart w:id="150" w:name="_Toc32569"/>
      <w:bookmarkStart w:id="151" w:name="_Toc532473464"/>
      <w:bookmarkStart w:id="152" w:name="_Toc23590"/>
      <w:r>
        <w:rPr>
          <w:rFonts w:hint="eastAsia"/>
          <w:b/>
          <w:bCs/>
        </w:rPr>
        <w:t>13.响应有效期</w:t>
      </w:r>
      <w:bookmarkEnd w:id="147"/>
      <w:bookmarkEnd w:id="148"/>
      <w:bookmarkEnd w:id="149"/>
      <w:bookmarkEnd w:id="150"/>
      <w:bookmarkEnd w:id="151"/>
      <w:bookmarkEnd w:id="152"/>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13.1 响应应在服务商须知前附表中规定时间内保持有效。响应有效期不满足要求的响应，其响应将被认定为响应</w:t>
      </w:r>
      <w:r>
        <w:rPr>
          <w:rFonts w:hint="eastAsia" w:asciiTheme="minorEastAsia" w:hAnsiTheme="minorEastAsia" w:eastAsiaTheme="minorEastAsia" w:cstheme="minorEastAsia"/>
          <w:b/>
          <w:bCs/>
          <w:sz w:val="24"/>
        </w:rPr>
        <w:t>无效</w:t>
      </w:r>
      <w:r>
        <w:rPr>
          <w:rFonts w:hint="eastAsia" w:asciiTheme="minorEastAsia" w:hAnsiTheme="minorEastAsia" w:eastAsiaTheme="minorEastAsia" w:cstheme="minorEastAsia"/>
          <w:sz w:val="24"/>
        </w:rPr>
        <w:t>。</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13.2 因特殊原因，采购人或采购代理机构可在原响应有效期截止之前，要求服务商延长响应</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文件的有效期。服务商也可以拒绝延长响应有效期的要求，且不承担任何责任。</w:t>
      </w:r>
    </w:p>
    <w:p>
      <w:pPr>
        <w:bidi w:val="0"/>
        <w:rPr>
          <w:b/>
          <w:bCs/>
        </w:rPr>
      </w:pPr>
      <w:bookmarkStart w:id="153" w:name="_Toc515647773"/>
      <w:bookmarkStart w:id="154" w:name="_Toc17074"/>
      <w:bookmarkStart w:id="155" w:name="_Toc520356158"/>
      <w:bookmarkStart w:id="156" w:name="_Toc493"/>
      <w:bookmarkStart w:id="157" w:name="_Toc532473465"/>
      <w:bookmarkStart w:id="158" w:name="_Toc2582279"/>
      <w:r>
        <w:rPr>
          <w:rFonts w:hint="eastAsia"/>
          <w:b/>
          <w:bCs/>
        </w:rPr>
        <w:t>14.响应文件的</w:t>
      </w:r>
      <w:bookmarkEnd w:id="153"/>
      <w:bookmarkEnd w:id="154"/>
      <w:bookmarkEnd w:id="155"/>
      <w:bookmarkEnd w:id="156"/>
      <w:bookmarkEnd w:id="157"/>
      <w:r>
        <w:rPr>
          <w:rFonts w:hint="eastAsia"/>
          <w:b/>
          <w:bCs/>
        </w:rPr>
        <w:t>制作</w:t>
      </w:r>
      <w:bookmarkEnd w:id="158"/>
    </w:p>
    <w:p>
      <w:pPr>
        <w:pStyle w:val="7"/>
        <w:spacing w:line="360" w:lineRule="auto"/>
        <w:ind w:left="720" w:hanging="720" w:hangingChars="300"/>
        <w:rPr>
          <w:rFonts w:asciiTheme="minorEastAsia" w:hAnsiTheme="minorEastAsia" w:eastAsiaTheme="minorEastAsia" w:cstheme="minorEastAsia"/>
          <w:color w:val="000000" w:themeColor="text1"/>
          <w:kern w:val="2"/>
          <w:sz w:val="24"/>
          <w14:textFill>
            <w14:solidFill>
              <w14:schemeClr w14:val="tx1"/>
            </w14:solidFill>
          </w14:textFill>
        </w:rPr>
      </w:pPr>
      <w:r>
        <w:rPr>
          <w:rFonts w:hint="eastAsia" w:asciiTheme="minorEastAsia" w:hAnsiTheme="minorEastAsia" w:eastAsiaTheme="minorEastAsia" w:cstheme="minorEastAsia"/>
          <w:kern w:val="2"/>
          <w:sz w:val="24"/>
        </w:rPr>
        <w:t>14.1</w:t>
      </w:r>
      <w:r>
        <w:rPr>
          <w:rFonts w:hint="eastAsia" w:asciiTheme="minorEastAsia" w:hAnsiTheme="minorEastAsia" w:eastAsiaTheme="minorEastAsia" w:cstheme="minorEastAsia"/>
          <w:kern w:val="2"/>
          <w:sz w:val="24"/>
        </w:rPr>
        <w:tab/>
      </w:r>
      <w:r>
        <w:rPr>
          <w:rFonts w:hint="eastAsia" w:asciiTheme="minorEastAsia" w:hAnsiTheme="minorEastAsia" w:eastAsiaTheme="minorEastAsia" w:cstheme="minorEastAsia"/>
          <w:color w:val="000000" w:themeColor="text1"/>
          <w:kern w:val="2"/>
          <w:sz w:val="24"/>
          <w14:textFill>
            <w14:solidFill>
              <w14:schemeClr w14:val="tx1"/>
            </w14:solidFill>
          </w14:textFill>
        </w:rPr>
        <w:t>服务商应按服务商须知前附表中的规定，准备和递交响应文件。电子响应文件需符合</w:t>
      </w:r>
    </w:p>
    <w:p>
      <w:pPr>
        <w:pStyle w:val="7"/>
        <w:spacing w:line="360" w:lineRule="auto"/>
        <w:ind w:left="720" w:hanging="720" w:hangingChars="300"/>
        <w:rPr>
          <w:rFonts w:asciiTheme="minorEastAsia" w:hAnsiTheme="minorEastAsia" w:eastAsiaTheme="minorEastAsia" w:cstheme="minorEastAsia"/>
          <w:color w:val="000000" w:themeColor="text1"/>
          <w:kern w:val="2"/>
          <w:sz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14:textFill>
            <w14:solidFill>
              <w14:schemeClr w14:val="tx1"/>
            </w14:solidFill>
          </w14:textFill>
        </w:rPr>
        <w:t>以下要求：以光盘形式提供，须为投标文件正本签字盖章后的PDF扫描件。</w:t>
      </w:r>
    </w:p>
    <w:p>
      <w:pPr>
        <w:pStyle w:val="7"/>
        <w:spacing w:line="360" w:lineRule="auto"/>
        <w:ind w:left="720" w:hanging="720" w:hangingChars="300"/>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14.2</w:t>
      </w:r>
      <w:r>
        <w:rPr>
          <w:rFonts w:hint="eastAsia" w:asciiTheme="minorEastAsia" w:hAnsiTheme="minorEastAsia" w:eastAsiaTheme="minorEastAsia" w:cstheme="minorEastAsia"/>
          <w:kern w:val="2"/>
          <w:sz w:val="24"/>
        </w:rPr>
        <w:tab/>
      </w:r>
      <w:r>
        <w:rPr>
          <w:rFonts w:hint="eastAsia" w:asciiTheme="minorEastAsia" w:hAnsiTheme="minorEastAsia" w:eastAsiaTheme="minorEastAsia" w:cstheme="minorEastAsia"/>
          <w:kern w:val="2"/>
          <w:sz w:val="24"/>
        </w:rPr>
        <w:t>响应文件需由服务商的法定代表人或经其正式委托代理人按磋商文件规定在响应文件</w:t>
      </w:r>
    </w:p>
    <w:p>
      <w:pPr>
        <w:pStyle w:val="7"/>
        <w:spacing w:line="360" w:lineRule="auto"/>
        <w:ind w:left="720" w:hanging="720" w:hangingChars="300"/>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上签字并加盖公章。委托代理人须持有书面的“法定代表人授权委托书”，并将其附在响应</w:t>
      </w:r>
    </w:p>
    <w:p>
      <w:pPr>
        <w:pStyle w:val="7"/>
        <w:spacing w:line="360" w:lineRule="auto"/>
        <w:ind w:firstLine="0"/>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文件中。未按磋商文件要求签署和盖章的响应文件，其响应将被认定为响应无效。</w:t>
      </w:r>
    </w:p>
    <w:p>
      <w:pPr>
        <w:pStyle w:val="2"/>
        <w:bidi w:val="0"/>
        <w:jc w:val="center"/>
      </w:pPr>
      <w:bookmarkStart w:id="159" w:name="_Toc16865"/>
      <w:bookmarkStart w:id="160" w:name="_Toc520356159"/>
      <w:bookmarkStart w:id="161" w:name="_Toc11179"/>
      <w:bookmarkStart w:id="162" w:name="_Toc515647774"/>
      <w:bookmarkStart w:id="163" w:name="_Toc532473466"/>
      <w:bookmarkStart w:id="164" w:name="_Toc2582280"/>
      <w:bookmarkStart w:id="165" w:name="_Toc25193"/>
      <w:bookmarkStart w:id="166" w:name="_Toc216582808"/>
      <w:r>
        <w:rPr>
          <w:rFonts w:hint="eastAsia"/>
        </w:rPr>
        <w:t>（四）响应文件的递交</w:t>
      </w:r>
      <w:bookmarkEnd w:id="159"/>
      <w:bookmarkEnd w:id="160"/>
      <w:bookmarkEnd w:id="161"/>
      <w:bookmarkEnd w:id="162"/>
      <w:bookmarkEnd w:id="163"/>
      <w:bookmarkEnd w:id="164"/>
      <w:bookmarkEnd w:id="165"/>
      <w:bookmarkEnd w:id="166"/>
    </w:p>
    <w:p>
      <w:pPr>
        <w:bidi w:val="0"/>
      </w:pPr>
      <w:bookmarkStart w:id="167" w:name="_Toc520356160"/>
      <w:bookmarkStart w:id="168" w:name="_Toc32337"/>
      <w:bookmarkStart w:id="169" w:name="_Toc21645"/>
      <w:bookmarkStart w:id="170" w:name="_Toc532473467"/>
      <w:bookmarkStart w:id="171" w:name="_Toc515647775"/>
      <w:bookmarkStart w:id="172" w:name="_Toc2582281"/>
      <w:r>
        <w:rPr>
          <w:rFonts w:hint="eastAsia"/>
        </w:rPr>
        <w:t>15.响应文件的密封和标记</w:t>
      </w:r>
      <w:bookmarkEnd w:id="167"/>
      <w:bookmarkEnd w:id="168"/>
      <w:bookmarkEnd w:id="169"/>
      <w:bookmarkEnd w:id="170"/>
      <w:bookmarkEnd w:id="171"/>
      <w:bookmarkEnd w:id="172"/>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15.1  响应文件的制作应按照磋商文件的要求进行制作并递交。响应文件应当用不能被他人</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知悉或更换响应文件内容的方式密封。</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15.2  纸质响应文件密封和递交要求：（采购人或者采购代理机构不得因响应文件装订、纸</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张、文件排序等非实质性的格式、形式问题限制和影响服务商参与政府采购活动）</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15.3  电子响应文件密封和递交要求：“电子版”单独装入一包并加贴“密封”封条，并在</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封条的封口处加盖投标人单位鲜章或由法定代表人或其授权的代理人签字。  </w:t>
      </w:r>
    </w:p>
    <w:p>
      <w:pPr>
        <w:bidi w:val="0"/>
        <w:rPr>
          <w:b/>
          <w:bCs/>
        </w:rPr>
      </w:pPr>
      <w:bookmarkStart w:id="173" w:name="_Toc532473468"/>
      <w:bookmarkStart w:id="174" w:name="_Toc520356161"/>
      <w:bookmarkStart w:id="175" w:name="_Toc515647776"/>
      <w:bookmarkStart w:id="176" w:name="_Toc9840"/>
      <w:bookmarkStart w:id="177" w:name="_Toc12751"/>
      <w:bookmarkStart w:id="178" w:name="_Toc2582282"/>
      <w:r>
        <w:rPr>
          <w:rFonts w:hint="eastAsia"/>
          <w:b/>
          <w:bCs/>
        </w:rPr>
        <w:t>16.响应截止</w:t>
      </w:r>
      <w:bookmarkEnd w:id="173"/>
      <w:bookmarkEnd w:id="174"/>
      <w:bookmarkEnd w:id="175"/>
      <w:bookmarkEnd w:id="176"/>
      <w:bookmarkEnd w:id="177"/>
      <w:bookmarkEnd w:id="178"/>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16.1  服务商应在服务商须知前附表中规定的截止时间前，将响应文件递交到竞争性磋商公</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告中规定的地点。</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16.2  采购人和采购代理机构将拒绝接收在响应截止时间后送达响应文件。</w:t>
      </w:r>
    </w:p>
    <w:p>
      <w:pPr>
        <w:bidi w:val="0"/>
        <w:rPr>
          <w:b/>
          <w:bCs/>
        </w:rPr>
      </w:pPr>
      <w:bookmarkStart w:id="179" w:name="_Toc532473469"/>
      <w:bookmarkStart w:id="180" w:name="_Toc515647777"/>
      <w:bookmarkStart w:id="181" w:name="_Toc520356162"/>
      <w:bookmarkStart w:id="182" w:name="_Toc18537"/>
      <w:bookmarkStart w:id="183" w:name="_Toc2582283"/>
      <w:bookmarkStart w:id="184" w:name="_Toc24275"/>
      <w:r>
        <w:rPr>
          <w:rFonts w:hint="eastAsia"/>
          <w:b/>
          <w:bCs/>
        </w:rPr>
        <w:t>17.响应文件的接收、修改与撤回</w:t>
      </w:r>
      <w:bookmarkEnd w:id="179"/>
      <w:bookmarkEnd w:id="180"/>
      <w:bookmarkEnd w:id="181"/>
      <w:bookmarkEnd w:id="182"/>
      <w:bookmarkEnd w:id="183"/>
      <w:bookmarkEnd w:id="184"/>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17.1   采购人和采购代理机构将按磋商文件规定的时间和地点接收响应文件。</w:t>
      </w:r>
    </w:p>
    <w:p>
      <w:pPr>
        <w:spacing w:line="360" w:lineRule="auto"/>
        <w:ind w:left="840" w:hanging="840" w:hangingChars="3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17.2</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递交响应文件以后，如果服务商要进行修改，须在响应截止时间前提出申请，服务商</w:t>
      </w:r>
    </w:p>
    <w:p>
      <w:pPr>
        <w:spacing w:line="360" w:lineRule="auto"/>
        <w:ind w:left="840" w:hanging="840" w:hangingChars="3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对响应文件的修改申请应按本须知规定编制、签署、密封。采购人和采购代理机构将予以接</w:t>
      </w:r>
    </w:p>
    <w:p>
      <w:pPr>
        <w:spacing w:line="360" w:lineRule="auto"/>
        <w:ind w:left="840" w:hanging="840" w:hangingChars="3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收，并视为响应文件的组成部分。递交响应文件以后，如果服务商要进行撤回的，须在响应</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截止时间前提出申请，采购人和采购代理机构将予以接受。</w:t>
      </w:r>
    </w:p>
    <w:p>
      <w:pPr>
        <w:pStyle w:val="2"/>
        <w:bidi w:val="0"/>
        <w:jc w:val="center"/>
      </w:pPr>
      <w:bookmarkStart w:id="185" w:name="_Toc12436"/>
      <w:bookmarkStart w:id="186" w:name="_Toc532473470"/>
      <w:bookmarkStart w:id="187" w:name="_Toc28398"/>
      <w:bookmarkStart w:id="188" w:name="_Toc515647778"/>
      <w:bookmarkStart w:id="189" w:name="_Toc216582809"/>
      <w:bookmarkStart w:id="190" w:name="_Toc520356163"/>
      <w:bookmarkStart w:id="191" w:name="_Toc2582284"/>
      <w:bookmarkStart w:id="192" w:name="_Toc17509"/>
      <w:r>
        <w:rPr>
          <w:rFonts w:hint="eastAsia"/>
        </w:rPr>
        <w:t>（五）</w:t>
      </w:r>
      <w:bookmarkEnd w:id="185"/>
      <w:bookmarkEnd w:id="186"/>
      <w:bookmarkEnd w:id="187"/>
      <w:bookmarkEnd w:id="188"/>
      <w:bookmarkEnd w:id="189"/>
      <w:bookmarkEnd w:id="190"/>
      <w:bookmarkEnd w:id="191"/>
      <w:r>
        <w:rPr>
          <w:rFonts w:hint="eastAsia"/>
        </w:rPr>
        <w:t>磋商评审</w:t>
      </w:r>
      <w:bookmarkEnd w:id="192"/>
    </w:p>
    <w:p>
      <w:pPr>
        <w:bidi w:val="0"/>
        <w:rPr>
          <w:b/>
          <w:bCs/>
        </w:rPr>
      </w:pPr>
      <w:bookmarkStart w:id="193" w:name="_Toc520356164"/>
      <w:bookmarkStart w:id="194" w:name="_Toc7186"/>
      <w:bookmarkStart w:id="195" w:name="_Toc2582285"/>
      <w:bookmarkStart w:id="196" w:name="_Toc532473471"/>
      <w:bookmarkStart w:id="197" w:name="_Toc25345"/>
      <w:bookmarkStart w:id="198" w:name="_Toc515647779"/>
      <w:r>
        <w:rPr>
          <w:rFonts w:hint="eastAsia"/>
          <w:b/>
          <w:bCs/>
        </w:rPr>
        <w:t>18.</w:t>
      </w:r>
      <w:bookmarkEnd w:id="193"/>
      <w:bookmarkEnd w:id="194"/>
      <w:bookmarkEnd w:id="195"/>
      <w:bookmarkEnd w:id="196"/>
      <w:bookmarkEnd w:id="197"/>
      <w:bookmarkEnd w:id="198"/>
      <w:r>
        <w:rPr>
          <w:rFonts w:hint="eastAsia"/>
          <w:b/>
          <w:bCs/>
        </w:rPr>
        <w:t>成立磋商小组</w:t>
      </w:r>
    </w:p>
    <w:p>
      <w:pPr>
        <w:pStyle w:val="2"/>
        <w:spacing w:before="0" w:after="0" w:line="360" w:lineRule="auto"/>
        <w:rPr>
          <w:rFonts w:asciiTheme="minorEastAsia" w:hAnsiTheme="minorEastAsia" w:eastAsiaTheme="minorEastAsia" w:cstheme="minorEastAsia"/>
          <w:b w:val="0"/>
          <w:bCs w:val="0"/>
          <w:sz w:val="24"/>
          <w:szCs w:val="24"/>
        </w:rPr>
      </w:pPr>
      <w:bookmarkStart w:id="199" w:name="_Toc4296"/>
      <w:bookmarkStart w:id="200" w:name="_Toc6316"/>
      <w:bookmarkStart w:id="201" w:name="_Toc31052"/>
      <w:bookmarkStart w:id="202" w:name="_Toc11660"/>
      <w:bookmarkStart w:id="203" w:name="_Toc22430"/>
      <w:r>
        <w:rPr>
          <w:rFonts w:hint="eastAsia" w:asciiTheme="minorEastAsia" w:hAnsiTheme="minorEastAsia" w:eastAsiaTheme="minorEastAsia" w:cstheme="minorEastAsia"/>
          <w:b w:val="0"/>
          <w:bCs w:val="0"/>
          <w:sz w:val="24"/>
          <w:szCs w:val="24"/>
        </w:rPr>
        <w:t>18.1  磋商小组由采购人代表和评审专家共3人以上的单数组成，其中评审专家人数不得少于磋商小组成员总数的三分之二。</w:t>
      </w:r>
      <w:bookmarkEnd w:id="199"/>
      <w:bookmarkEnd w:id="200"/>
      <w:bookmarkEnd w:id="201"/>
      <w:bookmarkEnd w:id="202"/>
      <w:bookmarkEnd w:id="203"/>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18.2  采购人、采购代理机构根据磋商文件规定的程序和标准对服务商递交的响应文件进行</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资格性审查，确定服务商是否具有参加磋商的资格。</w:t>
      </w:r>
    </w:p>
    <w:p>
      <w:pPr>
        <w:spacing w:line="360" w:lineRule="auto"/>
        <w:ind w:left="1218" w:leftChars="2" w:hanging="1214" w:hangingChars="50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18.3  采购人或采购代理机构将按服务商须知前附表中规定的时间查询服务商的信用记录。</w:t>
      </w:r>
    </w:p>
    <w:p>
      <w:pPr>
        <w:spacing w:line="360" w:lineRule="auto"/>
        <w:ind w:left="857" w:leftChars="2" w:hanging="85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18.3.1服务商在中国政府采购网（www.ccgp.gov.cn）被列入政府采购严重违法失信行为记</w:t>
      </w:r>
    </w:p>
    <w:p>
      <w:pPr>
        <w:spacing w:line="360" w:lineRule="auto"/>
        <w:ind w:left="857" w:leftChars="2" w:hanging="85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录名单，或在“信用中国”网站（www.creditchina.gov.cn）被列入失信被执行人、重大税</w:t>
      </w:r>
    </w:p>
    <w:p>
      <w:pPr>
        <w:spacing w:line="360" w:lineRule="auto"/>
        <w:ind w:left="857" w:leftChars="2" w:hanging="85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收违法案件当事人名单，以及存在《中华人民共和国政府采购法实施条例》第十九条规定的</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行政处罚记录，响应将被认定为响应</w:t>
      </w:r>
      <w:r>
        <w:rPr>
          <w:rFonts w:hint="eastAsia" w:asciiTheme="minorEastAsia" w:hAnsiTheme="minorEastAsia" w:eastAsiaTheme="minorEastAsia" w:cstheme="minorEastAsia"/>
          <w:b/>
          <w:sz w:val="24"/>
        </w:rPr>
        <w:t>无效</w:t>
      </w:r>
      <w:r>
        <w:rPr>
          <w:rFonts w:hint="eastAsia" w:asciiTheme="minorEastAsia" w:hAnsiTheme="minorEastAsia" w:eastAsiaTheme="minorEastAsia" w:cstheme="minorEastAsia"/>
          <w:sz w:val="24"/>
        </w:rPr>
        <w:t>。以联合体形式参加投标的，联合体任何成员存在以上不良信用记录的，联合体响应将被认定为响应</w:t>
      </w:r>
      <w:r>
        <w:rPr>
          <w:rFonts w:hint="eastAsia" w:asciiTheme="minorEastAsia" w:hAnsiTheme="minorEastAsia" w:eastAsiaTheme="minorEastAsia" w:cstheme="minorEastAsia"/>
          <w:b/>
          <w:bCs/>
          <w:sz w:val="24"/>
        </w:rPr>
        <w:t>无效</w:t>
      </w:r>
      <w:r>
        <w:rPr>
          <w:rFonts w:hint="eastAsia" w:asciiTheme="minorEastAsia" w:hAnsiTheme="minorEastAsia" w:eastAsiaTheme="minorEastAsia" w:cstheme="minorEastAsia"/>
          <w:sz w:val="24"/>
        </w:rPr>
        <w:t>。</w:t>
      </w:r>
    </w:p>
    <w:p>
      <w:pPr>
        <w:pStyle w:val="7"/>
        <w:spacing w:line="360" w:lineRule="auto"/>
        <w:ind w:left="850" w:hanging="849" w:hangingChars="354"/>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18.3.2 采购人或采购代理机构经办人将查询网页存档备查。服务商不良信用记录以采购人或</w:t>
      </w:r>
    </w:p>
    <w:p>
      <w:pPr>
        <w:pStyle w:val="7"/>
        <w:spacing w:line="360" w:lineRule="auto"/>
        <w:ind w:left="850" w:hanging="849" w:hangingChars="354"/>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采购代理机构查询结果为准。服务商自行提供的与网站信息不一致的其他证明材料亦不作为</w:t>
      </w:r>
    </w:p>
    <w:p>
      <w:pPr>
        <w:pStyle w:val="7"/>
        <w:spacing w:line="360" w:lineRule="auto"/>
        <w:ind w:left="850" w:hanging="849" w:hangingChars="354"/>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资格审查依据。在本</w:t>
      </w:r>
      <w:r>
        <w:rPr>
          <w:rFonts w:hint="eastAsia" w:asciiTheme="minorEastAsia" w:hAnsiTheme="minorEastAsia" w:eastAsiaTheme="minorEastAsia" w:cstheme="minorEastAsia"/>
          <w:kern w:val="2"/>
          <w:sz w:val="24"/>
        </w:rPr>
        <w:t>磋商</w:t>
      </w:r>
      <w:r>
        <w:rPr>
          <w:rFonts w:hint="eastAsia" w:asciiTheme="minorEastAsia" w:hAnsiTheme="minorEastAsia" w:eastAsiaTheme="minorEastAsia" w:cstheme="minorEastAsia"/>
          <w:sz w:val="24"/>
        </w:rPr>
        <w:t>文件规定的查询时间之外，网站信息发生的任何变更均不作为资格</w:t>
      </w:r>
    </w:p>
    <w:p>
      <w:pPr>
        <w:pStyle w:val="7"/>
        <w:spacing w:line="360" w:lineRule="auto"/>
        <w:ind w:left="850" w:hanging="849" w:hangingChars="354"/>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审查依据。</w:t>
      </w:r>
    </w:p>
    <w:p>
      <w:pPr>
        <w:bidi w:val="0"/>
        <w:rPr>
          <w:b/>
          <w:bCs/>
        </w:rPr>
      </w:pPr>
      <w:bookmarkStart w:id="204" w:name="_Toc26682"/>
      <w:bookmarkStart w:id="205" w:name="_Toc10060"/>
      <w:bookmarkStart w:id="206" w:name="_Toc5471"/>
      <w:r>
        <w:rPr>
          <w:rFonts w:hint="eastAsia"/>
          <w:b/>
          <w:bCs/>
        </w:rPr>
        <w:t>19.磋商</w:t>
      </w:r>
      <w:bookmarkEnd w:id="204"/>
      <w:bookmarkEnd w:id="205"/>
      <w:bookmarkEnd w:id="206"/>
    </w:p>
    <w:p>
      <w:pPr>
        <w:widowControl/>
        <w:tabs>
          <w:tab w:val="left" w:pos="540"/>
        </w:tabs>
        <w:spacing w:line="360" w:lineRule="auto"/>
        <w:ind w:left="545" w:hanging="544" w:hangingChars="22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19.1  磋商小组应当按照客观、公正、审慎的原则，根据磋商文件规定的评审程序、评审方</w:t>
      </w:r>
    </w:p>
    <w:p>
      <w:pPr>
        <w:widowControl/>
        <w:tabs>
          <w:tab w:val="left" w:pos="540"/>
        </w:tabs>
        <w:spacing w:line="360" w:lineRule="auto"/>
        <w:ind w:left="545" w:hanging="544" w:hangingChars="22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法和评审标准进行独立评审。磋商小组应当集中与单一服务商分别进行磋商，并了解其报价</w:t>
      </w:r>
    </w:p>
    <w:p>
      <w:pPr>
        <w:widowControl/>
        <w:tabs>
          <w:tab w:val="left" w:pos="540"/>
        </w:tabs>
        <w:spacing w:line="360" w:lineRule="auto"/>
        <w:ind w:left="545" w:hanging="544" w:hangingChars="22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组成情况。磋商中，磋商的任何一方不得透露与磋商有关的其他服务商的技术资料、价格和</w:t>
      </w:r>
    </w:p>
    <w:p>
      <w:pPr>
        <w:widowControl/>
        <w:tabs>
          <w:tab w:val="left" w:pos="540"/>
        </w:tabs>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其他信息。未实质性响应磋商文件的响应文件按无效响应处理，磋商小组应当告知提交响应文件的服务商。</w:t>
      </w:r>
    </w:p>
    <w:p>
      <w:pPr>
        <w:pStyle w:val="2"/>
        <w:spacing w:before="0" w:after="0" w:line="360" w:lineRule="auto"/>
        <w:rPr>
          <w:rFonts w:asciiTheme="minorEastAsia" w:hAnsiTheme="minorEastAsia" w:eastAsiaTheme="minorEastAsia" w:cstheme="minorEastAsia"/>
          <w:sz w:val="24"/>
          <w:szCs w:val="24"/>
        </w:rPr>
      </w:pPr>
      <w:bookmarkStart w:id="207" w:name="_Toc14871"/>
      <w:bookmarkStart w:id="208" w:name="_Toc17240"/>
      <w:bookmarkStart w:id="209" w:name="_Toc22609"/>
      <w:bookmarkStart w:id="210" w:name="_Toc26979"/>
      <w:bookmarkStart w:id="211" w:name="_Toc31045"/>
      <w:r>
        <w:rPr>
          <w:rFonts w:hint="eastAsia" w:asciiTheme="minorEastAsia" w:hAnsiTheme="minorEastAsia" w:eastAsiaTheme="minorEastAsia" w:cstheme="minorEastAsia"/>
          <w:b w:val="0"/>
          <w:bCs w:val="0"/>
          <w:sz w:val="24"/>
          <w:szCs w:val="24"/>
        </w:rPr>
        <w:t>19.2  在磋商过程中，磋商文件内容违反国家有关强制性规定的，磋商小组应当停止评审并向采购人或者采购代理机构说明情况。</w:t>
      </w:r>
      <w:bookmarkEnd w:id="207"/>
      <w:bookmarkEnd w:id="208"/>
      <w:bookmarkEnd w:id="209"/>
      <w:bookmarkEnd w:id="210"/>
      <w:bookmarkEnd w:id="211"/>
    </w:p>
    <w:p>
      <w:pPr>
        <w:widowControl/>
        <w:tabs>
          <w:tab w:val="left" w:pos="540"/>
        </w:tabs>
        <w:spacing w:line="360" w:lineRule="auto"/>
        <w:ind w:left="545" w:hanging="544" w:hangingChars="22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19.3  磋商小组在对响应文件的有效性、完整性和响应程度进行审查时，可以要求服务商对</w:t>
      </w:r>
    </w:p>
    <w:p>
      <w:pPr>
        <w:widowControl/>
        <w:tabs>
          <w:tab w:val="left" w:pos="540"/>
        </w:tabs>
        <w:spacing w:line="360" w:lineRule="auto"/>
        <w:ind w:left="545" w:hanging="544" w:hangingChars="22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响应文件中含义不明确、同类问题表述不一致或者由明显文字和计算错误的内容等作出必要</w:t>
      </w:r>
    </w:p>
    <w:p>
      <w:pPr>
        <w:widowControl/>
        <w:tabs>
          <w:tab w:val="left" w:pos="540"/>
        </w:tabs>
        <w:spacing w:line="360" w:lineRule="auto"/>
        <w:ind w:left="545" w:hanging="544" w:hangingChars="22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的澄清、说明或者更正。</w:t>
      </w:r>
    </w:p>
    <w:p>
      <w:pPr>
        <w:widowControl/>
        <w:tabs>
          <w:tab w:val="left" w:pos="540"/>
        </w:tabs>
        <w:spacing w:line="360" w:lineRule="auto"/>
        <w:ind w:left="545" w:hanging="544" w:hangingChars="22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19.4  服务商的澄清、说明或者更正不得超出响应文件的范围或者改变响应文件的实质性内</w:t>
      </w:r>
    </w:p>
    <w:p>
      <w:pPr>
        <w:widowControl/>
        <w:tabs>
          <w:tab w:val="left" w:pos="540"/>
        </w:tabs>
        <w:spacing w:line="360" w:lineRule="auto"/>
        <w:ind w:left="545" w:hanging="544" w:hangingChars="22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容，应当由法定代表人或其授权代表签字或者加盖公章。</w:t>
      </w:r>
    </w:p>
    <w:p>
      <w:pPr>
        <w:widowControl/>
        <w:tabs>
          <w:tab w:val="left" w:pos="540"/>
        </w:tabs>
        <w:spacing w:line="360" w:lineRule="auto"/>
        <w:ind w:left="545" w:hanging="544" w:hangingChars="22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  在磋商过程中,磋商小组可以根据磋商文件和磋商情况实质性变动采购需求中的技术、</w:t>
      </w:r>
    </w:p>
    <w:p>
      <w:pPr>
        <w:widowControl/>
        <w:tabs>
          <w:tab w:val="left" w:pos="540"/>
        </w:tabs>
        <w:spacing w:line="360" w:lineRule="auto"/>
        <w:ind w:left="545" w:hanging="544" w:hangingChars="22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服务要求以及合同草案条款，但不得变动磋商文件中的其他内容。实质性变动的内容，须经</w:t>
      </w:r>
    </w:p>
    <w:p>
      <w:pPr>
        <w:widowControl/>
        <w:tabs>
          <w:tab w:val="left" w:pos="540"/>
        </w:tabs>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采购人代表确认。</w:t>
      </w:r>
    </w:p>
    <w:p>
      <w:pPr>
        <w:widowControl/>
        <w:tabs>
          <w:tab w:val="left" w:pos="540"/>
        </w:tabs>
        <w:spacing w:line="360" w:lineRule="auto"/>
        <w:ind w:left="545" w:hanging="544" w:hangingChars="22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19.6  对磋商文件作出的实质性变动是磋商文件的有效组成部分, 应通知所参加磋商的供应</w:t>
      </w:r>
    </w:p>
    <w:p>
      <w:pPr>
        <w:widowControl/>
        <w:tabs>
          <w:tab w:val="left" w:pos="540"/>
        </w:tabs>
        <w:spacing w:line="360" w:lineRule="auto"/>
        <w:ind w:left="545" w:hanging="544" w:hangingChars="22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商,并给所有磋商服务商提供较充分的修正时间。服务商应当按照磋商文件的变动情况和磋商</w:t>
      </w:r>
    </w:p>
    <w:p>
      <w:pPr>
        <w:widowControl/>
        <w:tabs>
          <w:tab w:val="left" w:pos="540"/>
        </w:tabs>
        <w:spacing w:line="360" w:lineRule="auto"/>
        <w:ind w:left="545" w:hanging="544" w:hangingChars="22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小组的要求重新提交响应文件，并由其法定代表人或授权代表签字或者加盖公章。</w:t>
      </w:r>
      <w:bookmarkStart w:id="212" w:name="_Toc31911"/>
    </w:p>
    <w:p>
      <w:pPr>
        <w:widowControl/>
        <w:tabs>
          <w:tab w:val="left" w:pos="540"/>
        </w:tabs>
        <w:spacing w:line="360" w:lineRule="auto"/>
        <w:ind w:left="545" w:hanging="544" w:hangingChars="22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19.7  磋商文件能够详细列明采购标的的技术、服务要求的，磋商结束后，磋商小组应当要求所有实质性响应的服务商在规定时间内提交最后报价，提交最后报价的服务商不得少</w:t>
      </w:r>
    </w:p>
    <w:p>
      <w:pPr>
        <w:widowControl/>
        <w:tabs>
          <w:tab w:val="left" w:pos="540"/>
        </w:tabs>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于3家。磋商文件不能详细列明采购标的的技术、服务要求的，</w:t>
      </w:r>
      <w:bookmarkEnd w:id="212"/>
      <w:r>
        <w:rPr>
          <w:rFonts w:hint="eastAsia" w:asciiTheme="minorEastAsia" w:hAnsiTheme="minorEastAsia" w:eastAsiaTheme="minorEastAsia" w:cstheme="minorEastAsia"/>
          <w:sz w:val="24"/>
        </w:rPr>
        <w:t>需经磋商由服务商提供最终设计方案或解决方案的，磋商结束后，磋商小组应当按照少数服从多数的原则投票推荐3家以上服务商的设计方案或者解决方案，并要求其在规定时间内提交最后报价。最后报价是服务商响应文件的有效组成文件。</w:t>
      </w:r>
    </w:p>
    <w:p>
      <w:pPr>
        <w:pStyle w:val="7"/>
        <w:spacing w:line="360" w:lineRule="auto"/>
        <w:ind w:firstLine="0"/>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19.8  已提交响应文件的服务商，在提交最后报价之前，可以根据磋商情况退出磋商。采购人、采购代理机构应当退还退出磋商的服务商的保证金。</w:t>
      </w:r>
    </w:p>
    <w:p>
      <w:pPr>
        <w:pStyle w:val="7"/>
        <w:spacing w:line="360" w:lineRule="auto"/>
        <w:ind w:firstLine="0"/>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19.9  经磋商确定最终采购需求和提交最后报价的服务商后，由磋商小组采用综合评分法对提交最后报价的服务商的响应文件和最后报价进行综合评分。综合评分法是指响应文件满足磋商文件全部实质性要求且按评审因素的量化指标评审得分最高的服务商为成交候选服务商的评审方法。</w:t>
      </w:r>
    </w:p>
    <w:p>
      <w:pPr>
        <w:pStyle w:val="13"/>
        <w:spacing w:line="360" w:lineRule="auto"/>
        <w:ind w:left="900" w:hanging="900" w:hangingChars="37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19.10 根据《政府采购促进中小企业发展管理办法》（财库[2020]46号）、《财政部司法部</w:t>
      </w:r>
    </w:p>
    <w:p>
      <w:pPr>
        <w:pStyle w:val="13"/>
        <w:spacing w:line="360" w:lineRule="auto"/>
        <w:ind w:left="900" w:hanging="900" w:hangingChars="37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关于政府采购支持监狱企业发展有关问题的通知》（财库〔2014〕68号）和《三部门联合发</w:t>
      </w:r>
    </w:p>
    <w:p>
      <w:pPr>
        <w:pStyle w:val="13"/>
        <w:spacing w:line="360" w:lineRule="auto"/>
        <w:ind w:left="900" w:hanging="900" w:hangingChars="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布关于促进残疾人就业政府采购政策的通知》（</w:t>
      </w:r>
      <w:bookmarkStart w:id="213" w:name="sendNo"/>
      <w:r>
        <w:rPr>
          <w:rFonts w:hint="eastAsia" w:asciiTheme="minorEastAsia" w:hAnsiTheme="minorEastAsia" w:eastAsiaTheme="minorEastAsia" w:cstheme="minorEastAsia"/>
          <w:bCs/>
          <w:sz w:val="24"/>
          <w:szCs w:val="24"/>
        </w:rPr>
        <w:t>财库〔</w:t>
      </w:r>
      <w:bookmarkEnd w:id="213"/>
      <w:r>
        <w:rPr>
          <w:rFonts w:hint="eastAsia" w:asciiTheme="minorEastAsia" w:hAnsiTheme="minorEastAsia" w:eastAsiaTheme="minorEastAsia" w:cstheme="minorEastAsia"/>
          <w:bCs/>
          <w:sz w:val="24"/>
          <w:szCs w:val="24"/>
        </w:rPr>
        <w:t>2017〕141号</w:t>
      </w:r>
      <w:r>
        <w:rPr>
          <w:rFonts w:hint="eastAsia" w:asciiTheme="minorEastAsia" w:hAnsiTheme="minorEastAsia" w:eastAsiaTheme="minorEastAsia" w:cstheme="minorEastAsia"/>
          <w:sz w:val="24"/>
          <w:szCs w:val="24"/>
        </w:rPr>
        <w:t>）的规定，对满足价格</w:t>
      </w:r>
    </w:p>
    <w:p>
      <w:pPr>
        <w:pStyle w:val="13"/>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扣除条件且在响应文件中提交了《中小企业声明函》、《残疾人福利性单位声明函》相关属监狱企业的证明文件的服务商，按照相关价格扣除规定和服务商须知前附表要求执行。</w:t>
      </w:r>
    </w:p>
    <w:p>
      <w:pPr>
        <w:pStyle w:val="13"/>
        <w:spacing w:line="360" w:lineRule="auto"/>
        <w:ind w:left="900" w:hanging="900" w:hangingChars="37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19.11落实其他政府采购政策条款，具体详见服务商须知前附表。</w:t>
      </w:r>
    </w:p>
    <w:p>
      <w:pPr>
        <w:bidi w:val="0"/>
        <w:rPr>
          <w:b/>
          <w:bCs/>
        </w:rPr>
      </w:pPr>
      <w:bookmarkStart w:id="214" w:name="_Toc515647783"/>
      <w:bookmarkStart w:id="215" w:name="_Toc532473475"/>
      <w:bookmarkStart w:id="216" w:name="_Toc4950"/>
      <w:bookmarkStart w:id="217" w:name="_Toc6092"/>
      <w:bookmarkStart w:id="218" w:name="_Toc2582289"/>
      <w:bookmarkStart w:id="219" w:name="_Toc520356167"/>
      <w:r>
        <w:rPr>
          <w:rFonts w:hint="eastAsia"/>
          <w:b/>
          <w:bCs/>
        </w:rPr>
        <w:t>20.</w:t>
      </w:r>
      <w:bookmarkEnd w:id="214"/>
      <w:r>
        <w:rPr>
          <w:rFonts w:hint="eastAsia"/>
          <w:b/>
          <w:bCs/>
        </w:rPr>
        <w:t>响应无效</w:t>
      </w:r>
      <w:bookmarkEnd w:id="215"/>
      <w:bookmarkEnd w:id="216"/>
      <w:bookmarkEnd w:id="217"/>
      <w:bookmarkEnd w:id="218"/>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  如发现下列情况之一的，其响应将被认定为响应</w:t>
      </w:r>
      <w:r>
        <w:rPr>
          <w:rFonts w:hint="eastAsia" w:asciiTheme="minorEastAsia" w:hAnsiTheme="minorEastAsia" w:eastAsiaTheme="minorEastAsia" w:cstheme="minorEastAsia"/>
          <w:b/>
          <w:bCs/>
          <w:sz w:val="24"/>
        </w:rPr>
        <w:t>无效</w:t>
      </w:r>
      <w:r>
        <w:rPr>
          <w:rFonts w:hint="eastAsia" w:asciiTheme="minorEastAsia" w:hAnsiTheme="minorEastAsia" w:eastAsiaTheme="minorEastAsia" w:cstheme="minorEastAsia"/>
          <w:sz w:val="24"/>
        </w:rPr>
        <w:t>：</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20.1.1未按照磋商文件规定要求签署、盖章的；</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20.1.2未满足响应文件中的实质性要求；</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20.1.3属于串通投标，或者依法被视为串通投标；</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20.1.4响应文件含有采购人不能接受的附加条件的； </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20.1.5属于磋商文件规定的其他响应</w:t>
      </w:r>
      <w:r>
        <w:rPr>
          <w:rFonts w:hint="eastAsia" w:asciiTheme="minorEastAsia" w:hAnsiTheme="minorEastAsia" w:eastAsiaTheme="minorEastAsia" w:cstheme="minorEastAsia"/>
          <w:bCs/>
          <w:sz w:val="24"/>
        </w:rPr>
        <w:t>无效</w:t>
      </w:r>
      <w:r>
        <w:rPr>
          <w:rFonts w:hint="eastAsia" w:asciiTheme="minorEastAsia" w:hAnsiTheme="minorEastAsia" w:eastAsiaTheme="minorEastAsia" w:cstheme="minorEastAsia"/>
          <w:sz w:val="24"/>
        </w:rPr>
        <w:t>情形；</w:t>
      </w:r>
    </w:p>
    <w:p>
      <w:pPr>
        <w:tabs>
          <w:tab w:val="left" w:pos="0"/>
        </w:tabs>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20.1.6不符合政府采购法律法规和磋商文件中规定的其他实质性要求的。</w:t>
      </w:r>
    </w:p>
    <w:bookmarkEnd w:id="219"/>
    <w:p>
      <w:pPr>
        <w:bidi w:val="0"/>
        <w:rPr>
          <w:b/>
          <w:bCs/>
        </w:rPr>
      </w:pPr>
      <w:bookmarkStart w:id="220" w:name="_Toc24972"/>
      <w:bookmarkStart w:id="221" w:name="_Toc31289"/>
      <w:bookmarkStart w:id="222" w:name="_Toc515647786"/>
      <w:bookmarkStart w:id="223" w:name="_Toc2582292"/>
      <w:bookmarkStart w:id="224" w:name="_Toc532473478"/>
      <w:bookmarkStart w:id="225" w:name="_Toc520356169"/>
      <w:r>
        <w:rPr>
          <w:rFonts w:hint="eastAsia"/>
          <w:b/>
          <w:bCs/>
        </w:rPr>
        <w:t>21.保密</w:t>
      </w:r>
      <w:bookmarkEnd w:id="220"/>
      <w:bookmarkEnd w:id="221"/>
      <w:bookmarkEnd w:id="222"/>
      <w:r>
        <w:rPr>
          <w:rFonts w:hint="eastAsia"/>
          <w:b/>
          <w:bCs/>
        </w:rPr>
        <w:t>要求</w:t>
      </w:r>
      <w:bookmarkEnd w:id="223"/>
      <w:bookmarkEnd w:id="224"/>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 磋商将在严格保密的情况下进行。</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有关人员应当遵守评审工作纪律，不得泄露评审文件、评审情况和从评审中获悉的国家</w:t>
      </w:r>
    </w:p>
    <w:p>
      <w:pPr>
        <w:spacing w:line="360" w:lineRule="auto"/>
        <w:ind w:left="900" w:hanging="900" w:hangingChars="37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秘密、商业秘密。</w:t>
      </w:r>
      <w:bookmarkEnd w:id="225"/>
      <w:bookmarkStart w:id="226" w:name="_Toc23904"/>
      <w:bookmarkStart w:id="227" w:name="_Toc12143"/>
      <w:bookmarkStart w:id="228" w:name="_Toc2582293"/>
      <w:bookmarkStart w:id="229" w:name="_Toc532473479"/>
      <w:bookmarkStart w:id="230" w:name="_Toc216582810"/>
      <w:bookmarkStart w:id="231" w:name="_Toc515647787"/>
    </w:p>
    <w:p>
      <w:pPr>
        <w:pStyle w:val="2"/>
        <w:bidi w:val="0"/>
        <w:jc w:val="center"/>
      </w:pPr>
      <w:bookmarkStart w:id="232" w:name="_Toc10027"/>
      <w:r>
        <w:rPr>
          <w:rFonts w:hint="eastAsia"/>
        </w:rPr>
        <w:t>（六）确定</w:t>
      </w:r>
      <w:bookmarkEnd w:id="226"/>
      <w:bookmarkEnd w:id="227"/>
      <w:bookmarkEnd w:id="228"/>
      <w:bookmarkEnd w:id="229"/>
      <w:bookmarkEnd w:id="230"/>
      <w:bookmarkEnd w:id="231"/>
      <w:r>
        <w:rPr>
          <w:rFonts w:hint="eastAsia"/>
        </w:rPr>
        <w:t>成交</w:t>
      </w:r>
      <w:bookmarkEnd w:id="232"/>
    </w:p>
    <w:p>
      <w:pPr>
        <w:bidi w:val="0"/>
        <w:rPr>
          <w:b/>
          <w:bCs/>
        </w:rPr>
      </w:pPr>
      <w:bookmarkStart w:id="233" w:name="_Toc532473480"/>
      <w:bookmarkStart w:id="234" w:name="_Toc520356170"/>
      <w:bookmarkStart w:id="235" w:name="_Toc515647788"/>
      <w:bookmarkStart w:id="236" w:name="_Toc23617"/>
      <w:bookmarkStart w:id="237" w:name="_Toc2582294"/>
      <w:bookmarkStart w:id="238" w:name="_Ref467307010"/>
      <w:bookmarkStart w:id="239" w:name="_Toc23762"/>
      <w:r>
        <w:rPr>
          <w:rFonts w:hint="eastAsia"/>
          <w:b/>
          <w:bCs/>
        </w:rPr>
        <w:t>22.成交候选人的确定原则及标准</w:t>
      </w:r>
      <w:bookmarkEnd w:id="233"/>
      <w:bookmarkEnd w:id="234"/>
      <w:bookmarkEnd w:id="235"/>
      <w:bookmarkEnd w:id="236"/>
      <w:bookmarkEnd w:id="237"/>
      <w:bookmarkEnd w:id="238"/>
      <w:bookmarkEnd w:id="239"/>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22.1 除磋商小组受采购人委托直接确定成交服务商的情形外，磋商小组应当根据综合评分情</w:t>
      </w:r>
    </w:p>
    <w:p>
      <w:pPr>
        <w:spacing w:line="360" w:lineRule="auto"/>
        <w:ind w:left="900" w:hanging="900" w:hangingChars="375"/>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况，按照评审得分由高到低顺序推荐成交候选服务商。</w:t>
      </w:r>
    </w:p>
    <w:p>
      <w:pPr>
        <w:pStyle w:val="2"/>
        <w:keepNext/>
        <w:keepLines/>
        <w:pageBreakBefore w:val="0"/>
        <w:widowControl w:val="0"/>
        <w:numPr>
          <w:ilvl w:val="0"/>
          <w:numId w:val="1"/>
        </w:numPr>
        <w:kinsoku/>
        <w:wordWrap/>
        <w:overflowPunct/>
        <w:topLinePunct w:val="0"/>
        <w:autoSpaceDE/>
        <w:autoSpaceDN/>
        <w:bidi w:val="0"/>
        <w:adjustRightInd/>
        <w:snapToGrid/>
        <w:spacing w:before="100" w:after="100"/>
        <w:jc w:val="center"/>
        <w:textAlignment w:val="auto"/>
        <w:rPr>
          <w:lang w:eastAsia="zh-CN"/>
        </w:rPr>
      </w:pPr>
      <w:bookmarkStart w:id="240" w:name="_Toc10144"/>
      <w:r>
        <w:rPr>
          <w:rFonts w:hint="eastAsia"/>
        </w:rPr>
        <w:t>评标办法</w:t>
      </w:r>
      <w:bookmarkEnd w:id="240"/>
    </w:p>
    <w:p>
      <w:pPr>
        <w:pStyle w:val="25"/>
        <w:keepNext w:val="0"/>
        <w:keepLines w:val="0"/>
        <w:pageBreakBefore w:val="0"/>
        <w:widowControl w:val="0"/>
        <w:kinsoku/>
        <w:wordWrap/>
        <w:overflowPunct/>
        <w:topLinePunct w:val="0"/>
        <w:autoSpaceDE/>
        <w:autoSpaceDN/>
        <w:bidi w:val="0"/>
        <w:adjustRightInd/>
        <w:snapToGrid/>
        <w:spacing w:line="300" w:lineRule="exact"/>
        <w:ind w:firstLine="240"/>
        <w:jc w:val="center"/>
        <w:textAlignment w:val="auto"/>
        <w:rPr>
          <w:b/>
          <w:bCs/>
          <w:sz w:val="24"/>
          <w:szCs w:val="24"/>
          <w:lang w:eastAsia="zh-CN"/>
        </w:rPr>
      </w:pPr>
      <w:r>
        <w:rPr>
          <w:rFonts w:hint="eastAsia"/>
          <w:b/>
          <w:bCs/>
          <w:sz w:val="24"/>
          <w:szCs w:val="24"/>
          <w:lang w:eastAsia="zh-CN"/>
        </w:rPr>
        <w:t>初步审查表</w:t>
      </w:r>
    </w:p>
    <w:tbl>
      <w:tblPr>
        <w:tblStyle w:val="27"/>
        <w:tblpPr w:leftFromText="180" w:rightFromText="180" w:vertAnchor="text" w:horzAnchor="page" w:tblpXSpec="center" w:tblpY="81"/>
        <w:tblOverlap w:val="never"/>
        <w:tblW w:w="9921" w:type="dxa"/>
        <w:jc w:val="center"/>
        <w:tblLayout w:type="fixed"/>
        <w:tblCellMar>
          <w:top w:w="0" w:type="dxa"/>
          <w:left w:w="108" w:type="dxa"/>
          <w:bottom w:w="0" w:type="dxa"/>
          <w:right w:w="108" w:type="dxa"/>
        </w:tblCellMar>
      </w:tblPr>
      <w:tblGrid>
        <w:gridCol w:w="595"/>
        <w:gridCol w:w="482"/>
        <w:gridCol w:w="8844"/>
      </w:tblGrid>
      <w:tr>
        <w:tblPrEx>
          <w:tblCellMar>
            <w:top w:w="0" w:type="dxa"/>
            <w:left w:w="108" w:type="dxa"/>
            <w:bottom w:w="0" w:type="dxa"/>
            <w:right w:w="108" w:type="dxa"/>
          </w:tblCellMar>
        </w:tblPrEx>
        <w:trPr>
          <w:trHeight w:val="1001" w:hRule="exact"/>
          <w:jc w:val="center"/>
        </w:trPr>
        <w:tc>
          <w:tcPr>
            <w:tcW w:w="595" w:type="dxa"/>
            <w:vMerge w:val="restart"/>
            <w:tcBorders>
              <w:top w:val="single" w:color="000000" w:sz="4" w:space="0"/>
              <w:left w:val="single" w:color="000000" w:sz="4" w:space="0"/>
              <w:right w:val="single" w:color="000000" w:sz="4" w:space="0"/>
            </w:tcBorders>
            <w:vAlign w:val="center"/>
          </w:tcPr>
          <w:p>
            <w:pPr>
              <w:pStyle w:val="25"/>
              <w:ind w:firstLine="0" w:firstLineChars="0"/>
              <w:jc w:val="center"/>
            </w:pPr>
          </w:p>
          <w:p>
            <w:pPr>
              <w:pStyle w:val="25"/>
              <w:ind w:firstLine="0" w:firstLineChars="0"/>
              <w:jc w:val="center"/>
            </w:pPr>
            <w:r>
              <w:rPr>
                <w:rFonts w:hint="eastAsia"/>
              </w:rPr>
              <w:t>资</w:t>
            </w:r>
          </w:p>
          <w:p>
            <w:pPr>
              <w:pStyle w:val="25"/>
              <w:ind w:firstLine="0" w:firstLineChars="0"/>
              <w:jc w:val="center"/>
            </w:pPr>
            <w:r>
              <w:rPr>
                <w:rFonts w:hint="eastAsia"/>
              </w:rPr>
              <w:t>格</w:t>
            </w:r>
          </w:p>
          <w:p>
            <w:pPr>
              <w:pStyle w:val="25"/>
              <w:ind w:firstLine="0" w:firstLineChars="0"/>
              <w:jc w:val="center"/>
            </w:pPr>
            <w:r>
              <w:rPr>
                <w:rFonts w:hint="eastAsia"/>
              </w:rPr>
              <w:t>性</w:t>
            </w:r>
          </w:p>
          <w:p>
            <w:pPr>
              <w:pStyle w:val="25"/>
              <w:ind w:firstLine="0" w:firstLineChars="0"/>
              <w:jc w:val="center"/>
            </w:pPr>
            <w:r>
              <w:rPr>
                <w:rFonts w:hint="eastAsia"/>
              </w:rPr>
              <w:t>审</w:t>
            </w:r>
          </w:p>
          <w:p>
            <w:pPr>
              <w:pStyle w:val="25"/>
              <w:ind w:firstLine="0" w:firstLineChars="0"/>
              <w:jc w:val="center"/>
            </w:pPr>
            <w:r>
              <w:rPr>
                <w:rFonts w:hint="eastAsia"/>
              </w:rPr>
              <w:t>查</w:t>
            </w:r>
          </w:p>
        </w:tc>
        <w:tc>
          <w:tcPr>
            <w:tcW w:w="482" w:type="dxa"/>
            <w:tcBorders>
              <w:top w:val="single" w:color="000000" w:sz="4" w:space="0"/>
              <w:left w:val="single" w:color="000000" w:sz="4" w:space="0"/>
              <w:bottom w:val="single" w:color="000000" w:sz="4" w:space="0"/>
              <w:right w:val="single" w:color="000000" w:sz="4" w:space="0"/>
            </w:tcBorders>
            <w:vAlign w:val="center"/>
          </w:tcPr>
          <w:p>
            <w:pPr>
              <w:pStyle w:val="9"/>
              <w:jc w:val="center"/>
              <w:textAlignment w:val="baseline"/>
              <w:rPr>
                <w:sz w:val="24"/>
                <w:szCs w:val="24"/>
                <w:lang w:eastAsia="zh-CN"/>
              </w:rPr>
            </w:pPr>
            <w:r>
              <w:rPr>
                <w:rFonts w:hint="eastAsia"/>
                <w:szCs w:val="24"/>
                <w:lang w:eastAsia="zh-CN"/>
              </w:rPr>
              <w:t>1</w:t>
            </w:r>
          </w:p>
        </w:tc>
        <w:tc>
          <w:tcPr>
            <w:tcW w:w="8844" w:type="dxa"/>
            <w:tcBorders>
              <w:top w:val="single" w:color="000000" w:sz="4" w:space="0"/>
              <w:left w:val="single" w:color="000000" w:sz="4" w:space="0"/>
              <w:bottom w:val="single" w:color="000000" w:sz="4" w:space="0"/>
              <w:right w:val="single" w:color="000000" w:sz="4" w:space="0"/>
            </w:tcBorders>
            <w:vAlign w:val="center"/>
          </w:tcPr>
          <w:p>
            <w:pPr>
              <w:pStyle w:val="9"/>
              <w:textAlignment w:val="baseline"/>
              <w:rPr>
                <w:sz w:val="24"/>
                <w:szCs w:val="24"/>
                <w:lang w:eastAsia="zh-CN"/>
              </w:rPr>
            </w:pPr>
            <w:r>
              <w:rPr>
                <w:rFonts w:hint="eastAsia"/>
              </w:rPr>
              <w:t>在中华人民共和国境内依法注册，具备有效的营业执照（三证合一）</w:t>
            </w:r>
            <w:r>
              <w:rPr>
                <w:rFonts w:hint="eastAsia"/>
                <w:szCs w:val="24"/>
                <w:lang w:eastAsia="zh-CN"/>
              </w:rPr>
              <w:t>是否和投标人名称一致且有效；</w:t>
            </w:r>
          </w:p>
        </w:tc>
      </w:tr>
      <w:tr>
        <w:tblPrEx>
          <w:tblCellMar>
            <w:top w:w="0" w:type="dxa"/>
            <w:left w:w="108" w:type="dxa"/>
            <w:bottom w:w="0" w:type="dxa"/>
            <w:right w:w="108" w:type="dxa"/>
          </w:tblCellMar>
        </w:tblPrEx>
        <w:trPr>
          <w:trHeight w:val="1079" w:hRule="exact"/>
          <w:jc w:val="center"/>
        </w:trPr>
        <w:tc>
          <w:tcPr>
            <w:tcW w:w="595" w:type="dxa"/>
            <w:vMerge w:val="continue"/>
            <w:tcBorders>
              <w:left w:val="single" w:color="000000" w:sz="4" w:space="0"/>
              <w:right w:val="single" w:color="000000" w:sz="4" w:space="0"/>
            </w:tcBorders>
            <w:vAlign w:val="center"/>
          </w:tcPr>
          <w:p>
            <w:pPr>
              <w:pStyle w:val="25"/>
              <w:ind w:firstLine="210"/>
              <w:jc w:val="center"/>
              <w:rPr>
                <w:lang w:eastAsia="zh-CN"/>
              </w:rPr>
            </w:pPr>
          </w:p>
        </w:tc>
        <w:tc>
          <w:tcPr>
            <w:tcW w:w="482" w:type="dxa"/>
            <w:tcBorders>
              <w:top w:val="single" w:color="000000" w:sz="4" w:space="0"/>
              <w:left w:val="single" w:color="000000" w:sz="4" w:space="0"/>
              <w:bottom w:val="single" w:color="000000" w:sz="4" w:space="0"/>
              <w:right w:val="single" w:color="000000" w:sz="4" w:space="0"/>
            </w:tcBorders>
            <w:vAlign w:val="center"/>
          </w:tcPr>
          <w:p>
            <w:pPr>
              <w:pStyle w:val="9"/>
              <w:jc w:val="center"/>
              <w:textAlignment w:val="baseline"/>
              <w:rPr>
                <w:sz w:val="24"/>
                <w:szCs w:val="24"/>
                <w:lang w:eastAsia="zh-CN"/>
              </w:rPr>
            </w:pPr>
            <w:r>
              <w:rPr>
                <w:rFonts w:hint="eastAsia"/>
                <w:szCs w:val="24"/>
                <w:lang w:eastAsia="zh-CN"/>
              </w:rPr>
              <w:t>2</w:t>
            </w:r>
          </w:p>
        </w:tc>
        <w:tc>
          <w:tcPr>
            <w:tcW w:w="8844" w:type="dxa"/>
            <w:tcBorders>
              <w:top w:val="single" w:color="000000" w:sz="4" w:space="0"/>
              <w:left w:val="single" w:color="000000" w:sz="4" w:space="0"/>
              <w:bottom w:val="single" w:color="000000" w:sz="4" w:space="0"/>
              <w:right w:val="single" w:color="000000" w:sz="4" w:space="0"/>
            </w:tcBorders>
            <w:vAlign w:val="center"/>
          </w:tcPr>
          <w:p>
            <w:pPr>
              <w:pStyle w:val="9"/>
              <w:textAlignment w:val="baseline"/>
              <w:rPr>
                <w:sz w:val="24"/>
                <w:szCs w:val="24"/>
                <w:lang w:eastAsia="zh-CN"/>
              </w:rPr>
            </w:pPr>
            <w:r>
              <w:rPr>
                <w:rFonts w:hint="eastAsia"/>
              </w:rPr>
              <w:t>法定代表人授权委托书（法人直接参与仅提供身份证明、非法人直接参与须同时提供法人及本授权人身份证明）</w:t>
            </w:r>
            <w:r>
              <w:rPr>
                <w:rFonts w:hint="eastAsia"/>
                <w:szCs w:val="24"/>
                <w:lang w:eastAsia="zh-CN"/>
              </w:rPr>
              <w:t>是否提供且有效；</w:t>
            </w:r>
          </w:p>
        </w:tc>
      </w:tr>
      <w:tr>
        <w:tblPrEx>
          <w:tblCellMar>
            <w:top w:w="0" w:type="dxa"/>
            <w:left w:w="108" w:type="dxa"/>
            <w:bottom w:w="0" w:type="dxa"/>
            <w:right w:w="108" w:type="dxa"/>
          </w:tblCellMar>
        </w:tblPrEx>
        <w:trPr>
          <w:trHeight w:val="915" w:hRule="exact"/>
          <w:jc w:val="center"/>
        </w:trPr>
        <w:tc>
          <w:tcPr>
            <w:tcW w:w="595" w:type="dxa"/>
            <w:vMerge w:val="continue"/>
            <w:tcBorders>
              <w:left w:val="single" w:color="000000" w:sz="4" w:space="0"/>
              <w:right w:val="single" w:color="000000" w:sz="4" w:space="0"/>
            </w:tcBorders>
            <w:vAlign w:val="center"/>
          </w:tcPr>
          <w:p>
            <w:pPr>
              <w:pStyle w:val="25"/>
              <w:ind w:firstLine="210"/>
              <w:jc w:val="center"/>
              <w:rPr>
                <w:lang w:eastAsia="zh-CN"/>
              </w:rPr>
            </w:pPr>
          </w:p>
        </w:tc>
        <w:tc>
          <w:tcPr>
            <w:tcW w:w="482" w:type="dxa"/>
            <w:tcBorders>
              <w:top w:val="single" w:color="000000" w:sz="4" w:space="0"/>
              <w:left w:val="single" w:color="000000" w:sz="4" w:space="0"/>
              <w:bottom w:val="single" w:color="000000" w:sz="4" w:space="0"/>
              <w:right w:val="single" w:color="000000" w:sz="4" w:space="0"/>
            </w:tcBorders>
            <w:vAlign w:val="center"/>
          </w:tcPr>
          <w:p>
            <w:pPr>
              <w:pStyle w:val="9"/>
              <w:jc w:val="center"/>
              <w:textAlignment w:val="baseline"/>
              <w:rPr>
                <w:color w:val="FF0000"/>
                <w:sz w:val="24"/>
                <w:szCs w:val="24"/>
                <w:lang w:eastAsia="zh-CN"/>
              </w:rPr>
            </w:pPr>
            <w:r>
              <w:rPr>
                <w:rFonts w:hint="eastAsia"/>
                <w:szCs w:val="24"/>
                <w:lang w:eastAsia="zh-CN"/>
              </w:rPr>
              <w:t>3</w:t>
            </w:r>
          </w:p>
        </w:tc>
        <w:tc>
          <w:tcPr>
            <w:tcW w:w="8844" w:type="dxa"/>
            <w:tcBorders>
              <w:top w:val="single" w:color="000000" w:sz="4" w:space="0"/>
              <w:left w:val="single" w:color="000000" w:sz="4" w:space="0"/>
              <w:bottom w:val="single" w:color="000000" w:sz="4" w:space="0"/>
              <w:right w:val="single" w:color="000000" w:sz="4" w:space="0"/>
            </w:tcBorders>
            <w:vAlign w:val="center"/>
          </w:tcPr>
          <w:p>
            <w:pPr>
              <w:pStyle w:val="9"/>
              <w:textAlignment w:val="baseline"/>
              <w:rPr>
                <w:color w:val="FF0000"/>
                <w:sz w:val="24"/>
                <w:szCs w:val="24"/>
                <w:lang w:eastAsia="zh-CN"/>
              </w:rPr>
            </w:pPr>
            <w:r>
              <w:rPr>
                <w:rFonts w:hint="eastAsia"/>
              </w:rPr>
              <w:t>近一年的财务</w:t>
            </w:r>
            <w:r>
              <w:rPr>
                <w:rFonts w:hint="eastAsia"/>
                <w:lang w:val="en-US" w:eastAsia="zh-CN"/>
              </w:rPr>
              <w:t>报表</w:t>
            </w:r>
            <w:r>
              <w:rPr>
                <w:rFonts w:hint="eastAsia"/>
              </w:rPr>
              <w:t>（成立不满一年不需提供）</w:t>
            </w:r>
            <w:r>
              <w:rPr>
                <w:rFonts w:hint="eastAsia"/>
                <w:szCs w:val="24"/>
                <w:lang w:eastAsia="zh-CN"/>
              </w:rPr>
              <w:t>是否提供；</w:t>
            </w:r>
          </w:p>
        </w:tc>
      </w:tr>
      <w:tr>
        <w:tblPrEx>
          <w:tblCellMar>
            <w:top w:w="0" w:type="dxa"/>
            <w:left w:w="108" w:type="dxa"/>
            <w:bottom w:w="0" w:type="dxa"/>
            <w:right w:w="108" w:type="dxa"/>
          </w:tblCellMar>
        </w:tblPrEx>
        <w:trPr>
          <w:trHeight w:val="1420" w:hRule="exact"/>
          <w:jc w:val="center"/>
        </w:trPr>
        <w:tc>
          <w:tcPr>
            <w:tcW w:w="595" w:type="dxa"/>
            <w:vMerge w:val="continue"/>
            <w:tcBorders>
              <w:left w:val="single" w:color="000000" w:sz="4" w:space="0"/>
              <w:right w:val="single" w:color="000000" w:sz="4" w:space="0"/>
            </w:tcBorders>
            <w:vAlign w:val="center"/>
          </w:tcPr>
          <w:p>
            <w:pPr>
              <w:pStyle w:val="25"/>
              <w:ind w:firstLine="210"/>
              <w:jc w:val="center"/>
              <w:rPr>
                <w:lang w:eastAsia="zh-CN"/>
              </w:rPr>
            </w:pPr>
          </w:p>
        </w:tc>
        <w:tc>
          <w:tcPr>
            <w:tcW w:w="482" w:type="dxa"/>
            <w:tcBorders>
              <w:top w:val="single" w:color="000000" w:sz="4" w:space="0"/>
              <w:left w:val="single" w:color="000000" w:sz="4" w:space="0"/>
              <w:bottom w:val="single" w:color="000000" w:sz="4" w:space="0"/>
              <w:right w:val="single" w:color="000000" w:sz="4" w:space="0"/>
            </w:tcBorders>
            <w:vAlign w:val="center"/>
          </w:tcPr>
          <w:p>
            <w:pPr>
              <w:pStyle w:val="9"/>
              <w:jc w:val="center"/>
              <w:textAlignment w:val="baseline"/>
              <w:rPr>
                <w:sz w:val="24"/>
                <w:szCs w:val="24"/>
                <w:lang w:eastAsia="zh-CN"/>
              </w:rPr>
            </w:pPr>
            <w:r>
              <w:rPr>
                <w:rFonts w:hint="eastAsia"/>
                <w:szCs w:val="24"/>
                <w:lang w:val="en-US" w:eastAsia="zh-CN"/>
              </w:rPr>
              <w:t>4</w:t>
            </w:r>
          </w:p>
        </w:tc>
        <w:tc>
          <w:tcPr>
            <w:tcW w:w="8844" w:type="dxa"/>
            <w:tcBorders>
              <w:top w:val="single" w:color="000000" w:sz="4" w:space="0"/>
              <w:left w:val="single" w:color="000000" w:sz="4" w:space="0"/>
              <w:bottom w:val="single" w:color="000000" w:sz="4" w:space="0"/>
              <w:right w:val="single" w:color="000000" w:sz="4" w:space="0"/>
            </w:tcBorders>
            <w:vAlign w:val="center"/>
          </w:tcPr>
          <w:p>
            <w:pPr>
              <w:pStyle w:val="9"/>
              <w:textAlignment w:val="baseline"/>
              <w:rPr>
                <w:sz w:val="24"/>
                <w:szCs w:val="24"/>
                <w:lang w:eastAsia="zh-CN"/>
              </w:rPr>
            </w:pPr>
            <w:r>
              <w:rPr>
                <w:rFonts w:hint="eastAsia"/>
                <w:lang w:eastAsia="zh-CN"/>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Times New Roman" w:hAnsi="Times New Roman" w:cs="Times New Roman"/>
                <w:lang w:eastAsia="zh-CN"/>
              </w:rPr>
              <w:t>是否提供；</w:t>
            </w:r>
          </w:p>
        </w:tc>
      </w:tr>
      <w:tr>
        <w:tblPrEx>
          <w:tblCellMar>
            <w:top w:w="0" w:type="dxa"/>
            <w:left w:w="108" w:type="dxa"/>
            <w:bottom w:w="0" w:type="dxa"/>
            <w:right w:w="108" w:type="dxa"/>
          </w:tblCellMar>
        </w:tblPrEx>
        <w:trPr>
          <w:trHeight w:val="1354" w:hRule="exact"/>
          <w:jc w:val="center"/>
        </w:trPr>
        <w:tc>
          <w:tcPr>
            <w:tcW w:w="595" w:type="dxa"/>
            <w:vMerge w:val="continue"/>
            <w:tcBorders>
              <w:left w:val="single" w:color="000000" w:sz="4" w:space="0"/>
              <w:right w:val="single" w:color="000000" w:sz="4" w:space="0"/>
            </w:tcBorders>
            <w:vAlign w:val="center"/>
          </w:tcPr>
          <w:p>
            <w:pPr>
              <w:pStyle w:val="25"/>
              <w:ind w:firstLine="210"/>
              <w:jc w:val="center"/>
              <w:rPr>
                <w:lang w:eastAsia="zh-CN"/>
              </w:rPr>
            </w:pPr>
          </w:p>
        </w:tc>
        <w:tc>
          <w:tcPr>
            <w:tcW w:w="482" w:type="dxa"/>
            <w:tcBorders>
              <w:top w:val="single" w:color="000000" w:sz="4" w:space="0"/>
              <w:left w:val="single" w:color="000000" w:sz="4" w:space="0"/>
              <w:right w:val="single" w:color="000000" w:sz="4" w:space="0"/>
            </w:tcBorders>
            <w:vAlign w:val="center"/>
          </w:tcPr>
          <w:p>
            <w:pPr>
              <w:pStyle w:val="9"/>
              <w:jc w:val="center"/>
              <w:textAlignment w:val="baseline"/>
              <w:rPr>
                <w:sz w:val="24"/>
                <w:szCs w:val="24"/>
                <w:lang w:eastAsia="zh-CN"/>
              </w:rPr>
            </w:pPr>
            <w:r>
              <w:rPr>
                <w:rFonts w:hint="eastAsia"/>
                <w:szCs w:val="24"/>
                <w:lang w:val="en-US" w:eastAsia="zh-CN"/>
              </w:rPr>
              <w:t>5</w:t>
            </w:r>
          </w:p>
        </w:tc>
        <w:tc>
          <w:tcPr>
            <w:tcW w:w="8844" w:type="dxa"/>
            <w:tcBorders>
              <w:top w:val="single" w:color="000000" w:sz="4" w:space="0"/>
              <w:left w:val="single" w:color="000000" w:sz="4" w:space="0"/>
              <w:bottom w:val="single" w:color="000000" w:sz="4" w:space="0"/>
              <w:right w:val="single" w:color="000000" w:sz="4" w:space="0"/>
            </w:tcBorders>
            <w:vAlign w:val="center"/>
          </w:tcPr>
          <w:p>
            <w:pPr>
              <w:pStyle w:val="9"/>
              <w:textAlignment w:val="baseline"/>
              <w:rPr>
                <w:rFonts w:hint="default"/>
                <w:sz w:val="24"/>
                <w:szCs w:val="24"/>
                <w:lang w:val="en-US" w:eastAsia="zh-CN"/>
              </w:rPr>
            </w:pPr>
            <w:r>
              <w:rPr>
                <w:rFonts w:hint="eastAsia"/>
                <w:szCs w:val="24"/>
                <w:lang w:eastAsia="zh-CN"/>
              </w:rPr>
              <w:t>到投标截止时间止前，投标人未被列入“信用中国”和“中国政府采购网”的“失信被执行名单”、“企业经营异常名录”、“重大税收违法案件当事人名单”及“政府采购严重违法失信名单”其中之一；</w:t>
            </w:r>
          </w:p>
        </w:tc>
      </w:tr>
      <w:tr>
        <w:tblPrEx>
          <w:tblCellMar>
            <w:top w:w="0" w:type="dxa"/>
            <w:left w:w="108" w:type="dxa"/>
            <w:bottom w:w="0" w:type="dxa"/>
            <w:right w:w="108" w:type="dxa"/>
          </w:tblCellMar>
        </w:tblPrEx>
        <w:trPr>
          <w:trHeight w:val="560" w:hRule="exact"/>
          <w:jc w:val="center"/>
        </w:trPr>
        <w:tc>
          <w:tcPr>
            <w:tcW w:w="595" w:type="dxa"/>
            <w:vMerge w:val="continue"/>
            <w:tcBorders>
              <w:left w:val="single" w:color="000000" w:sz="4" w:space="0"/>
              <w:right w:val="single" w:color="000000" w:sz="4" w:space="0"/>
            </w:tcBorders>
            <w:vAlign w:val="center"/>
          </w:tcPr>
          <w:p>
            <w:pPr>
              <w:pStyle w:val="25"/>
              <w:ind w:firstLine="210"/>
              <w:jc w:val="center"/>
              <w:rPr>
                <w:lang w:eastAsia="zh-CN"/>
              </w:rPr>
            </w:pPr>
          </w:p>
          <w:p>
            <w:pPr>
              <w:pStyle w:val="25"/>
              <w:ind w:firstLine="210"/>
              <w:jc w:val="center"/>
              <w:rPr>
                <w:lang w:eastAsia="zh-CN"/>
              </w:rPr>
            </w:pPr>
          </w:p>
        </w:tc>
        <w:tc>
          <w:tcPr>
            <w:tcW w:w="482" w:type="dxa"/>
            <w:tcBorders>
              <w:top w:val="single" w:color="000000" w:sz="4" w:space="0"/>
              <w:left w:val="single" w:color="000000" w:sz="4" w:space="0"/>
              <w:right w:val="single" w:color="000000" w:sz="4" w:space="0"/>
            </w:tcBorders>
            <w:vAlign w:val="center"/>
          </w:tcPr>
          <w:p>
            <w:pPr>
              <w:pStyle w:val="9"/>
              <w:jc w:val="center"/>
              <w:textAlignment w:val="baseline"/>
              <w:rPr>
                <w:rFonts w:hint="default"/>
                <w:sz w:val="24"/>
                <w:szCs w:val="24"/>
                <w:lang w:val="en-US" w:eastAsia="zh-CN"/>
              </w:rPr>
            </w:pPr>
            <w:r>
              <w:rPr>
                <w:rFonts w:hint="eastAsia"/>
                <w:szCs w:val="24"/>
                <w:lang w:val="en-US" w:eastAsia="zh-CN"/>
              </w:rPr>
              <w:t>6</w:t>
            </w:r>
          </w:p>
        </w:tc>
        <w:tc>
          <w:tcPr>
            <w:tcW w:w="8844" w:type="dxa"/>
            <w:tcBorders>
              <w:top w:val="single" w:color="000000" w:sz="4" w:space="0"/>
              <w:left w:val="single" w:color="000000" w:sz="4" w:space="0"/>
              <w:bottom w:val="single" w:color="000000" w:sz="4" w:space="0"/>
              <w:right w:val="single" w:color="000000" w:sz="4" w:space="0"/>
            </w:tcBorders>
            <w:vAlign w:val="center"/>
          </w:tcPr>
          <w:p>
            <w:pPr>
              <w:pStyle w:val="9"/>
              <w:textAlignment w:val="baseline"/>
              <w:rPr>
                <w:rFonts w:hint="eastAsia" w:ascii="Times New Roman" w:hAnsi="Times New Roman" w:eastAsia="宋体" w:cs="Times New Roman"/>
                <w:lang w:val="en-US" w:eastAsia="zh-CN"/>
              </w:rPr>
            </w:pPr>
            <w:r>
              <w:rPr>
                <w:rFonts w:hint="eastAsia"/>
              </w:rPr>
              <w:t>具备履行合同所必需的设备和专业技术能力的书面声明</w:t>
            </w:r>
            <w:r>
              <w:rPr>
                <w:rFonts w:hint="eastAsia"/>
                <w:lang w:val="en-US" w:eastAsia="zh-CN"/>
              </w:rPr>
              <w:t>是否提供；</w:t>
            </w:r>
          </w:p>
        </w:tc>
      </w:tr>
      <w:tr>
        <w:tblPrEx>
          <w:tblCellMar>
            <w:top w:w="0" w:type="dxa"/>
            <w:left w:w="108" w:type="dxa"/>
            <w:bottom w:w="0" w:type="dxa"/>
            <w:right w:w="108" w:type="dxa"/>
          </w:tblCellMar>
        </w:tblPrEx>
        <w:trPr>
          <w:trHeight w:val="490" w:hRule="atLeast"/>
          <w:jc w:val="center"/>
        </w:trPr>
        <w:tc>
          <w:tcPr>
            <w:tcW w:w="595" w:type="dxa"/>
            <w:vMerge w:val="continue"/>
            <w:tcBorders>
              <w:left w:val="single" w:color="000000" w:sz="4" w:space="0"/>
              <w:right w:val="single" w:color="000000" w:sz="4" w:space="0"/>
            </w:tcBorders>
            <w:vAlign w:val="center"/>
          </w:tcPr>
          <w:p>
            <w:pPr>
              <w:pStyle w:val="25"/>
              <w:ind w:firstLine="210"/>
              <w:jc w:val="center"/>
              <w:rPr>
                <w:lang w:eastAsia="zh-CN"/>
              </w:rPr>
            </w:pPr>
          </w:p>
        </w:tc>
        <w:tc>
          <w:tcPr>
            <w:tcW w:w="482" w:type="dxa"/>
            <w:tcBorders>
              <w:top w:val="single" w:color="000000" w:sz="4" w:space="0"/>
              <w:left w:val="single" w:color="000000" w:sz="4" w:space="0"/>
              <w:right w:val="single" w:color="000000" w:sz="4" w:space="0"/>
            </w:tcBorders>
            <w:vAlign w:val="center"/>
          </w:tcPr>
          <w:p>
            <w:pPr>
              <w:pStyle w:val="9"/>
              <w:jc w:val="center"/>
              <w:textAlignment w:val="baseline"/>
              <w:rPr>
                <w:sz w:val="24"/>
                <w:szCs w:val="24"/>
                <w:lang w:eastAsia="zh-CN"/>
              </w:rPr>
            </w:pPr>
            <w:r>
              <w:rPr>
                <w:rFonts w:hint="eastAsia"/>
                <w:szCs w:val="24"/>
                <w:lang w:val="en-US" w:eastAsia="zh-CN"/>
              </w:rPr>
              <w:t>7</w:t>
            </w:r>
          </w:p>
        </w:tc>
        <w:tc>
          <w:tcPr>
            <w:tcW w:w="8844" w:type="dxa"/>
            <w:tcBorders>
              <w:top w:val="single" w:color="000000" w:sz="4" w:space="0"/>
              <w:left w:val="single" w:color="000000" w:sz="4" w:space="0"/>
              <w:bottom w:val="single" w:color="000000" w:sz="4" w:space="0"/>
              <w:right w:val="single" w:color="000000" w:sz="4" w:space="0"/>
            </w:tcBorders>
            <w:vAlign w:val="center"/>
          </w:tcPr>
          <w:p>
            <w:pPr>
              <w:pStyle w:val="9"/>
              <w:textAlignment w:val="baseline"/>
              <w:rPr>
                <w:sz w:val="24"/>
                <w:szCs w:val="24"/>
                <w:lang w:eastAsia="zh-CN"/>
              </w:rPr>
            </w:pPr>
            <w:r>
              <w:rPr>
                <w:rFonts w:hint="eastAsia"/>
              </w:rPr>
              <w:t>参加政府采购活动前3年内在经营活动中没有重大违法记录的书面声明</w:t>
            </w:r>
            <w:r>
              <w:rPr>
                <w:rFonts w:hint="eastAsia" w:ascii="Times New Roman" w:hAnsi="Times New Roman" w:cs="Times New Roman"/>
                <w:lang w:eastAsia="zh-CN"/>
              </w:rPr>
              <w:t>是否提供；</w:t>
            </w:r>
          </w:p>
        </w:tc>
      </w:tr>
      <w:tr>
        <w:tblPrEx>
          <w:tblCellMar>
            <w:top w:w="0" w:type="dxa"/>
            <w:left w:w="108" w:type="dxa"/>
            <w:bottom w:w="0" w:type="dxa"/>
            <w:right w:w="108" w:type="dxa"/>
          </w:tblCellMar>
        </w:tblPrEx>
        <w:trPr>
          <w:trHeight w:val="481" w:hRule="atLeast"/>
          <w:jc w:val="center"/>
        </w:trPr>
        <w:tc>
          <w:tcPr>
            <w:tcW w:w="595" w:type="dxa"/>
            <w:vMerge w:val="continue"/>
            <w:tcBorders>
              <w:left w:val="single" w:color="000000" w:sz="4" w:space="0"/>
              <w:right w:val="single" w:color="000000" w:sz="4" w:space="0"/>
            </w:tcBorders>
            <w:vAlign w:val="center"/>
          </w:tcPr>
          <w:p>
            <w:pPr>
              <w:pStyle w:val="25"/>
              <w:ind w:firstLine="210"/>
              <w:jc w:val="center"/>
              <w:rPr>
                <w:lang w:eastAsia="zh-CN"/>
              </w:rPr>
            </w:pPr>
          </w:p>
        </w:tc>
        <w:tc>
          <w:tcPr>
            <w:tcW w:w="482" w:type="dxa"/>
            <w:tcBorders>
              <w:top w:val="single" w:color="000000" w:sz="4" w:space="0"/>
              <w:left w:val="single" w:color="000000" w:sz="4" w:space="0"/>
              <w:right w:val="single" w:color="000000" w:sz="4" w:space="0"/>
            </w:tcBorders>
            <w:vAlign w:val="center"/>
          </w:tcPr>
          <w:p>
            <w:pPr>
              <w:pStyle w:val="9"/>
              <w:jc w:val="center"/>
              <w:textAlignment w:val="baseline"/>
              <w:rPr>
                <w:sz w:val="24"/>
                <w:szCs w:val="24"/>
                <w:lang w:eastAsia="zh-CN"/>
              </w:rPr>
            </w:pPr>
            <w:r>
              <w:rPr>
                <w:rFonts w:hint="eastAsia"/>
                <w:szCs w:val="24"/>
                <w:lang w:val="en-US" w:eastAsia="zh-CN"/>
              </w:rPr>
              <w:t>8</w:t>
            </w:r>
          </w:p>
        </w:tc>
        <w:tc>
          <w:tcPr>
            <w:tcW w:w="8844" w:type="dxa"/>
            <w:tcBorders>
              <w:top w:val="single" w:color="000000" w:sz="4" w:space="0"/>
              <w:left w:val="single" w:color="000000" w:sz="4" w:space="0"/>
              <w:bottom w:val="single" w:color="000000" w:sz="4" w:space="0"/>
              <w:right w:val="single" w:color="000000" w:sz="4" w:space="0"/>
            </w:tcBorders>
            <w:vAlign w:val="center"/>
          </w:tcPr>
          <w:p>
            <w:pPr>
              <w:pStyle w:val="22"/>
              <w:spacing w:before="0" w:beforeAutospacing="0" w:after="0" w:afterAutospacing="0"/>
              <w:textAlignment w:val="baseline"/>
              <w:rPr>
                <w:sz w:val="24"/>
                <w:szCs w:val="24"/>
                <w:lang w:eastAsia="zh-CN"/>
              </w:rPr>
            </w:pPr>
            <w:r>
              <w:rPr>
                <w:rFonts w:hint="eastAsia"/>
              </w:rPr>
              <w:t>投标保证金是否足额交纳；</w:t>
            </w:r>
          </w:p>
        </w:tc>
      </w:tr>
      <w:tr>
        <w:tblPrEx>
          <w:tblCellMar>
            <w:top w:w="0" w:type="dxa"/>
            <w:left w:w="108" w:type="dxa"/>
            <w:bottom w:w="0" w:type="dxa"/>
            <w:right w:w="108" w:type="dxa"/>
          </w:tblCellMar>
        </w:tblPrEx>
        <w:trPr>
          <w:trHeight w:val="481" w:hRule="atLeast"/>
          <w:jc w:val="center"/>
        </w:trPr>
        <w:tc>
          <w:tcPr>
            <w:tcW w:w="595" w:type="dxa"/>
            <w:tcBorders>
              <w:left w:val="single" w:color="000000" w:sz="4" w:space="0"/>
              <w:right w:val="single" w:color="000000" w:sz="4" w:space="0"/>
            </w:tcBorders>
            <w:vAlign w:val="center"/>
          </w:tcPr>
          <w:p>
            <w:pPr>
              <w:pStyle w:val="25"/>
              <w:ind w:firstLine="210"/>
              <w:jc w:val="center"/>
              <w:rPr>
                <w:lang w:eastAsia="zh-CN"/>
              </w:rPr>
            </w:pPr>
          </w:p>
        </w:tc>
        <w:tc>
          <w:tcPr>
            <w:tcW w:w="482" w:type="dxa"/>
            <w:tcBorders>
              <w:top w:val="single" w:color="000000" w:sz="4" w:space="0"/>
              <w:left w:val="single" w:color="000000" w:sz="4" w:space="0"/>
              <w:right w:val="single" w:color="000000" w:sz="4" w:space="0"/>
            </w:tcBorders>
            <w:vAlign w:val="center"/>
          </w:tcPr>
          <w:p>
            <w:pPr>
              <w:pStyle w:val="9"/>
              <w:jc w:val="center"/>
              <w:textAlignment w:val="baseline"/>
              <w:rPr>
                <w:rFonts w:hint="eastAsia"/>
                <w:sz w:val="24"/>
                <w:szCs w:val="24"/>
                <w:lang w:val="en-US" w:eastAsia="zh-CN"/>
              </w:rPr>
            </w:pPr>
            <w:r>
              <w:rPr>
                <w:rFonts w:hint="eastAsia"/>
                <w:szCs w:val="24"/>
                <w:lang w:val="en-US" w:eastAsia="zh-CN"/>
              </w:rPr>
              <w:t>9</w:t>
            </w:r>
          </w:p>
        </w:tc>
        <w:tc>
          <w:tcPr>
            <w:tcW w:w="8844" w:type="dxa"/>
            <w:tcBorders>
              <w:top w:val="single" w:color="000000" w:sz="4" w:space="0"/>
              <w:left w:val="single" w:color="000000" w:sz="4" w:space="0"/>
              <w:bottom w:val="single" w:color="000000" w:sz="4" w:space="0"/>
              <w:right w:val="single" w:color="000000" w:sz="4" w:space="0"/>
            </w:tcBorders>
            <w:vAlign w:val="center"/>
          </w:tcPr>
          <w:p>
            <w:pPr>
              <w:pStyle w:val="9"/>
              <w:textAlignment w:val="baseline"/>
              <w:rPr>
                <w:rFonts w:hint="eastAsia"/>
                <w:sz w:val="24"/>
                <w:szCs w:val="24"/>
                <w:lang w:eastAsia="zh-CN"/>
              </w:rPr>
            </w:pPr>
            <w:r>
              <w:rPr>
                <w:rFonts w:hint="eastAsia"/>
                <w:szCs w:val="24"/>
                <w:lang w:eastAsia="zh-CN"/>
              </w:rPr>
              <w:t>本项目不接受联合体；</w:t>
            </w:r>
          </w:p>
        </w:tc>
      </w:tr>
      <w:tr>
        <w:tblPrEx>
          <w:tblCellMar>
            <w:top w:w="0" w:type="dxa"/>
            <w:left w:w="108" w:type="dxa"/>
            <w:bottom w:w="0" w:type="dxa"/>
            <w:right w:w="108" w:type="dxa"/>
          </w:tblCellMar>
        </w:tblPrEx>
        <w:trPr>
          <w:trHeight w:val="495"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pPr>
            <w:r>
              <w:t>符</w:t>
            </w:r>
          </w:p>
          <w:p>
            <w:pPr>
              <w:pStyle w:val="25"/>
              <w:ind w:firstLine="0" w:firstLineChars="0"/>
              <w:jc w:val="center"/>
            </w:pPr>
            <w:r>
              <w:t>合</w:t>
            </w:r>
          </w:p>
          <w:p>
            <w:pPr>
              <w:pStyle w:val="25"/>
              <w:ind w:firstLine="0" w:firstLineChars="0"/>
              <w:jc w:val="center"/>
            </w:pPr>
            <w:r>
              <w:t>性</w:t>
            </w:r>
          </w:p>
          <w:p>
            <w:pPr>
              <w:pStyle w:val="25"/>
              <w:ind w:firstLine="0" w:firstLineChars="0"/>
              <w:jc w:val="center"/>
            </w:pPr>
            <w:r>
              <w:t>审</w:t>
            </w:r>
          </w:p>
          <w:p>
            <w:pPr>
              <w:pStyle w:val="25"/>
              <w:ind w:firstLine="0" w:firstLineChars="0"/>
              <w:jc w:val="center"/>
            </w:pPr>
            <w:r>
              <w:t>查</w:t>
            </w:r>
          </w:p>
        </w:tc>
        <w:tc>
          <w:tcPr>
            <w:tcW w:w="482" w:type="dxa"/>
            <w:tcBorders>
              <w:top w:val="single" w:color="000000" w:sz="4" w:space="0"/>
              <w:left w:val="single" w:color="000000" w:sz="4" w:space="0"/>
              <w:bottom w:val="single" w:color="000000" w:sz="4" w:space="0"/>
              <w:right w:val="single" w:color="000000" w:sz="4" w:space="0"/>
            </w:tcBorders>
            <w:vAlign w:val="center"/>
          </w:tcPr>
          <w:p>
            <w:pPr>
              <w:pStyle w:val="9"/>
              <w:spacing w:line="360" w:lineRule="auto"/>
              <w:jc w:val="center"/>
              <w:rPr>
                <w:sz w:val="24"/>
                <w:szCs w:val="24"/>
                <w:lang w:eastAsia="zh-CN"/>
              </w:rPr>
            </w:pPr>
            <w:r>
              <w:rPr>
                <w:rFonts w:hint="eastAsia"/>
                <w:sz w:val="24"/>
                <w:szCs w:val="24"/>
                <w:lang w:eastAsia="zh-CN"/>
              </w:rPr>
              <w:t>1</w:t>
            </w:r>
          </w:p>
        </w:tc>
        <w:tc>
          <w:tcPr>
            <w:tcW w:w="8844" w:type="dxa"/>
            <w:tcBorders>
              <w:top w:val="single" w:color="000000" w:sz="4" w:space="0"/>
              <w:left w:val="single" w:color="000000" w:sz="4" w:space="0"/>
              <w:bottom w:val="single" w:color="000000" w:sz="4" w:space="0"/>
              <w:right w:val="single" w:color="000000" w:sz="4" w:space="0"/>
            </w:tcBorders>
            <w:vAlign w:val="center"/>
          </w:tcPr>
          <w:p>
            <w:pPr>
              <w:pStyle w:val="9"/>
              <w:spacing w:line="360" w:lineRule="auto"/>
              <w:rPr>
                <w:sz w:val="24"/>
                <w:szCs w:val="24"/>
              </w:rPr>
            </w:pPr>
            <w:r>
              <w:rPr>
                <w:rFonts w:hint="eastAsia"/>
                <w:sz w:val="24"/>
                <w:szCs w:val="24"/>
              </w:rPr>
              <w:t>报价是唯一的；</w:t>
            </w:r>
          </w:p>
        </w:tc>
      </w:tr>
      <w:tr>
        <w:tblPrEx>
          <w:tblCellMar>
            <w:top w:w="0" w:type="dxa"/>
            <w:left w:w="108" w:type="dxa"/>
            <w:bottom w:w="0" w:type="dxa"/>
            <w:right w:w="108" w:type="dxa"/>
          </w:tblCellMar>
        </w:tblPrEx>
        <w:trPr>
          <w:trHeight w:val="44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tcPr>
          <w:p>
            <w:pPr>
              <w:pStyle w:val="25"/>
              <w:spacing w:line="360" w:lineRule="auto"/>
              <w:ind w:firstLine="210"/>
            </w:pPr>
          </w:p>
        </w:tc>
        <w:tc>
          <w:tcPr>
            <w:tcW w:w="482" w:type="dxa"/>
            <w:tcBorders>
              <w:top w:val="single" w:color="000000" w:sz="4" w:space="0"/>
              <w:left w:val="single" w:color="000000" w:sz="4" w:space="0"/>
              <w:bottom w:val="single" w:color="000000" w:sz="4" w:space="0"/>
              <w:right w:val="single" w:color="000000" w:sz="4" w:space="0"/>
            </w:tcBorders>
            <w:vAlign w:val="center"/>
          </w:tcPr>
          <w:p>
            <w:pPr>
              <w:pStyle w:val="9"/>
              <w:spacing w:line="360" w:lineRule="auto"/>
              <w:jc w:val="center"/>
              <w:rPr>
                <w:sz w:val="24"/>
                <w:szCs w:val="24"/>
                <w:lang w:eastAsia="zh-CN"/>
              </w:rPr>
            </w:pPr>
            <w:r>
              <w:rPr>
                <w:rFonts w:hint="eastAsia"/>
                <w:sz w:val="24"/>
                <w:szCs w:val="24"/>
                <w:lang w:eastAsia="zh-CN"/>
              </w:rPr>
              <w:t>2</w:t>
            </w:r>
          </w:p>
        </w:tc>
        <w:tc>
          <w:tcPr>
            <w:tcW w:w="8844" w:type="dxa"/>
            <w:tcBorders>
              <w:top w:val="single" w:color="000000" w:sz="4" w:space="0"/>
              <w:left w:val="single" w:color="000000" w:sz="4" w:space="0"/>
              <w:bottom w:val="single" w:color="000000" w:sz="4" w:space="0"/>
              <w:right w:val="single" w:color="000000" w:sz="4" w:space="0"/>
            </w:tcBorders>
            <w:vAlign w:val="center"/>
          </w:tcPr>
          <w:p>
            <w:pPr>
              <w:pStyle w:val="9"/>
              <w:spacing w:line="360" w:lineRule="auto"/>
              <w:rPr>
                <w:sz w:val="24"/>
                <w:szCs w:val="24"/>
                <w:lang w:eastAsia="zh-CN"/>
              </w:rPr>
            </w:pPr>
            <w:r>
              <w:rPr>
                <w:rFonts w:hint="eastAsia"/>
                <w:sz w:val="24"/>
                <w:szCs w:val="24"/>
                <w:lang w:eastAsia="zh-CN"/>
              </w:rPr>
              <w:t>响应文件注明“正本”或“副本”字样；</w:t>
            </w:r>
          </w:p>
        </w:tc>
      </w:tr>
      <w:tr>
        <w:tblPrEx>
          <w:tblCellMar>
            <w:top w:w="0" w:type="dxa"/>
            <w:left w:w="108" w:type="dxa"/>
            <w:bottom w:w="0" w:type="dxa"/>
            <w:right w:w="108" w:type="dxa"/>
          </w:tblCellMar>
        </w:tblPrEx>
        <w:trPr>
          <w:trHeight w:val="49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tcPr>
          <w:p>
            <w:pPr>
              <w:pStyle w:val="25"/>
              <w:spacing w:line="360" w:lineRule="auto"/>
              <w:ind w:firstLine="210"/>
              <w:rPr>
                <w:lang w:eastAsia="zh-CN"/>
              </w:rPr>
            </w:pPr>
          </w:p>
        </w:tc>
        <w:tc>
          <w:tcPr>
            <w:tcW w:w="482" w:type="dxa"/>
            <w:tcBorders>
              <w:top w:val="single" w:color="000000" w:sz="4" w:space="0"/>
              <w:left w:val="single" w:color="000000" w:sz="4" w:space="0"/>
              <w:bottom w:val="single" w:color="000000" w:sz="4" w:space="0"/>
              <w:right w:val="single" w:color="000000" w:sz="4" w:space="0"/>
            </w:tcBorders>
            <w:vAlign w:val="center"/>
          </w:tcPr>
          <w:p>
            <w:pPr>
              <w:pStyle w:val="9"/>
              <w:spacing w:line="360" w:lineRule="auto"/>
              <w:jc w:val="center"/>
              <w:rPr>
                <w:sz w:val="24"/>
                <w:szCs w:val="24"/>
                <w:lang w:eastAsia="zh-CN"/>
              </w:rPr>
            </w:pPr>
            <w:r>
              <w:rPr>
                <w:rFonts w:hint="eastAsia"/>
                <w:sz w:val="24"/>
                <w:szCs w:val="24"/>
                <w:lang w:eastAsia="zh-CN"/>
              </w:rPr>
              <w:t>3</w:t>
            </w:r>
          </w:p>
        </w:tc>
        <w:tc>
          <w:tcPr>
            <w:tcW w:w="8844" w:type="dxa"/>
            <w:tcBorders>
              <w:top w:val="single" w:color="000000" w:sz="4" w:space="0"/>
              <w:left w:val="single" w:color="000000" w:sz="4" w:space="0"/>
              <w:bottom w:val="single" w:color="000000" w:sz="4" w:space="0"/>
              <w:right w:val="single" w:color="000000" w:sz="4" w:space="0"/>
            </w:tcBorders>
            <w:vAlign w:val="center"/>
          </w:tcPr>
          <w:p>
            <w:pPr>
              <w:pStyle w:val="9"/>
              <w:spacing w:line="360" w:lineRule="auto"/>
              <w:rPr>
                <w:sz w:val="24"/>
                <w:szCs w:val="24"/>
                <w:lang w:eastAsia="zh-CN"/>
              </w:rPr>
            </w:pPr>
            <w:r>
              <w:rPr>
                <w:rFonts w:hint="eastAsia"/>
                <w:sz w:val="24"/>
                <w:szCs w:val="24"/>
                <w:lang w:eastAsia="zh-CN"/>
              </w:rPr>
              <w:t>响应文件有投标人法定代表人或其授权代表签字，并加盖了投标人的公章；</w:t>
            </w:r>
          </w:p>
        </w:tc>
      </w:tr>
      <w:tr>
        <w:tblPrEx>
          <w:tblCellMar>
            <w:top w:w="0" w:type="dxa"/>
            <w:left w:w="108" w:type="dxa"/>
            <w:bottom w:w="0" w:type="dxa"/>
            <w:right w:w="108" w:type="dxa"/>
          </w:tblCellMar>
        </w:tblPrEx>
        <w:trPr>
          <w:trHeight w:val="496"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tcPr>
          <w:p>
            <w:pPr>
              <w:pStyle w:val="25"/>
              <w:spacing w:line="360" w:lineRule="auto"/>
              <w:ind w:firstLine="210"/>
              <w:rPr>
                <w:lang w:eastAsia="zh-CN"/>
              </w:rPr>
            </w:pPr>
          </w:p>
        </w:tc>
        <w:tc>
          <w:tcPr>
            <w:tcW w:w="482" w:type="dxa"/>
            <w:tcBorders>
              <w:top w:val="single" w:color="000000" w:sz="4" w:space="0"/>
              <w:left w:val="single" w:color="000000" w:sz="4" w:space="0"/>
              <w:bottom w:val="single" w:color="000000" w:sz="4" w:space="0"/>
              <w:right w:val="single" w:color="000000" w:sz="4" w:space="0"/>
            </w:tcBorders>
            <w:vAlign w:val="center"/>
          </w:tcPr>
          <w:p>
            <w:pPr>
              <w:pStyle w:val="9"/>
              <w:spacing w:line="360" w:lineRule="auto"/>
              <w:jc w:val="center"/>
              <w:rPr>
                <w:sz w:val="24"/>
                <w:szCs w:val="24"/>
                <w:lang w:eastAsia="zh-CN"/>
              </w:rPr>
            </w:pPr>
            <w:r>
              <w:rPr>
                <w:rFonts w:hint="eastAsia"/>
                <w:sz w:val="24"/>
                <w:szCs w:val="24"/>
                <w:lang w:eastAsia="zh-CN"/>
              </w:rPr>
              <w:t>4</w:t>
            </w:r>
          </w:p>
        </w:tc>
        <w:tc>
          <w:tcPr>
            <w:tcW w:w="8844" w:type="dxa"/>
            <w:tcBorders>
              <w:top w:val="single" w:color="000000" w:sz="4" w:space="0"/>
              <w:left w:val="single" w:color="000000" w:sz="4" w:space="0"/>
              <w:bottom w:val="single" w:color="000000" w:sz="4" w:space="0"/>
              <w:right w:val="single" w:color="000000" w:sz="4" w:space="0"/>
            </w:tcBorders>
            <w:vAlign w:val="center"/>
          </w:tcPr>
          <w:p>
            <w:pPr>
              <w:pStyle w:val="9"/>
              <w:spacing w:line="360" w:lineRule="auto"/>
              <w:rPr>
                <w:sz w:val="24"/>
                <w:szCs w:val="24"/>
                <w:lang w:eastAsia="zh-CN"/>
              </w:rPr>
            </w:pPr>
            <w:r>
              <w:rPr>
                <w:rFonts w:hint="eastAsia"/>
                <w:sz w:val="24"/>
                <w:szCs w:val="24"/>
                <w:lang w:eastAsia="zh-CN"/>
              </w:rPr>
              <w:t>服务方案及服务期是否满足竞争性磋商文件要求；</w:t>
            </w:r>
          </w:p>
        </w:tc>
      </w:tr>
      <w:tr>
        <w:tblPrEx>
          <w:tblCellMar>
            <w:top w:w="0" w:type="dxa"/>
            <w:left w:w="108" w:type="dxa"/>
            <w:bottom w:w="0" w:type="dxa"/>
            <w:right w:w="108" w:type="dxa"/>
          </w:tblCellMar>
        </w:tblPrEx>
        <w:trPr>
          <w:trHeight w:val="413"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tcPr>
          <w:p>
            <w:pPr>
              <w:pStyle w:val="25"/>
              <w:spacing w:line="360" w:lineRule="auto"/>
              <w:ind w:firstLine="210"/>
              <w:rPr>
                <w:lang w:eastAsia="zh-CN"/>
              </w:rPr>
            </w:pPr>
          </w:p>
        </w:tc>
        <w:tc>
          <w:tcPr>
            <w:tcW w:w="482" w:type="dxa"/>
            <w:tcBorders>
              <w:top w:val="single" w:color="000000" w:sz="4" w:space="0"/>
              <w:left w:val="single" w:color="000000" w:sz="4" w:space="0"/>
              <w:bottom w:val="single" w:color="000000" w:sz="4" w:space="0"/>
              <w:right w:val="single" w:color="000000" w:sz="4" w:space="0"/>
            </w:tcBorders>
            <w:vAlign w:val="center"/>
          </w:tcPr>
          <w:p>
            <w:pPr>
              <w:pStyle w:val="9"/>
              <w:spacing w:line="360" w:lineRule="auto"/>
              <w:jc w:val="center"/>
              <w:rPr>
                <w:sz w:val="24"/>
                <w:szCs w:val="24"/>
                <w:lang w:eastAsia="zh-CN"/>
              </w:rPr>
            </w:pPr>
            <w:r>
              <w:rPr>
                <w:rFonts w:hint="eastAsia"/>
                <w:sz w:val="24"/>
                <w:szCs w:val="24"/>
                <w:lang w:eastAsia="zh-CN"/>
              </w:rPr>
              <w:t>5</w:t>
            </w:r>
          </w:p>
        </w:tc>
        <w:tc>
          <w:tcPr>
            <w:tcW w:w="8844" w:type="dxa"/>
            <w:tcBorders>
              <w:top w:val="single" w:color="000000" w:sz="4" w:space="0"/>
              <w:left w:val="single" w:color="000000" w:sz="4" w:space="0"/>
              <w:bottom w:val="single" w:color="000000" w:sz="4" w:space="0"/>
              <w:right w:val="single" w:color="000000" w:sz="4" w:space="0"/>
            </w:tcBorders>
            <w:vAlign w:val="center"/>
          </w:tcPr>
          <w:p>
            <w:pPr>
              <w:pStyle w:val="9"/>
              <w:spacing w:line="360" w:lineRule="auto"/>
              <w:rPr>
                <w:sz w:val="24"/>
                <w:szCs w:val="24"/>
                <w:lang w:eastAsia="zh-CN"/>
              </w:rPr>
            </w:pPr>
            <w:r>
              <w:rPr>
                <w:rFonts w:hint="eastAsia"/>
                <w:sz w:val="24"/>
                <w:szCs w:val="24"/>
                <w:lang w:eastAsia="zh-CN"/>
              </w:rPr>
              <w:t>响应文件未含有招标人不能接受的条件。</w:t>
            </w:r>
          </w:p>
        </w:tc>
      </w:tr>
      <w:tr>
        <w:tblPrEx>
          <w:tblCellMar>
            <w:top w:w="0" w:type="dxa"/>
            <w:left w:w="108" w:type="dxa"/>
            <w:bottom w:w="0" w:type="dxa"/>
            <w:right w:w="108" w:type="dxa"/>
          </w:tblCellMar>
        </w:tblPrEx>
        <w:trPr>
          <w:trHeight w:val="966" w:hRule="exact"/>
          <w:jc w:val="center"/>
        </w:trPr>
        <w:tc>
          <w:tcPr>
            <w:tcW w:w="595"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lang w:eastAsia="zh-CN"/>
              </w:rPr>
            </w:pPr>
            <w:r>
              <w:rPr>
                <w:rFonts w:hint="eastAsia"/>
                <w:lang w:eastAsia="zh-CN"/>
              </w:rPr>
              <w:t>结果果</w:t>
            </w:r>
          </w:p>
        </w:tc>
        <w:tc>
          <w:tcPr>
            <w:tcW w:w="9326" w:type="dxa"/>
            <w:gridSpan w:val="2"/>
            <w:tcBorders>
              <w:top w:val="single" w:color="000000" w:sz="4" w:space="0"/>
              <w:left w:val="single" w:color="000000" w:sz="4" w:space="0"/>
              <w:bottom w:val="single" w:color="000000" w:sz="4" w:space="0"/>
              <w:right w:val="single" w:color="000000" w:sz="4" w:space="0"/>
            </w:tcBorders>
            <w:vAlign w:val="center"/>
          </w:tcPr>
          <w:p>
            <w:pPr>
              <w:pStyle w:val="25"/>
              <w:spacing w:line="360" w:lineRule="auto"/>
              <w:ind w:firstLine="210"/>
              <w:jc w:val="center"/>
            </w:pPr>
            <w:r>
              <w:rPr>
                <w:rFonts w:hint="eastAsia"/>
              </w:rPr>
              <w:t xml:space="preserve">通过：√ </w:t>
            </w:r>
            <w:r>
              <w:rPr>
                <w:rFonts w:hint="eastAsia"/>
                <w:lang w:eastAsia="zh-CN"/>
              </w:rPr>
              <w:t xml:space="preserve">  </w:t>
            </w:r>
            <w:r>
              <w:rPr>
                <w:rFonts w:hint="eastAsia"/>
              </w:rPr>
              <w:t xml:space="preserve"> 不通过：×</w:t>
            </w:r>
          </w:p>
        </w:tc>
      </w:tr>
    </w:tbl>
    <w:p>
      <w:pPr>
        <w:spacing w:line="360" w:lineRule="auto"/>
        <w:ind w:left="900" w:leftChars="200" w:hanging="420" w:hangingChars="175"/>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备注：如果服务商提供的响应文件中初步审查有一项未通过上述审查标准，磋商小组将</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认定整个响应文件不响应竞争性磋商文件而予以废标，并且不允许服务商通过修改或撤销其符合要求的差异或保留，使之成为具有响应性的竞标。</w:t>
      </w:r>
    </w:p>
    <w:p>
      <w:pPr>
        <w:spacing w:line="360" w:lineRule="auto"/>
        <w:ind w:left="904" w:hanging="900" w:hangingChars="375"/>
        <w:jc w:val="center"/>
        <w:rPr>
          <w:rFonts w:asciiTheme="minorEastAsia" w:hAnsiTheme="minorEastAsia" w:eastAsiaTheme="minorEastAsia" w:cstheme="minorEastAsia"/>
          <w:b/>
          <w:bCs/>
          <w:color w:val="FF0000"/>
          <w:sz w:val="24"/>
        </w:rPr>
      </w:pPr>
    </w:p>
    <w:p>
      <w:pPr>
        <w:spacing w:line="360" w:lineRule="auto"/>
        <w:ind w:left="904" w:hanging="900" w:hangingChars="375"/>
        <w:jc w:val="center"/>
        <w:rPr>
          <w:b/>
          <w:bCs/>
          <w:color w:val="000000" w:themeColor="text1"/>
          <w14:textFill>
            <w14:solidFill>
              <w14:schemeClr w14:val="tx1"/>
            </w14:solidFill>
          </w14:textFill>
        </w:rPr>
      </w:pPr>
      <w:r>
        <w:rPr>
          <w:rFonts w:asciiTheme="minorEastAsia" w:hAnsiTheme="minorEastAsia" w:eastAsiaTheme="minorEastAsia" w:cstheme="minorEastAsia"/>
          <w:b/>
          <w:bCs/>
          <w:color w:val="000000" w:themeColor="text1"/>
          <w:sz w:val="24"/>
          <w14:textFill>
            <w14:solidFill>
              <w14:schemeClr w14:val="tx1"/>
            </w14:solidFill>
          </w14:textFill>
        </w:rPr>
        <w:t>综合评分法评分细则</w:t>
      </w:r>
    </w:p>
    <w:tbl>
      <w:tblPr>
        <w:tblStyle w:val="27"/>
        <w:tblpPr w:leftFromText="180" w:rightFromText="180" w:vertAnchor="text" w:horzAnchor="page" w:tblpX="1275" w:tblpY="343"/>
        <w:tblOverlap w:val="never"/>
        <w:tblW w:w="9654" w:type="dxa"/>
        <w:tblInd w:w="0" w:type="dxa"/>
        <w:tblLayout w:type="fixed"/>
        <w:tblCellMar>
          <w:top w:w="15" w:type="dxa"/>
          <w:left w:w="15" w:type="dxa"/>
          <w:bottom w:w="15" w:type="dxa"/>
          <w:right w:w="15" w:type="dxa"/>
        </w:tblCellMar>
      </w:tblPr>
      <w:tblGrid>
        <w:gridCol w:w="705"/>
        <w:gridCol w:w="1202"/>
        <w:gridCol w:w="818"/>
        <w:gridCol w:w="6929"/>
      </w:tblGrid>
      <w:tr>
        <w:tblPrEx>
          <w:tblCellMar>
            <w:top w:w="15" w:type="dxa"/>
            <w:left w:w="15" w:type="dxa"/>
            <w:bottom w:w="15" w:type="dxa"/>
            <w:right w:w="15" w:type="dxa"/>
          </w:tblCellMar>
        </w:tblPrEx>
        <w:trPr>
          <w:trHeight w:val="555" w:hRule="atLeast"/>
        </w:trPr>
        <w:tc>
          <w:tcPr>
            <w:tcW w:w="705" w:type="dxa"/>
            <w:tcBorders>
              <w:top w:val="single" w:color="000000" w:sz="4" w:space="0"/>
              <w:left w:val="single" w:color="000000" w:sz="4" w:space="0"/>
              <w:right w:val="single" w:color="000000" w:sz="4" w:space="0"/>
            </w:tcBorders>
            <w:vAlign w:val="center"/>
          </w:tcPr>
          <w:p>
            <w:pPr>
              <w:jc w:val="center"/>
              <w:textAlignment w:val="baseline"/>
              <w:rPr>
                <w:b/>
                <w:i/>
                <w:caps/>
              </w:rPr>
            </w:pPr>
            <w:r>
              <w:rPr>
                <w:rFonts w:hint="eastAsia"/>
              </w:rPr>
              <w:t>序号</w:t>
            </w:r>
          </w:p>
        </w:tc>
        <w:tc>
          <w:tcPr>
            <w:tcW w:w="1202" w:type="dxa"/>
            <w:tcBorders>
              <w:top w:val="single" w:color="000000" w:sz="4" w:space="0"/>
              <w:left w:val="single" w:color="000000" w:sz="4" w:space="0"/>
            </w:tcBorders>
            <w:vAlign w:val="center"/>
          </w:tcPr>
          <w:p>
            <w:pPr>
              <w:jc w:val="center"/>
              <w:textAlignment w:val="baseline"/>
              <w:rPr>
                <w:b/>
                <w:i/>
                <w:caps/>
              </w:rPr>
            </w:pPr>
            <w:r>
              <w:rPr>
                <w:rFonts w:hint="eastAsia"/>
              </w:rPr>
              <w:t>评分项目</w:t>
            </w:r>
          </w:p>
        </w:tc>
        <w:tc>
          <w:tcPr>
            <w:tcW w:w="818"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b/>
                <w:i/>
                <w:caps/>
              </w:rPr>
            </w:pPr>
            <w:r>
              <w:rPr>
                <w:rFonts w:hint="eastAsia"/>
              </w:rPr>
              <w:t>分值</w:t>
            </w:r>
          </w:p>
        </w:tc>
        <w:tc>
          <w:tcPr>
            <w:tcW w:w="6929"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b/>
                <w:i/>
                <w:caps/>
              </w:rPr>
            </w:pPr>
            <w:r>
              <w:rPr>
                <w:rFonts w:hint="eastAsia"/>
              </w:rPr>
              <w:t>评分原则</w:t>
            </w:r>
          </w:p>
        </w:tc>
      </w:tr>
      <w:tr>
        <w:tblPrEx>
          <w:tblCellMar>
            <w:top w:w="15" w:type="dxa"/>
            <w:left w:w="15" w:type="dxa"/>
            <w:bottom w:w="15" w:type="dxa"/>
            <w:right w:w="15" w:type="dxa"/>
          </w:tblCellMar>
        </w:tblPrEx>
        <w:trPr>
          <w:trHeight w:val="90" w:hRule="atLeast"/>
        </w:trPr>
        <w:tc>
          <w:tcPr>
            <w:tcW w:w="9654" w:type="dxa"/>
            <w:gridSpan w:val="4"/>
            <w:tcBorders>
              <w:top w:val="single" w:color="000000" w:sz="4" w:space="0"/>
              <w:left w:val="single" w:color="000000" w:sz="4" w:space="0"/>
              <w:right w:val="single" w:color="000000" w:sz="4" w:space="0"/>
            </w:tcBorders>
            <w:vAlign w:val="center"/>
          </w:tcPr>
          <w:p>
            <w:pPr>
              <w:jc w:val="center"/>
              <w:textAlignment w:val="baseline"/>
              <w:rPr>
                <w:b/>
                <w:i/>
                <w:caps/>
              </w:rPr>
            </w:pPr>
            <w:r>
              <w:rPr>
                <w:rFonts w:hint="eastAsia"/>
              </w:rPr>
              <w:t>报价部分（</w:t>
            </w:r>
            <w:r>
              <w:rPr>
                <w:rFonts w:hint="eastAsia"/>
                <w:lang w:val="en-US" w:eastAsia="zh-CN"/>
              </w:rPr>
              <w:t>20</w:t>
            </w:r>
            <w:r>
              <w:rPr>
                <w:rFonts w:hint="eastAsia"/>
              </w:rPr>
              <w:t>分）</w:t>
            </w:r>
          </w:p>
        </w:tc>
      </w:tr>
      <w:tr>
        <w:tblPrEx>
          <w:tblCellMar>
            <w:top w:w="15" w:type="dxa"/>
            <w:left w:w="15" w:type="dxa"/>
            <w:bottom w:w="15" w:type="dxa"/>
            <w:right w:w="15" w:type="dxa"/>
          </w:tblCellMar>
        </w:tblPrEx>
        <w:trPr>
          <w:trHeight w:val="2922" w:hRule="atLeast"/>
        </w:trPr>
        <w:tc>
          <w:tcPr>
            <w:tcW w:w="705" w:type="dxa"/>
            <w:tcBorders>
              <w:top w:val="single" w:color="000000" w:sz="4" w:space="0"/>
              <w:left w:val="single" w:color="000000" w:sz="4" w:space="0"/>
              <w:bottom w:val="single" w:color="auto" w:sz="4" w:space="0"/>
              <w:right w:val="single" w:color="000000" w:sz="4" w:space="0"/>
            </w:tcBorders>
            <w:vAlign w:val="center"/>
          </w:tcPr>
          <w:p>
            <w:pPr>
              <w:jc w:val="center"/>
              <w:textAlignment w:val="baseline"/>
              <w:rPr>
                <w:b/>
                <w:i/>
                <w:caps/>
              </w:rPr>
            </w:pPr>
            <w:r>
              <w:rPr>
                <w:rFonts w:hint="eastAsia"/>
              </w:rPr>
              <w:t>1</w:t>
            </w:r>
          </w:p>
        </w:tc>
        <w:tc>
          <w:tcPr>
            <w:tcW w:w="1202" w:type="dxa"/>
            <w:tcBorders>
              <w:top w:val="single" w:color="000000" w:sz="4" w:space="0"/>
              <w:left w:val="single" w:color="000000" w:sz="4" w:space="0"/>
              <w:bottom w:val="single" w:color="auto" w:sz="4" w:space="0"/>
            </w:tcBorders>
            <w:vAlign w:val="center"/>
          </w:tcPr>
          <w:p>
            <w:pPr>
              <w:jc w:val="center"/>
              <w:textAlignment w:val="baseline"/>
              <w:rPr>
                <w:b/>
                <w:i/>
                <w:caps/>
              </w:rPr>
            </w:pPr>
            <w:r>
              <w:rPr>
                <w:rFonts w:hint="eastAsia"/>
              </w:rPr>
              <w:t>报价</w:t>
            </w:r>
          </w:p>
        </w:tc>
        <w:tc>
          <w:tcPr>
            <w:tcW w:w="818"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eastAsia="宋体"/>
                <w:sz w:val="20"/>
                <w:lang w:val="en-US" w:eastAsia="zh-CN"/>
              </w:rPr>
            </w:pPr>
            <w:r>
              <w:rPr>
                <w:rFonts w:hint="eastAsia"/>
                <w:lang w:val="en-US" w:eastAsia="zh-CN"/>
              </w:rPr>
              <w:t>20</w:t>
            </w:r>
          </w:p>
        </w:tc>
        <w:tc>
          <w:tcPr>
            <w:tcW w:w="6929" w:type="dxa"/>
            <w:tcBorders>
              <w:top w:val="single" w:color="000000" w:sz="4" w:space="0"/>
              <w:left w:val="single" w:color="000000" w:sz="4" w:space="0"/>
              <w:bottom w:val="single" w:color="000000" w:sz="4" w:space="0"/>
              <w:right w:val="single" w:color="000000" w:sz="4" w:space="0"/>
            </w:tcBorders>
            <w:vAlign w:val="center"/>
          </w:tcPr>
          <w:p>
            <w:pPr>
              <w:textAlignment w:val="baseline"/>
              <w:rPr>
                <w:rFonts w:hint="default" w:eastAsia="宋体"/>
                <w:sz w:val="20"/>
                <w:lang w:val="en-US" w:eastAsia="zh-CN"/>
              </w:rPr>
            </w:pPr>
            <w:r>
              <w:rPr>
                <w:rFonts w:hint="eastAsia"/>
              </w:rPr>
              <w:t>经评委会审核，满足招标文件要求且报价最低的投标人的价格为基准价，其价格分为满分。其他投标人的价格分统一按下列公式折算递减。即：报价得分=（投标基准价/投标报价）×</w:t>
            </w:r>
            <w:r>
              <w:rPr>
                <w:rFonts w:hint="eastAsia"/>
                <w:lang w:val="en-US" w:eastAsia="zh-CN"/>
              </w:rPr>
              <w:t>20</w:t>
            </w:r>
          </w:p>
          <w:p>
            <w:pPr>
              <w:textAlignment w:val="baseline"/>
              <w:rPr>
                <w:b/>
                <w:i/>
                <w:caps/>
              </w:rPr>
            </w:pPr>
            <w:r>
              <w:rPr>
                <w:rFonts w:hint="eastAsia"/>
              </w:rPr>
              <w:t>（注：对小型和微型企业、监狱企业、残疾人企业产品价格给予</w:t>
            </w:r>
            <w:r>
              <w:rPr>
                <w:rFonts w:hint="eastAsia"/>
                <w:lang w:val="en-US" w:eastAsia="zh-CN"/>
              </w:rPr>
              <w:t>10</w:t>
            </w:r>
            <w:r>
              <w:rPr>
                <w:rFonts w:hint="eastAsia"/>
              </w:rPr>
              <w:t>%的扣除，用扣除后的价格参与评审。（符合上述条件的企业应当提供《企业声明函》））</w:t>
            </w:r>
          </w:p>
        </w:tc>
      </w:tr>
      <w:tr>
        <w:tblPrEx>
          <w:tblCellMar>
            <w:top w:w="15" w:type="dxa"/>
            <w:left w:w="15" w:type="dxa"/>
            <w:bottom w:w="15" w:type="dxa"/>
            <w:right w:w="15" w:type="dxa"/>
          </w:tblCellMar>
        </w:tblPrEx>
        <w:trPr>
          <w:trHeight w:val="370" w:hRule="atLeast"/>
        </w:trPr>
        <w:tc>
          <w:tcPr>
            <w:tcW w:w="9654" w:type="dxa"/>
            <w:gridSpan w:val="4"/>
            <w:tcBorders>
              <w:top w:val="single" w:color="000000" w:sz="4" w:space="0"/>
              <w:left w:val="single" w:color="000000" w:sz="4" w:space="0"/>
              <w:bottom w:val="single" w:color="auto" w:sz="4" w:space="0"/>
              <w:right w:val="single" w:color="000000" w:sz="4" w:space="0"/>
            </w:tcBorders>
            <w:vAlign w:val="center"/>
          </w:tcPr>
          <w:p>
            <w:pPr>
              <w:jc w:val="center"/>
              <w:textAlignment w:val="baseline"/>
              <w:rPr>
                <w:b/>
                <w:i/>
                <w:caps/>
              </w:rPr>
            </w:pPr>
            <w:r>
              <w:rPr>
                <w:rFonts w:hint="eastAsia"/>
              </w:rPr>
              <w:t>商务部分（</w:t>
            </w:r>
            <w:r>
              <w:rPr>
                <w:rFonts w:hint="eastAsia"/>
                <w:lang w:val="en-US" w:eastAsia="zh-CN"/>
              </w:rPr>
              <w:t>27</w:t>
            </w:r>
            <w:r>
              <w:rPr>
                <w:rFonts w:hint="eastAsia"/>
              </w:rPr>
              <w:t>分）</w:t>
            </w:r>
          </w:p>
        </w:tc>
      </w:tr>
      <w:tr>
        <w:tblPrEx>
          <w:tblCellMar>
            <w:top w:w="15" w:type="dxa"/>
            <w:left w:w="15" w:type="dxa"/>
            <w:bottom w:w="15" w:type="dxa"/>
            <w:right w:w="15" w:type="dxa"/>
          </w:tblCellMar>
        </w:tblPrEx>
        <w:trPr>
          <w:trHeight w:val="1354" w:hRule="atLeast"/>
        </w:trPr>
        <w:tc>
          <w:tcPr>
            <w:tcW w:w="705" w:type="dxa"/>
            <w:tcBorders>
              <w:top w:val="single" w:color="auto" w:sz="4" w:space="0"/>
              <w:left w:val="single" w:color="auto" w:sz="4" w:space="0"/>
              <w:right w:val="single" w:color="auto" w:sz="4" w:space="0"/>
            </w:tcBorders>
            <w:vAlign w:val="center"/>
          </w:tcPr>
          <w:p>
            <w:pPr>
              <w:jc w:val="center"/>
              <w:textAlignment w:val="baseline"/>
              <w:rPr>
                <w:b/>
                <w:i/>
                <w:caps/>
              </w:rPr>
            </w:pPr>
            <w:r>
              <w:rPr>
                <w:rFonts w:hint="eastAsia"/>
              </w:rPr>
              <w:t>1</w:t>
            </w:r>
          </w:p>
        </w:tc>
        <w:tc>
          <w:tcPr>
            <w:tcW w:w="120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b/>
                <w:i/>
                <w:caps/>
              </w:rPr>
            </w:pPr>
            <w:r>
              <w:rPr>
                <w:rFonts w:hint="eastAsia"/>
                <w:sz w:val="24"/>
                <w:szCs w:val="24"/>
              </w:rPr>
              <w:t>投标人服务能力证明</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default" w:eastAsia="宋体"/>
                <w:sz w:val="20"/>
                <w:lang w:val="en-US" w:eastAsia="zh-CN"/>
              </w:rPr>
            </w:pPr>
            <w:r>
              <w:rPr>
                <w:rFonts w:hint="eastAsia"/>
                <w:lang w:val="en-US" w:eastAsia="zh-CN"/>
              </w:rPr>
              <w:t>4</w:t>
            </w:r>
          </w:p>
        </w:tc>
        <w:tc>
          <w:tcPr>
            <w:tcW w:w="6929" w:type="dxa"/>
            <w:tcBorders>
              <w:top w:val="single" w:color="auto" w:sz="4" w:space="0"/>
              <w:left w:val="single" w:color="auto" w:sz="4" w:space="0"/>
              <w:bottom w:val="single" w:color="auto" w:sz="4" w:space="0"/>
              <w:right w:val="single" w:color="auto" w:sz="4" w:space="0"/>
            </w:tcBorders>
            <w:vAlign w:val="center"/>
          </w:tcPr>
          <w:p>
            <w:pPr>
              <w:numPr>
                <w:ilvl w:val="0"/>
                <w:numId w:val="0"/>
              </w:numPr>
              <w:rPr>
                <w:rFonts w:hint="eastAsia" w:eastAsia="宋体"/>
                <w:b/>
                <w:i/>
                <w:caps/>
                <w:lang w:eastAsia="zh-CN"/>
              </w:rPr>
            </w:pPr>
            <w:r>
              <w:rPr>
                <w:rFonts w:hint="eastAsia"/>
                <w:lang w:val="en-US" w:eastAsia="zh-CN"/>
              </w:rPr>
              <w:t>1、投标人具有所投云服务厂商颁发的经销商认证证书，得2分。</w:t>
            </w:r>
          </w:p>
          <w:p>
            <w:pPr>
              <w:numPr>
                <w:ilvl w:val="0"/>
                <w:numId w:val="0"/>
              </w:numPr>
              <w:rPr>
                <w:rFonts w:hint="eastAsia" w:eastAsia="宋体"/>
                <w:b/>
                <w:i/>
                <w:caps/>
                <w:lang w:eastAsia="zh-CN"/>
              </w:rPr>
            </w:pPr>
            <w:r>
              <w:rPr>
                <w:rFonts w:hint="eastAsia" w:ascii="Times New Roman" w:hAnsi="Times New Roman" w:eastAsia="宋体" w:cs="Times New Roman"/>
                <w:b w:val="0"/>
                <w:bCs w:val="0"/>
                <w:kern w:val="2"/>
                <w:sz w:val="24"/>
                <w:szCs w:val="24"/>
                <w:lang w:val="en-US" w:eastAsia="zh-CN" w:bidi="ar-SA"/>
              </w:rPr>
              <w:t>2、投标人提供专属服务经理得1分，具备不少于3人本地团队（本地社保证明）加2分</w:t>
            </w:r>
          </w:p>
        </w:tc>
      </w:tr>
      <w:tr>
        <w:tblPrEx>
          <w:tblCellMar>
            <w:top w:w="15" w:type="dxa"/>
            <w:left w:w="15" w:type="dxa"/>
            <w:bottom w:w="15" w:type="dxa"/>
            <w:right w:w="15" w:type="dxa"/>
          </w:tblCellMar>
        </w:tblPrEx>
        <w:trPr>
          <w:trHeight w:val="1540" w:hRule="atLeast"/>
        </w:trPr>
        <w:tc>
          <w:tcPr>
            <w:tcW w:w="705" w:type="dxa"/>
            <w:tcBorders>
              <w:top w:val="single" w:color="000000" w:sz="4" w:space="0"/>
              <w:left w:val="single" w:color="auto" w:sz="4" w:space="0"/>
              <w:bottom w:val="single" w:color="auto" w:sz="4" w:space="0"/>
              <w:right w:val="single" w:color="auto" w:sz="4" w:space="0"/>
            </w:tcBorders>
            <w:vAlign w:val="center"/>
          </w:tcPr>
          <w:p>
            <w:pPr>
              <w:jc w:val="center"/>
              <w:textAlignment w:val="baseline"/>
              <w:rPr>
                <w:rFonts w:hint="eastAsia" w:eastAsia="宋体"/>
                <w:b/>
                <w:i/>
                <w:caps/>
                <w:lang w:eastAsia="zh-CN"/>
              </w:rPr>
            </w:pPr>
            <w:r>
              <w:rPr>
                <w:rFonts w:hint="eastAsia"/>
                <w:lang w:val="en-US" w:eastAsia="zh-CN"/>
              </w:rPr>
              <w:t>2</w:t>
            </w:r>
          </w:p>
        </w:tc>
        <w:tc>
          <w:tcPr>
            <w:tcW w:w="120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b/>
                <w:i/>
                <w:caps/>
              </w:rPr>
            </w:pPr>
            <w:r>
              <w:rPr>
                <w:rFonts w:hint="eastAsia" w:ascii="宋体" w:hAnsi="宋体" w:eastAsia="宋体" w:cs="宋体"/>
                <w:color w:val="000000"/>
                <w:kern w:val="0"/>
                <w:szCs w:val="21"/>
              </w:rPr>
              <w:t>类似项目业绩</w:t>
            </w:r>
          </w:p>
        </w:tc>
        <w:tc>
          <w:tcPr>
            <w:tcW w:w="818" w:type="dxa"/>
            <w:tcBorders>
              <w:left w:val="single" w:color="auto" w:sz="4" w:space="0"/>
              <w:bottom w:val="single" w:color="auto" w:sz="4" w:space="0"/>
              <w:right w:val="single" w:color="000000" w:sz="4" w:space="0"/>
            </w:tcBorders>
            <w:vAlign w:val="center"/>
          </w:tcPr>
          <w:p>
            <w:pPr>
              <w:jc w:val="center"/>
              <w:textAlignment w:val="baseline"/>
              <w:rPr>
                <w:rFonts w:hint="eastAsia" w:eastAsia="宋体"/>
                <w:sz w:val="20"/>
                <w:lang w:eastAsia="zh-CN"/>
              </w:rPr>
            </w:pPr>
            <w:r>
              <w:rPr>
                <w:rFonts w:hint="eastAsia"/>
                <w:lang w:val="en-US" w:eastAsia="zh-CN"/>
              </w:rPr>
              <w:t>6</w:t>
            </w:r>
          </w:p>
        </w:tc>
        <w:tc>
          <w:tcPr>
            <w:tcW w:w="6929" w:type="dxa"/>
            <w:tcBorders>
              <w:bottom w:val="single" w:color="auto" w:sz="4" w:space="0"/>
              <w:right w:val="single" w:color="auto" w:sz="4" w:space="0"/>
            </w:tcBorders>
            <w:vAlign w:val="center"/>
          </w:tcPr>
          <w:p>
            <w:pPr>
              <w:textAlignment w:val="baseline"/>
              <w:rPr>
                <w:b/>
                <w:i/>
                <w:caps/>
              </w:rPr>
            </w:pPr>
            <w:r>
              <w:rPr>
                <w:rFonts w:hint="eastAsia" w:ascii="宋体" w:hAnsi="宋体" w:eastAsia="宋体" w:cs="宋体"/>
                <w:color w:val="000000"/>
                <w:kern w:val="0"/>
                <w:szCs w:val="21"/>
              </w:rPr>
              <w:t>201</w:t>
            </w:r>
            <w:r>
              <w:rPr>
                <w:rFonts w:hint="eastAsia" w:ascii="宋体" w:hAnsi="宋体" w:cs="宋体"/>
                <w:color w:val="000000"/>
                <w:kern w:val="0"/>
                <w:szCs w:val="21"/>
                <w:lang w:val="en-US" w:eastAsia="zh-CN"/>
              </w:rPr>
              <w:t>9</w:t>
            </w:r>
            <w:r>
              <w:rPr>
                <w:rFonts w:hint="eastAsia" w:ascii="宋体" w:hAnsi="宋体" w:eastAsia="宋体" w:cs="宋体"/>
                <w:color w:val="000000"/>
                <w:kern w:val="0"/>
                <w:szCs w:val="21"/>
              </w:rPr>
              <w:t>年1月1日至今，提供类似规模项目的成功案例，每提供一个得</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分，最多得</w:t>
            </w:r>
            <w:r>
              <w:rPr>
                <w:rFonts w:hint="eastAsia" w:ascii="宋体" w:hAnsi="宋体" w:cs="宋体"/>
                <w:color w:val="000000"/>
                <w:kern w:val="0"/>
                <w:szCs w:val="21"/>
                <w:lang w:val="en-US" w:eastAsia="zh-CN"/>
              </w:rPr>
              <w:t>6</w:t>
            </w:r>
            <w:r>
              <w:rPr>
                <w:rFonts w:hint="eastAsia" w:ascii="宋体" w:hAnsi="宋体" w:eastAsia="宋体" w:cs="宋体"/>
                <w:color w:val="000000"/>
                <w:kern w:val="0"/>
                <w:szCs w:val="21"/>
              </w:rPr>
              <w:t>分。未提供不得分。（需要提供合同主要页复印件）</w:t>
            </w:r>
          </w:p>
        </w:tc>
      </w:tr>
      <w:tr>
        <w:tblPrEx>
          <w:tblCellMar>
            <w:top w:w="15" w:type="dxa"/>
            <w:left w:w="15" w:type="dxa"/>
            <w:bottom w:w="15" w:type="dxa"/>
            <w:right w:w="15" w:type="dxa"/>
          </w:tblCellMar>
        </w:tblPrEx>
        <w:trPr>
          <w:trHeight w:val="535" w:hRule="atLeast"/>
        </w:trPr>
        <w:tc>
          <w:tcPr>
            <w:tcW w:w="705" w:type="dxa"/>
            <w:tcBorders>
              <w:top w:val="single" w:color="auto" w:sz="4" w:space="0"/>
              <w:left w:val="single" w:color="auto" w:sz="4" w:space="0"/>
              <w:bottom w:val="single" w:color="auto" w:sz="4" w:space="0"/>
              <w:right w:val="single" w:color="000000" w:sz="4" w:space="0"/>
            </w:tcBorders>
            <w:vAlign w:val="center"/>
          </w:tcPr>
          <w:p>
            <w:pPr>
              <w:jc w:val="center"/>
              <w:textAlignment w:val="baseline"/>
              <w:rPr>
                <w:rFonts w:hint="eastAsia"/>
                <w:lang w:val="en-US" w:eastAsia="zh-CN"/>
              </w:rPr>
            </w:pPr>
            <w:r>
              <w:rPr>
                <w:rFonts w:hint="eastAsia"/>
                <w:lang w:val="en-US" w:eastAsia="zh-CN"/>
              </w:rPr>
              <w:t>3</w:t>
            </w:r>
          </w:p>
        </w:tc>
        <w:tc>
          <w:tcPr>
            <w:tcW w:w="1202" w:type="dxa"/>
            <w:tcBorders>
              <w:top w:val="single" w:color="auto" w:sz="4" w:space="0"/>
              <w:left w:val="single" w:color="000000" w:sz="4" w:space="0"/>
              <w:bottom w:val="single" w:color="auto" w:sz="4" w:space="0"/>
              <w:right w:val="single" w:color="000000" w:sz="4" w:space="0"/>
            </w:tcBorders>
            <w:vAlign w:val="center"/>
          </w:tcPr>
          <w:p>
            <w:pPr>
              <w:jc w:val="center"/>
              <w:textAlignment w:val="baseline"/>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云厂商安全体系认证</w:t>
            </w:r>
          </w:p>
        </w:tc>
        <w:tc>
          <w:tcPr>
            <w:tcW w:w="818" w:type="dxa"/>
            <w:tcBorders>
              <w:top w:val="single" w:color="auto" w:sz="4" w:space="0"/>
              <w:bottom w:val="single" w:color="auto" w:sz="4" w:space="0"/>
              <w:right w:val="single" w:color="000000" w:sz="4" w:space="0"/>
            </w:tcBorders>
            <w:vAlign w:val="center"/>
          </w:tcPr>
          <w:p>
            <w:pPr>
              <w:jc w:val="center"/>
              <w:textAlignment w:val="baseline"/>
              <w:rPr>
                <w:rFonts w:hint="eastAsia"/>
                <w:lang w:val="en-US" w:eastAsia="zh-CN"/>
              </w:rPr>
            </w:pPr>
            <w:r>
              <w:rPr>
                <w:rFonts w:hint="eastAsia"/>
                <w:lang w:val="en-US" w:eastAsia="zh-CN"/>
              </w:rPr>
              <w:t>6</w:t>
            </w:r>
          </w:p>
        </w:tc>
        <w:tc>
          <w:tcPr>
            <w:tcW w:w="6929" w:type="dxa"/>
            <w:tcBorders>
              <w:top w:val="single" w:color="auto" w:sz="4" w:space="0"/>
              <w:bottom w:val="single" w:color="auto" w:sz="4" w:space="0"/>
              <w:right w:val="single" w:color="auto" w:sz="4" w:space="0"/>
            </w:tcBorders>
            <w:vAlign w:val="center"/>
          </w:tcPr>
          <w:p>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记录云</w:t>
            </w:r>
            <w:r>
              <w:rPr>
                <w:rFonts w:hint="eastAsia" w:ascii="宋体" w:hAnsi="宋体" w:cs="宋体"/>
                <w:color w:val="auto"/>
                <w:kern w:val="0"/>
                <w:sz w:val="24"/>
                <w:szCs w:val="24"/>
                <w:highlight w:val="none"/>
                <w:lang w:val="en-US" w:eastAsia="zh-CN"/>
              </w:rPr>
              <w:t>厂</w:t>
            </w:r>
            <w:r>
              <w:rPr>
                <w:rFonts w:hint="eastAsia" w:ascii="宋体" w:hAnsi="宋体" w:eastAsia="宋体" w:cs="宋体"/>
                <w:color w:val="auto"/>
                <w:kern w:val="0"/>
                <w:sz w:val="24"/>
                <w:szCs w:val="24"/>
                <w:highlight w:val="none"/>
                <w:lang w:val="en-US" w:eastAsia="zh-CN"/>
              </w:rPr>
              <w:t>商相关资质和认证体系等级数量，判断云厂商安全技术的先进性和成熟度（每提供1个得2分，最高</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分）</w:t>
            </w:r>
          </w:p>
          <w:p>
            <w:pP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具有信息系统安全运维一级认证证书</w:t>
            </w:r>
          </w:p>
          <w:p>
            <w:pP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具有公安部等级保护四级认证证书</w:t>
            </w:r>
          </w:p>
          <w:p>
            <w:pPr>
              <w:rPr>
                <w:rFonts w:hint="eastAsia" w:ascii="宋体" w:hAnsi="宋体" w:eastAsia="宋体" w:cs="宋体"/>
                <w:color w:val="auto"/>
                <w:sz w:val="24"/>
                <w:highlight w:val="none"/>
                <w:lang w:val="en-US"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具有应用安全管理体系认证证书</w:t>
            </w:r>
          </w:p>
        </w:tc>
      </w:tr>
      <w:tr>
        <w:tblPrEx>
          <w:tblCellMar>
            <w:top w:w="15" w:type="dxa"/>
            <w:left w:w="15" w:type="dxa"/>
            <w:bottom w:w="15" w:type="dxa"/>
            <w:right w:w="15" w:type="dxa"/>
          </w:tblCellMar>
        </w:tblPrEx>
        <w:trPr>
          <w:trHeight w:val="1606" w:hRule="atLeast"/>
        </w:trPr>
        <w:tc>
          <w:tcPr>
            <w:tcW w:w="705" w:type="dxa"/>
            <w:tcBorders>
              <w:top w:val="single" w:color="auto" w:sz="4" w:space="0"/>
              <w:left w:val="single" w:color="auto" w:sz="4" w:space="0"/>
              <w:bottom w:val="single" w:color="auto" w:sz="4" w:space="0"/>
              <w:right w:val="single" w:color="000000" w:sz="4" w:space="0"/>
            </w:tcBorders>
            <w:vAlign w:val="center"/>
          </w:tcPr>
          <w:p>
            <w:pPr>
              <w:jc w:val="center"/>
              <w:textAlignment w:val="baseline"/>
              <w:rPr>
                <w:rFonts w:hint="eastAsia" w:eastAsia="宋体"/>
                <w:b/>
                <w:i/>
                <w:caps/>
                <w:lang w:eastAsia="zh-CN"/>
              </w:rPr>
            </w:pPr>
            <w:r>
              <w:rPr>
                <w:rFonts w:hint="eastAsia"/>
                <w:lang w:val="en-US" w:eastAsia="zh-CN"/>
              </w:rPr>
              <w:t>4</w:t>
            </w:r>
          </w:p>
        </w:tc>
        <w:tc>
          <w:tcPr>
            <w:tcW w:w="1202" w:type="dxa"/>
            <w:tcBorders>
              <w:top w:val="single" w:color="auto" w:sz="4" w:space="0"/>
              <w:left w:val="single" w:color="000000" w:sz="4" w:space="0"/>
              <w:bottom w:val="single" w:color="auto" w:sz="4" w:space="0"/>
              <w:right w:val="single" w:color="000000" w:sz="4" w:space="0"/>
            </w:tcBorders>
            <w:vAlign w:val="center"/>
          </w:tcPr>
          <w:p>
            <w:pPr>
              <w:jc w:val="center"/>
              <w:textAlignment w:val="baseline"/>
              <w:rPr>
                <w:sz w:val="20"/>
              </w:rPr>
            </w:pPr>
            <w:r>
              <w:rPr>
                <w:rFonts w:hint="eastAsia" w:ascii="宋体" w:hAnsi="宋体" w:cs="宋体"/>
                <w:color w:val="auto"/>
                <w:kern w:val="0"/>
                <w:sz w:val="24"/>
                <w:szCs w:val="24"/>
                <w:highlight w:val="none"/>
                <w:lang w:val="en-US" w:eastAsia="zh-CN"/>
              </w:rPr>
              <w:t>云厂商实力证明</w:t>
            </w:r>
          </w:p>
        </w:tc>
        <w:tc>
          <w:tcPr>
            <w:tcW w:w="818" w:type="dxa"/>
            <w:tcBorders>
              <w:top w:val="single" w:color="auto" w:sz="4" w:space="0"/>
              <w:bottom w:val="single" w:color="auto" w:sz="4" w:space="0"/>
              <w:right w:val="single" w:color="000000" w:sz="4" w:space="0"/>
            </w:tcBorders>
            <w:vAlign w:val="center"/>
          </w:tcPr>
          <w:p>
            <w:pPr>
              <w:jc w:val="center"/>
              <w:textAlignment w:val="baseline"/>
              <w:rPr>
                <w:rFonts w:hint="eastAsia" w:eastAsia="宋体"/>
                <w:b/>
                <w:i/>
                <w:caps/>
                <w:lang w:eastAsia="zh-CN"/>
              </w:rPr>
            </w:pPr>
            <w:r>
              <w:rPr>
                <w:rFonts w:hint="eastAsia"/>
                <w:lang w:val="en-US" w:eastAsia="zh-CN"/>
              </w:rPr>
              <w:t>11</w:t>
            </w:r>
          </w:p>
        </w:tc>
        <w:tc>
          <w:tcPr>
            <w:tcW w:w="6929" w:type="dxa"/>
            <w:tcBorders>
              <w:top w:val="single" w:color="auto" w:sz="4" w:space="0"/>
              <w:bottom w:val="single" w:color="auto" w:sz="4" w:space="0"/>
              <w:right w:val="single" w:color="auto" w:sz="4" w:space="0"/>
            </w:tcBorders>
            <w:vAlign w:val="center"/>
          </w:tcPr>
          <w:p>
            <w:pPr>
              <w:snapToGrid w:val="0"/>
              <w:spacing w:line="276" w:lineRule="auto"/>
              <w:rPr>
                <w:sz w:val="24"/>
                <w:szCs w:val="24"/>
              </w:rPr>
            </w:pPr>
            <w:r>
              <w:rPr>
                <w:rFonts w:hint="eastAsia"/>
                <w:sz w:val="24"/>
                <w:szCs w:val="24"/>
                <w:lang w:val="en-US" w:eastAsia="zh-CN"/>
              </w:rPr>
              <w:t>1、</w:t>
            </w:r>
            <w:r>
              <w:rPr>
                <w:rFonts w:hint="eastAsia"/>
                <w:sz w:val="24"/>
                <w:szCs w:val="24"/>
              </w:rPr>
              <w:t>云</w:t>
            </w:r>
            <w:r>
              <w:rPr>
                <w:rFonts w:hint="eastAsia"/>
                <w:sz w:val="24"/>
                <w:szCs w:val="24"/>
                <w:lang w:val="en-US" w:eastAsia="zh-CN"/>
              </w:rPr>
              <w:t>厂</w:t>
            </w:r>
            <w:r>
              <w:rPr>
                <w:rFonts w:hint="eastAsia"/>
                <w:sz w:val="24"/>
                <w:szCs w:val="24"/>
              </w:rPr>
              <w:t>商需具备如下认证标准：通过ISO27001认证、ISO 27018认证、ISO45001认证，每提供一个得1分，满分3分。</w:t>
            </w:r>
          </w:p>
          <w:p>
            <w:pPr>
              <w:snapToGrid w:val="0"/>
              <w:spacing w:line="276" w:lineRule="auto"/>
              <w:rPr>
                <w:sz w:val="24"/>
                <w:szCs w:val="24"/>
              </w:rPr>
            </w:pPr>
            <w:r>
              <w:rPr>
                <w:rFonts w:hint="eastAsia"/>
                <w:sz w:val="24"/>
                <w:szCs w:val="24"/>
                <w:lang w:val="en-US" w:eastAsia="zh-CN"/>
              </w:rPr>
              <w:t>2、</w:t>
            </w:r>
            <w:r>
              <w:rPr>
                <w:rFonts w:hint="eastAsia"/>
                <w:sz w:val="24"/>
                <w:szCs w:val="24"/>
              </w:rPr>
              <w:t>云服务商需具备可信云-云主机服务综合级别（五星），提供得</w:t>
            </w:r>
            <w:r>
              <w:rPr>
                <w:rFonts w:hint="eastAsia"/>
                <w:sz w:val="24"/>
                <w:szCs w:val="24"/>
                <w:lang w:val="en-US" w:eastAsia="zh-CN"/>
              </w:rPr>
              <w:t>2</w:t>
            </w:r>
            <w:r>
              <w:rPr>
                <w:rFonts w:hint="eastAsia"/>
                <w:sz w:val="24"/>
                <w:szCs w:val="24"/>
              </w:rPr>
              <w:t>分。</w:t>
            </w:r>
          </w:p>
          <w:p>
            <w:pPr>
              <w:snapToGrid w:val="0"/>
              <w:spacing w:line="276" w:lineRule="auto"/>
              <w:rPr>
                <w:sz w:val="24"/>
                <w:szCs w:val="24"/>
              </w:rPr>
            </w:pPr>
            <w:r>
              <w:rPr>
                <w:rFonts w:hint="eastAsia"/>
                <w:sz w:val="24"/>
                <w:szCs w:val="24"/>
                <w:lang w:val="en-US" w:eastAsia="zh-CN"/>
              </w:rPr>
              <w:t>3、</w:t>
            </w:r>
            <w:r>
              <w:rPr>
                <w:rFonts w:hint="eastAsia"/>
                <w:sz w:val="24"/>
                <w:szCs w:val="24"/>
              </w:rPr>
              <w:t>云服务商需具备可信云-数字化可信服务，提供得</w:t>
            </w:r>
            <w:r>
              <w:rPr>
                <w:rFonts w:hint="eastAsia"/>
                <w:sz w:val="24"/>
                <w:szCs w:val="24"/>
                <w:lang w:val="en-US" w:eastAsia="zh-CN"/>
              </w:rPr>
              <w:t>2</w:t>
            </w:r>
            <w:r>
              <w:rPr>
                <w:rFonts w:hint="eastAsia"/>
                <w:sz w:val="24"/>
                <w:szCs w:val="24"/>
              </w:rPr>
              <w:t>分。</w:t>
            </w:r>
          </w:p>
          <w:p>
            <w:pPr>
              <w:snapToGrid w:val="0"/>
              <w:spacing w:line="276" w:lineRule="auto"/>
              <w:rPr>
                <w:sz w:val="24"/>
                <w:szCs w:val="24"/>
              </w:rPr>
            </w:pPr>
            <w:r>
              <w:rPr>
                <w:rFonts w:hint="eastAsia"/>
                <w:sz w:val="24"/>
                <w:szCs w:val="24"/>
                <w:lang w:val="en-US" w:eastAsia="zh-CN"/>
              </w:rPr>
              <w:t>4、</w:t>
            </w:r>
            <w:r>
              <w:rPr>
                <w:rFonts w:hint="eastAsia"/>
                <w:sz w:val="24"/>
                <w:szCs w:val="24"/>
              </w:rPr>
              <w:t>云服务商需具备可信云-云服务企业综合信用水平评级AAA级及以上提供得</w:t>
            </w:r>
            <w:r>
              <w:rPr>
                <w:rFonts w:hint="eastAsia"/>
                <w:sz w:val="24"/>
                <w:szCs w:val="24"/>
                <w:lang w:val="en-US" w:eastAsia="zh-CN"/>
              </w:rPr>
              <w:t>2</w:t>
            </w:r>
            <w:r>
              <w:rPr>
                <w:rFonts w:hint="eastAsia"/>
                <w:sz w:val="24"/>
                <w:szCs w:val="24"/>
              </w:rPr>
              <w:t>分。</w:t>
            </w:r>
          </w:p>
          <w:p>
            <w:pPr>
              <w:snapToGrid w:val="0"/>
              <w:spacing w:line="276" w:lineRule="auto"/>
              <w:rPr>
                <w:sz w:val="20"/>
              </w:rPr>
            </w:pPr>
            <w:r>
              <w:rPr>
                <w:rFonts w:hint="eastAsia"/>
                <w:sz w:val="24"/>
                <w:szCs w:val="24"/>
                <w:lang w:val="en-US" w:eastAsia="zh-CN"/>
              </w:rPr>
              <w:t>5、</w:t>
            </w:r>
            <w:r>
              <w:rPr>
                <w:rFonts w:hint="eastAsia"/>
                <w:sz w:val="24"/>
                <w:szCs w:val="24"/>
              </w:rPr>
              <w:t>云服务商需具备可信云-应用托管容器服务，提供得</w:t>
            </w:r>
            <w:r>
              <w:rPr>
                <w:rFonts w:hint="eastAsia"/>
                <w:sz w:val="24"/>
                <w:szCs w:val="24"/>
                <w:lang w:val="en-US" w:eastAsia="zh-CN"/>
              </w:rPr>
              <w:t>2</w:t>
            </w:r>
            <w:r>
              <w:rPr>
                <w:rFonts w:hint="eastAsia"/>
                <w:sz w:val="24"/>
                <w:szCs w:val="24"/>
              </w:rPr>
              <w:t>分。</w:t>
            </w:r>
          </w:p>
        </w:tc>
      </w:tr>
      <w:tr>
        <w:tblPrEx>
          <w:tblCellMar>
            <w:top w:w="15" w:type="dxa"/>
            <w:left w:w="15" w:type="dxa"/>
            <w:bottom w:w="15" w:type="dxa"/>
            <w:right w:w="15" w:type="dxa"/>
          </w:tblCellMar>
        </w:tblPrEx>
        <w:trPr>
          <w:trHeight w:val="579" w:hRule="atLeast"/>
        </w:trPr>
        <w:tc>
          <w:tcPr>
            <w:tcW w:w="9654" w:type="dxa"/>
            <w:gridSpan w:val="4"/>
            <w:tcBorders>
              <w:top w:val="single" w:color="auto" w:sz="4" w:space="0"/>
              <w:left w:val="single" w:color="000000" w:sz="4" w:space="0"/>
              <w:bottom w:val="single" w:color="000000" w:sz="4" w:space="0"/>
              <w:right w:val="single" w:color="000000" w:sz="4" w:space="0"/>
            </w:tcBorders>
            <w:vAlign w:val="center"/>
          </w:tcPr>
          <w:p>
            <w:pPr>
              <w:jc w:val="center"/>
              <w:textAlignment w:val="baseline"/>
              <w:rPr>
                <w:sz w:val="20"/>
              </w:rPr>
            </w:pPr>
            <w:r>
              <w:rPr>
                <w:rFonts w:hint="eastAsia"/>
              </w:rPr>
              <w:t>技术部分（</w:t>
            </w:r>
            <w:r>
              <w:rPr>
                <w:rFonts w:hint="eastAsia"/>
                <w:lang w:val="en-US" w:eastAsia="zh-CN"/>
              </w:rPr>
              <w:t>53</w:t>
            </w:r>
            <w:r>
              <w:rPr>
                <w:rFonts w:hint="eastAsia"/>
              </w:rPr>
              <w:t>分）</w:t>
            </w:r>
          </w:p>
        </w:tc>
      </w:tr>
      <w:tr>
        <w:tblPrEx>
          <w:tblCellMar>
            <w:top w:w="15" w:type="dxa"/>
            <w:left w:w="15" w:type="dxa"/>
            <w:bottom w:w="15" w:type="dxa"/>
            <w:right w:w="15" w:type="dxa"/>
          </w:tblCellMar>
        </w:tblPrEx>
        <w:trPr>
          <w:trHeight w:val="744" w:hRule="atLeast"/>
        </w:trPr>
        <w:tc>
          <w:tcPr>
            <w:tcW w:w="705" w:type="dxa"/>
            <w:tcBorders>
              <w:top w:val="single" w:color="auto" w:sz="4" w:space="0"/>
              <w:left w:val="single" w:color="000000" w:sz="4" w:space="0"/>
              <w:bottom w:val="single" w:color="000000" w:sz="4" w:space="0"/>
              <w:right w:val="single" w:color="000000" w:sz="4" w:space="0"/>
            </w:tcBorders>
            <w:vAlign w:val="center"/>
          </w:tcPr>
          <w:p>
            <w:pPr>
              <w:jc w:val="center"/>
              <w:textAlignment w:val="baseline"/>
              <w:rPr>
                <w:rFonts w:hint="eastAsia" w:eastAsia="宋体"/>
                <w:b/>
                <w:i/>
                <w:caps/>
                <w:lang w:eastAsia="zh-CN"/>
              </w:rPr>
            </w:pPr>
            <w:r>
              <w:rPr>
                <w:rFonts w:hint="eastAsia"/>
                <w:lang w:val="en-US" w:eastAsia="zh-CN"/>
              </w:rPr>
              <w:t>1</w:t>
            </w:r>
          </w:p>
        </w:tc>
        <w:tc>
          <w:tcPr>
            <w:tcW w:w="1202" w:type="dxa"/>
            <w:tcBorders>
              <w:top w:val="single" w:color="auto" w:sz="4" w:space="0"/>
              <w:left w:val="single" w:color="000000" w:sz="4" w:space="0"/>
              <w:bottom w:val="single" w:color="000000" w:sz="4" w:space="0"/>
              <w:right w:val="single" w:color="000000" w:sz="4" w:space="0"/>
            </w:tcBorders>
            <w:vAlign w:val="center"/>
          </w:tcPr>
          <w:p>
            <w:pPr>
              <w:jc w:val="center"/>
              <w:textAlignment w:val="baseline"/>
              <w:rPr>
                <w:b/>
                <w:i/>
                <w:caps/>
              </w:rPr>
            </w:pPr>
            <w:r>
              <w:rPr>
                <w:rFonts w:hint="eastAsia" w:ascii="宋体" w:hAnsi="宋体" w:eastAsia="宋体" w:cs="仿宋"/>
                <w:color w:val="auto"/>
                <w:sz w:val="24"/>
                <w:szCs w:val="24"/>
                <w:highlight w:val="none"/>
                <w:lang w:val="en-US" w:eastAsia="zh-CN"/>
              </w:rPr>
              <w:t>需求响应程度</w:t>
            </w:r>
          </w:p>
        </w:tc>
        <w:tc>
          <w:tcPr>
            <w:tcW w:w="818" w:type="dxa"/>
            <w:tcBorders>
              <w:top w:val="single" w:color="auto" w:sz="4" w:space="0"/>
              <w:bottom w:val="single" w:color="000000" w:sz="4" w:space="0"/>
              <w:right w:val="single" w:color="000000" w:sz="4" w:space="0"/>
            </w:tcBorders>
            <w:vAlign w:val="center"/>
          </w:tcPr>
          <w:p>
            <w:pPr>
              <w:jc w:val="center"/>
              <w:textAlignment w:val="baseline"/>
              <w:rPr>
                <w:rFonts w:hint="default" w:eastAsia="宋体"/>
                <w:sz w:val="20"/>
                <w:lang w:val="en-US" w:eastAsia="zh-CN"/>
              </w:rPr>
            </w:pPr>
            <w:r>
              <w:rPr>
                <w:rFonts w:hint="eastAsia"/>
                <w:lang w:val="en-US" w:eastAsia="zh-CN"/>
              </w:rPr>
              <w:t>20</w:t>
            </w:r>
          </w:p>
        </w:tc>
        <w:tc>
          <w:tcPr>
            <w:tcW w:w="6929" w:type="dxa"/>
            <w:tcBorders>
              <w:top w:val="single" w:color="auto" w:sz="4" w:space="0"/>
              <w:bottom w:val="single" w:color="000000" w:sz="4" w:space="0"/>
              <w:right w:val="single" w:color="000000" w:sz="4" w:space="0"/>
            </w:tcBorders>
            <w:vAlign w:val="center"/>
          </w:tcPr>
          <w:p>
            <w:pPr>
              <w:textAlignment w:val="baseline"/>
              <w:rPr>
                <w:b/>
                <w:i/>
                <w:caps/>
              </w:rPr>
            </w:pPr>
            <w:r>
              <w:rPr>
                <w:rFonts w:hint="eastAsia" w:ascii="宋体" w:hAnsi="宋体" w:cs="宋体"/>
                <w:color w:val="auto"/>
                <w:kern w:val="0"/>
                <w:sz w:val="24"/>
                <w:szCs w:val="24"/>
                <w:highlight w:val="none"/>
                <w:lang w:val="en-US" w:eastAsia="zh-CN"/>
              </w:rPr>
              <w:t>服务商</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响应文件</w:t>
            </w:r>
            <w:r>
              <w:rPr>
                <w:rFonts w:hint="eastAsia" w:ascii="宋体" w:hAnsi="宋体" w:eastAsia="宋体" w:cs="宋体"/>
                <w:color w:val="auto"/>
                <w:kern w:val="0"/>
                <w:sz w:val="24"/>
                <w:szCs w:val="24"/>
                <w:highlight w:val="none"/>
                <w:lang w:val="en-US" w:eastAsia="zh-CN"/>
              </w:rPr>
              <w:t>中</w:t>
            </w:r>
            <w:r>
              <w:rPr>
                <w:rFonts w:hint="eastAsia" w:ascii="宋体" w:hAnsi="宋体" w:eastAsia="宋体" w:cs="宋体"/>
                <w:color w:val="auto"/>
                <w:kern w:val="0"/>
                <w:sz w:val="24"/>
                <w:szCs w:val="24"/>
                <w:highlight w:val="none"/>
              </w:rPr>
              <w:t>功能要求及相关参数</w:t>
            </w:r>
            <w:r>
              <w:rPr>
                <w:rFonts w:hint="eastAsia" w:ascii="宋体" w:hAnsi="宋体" w:cs="宋体"/>
                <w:color w:val="auto"/>
                <w:kern w:val="0"/>
                <w:sz w:val="24"/>
                <w:szCs w:val="24"/>
                <w:highlight w:val="none"/>
                <w:lang w:val="en-US" w:eastAsia="zh-CN"/>
              </w:rPr>
              <w:t>需要</w:t>
            </w:r>
            <w:r>
              <w:rPr>
                <w:rFonts w:hint="eastAsia" w:ascii="宋体" w:hAnsi="宋体" w:eastAsia="宋体" w:cs="宋体"/>
                <w:color w:val="auto"/>
                <w:kern w:val="0"/>
                <w:sz w:val="24"/>
                <w:szCs w:val="24"/>
                <w:highlight w:val="none"/>
              </w:rPr>
              <w:t>满足或优于 “各功能要求及相关参数”，此项最高的</w:t>
            </w:r>
            <w:r>
              <w:rPr>
                <w:rFonts w:hint="eastAsia" w:ascii="宋体" w:hAnsi="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参数不满足，每项扣2分，扣完为止</w:t>
            </w:r>
            <w:r>
              <w:rPr>
                <w:rFonts w:hint="eastAsia" w:ascii="宋体" w:hAnsi="宋体" w:eastAsia="宋体" w:cs="宋体"/>
                <w:color w:val="auto"/>
                <w:kern w:val="0"/>
                <w:sz w:val="24"/>
                <w:szCs w:val="24"/>
                <w:highlight w:val="none"/>
              </w:rPr>
              <w:t>。</w:t>
            </w:r>
          </w:p>
        </w:tc>
      </w:tr>
      <w:tr>
        <w:tblPrEx>
          <w:tblCellMar>
            <w:top w:w="15" w:type="dxa"/>
            <w:left w:w="15" w:type="dxa"/>
            <w:bottom w:w="15" w:type="dxa"/>
            <w:right w:w="15" w:type="dxa"/>
          </w:tblCellMar>
        </w:tblPrEx>
        <w:trPr>
          <w:trHeight w:val="726" w:hRule="atLeast"/>
        </w:trPr>
        <w:tc>
          <w:tcPr>
            <w:tcW w:w="705" w:type="dxa"/>
            <w:tcBorders>
              <w:top w:val="single" w:color="000000" w:sz="4" w:space="0"/>
              <w:left w:val="single" w:color="000000" w:sz="4" w:space="0"/>
              <w:bottom w:val="single" w:color="auto" w:sz="4" w:space="0"/>
              <w:right w:val="single" w:color="000000" w:sz="4" w:space="0"/>
            </w:tcBorders>
            <w:vAlign w:val="center"/>
          </w:tcPr>
          <w:p>
            <w:pPr>
              <w:jc w:val="center"/>
              <w:textAlignment w:val="baseline"/>
              <w:rPr>
                <w:rFonts w:hint="eastAsia" w:eastAsia="宋体"/>
                <w:b/>
                <w:i/>
                <w:caps/>
                <w:lang w:eastAsia="zh-CN"/>
              </w:rPr>
            </w:pPr>
            <w:r>
              <w:rPr>
                <w:rFonts w:hint="eastAsia"/>
                <w:lang w:val="en-US" w:eastAsia="zh-CN"/>
              </w:rPr>
              <w:t>2</w:t>
            </w:r>
          </w:p>
        </w:tc>
        <w:tc>
          <w:tcPr>
            <w:tcW w:w="1202" w:type="dxa"/>
            <w:tcBorders>
              <w:left w:val="single" w:color="000000" w:sz="4" w:space="0"/>
              <w:bottom w:val="single" w:color="auto" w:sz="4" w:space="0"/>
              <w:right w:val="single" w:color="000000" w:sz="4" w:space="0"/>
            </w:tcBorders>
            <w:vAlign w:val="center"/>
          </w:tcPr>
          <w:p>
            <w:pPr>
              <w:jc w:val="center"/>
              <w:textAlignment w:val="baseline"/>
              <w:rPr>
                <w:b/>
                <w:i/>
                <w:caps/>
              </w:rPr>
            </w:pPr>
            <w:r>
              <w:rPr>
                <w:rFonts w:hint="eastAsia" w:ascii="宋体" w:hAnsi="宋体" w:eastAsia="宋体" w:cs="宋体"/>
                <w:color w:val="auto"/>
                <w:kern w:val="0"/>
                <w:sz w:val="24"/>
                <w:szCs w:val="24"/>
                <w:highlight w:val="none"/>
              </w:rPr>
              <w:t>服务实施方案</w:t>
            </w:r>
          </w:p>
        </w:tc>
        <w:tc>
          <w:tcPr>
            <w:tcW w:w="818" w:type="dxa"/>
            <w:tcBorders>
              <w:bottom w:val="single" w:color="auto" w:sz="4" w:space="0"/>
              <w:right w:val="single" w:color="000000" w:sz="4" w:space="0"/>
            </w:tcBorders>
            <w:vAlign w:val="center"/>
          </w:tcPr>
          <w:p>
            <w:pPr>
              <w:jc w:val="center"/>
              <w:textAlignment w:val="baseline"/>
              <w:rPr>
                <w:rFonts w:hint="default" w:eastAsia="宋体"/>
                <w:sz w:val="20"/>
                <w:lang w:val="en-US" w:eastAsia="zh-CN"/>
              </w:rPr>
            </w:pPr>
            <w:r>
              <w:rPr>
                <w:rFonts w:hint="eastAsia"/>
                <w:lang w:val="en-US" w:eastAsia="zh-CN"/>
              </w:rPr>
              <w:t>15</w:t>
            </w:r>
          </w:p>
        </w:tc>
        <w:tc>
          <w:tcPr>
            <w:tcW w:w="6929" w:type="dxa"/>
            <w:tcBorders>
              <w:bottom w:val="single" w:color="auto" w:sz="4" w:space="0"/>
              <w:right w:val="single" w:color="000000" w:sz="4" w:space="0"/>
            </w:tcBorders>
            <w:vAlign w:val="center"/>
          </w:tcPr>
          <w:p>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根据</w:t>
            </w:r>
            <w:r>
              <w:rPr>
                <w:rFonts w:hint="eastAsia" w:ascii="宋体" w:hAnsi="宋体" w:cs="宋体"/>
                <w:color w:val="auto"/>
                <w:kern w:val="0"/>
                <w:sz w:val="24"/>
                <w:szCs w:val="24"/>
                <w:highlight w:val="none"/>
                <w:lang w:val="en-US" w:eastAsia="zh-CN"/>
              </w:rPr>
              <w:t>服务商</w:t>
            </w:r>
            <w:r>
              <w:rPr>
                <w:rFonts w:hint="eastAsia" w:ascii="宋体" w:hAnsi="宋体" w:eastAsia="宋体" w:cs="宋体"/>
                <w:color w:val="auto"/>
                <w:kern w:val="0"/>
                <w:sz w:val="24"/>
                <w:szCs w:val="24"/>
                <w:highlight w:val="none"/>
                <w:lang w:val="en-US" w:eastAsia="zh-CN"/>
              </w:rPr>
              <w:t>服务实施方案（技术服务完备程度、人员配备和团队情况、响应程度）进行综合比较打分：</w:t>
            </w:r>
          </w:p>
          <w:p>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1、方案合理，内容详细，措施完善，可行性强，完全满足或优于招标要求得11-1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分；</w:t>
            </w:r>
          </w:p>
          <w:p>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2、方案较合理，内容较详细，措施合理，可行性较好，达到招标要求，得6-10分；</w:t>
            </w:r>
          </w:p>
          <w:p>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3、方案内容有遗漏，措施欠合理，可行性较差或低于其他档次投标人，得0-4分。</w:t>
            </w:r>
          </w:p>
          <w:p>
            <w:pPr>
              <w:textAlignment w:val="baseline"/>
              <w:rPr>
                <w:b/>
                <w:i/>
                <w:caps/>
              </w:rPr>
            </w:pPr>
            <w:r>
              <w:rPr>
                <w:rFonts w:hint="eastAsia" w:ascii="宋体" w:hAnsi="宋体" w:eastAsia="宋体" w:cs="宋体"/>
                <w:color w:val="auto"/>
                <w:kern w:val="0"/>
                <w:sz w:val="24"/>
                <w:szCs w:val="24"/>
                <w:highlight w:val="none"/>
                <w:lang w:val="en-US" w:eastAsia="zh-CN"/>
              </w:rPr>
              <w:t>4、不提供不得分。</w:t>
            </w:r>
          </w:p>
        </w:tc>
      </w:tr>
      <w:tr>
        <w:tblPrEx>
          <w:tblCellMar>
            <w:top w:w="15" w:type="dxa"/>
            <w:left w:w="15" w:type="dxa"/>
            <w:bottom w:w="15" w:type="dxa"/>
            <w:right w:w="15" w:type="dxa"/>
          </w:tblCellMar>
        </w:tblPrEx>
        <w:trPr>
          <w:trHeight w:val="432"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eastAsia" w:eastAsia="宋体"/>
                <w:b/>
                <w:i/>
                <w:caps/>
                <w:lang w:eastAsia="zh-CN"/>
              </w:rPr>
            </w:pPr>
            <w:r>
              <w:rPr>
                <w:rFonts w:hint="eastAsia"/>
                <w:lang w:val="en-US" w:eastAsia="zh-CN"/>
              </w:rPr>
              <w:t>3</w:t>
            </w:r>
          </w:p>
        </w:tc>
        <w:tc>
          <w:tcPr>
            <w:tcW w:w="120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sz w:val="20"/>
              </w:rPr>
            </w:pPr>
            <w:r>
              <w:rPr>
                <w:rFonts w:hint="eastAsia" w:ascii="宋体" w:hAnsi="宋体" w:eastAsia="宋体" w:cs="宋体"/>
                <w:color w:val="auto"/>
                <w:kern w:val="0"/>
                <w:sz w:val="24"/>
                <w:szCs w:val="24"/>
                <w:highlight w:val="none"/>
              </w:rPr>
              <w:t>培训方案</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default" w:eastAsia="宋体"/>
                <w:sz w:val="20"/>
                <w:lang w:val="en-US" w:eastAsia="zh-CN"/>
              </w:rPr>
            </w:pPr>
            <w:r>
              <w:rPr>
                <w:rFonts w:hint="eastAsia"/>
                <w:lang w:val="en-US" w:eastAsia="zh-CN"/>
              </w:rPr>
              <w:t>8</w:t>
            </w:r>
          </w:p>
        </w:tc>
        <w:tc>
          <w:tcPr>
            <w:tcW w:w="6929" w:type="dxa"/>
            <w:tcBorders>
              <w:left w:val="single" w:color="auto" w:sz="4" w:space="0"/>
              <w:bottom w:val="single" w:color="auto" w:sz="4" w:space="0"/>
              <w:right w:val="single" w:color="000000" w:sz="4" w:space="0"/>
            </w:tcBorders>
            <w:vAlign w:val="center"/>
          </w:tcPr>
          <w:p>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服务商</w:t>
            </w:r>
            <w:r>
              <w:rPr>
                <w:rFonts w:hint="eastAsia" w:ascii="宋体" w:hAnsi="宋体" w:eastAsia="宋体" w:cs="宋体"/>
                <w:color w:val="auto"/>
                <w:kern w:val="0"/>
                <w:sz w:val="24"/>
                <w:szCs w:val="24"/>
                <w:highlight w:val="none"/>
              </w:rPr>
              <w:t>提交的培训方案，满足采购人实际要求，安排合理，保障培训人员，实施性和针对性等方面进行评分</w:t>
            </w:r>
            <w:r>
              <w:rPr>
                <w:rFonts w:hint="eastAsia" w:ascii="宋体" w:hAnsi="宋体" w:eastAsia="宋体" w:cs="宋体"/>
                <w:color w:val="auto"/>
                <w:kern w:val="0"/>
                <w:sz w:val="24"/>
                <w:szCs w:val="24"/>
                <w:highlight w:val="none"/>
                <w:lang w:val="en-US" w:eastAsia="zh-CN"/>
              </w:rPr>
              <w:t>:</w:t>
            </w:r>
          </w:p>
          <w:p>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培训方案满足采购人实际要求，安排合理，</w:t>
            </w:r>
            <w:r>
              <w:rPr>
                <w:rFonts w:hint="eastAsia" w:ascii="宋体" w:hAnsi="宋体" w:eastAsia="宋体" w:cs="宋体"/>
                <w:color w:val="auto"/>
                <w:kern w:val="0"/>
                <w:sz w:val="24"/>
                <w:szCs w:val="24"/>
                <w:highlight w:val="none"/>
                <w:lang w:val="en-US" w:eastAsia="zh-CN"/>
              </w:rPr>
              <w:t>具有</w:t>
            </w:r>
            <w:r>
              <w:rPr>
                <w:rFonts w:hint="eastAsia" w:ascii="宋体" w:hAnsi="宋体" w:eastAsia="宋体" w:cs="宋体"/>
                <w:color w:val="auto"/>
                <w:kern w:val="0"/>
                <w:sz w:val="24"/>
                <w:szCs w:val="24"/>
                <w:highlight w:val="none"/>
              </w:rPr>
              <w:t>保障培训人员</w:t>
            </w:r>
            <w:r>
              <w:rPr>
                <w:rFonts w:hint="eastAsia" w:ascii="宋体" w:hAnsi="宋体" w:eastAsia="宋体" w:cs="宋体"/>
                <w:color w:val="auto"/>
                <w:kern w:val="0"/>
                <w:sz w:val="24"/>
                <w:szCs w:val="24"/>
                <w:highlight w:val="none"/>
                <w:lang w:val="en-US" w:eastAsia="zh-CN"/>
              </w:rPr>
              <w:t>的能力</w:t>
            </w:r>
            <w:r>
              <w:rPr>
                <w:rFonts w:hint="eastAsia" w:ascii="宋体" w:hAnsi="宋体" w:eastAsia="宋体" w:cs="宋体"/>
                <w:color w:val="auto"/>
                <w:kern w:val="0"/>
                <w:sz w:val="24"/>
                <w:szCs w:val="24"/>
                <w:highlight w:val="none"/>
              </w:rPr>
              <w:t>，实施性和针对性</w:t>
            </w:r>
            <w:r>
              <w:rPr>
                <w:rFonts w:hint="eastAsia" w:ascii="宋体" w:hAnsi="宋体" w:eastAsia="宋体" w:cs="宋体"/>
                <w:color w:val="auto"/>
                <w:kern w:val="0"/>
                <w:sz w:val="24"/>
                <w:szCs w:val="24"/>
                <w:highlight w:val="none"/>
                <w:lang w:val="en-US" w:eastAsia="zh-CN"/>
              </w:rPr>
              <w:t>强</w:t>
            </w:r>
            <w:r>
              <w:rPr>
                <w:rFonts w:hint="eastAsia" w:ascii="宋体" w:hAnsi="宋体" w:eastAsia="宋体" w:cs="宋体"/>
                <w:color w:val="auto"/>
                <w:kern w:val="0"/>
                <w:sz w:val="24"/>
                <w:szCs w:val="24"/>
                <w:highlight w:val="none"/>
              </w:rPr>
              <w:t>得</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培训方案</w:t>
            </w:r>
            <w:r>
              <w:rPr>
                <w:rFonts w:hint="eastAsia" w:ascii="宋体" w:hAnsi="宋体" w:eastAsia="宋体" w:cs="宋体"/>
                <w:color w:val="auto"/>
                <w:kern w:val="0"/>
                <w:sz w:val="24"/>
                <w:szCs w:val="24"/>
                <w:highlight w:val="none"/>
                <w:lang w:val="en-US" w:eastAsia="zh-CN"/>
              </w:rPr>
              <w:t>基本</w:t>
            </w:r>
            <w:r>
              <w:rPr>
                <w:rFonts w:hint="eastAsia" w:ascii="宋体" w:hAnsi="宋体" w:eastAsia="宋体" w:cs="宋体"/>
                <w:color w:val="auto"/>
                <w:kern w:val="0"/>
                <w:sz w:val="24"/>
                <w:szCs w:val="24"/>
                <w:highlight w:val="none"/>
              </w:rPr>
              <w:t>满足采购人实际要求，安排</w:t>
            </w:r>
            <w:r>
              <w:rPr>
                <w:rFonts w:hint="eastAsia" w:ascii="宋体" w:hAnsi="宋体" w:eastAsia="宋体" w:cs="宋体"/>
                <w:color w:val="auto"/>
                <w:kern w:val="0"/>
                <w:sz w:val="24"/>
                <w:szCs w:val="24"/>
                <w:highlight w:val="none"/>
                <w:lang w:val="en-US" w:eastAsia="zh-CN"/>
              </w:rPr>
              <w:t>基本</w:t>
            </w:r>
            <w:r>
              <w:rPr>
                <w:rFonts w:hint="eastAsia" w:ascii="宋体" w:hAnsi="宋体" w:eastAsia="宋体" w:cs="宋体"/>
                <w:color w:val="auto"/>
                <w:kern w:val="0"/>
                <w:sz w:val="24"/>
                <w:szCs w:val="24"/>
                <w:highlight w:val="none"/>
              </w:rPr>
              <w:t>合理，</w:t>
            </w:r>
            <w:r>
              <w:rPr>
                <w:rFonts w:hint="eastAsia" w:ascii="宋体" w:hAnsi="宋体" w:eastAsia="宋体" w:cs="宋体"/>
                <w:color w:val="auto"/>
                <w:kern w:val="0"/>
                <w:sz w:val="24"/>
                <w:szCs w:val="24"/>
                <w:highlight w:val="none"/>
                <w:lang w:val="en-US" w:eastAsia="zh-CN"/>
              </w:rPr>
              <w:t>具有一定的</w:t>
            </w:r>
            <w:r>
              <w:rPr>
                <w:rFonts w:hint="eastAsia" w:ascii="宋体" w:hAnsi="宋体" w:eastAsia="宋体" w:cs="宋体"/>
                <w:color w:val="auto"/>
                <w:kern w:val="0"/>
                <w:sz w:val="24"/>
                <w:szCs w:val="24"/>
                <w:highlight w:val="none"/>
              </w:rPr>
              <w:t>保障培训人员</w:t>
            </w:r>
            <w:r>
              <w:rPr>
                <w:rFonts w:hint="eastAsia" w:ascii="宋体" w:hAnsi="宋体" w:eastAsia="宋体" w:cs="宋体"/>
                <w:color w:val="auto"/>
                <w:kern w:val="0"/>
                <w:sz w:val="24"/>
                <w:szCs w:val="24"/>
                <w:highlight w:val="none"/>
                <w:lang w:val="en-US" w:eastAsia="zh-CN"/>
              </w:rPr>
              <w:t>能力</w:t>
            </w:r>
            <w:r>
              <w:rPr>
                <w:rFonts w:hint="eastAsia" w:ascii="宋体" w:hAnsi="宋体" w:eastAsia="宋体" w:cs="宋体"/>
                <w:color w:val="auto"/>
                <w:kern w:val="0"/>
                <w:sz w:val="24"/>
                <w:szCs w:val="24"/>
                <w:highlight w:val="none"/>
              </w:rPr>
              <w:t>，实施性和针对性</w:t>
            </w:r>
            <w:r>
              <w:rPr>
                <w:rFonts w:hint="eastAsia" w:ascii="宋体" w:hAnsi="宋体" w:eastAsia="宋体" w:cs="宋体"/>
                <w:color w:val="auto"/>
                <w:kern w:val="0"/>
                <w:sz w:val="24"/>
                <w:szCs w:val="24"/>
                <w:highlight w:val="none"/>
                <w:lang w:val="en-US" w:eastAsia="zh-CN"/>
              </w:rPr>
              <w:t>良好</w:t>
            </w:r>
            <w:r>
              <w:rPr>
                <w:rFonts w:hint="eastAsia" w:ascii="宋体" w:hAnsi="宋体" w:eastAsia="宋体" w:cs="宋体"/>
                <w:color w:val="auto"/>
                <w:kern w:val="0"/>
                <w:sz w:val="24"/>
                <w:szCs w:val="24"/>
                <w:highlight w:val="none"/>
              </w:rPr>
              <w:t>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培训方案</w:t>
            </w:r>
            <w:r>
              <w:rPr>
                <w:rFonts w:hint="eastAsia" w:ascii="宋体" w:hAnsi="宋体" w:eastAsia="宋体" w:cs="宋体"/>
                <w:color w:val="auto"/>
                <w:kern w:val="0"/>
                <w:sz w:val="24"/>
                <w:szCs w:val="24"/>
                <w:highlight w:val="none"/>
                <w:lang w:val="en-US" w:eastAsia="zh-CN"/>
              </w:rPr>
              <w:t>符合</w:t>
            </w:r>
            <w:r>
              <w:rPr>
                <w:rFonts w:hint="eastAsia" w:ascii="宋体" w:hAnsi="宋体" w:eastAsia="宋体" w:cs="宋体"/>
                <w:color w:val="auto"/>
                <w:kern w:val="0"/>
                <w:sz w:val="24"/>
                <w:szCs w:val="24"/>
                <w:highlight w:val="none"/>
              </w:rPr>
              <w:t>采购人要求，安排</w:t>
            </w:r>
            <w:r>
              <w:rPr>
                <w:rFonts w:hint="eastAsia" w:ascii="宋体" w:hAnsi="宋体" w:eastAsia="宋体" w:cs="宋体"/>
                <w:color w:val="auto"/>
                <w:kern w:val="0"/>
                <w:sz w:val="24"/>
                <w:szCs w:val="24"/>
                <w:highlight w:val="none"/>
                <w:lang w:val="en-US" w:eastAsia="zh-CN"/>
              </w:rPr>
              <w:t>一般</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有</w:t>
            </w:r>
            <w:r>
              <w:rPr>
                <w:rFonts w:hint="eastAsia" w:ascii="宋体" w:hAnsi="宋体" w:eastAsia="宋体" w:cs="宋体"/>
                <w:color w:val="auto"/>
                <w:kern w:val="0"/>
                <w:sz w:val="24"/>
                <w:szCs w:val="24"/>
                <w:highlight w:val="none"/>
              </w:rPr>
              <w:t>培训人员</w:t>
            </w:r>
            <w:r>
              <w:rPr>
                <w:rFonts w:hint="eastAsia" w:ascii="宋体" w:hAnsi="宋体" w:eastAsia="宋体" w:cs="宋体"/>
                <w:color w:val="auto"/>
                <w:kern w:val="0"/>
                <w:sz w:val="24"/>
                <w:szCs w:val="24"/>
                <w:highlight w:val="none"/>
                <w:lang w:val="en-US" w:eastAsia="zh-CN"/>
              </w:rPr>
              <w:t>的能力</w:t>
            </w:r>
            <w:r>
              <w:rPr>
                <w:rFonts w:hint="eastAsia" w:ascii="宋体" w:hAnsi="宋体" w:eastAsia="宋体" w:cs="宋体"/>
                <w:color w:val="auto"/>
                <w:kern w:val="0"/>
                <w:sz w:val="24"/>
                <w:szCs w:val="24"/>
                <w:highlight w:val="none"/>
              </w:rPr>
              <w:t>，实施性和针对性</w:t>
            </w:r>
            <w:r>
              <w:rPr>
                <w:rFonts w:hint="eastAsia" w:ascii="宋体" w:hAnsi="宋体" w:eastAsia="宋体" w:cs="宋体"/>
                <w:color w:val="auto"/>
                <w:kern w:val="0"/>
                <w:sz w:val="24"/>
                <w:szCs w:val="24"/>
                <w:highlight w:val="none"/>
                <w:lang w:val="en-US" w:eastAsia="zh-CN"/>
              </w:rPr>
              <w:t>一般</w:t>
            </w:r>
            <w:r>
              <w:rPr>
                <w:rFonts w:hint="eastAsia" w:ascii="宋体" w:hAnsi="宋体" w:eastAsia="宋体" w:cs="宋体"/>
                <w:color w:val="auto"/>
                <w:kern w:val="0"/>
                <w:sz w:val="24"/>
                <w:szCs w:val="24"/>
                <w:highlight w:val="none"/>
              </w:rPr>
              <w:t>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p>
          <w:p>
            <w:pPr>
              <w:textAlignment w:val="baseline"/>
              <w:rPr>
                <w:b/>
                <w:i/>
                <w:caps/>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培训方案</w:t>
            </w:r>
            <w:r>
              <w:rPr>
                <w:rFonts w:hint="eastAsia" w:ascii="宋体" w:hAnsi="宋体" w:eastAsia="宋体" w:cs="宋体"/>
                <w:color w:val="auto"/>
                <w:kern w:val="0"/>
                <w:sz w:val="24"/>
                <w:szCs w:val="24"/>
                <w:highlight w:val="none"/>
                <w:lang w:val="en-US" w:eastAsia="zh-CN"/>
              </w:rPr>
              <w:t>不太符合</w:t>
            </w:r>
            <w:r>
              <w:rPr>
                <w:rFonts w:hint="eastAsia" w:ascii="宋体" w:hAnsi="宋体" w:eastAsia="宋体" w:cs="宋体"/>
                <w:color w:val="auto"/>
                <w:kern w:val="0"/>
                <w:sz w:val="24"/>
                <w:szCs w:val="24"/>
                <w:highlight w:val="none"/>
              </w:rPr>
              <w:t>采购人要求，安排</w:t>
            </w:r>
            <w:r>
              <w:rPr>
                <w:rFonts w:hint="eastAsia" w:ascii="宋体" w:hAnsi="宋体" w:eastAsia="宋体" w:cs="宋体"/>
                <w:color w:val="auto"/>
                <w:kern w:val="0"/>
                <w:sz w:val="24"/>
                <w:szCs w:val="24"/>
                <w:highlight w:val="none"/>
                <w:lang w:val="en-US" w:eastAsia="zh-CN"/>
              </w:rPr>
              <w:t>较差</w:t>
            </w:r>
            <w:r>
              <w:rPr>
                <w:rFonts w:hint="eastAsia" w:ascii="宋体" w:hAnsi="宋体" w:eastAsia="宋体" w:cs="宋体"/>
                <w:color w:val="auto"/>
                <w:kern w:val="0"/>
                <w:sz w:val="24"/>
                <w:szCs w:val="24"/>
                <w:highlight w:val="none"/>
              </w:rPr>
              <w:t>，实施性和针对性差得0分</w:t>
            </w:r>
            <w:r>
              <w:rPr>
                <w:rFonts w:hint="eastAsia" w:ascii="宋体" w:hAnsi="宋体" w:eastAsia="宋体" w:cs="宋体"/>
                <w:color w:val="auto"/>
                <w:kern w:val="0"/>
                <w:sz w:val="24"/>
                <w:szCs w:val="24"/>
                <w:highlight w:val="none"/>
                <w:lang w:eastAsia="zh-CN"/>
              </w:rPr>
              <w:t>。</w:t>
            </w:r>
          </w:p>
        </w:tc>
      </w:tr>
      <w:tr>
        <w:tblPrEx>
          <w:tblCellMar>
            <w:top w:w="15" w:type="dxa"/>
            <w:left w:w="15" w:type="dxa"/>
            <w:bottom w:w="15" w:type="dxa"/>
            <w:right w:w="15" w:type="dxa"/>
          </w:tblCellMar>
        </w:tblPrEx>
        <w:trPr>
          <w:trHeight w:val="3553"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eastAsia" w:eastAsia="宋体"/>
                <w:sz w:val="20"/>
                <w:lang w:eastAsia="zh-CN"/>
              </w:rPr>
            </w:pPr>
            <w:r>
              <w:rPr>
                <w:rFonts w:hint="eastAsia"/>
                <w:lang w:val="en-US" w:eastAsia="zh-CN"/>
              </w:rPr>
              <w:t>4</w:t>
            </w:r>
          </w:p>
        </w:tc>
        <w:tc>
          <w:tcPr>
            <w:tcW w:w="120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b/>
                <w:i/>
                <w:caps/>
              </w:rPr>
            </w:pPr>
            <w:r>
              <w:rPr>
                <w:rFonts w:hint="eastAsia" w:ascii="宋体" w:hAnsi="宋体" w:eastAsia="宋体" w:cs="宋体"/>
                <w:color w:val="auto"/>
                <w:kern w:val="0"/>
                <w:sz w:val="24"/>
                <w:szCs w:val="24"/>
                <w:highlight w:val="none"/>
              </w:rPr>
              <w:t>售后服务方案</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default" w:eastAsia="宋体"/>
                <w:sz w:val="20"/>
                <w:lang w:val="en-US" w:eastAsia="zh-CN"/>
              </w:rPr>
            </w:pPr>
            <w:r>
              <w:rPr>
                <w:rFonts w:hint="eastAsia"/>
                <w:lang w:val="en-US" w:eastAsia="zh-CN"/>
              </w:rPr>
              <w:t>10</w:t>
            </w:r>
          </w:p>
        </w:tc>
        <w:tc>
          <w:tcPr>
            <w:tcW w:w="692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根据</w:t>
            </w:r>
            <w:r>
              <w:rPr>
                <w:rFonts w:hint="eastAsia" w:ascii="宋体" w:hAnsi="宋体" w:cs="宋体"/>
                <w:color w:val="auto"/>
                <w:kern w:val="0"/>
                <w:sz w:val="24"/>
                <w:szCs w:val="24"/>
                <w:highlight w:val="none"/>
                <w:lang w:eastAsia="zh-CN"/>
              </w:rPr>
              <w:t>服务商</w:t>
            </w:r>
            <w:r>
              <w:rPr>
                <w:rFonts w:hint="eastAsia" w:ascii="宋体" w:hAnsi="宋体" w:eastAsia="宋体" w:cs="宋体"/>
                <w:color w:val="auto"/>
                <w:kern w:val="0"/>
                <w:sz w:val="24"/>
                <w:szCs w:val="24"/>
                <w:highlight w:val="none"/>
              </w:rPr>
              <w:t>的售后服务方案</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包括：服务机构和人员、服务响应时间、售后服务承诺等内容</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进行综合比较打分</w:t>
            </w:r>
            <w:r>
              <w:rPr>
                <w:rFonts w:hint="eastAsia" w:ascii="宋体" w:hAnsi="宋体" w:eastAsia="宋体" w:cs="宋体"/>
                <w:color w:val="auto"/>
                <w:kern w:val="0"/>
                <w:sz w:val="24"/>
                <w:szCs w:val="24"/>
                <w:highlight w:val="none"/>
                <w:lang w:eastAsia="zh-CN"/>
              </w:rPr>
              <w:t>：</w:t>
            </w:r>
          </w:p>
          <w:p>
            <w:pPr>
              <w:pStyle w:val="13"/>
              <w:keepNext w:val="0"/>
              <w:keepLines w:val="0"/>
              <w:pageBreakBefore w:val="0"/>
              <w:kinsoku/>
              <w:wordWrap/>
              <w:overflowPunct/>
              <w:topLinePunct w:val="0"/>
              <w:autoSpaceDE/>
              <w:autoSpaceDN/>
              <w:bidi w:val="0"/>
              <w:adjustRightInd/>
              <w:spacing w:line="440" w:lineRule="exact"/>
              <w:jc w:val="left"/>
              <w:textAlignment w:val="auto"/>
              <w:rPr>
                <w:rFonts w:hint="eastAsia" w:hAnsi="宋体" w:cs="宋体"/>
                <w:color w:val="auto"/>
                <w:sz w:val="24"/>
                <w:highlight w:val="none"/>
                <w:lang w:val="en-US" w:eastAsia="zh-CN"/>
              </w:rPr>
            </w:pPr>
            <w:r>
              <w:rPr>
                <w:rFonts w:hint="eastAsia" w:hAnsi="宋体" w:cs="宋体"/>
                <w:color w:val="auto"/>
                <w:sz w:val="24"/>
                <w:highlight w:val="none"/>
                <w:lang w:val="en-US" w:eastAsia="zh-CN"/>
              </w:rPr>
              <w:t>1、售后服务方案完全满足项目需要，能够根据实际情况制订，考虑问题周全，实施过程务实，得7-10分；</w:t>
            </w:r>
          </w:p>
          <w:p>
            <w:pPr>
              <w:pStyle w:val="13"/>
              <w:keepNext w:val="0"/>
              <w:keepLines w:val="0"/>
              <w:pageBreakBefore w:val="0"/>
              <w:kinsoku/>
              <w:wordWrap/>
              <w:overflowPunct/>
              <w:topLinePunct w:val="0"/>
              <w:autoSpaceDE/>
              <w:autoSpaceDN/>
              <w:bidi w:val="0"/>
              <w:adjustRightInd/>
              <w:spacing w:line="440" w:lineRule="exact"/>
              <w:jc w:val="left"/>
              <w:textAlignment w:val="auto"/>
              <w:rPr>
                <w:rFonts w:hint="eastAsia" w:hAnsi="宋体" w:cs="宋体"/>
                <w:color w:val="auto"/>
                <w:sz w:val="24"/>
                <w:highlight w:val="none"/>
                <w:lang w:val="en-US" w:eastAsia="zh-CN"/>
              </w:rPr>
            </w:pPr>
            <w:r>
              <w:rPr>
                <w:rFonts w:hint="eastAsia" w:hAnsi="宋体" w:cs="宋体"/>
                <w:color w:val="auto"/>
                <w:sz w:val="24"/>
                <w:highlight w:val="none"/>
                <w:lang w:val="en-US" w:eastAsia="zh-CN"/>
              </w:rPr>
              <w:t>2、售后服务方案满足项目需要，操作性强，得3-6分；</w:t>
            </w:r>
          </w:p>
          <w:p>
            <w:pPr>
              <w:pStyle w:val="13"/>
              <w:keepNext w:val="0"/>
              <w:keepLines w:val="0"/>
              <w:pageBreakBefore w:val="0"/>
              <w:kinsoku/>
              <w:wordWrap/>
              <w:overflowPunct/>
              <w:topLinePunct w:val="0"/>
              <w:autoSpaceDE/>
              <w:autoSpaceDN/>
              <w:bidi w:val="0"/>
              <w:adjustRightInd/>
              <w:spacing w:line="440" w:lineRule="exact"/>
              <w:jc w:val="left"/>
              <w:textAlignment w:val="auto"/>
              <w:rPr>
                <w:rFonts w:hAnsi="宋体" w:cs="宋体"/>
                <w:color w:val="auto"/>
                <w:sz w:val="24"/>
                <w:highlight w:val="none"/>
                <w:lang w:val="en-US" w:eastAsia="zh-CN"/>
              </w:rPr>
            </w:pPr>
            <w:r>
              <w:rPr>
                <w:rFonts w:hint="eastAsia" w:hAnsi="宋体" w:cs="宋体"/>
                <w:color w:val="auto"/>
                <w:sz w:val="24"/>
                <w:highlight w:val="none"/>
                <w:lang w:val="en-US" w:eastAsia="zh-CN"/>
              </w:rPr>
              <w:t>3、售后服务方案基本满足项目需要，操作性一般，得1-3分；</w:t>
            </w:r>
          </w:p>
          <w:p>
            <w:pPr>
              <w:pStyle w:val="13"/>
              <w:keepNext w:val="0"/>
              <w:keepLines w:val="0"/>
              <w:pageBreakBefore w:val="0"/>
              <w:kinsoku/>
              <w:wordWrap/>
              <w:overflowPunct/>
              <w:topLinePunct w:val="0"/>
              <w:autoSpaceDE/>
              <w:autoSpaceDN/>
              <w:bidi w:val="0"/>
              <w:adjustRightInd/>
              <w:spacing w:line="440" w:lineRule="exact"/>
              <w:jc w:val="left"/>
              <w:textAlignment w:val="auto"/>
              <w:rPr>
                <w:rFonts w:ascii="Times New Roman" w:hAnsi="宋体"/>
                <w:b w:val="0"/>
                <w:bCs w:val="0"/>
                <w:szCs w:val="24"/>
              </w:rPr>
            </w:pPr>
            <w:r>
              <w:rPr>
                <w:rFonts w:hint="eastAsia" w:hAnsi="宋体" w:cs="宋体"/>
                <w:color w:val="auto"/>
                <w:sz w:val="24"/>
                <w:highlight w:val="none"/>
                <w:lang w:val="en-US" w:eastAsia="zh-CN"/>
              </w:rPr>
              <w:t>4、售后服务方案不合理，</w:t>
            </w:r>
            <w:r>
              <w:rPr>
                <w:rFonts w:hint="eastAsia" w:ascii="宋体" w:hAnsi="宋体" w:eastAsia="宋体" w:cs="宋体"/>
                <w:b w:val="0"/>
                <w:bCs w:val="0"/>
                <w:color w:val="auto"/>
                <w:kern w:val="2"/>
                <w:sz w:val="24"/>
                <w:szCs w:val="20"/>
                <w:highlight w:val="none"/>
                <w:lang w:val="en-US" w:eastAsia="zh-CN" w:bidi="ar-SA"/>
              </w:rPr>
              <w:t>得0分。</w:t>
            </w:r>
          </w:p>
        </w:tc>
      </w:tr>
    </w:tbl>
    <w:p>
      <w:pPr>
        <w:pStyle w:val="6"/>
      </w:pPr>
    </w:p>
    <w:p>
      <w:pPr>
        <w:bidi w:val="0"/>
        <w:rPr>
          <w:b/>
          <w:bCs/>
        </w:rPr>
      </w:pPr>
      <w:bookmarkStart w:id="241" w:name="_Toc520356171"/>
      <w:bookmarkStart w:id="242" w:name="_Toc9653"/>
      <w:bookmarkStart w:id="243" w:name="_Toc532473481"/>
      <w:bookmarkStart w:id="244" w:name="_Toc23951"/>
      <w:bookmarkStart w:id="245" w:name="_Toc2582295"/>
      <w:bookmarkStart w:id="246" w:name="_Toc515647789"/>
      <w:r>
        <w:rPr>
          <w:rFonts w:hint="eastAsia"/>
          <w:b/>
          <w:bCs/>
        </w:rPr>
        <w:t>2</w:t>
      </w:r>
      <w:bookmarkEnd w:id="241"/>
      <w:r>
        <w:rPr>
          <w:rFonts w:hint="eastAsia"/>
          <w:b/>
          <w:bCs/>
        </w:rPr>
        <w:t>3.确定成交候选人和</w:t>
      </w:r>
      <w:bookmarkEnd w:id="242"/>
      <w:bookmarkEnd w:id="243"/>
      <w:bookmarkEnd w:id="244"/>
      <w:bookmarkEnd w:id="245"/>
      <w:bookmarkEnd w:id="246"/>
      <w:r>
        <w:rPr>
          <w:rFonts w:hint="eastAsia"/>
          <w:b/>
          <w:bCs/>
        </w:rPr>
        <w:t>成交服务商</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23.1   磋商小组按服务商须知前附表中规定数量推荐成交候选服务商，采购人在成交候选供</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应商中按照排序由高到低的原则确定成交服务商。</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   按服务商须知前附表中规定，采购人书面授权磋商小组按照成交候选服务商排序由高到低的原则直接确定成交服务商。</w:t>
      </w:r>
    </w:p>
    <w:p>
      <w:pPr>
        <w:bidi w:val="0"/>
        <w:rPr>
          <w:b/>
          <w:bCs/>
        </w:rPr>
      </w:pPr>
      <w:bookmarkStart w:id="247" w:name="_Toc2582296"/>
      <w:bookmarkStart w:id="248" w:name="_Toc31099"/>
      <w:bookmarkStart w:id="249" w:name="_Toc30170"/>
      <w:bookmarkStart w:id="250" w:name="_Toc520356174"/>
      <w:bookmarkStart w:id="251" w:name="_Toc515647791"/>
      <w:bookmarkStart w:id="252" w:name="_Toc532473483"/>
      <w:r>
        <w:rPr>
          <w:rFonts w:hint="eastAsia"/>
          <w:b/>
          <w:bCs/>
        </w:rPr>
        <w:t>24.发出成交通知书</w:t>
      </w:r>
      <w:bookmarkEnd w:id="247"/>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在响应有效期内，成交服务商确定后，采购人或者采购代理机构发布成交公告。在公告成交结果的同时，向成交服务商发出成交通知书，成交通知书是合同的组成部分。</w:t>
      </w:r>
      <w:bookmarkEnd w:id="248"/>
      <w:bookmarkEnd w:id="249"/>
      <w:bookmarkEnd w:id="250"/>
      <w:bookmarkEnd w:id="251"/>
      <w:bookmarkEnd w:id="252"/>
      <w:bookmarkStart w:id="253" w:name="_Ref467307204"/>
      <w:bookmarkStart w:id="254" w:name="_Toc7779"/>
      <w:bookmarkStart w:id="255" w:name="_Ref467307062"/>
      <w:bookmarkStart w:id="256" w:name="_Ref467306978"/>
      <w:bookmarkStart w:id="257" w:name="_Toc520356175"/>
      <w:bookmarkStart w:id="258" w:name="_Toc515647792"/>
      <w:bookmarkStart w:id="259" w:name="_Toc2582298"/>
      <w:bookmarkStart w:id="260" w:name="_Toc790"/>
      <w:bookmarkStart w:id="261" w:name="_Ref467306377"/>
      <w:bookmarkStart w:id="262" w:name="_Toc532473484"/>
    </w:p>
    <w:p>
      <w:pPr>
        <w:pStyle w:val="2"/>
        <w:bidi w:val="0"/>
        <w:jc w:val="center"/>
      </w:pPr>
      <w:bookmarkStart w:id="263" w:name="_Toc32670"/>
      <w:r>
        <w:rPr>
          <w:rFonts w:hint="eastAsia"/>
        </w:rPr>
        <w:t>（八）合同及履约验收</w:t>
      </w:r>
      <w:bookmarkEnd w:id="263"/>
    </w:p>
    <w:p>
      <w:pPr>
        <w:bidi w:val="0"/>
        <w:rPr>
          <w:b/>
          <w:bCs/>
        </w:rPr>
      </w:pPr>
      <w:r>
        <w:rPr>
          <w:rFonts w:hint="eastAsia"/>
          <w:b/>
          <w:bCs/>
        </w:rPr>
        <w:t>25.签订合同</w:t>
      </w:r>
      <w:bookmarkEnd w:id="253"/>
      <w:bookmarkEnd w:id="254"/>
      <w:bookmarkEnd w:id="255"/>
      <w:bookmarkEnd w:id="256"/>
      <w:bookmarkEnd w:id="257"/>
      <w:bookmarkEnd w:id="258"/>
      <w:bookmarkEnd w:id="259"/>
      <w:bookmarkEnd w:id="260"/>
      <w:bookmarkEnd w:id="261"/>
      <w:bookmarkEnd w:id="262"/>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25.1 采购人与成交服务商应当在成交通知书发出之日起三十日内，签订政府采购合同。</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25.2</w:t>
      </w:r>
      <w:bookmarkStart w:id="264" w:name="_Toc520356176"/>
      <w:bookmarkStart w:id="265" w:name="_Ref467307090"/>
      <w:bookmarkStart w:id="266" w:name="_Ref467306425"/>
      <w:r>
        <w:rPr>
          <w:rFonts w:hint="eastAsia" w:asciiTheme="minorEastAsia" w:hAnsiTheme="minorEastAsia" w:eastAsiaTheme="minorEastAsia" w:cstheme="minorEastAsia"/>
          <w:sz w:val="24"/>
        </w:rPr>
        <w:t xml:space="preserve">  磋商文件、成交服务商的响应文件等均为签订合同的依据。采购人不得向成交人提出</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任何不合理的要求作为签订合同的条件。</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25.3  如成交服务商拒绝与采购人签订合同的，成交服务商须按响应函内容向采购人和采购</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代理机构支付赔偿；采购人可以按照评审报告推荐的成交候选人排序，确定下一成交候选人</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为成交服务商，也可以重新开展采购活动。拒绝签订政府采购合同的成交服务商不得参加对</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该项目重新开展的采购活动。</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25.4  当出现法律法规规定的成交无效或成交结果无效情形时，且合格的服务商数量符合规</w:t>
      </w:r>
    </w:p>
    <w:p>
      <w:pPr>
        <w:spacing w:line="360" w:lineRule="auto"/>
        <w:ind w:left="900" w:hanging="900" w:hangingChars="3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定，采购人可与排名下一位的成交候选人另行签订合同，或依法重新开展采购活动。</w:t>
      </w:r>
    </w:p>
    <w:p>
      <w:pPr>
        <w:bidi w:val="0"/>
        <w:rPr>
          <w:b/>
          <w:bCs/>
        </w:rPr>
      </w:pPr>
      <w:bookmarkStart w:id="267" w:name="_Toc22555"/>
      <w:bookmarkStart w:id="268" w:name="_Toc14080"/>
      <w:bookmarkStart w:id="269" w:name="_Toc515647793"/>
      <w:bookmarkStart w:id="270" w:name="_Toc2582299"/>
      <w:bookmarkStart w:id="271" w:name="_Toc532473485"/>
      <w:r>
        <w:rPr>
          <w:rFonts w:hint="eastAsia"/>
          <w:b/>
          <w:bCs/>
        </w:rPr>
        <w:t>26.履约保证金</w:t>
      </w:r>
      <w:bookmarkEnd w:id="264"/>
      <w:bookmarkEnd w:id="265"/>
      <w:bookmarkEnd w:id="266"/>
      <w:bookmarkEnd w:id="267"/>
      <w:bookmarkEnd w:id="268"/>
      <w:bookmarkEnd w:id="269"/>
      <w:bookmarkEnd w:id="270"/>
      <w:bookmarkEnd w:id="271"/>
    </w:p>
    <w:p>
      <w:pPr>
        <w:spacing w:line="360" w:lineRule="auto"/>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如果需要履约保证金，成交服务商应按照服务商须知前附表规定向采购人提交履约保证金。</w:t>
      </w:r>
    </w:p>
    <w:p>
      <w:pPr>
        <w:bidi w:val="0"/>
        <w:rPr>
          <w:b/>
          <w:bCs/>
        </w:rPr>
      </w:pPr>
      <w:bookmarkStart w:id="272" w:name="_Toc26902"/>
      <w:bookmarkStart w:id="273" w:name="_Toc16604"/>
      <w:bookmarkStart w:id="274" w:name="_Toc18469"/>
      <w:r>
        <w:rPr>
          <w:rFonts w:hint="eastAsia"/>
          <w:b/>
          <w:bCs/>
        </w:rPr>
        <w:t>27.履约验收</w:t>
      </w:r>
      <w:bookmarkEnd w:id="272"/>
      <w:bookmarkEnd w:id="273"/>
      <w:bookmarkEnd w:id="274"/>
    </w:p>
    <w:p>
      <w:pPr>
        <w:bidi w:val="0"/>
        <w:rPr>
          <w:b/>
          <w:bCs/>
        </w:rPr>
      </w:pPr>
      <w:bookmarkStart w:id="275" w:name="_Toc2583659"/>
      <w:bookmarkStart w:id="276" w:name="_Toc515647794"/>
      <w:bookmarkStart w:id="277" w:name="_Toc3090"/>
      <w:bookmarkStart w:id="278" w:name="_Toc29408"/>
      <w:bookmarkStart w:id="279" w:name="_Toc532473486"/>
      <w:bookmarkStart w:id="280" w:name="_Toc2582300"/>
      <w:r>
        <w:rPr>
          <w:rFonts w:hint="eastAsia"/>
          <w:b/>
          <w:bCs/>
        </w:rPr>
        <w:t>28.招标代理费</w:t>
      </w:r>
      <w:bookmarkEnd w:id="275"/>
    </w:p>
    <w:p>
      <w:pPr>
        <w:spacing w:line="360" w:lineRule="auto"/>
        <w:ind w:left="900" w:leftChars="200" w:hanging="420" w:hanging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本项目是否由成交服务商向采购代理机构支付招标代理费及招标代理费标准，按照服务</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商须知前附表规定执行。</w:t>
      </w:r>
    </w:p>
    <w:p>
      <w:pPr>
        <w:pStyle w:val="2"/>
        <w:bidi w:val="0"/>
        <w:jc w:val="center"/>
      </w:pPr>
      <w:bookmarkStart w:id="281" w:name="_Toc6722"/>
      <w:bookmarkStart w:id="282" w:name="_Toc2583663"/>
      <w:bookmarkStart w:id="283" w:name="_Toc518923102"/>
      <w:r>
        <w:rPr>
          <w:rFonts w:hint="eastAsia"/>
        </w:rPr>
        <w:t>（九）质疑和投诉</w:t>
      </w:r>
      <w:bookmarkEnd w:id="281"/>
    </w:p>
    <w:p>
      <w:pPr>
        <w:bidi w:val="0"/>
      </w:pPr>
      <w:r>
        <w:rPr>
          <w:rFonts w:hint="eastAsia"/>
        </w:rPr>
        <w:t>30.质疑</w:t>
      </w:r>
      <w:bookmarkEnd w:id="282"/>
      <w:bookmarkEnd w:id="283"/>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30.1  服务商认为采购文件、采购过程和成交结果使自己的权益受到损害的，可以根据《中华人民共和国政府采购法》、《中华人民共和国政府采购法实施条例》和《政府采购质疑和投诉办法》的有关规定，在知道或者应知其权益受到损害之日起7个工作日内，依法向采购人或其委托的采购代理机构提出质疑。</w:t>
      </w:r>
    </w:p>
    <w:p>
      <w:pPr>
        <w:pStyle w:val="2"/>
        <w:spacing w:before="0" w:after="0" w:line="360" w:lineRule="auto"/>
        <w:rPr>
          <w:rFonts w:asciiTheme="minorEastAsia" w:hAnsiTheme="minorEastAsia" w:eastAsiaTheme="minorEastAsia" w:cstheme="minorEastAsia"/>
          <w:b w:val="0"/>
          <w:bCs w:val="0"/>
          <w:sz w:val="24"/>
          <w:szCs w:val="24"/>
        </w:rPr>
      </w:pPr>
      <w:bookmarkStart w:id="284" w:name="_Toc5743"/>
      <w:bookmarkStart w:id="285" w:name="_Toc26858"/>
      <w:bookmarkStart w:id="286" w:name="_Toc9644"/>
      <w:bookmarkStart w:id="287" w:name="_Toc17979"/>
      <w:bookmarkStart w:id="288" w:name="_Toc22145"/>
      <w:r>
        <w:rPr>
          <w:rFonts w:hint="eastAsia" w:asciiTheme="minorEastAsia" w:hAnsiTheme="minorEastAsia" w:eastAsiaTheme="minorEastAsia" w:cstheme="minorEastAsia"/>
          <w:b w:val="0"/>
          <w:bCs w:val="0"/>
          <w:sz w:val="24"/>
          <w:szCs w:val="24"/>
        </w:rPr>
        <w:t>30.2  提出质疑的服务商应当是参加所本项目采购活动的服务商。依法获取可质疑采购文件的潜在服务商也可以依法提出质疑。</w:t>
      </w:r>
      <w:bookmarkEnd w:id="284"/>
      <w:bookmarkEnd w:id="285"/>
      <w:bookmarkEnd w:id="286"/>
      <w:bookmarkEnd w:id="287"/>
      <w:bookmarkEnd w:id="288"/>
    </w:p>
    <w:p>
      <w:pPr>
        <w:pStyle w:val="2"/>
        <w:spacing w:before="0" w:after="0" w:line="360" w:lineRule="auto"/>
        <w:ind w:left="720" w:hanging="720" w:hangingChars="300"/>
        <w:rPr>
          <w:rFonts w:asciiTheme="minorEastAsia" w:hAnsiTheme="minorEastAsia" w:eastAsiaTheme="minorEastAsia" w:cstheme="minorEastAsia"/>
          <w:b w:val="0"/>
          <w:bCs w:val="0"/>
          <w:sz w:val="24"/>
          <w:szCs w:val="24"/>
        </w:rPr>
      </w:pPr>
      <w:bookmarkStart w:id="289" w:name="_Toc29526"/>
      <w:bookmarkStart w:id="290" w:name="_Toc25031"/>
      <w:bookmarkStart w:id="291" w:name="_Toc4823"/>
      <w:bookmarkStart w:id="292" w:name="_Toc3724"/>
      <w:bookmarkStart w:id="293" w:name="_Toc19555"/>
      <w:r>
        <w:rPr>
          <w:rFonts w:hint="eastAsia" w:asciiTheme="minorEastAsia" w:hAnsiTheme="minorEastAsia" w:eastAsiaTheme="minorEastAsia" w:cstheme="minorEastAsia"/>
          <w:b w:val="0"/>
          <w:bCs w:val="0"/>
          <w:sz w:val="24"/>
          <w:szCs w:val="24"/>
        </w:rPr>
        <w:t>30.3  采购人、采购代理机构不得拒收质疑服务商在法定质疑期内发出的质疑</w:t>
      </w:r>
      <w:bookmarkEnd w:id="289"/>
      <w:bookmarkStart w:id="294" w:name="_Toc24757"/>
      <w:r>
        <w:rPr>
          <w:rFonts w:hint="eastAsia" w:asciiTheme="minorEastAsia" w:hAnsiTheme="minorEastAsia" w:eastAsiaTheme="minorEastAsia" w:cstheme="minorEastAsia"/>
          <w:b w:val="0"/>
          <w:bCs w:val="0"/>
          <w:sz w:val="24"/>
          <w:szCs w:val="24"/>
        </w:rPr>
        <w:t>函，应当在收</w:t>
      </w:r>
      <w:bookmarkEnd w:id="290"/>
      <w:bookmarkEnd w:id="291"/>
      <w:bookmarkEnd w:id="292"/>
      <w:bookmarkEnd w:id="293"/>
    </w:p>
    <w:p>
      <w:pPr>
        <w:pStyle w:val="2"/>
        <w:spacing w:before="0" w:after="0" w:line="360" w:lineRule="auto"/>
        <w:ind w:left="720" w:hanging="720" w:hangingChars="300"/>
        <w:rPr>
          <w:rFonts w:asciiTheme="minorEastAsia" w:hAnsiTheme="minorEastAsia" w:eastAsiaTheme="minorEastAsia" w:cstheme="minorEastAsia"/>
          <w:b w:val="0"/>
          <w:bCs w:val="0"/>
          <w:sz w:val="24"/>
          <w:szCs w:val="24"/>
        </w:rPr>
      </w:pPr>
      <w:bookmarkStart w:id="295" w:name="_Toc5013"/>
      <w:bookmarkStart w:id="296" w:name="_Toc5363"/>
      <w:bookmarkStart w:id="297" w:name="_Toc1520"/>
      <w:bookmarkStart w:id="298" w:name="_Toc27365"/>
      <w:r>
        <w:rPr>
          <w:rFonts w:hint="eastAsia" w:asciiTheme="minorEastAsia" w:hAnsiTheme="minorEastAsia" w:eastAsiaTheme="minorEastAsia" w:cstheme="minorEastAsia"/>
          <w:b w:val="0"/>
          <w:bCs w:val="0"/>
          <w:sz w:val="24"/>
          <w:szCs w:val="24"/>
        </w:rPr>
        <w:t>到质疑函7个工作日内作出答复，并通知质疑服务商和相关服务商。</w:t>
      </w:r>
      <w:bookmarkEnd w:id="294"/>
      <w:bookmarkEnd w:id="295"/>
      <w:bookmarkEnd w:id="296"/>
      <w:bookmarkEnd w:id="297"/>
      <w:bookmarkEnd w:id="298"/>
    </w:p>
    <w:bookmarkEnd w:id="276"/>
    <w:bookmarkEnd w:id="277"/>
    <w:bookmarkEnd w:id="278"/>
    <w:bookmarkEnd w:id="279"/>
    <w:bookmarkEnd w:id="280"/>
    <w:p>
      <w:pPr>
        <w:bidi w:val="0"/>
      </w:pPr>
      <w:r>
        <w:rPr>
          <w:rFonts w:hint="eastAsia"/>
        </w:rPr>
        <w:t>31.投诉</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31.1  质疑服务商对采购人、采购代理机构的答复不满意，或者采购人、采购代理机构未在规定时间内作出答复的，可以在答复期满后15个工作日内向同级财政部门提起投诉。</w:t>
      </w:r>
    </w:p>
    <w:p>
      <w:pPr>
        <w:spacing w:line="360" w:lineRule="auto"/>
        <w:jc w:val="center"/>
        <w:rPr>
          <w:b/>
          <w:bCs/>
          <w:sz w:val="32"/>
          <w:szCs w:val="20"/>
        </w:rPr>
      </w:pPr>
    </w:p>
    <w:p>
      <w:pPr>
        <w:pStyle w:val="26"/>
        <w:spacing w:line="360" w:lineRule="auto"/>
        <w:ind w:firstLine="643"/>
        <w:rPr>
          <w:b/>
          <w:bCs/>
          <w:sz w:val="32"/>
          <w:szCs w:val="20"/>
        </w:rPr>
      </w:pPr>
    </w:p>
    <w:p>
      <w:pPr>
        <w:pStyle w:val="25"/>
        <w:ind w:firstLine="0" w:firstLineChars="0"/>
        <w:rPr>
          <w:b/>
          <w:bCs/>
          <w:sz w:val="32"/>
          <w:szCs w:val="20"/>
          <w:lang w:eastAsia="zh-CN"/>
        </w:rPr>
      </w:pPr>
    </w:p>
    <w:p>
      <w:pPr>
        <w:pStyle w:val="25"/>
        <w:ind w:firstLine="0" w:firstLineChars="0"/>
        <w:rPr>
          <w:b/>
          <w:bCs/>
          <w:sz w:val="32"/>
          <w:szCs w:val="20"/>
          <w:lang w:eastAsia="zh-CN"/>
        </w:rPr>
      </w:pPr>
    </w:p>
    <w:p>
      <w:pPr>
        <w:rPr>
          <w:b/>
          <w:bCs/>
          <w:sz w:val="28"/>
          <w:szCs w:val="28"/>
        </w:rPr>
        <w:sectPr>
          <w:footerReference r:id="rId5" w:type="default"/>
          <w:pgSz w:w="11906" w:h="16838"/>
          <w:pgMar w:top="1440" w:right="1080" w:bottom="1440" w:left="1080" w:header="851" w:footer="992" w:gutter="0"/>
          <w:cols w:space="720" w:num="1"/>
          <w:docGrid w:type="linesAndChars" w:linePitch="312" w:charSpace="0"/>
        </w:sectPr>
      </w:pPr>
    </w:p>
    <w:p>
      <w:pPr>
        <w:pStyle w:val="3"/>
        <w:numPr>
          <w:ilvl w:val="0"/>
          <w:numId w:val="2"/>
        </w:numPr>
        <w:bidi w:val="0"/>
      </w:pPr>
      <w:bookmarkStart w:id="299" w:name="_Toc10198"/>
      <w:bookmarkStart w:id="300" w:name="_Toc2137"/>
      <w:r>
        <w:rPr>
          <w:rFonts w:hint="eastAsia"/>
        </w:rPr>
        <w:t>项目说明和采购需求</w:t>
      </w:r>
      <w:bookmarkEnd w:id="299"/>
      <w:bookmarkEnd w:id="300"/>
    </w:p>
    <w:p>
      <w:pPr>
        <w:ind w:firstLine="560" w:firstLineChars="200"/>
        <w:jc w:val="left"/>
        <w:rPr>
          <w:rFonts w:hint="eastAsia" w:asciiTheme="minorEastAsia" w:hAnsiTheme="minorEastAsia"/>
          <w:sz w:val="28"/>
          <w:szCs w:val="28"/>
        </w:rPr>
      </w:pPr>
      <w:r>
        <w:rPr>
          <w:rFonts w:hint="eastAsia" w:asciiTheme="minorEastAsia" w:hAnsiTheme="minorEastAsia"/>
          <w:sz w:val="28"/>
          <w:szCs w:val="28"/>
        </w:rPr>
        <w:t>关于2</w:t>
      </w:r>
      <w:r>
        <w:rPr>
          <w:rFonts w:asciiTheme="minorEastAsia" w:hAnsiTheme="minorEastAsia"/>
          <w:sz w:val="28"/>
          <w:szCs w:val="28"/>
        </w:rPr>
        <w:t>023</w:t>
      </w:r>
      <w:r>
        <w:rPr>
          <w:rFonts w:hint="eastAsia" w:asciiTheme="minorEastAsia" w:hAnsiTheme="minorEastAsia"/>
          <w:sz w:val="28"/>
          <w:szCs w:val="28"/>
        </w:rPr>
        <w:t>年至</w:t>
      </w:r>
      <w:r>
        <w:rPr>
          <w:rFonts w:asciiTheme="minorEastAsia" w:hAnsiTheme="minorEastAsia"/>
          <w:sz w:val="28"/>
          <w:szCs w:val="28"/>
        </w:rPr>
        <w:t>2024</w:t>
      </w:r>
      <w:r>
        <w:rPr>
          <w:rFonts w:hint="eastAsia" w:asciiTheme="minorEastAsia" w:hAnsiTheme="minorEastAsia"/>
          <w:sz w:val="28"/>
          <w:szCs w:val="28"/>
        </w:rPr>
        <w:t>年新疆治超联网管理信息系统在华为云服务需求配置主要分为两部分，一为云服务器配置需求，其主要作用于保障系统的正常运行及为系统运行数据进行存储；二为华为云的</w:t>
      </w:r>
      <w:r>
        <w:rPr>
          <w:rFonts w:hint="eastAsia" w:ascii="宋体" w:hAnsi="宋体" w:eastAsia="宋体" w:cs="Times New Roman"/>
          <w:sz w:val="28"/>
          <w:szCs w:val="28"/>
        </w:rPr>
        <w:t>云服务安全功能需求，其主要作用为为系统网络安全提供有效保障，详情入下：</w:t>
      </w:r>
    </w:p>
    <w:p>
      <w:pPr>
        <w:widowControl/>
        <w:jc w:val="left"/>
        <w:rPr>
          <w:rFonts w:ascii="宋体" w:hAnsi="宋体" w:cs="仿宋_GB2312"/>
          <w:kern w:val="0"/>
          <w:sz w:val="24"/>
        </w:rPr>
      </w:pPr>
      <w:r>
        <w:rPr>
          <w:rFonts w:hint="eastAsia" w:ascii="宋体" w:hAnsi="宋体" w:cs="仿宋_GB2312"/>
          <w:kern w:val="0"/>
          <w:sz w:val="24"/>
        </w:rPr>
        <w:t>一、云服务需求</w:t>
      </w:r>
    </w:p>
    <w:tbl>
      <w:tblPr>
        <w:tblStyle w:val="27"/>
        <w:tblW w:w="4899" w:type="pct"/>
        <w:tblInd w:w="82" w:type="dxa"/>
        <w:tblLayout w:type="fixed"/>
        <w:tblCellMar>
          <w:top w:w="0" w:type="dxa"/>
          <w:left w:w="108" w:type="dxa"/>
          <w:bottom w:w="0" w:type="dxa"/>
          <w:right w:w="108" w:type="dxa"/>
        </w:tblCellMar>
      </w:tblPr>
      <w:tblGrid>
        <w:gridCol w:w="1332"/>
        <w:gridCol w:w="912"/>
        <w:gridCol w:w="984"/>
        <w:gridCol w:w="6539"/>
      </w:tblGrid>
      <w:tr>
        <w:tblPrEx>
          <w:tblCellMar>
            <w:top w:w="0" w:type="dxa"/>
            <w:left w:w="108" w:type="dxa"/>
            <w:bottom w:w="0" w:type="dxa"/>
            <w:right w:w="108" w:type="dxa"/>
          </w:tblCellMar>
        </w:tblPrEx>
        <w:trPr>
          <w:trHeight w:val="552" w:hRule="atLeast"/>
        </w:trPr>
        <w:tc>
          <w:tcPr>
            <w:tcW w:w="681"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仿宋_GB2312"/>
                <w:kern w:val="0"/>
                <w:sz w:val="24"/>
                <w:szCs w:val="24"/>
              </w:rPr>
            </w:pPr>
            <w:r>
              <w:rPr>
                <w:rFonts w:hint="eastAsia" w:ascii="宋体" w:hAnsi="宋体" w:cs="仿宋_GB2312"/>
                <w:kern w:val="0"/>
                <w:sz w:val="24"/>
                <w:szCs w:val="24"/>
              </w:rPr>
              <w:t>名称</w:t>
            </w:r>
          </w:p>
        </w:tc>
        <w:tc>
          <w:tcPr>
            <w:tcW w:w="466"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仿宋_GB2312"/>
                <w:kern w:val="0"/>
                <w:sz w:val="24"/>
                <w:szCs w:val="24"/>
              </w:rPr>
            </w:pPr>
            <w:r>
              <w:rPr>
                <w:rFonts w:hint="eastAsia" w:ascii="宋体" w:hAnsi="宋体" w:cs="仿宋_GB2312"/>
                <w:kern w:val="0"/>
                <w:sz w:val="24"/>
                <w:szCs w:val="24"/>
              </w:rPr>
              <w:t>单位</w:t>
            </w:r>
          </w:p>
        </w:tc>
        <w:tc>
          <w:tcPr>
            <w:tcW w:w="503"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仿宋_GB2312"/>
                <w:kern w:val="0"/>
                <w:sz w:val="24"/>
                <w:szCs w:val="24"/>
              </w:rPr>
            </w:pPr>
            <w:r>
              <w:rPr>
                <w:rFonts w:hint="eastAsia" w:ascii="宋体" w:hAnsi="宋体" w:cs="仿宋_GB2312"/>
                <w:kern w:val="0"/>
                <w:sz w:val="24"/>
                <w:szCs w:val="24"/>
              </w:rPr>
              <w:t>数量</w:t>
            </w:r>
          </w:p>
        </w:tc>
        <w:tc>
          <w:tcPr>
            <w:tcW w:w="3347"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仿宋_GB2312"/>
                <w:kern w:val="0"/>
                <w:sz w:val="24"/>
                <w:szCs w:val="24"/>
              </w:rPr>
            </w:pPr>
            <w:r>
              <w:rPr>
                <w:rFonts w:hint="eastAsia" w:ascii="宋体" w:hAnsi="宋体" w:cs="仿宋_GB2312"/>
                <w:kern w:val="0"/>
                <w:sz w:val="24"/>
                <w:szCs w:val="24"/>
              </w:rPr>
              <w:t>配置参数</w:t>
            </w:r>
          </w:p>
        </w:tc>
      </w:tr>
      <w:tr>
        <w:tblPrEx>
          <w:tblCellMar>
            <w:top w:w="0" w:type="dxa"/>
            <w:left w:w="108" w:type="dxa"/>
            <w:bottom w:w="0" w:type="dxa"/>
            <w:right w:w="108" w:type="dxa"/>
          </w:tblCellMar>
        </w:tblPrEx>
        <w:trPr>
          <w:trHeight w:val="1080" w:hRule="atLeast"/>
        </w:trPr>
        <w:tc>
          <w:tcPr>
            <w:tcW w:w="681" w:type="pct"/>
            <w:tcBorders>
              <w:top w:val="nil"/>
              <w:left w:val="single" w:color="auto" w:sz="4" w:space="0"/>
              <w:bottom w:val="single" w:color="auto" w:sz="4" w:space="0"/>
              <w:right w:val="single" w:color="auto" w:sz="4" w:space="0"/>
            </w:tcBorders>
            <w:vAlign w:val="center"/>
          </w:tcPr>
          <w:p>
            <w:pPr>
              <w:widowControl/>
              <w:jc w:val="left"/>
              <w:rPr>
                <w:rFonts w:ascii="宋体" w:hAnsi="宋体" w:cs="仿宋_GB2312"/>
                <w:kern w:val="0"/>
                <w:sz w:val="24"/>
                <w:szCs w:val="24"/>
              </w:rPr>
            </w:pPr>
            <w:r>
              <w:rPr>
                <w:rFonts w:hint="eastAsia" w:ascii="宋体" w:hAnsi="宋体" w:cs="仿宋_GB2312"/>
                <w:kern w:val="0"/>
                <w:sz w:val="24"/>
                <w:szCs w:val="24"/>
              </w:rPr>
              <w:t>裸金属通用计算服务</w:t>
            </w:r>
          </w:p>
        </w:tc>
        <w:tc>
          <w:tcPr>
            <w:tcW w:w="466" w:type="pct"/>
            <w:tcBorders>
              <w:top w:val="nil"/>
              <w:left w:val="nil"/>
              <w:bottom w:val="single" w:color="auto" w:sz="4" w:space="0"/>
              <w:right w:val="single" w:color="auto" w:sz="4" w:space="0"/>
            </w:tcBorders>
            <w:vAlign w:val="center"/>
          </w:tcPr>
          <w:p>
            <w:pPr>
              <w:widowControl/>
              <w:jc w:val="center"/>
              <w:rPr>
                <w:rFonts w:ascii="宋体" w:hAnsi="宋体" w:cs="仿宋_GB2312"/>
                <w:kern w:val="0"/>
                <w:sz w:val="24"/>
                <w:szCs w:val="24"/>
              </w:rPr>
            </w:pPr>
            <w:r>
              <w:rPr>
                <w:rFonts w:hint="eastAsia" w:ascii="宋体" w:hAnsi="宋体" w:cs="仿宋_GB2312"/>
                <w:kern w:val="0"/>
                <w:sz w:val="24"/>
                <w:szCs w:val="24"/>
              </w:rPr>
              <w:t>台</w:t>
            </w:r>
          </w:p>
        </w:tc>
        <w:tc>
          <w:tcPr>
            <w:tcW w:w="503" w:type="pct"/>
            <w:tcBorders>
              <w:top w:val="nil"/>
              <w:left w:val="nil"/>
              <w:bottom w:val="single" w:color="auto" w:sz="4" w:space="0"/>
              <w:right w:val="single" w:color="auto" w:sz="4" w:space="0"/>
            </w:tcBorders>
            <w:vAlign w:val="center"/>
          </w:tcPr>
          <w:p>
            <w:pPr>
              <w:widowControl/>
              <w:jc w:val="center"/>
              <w:rPr>
                <w:rFonts w:ascii="宋体" w:hAnsi="宋体" w:cs="仿宋_GB2312"/>
                <w:kern w:val="0"/>
                <w:sz w:val="24"/>
                <w:szCs w:val="24"/>
              </w:rPr>
            </w:pPr>
            <w:r>
              <w:rPr>
                <w:rFonts w:hint="eastAsia" w:ascii="宋体" w:hAnsi="宋体" w:cs="仿宋_GB2312"/>
                <w:kern w:val="0"/>
                <w:sz w:val="24"/>
                <w:szCs w:val="24"/>
              </w:rPr>
              <w:t>2</w:t>
            </w:r>
          </w:p>
        </w:tc>
        <w:tc>
          <w:tcPr>
            <w:tcW w:w="3347" w:type="pct"/>
            <w:tcBorders>
              <w:top w:val="nil"/>
              <w:left w:val="nil"/>
              <w:bottom w:val="single" w:color="auto" w:sz="4" w:space="0"/>
              <w:right w:val="single" w:color="auto" w:sz="4" w:space="0"/>
            </w:tcBorders>
            <w:vAlign w:val="bottom"/>
          </w:tcPr>
          <w:p>
            <w:pPr>
              <w:widowControl/>
              <w:jc w:val="left"/>
              <w:rPr>
                <w:rFonts w:ascii="宋体" w:hAnsi="宋体" w:cs="仿宋_GB2312"/>
                <w:kern w:val="0"/>
                <w:sz w:val="24"/>
                <w:szCs w:val="24"/>
              </w:rPr>
            </w:pPr>
            <w:r>
              <w:rPr>
                <w:rFonts w:hint="eastAsia" w:ascii="宋体" w:hAnsi="宋体" w:cs="仿宋_GB2312"/>
                <w:kern w:val="0"/>
                <w:sz w:val="24"/>
                <w:szCs w:val="24"/>
              </w:rPr>
              <w:t>云数据库服务器</w:t>
            </w:r>
          </w:p>
          <w:p>
            <w:pPr>
              <w:widowControl/>
              <w:jc w:val="left"/>
              <w:rPr>
                <w:rFonts w:ascii="宋体" w:hAnsi="宋体" w:cs="仿宋_GB2312"/>
                <w:kern w:val="0"/>
                <w:sz w:val="24"/>
                <w:szCs w:val="24"/>
              </w:rPr>
            </w:pPr>
            <w:r>
              <w:rPr>
                <w:rFonts w:hint="eastAsia" w:ascii="宋体" w:hAnsi="宋体" w:cs="仿宋_GB2312"/>
                <w:kern w:val="0"/>
                <w:sz w:val="24"/>
                <w:szCs w:val="24"/>
              </w:rPr>
              <w:t>均衡计算服务(或相当于英特尔至强银牌 4110 8C 2.1GHz 的 CPU,内存 256G,2*10GE 和 2*GE 接口,本地存储 2*1.2TB SAS)，按照标准运维服务等级提供监控和运维保障</w:t>
            </w:r>
          </w:p>
        </w:tc>
      </w:tr>
      <w:tr>
        <w:tblPrEx>
          <w:tblCellMar>
            <w:top w:w="0" w:type="dxa"/>
            <w:left w:w="108" w:type="dxa"/>
            <w:bottom w:w="0" w:type="dxa"/>
            <w:right w:w="108" w:type="dxa"/>
          </w:tblCellMar>
        </w:tblPrEx>
        <w:trPr>
          <w:trHeight w:val="1080" w:hRule="atLeast"/>
        </w:trPr>
        <w:tc>
          <w:tcPr>
            <w:tcW w:w="681" w:type="pct"/>
            <w:tcBorders>
              <w:top w:val="nil"/>
              <w:left w:val="single" w:color="auto" w:sz="4" w:space="0"/>
              <w:bottom w:val="single" w:color="auto" w:sz="4" w:space="0"/>
              <w:right w:val="single" w:color="auto" w:sz="4" w:space="0"/>
            </w:tcBorders>
            <w:vAlign w:val="center"/>
          </w:tcPr>
          <w:p>
            <w:pPr>
              <w:widowControl/>
              <w:jc w:val="left"/>
              <w:rPr>
                <w:rFonts w:ascii="宋体" w:hAnsi="宋体" w:cs="仿宋_GB2312"/>
                <w:kern w:val="0"/>
                <w:sz w:val="24"/>
                <w:szCs w:val="24"/>
              </w:rPr>
            </w:pPr>
            <w:r>
              <w:rPr>
                <w:rFonts w:hint="eastAsia" w:ascii="宋体" w:hAnsi="宋体" w:cs="仿宋_GB2312"/>
                <w:kern w:val="0"/>
                <w:sz w:val="24"/>
                <w:szCs w:val="24"/>
              </w:rPr>
              <w:t>专属存储服务A</w:t>
            </w:r>
          </w:p>
        </w:tc>
        <w:tc>
          <w:tcPr>
            <w:tcW w:w="466" w:type="pct"/>
            <w:tcBorders>
              <w:top w:val="nil"/>
              <w:left w:val="nil"/>
              <w:bottom w:val="single" w:color="auto" w:sz="4" w:space="0"/>
              <w:right w:val="single" w:color="auto" w:sz="4" w:space="0"/>
            </w:tcBorders>
            <w:vAlign w:val="center"/>
          </w:tcPr>
          <w:p>
            <w:pPr>
              <w:widowControl/>
              <w:jc w:val="center"/>
              <w:rPr>
                <w:rFonts w:ascii="宋体" w:hAnsi="宋体" w:cs="仿宋_GB2312"/>
                <w:kern w:val="0"/>
                <w:sz w:val="24"/>
                <w:szCs w:val="24"/>
              </w:rPr>
            </w:pPr>
            <w:r>
              <w:rPr>
                <w:rFonts w:hint="eastAsia" w:ascii="宋体" w:hAnsi="宋体" w:cs="仿宋_GB2312"/>
                <w:kern w:val="0"/>
                <w:sz w:val="24"/>
                <w:szCs w:val="24"/>
              </w:rPr>
              <w:t>套</w:t>
            </w:r>
          </w:p>
        </w:tc>
        <w:tc>
          <w:tcPr>
            <w:tcW w:w="503" w:type="pct"/>
            <w:tcBorders>
              <w:top w:val="nil"/>
              <w:left w:val="nil"/>
              <w:bottom w:val="single" w:color="auto" w:sz="4" w:space="0"/>
              <w:right w:val="single" w:color="auto" w:sz="4" w:space="0"/>
            </w:tcBorders>
            <w:vAlign w:val="center"/>
          </w:tcPr>
          <w:p>
            <w:pPr>
              <w:widowControl/>
              <w:jc w:val="center"/>
              <w:rPr>
                <w:rFonts w:ascii="宋体" w:hAnsi="宋体" w:cs="仿宋_GB2312"/>
                <w:kern w:val="0"/>
                <w:sz w:val="24"/>
                <w:szCs w:val="24"/>
              </w:rPr>
            </w:pPr>
            <w:r>
              <w:rPr>
                <w:rFonts w:hint="eastAsia" w:ascii="宋体" w:hAnsi="宋体" w:cs="仿宋_GB2312"/>
                <w:kern w:val="0"/>
                <w:sz w:val="24"/>
                <w:szCs w:val="24"/>
              </w:rPr>
              <w:t>1</w:t>
            </w:r>
          </w:p>
        </w:tc>
        <w:tc>
          <w:tcPr>
            <w:tcW w:w="3347" w:type="pct"/>
            <w:tcBorders>
              <w:top w:val="nil"/>
              <w:left w:val="nil"/>
              <w:bottom w:val="single" w:color="auto" w:sz="4" w:space="0"/>
              <w:right w:val="single" w:color="auto" w:sz="4" w:space="0"/>
            </w:tcBorders>
            <w:vAlign w:val="bottom"/>
          </w:tcPr>
          <w:p>
            <w:pPr>
              <w:widowControl/>
              <w:jc w:val="left"/>
              <w:rPr>
                <w:rFonts w:ascii="宋体" w:hAnsi="宋体" w:cs="仿宋_GB2312"/>
                <w:kern w:val="0"/>
                <w:sz w:val="24"/>
                <w:szCs w:val="24"/>
              </w:rPr>
            </w:pPr>
            <w:r>
              <w:rPr>
                <w:rFonts w:hint="eastAsia" w:ascii="宋体" w:hAnsi="宋体" w:cs="仿宋_GB2312"/>
                <w:kern w:val="0"/>
                <w:sz w:val="24"/>
                <w:szCs w:val="24"/>
              </w:rPr>
              <w:t>云数据库存储</w:t>
            </w:r>
          </w:p>
          <w:p>
            <w:pPr>
              <w:widowControl/>
              <w:jc w:val="left"/>
              <w:rPr>
                <w:rFonts w:ascii="宋体" w:hAnsi="宋体" w:cs="仿宋_GB2312"/>
                <w:kern w:val="0"/>
                <w:sz w:val="24"/>
                <w:szCs w:val="24"/>
              </w:rPr>
            </w:pPr>
            <w:r>
              <w:rPr>
                <w:rFonts w:hint="eastAsia" w:ascii="宋体" w:hAnsi="宋体" w:cs="仿宋_GB2312"/>
                <w:kern w:val="0"/>
                <w:sz w:val="24"/>
                <w:szCs w:val="24"/>
              </w:rPr>
              <w:t>标准专属存储服务 FD2，提供控制框 （25*SAS 1.2TB 10K RPM），1*SAS 硬盘框（25*SAS 1.2TB 10K RPM）， FC 接口 （8*8Gb），IPSAN 接口（8*10GE)，按照 标准运维服务等级提供监控和运维保障</w:t>
            </w:r>
          </w:p>
        </w:tc>
      </w:tr>
      <w:tr>
        <w:tblPrEx>
          <w:tblCellMar>
            <w:top w:w="0" w:type="dxa"/>
            <w:left w:w="108" w:type="dxa"/>
            <w:bottom w:w="0" w:type="dxa"/>
            <w:right w:w="108" w:type="dxa"/>
          </w:tblCellMar>
        </w:tblPrEx>
        <w:trPr>
          <w:trHeight w:val="540" w:hRule="atLeast"/>
        </w:trPr>
        <w:tc>
          <w:tcPr>
            <w:tcW w:w="681" w:type="pct"/>
            <w:tcBorders>
              <w:top w:val="nil"/>
              <w:left w:val="single" w:color="auto" w:sz="4" w:space="0"/>
              <w:bottom w:val="single" w:color="auto" w:sz="4" w:space="0"/>
              <w:right w:val="single" w:color="auto" w:sz="4" w:space="0"/>
            </w:tcBorders>
            <w:vAlign w:val="center"/>
          </w:tcPr>
          <w:p>
            <w:pPr>
              <w:widowControl/>
              <w:jc w:val="left"/>
              <w:rPr>
                <w:rFonts w:ascii="宋体" w:hAnsi="宋体" w:cs="仿宋_GB2312"/>
                <w:kern w:val="0"/>
                <w:sz w:val="24"/>
                <w:szCs w:val="24"/>
              </w:rPr>
            </w:pPr>
            <w:r>
              <w:rPr>
                <w:rFonts w:hint="eastAsia" w:ascii="宋体" w:hAnsi="宋体" w:cs="仿宋_GB2312"/>
                <w:kern w:val="0"/>
                <w:sz w:val="24"/>
                <w:szCs w:val="24"/>
              </w:rPr>
              <w:t>专属网络连通服务A</w:t>
            </w:r>
          </w:p>
        </w:tc>
        <w:tc>
          <w:tcPr>
            <w:tcW w:w="466" w:type="pct"/>
            <w:tcBorders>
              <w:top w:val="nil"/>
              <w:left w:val="nil"/>
              <w:bottom w:val="single" w:color="auto" w:sz="4" w:space="0"/>
              <w:right w:val="single" w:color="auto" w:sz="4" w:space="0"/>
            </w:tcBorders>
            <w:vAlign w:val="center"/>
          </w:tcPr>
          <w:p>
            <w:pPr>
              <w:widowControl/>
              <w:jc w:val="center"/>
              <w:rPr>
                <w:rFonts w:ascii="宋体" w:hAnsi="宋体" w:cs="仿宋_GB2312"/>
                <w:kern w:val="0"/>
                <w:sz w:val="24"/>
                <w:szCs w:val="24"/>
              </w:rPr>
            </w:pPr>
            <w:r>
              <w:rPr>
                <w:rFonts w:hint="eastAsia" w:ascii="宋体" w:hAnsi="宋体" w:cs="仿宋_GB2312"/>
                <w:kern w:val="0"/>
                <w:sz w:val="24"/>
                <w:szCs w:val="24"/>
              </w:rPr>
              <w:t>台</w:t>
            </w:r>
          </w:p>
        </w:tc>
        <w:tc>
          <w:tcPr>
            <w:tcW w:w="503" w:type="pct"/>
            <w:tcBorders>
              <w:top w:val="nil"/>
              <w:left w:val="nil"/>
              <w:bottom w:val="single" w:color="auto" w:sz="4" w:space="0"/>
              <w:right w:val="single" w:color="auto" w:sz="4" w:space="0"/>
            </w:tcBorders>
            <w:vAlign w:val="center"/>
          </w:tcPr>
          <w:p>
            <w:pPr>
              <w:widowControl/>
              <w:jc w:val="center"/>
              <w:rPr>
                <w:rFonts w:ascii="宋体" w:hAnsi="宋体" w:cs="仿宋_GB2312"/>
                <w:kern w:val="0"/>
                <w:sz w:val="24"/>
                <w:szCs w:val="24"/>
              </w:rPr>
            </w:pPr>
            <w:r>
              <w:rPr>
                <w:rFonts w:hint="eastAsia" w:ascii="宋体" w:hAnsi="宋体" w:cs="仿宋_GB2312"/>
                <w:kern w:val="0"/>
                <w:sz w:val="24"/>
                <w:szCs w:val="24"/>
              </w:rPr>
              <w:t>2</w:t>
            </w:r>
          </w:p>
        </w:tc>
        <w:tc>
          <w:tcPr>
            <w:tcW w:w="3347" w:type="pct"/>
            <w:tcBorders>
              <w:top w:val="nil"/>
              <w:left w:val="nil"/>
              <w:bottom w:val="single" w:color="auto" w:sz="4" w:space="0"/>
              <w:right w:val="single" w:color="auto" w:sz="4" w:space="0"/>
            </w:tcBorders>
            <w:vAlign w:val="bottom"/>
          </w:tcPr>
          <w:p>
            <w:pPr>
              <w:widowControl/>
              <w:jc w:val="left"/>
              <w:rPr>
                <w:rFonts w:ascii="宋体" w:hAnsi="宋体" w:cs="仿宋_GB2312"/>
                <w:kern w:val="0"/>
                <w:sz w:val="24"/>
                <w:szCs w:val="24"/>
              </w:rPr>
            </w:pPr>
            <w:r>
              <w:rPr>
                <w:rFonts w:hint="eastAsia" w:ascii="宋体" w:hAnsi="宋体" w:cs="仿宋_GB2312"/>
                <w:kern w:val="0"/>
                <w:sz w:val="24"/>
                <w:szCs w:val="24"/>
              </w:rPr>
              <w:t>云数据库集群FC交换机专属网络服务基于 SNS2224，FC 交换机， 最多支持 24 个光纤接口，按照标准运维 服务等级提供监控和运维保障</w:t>
            </w:r>
          </w:p>
        </w:tc>
      </w:tr>
      <w:tr>
        <w:tblPrEx>
          <w:tblCellMar>
            <w:top w:w="0" w:type="dxa"/>
            <w:left w:w="108" w:type="dxa"/>
            <w:bottom w:w="0" w:type="dxa"/>
            <w:right w:w="108" w:type="dxa"/>
          </w:tblCellMar>
        </w:tblPrEx>
        <w:trPr>
          <w:trHeight w:val="540" w:hRule="atLeast"/>
        </w:trPr>
        <w:tc>
          <w:tcPr>
            <w:tcW w:w="681" w:type="pct"/>
            <w:tcBorders>
              <w:top w:val="nil"/>
              <w:left w:val="single" w:color="auto" w:sz="4" w:space="0"/>
              <w:bottom w:val="single" w:color="auto" w:sz="4" w:space="0"/>
              <w:right w:val="single" w:color="auto" w:sz="4" w:space="0"/>
            </w:tcBorders>
            <w:vAlign w:val="center"/>
          </w:tcPr>
          <w:p>
            <w:pPr>
              <w:widowControl/>
              <w:jc w:val="left"/>
              <w:rPr>
                <w:rFonts w:ascii="宋体" w:hAnsi="宋体" w:cs="仿宋_GB2312"/>
                <w:kern w:val="0"/>
                <w:sz w:val="24"/>
                <w:szCs w:val="24"/>
              </w:rPr>
            </w:pPr>
            <w:r>
              <w:rPr>
                <w:rFonts w:hint="eastAsia" w:ascii="宋体" w:hAnsi="宋体" w:cs="仿宋_GB2312"/>
                <w:kern w:val="0"/>
                <w:sz w:val="24"/>
                <w:szCs w:val="24"/>
              </w:rPr>
              <w:t>云服务器</w:t>
            </w:r>
          </w:p>
        </w:tc>
        <w:tc>
          <w:tcPr>
            <w:tcW w:w="466" w:type="pct"/>
            <w:tcBorders>
              <w:top w:val="nil"/>
              <w:left w:val="nil"/>
              <w:bottom w:val="single" w:color="auto" w:sz="4" w:space="0"/>
              <w:right w:val="single" w:color="auto" w:sz="4" w:space="0"/>
            </w:tcBorders>
            <w:vAlign w:val="center"/>
          </w:tcPr>
          <w:p>
            <w:pPr>
              <w:widowControl/>
              <w:jc w:val="center"/>
              <w:rPr>
                <w:rFonts w:ascii="宋体" w:hAnsi="宋体" w:cs="仿宋_GB2312"/>
                <w:kern w:val="0"/>
                <w:sz w:val="24"/>
                <w:szCs w:val="24"/>
              </w:rPr>
            </w:pPr>
            <w:r>
              <w:rPr>
                <w:rFonts w:hint="eastAsia" w:ascii="宋体" w:hAnsi="宋体" w:cs="仿宋_GB2312"/>
                <w:kern w:val="0"/>
                <w:sz w:val="24"/>
                <w:szCs w:val="24"/>
              </w:rPr>
              <w:t>台</w:t>
            </w:r>
          </w:p>
        </w:tc>
        <w:tc>
          <w:tcPr>
            <w:tcW w:w="503" w:type="pct"/>
            <w:tcBorders>
              <w:top w:val="nil"/>
              <w:left w:val="nil"/>
              <w:bottom w:val="single" w:color="auto" w:sz="4" w:space="0"/>
              <w:right w:val="single" w:color="auto" w:sz="4" w:space="0"/>
            </w:tcBorders>
            <w:vAlign w:val="center"/>
          </w:tcPr>
          <w:p>
            <w:pPr>
              <w:widowControl/>
              <w:jc w:val="center"/>
              <w:rPr>
                <w:rFonts w:ascii="宋体" w:hAnsi="宋体" w:cs="仿宋_GB2312"/>
                <w:kern w:val="0"/>
                <w:sz w:val="24"/>
                <w:szCs w:val="24"/>
              </w:rPr>
            </w:pPr>
            <w:r>
              <w:rPr>
                <w:rFonts w:hint="eastAsia" w:ascii="宋体" w:hAnsi="宋体" w:cs="仿宋_GB2312"/>
                <w:kern w:val="0"/>
                <w:sz w:val="24"/>
                <w:szCs w:val="24"/>
              </w:rPr>
              <w:t>2</w:t>
            </w:r>
          </w:p>
        </w:tc>
        <w:tc>
          <w:tcPr>
            <w:tcW w:w="3347" w:type="pct"/>
            <w:tcBorders>
              <w:top w:val="nil"/>
              <w:left w:val="nil"/>
              <w:bottom w:val="single" w:color="auto" w:sz="4" w:space="0"/>
              <w:right w:val="single" w:color="auto" w:sz="4" w:space="0"/>
            </w:tcBorders>
            <w:vAlign w:val="bottom"/>
          </w:tcPr>
          <w:p>
            <w:pPr>
              <w:widowControl/>
              <w:jc w:val="left"/>
              <w:rPr>
                <w:rFonts w:ascii="宋体" w:hAnsi="宋体" w:cs="仿宋_GB2312"/>
                <w:kern w:val="0"/>
                <w:sz w:val="24"/>
                <w:szCs w:val="24"/>
              </w:rPr>
            </w:pPr>
            <w:r>
              <w:rPr>
                <w:rFonts w:hint="eastAsia" w:ascii="宋体" w:hAnsi="宋体" w:cs="仿宋_GB2312"/>
                <w:kern w:val="0"/>
                <w:sz w:val="24"/>
                <w:szCs w:val="24"/>
              </w:rPr>
              <w:t xml:space="preserve">云应用服务器-通用型16C64G </w:t>
            </w:r>
          </w:p>
          <w:p>
            <w:pPr>
              <w:widowControl/>
              <w:jc w:val="left"/>
              <w:rPr>
                <w:rFonts w:ascii="宋体" w:hAnsi="宋体" w:cs="仿宋_GB2312"/>
                <w:kern w:val="0"/>
                <w:sz w:val="24"/>
                <w:szCs w:val="24"/>
              </w:rPr>
            </w:pPr>
            <w:r>
              <w:rPr>
                <w:rFonts w:hint="eastAsia" w:ascii="宋体" w:hAnsi="宋体" w:cs="仿宋_GB2312"/>
                <w:kern w:val="0"/>
                <w:sz w:val="24"/>
                <w:szCs w:val="24"/>
              </w:rPr>
              <w:t>通用型16C64G含40G云硬盘系统盘</w:t>
            </w:r>
          </w:p>
        </w:tc>
      </w:tr>
      <w:tr>
        <w:tblPrEx>
          <w:tblCellMar>
            <w:top w:w="0" w:type="dxa"/>
            <w:left w:w="108" w:type="dxa"/>
            <w:bottom w:w="0" w:type="dxa"/>
            <w:right w:w="108" w:type="dxa"/>
          </w:tblCellMar>
        </w:tblPrEx>
        <w:trPr>
          <w:trHeight w:val="540" w:hRule="atLeast"/>
        </w:trPr>
        <w:tc>
          <w:tcPr>
            <w:tcW w:w="681" w:type="pct"/>
            <w:tcBorders>
              <w:top w:val="nil"/>
              <w:left w:val="single" w:color="auto" w:sz="4" w:space="0"/>
              <w:bottom w:val="single" w:color="auto" w:sz="4" w:space="0"/>
              <w:right w:val="single" w:color="auto" w:sz="4" w:space="0"/>
            </w:tcBorders>
            <w:vAlign w:val="center"/>
          </w:tcPr>
          <w:p>
            <w:pPr>
              <w:widowControl/>
              <w:jc w:val="left"/>
              <w:rPr>
                <w:rFonts w:ascii="宋体" w:hAnsi="宋体" w:cs="仿宋_GB2312"/>
                <w:kern w:val="0"/>
                <w:sz w:val="24"/>
                <w:szCs w:val="24"/>
              </w:rPr>
            </w:pPr>
            <w:r>
              <w:rPr>
                <w:rFonts w:hint="eastAsia" w:ascii="宋体" w:hAnsi="宋体" w:cs="仿宋_GB2312"/>
                <w:kern w:val="0"/>
                <w:sz w:val="24"/>
                <w:szCs w:val="24"/>
              </w:rPr>
              <w:t>云服务器</w:t>
            </w:r>
          </w:p>
        </w:tc>
        <w:tc>
          <w:tcPr>
            <w:tcW w:w="466" w:type="pct"/>
            <w:tcBorders>
              <w:top w:val="nil"/>
              <w:left w:val="nil"/>
              <w:bottom w:val="single" w:color="auto" w:sz="4" w:space="0"/>
              <w:right w:val="single" w:color="auto" w:sz="4" w:space="0"/>
            </w:tcBorders>
            <w:vAlign w:val="center"/>
          </w:tcPr>
          <w:p>
            <w:pPr>
              <w:widowControl/>
              <w:jc w:val="center"/>
              <w:rPr>
                <w:rFonts w:ascii="宋体" w:hAnsi="宋体" w:cs="仿宋_GB2312"/>
                <w:kern w:val="0"/>
                <w:sz w:val="24"/>
                <w:szCs w:val="24"/>
              </w:rPr>
            </w:pPr>
            <w:r>
              <w:rPr>
                <w:rFonts w:hint="eastAsia" w:ascii="宋体" w:hAnsi="宋体" w:cs="仿宋_GB2312"/>
                <w:kern w:val="0"/>
                <w:sz w:val="24"/>
                <w:szCs w:val="24"/>
              </w:rPr>
              <w:t>台</w:t>
            </w:r>
          </w:p>
        </w:tc>
        <w:tc>
          <w:tcPr>
            <w:tcW w:w="503" w:type="pct"/>
            <w:tcBorders>
              <w:top w:val="nil"/>
              <w:left w:val="nil"/>
              <w:bottom w:val="single" w:color="auto" w:sz="4" w:space="0"/>
              <w:right w:val="single" w:color="auto" w:sz="4" w:space="0"/>
            </w:tcBorders>
            <w:vAlign w:val="center"/>
          </w:tcPr>
          <w:p>
            <w:pPr>
              <w:widowControl/>
              <w:jc w:val="center"/>
              <w:rPr>
                <w:rFonts w:ascii="宋体" w:hAnsi="宋体" w:cs="仿宋_GB2312"/>
                <w:kern w:val="0"/>
                <w:sz w:val="24"/>
                <w:szCs w:val="24"/>
              </w:rPr>
            </w:pPr>
            <w:r>
              <w:rPr>
                <w:rFonts w:hint="eastAsia" w:ascii="宋体" w:hAnsi="宋体" w:cs="仿宋_GB2312"/>
                <w:kern w:val="0"/>
                <w:sz w:val="24"/>
                <w:szCs w:val="24"/>
              </w:rPr>
              <w:t>2</w:t>
            </w:r>
          </w:p>
        </w:tc>
        <w:tc>
          <w:tcPr>
            <w:tcW w:w="3347" w:type="pct"/>
            <w:tcBorders>
              <w:top w:val="nil"/>
              <w:left w:val="nil"/>
              <w:bottom w:val="single" w:color="auto" w:sz="4" w:space="0"/>
              <w:right w:val="single" w:color="auto" w:sz="4" w:space="0"/>
            </w:tcBorders>
            <w:vAlign w:val="bottom"/>
          </w:tcPr>
          <w:p>
            <w:pPr>
              <w:widowControl/>
              <w:jc w:val="left"/>
              <w:rPr>
                <w:rFonts w:ascii="宋体" w:hAnsi="宋体" w:cs="仿宋_GB2312"/>
                <w:kern w:val="0"/>
                <w:sz w:val="24"/>
                <w:szCs w:val="24"/>
              </w:rPr>
            </w:pPr>
            <w:r>
              <w:rPr>
                <w:rFonts w:hint="eastAsia" w:ascii="宋体" w:hAnsi="宋体" w:cs="仿宋_GB2312"/>
                <w:kern w:val="0"/>
                <w:sz w:val="24"/>
                <w:szCs w:val="24"/>
              </w:rPr>
              <w:t xml:space="preserve">云数据服务器-通用型8C32G </w:t>
            </w:r>
            <w:r>
              <w:rPr>
                <w:rFonts w:hint="eastAsia" w:ascii="宋体" w:hAnsi="宋体" w:cs="仿宋_GB2312"/>
                <w:kern w:val="0"/>
                <w:sz w:val="24"/>
                <w:szCs w:val="24"/>
              </w:rPr>
              <w:br w:type="textWrapping"/>
            </w:r>
            <w:r>
              <w:rPr>
                <w:rFonts w:hint="eastAsia" w:ascii="宋体" w:hAnsi="宋体" w:cs="仿宋_GB2312"/>
                <w:kern w:val="0"/>
                <w:sz w:val="24"/>
                <w:szCs w:val="24"/>
              </w:rPr>
              <w:t>通用型8C32G含40G云硬盘系统盘</w:t>
            </w:r>
          </w:p>
        </w:tc>
      </w:tr>
      <w:tr>
        <w:tblPrEx>
          <w:tblCellMar>
            <w:top w:w="0" w:type="dxa"/>
            <w:left w:w="108" w:type="dxa"/>
            <w:bottom w:w="0" w:type="dxa"/>
            <w:right w:w="108" w:type="dxa"/>
          </w:tblCellMar>
        </w:tblPrEx>
        <w:trPr>
          <w:trHeight w:val="540" w:hRule="atLeast"/>
        </w:trPr>
        <w:tc>
          <w:tcPr>
            <w:tcW w:w="681" w:type="pct"/>
            <w:tcBorders>
              <w:top w:val="nil"/>
              <w:left w:val="single" w:color="auto" w:sz="4" w:space="0"/>
              <w:bottom w:val="single" w:color="auto" w:sz="4" w:space="0"/>
              <w:right w:val="single" w:color="auto" w:sz="4" w:space="0"/>
            </w:tcBorders>
            <w:vAlign w:val="center"/>
          </w:tcPr>
          <w:p>
            <w:pPr>
              <w:widowControl/>
              <w:jc w:val="left"/>
              <w:rPr>
                <w:rFonts w:ascii="宋体" w:hAnsi="宋体" w:cs="仿宋_GB2312"/>
                <w:kern w:val="0"/>
                <w:sz w:val="24"/>
                <w:szCs w:val="24"/>
              </w:rPr>
            </w:pPr>
            <w:r>
              <w:rPr>
                <w:rFonts w:hint="eastAsia" w:ascii="宋体" w:hAnsi="宋体" w:cs="仿宋_GB2312"/>
                <w:kern w:val="0"/>
                <w:sz w:val="24"/>
                <w:szCs w:val="24"/>
              </w:rPr>
              <w:t>云硬盘存储</w:t>
            </w:r>
          </w:p>
        </w:tc>
        <w:tc>
          <w:tcPr>
            <w:tcW w:w="466" w:type="pct"/>
            <w:tcBorders>
              <w:top w:val="nil"/>
              <w:left w:val="nil"/>
              <w:bottom w:val="single" w:color="auto" w:sz="4" w:space="0"/>
              <w:right w:val="single" w:color="auto" w:sz="4" w:space="0"/>
            </w:tcBorders>
            <w:vAlign w:val="center"/>
          </w:tcPr>
          <w:p>
            <w:pPr>
              <w:widowControl/>
              <w:jc w:val="center"/>
              <w:rPr>
                <w:rFonts w:ascii="宋体" w:hAnsi="宋体" w:cs="仿宋_GB2312"/>
                <w:kern w:val="0"/>
                <w:sz w:val="24"/>
                <w:szCs w:val="24"/>
              </w:rPr>
            </w:pPr>
            <w:r>
              <w:rPr>
                <w:rFonts w:hint="eastAsia" w:ascii="宋体" w:hAnsi="宋体" w:cs="仿宋_GB2312"/>
                <w:kern w:val="0"/>
                <w:sz w:val="24"/>
                <w:szCs w:val="24"/>
              </w:rPr>
              <w:t>GB</w:t>
            </w:r>
          </w:p>
        </w:tc>
        <w:tc>
          <w:tcPr>
            <w:tcW w:w="503" w:type="pct"/>
            <w:tcBorders>
              <w:top w:val="nil"/>
              <w:left w:val="nil"/>
              <w:bottom w:val="single" w:color="auto" w:sz="4" w:space="0"/>
              <w:right w:val="single" w:color="auto" w:sz="4" w:space="0"/>
            </w:tcBorders>
            <w:vAlign w:val="center"/>
          </w:tcPr>
          <w:p>
            <w:pPr>
              <w:widowControl/>
              <w:jc w:val="center"/>
              <w:rPr>
                <w:rFonts w:ascii="宋体" w:hAnsi="宋体" w:cs="仿宋_GB2312"/>
                <w:kern w:val="0"/>
                <w:sz w:val="24"/>
                <w:szCs w:val="24"/>
              </w:rPr>
            </w:pPr>
            <w:r>
              <w:rPr>
                <w:rFonts w:hint="eastAsia" w:ascii="宋体" w:hAnsi="宋体" w:cs="仿宋_GB2312"/>
                <w:kern w:val="0"/>
                <w:sz w:val="24"/>
                <w:szCs w:val="24"/>
              </w:rPr>
              <w:t>600</w:t>
            </w:r>
          </w:p>
        </w:tc>
        <w:tc>
          <w:tcPr>
            <w:tcW w:w="3347" w:type="pct"/>
            <w:tcBorders>
              <w:top w:val="nil"/>
              <w:left w:val="nil"/>
              <w:bottom w:val="single" w:color="auto" w:sz="4" w:space="0"/>
              <w:right w:val="single" w:color="auto" w:sz="4" w:space="0"/>
            </w:tcBorders>
            <w:vAlign w:val="bottom"/>
          </w:tcPr>
          <w:p>
            <w:pPr>
              <w:widowControl/>
              <w:jc w:val="left"/>
              <w:rPr>
                <w:rFonts w:ascii="宋体" w:hAnsi="宋体" w:cs="仿宋_GB2312"/>
                <w:kern w:val="0"/>
                <w:sz w:val="24"/>
                <w:szCs w:val="24"/>
              </w:rPr>
            </w:pPr>
            <w:r>
              <w:rPr>
                <w:rFonts w:hint="eastAsia" w:ascii="宋体" w:hAnsi="宋体" w:cs="仿宋_GB2312"/>
                <w:kern w:val="0"/>
                <w:sz w:val="24"/>
                <w:szCs w:val="24"/>
              </w:rPr>
              <w:t>云标准云硬盘</w:t>
            </w:r>
          </w:p>
          <w:p>
            <w:pPr>
              <w:widowControl/>
              <w:jc w:val="left"/>
              <w:rPr>
                <w:rFonts w:ascii="宋体" w:hAnsi="宋体" w:cs="仿宋_GB2312"/>
                <w:kern w:val="0"/>
                <w:sz w:val="24"/>
                <w:szCs w:val="24"/>
              </w:rPr>
            </w:pPr>
            <w:r>
              <w:rPr>
                <w:rFonts w:hint="eastAsia" w:ascii="宋体" w:hAnsi="宋体" w:cs="仿宋_GB2312"/>
                <w:kern w:val="0"/>
                <w:sz w:val="24"/>
                <w:szCs w:val="24"/>
              </w:rPr>
              <w:t>标准云硬盘，政务云标准存储，按需块存储，容量单位为GB</w:t>
            </w:r>
          </w:p>
        </w:tc>
      </w:tr>
      <w:tr>
        <w:tblPrEx>
          <w:tblCellMar>
            <w:top w:w="0" w:type="dxa"/>
            <w:left w:w="108" w:type="dxa"/>
            <w:bottom w:w="0" w:type="dxa"/>
            <w:right w:w="108" w:type="dxa"/>
          </w:tblCellMar>
        </w:tblPrEx>
        <w:trPr>
          <w:trHeight w:val="285" w:hRule="atLeast"/>
        </w:trPr>
        <w:tc>
          <w:tcPr>
            <w:tcW w:w="681" w:type="pct"/>
            <w:tcBorders>
              <w:top w:val="nil"/>
              <w:left w:val="single" w:color="auto" w:sz="4" w:space="0"/>
              <w:bottom w:val="single" w:color="auto" w:sz="4" w:space="0"/>
              <w:right w:val="single" w:color="auto" w:sz="4" w:space="0"/>
            </w:tcBorders>
            <w:vAlign w:val="center"/>
          </w:tcPr>
          <w:p>
            <w:pPr>
              <w:widowControl/>
              <w:jc w:val="left"/>
              <w:rPr>
                <w:rFonts w:ascii="宋体" w:hAnsi="宋体" w:cs="仿宋_GB2312"/>
                <w:kern w:val="0"/>
                <w:sz w:val="24"/>
                <w:szCs w:val="24"/>
              </w:rPr>
            </w:pPr>
            <w:r>
              <w:rPr>
                <w:rFonts w:hint="eastAsia" w:ascii="宋体" w:hAnsi="宋体" w:cs="仿宋_GB2312"/>
                <w:kern w:val="0"/>
                <w:sz w:val="24"/>
                <w:szCs w:val="24"/>
              </w:rPr>
              <w:t>云专线-端口</w:t>
            </w:r>
          </w:p>
        </w:tc>
        <w:tc>
          <w:tcPr>
            <w:tcW w:w="466" w:type="pct"/>
            <w:tcBorders>
              <w:top w:val="nil"/>
              <w:left w:val="nil"/>
              <w:bottom w:val="single" w:color="auto" w:sz="4" w:space="0"/>
              <w:right w:val="single" w:color="auto" w:sz="4" w:space="0"/>
            </w:tcBorders>
            <w:vAlign w:val="center"/>
          </w:tcPr>
          <w:p>
            <w:pPr>
              <w:widowControl/>
              <w:jc w:val="center"/>
              <w:rPr>
                <w:rFonts w:ascii="宋体" w:hAnsi="宋体" w:cs="仿宋_GB2312"/>
                <w:kern w:val="0"/>
                <w:sz w:val="24"/>
                <w:szCs w:val="24"/>
              </w:rPr>
            </w:pPr>
            <w:r>
              <w:rPr>
                <w:rFonts w:hint="eastAsia" w:ascii="宋体" w:hAnsi="宋体" w:cs="仿宋_GB2312"/>
                <w:kern w:val="0"/>
                <w:sz w:val="24"/>
                <w:szCs w:val="24"/>
              </w:rPr>
              <w:t>个</w:t>
            </w:r>
          </w:p>
        </w:tc>
        <w:tc>
          <w:tcPr>
            <w:tcW w:w="503" w:type="pct"/>
            <w:tcBorders>
              <w:top w:val="nil"/>
              <w:left w:val="nil"/>
              <w:bottom w:val="single" w:color="auto" w:sz="4" w:space="0"/>
              <w:right w:val="single" w:color="auto" w:sz="4" w:space="0"/>
            </w:tcBorders>
            <w:vAlign w:val="center"/>
          </w:tcPr>
          <w:p>
            <w:pPr>
              <w:widowControl/>
              <w:jc w:val="center"/>
              <w:rPr>
                <w:rFonts w:ascii="宋体" w:hAnsi="宋体" w:cs="仿宋_GB2312"/>
                <w:kern w:val="0"/>
                <w:sz w:val="24"/>
                <w:szCs w:val="24"/>
              </w:rPr>
            </w:pPr>
            <w:r>
              <w:rPr>
                <w:rFonts w:hint="eastAsia" w:ascii="宋体" w:hAnsi="宋体" w:cs="仿宋_GB2312"/>
                <w:kern w:val="0"/>
                <w:sz w:val="24"/>
                <w:szCs w:val="24"/>
              </w:rPr>
              <w:t>2</w:t>
            </w:r>
          </w:p>
        </w:tc>
        <w:tc>
          <w:tcPr>
            <w:tcW w:w="3347" w:type="pct"/>
            <w:tcBorders>
              <w:top w:val="nil"/>
              <w:left w:val="nil"/>
              <w:bottom w:val="single" w:color="auto" w:sz="4" w:space="0"/>
              <w:right w:val="single" w:color="auto" w:sz="4" w:space="0"/>
            </w:tcBorders>
            <w:vAlign w:val="bottom"/>
          </w:tcPr>
          <w:p>
            <w:pPr>
              <w:widowControl/>
              <w:jc w:val="left"/>
              <w:rPr>
                <w:rFonts w:ascii="宋体" w:hAnsi="宋体" w:cs="仿宋_GB2312"/>
                <w:kern w:val="0"/>
                <w:sz w:val="24"/>
                <w:szCs w:val="24"/>
              </w:rPr>
            </w:pPr>
            <w:r>
              <w:rPr>
                <w:rFonts w:hint="eastAsia" w:ascii="宋体" w:hAnsi="宋体" w:cs="仿宋_GB2312"/>
                <w:kern w:val="0"/>
                <w:sz w:val="24"/>
                <w:szCs w:val="24"/>
              </w:rPr>
              <w:t>1GE</w:t>
            </w:r>
          </w:p>
        </w:tc>
      </w:tr>
    </w:tbl>
    <w:p>
      <w:pPr>
        <w:spacing w:line="360" w:lineRule="auto"/>
        <w:rPr>
          <w:rFonts w:ascii="宋体" w:hAnsi="宋体" w:eastAsia="宋体" w:cs="Times New Roman"/>
          <w:sz w:val="24"/>
        </w:rPr>
      </w:pPr>
      <w:r>
        <w:rPr>
          <w:rFonts w:hint="eastAsia" w:ascii="宋体" w:hAnsi="宋体" w:eastAsia="宋体" w:cs="Times New Roman"/>
          <w:sz w:val="24"/>
        </w:rPr>
        <w:t>二、云服务安全功能需求：</w:t>
      </w:r>
    </w:p>
    <w:tbl>
      <w:tblPr>
        <w:tblStyle w:val="27"/>
        <w:tblW w:w="9366" w:type="dxa"/>
        <w:jc w:val="center"/>
        <w:tblLayout w:type="fixed"/>
        <w:tblCellMar>
          <w:top w:w="0" w:type="dxa"/>
          <w:left w:w="0" w:type="dxa"/>
          <w:bottom w:w="0" w:type="dxa"/>
          <w:right w:w="0" w:type="dxa"/>
        </w:tblCellMar>
      </w:tblPr>
      <w:tblGrid>
        <w:gridCol w:w="801"/>
        <w:gridCol w:w="708"/>
        <w:gridCol w:w="804"/>
        <w:gridCol w:w="7053"/>
      </w:tblGrid>
      <w:tr>
        <w:tblPrEx>
          <w:tblCellMar>
            <w:top w:w="0" w:type="dxa"/>
            <w:left w:w="0" w:type="dxa"/>
            <w:bottom w:w="0" w:type="dxa"/>
            <w:right w:w="0" w:type="dxa"/>
          </w:tblCellMar>
        </w:tblPrEx>
        <w:trPr>
          <w:trHeight w:val="48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cs="仿宋_GB2312" w:asciiTheme="minorEastAsia" w:hAnsiTheme="minorEastAsia"/>
                <w:kern w:val="0"/>
                <w:sz w:val="24"/>
                <w:szCs w:val="24"/>
              </w:rPr>
            </w:pPr>
            <w:r>
              <w:rPr>
                <w:rFonts w:hint="eastAsia" w:cs="仿宋_GB2312" w:asciiTheme="minorEastAsia" w:hAnsiTheme="minorEastAsia"/>
                <w:kern w:val="0"/>
                <w:sz w:val="24"/>
                <w:szCs w:val="24"/>
              </w:rPr>
              <w:t>名称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仿宋_GB2312" w:asciiTheme="minorEastAsia" w:hAnsiTheme="minorEastAsia"/>
                <w:kern w:val="0"/>
                <w:sz w:val="24"/>
                <w:szCs w:val="24"/>
              </w:rPr>
            </w:pPr>
            <w:r>
              <w:rPr>
                <w:rFonts w:hint="eastAsia" w:cs="仿宋_GB2312" w:asciiTheme="minorEastAsia" w:hAnsiTheme="minorEastAsia"/>
                <w:kern w:val="0"/>
                <w:sz w:val="24"/>
                <w:szCs w:val="24"/>
              </w:rPr>
              <w:t>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cs="仿宋_GB2312" w:asciiTheme="minorEastAsia" w:hAnsiTheme="minorEastAsia"/>
                <w:kern w:val="0"/>
                <w:sz w:val="24"/>
                <w:szCs w:val="24"/>
              </w:rPr>
            </w:pPr>
            <w:r>
              <w:rPr>
                <w:rFonts w:hint="eastAsia" w:cs="仿宋_GB2312" w:asciiTheme="minorEastAsia" w:hAnsiTheme="minorEastAsia"/>
                <w:kern w:val="0"/>
                <w:sz w:val="24"/>
                <w:szCs w:val="24"/>
              </w:rPr>
              <w:t>数量</w:t>
            </w:r>
          </w:p>
        </w:tc>
        <w:tc>
          <w:tcPr>
            <w:tcW w:w="70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cs="仿宋_GB2312" w:asciiTheme="minorEastAsia" w:hAnsiTheme="minorEastAsia"/>
                <w:kern w:val="0"/>
                <w:sz w:val="24"/>
                <w:szCs w:val="24"/>
              </w:rPr>
            </w:pPr>
            <w:r>
              <w:rPr>
                <w:rFonts w:hint="eastAsia" w:cs="仿宋_GB2312" w:asciiTheme="minorEastAsia" w:hAnsiTheme="minorEastAsia"/>
                <w:kern w:val="0"/>
                <w:sz w:val="24"/>
                <w:szCs w:val="24"/>
              </w:rPr>
              <w:t>技术参数要求</w:t>
            </w:r>
          </w:p>
        </w:tc>
      </w:tr>
      <w:tr>
        <w:tblPrEx>
          <w:tblCellMar>
            <w:top w:w="0" w:type="dxa"/>
            <w:left w:w="0" w:type="dxa"/>
            <w:bottom w:w="0" w:type="dxa"/>
            <w:right w:w="0" w:type="dxa"/>
          </w:tblCellMar>
        </w:tblPrEx>
        <w:trPr>
          <w:trHeight w:val="320" w:hRule="atLeast"/>
          <w:jc w:val="center"/>
        </w:trPr>
        <w:tc>
          <w:tcPr>
            <w:tcW w:w="801"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jc w:val="left"/>
              <w:rPr>
                <w:rFonts w:cs="仿宋_GB2312" w:asciiTheme="minorEastAsia" w:hAnsiTheme="minorEastAsia"/>
                <w:kern w:val="0"/>
                <w:sz w:val="24"/>
                <w:szCs w:val="24"/>
              </w:rPr>
            </w:pPr>
            <w:r>
              <w:rPr>
                <w:rFonts w:hint="eastAsia" w:cs="仿宋_GB2312" w:asciiTheme="minorEastAsia" w:hAnsiTheme="minorEastAsia"/>
                <w:color w:val="000000"/>
                <w:kern w:val="0"/>
                <w:sz w:val="24"/>
                <w:szCs w:val="24"/>
              </w:rPr>
              <w:t>云服务器备份存储库</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_GB2312" w:asciiTheme="minorEastAsia" w:hAnsiTheme="minorEastAsia"/>
                <w:kern w:val="0"/>
                <w:sz w:val="24"/>
                <w:szCs w:val="24"/>
              </w:rPr>
            </w:pPr>
            <w:r>
              <w:rPr>
                <w:rFonts w:hint="eastAsia" w:cs="仿宋_GB2312" w:asciiTheme="minorEastAsia" w:hAnsiTheme="minorEastAsia"/>
                <w:kern w:val="0"/>
                <w:sz w:val="24"/>
                <w:szCs w:val="24"/>
              </w:rPr>
              <w:t>G</w:t>
            </w:r>
            <w:r>
              <w:rPr>
                <w:rFonts w:cs="仿宋_GB2312" w:asciiTheme="minorEastAsia" w:hAnsiTheme="minorEastAsia"/>
                <w:kern w:val="0"/>
                <w:sz w:val="24"/>
                <w:szCs w:val="24"/>
              </w:rPr>
              <w:t>B</w:t>
            </w:r>
          </w:p>
        </w:tc>
        <w:tc>
          <w:tcPr>
            <w:tcW w:w="8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cs="仿宋_GB2312" w:asciiTheme="minorEastAsia" w:hAnsiTheme="minorEastAsia"/>
                <w:kern w:val="0"/>
                <w:sz w:val="24"/>
                <w:szCs w:val="24"/>
              </w:rPr>
            </w:pPr>
            <w:r>
              <w:rPr>
                <w:rFonts w:hint="eastAsia" w:cs="仿宋_GB2312" w:asciiTheme="minorEastAsia" w:hAnsiTheme="minorEastAsia"/>
                <w:kern w:val="0"/>
                <w:sz w:val="24"/>
                <w:szCs w:val="24"/>
              </w:rPr>
              <w:t>4</w:t>
            </w:r>
            <w:r>
              <w:rPr>
                <w:rFonts w:cs="仿宋_GB2312" w:asciiTheme="minorEastAsia" w:hAnsiTheme="minorEastAsia"/>
                <w:kern w:val="0"/>
                <w:sz w:val="24"/>
                <w:szCs w:val="24"/>
              </w:rPr>
              <w:t>000</w:t>
            </w:r>
          </w:p>
        </w:tc>
        <w:tc>
          <w:tcPr>
            <w:tcW w:w="70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jc w:val="left"/>
              <w:rPr>
                <w:rFonts w:cs="仿宋_GB2312" w:asciiTheme="minorEastAsia" w:hAnsiTheme="minorEastAsia"/>
                <w:kern w:val="0"/>
                <w:sz w:val="24"/>
                <w:szCs w:val="24"/>
              </w:rPr>
            </w:pPr>
            <w:r>
              <w:rPr>
                <w:rFonts w:hint="eastAsia" w:cs="仿宋_GB2312" w:asciiTheme="minorEastAsia" w:hAnsiTheme="minorEastAsia"/>
                <w:kern w:val="0"/>
                <w:sz w:val="24"/>
                <w:szCs w:val="24"/>
              </w:rPr>
              <w:t>一、规格要求：</w:t>
            </w:r>
          </w:p>
          <w:p>
            <w:pPr>
              <w:widowControl/>
              <w:jc w:val="left"/>
              <w:rPr>
                <w:rFonts w:cs="仿宋_GB2312" w:asciiTheme="minorEastAsia" w:hAnsiTheme="minorEastAsia"/>
                <w:kern w:val="0"/>
                <w:sz w:val="24"/>
                <w:szCs w:val="24"/>
              </w:rPr>
            </w:pPr>
            <w:r>
              <w:rPr>
                <w:rFonts w:hint="eastAsia" w:cs="仿宋_GB2312" w:asciiTheme="minorEastAsia" w:hAnsiTheme="minorEastAsia"/>
                <w:kern w:val="0"/>
                <w:sz w:val="24"/>
                <w:szCs w:val="24"/>
              </w:rPr>
              <w:t>云备份服务：云服务器备份存储库≥4000GB</w:t>
            </w:r>
          </w:p>
          <w:p>
            <w:pPr>
              <w:widowControl/>
              <w:jc w:val="left"/>
              <w:rPr>
                <w:rFonts w:cs="仿宋_GB2312" w:asciiTheme="minorEastAsia" w:hAnsiTheme="minorEastAsia"/>
                <w:kern w:val="0"/>
                <w:sz w:val="24"/>
                <w:szCs w:val="24"/>
              </w:rPr>
            </w:pPr>
            <w:r>
              <w:rPr>
                <w:rFonts w:hint="eastAsia" w:cs="仿宋_GB2312" w:asciiTheme="minorEastAsia" w:hAnsiTheme="minorEastAsia"/>
                <w:kern w:val="0"/>
                <w:sz w:val="24"/>
                <w:szCs w:val="24"/>
              </w:rPr>
              <w:t>二、功能要求：</w:t>
            </w:r>
          </w:p>
          <w:p>
            <w:pPr>
              <w:widowControl/>
              <w:jc w:val="left"/>
              <w:rPr>
                <w:rFonts w:cs="仿宋_GB2312" w:asciiTheme="minorEastAsia" w:hAnsiTheme="minorEastAsia"/>
                <w:kern w:val="0"/>
                <w:sz w:val="24"/>
                <w:szCs w:val="24"/>
              </w:rPr>
            </w:pPr>
            <w:r>
              <w:rPr>
                <w:rFonts w:hint="eastAsia" w:cs="仿宋_GB2312" w:asciiTheme="minorEastAsia" w:hAnsiTheme="minorEastAsia"/>
                <w:kern w:val="0"/>
                <w:sz w:val="24"/>
                <w:szCs w:val="24"/>
              </w:rPr>
              <w:t>1、提供对云主机的基于多云硬盘一致性快照技术的数据保护。</w:t>
            </w:r>
          </w:p>
          <w:p>
            <w:pPr>
              <w:widowControl/>
              <w:jc w:val="left"/>
              <w:rPr>
                <w:rFonts w:cs="仿宋_GB2312" w:asciiTheme="minorEastAsia" w:hAnsiTheme="minorEastAsia"/>
                <w:kern w:val="0"/>
                <w:sz w:val="24"/>
                <w:szCs w:val="24"/>
              </w:rPr>
            </w:pPr>
            <w:r>
              <w:rPr>
                <w:rFonts w:hint="eastAsia" w:cs="仿宋_GB2312" w:asciiTheme="minorEastAsia" w:hAnsiTheme="minorEastAsia"/>
                <w:kern w:val="0"/>
                <w:sz w:val="24"/>
                <w:szCs w:val="24"/>
              </w:rPr>
              <w:t>2、提供使用整机备份将原云服务器的数据恢复到指定备份点。</w:t>
            </w:r>
          </w:p>
          <w:p>
            <w:pPr>
              <w:widowControl/>
              <w:jc w:val="left"/>
              <w:rPr>
                <w:rFonts w:cs="仿宋_GB2312" w:asciiTheme="minorEastAsia" w:hAnsiTheme="minorEastAsia"/>
                <w:kern w:val="0"/>
                <w:sz w:val="24"/>
                <w:szCs w:val="24"/>
              </w:rPr>
            </w:pPr>
            <w:r>
              <w:rPr>
                <w:rFonts w:hint="eastAsia" w:cs="仿宋_GB2312" w:asciiTheme="minorEastAsia" w:hAnsiTheme="minorEastAsia"/>
                <w:kern w:val="0"/>
                <w:sz w:val="24"/>
                <w:szCs w:val="24"/>
              </w:rPr>
              <w:t>3、支持将云服务器备份（含系统盘+数据盘）创建为镜像，能够快速大量部署业务。</w:t>
            </w:r>
          </w:p>
          <w:p>
            <w:pPr>
              <w:jc w:val="left"/>
              <w:rPr>
                <w:rFonts w:cs="仿宋_GB2312" w:asciiTheme="minorEastAsia" w:hAnsiTheme="minorEastAsia"/>
                <w:kern w:val="0"/>
                <w:sz w:val="24"/>
                <w:szCs w:val="24"/>
              </w:rPr>
            </w:pPr>
            <w:r>
              <w:rPr>
                <w:rFonts w:hint="eastAsia" w:cs="仿宋_GB2312" w:asciiTheme="minorEastAsia" w:hAnsiTheme="minorEastAsia"/>
                <w:kern w:val="0"/>
                <w:sz w:val="24"/>
                <w:szCs w:val="24"/>
              </w:rPr>
              <w:t>4、支持云服务器备份时，先冻结部署在云服务器中的应用系统或数据库、并刷新内存脏数据，再进行云服务器数据的备份。保证备份时应用系统或者数据库的数据处于一致状态，确保数据库备份的完整性。</w:t>
            </w:r>
          </w:p>
        </w:tc>
      </w:tr>
      <w:tr>
        <w:tblPrEx>
          <w:tblCellMar>
            <w:top w:w="0" w:type="dxa"/>
            <w:left w:w="0" w:type="dxa"/>
            <w:bottom w:w="0" w:type="dxa"/>
            <w:right w:w="0" w:type="dxa"/>
          </w:tblCellMar>
        </w:tblPrEx>
        <w:trPr>
          <w:trHeight w:val="320" w:hRule="atLeast"/>
          <w:jc w:val="center"/>
        </w:trPr>
        <w:tc>
          <w:tcPr>
            <w:tcW w:w="801"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jc w:val="center"/>
              <w:rPr>
                <w:rFonts w:cs="仿宋_GB2312" w:asciiTheme="minorEastAsia" w:hAnsiTheme="minorEastAsia"/>
                <w:kern w:val="0"/>
                <w:sz w:val="24"/>
                <w:szCs w:val="24"/>
              </w:rPr>
            </w:pPr>
            <w:r>
              <w:rPr>
                <w:rFonts w:hint="eastAsia" w:cs="仿宋_GB2312" w:asciiTheme="minorEastAsia" w:hAnsiTheme="minorEastAsia"/>
                <w:kern w:val="0"/>
                <w:sz w:val="24"/>
                <w:szCs w:val="24"/>
              </w:rPr>
              <w:t>云主机安全服务</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_GB2312" w:asciiTheme="minorEastAsia" w:hAnsiTheme="minorEastAsia"/>
                <w:kern w:val="0"/>
                <w:sz w:val="24"/>
                <w:szCs w:val="24"/>
              </w:rPr>
            </w:pPr>
            <w:r>
              <w:rPr>
                <w:rFonts w:hint="eastAsia" w:cs="仿宋_GB2312" w:asciiTheme="minorEastAsia" w:hAnsiTheme="minorEastAsia"/>
                <w:kern w:val="0"/>
                <w:sz w:val="24"/>
                <w:szCs w:val="24"/>
              </w:rPr>
              <w:t>套</w:t>
            </w:r>
          </w:p>
        </w:tc>
        <w:tc>
          <w:tcPr>
            <w:tcW w:w="8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cs="仿宋_GB2312" w:asciiTheme="minorEastAsia" w:hAnsiTheme="minorEastAsia"/>
                <w:kern w:val="0"/>
                <w:sz w:val="24"/>
                <w:szCs w:val="24"/>
              </w:rPr>
            </w:pPr>
            <w:r>
              <w:rPr>
                <w:rFonts w:hint="eastAsia" w:cs="仿宋_GB2312" w:asciiTheme="minorEastAsia" w:hAnsiTheme="minorEastAsia"/>
                <w:kern w:val="0"/>
                <w:sz w:val="24"/>
                <w:szCs w:val="24"/>
              </w:rPr>
              <w:t>6</w:t>
            </w:r>
          </w:p>
        </w:tc>
        <w:tc>
          <w:tcPr>
            <w:tcW w:w="70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pStyle w:val="32"/>
              <w:widowControl/>
              <w:spacing w:line="240" w:lineRule="auto"/>
              <w:ind w:firstLine="0" w:firstLineChars="0"/>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一、规格要求：</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主机安全服务：可防护主机数量不少于31个</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二、功能要求：</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1、提供资产管理：账号信息管理、开放端口检测、进程信息管理、Web目录管理、软件信息管理。</w:t>
            </w:r>
            <w:r>
              <w:rPr>
                <w:rFonts w:hint="eastAsia" w:cs="仿宋_GB2312" w:asciiTheme="minorEastAsia" w:hAnsiTheme="minorEastAsia"/>
                <w:kern w:val="0"/>
                <w:sz w:val="24"/>
                <w:szCs w:val="24"/>
              </w:rPr>
              <w:br w:type="textWrapping"/>
            </w:r>
            <w:r>
              <w:rPr>
                <w:rFonts w:hint="eastAsia" w:cs="仿宋_GB2312" w:asciiTheme="minorEastAsia" w:hAnsiTheme="minorEastAsia"/>
                <w:kern w:val="0"/>
                <w:sz w:val="24"/>
                <w:szCs w:val="24"/>
              </w:rPr>
              <w:t>2、提供漏洞管理：Linux软件漏洞管理、Windows系统漏洞管理、Web-CMS漏洞管理。</w:t>
            </w:r>
            <w:r>
              <w:rPr>
                <w:rFonts w:hint="eastAsia" w:cs="仿宋_GB2312" w:asciiTheme="minorEastAsia" w:hAnsiTheme="minorEastAsia"/>
                <w:kern w:val="0"/>
                <w:sz w:val="24"/>
                <w:szCs w:val="24"/>
              </w:rPr>
              <w:br w:type="textWrapping"/>
            </w:r>
            <w:r>
              <w:rPr>
                <w:rFonts w:hint="eastAsia" w:cs="仿宋_GB2312" w:asciiTheme="minorEastAsia" w:hAnsiTheme="minorEastAsia"/>
                <w:kern w:val="0"/>
                <w:sz w:val="24"/>
                <w:szCs w:val="24"/>
              </w:rPr>
              <w:t>3、提供入侵检测：双因子认证、账户破解防护、异地登录检测、关键文件变更检测、恶意程序检测、网站后门检测。</w:t>
            </w:r>
            <w:r>
              <w:rPr>
                <w:rFonts w:hint="eastAsia" w:cs="仿宋_GB2312" w:asciiTheme="minorEastAsia" w:hAnsiTheme="minorEastAsia"/>
                <w:kern w:val="0"/>
                <w:sz w:val="24"/>
                <w:szCs w:val="24"/>
              </w:rPr>
              <w:br w:type="textWrapping"/>
            </w:r>
            <w:r>
              <w:rPr>
                <w:rFonts w:hint="eastAsia" w:cs="仿宋_GB2312" w:asciiTheme="minorEastAsia" w:hAnsiTheme="minorEastAsia"/>
                <w:kern w:val="0"/>
                <w:sz w:val="24"/>
                <w:szCs w:val="24"/>
              </w:rPr>
              <w:t>4、提供基线检查：口令复杂度策略检测、经典弱口令检测、风险账号检测、配置检测。</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5、支持使用最新的恶意程序库与多款病毒查杀引擎，对运行的进程进行检测，识别出其中的病毒、木马、后门、蠕虫和挖矿软件，并提供一键隔离查杀能力。</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6、支持保护网站的网页、电子文档、图片等文件不被黑客篡改和破坏，能够同时保护静态网页与动态网页</w:t>
            </w:r>
            <w:r>
              <w:rPr>
                <w:rFonts w:cs="仿宋_GB2312" w:asciiTheme="minorEastAsia" w:hAnsiTheme="minorEastAsia"/>
                <w:kern w:val="0"/>
                <w:sz w:val="24"/>
                <w:szCs w:val="24"/>
              </w:rPr>
              <w:t>。</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7、支持结合短信/邮箱验证码，对云服务器登录行为进行二次认证，增强云服务器账户安全性。</w:t>
            </w:r>
          </w:p>
          <w:p>
            <w:pPr>
              <w:pStyle w:val="32"/>
              <w:widowControl/>
              <w:spacing w:line="240" w:lineRule="auto"/>
              <w:ind w:firstLine="0" w:firstLineChars="0"/>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8、支持对系统关键文件（例如：ls、ps、login、top）进行监控，一旦文件被修改就进行告警。</w:t>
            </w:r>
          </w:p>
          <w:p>
            <w:pPr>
              <w:pStyle w:val="32"/>
              <w:widowControl/>
              <w:spacing w:line="240" w:lineRule="auto"/>
              <w:ind w:firstLine="0" w:firstLineChars="0"/>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9、网页防篡改：保护网站的网页、电子文档、图片等文件不被黑客篡改和破坏。</w:t>
            </w:r>
          </w:p>
        </w:tc>
      </w:tr>
      <w:tr>
        <w:tblPrEx>
          <w:tblCellMar>
            <w:top w:w="0" w:type="dxa"/>
            <w:left w:w="0" w:type="dxa"/>
            <w:bottom w:w="0" w:type="dxa"/>
            <w:right w:w="0" w:type="dxa"/>
          </w:tblCellMar>
        </w:tblPrEx>
        <w:trPr>
          <w:trHeight w:val="320" w:hRule="atLeast"/>
          <w:jc w:val="center"/>
        </w:trPr>
        <w:tc>
          <w:tcPr>
            <w:tcW w:w="801"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jc w:val="center"/>
              <w:rPr>
                <w:rFonts w:cs="仿宋_GB2312" w:asciiTheme="minorEastAsia" w:hAnsiTheme="minorEastAsia"/>
                <w:kern w:val="0"/>
                <w:sz w:val="24"/>
                <w:szCs w:val="24"/>
              </w:rPr>
            </w:pPr>
            <w:r>
              <w:rPr>
                <w:rFonts w:hint="eastAsia" w:cs="仿宋_GB2312" w:asciiTheme="minorEastAsia" w:hAnsiTheme="minorEastAsia"/>
                <w:kern w:val="0"/>
                <w:sz w:val="24"/>
                <w:szCs w:val="24"/>
              </w:rPr>
              <w:t>云防火墙服务</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_GB2312" w:asciiTheme="minorEastAsia" w:hAnsiTheme="minorEastAsia"/>
                <w:kern w:val="0"/>
                <w:sz w:val="24"/>
                <w:szCs w:val="24"/>
              </w:rPr>
            </w:pPr>
            <w:r>
              <w:rPr>
                <w:rFonts w:hint="eastAsia" w:cs="仿宋_GB2312" w:asciiTheme="minorEastAsia" w:hAnsiTheme="minorEastAsia"/>
                <w:kern w:val="0"/>
                <w:sz w:val="24"/>
                <w:szCs w:val="24"/>
              </w:rPr>
              <w:t>套</w:t>
            </w:r>
          </w:p>
        </w:tc>
        <w:tc>
          <w:tcPr>
            <w:tcW w:w="8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cs="仿宋_GB2312" w:asciiTheme="minorEastAsia" w:hAnsiTheme="minorEastAsia"/>
                <w:kern w:val="0"/>
                <w:sz w:val="24"/>
                <w:szCs w:val="24"/>
              </w:rPr>
            </w:pPr>
            <w:r>
              <w:rPr>
                <w:rFonts w:hint="eastAsia" w:cs="仿宋_GB2312" w:asciiTheme="minorEastAsia" w:hAnsiTheme="minorEastAsia"/>
                <w:kern w:val="0"/>
                <w:sz w:val="24"/>
                <w:szCs w:val="24"/>
              </w:rPr>
              <w:t>1</w:t>
            </w:r>
          </w:p>
        </w:tc>
        <w:tc>
          <w:tcPr>
            <w:tcW w:w="70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pStyle w:val="32"/>
              <w:widowControl/>
              <w:numPr>
                <w:ilvl w:val="0"/>
                <w:numId w:val="3"/>
              </w:numPr>
              <w:spacing w:line="240" w:lineRule="auto"/>
              <w:ind w:firstLineChars="0"/>
              <w:jc w:val="left"/>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云上虚拟网络环境是隔离的、私密的，检测和防护；</w:t>
            </w:r>
          </w:p>
          <w:p>
            <w:pPr>
              <w:pStyle w:val="32"/>
              <w:widowControl/>
              <w:numPr>
                <w:ilvl w:val="0"/>
                <w:numId w:val="3"/>
              </w:numPr>
              <w:spacing w:line="240" w:lineRule="auto"/>
              <w:ind w:firstLineChars="0"/>
              <w:jc w:val="left"/>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能够识别恶意请求特征和防御未知威胁，避免源站被黑客恶意攻击和入侵，防止核心资产遭窃取，为业务安全提供保障。</w:t>
            </w:r>
          </w:p>
        </w:tc>
      </w:tr>
      <w:tr>
        <w:tblPrEx>
          <w:tblCellMar>
            <w:top w:w="0" w:type="dxa"/>
            <w:left w:w="0" w:type="dxa"/>
            <w:bottom w:w="0" w:type="dxa"/>
            <w:right w:w="0" w:type="dxa"/>
          </w:tblCellMar>
        </w:tblPrEx>
        <w:trPr>
          <w:trHeight w:val="320" w:hRule="atLeast"/>
          <w:jc w:val="center"/>
        </w:trPr>
        <w:tc>
          <w:tcPr>
            <w:tcW w:w="801"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jc w:val="center"/>
              <w:rPr>
                <w:rFonts w:cs="仿宋_GB2312" w:asciiTheme="minorEastAsia" w:hAnsiTheme="minorEastAsia"/>
                <w:kern w:val="0"/>
                <w:sz w:val="24"/>
                <w:szCs w:val="24"/>
              </w:rPr>
            </w:pPr>
            <w:r>
              <w:rPr>
                <w:rFonts w:hint="eastAsia" w:cs="仿宋_GB2312" w:asciiTheme="minorEastAsia" w:hAnsiTheme="minorEastAsia"/>
                <w:kern w:val="0"/>
                <w:sz w:val="24"/>
                <w:szCs w:val="24"/>
              </w:rPr>
              <w:t>数据库安全审计服务</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_GB2312" w:asciiTheme="minorEastAsia" w:hAnsiTheme="minorEastAsia"/>
                <w:kern w:val="0"/>
                <w:sz w:val="24"/>
                <w:szCs w:val="24"/>
              </w:rPr>
            </w:pPr>
            <w:r>
              <w:rPr>
                <w:rFonts w:hint="eastAsia" w:cs="仿宋_GB2312" w:asciiTheme="minorEastAsia" w:hAnsiTheme="minorEastAsia"/>
                <w:kern w:val="0"/>
                <w:sz w:val="24"/>
                <w:szCs w:val="24"/>
              </w:rPr>
              <w:t>套</w:t>
            </w:r>
          </w:p>
        </w:tc>
        <w:tc>
          <w:tcPr>
            <w:tcW w:w="8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cs="仿宋_GB2312" w:asciiTheme="minorEastAsia" w:hAnsiTheme="minorEastAsia"/>
                <w:kern w:val="0"/>
                <w:sz w:val="24"/>
                <w:szCs w:val="24"/>
              </w:rPr>
            </w:pPr>
            <w:r>
              <w:rPr>
                <w:rFonts w:hint="eastAsia" w:cs="仿宋_GB2312" w:asciiTheme="minorEastAsia" w:hAnsiTheme="minorEastAsia"/>
                <w:kern w:val="0"/>
                <w:sz w:val="24"/>
                <w:szCs w:val="24"/>
              </w:rPr>
              <w:t>1</w:t>
            </w:r>
          </w:p>
        </w:tc>
        <w:tc>
          <w:tcPr>
            <w:tcW w:w="70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一、规格要求：</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数据库安全服务</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1、支持的数据库实例≥3</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2、系统规格：CPU≥4核，内存≥8GB，硬盘≥560GB</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3、支持吞吐量峰值≥3,000条/秒</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4、支持入库速率≥360万条/小时</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5、支持≥4亿条在线SQL语句存储</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6、支持≥50亿条归档SQL语句存储</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二、功能要求：</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1、支持检测SQL注入攻击。</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2、支持自定义风险规则。</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3、支持（系统级）多数据库聚合报表展现和单数据库综合性报表展现。</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4、支持基于总体概况、性能、会话、语句、风险多层面展现报表。</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5、支持报表定时推动功能，自定义推送周期以邮件形式推送报表文档。</w:t>
            </w:r>
          </w:p>
        </w:tc>
      </w:tr>
      <w:tr>
        <w:tblPrEx>
          <w:tblCellMar>
            <w:top w:w="0" w:type="dxa"/>
            <w:left w:w="0" w:type="dxa"/>
            <w:bottom w:w="0" w:type="dxa"/>
            <w:right w:w="0" w:type="dxa"/>
          </w:tblCellMar>
        </w:tblPrEx>
        <w:trPr>
          <w:trHeight w:val="320" w:hRule="atLeast"/>
          <w:jc w:val="center"/>
        </w:trPr>
        <w:tc>
          <w:tcPr>
            <w:tcW w:w="801"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jc w:val="center"/>
              <w:rPr>
                <w:rFonts w:cs="仿宋_GB2312" w:asciiTheme="minorEastAsia" w:hAnsiTheme="minorEastAsia"/>
                <w:kern w:val="0"/>
                <w:sz w:val="24"/>
                <w:szCs w:val="24"/>
              </w:rPr>
            </w:pPr>
            <w:r>
              <w:rPr>
                <w:rFonts w:hint="eastAsia" w:cs="仿宋_GB2312" w:asciiTheme="minorEastAsia" w:hAnsiTheme="minorEastAsia"/>
                <w:kern w:val="0"/>
                <w:sz w:val="24"/>
                <w:szCs w:val="24"/>
              </w:rPr>
              <w:t>云堡垒机</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_GB2312" w:asciiTheme="minorEastAsia" w:hAnsiTheme="minorEastAsia"/>
                <w:kern w:val="0"/>
                <w:sz w:val="24"/>
                <w:szCs w:val="24"/>
              </w:rPr>
            </w:pPr>
            <w:r>
              <w:rPr>
                <w:rFonts w:hint="eastAsia" w:cs="仿宋_GB2312" w:asciiTheme="minorEastAsia" w:hAnsiTheme="minorEastAsia"/>
                <w:kern w:val="0"/>
                <w:sz w:val="24"/>
                <w:szCs w:val="24"/>
              </w:rPr>
              <w:t>套</w:t>
            </w:r>
          </w:p>
        </w:tc>
        <w:tc>
          <w:tcPr>
            <w:tcW w:w="8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cs="仿宋_GB2312" w:asciiTheme="minorEastAsia" w:hAnsiTheme="minorEastAsia"/>
                <w:kern w:val="0"/>
                <w:sz w:val="24"/>
                <w:szCs w:val="24"/>
              </w:rPr>
            </w:pPr>
            <w:r>
              <w:rPr>
                <w:rFonts w:hint="eastAsia" w:cs="仿宋_GB2312" w:asciiTheme="minorEastAsia" w:hAnsiTheme="minorEastAsia"/>
                <w:kern w:val="0"/>
                <w:sz w:val="24"/>
                <w:szCs w:val="24"/>
              </w:rPr>
              <w:t>1</w:t>
            </w:r>
          </w:p>
        </w:tc>
        <w:tc>
          <w:tcPr>
            <w:tcW w:w="70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一、规格要求：</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云堡垒机服务</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1、基础功能：支持身份认证、权限控制、帐号管理、安全审计</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2、支持的资产数≥100</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3、支持的并发数≥100</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4、堡垒机规格：CPU≥4核，内存≥8GB，系统盘≥100GB，数据盘≥1000GB</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二、功能要求：</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1、支持网页方式运维主机，无需安装调用任何客户端工具，只需通过浏览器就能登陆主机进行运维，方便快捷。</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2、支持使用浏览器即可上传下载文件，支持个人共享网盘，实现多主机的文件共享。</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3、支持打开多个会话链接，开启群发键，能够同步输入。</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4、支持多人进入同一会话，协同进行运维工作，技术共享。</w:t>
            </w:r>
          </w:p>
          <w:p>
            <w:pPr>
              <w:pStyle w:val="32"/>
              <w:widowControl/>
              <w:spacing w:line="240" w:lineRule="auto"/>
              <w:ind w:firstLine="0" w:firstLineChars="0"/>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5、支持对核心资源进行双人授权，现场授权之后才能运维，保证核心资源的安全</w:t>
            </w:r>
          </w:p>
        </w:tc>
      </w:tr>
      <w:tr>
        <w:tblPrEx>
          <w:tblCellMar>
            <w:top w:w="0" w:type="dxa"/>
            <w:left w:w="0" w:type="dxa"/>
            <w:bottom w:w="0" w:type="dxa"/>
            <w:right w:w="0" w:type="dxa"/>
          </w:tblCellMar>
        </w:tblPrEx>
        <w:trPr>
          <w:trHeight w:val="320" w:hRule="atLeast"/>
          <w:jc w:val="center"/>
        </w:trPr>
        <w:tc>
          <w:tcPr>
            <w:tcW w:w="801"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jc w:val="center"/>
              <w:rPr>
                <w:rFonts w:cs="仿宋_GB2312" w:asciiTheme="minorEastAsia" w:hAnsiTheme="minorEastAsia"/>
                <w:kern w:val="0"/>
                <w:sz w:val="24"/>
                <w:szCs w:val="24"/>
              </w:rPr>
            </w:pPr>
            <w:r>
              <w:rPr>
                <w:rFonts w:hint="eastAsia" w:cs="仿宋_GB2312" w:asciiTheme="minorEastAsia" w:hAnsiTheme="minorEastAsia"/>
                <w:kern w:val="0"/>
                <w:sz w:val="24"/>
                <w:szCs w:val="24"/>
              </w:rPr>
              <w:t>云审计</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_GB2312" w:asciiTheme="minorEastAsia" w:hAnsiTheme="minorEastAsia"/>
                <w:kern w:val="0"/>
                <w:sz w:val="24"/>
                <w:szCs w:val="24"/>
              </w:rPr>
            </w:pPr>
            <w:r>
              <w:rPr>
                <w:rFonts w:hint="eastAsia" w:cs="仿宋_GB2312" w:asciiTheme="minorEastAsia" w:hAnsiTheme="minorEastAsia"/>
                <w:kern w:val="0"/>
                <w:sz w:val="24"/>
                <w:szCs w:val="24"/>
              </w:rPr>
              <w:t>套</w:t>
            </w:r>
          </w:p>
        </w:tc>
        <w:tc>
          <w:tcPr>
            <w:tcW w:w="8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cs="仿宋_GB2312" w:asciiTheme="minorEastAsia" w:hAnsiTheme="minorEastAsia"/>
                <w:kern w:val="0"/>
                <w:sz w:val="24"/>
                <w:szCs w:val="24"/>
              </w:rPr>
            </w:pPr>
            <w:r>
              <w:rPr>
                <w:rFonts w:hint="eastAsia" w:cs="仿宋_GB2312" w:asciiTheme="minorEastAsia" w:hAnsiTheme="minorEastAsia"/>
                <w:kern w:val="0"/>
                <w:sz w:val="24"/>
                <w:szCs w:val="24"/>
              </w:rPr>
              <w:t>1</w:t>
            </w:r>
          </w:p>
        </w:tc>
        <w:tc>
          <w:tcPr>
            <w:tcW w:w="70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一、规格要求：</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云审计服务</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二、功能要求：</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1、支持记录审计日志：支持记录用户通过管理控制台或API接口发起的操作，以及各服务内部自触发的操作。</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2、支持审计日志查询：支持在管理控制台对7天内操作记录按照事件类型、事件来源、资源类型、筛选类型、操作用户和事件级别等多个维度进行组合查询。</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3、支持审计日志转储：支持将审计日志周期性的转储至对象存储服务下的OBS桶，转储时会按照服务维度压缩审计日志为事件文件。</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4、支持事件文件加密：支持在转储过程中使用数据加密服务中的密钥对事件文件进行加密。</w:t>
            </w:r>
          </w:p>
        </w:tc>
      </w:tr>
      <w:tr>
        <w:tblPrEx>
          <w:tblCellMar>
            <w:top w:w="0" w:type="dxa"/>
            <w:left w:w="0" w:type="dxa"/>
            <w:bottom w:w="0" w:type="dxa"/>
            <w:right w:w="0" w:type="dxa"/>
          </w:tblCellMar>
        </w:tblPrEx>
        <w:trPr>
          <w:trHeight w:val="320" w:hRule="atLeast"/>
          <w:jc w:val="center"/>
        </w:trPr>
        <w:tc>
          <w:tcPr>
            <w:tcW w:w="801"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jc w:val="center"/>
              <w:rPr>
                <w:rFonts w:cs="仿宋_GB2312" w:asciiTheme="minorEastAsia" w:hAnsiTheme="minorEastAsia"/>
                <w:kern w:val="0"/>
                <w:sz w:val="24"/>
                <w:szCs w:val="24"/>
              </w:rPr>
            </w:pPr>
            <w:r>
              <w:rPr>
                <w:rFonts w:hint="eastAsia" w:cs="仿宋_GB2312" w:asciiTheme="minorEastAsia" w:hAnsiTheme="minorEastAsia"/>
                <w:kern w:val="0"/>
                <w:sz w:val="24"/>
                <w:szCs w:val="24"/>
              </w:rPr>
              <w:t>云监控</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_GB2312" w:asciiTheme="minorEastAsia" w:hAnsiTheme="minorEastAsia"/>
                <w:kern w:val="0"/>
                <w:sz w:val="24"/>
                <w:szCs w:val="24"/>
              </w:rPr>
            </w:pPr>
            <w:r>
              <w:rPr>
                <w:rFonts w:hint="eastAsia" w:cs="仿宋_GB2312" w:asciiTheme="minorEastAsia" w:hAnsiTheme="minorEastAsia"/>
                <w:kern w:val="0"/>
                <w:sz w:val="24"/>
                <w:szCs w:val="24"/>
              </w:rPr>
              <w:t>套</w:t>
            </w:r>
          </w:p>
        </w:tc>
        <w:tc>
          <w:tcPr>
            <w:tcW w:w="8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cs="仿宋_GB2312" w:asciiTheme="minorEastAsia" w:hAnsiTheme="minorEastAsia"/>
                <w:kern w:val="0"/>
                <w:sz w:val="24"/>
                <w:szCs w:val="24"/>
              </w:rPr>
            </w:pPr>
            <w:r>
              <w:rPr>
                <w:rFonts w:hint="eastAsia" w:cs="仿宋_GB2312" w:asciiTheme="minorEastAsia" w:hAnsiTheme="minorEastAsia"/>
                <w:kern w:val="0"/>
                <w:sz w:val="24"/>
                <w:szCs w:val="24"/>
              </w:rPr>
              <w:t>1</w:t>
            </w:r>
          </w:p>
        </w:tc>
        <w:tc>
          <w:tcPr>
            <w:tcW w:w="70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一、规格要求：</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云监控服务</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二、功能要求：</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1、支持自动监控：支持在创建弹性云服务器等资源后监控服务会自动启动。</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2、支持主机监控：支持在弹性云服务或裸金属服务器中安装云监控服务Agent插件，可以实时采集ECS或BMS 1分钟级粒度的监控数据。</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3、支持配置告警规则：支持对监控指标设置告警规则，支持对多个云服务资源同时添加告警规则。</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4、支持实时通知：通过在告警规则中开启消息通知服务，系统通过短信、邮件通知或发送消息至服务器地址等多种方式实时通知用户，让用户能够实时掌握云资源运行状态变化。</w:t>
            </w:r>
          </w:p>
          <w:p>
            <w:pPr>
              <w:widowControl/>
              <w:rPr>
                <w:rFonts w:cs="仿宋_GB2312" w:asciiTheme="minorEastAsia" w:hAnsiTheme="minorEastAsia"/>
                <w:kern w:val="0"/>
                <w:sz w:val="24"/>
                <w:szCs w:val="24"/>
              </w:rPr>
            </w:pPr>
            <w:r>
              <w:rPr>
                <w:rFonts w:hint="eastAsia" w:cs="仿宋_GB2312" w:asciiTheme="minorEastAsia" w:hAnsiTheme="minorEastAsia"/>
                <w:kern w:val="0"/>
                <w:sz w:val="24"/>
                <w:szCs w:val="24"/>
              </w:rPr>
              <w:t>5、支持监控面板：为用户提供在一个监控面板跨服务、跨维度查看监控数据，将用户关注的重点服务监控指标集中呈现。</w:t>
            </w:r>
          </w:p>
        </w:tc>
      </w:tr>
    </w:tbl>
    <w:p>
      <w:pPr>
        <w:spacing w:line="360" w:lineRule="auto"/>
        <w:rPr>
          <w:rFonts w:ascii="宋体" w:hAnsi="宋体" w:eastAsia="宋体" w:cs="Times New Roman"/>
          <w:sz w:val="24"/>
        </w:rPr>
      </w:pPr>
    </w:p>
    <w:p>
      <w:pPr>
        <w:pStyle w:val="25"/>
        <w:ind w:firstLine="0" w:firstLineChars="0"/>
        <w:rPr>
          <w:b/>
          <w:bCs/>
          <w:sz w:val="30"/>
          <w:szCs w:val="30"/>
          <w:lang w:eastAsia="zh-CN"/>
        </w:rPr>
      </w:pPr>
    </w:p>
    <w:p>
      <w:pPr>
        <w:pStyle w:val="25"/>
        <w:ind w:firstLine="0" w:firstLineChars="0"/>
        <w:rPr>
          <w:b/>
          <w:bCs/>
          <w:sz w:val="30"/>
          <w:szCs w:val="30"/>
          <w:lang w:eastAsia="zh-CN"/>
        </w:rPr>
      </w:pPr>
    </w:p>
    <w:p>
      <w:pPr>
        <w:pStyle w:val="25"/>
        <w:ind w:firstLine="0" w:firstLineChars="0"/>
        <w:rPr>
          <w:b/>
          <w:bCs/>
          <w:sz w:val="30"/>
          <w:szCs w:val="30"/>
          <w:lang w:eastAsia="zh-CN"/>
        </w:rPr>
      </w:pPr>
    </w:p>
    <w:p>
      <w:pPr>
        <w:pStyle w:val="25"/>
        <w:ind w:firstLine="0" w:firstLineChars="0"/>
        <w:rPr>
          <w:b/>
          <w:bCs/>
          <w:sz w:val="30"/>
          <w:szCs w:val="30"/>
          <w:lang w:eastAsia="zh-CN"/>
        </w:rPr>
      </w:pPr>
    </w:p>
    <w:p>
      <w:pPr>
        <w:pStyle w:val="25"/>
        <w:ind w:firstLine="0" w:firstLineChars="0"/>
        <w:rPr>
          <w:b/>
          <w:bCs/>
          <w:sz w:val="30"/>
          <w:szCs w:val="30"/>
          <w:lang w:eastAsia="zh-CN"/>
        </w:rPr>
      </w:pPr>
    </w:p>
    <w:p>
      <w:pPr>
        <w:widowControl/>
        <w:jc w:val="left"/>
        <w:rPr>
          <w:rFonts w:ascii="宋体" w:hAnsi="宋体" w:cs="宋体"/>
          <w:b/>
          <w:bCs/>
          <w:sz w:val="30"/>
          <w:szCs w:val="30"/>
          <w:lang w:bidi="en-US"/>
        </w:rPr>
      </w:pPr>
    </w:p>
    <w:p>
      <w:pPr>
        <w:pStyle w:val="7"/>
        <w:ind w:firstLine="0"/>
        <w:rPr>
          <w:lang w:bidi="en-US"/>
        </w:rPr>
        <w:sectPr>
          <w:pgSz w:w="11906" w:h="16838"/>
          <w:pgMar w:top="1440" w:right="1077" w:bottom="1440" w:left="1077" w:header="851" w:footer="992" w:gutter="0"/>
          <w:cols w:space="720" w:num="1"/>
          <w:docGrid w:linePitch="312" w:charSpace="0"/>
        </w:sectPr>
      </w:pPr>
    </w:p>
    <w:p>
      <w:pPr>
        <w:pStyle w:val="3"/>
        <w:bidi w:val="0"/>
      </w:pPr>
      <w:bookmarkStart w:id="301" w:name="_Toc346"/>
      <w:bookmarkStart w:id="302" w:name="_Toc31345"/>
      <w:r>
        <w:rPr>
          <w:rFonts w:hint="eastAsia"/>
        </w:rPr>
        <w:t>第五章 政府采购合同范本</w:t>
      </w:r>
      <w:bookmarkEnd w:id="301"/>
      <w:bookmarkEnd w:id="302"/>
    </w:p>
    <w:p>
      <w:pPr>
        <w:spacing w:line="360" w:lineRule="auto"/>
        <w:jc w:val="center"/>
        <w:outlineLvl w:val="1"/>
        <w:rPr>
          <w:rFonts w:asciiTheme="minorEastAsia" w:hAnsiTheme="minorEastAsia" w:eastAsiaTheme="minorEastAsia" w:cstheme="minorEastAsia"/>
          <w:sz w:val="24"/>
        </w:rPr>
      </w:pPr>
      <w:bookmarkStart w:id="303" w:name="_Toc18109"/>
      <w:bookmarkStart w:id="304" w:name="_Toc9776"/>
      <w:bookmarkStart w:id="305" w:name="_Toc24633"/>
      <w:r>
        <w:rPr>
          <w:rFonts w:hint="eastAsia" w:asciiTheme="minorEastAsia" w:hAnsiTheme="minorEastAsia" w:eastAsiaTheme="minorEastAsia" w:cstheme="minorEastAsia"/>
          <w:sz w:val="24"/>
        </w:rPr>
        <w:t>（仅供参考）</w:t>
      </w:r>
      <w:bookmarkEnd w:id="303"/>
      <w:bookmarkEnd w:id="304"/>
      <w:bookmarkEnd w:id="305"/>
    </w:p>
    <w:p>
      <w:pPr>
        <w:widowControl/>
        <w:spacing w:line="360" w:lineRule="auto"/>
        <w:jc w:val="left"/>
        <w:rPr>
          <w:sz w:val="24"/>
        </w:rPr>
      </w:pPr>
      <w:r>
        <w:rPr>
          <w:rFonts w:hint="eastAsia" w:ascii="宋体" w:hAnsi="宋体" w:cs="宋体"/>
          <w:color w:val="0D0D0D"/>
          <w:kern w:val="0"/>
          <w:sz w:val="24"/>
          <w:lang w:bidi="ar"/>
        </w:rPr>
        <w:t xml:space="preserve">合同编号：XXXX </w:t>
      </w:r>
    </w:p>
    <w:p>
      <w:pPr>
        <w:widowControl/>
        <w:spacing w:line="360" w:lineRule="auto"/>
        <w:jc w:val="left"/>
        <w:rPr>
          <w:sz w:val="24"/>
        </w:rPr>
      </w:pPr>
      <w:r>
        <w:rPr>
          <w:rFonts w:hint="eastAsia" w:ascii="宋体" w:hAnsi="宋体" w:cs="宋体"/>
          <w:color w:val="0D0D0D"/>
          <w:kern w:val="0"/>
          <w:sz w:val="24"/>
          <w:lang w:bidi="ar"/>
        </w:rPr>
        <w:t xml:space="preserve">签订地点：XXXX </w:t>
      </w:r>
    </w:p>
    <w:p>
      <w:pPr>
        <w:widowControl/>
        <w:spacing w:line="360" w:lineRule="auto"/>
        <w:jc w:val="left"/>
        <w:rPr>
          <w:sz w:val="24"/>
        </w:rPr>
      </w:pPr>
      <w:r>
        <w:rPr>
          <w:rFonts w:hint="eastAsia" w:ascii="宋体" w:hAnsi="宋体" w:cs="宋体"/>
          <w:color w:val="0D0D0D"/>
          <w:kern w:val="0"/>
          <w:sz w:val="24"/>
          <w:lang w:bidi="ar"/>
        </w:rPr>
        <w:t xml:space="preserve">签订时间：XXXX 年 XX 月 XX 日 </w:t>
      </w:r>
    </w:p>
    <w:p>
      <w:pPr>
        <w:widowControl/>
        <w:spacing w:line="360" w:lineRule="auto"/>
        <w:jc w:val="left"/>
        <w:rPr>
          <w:sz w:val="24"/>
        </w:rPr>
      </w:pPr>
      <w:r>
        <w:rPr>
          <w:rFonts w:hint="eastAsia" w:ascii="宋体" w:hAnsi="宋体" w:cs="宋体"/>
          <w:color w:val="0D0D0D"/>
          <w:kern w:val="0"/>
          <w:sz w:val="24"/>
          <w:lang w:bidi="ar"/>
        </w:rPr>
        <w:t xml:space="preserve">采购人（甲方）： </w:t>
      </w:r>
    </w:p>
    <w:p>
      <w:pPr>
        <w:widowControl/>
        <w:spacing w:line="360" w:lineRule="auto"/>
        <w:jc w:val="left"/>
        <w:rPr>
          <w:sz w:val="24"/>
        </w:rPr>
      </w:pPr>
      <w:r>
        <w:rPr>
          <w:rFonts w:hint="eastAsia" w:ascii="宋体" w:hAnsi="宋体" w:cs="宋体"/>
          <w:color w:val="0D0D0D"/>
          <w:kern w:val="0"/>
          <w:sz w:val="24"/>
          <w:lang w:bidi="ar"/>
        </w:rPr>
        <w:t xml:space="preserve">服务商（乙方）： </w:t>
      </w:r>
    </w:p>
    <w:p>
      <w:pPr>
        <w:widowControl/>
        <w:spacing w:line="360" w:lineRule="auto"/>
        <w:jc w:val="left"/>
        <w:rPr>
          <w:sz w:val="24"/>
        </w:rPr>
      </w:pPr>
      <w:r>
        <w:rPr>
          <w:rFonts w:hint="eastAsia" w:ascii="宋体" w:hAnsi="宋体" w:cs="宋体"/>
          <w:color w:val="0D0D0D"/>
          <w:kern w:val="0"/>
          <w:sz w:val="24"/>
          <w:lang w:bidi="ar"/>
        </w:rPr>
        <w:t xml:space="preserve">依据《中华人民共和国合同法》、《中华人民共和国政府采购法》与项目行业有关的法律法规，以及 XXXX 项目（项目编号：XXXX）的《招标文件》、乙方的《投标文件》及《中标通知书》，甲、乙双方同意签订本合同。详细技术说明及其他有关合同项目的特定信息由合同附件予以说明，合同附件及本项目的《招标文件》、《投标文件》、《中标通知书》等均为本合同的组成部分。 </w:t>
      </w:r>
    </w:p>
    <w:p>
      <w:pPr>
        <w:widowControl/>
        <w:spacing w:line="360" w:lineRule="auto"/>
        <w:jc w:val="left"/>
        <w:outlineLvl w:val="1"/>
        <w:rPr>
          <w:sz w:val="24"/>
        </w:rPr>
      </w:pPr>
      <w:bookmarkStart w:id="306" w:name="_Toc72"/>
      <w:bookmarkStart w:id="307" w:name="_Toc845"/>
      <w:bookmarkStart w:id="308" w:name="_Toc9212"/>
      <w:r>
        <w:rPr>
          <w:rFonts w:hint="eastAsia" w:ascii="宋体" w:hAnsi="宋体" w:cs="宋体"/>
          <w:color w:val="0D0D0D"/>
          <w:kern w:val="0"/>
          <w:sz w:val="24"/>
          <w:lang w:bidi="ar"/>
        </w:rPr>
        <w:t>第一条 项目基本情况</w:t>
      </w:r>
      <w:bookmarkEnd w:id="306"/>
      <w:bookmarkEnd w:id="307"/>
      <w:bookmarkEnd w:id="308"/>
      <w:r>
        <w:rPr>
          <w:rFonts w:hint="eastAsia" w:ascii="宋体" w:hAnsi="宋体" w:cs="宋体"/>
          <w:color w:val="0D0D0D"/>
          <w:kern w:val="0"/>
          <w:sz w:val="24"/>
          <w:lang w:bidi="ar"/>
        </w:rPr>
        <w:t xml:space="preserve"> </w:t>
      </w:r>
    </w:p>
    <w:p>
      <w:pPr>
        <w:widowControl/>
        <w:spacing w:line="360" w:lineRule="auto"/>
        <w:jc w:val="left"/>
        <w:outlineLvl w:val="1"/>
        <w:rPr>
          <w:sz w:val="24"/>
        </w:rPr>
      </w:pPr>
      <w:bookmarkStart w:id="309" w:name="_Toc22421"/>
      <w:bookmarkStart w:id="310" w:name="_Toc11217"/>
      <w:bookmarkStart w:id="311" w:name="_Toc28320"/>
      <w:r>
        <w:rPr>
          <w:rFonts w:hint="eastAsia" w:ascii="宋体" w:hAnsi="宋体" w:cs="宋体"/>
          <w:color w:val="0D0D0D"/>
          <w:kern w:val="0"/>
          <w:sz w:val="24"/>
          <w:lang w:bidi="ar"/>
        </w:rPr>
        <w:t>第二条 合同期限</w:t>
      </w:r>
      <w:bookmarkEnd w:id="309"/>
      <w:bookmarkEnd w:id="310"/>
      <w:bookmarkEnd w:id="311"/>
      <w:r>
        <w:rPr>
          <w:rFonts w:hint="eastAsia" w:ascii="宋体" w:hAnsi="宋体" w:cs="宋体"/>
          <w:color w:val="0D0D0D"/>
          <w:kern w:val="0"/>
          <w:sz w:val="24"/>
          <w:lang w:bidi="ar"/>
        </w:rPr>
        <w:t xml:space="preserve"> </w:t>
      </w:r>
    </w:p>
    <w:p>
      <w:pPr>
        <w:widowControl/>
        <w:spacing w:line="360" w:lineRule="auto"/>
        <w:jc w:val="left"/>
        <w:outlineLvl w:val="1"/>
        <w:rPr>
          <w:sz w:val="24"/>
        </w:rPr>
      </w:pPr>
      <w:bookmarkStart w:id="312" w:name="_Toc17691"/>
      <w:bookmarkStart w:id="313" w:name="_Toc12755"/>
      <w:bookmarkStart w:id="314" w:name="_Toc10857"/>
      <w:r>
        <w:rPr>
          <w:rFonts w:hint="eastAsia" w:ascii="宋体" w:hAnsi="宋体" w:cs="宋体"/>
          <w:color w:val="0D0D0D"/>
          <w:kern w:val="0"/>
          <w:sz w:val="24"/>
          <w:lang w:bidi="ar"/>
        </w:rPr>
        <w:t>第三条 服务内容与质量标准</w:t>
      </w:r>
      <w:bookmarkEnd w:id="312"/>
      <w:bookmarkEnd w:id="313"/>
      <w:bookmarkEnd w:id="314"/>
      <w:r>
        <w:rPr>
          <w:rFonts w:hint="eastAsia" w:ascii="宋体" w:hAnsi="宋体" w:cs="宋体"/>
          <w:color w:val="0D0D0D"/>
          <w:kern w:val="0"/>
          <w:sz w:val="24"/>
          <w:lang w:bidi="ar"/>
        </w:rPr>
        <w:t xml:space="preserve"> </w:t>
      </w:r>
    </w:p>
    <w:p>
      <w:pPr>
        <w:widowControl/>
        <w:spacing w:line="360" w:lineRule="auto"/>
        <w:jc w:val="left"/>
        <w:rPr>
          <w:sz w:val="24"/>
        </w:rPr>
      </w:pPr>
      <w:r>
        <w:rPr>
          <w:rFonts w:hint="eastAsia" w:ascii="宋体" w:hAnsi="宋体" w:cs="宋体"/>
          <w:color w:val="0D0D0D"/>
          <w:kern w:val="0"/>
          <w:sz w:val="24"/>
          <w:lang w:bidi="ar"/>
        </w:rPr>
        <w:t xml:space="preserve">1、XXXX； </w:t>
      </w:r>
    </w:p>
    <w:p>
      <w:pPr>
        <w:widowControl/>
        <w:spacing w:line="360" w:lineRule="auto"/>
        <w:jc w:val="left"/>
        <w:rPr>
          <w:sz w:val="24"/>
        </w:rPr>
      </w:pPr>
      <w:r>
        <w:rPr>
          <w:rFonts w:hint="eastAsia" w:ascii="宋体" w:hAnsi="宋体" w:cs="宋体"/>
          <w:color w:val="0D0D0D"/>
          <w:kern w:val="0"/>
          <w:sz w:val="24"/>
          <w:lang w:bidi="ar"/>
        </w:rPr>
        <w:t xml:space="preserve">2、XXXX； </w:t>
      </w:r>
    </w:p>
    <w:p>
      <w:pPr>
        <w:widowControl/>
        <w:spacing w:line="360" w:lineRule="auto"/>
        <w:jc w:val="left"/>
        <w:rPr>
          <w:sz w:val="24"/>
        </w:rPr>
      </w:pPr>
      <w:r>
        <w:rPr>
          <w:rFonts w:hint="eastAsia" w:ascii="宋体" w:hAnsi="宋体" w:cs="宋体"/>
          <w:color w:val="0D0D0D"/>
          <w:kern w:val="0"/>
          <w:sz w:val="24"/>
          <w:lang w:bidi="ar"/>
        </w:rPr>
        <w:t xml:space="preserve">3、XXXX． </w:t>
      </w:r>
    </w:p>
    <w:p>
      <w:pPr>
        <w:widowControl/>
        <w:spacing w:line="360" w:lineRule="auto"/>
        <w:jc w:val="left"/>
        <w:rPr>
          <w:sz w:val="24"/>
        </w:rPr>
      </w:pPr>
      <w:r>
        <w:rPr>
          <w:rFonts w:hint="eastAsia" w:ascii="宋体" w:hAnsi="宋体" w:cs="宋体"/>
          <w:color w:val="0D0D0D"/>
          <w:kern w:val="0"/>
          <w:sz w:val="24"/>
          <w:lang w:bidi="ar"/>
        </w:rPr>
        <w:t>…</w:t>
      </w:r>
    </w:p>
    <w:p>
      <w:pPr>
        <w:widowControl/>
        <w:spacing w:line="360" w:lineRule="auto"/>
        <w:jc w:val="left"/>
        <w:outlineLvl w:val="1"/>
        <w:rPr>
          <w:sz w:val="24"/>
        </w:rPr>
      </w:pPr>
      <w:bookmarkStart w:id="315" w:name="_Toc17875"/>
      <w:bookmarkStart w:id="316" w:name="_Toc32262"/>
      <w:bookmarkStart w:id="317" w:name="_Toc4102"/>
      <w:r>
        <w:rPr>
          <w:rFonts w:hint="eastAsia" w:ascii="宋体" w:hAnsi="宋体" w:cs="宋体"/>
          <w:color w:val="0D0D0D"/>
          <w:kern w:val="0"/>
          <w:sz w:val="24"/>
          <w:lang w:bidi="ar"/>
        </w:rPr>
        <w:t>第四条 服务费用及支付方式</w:t>
      </w:r>
      <w:bookmarkEnd w:id="315"/>
      <w:bookmarkEnd w:id="316"/>
      <w:bookmarkEnd w:id="317"/>
      <w:r>
        <w:rPr>
          <w:rFonts w:hint="eastAsia" w:ascii="宋体" w:hAnsi="宋体" w:cs="宋体"/>
          <w:color w:val="0D0D0D"/>
          <w:kern w:val="0"/>
          <w:sz w:val="24"/>
          <w:lang w:bidi="ar"/>
        </w:rPr>
        <w:t xml:space="preserve"> </w:t>
      </w:r>
    </w:p>
    <w:p>
      <w:pPr>
        <w:widowControl/>
        <w:spacing w:line="360" w:lineRule="auto"/>
        <w:jc w:val="left"/>
        <w:outlineLvl w:val="2"/>
        <w:rPr>
          <w:sz w:val="24"/>
        </w:rPr>
      </w:pPr>
      <w:r>
        <w:rPr>
          <w:rFonts w:hint="eastAsia" w:ascii="宋体" w:hAnsi="宋体" w:cs="宋体"/>
          <w:color w:val="0D0D0D"/>
          <w:kern w:val="0"/>
          <w:sz w:val="24"/>
          <w:lang w:bidi="ar"/>
        </w:rPr>
        <w:t xml:space="preserve">(一)本项目服务费用由以下组成： </w:t>
      </w:r>
    </w:p>
    <w:p>
      <w:pPr>
        <w:widowControl/>
        <w:spacing w:line="360" w:lineRule="auto"/>
        <w:jc w:val="left"/>
        <w:rPr>
          <w:sz w:val="24"/>
        </w:rPr>
      </w:pPr>
      <w:r>
        <w:rPr>
          <w:rFonts w:hint="eastAsia" w:ascii="宋体" w:hAnsi="宋体" w:cs="宋体"/>
          <w:color w:val="0D0D0D"/>
          <w:kern w:val="0"/>
          <w:sz w:val="24"/>
          <w:lang w:bidi="ar"/>
        </w:rPr>
        <w:t xml:space="preserve">1、XX 万元； </w:t>
      </w:r>
    </w:p>
    <w:p>
      <w:pPr>
        <w:widowControl/>
        <w:spacing w:line="360" w:lineRule="auto"/>
        <w:jc w:val="left"/>
        <w:rPr>
          <w:sz w:val="24"/>
        </w:rPr>
      </w:pPr>
      <w:r>
        <w:rPr>
          <w:rFonts w:hint="eastAsia" w:ascii="宋体" w:hAnsi="宋体" w:cs="宋体"/>
          <w:color w:val="0D0D0D"/>
          <w:kern w:val="0"/>
          <w:sz w:val="24"/>
          <w:lang w:bidi="ar"/>
        </w:rPr>
        <w:t xml:space="preserve">2、XX 万元； </w:t>
      </w:r>
    </w:p>
    <w:p>
      <w:pPr>
        <w:widowControl/>
        <w:spacing w:line="360" w:lineRule="auto"/>
        <w:jc w:val="left"/>
        <w:rPr>
          <w:sz w:val="24"/>
        </w:rPr>
      </w:pPr>
      <w:r>
        <w:rPr>
          <w:rFonts w:hint="eastAsia" w:ascii="宋体" w:hAnsi="宋体" w:cs="宋体"/>
          <w:color w:val="0D0D0D"/>
          <w:kern w:val="0"/>
          <w:sz w:val="24"/>
          <w:lang w:bidi="ar"/>
        </w:rPr>
        <w:t xml:space="preserve">3、XX 万元。 </w:t>
      </w:r>
    </w:p>
    <w:p>
      <w:pPr>
        <w:widowControl/>
        <w:spacing w:line="360" w:lineRule="auto"/>
        <w:jc w:val="left"/>
        <w:rPr>
          <w:sz w:val="24"/>
        </w:rPr>
      </w:pPr>
      <w:r>
        <w:rPr>
          <w:rFonts w:hint="eastAsia" w:ascii="宋体" w:hAnsi="宋体" w:cs="宋体"/>
          <w:color w:val="0D0D0D"/>
          <w:kern w:val="0"/>
          <w:sz w:val="24"/>
          <w:lang w:bidi="ar"/>
        </w:rPr>
        <w:t>……</w:t>
      </w:r>
    </w:p>
    <w:p>
      <w:pPr>
        <w:widowControl/>
        <w:spacing w:line="360" w:lineRule="auto"/>
        <w:jc w:val="left"/>
        <w:outlineLvl w:val="2"/>
        <w:rPr>
          <w:sz w:val="24"/>
        </w:rPr>
      </w:pPr>
      <w:r>
        <w:rPr>
          <w:rFonts w:hint="eastAsia" w:ascii="宋体" w:hAnsi="宋体" w:cs="宋体"/>
          <w:color w:val="0D0D0D"/>
          <w:kern w:val="0"/>
          <w:sz w:val="24"/>
          <w:lang w:bidi="ar"/>
        </w:rPr>
        <w:t xml:space="preserve">(二)服务费支付方式： </w:t>
      </w:r>
    </w:p>
    <w:p>
      <w:pPr>
        <w:widowControl/>
        <w:spacing w:line="360" w:lineRule="auto"/>
        <w:jc w:val="left"/>
        <w:outlineLvl w:val="1"/>
        <w:rPr>
          <w:sz w:val="24"/>
        </w:rPr>
      </w:pPr>
      <w:bookmarkStart w:id="318" w:name="_Toc15650"/>
      <w:bookmarkStart w:id="319" w:name="_Toc8173"/>
      <w:bookmarkStart w:id="320" w:name="_Toc6171"/>
      <w:r>
        <w:rPr>
          <w:rFonts w:hint="eastAsia" w:ascii="宋体" w:hAnsi="宋体" w:cs="宋体"/>
          <w:color w:val="0D0D0D"/>
          <w:kern w:val="0"/>
          <w:sz w:val="24"/>
          <w:lang w:bidi="ar"/>
        </w:rPr>
        <w:t>第五条 知识产权</w:t>
      </w:r>
      <w:bookmarkEnd w:id="318"/>
      <w:bookmarkEnd w:id="319"/>
      <w:bookmarkEnd w:id="320"/>
      <w:r>
        <w:rPr>
          <w:rFonts w:hint="eastAsia" w:ascii="宋体" w:hAnsi="宋体" w:cs="宋体"/>
          <w:color w:val="0D0D0D"/>
          <w:kern w:val="0"/>
          <w:sz w:val="24"/>
          <w:lang w:bidi="ar"/>
        </w:rPr>
        <w:t xml:space="preserve"> </w:t>
      </w:r>
    </w:p>
    <w:p>
      <w:pPr>
        <w:widowControl/>
        <w:spacing w:line="360" w:lineRule="auto"/>
        <w:jc w:val="left"/>
        <w:rPr>
          <w:sz w:val="24"/>
        </w:rPr>
      </w:pPr>
      <w:r>
        <w:rPr>
          <w:rFonts w:hint="eastAsia" w:ascii="宋体" w:hAnsi="宋体" w:cs="宋体"/>
          <w:color w:val="0D0D0D"/>
          <w:kern w:val="0"/>
          <w:sz w:val="24"/>
          <w:lang w:bidi="ar"/>
        </w:rPr>
        <w:t xml:space="preserve">乙方应保证所提供的服务或其任何一部分均不会侵犯任何第三方的专利权、商标权或著作权。 </w:t>
      </w:r>
    </w:p>
    <w:p>
      <w:pPr>
        <w:widowControl/>
        <w:spacing w:line="360" w:lineRule="auto"/>
        <w:jc w:val="left"/>
        <w:outlineLvl w:val="1"/>
        <w:rPr>
          <w:sz w:val="24"/>
        </w:rPr>
      </w:pPr>
      <w:bookmarkStart w:id="321" w:name="_Toc815"/>
      <w:bookmarkStart w:id="322" w:name="_Toc6402"/>
      <w:bookmarkStart w:id="323" w:name="_Toc7043"/>
      <w:r>
        <w:rPr>
          <w:rFonts w:hint="eastAsia" w:ascii="宋体" w:hAnsi="宋体" w:cs="宋体"/>
          <w:color w:val="0D0D0D"/>
          <w:kern w:val="0"/>
          <w:sz w:val="24"/>
          <w:lang w:bidi="ar"/>
        </w:rPr>
        <w:t>第六条 无产权瑕疵条款</w:t>
      </w:r>
      <w:bookmarkEnd w:id="321"/>
      <w:bookmarkEnd w:id="322"/>
      <w:bookmarkEnd w:id="323"/>
      <w:r>
        <w:rPr>
          <w:rFonts w:hint="eastAsia" w:ascii="宋体" w:hAnsi="宋体" w:cs="宋体"/>
          <w:color w:val="0D0D0D"/>
          <w:kern w:val="0"/>
          <w:sz w:val="24"/>
          <w:lang w:bidi="ar"/>
        </w:rPr>
        <w:t xml:space="preserve"> </w:t>
      </w:r>
    </w:p>
    <w:p>
      <w:pPr>
        <w:widowControl/>
        <w:spacing w:line="360" w:lineRule="auto"/>
        <w:jc w:val="left"/>
        <w:rPr>
          <w:sz w:val="24"/>
        </w:rPr>
      </w:pPr>
      <w:r>
        <w:rPr>
          <w:rFonts w:hint="eastAsia" w:ascii="宋体" w:hAnsi="宋体" w:cs="宋体"/>
          <w:color w:val="0D0D0D"/>
          <w:kern w:val="0"/>
          <w:sz w:val="24"/>
          <w:lang w:bidi="ar"/>
        </w:rPr>
        <w:t xml:space="preserve">乙方保证所提供的服务的所有权完全属于乙方且无任何抵押、查封等产权瑕疵。如有产权瑕疵的，视为乙方违约。乙方应负担由此而产生的一切损失。 </w:t>
      </w:r>
    </w:p>
    <w:p>
      <w:pPr>
        <w:widowControl/>
        <w:spacing w:line="360" w:lineRule="auto"/>
        <w:jc w:val="left"/>
        <w:outlineLvl w:val="1"/>
        <w:rPr>
          <w:sz w:val="24"/>
        </w:rPr>
      </w:pPr>
      <w:bookmarkStart w:id="324" w:name="_Toc30054"/>
      <w:bookmarkStart w:id="325" w:name="_Toc29505"/>
      <w:bookmarkStart w:id="326" w:name="_Toc24824"/>
      <w:r>
        <w:rPr>
          <w:rFonts w:hint="eastAsia" w:ascii="宋体" w:hAnsi="宋体" w:cs="宋体"/>
          <w:color w:val="0D0D0D"/>
          <w:kern w:val="0"/>
          <w:sz w:val="24"/>
          <w:lang w:bidi="ar"/>
        </w:rPr>
        <w:t>第七条 履约保证金</w:t>
      </w:r>
      <w:bookmarkEnd w:id="324"/>
      <w:bookmarkEnd w:id="325"/>
      <w:bookmarkEnd w:id="326"/>
      <w:r>
        <w:rPr>
          <w:rFonts w:hint="eastAsia" w:ascii="宋体" w:hAnsi="宋体" w:cs="宋体"/>
          <w:color w:val="0D0D0D"/>
          <w:kern w:val="0"/>
          <w:sz w:val="24"/>
          <w:lang w:bidi="ar"/>
        </w:rPr>
        <w:t xml:space="preserve"> </w:t>
      </w:r>
    </w:p>
    <w:p>
      <w:pPr>
        <w:widowControl/>
        <w:spacing w:line="360" w:lineRule="auto"/>
        <w:jc w:val="left"/>
        <w:rPr>
          <w:sz w:val="24"/>
        </w:rPr>
      </w:pPr>
      <w:r>
        <w:rPr>
          <w:rFonts w:hint="eastAsia" w:ascii="宋体" w:hAnsi="宋体" w:cs="宋体"/>
          <w:color w:val="0D0D0D"/>
          <w:kern w:val="0"/>
          <w:sz w:val="24"/>
          <w:lang w:bidi="ar"/>
        </w:rPr>
        <w:t xml:space="preserve">1、乙方交纳人民币 XX 元作为本合同的履约保证金。 </w:t>
      </w:r>
    </w:p>
    <w:p>
      <w:pPr>
        <w:widowControl/>
        <w:spacing w:line="360" w:lineRule="auto"/>
        <w:jc w:val="left"/>
        <w:rPr>
          <w:sz w:val="24"/>
        </w:rPr>
      </w:pPr>
      <w:r>
        <w:rPr>
          <w:rFonts w:hint="eastAsia" w:ascii="宋体" w:hAnsi="宋体" w:cs="宋体"/>
          <w:color w:val="0D0D0D"/>
          <w:kern w:val="0"/>
          <w:sz w:val="24"/>
          <w:lang w:bidi="ar"/>
        </w:rPr>
        <w:t xml:space="preserve">2、履约保证金作为违约金的一部分及用于补偿甲方因乙方不能履行合同义 </w:t>
      </w:r>
    </w:p>
    <w:p>
      <w:pPr>
        <w:widowControl/>
        <w:spacing w:line="360" w:lineRule="auto"/>
        <w:jc w:val="left"/>
        <w:rPr>
          <w:sz w:val="24"/>
        </w:rPr>
      </w:pPr>
      <w:r>
        <w:rPr>
          <w:rFonts w:hint="eastAsia" w:ascii="宋体" w:hAnsi="宋体" w:cs="宋体"/>
          <w:color w:val="0D0D0D"/>
          <w:kern w:val="0"/>
          <w:sz w:val="24"/>
          <w:lang w:bidi="ar"/>
        </w:rPr>
        <w:t xml:space="preserve">务而蒙受的损失。 </w:t>
      </w:r>
    </w:p>
    <w:p>
      <w:pPr>
        <w:widowControl/>
        <w:spacing w:line="360" w:lineRule="auto"/>
        <w:jc w:val="left"/>
        <w:outlineLvl w:val="1"/>
        <w:rPr>
          <w:sz w:val="24"/>
        </w:rPr>
      </w:pPr>
      <w:bookmarkStart w:id="327" w:name="_Toc12253"/>
      <w:bookmarkStart w:id="328" w:name="_Toc18850"/>
      <w:bookmarkStart w:id="329" w:name="_Toc26451"/>
      <w:r>
        <w:rPr>
          <w:rFonts w:hint="eastAsia" w:ascii="宋体" w:hAnsi="宋体" w:cs="宋体"/>
          <w:color w:val="0D0D0D"/>
          <w:kern w:val="0"/>
          <w:sz w:val="24"/>
          <w:lang w:bidi="ar"/>
        </w:rPr>
        <w:t>第八条 甲方的权利和义务</w:t>
      </w:r>
      <w:bookmarkEnd w:id="327"/>
      <w:bookmarkEnd w:id="328"/>
      <w:bookmarkEnd w:id="329"/>
      <w:r>
        <w:rPr>
          <w:rFonts w:hint="eastAsia" w:ascii="宋体" w:hAnsi="宋体" w:cs="宋体"/>
          <w:color w:val="0D0D0D"/>
          <w:kern w:val="0"/>
          <w:sz w:val="24"/>
          <w:lang w:bidi="ar"/>
        </w:rPr>
        <w:t xml:space="preserve"> </w:t>
      </w:r>
    </w:p>
    <w:p>
      <w:pPr>
        <w:widowControl/>
        <w:spacing w:line="360" w:lineRule="auto"/>
        <w:jc w:val="left"/>
        <w:outlineLvl w:val="2"/>
        <w:rPr>
          <w:sz w:val="24"/>
        </w:rPr>
      </w:pPr>
      <w:r>
        <w:rPr>
          <w:rFonts w:hint="eastAsia" w:ascii="宋体" w:hAnsi="宋体" w:cs="宋体"/>
          <w:color w:val="0D0D0D"/>
          <w:kern w:val="0"/>
          <w:sz w:val="24"/>
          <w:lang w:bidi="ar"/>
        </w:rPr>
        <w:t xml:space="preserve">1、甲方有权对合同规定范围内乙方的服务行为进行监督和检查，拥有监管 </w:t>
      </w:r>
    </w:p>
    <w:p>
      <w:pPr>
        <w:widowControl/>
        <w:spacing w:line="360" w:lineRule="auto"/>
        <w:jc w:val="left"/>
        <w:rPr>
          <w:sz w:val="24"/>
        </w:rPr>
      </w:pPr>
      <w:r>
        <w:rPr>
          <w:rFonts w:hint="eastAsia" w:ascii="宋体" w:hAnsi="宋体" w:cs="宋体"/>
          <w:color w:val="0D0D0D"/>
          <w:kern w:val="0"/>
          <w:sz w:val="24"/>
          <w:lang w:bidi="ar"/>
        </w:rPr>
        <w:t xml:space="preserve">权。有权定期核对乙方提供服务所配备的人员数量。对甲方认为不合理的部分有 </w:t>
      </w:r>
    </w:p>
    <w:p>
      <w:pPr>
        <w:widowControl/>
        <w:spacing w:line="360" w:lineRule="auto"/>
        <w:jc w:val="left"/>
        <w:rPr>
          <w:sz w:val="24"/>
        </w:rPr>
      </w:pPr>
      <w:r>
        <w:rPr>
          <w:rFonts w:hint="eastAsia" w:ascii="宋体" w:hAnsi="宋体" w:cs="宋体"/>
          <w:color w:val="0D0D0D"/>
          <w:kern w:val="0"/>
          <w:sz w:val="24"/>
          <w:lang w:bidi="ar"/>
        </w:rPr>
        <w:t xml:space="preserve">权下达整改通知书，并要求乙方限期整改。 </w:t>
      </w:r>
    </w:p>
    <w:p>
      <w:pPr>
        <w:widowControl/>
        <w:spacing w:line="360" w:lineRule="auto"/>
        <w:jc w:val="left"/>
        <w:outlineLvl w:val="2"/>
        <w:rPr>
          <w:sz w:val="24"/>
        </w:rPr>
      </w:pPr>
      <w:r>
        <w:rPr>
          <w:rFonts w:hint="eastAsia" w:ascii="宋体" w:hAnsi="宋体" w:cs="宋体"/>
          <w:color w:val="0D0D0D"/>
          <w:kern w:val="0"/>
          <w:sz w:val="24"/>
          <w:lang w:bidi="ar"/>
        </w:rPr>
        <w:t xml:space="preserve">2、甲方有权依据双方签订的考评办法对乙方提供的服务进行验收考评。当 </w:t>
      </w:r>
    </w:p>
    <w:p>
      <w:pPr>
        <w:widowControl/>
        <w:spacing w:line="360" w:lineRule="auto"/>
        <w:jc w:val="left"/>
        <w:rPr>
          <w:sz w:val="24"/>
        </w:rPr>
      </w:pPr>
      <w:r>
        <w:rPr>
          <w:rFonts w:hint="eastAsia" w:ascii="宋体" w:hAnsi="宋体" w:cs="宋体"/>
          <w:color w:val="0D0D0D"/>
          <w:kern w:val="0"/>
          <w:sz w:val="24"/>
          <w:lang w:bidi="ar"/>
        </w:rPr>
        <w:t xml:space="preserve">考评结果未达到标准时，有权依据考评办法约定的数额扣除履约保证金。 </w:t>
      </w:r>
    </w:p>
    <w:p>
      <w:pPr>
        <w:widowControl/>
        <w:spacing w:line="360" w:lineRule="auto"/>
        <w:jc w:val="left"/>
        <w:outlineLvl w:val="2"/>
        <w:rPr>
          <w:sz w:val="24"/>
        </w:rPr>
      </w:pPr>
      <w:r>
        <w:rPr>
          <w:rFonts w:hint="eastAsia" w:ascii="宋体" w:hAnsi="宋体" w:cs="宋体"/>
          <w:color w:val="0D0D0D"/>
          <w:kern w:val="0"/>
          <w:sz w:val="24"/>
          <w:lang w:bidi="ar"/>
        </w:rPr>
        <w:t xml:space="preserve">3、负责检查监督乙方管理工作的实施及制度的执行情况。 </w:t>
      </w:r>
    </w:p>
    <w:p>
      <w:pPr>
        <w:widowControl/>
        <w:spacing w:line="360" w:lineRule="auto"/>
        <w:jc w:val="left"/>
        <w:outlineLvl w:val="2"/>
        <w:rPr>
          <w:sz w:val="24"/>
        </w:rPr>
      </w:pPr>
      <w:r>
        <w:rPr>
          <w:rFonts w:hint="eastAsia" w:ascii="宋体" w:hAnsi="宋体" w:cs="宋体"/>
          <w:color w:val="0D0D0D"/>
          <w:kern w:val="0"/>
          <w:sz w:val="24"/>
          <w:lang w:bidi="ar"/>
        </w:rPr>
        <w:t xml:space="preserve">4、根据本合同规定，按时向乙方支付应付服务费用。 </w:t>
      </w:r>
    </w:p>
    <w:p>
      <w:pPr>
        <w:widowControl/>
        <w:spacing w:line="360" w:lineRule="auto"/>
        <w:jc w:val="left"/>
        <w:outlineLvl w:val="2"/>
        <w:rPr>
          <w:sz w:val="24"/>
        </w:rPr>
      </w:pPr>
      <w:r>
        <w:rPr>
          <w:rFonts w:hint="eastAsia" w:ascii="宋体" w:hAnsi="宋体" w:cs="宋体"/>
          <w:color w:val="0D0D0D"/>
          <w:kern w:val="0"/>
          <w:sz w:val="24"/>
          <w:lang w:bidi="ar"/>
        </w:rPr>
        <w:t xml:space="preserve">5、国家法律、法规所规定由甲方承担的其它责任。 </w:t>
      </w:r>
    </w:p>
    <w:p>
      <w:pPr>
        <w:widowControl/>
        <w:spacing w:line="360" w:lineRule="auto"/>
        <w:jc w:val="left"/>
        <w:outlineLvl w:val="1"/>
        <w:rPr>
          <w:sz w:val="24"/>
        </w:rPr>
      </w:pPr>
      <w:bookmarkStart w:id="330" w:name="_Toc32645"/>
      <w:bookmarkStart w:id="331" w:name="_Toc29310"/>
      <w:bookmarkStart w:id="332" w:name="_Toc30121"/>
      <w:r>
        <w:rPr>
          <w:rFonts w:hint="eastAsia" w:ascii="宋体" w:hAnsi="宋体" w:cs="宋体"/>
          <w:color w:val="0D0D0D"/>
          <w:kern w:val="0"/>
          <w:sz w:val="24"/>
          <w:lang w:bidi="ar"/>
        </w:rPr>
        <w:t>第九条 乙方的权利和义务</w:t>
      </w:r>
      <w:bookmarkEnd w:id="330"/>
      <w:bookmarkEnd w:id="331"/>
      <w:bookmarkEnd w:id="332"/>
      <w:r>
        <w:rPr>
          <w:rFonts w:hint="eastAsia" w:ascii="宋体" w:hAnsi="宋体" w:cs="宋体"/>
          <w:color w:val="0D0D0D"/>
          <w:kern w:val="0"/>
          <w:sz w:val="24"/>
          <w:lang w:bidi="ar"/>
        </w:rPr>
        <w:t xml:space="preserve"> </w:t>
      </w:r>
    </w:p>
    <w:p>
      <w:pPr>
        <w:widowControl/>
        <w:spacing w:line="360" w:lineRule="auto"/>
        <w:jc w:val="left"/>
        <w:rPr>
          <w:sz w:val="24"/>
        </w:rPr>
      </w:pPr>
      <w:r>
        <w:rPr>
          <w:rFonts w:hint="eastAsia" w:ascii="宋体" w:hAnsi="宋体" w:cs="宋体"/>
          <w:color w:val="0D0D0D"/>
          <w:kern w:val="0"/>
          <w:sz w:val="24"/>
          <w:lang w:bidi="ar"/>
        </w:rPr>
        <w:t xml:space="preserve">1、对本合同规定的委托服务范围内的项目享有管理权及服务义务。 </w:t>
      </w:r>
    </w:p>
    <w:p>
      <w:pPr>
        <w:widowControl/>
        <w:spacing w:line="360" w:lineRule="auto"/>
        <w:jc w:val="left"/>
        <w:rPr>
          <w:sz w:val="24"/>
        </w:rPr>
      </w:pPr>
      <w:r>
        <w:rPr>
          <w:rFonts w:hint="eastAsia" w:ascii="宋体" w:hAnsi="宋体" w:cs="宋体"/>
          <w:color w:val="0D0D0D"/>
          <w:kern w:val="0"/>
          <w:sz w:val="24"/>
          <w:lang w:bidi="ar"/>
        </w:rPr>
        <w:t xml:space="preserve">2、根据本合同的规定向甲方收取相关服务费用，并有权在本项目管理范围 </w:t>
      </w:r>
    </w:p>
    <w:p>
      <w:pPr>
        <w:widowControl/>
        <w:spacing w:line="360" w:lineRule="auto"/>
        <w:jc w:val="left"/>
        <w:rPr>
          <w:sz w:val="24"/>
        </w:rPr>
      </w:pPr>
      <w:r>
        <w:rPr>
          <w:rFonts w:hint="eastAsia" w:ascii="宋体" w:hAnsi="宋体" w:cs="宋体"/>
          <w:color w:val="0D0D0D"/>
          <w:kern w:val="0"/>
          <w:sz w:val="24"/>
          <w:lang w:bidi="ar"/>
        </w:rPr>
        <w:t xml:space="preserve">内管理及合理使用。 </w:t>
      </w:r>
    </w:p>
    <w:p>
      <w:pPr>
        <w:widowControl/>
        <w:spacing w:line="360" w:lineRule="auto"/>
        <w:jc w:val="left"/>
        <w:rPr>
          <w:sz w:val="24"/>
        </w:rPr>
      </w:pPr>
      <w:r>
        <w:rPr>
          <w:rFonts w:hint="eastAsia" w:ascii="宋体" w:hAnsi="宋体" w:cs="宋体"/>
          <w:color w:val="0D0D0D"/>
          <w:kern w:val="0"/>
          <w:sz w:val="24"/>
          <w:lang w:bidi="ar"/>
        </w:rPr>
        <w:t xml:space="preserve">3、及时向甲方通告本项目服务范围内有关服务的重大事项，及时配合处理 </w:t>
      </w:r>
    </w:p>
    <w:p>
      <w:pPr>
        <w:widowControl/>
        <w:spacing w:line="360" w:lineRule="auto"/>
        <w:jc w:val="left"/>
        <w:rPr>
          <w:sz w:val="24"/>
        </w:rPr>
      </w:pPr>
      <w:r>
        <w:rPr>
          <w:rFonts w:hint="eastAsia" w:ascii="宋体" w:hAnsi="宋体" w:cs="宋体"/>
          <w:color w:val="0D0D0D"/>
          <w:kern w:val="0"/>
          <w:sz w:val="24"/>
          <w:lang w:bidi="ar"/>
        </w:rPr>
        <w:t>投诉。</w:t>
      </w:r>
    </w:p>
    <w:p>
      <w:pPr>
        <w:widowControl/>
        <w:spacing w:line="360" w:lineRule="auto"/>
        <w:jc w:val="left"/>
        <w:rPr>
          <w:sz w:val="24"/>
        </w:rPr>
      </w:pPr>
      <w:r>
        <w:rPr>
          <w:rFonts w:hint="eastAsia" w:ascii="宋体" w:hAnsi="宋体" w:cs="宋体"/>
          <w:color w:val="0D0D0D"/>
          <w:kern w:val="0"/>
          <w:sz w:val="24"/>
          <w:lang w:bidi="ar"/>
        </w:rPr>
        <w:t xml:space="preserve">4、接受项目行业管理部门及政府有关部门的指导，接受甲方的监督。 </w:t>
      </w:r>
    </w:p>
    <w:p>
      <w:pPr>
        <w:widowControl/>
        <w:spacing w:line="360" w:lineRule="auto"/>
        <w:jc w:val="left"/>
        <w:rPr>
          <w:sz w:val="24"/>
        </w:rPr>
      </w:pPr>
      <w:r>
        <w:rPr>
          <w:rFonts w:hint="eastAsia" w:ascii="宋体" w:hAnsi="宋体" w:cs="宋体"/>
          <w:color w:val="0D0D0D"/>
          <w:kern w:val="0"/>
          <w:sz w:val="24"/>
          <w:lang w:bidi="ar"/>
        </w:rPr>
        <w:t xml:space="preserve">5、国家法律、法规所规定由乙方承担的其它责任。 </w:t>
      </w:r>
    </w:p>
    <w:p>
      <w:pPr>
        <w:widowControl/>
        <w:spacing w:line="360" w:lineRule="auto"/>
        <w:jc w:val="left"/>
        <w:outlineLvl w:val="1"/>
        <w:rPr>
          <w:sz w:val="24"/>
        </w:rPr>
      </w:pPr>
      <w:bookmarkStart w:id="333" w:name="_Toc29114"/>
      <w:bookmarkStart w:id="334" w:name="_Toc13749"/>
      <w:bookmarkStart w:id="335" w:name="_Toc27749"/>
      <w:r>
        <w:rPr>
          <w:rFonts w:hint="eastAsia" w:ascii="宋体" w:hAnsi="宋体" w:cs="宋体"/>
          <w:color w:val="0D0D0D"/>
          <w:kern w:val="0"/>
          <w:sz w:val="24"/>
          <w:lang w:bidi="ar"/>
        </w:rPr>
        <w:t>第十条 违约责任</w:t>
      </w:r>
      <w:bookmarkEnd w:id="333"/>
      <w:bookmarkEnd w:id="334"/>
      <w:bookmarkEnd w:id="335"/>
      <w:r>
        <w:rPr>
          <w:rFonts w:hint="eastAsia" w:ascii="宋体" w:hAnsi="宋体" w:cs="宋体"/>
          <w:color w:val="0D0D0D"/>
          <w:kern w:val="0"/>
          <w:sz w:val="24"/>
          <w:lang w:bidi="ar"/>
        </w:rPr>
        <w:t xml:space="preserve"> </w:t>
      </w:r>
    </w:p>
    <w:p>
      <w:pPr>
        <w:widowControl/>
        <w:spacing w:line="360" w:lineRule="auto"/>
        <w:jc w:val="left"/>
        <w:rPr>
          <w:sz w:val="24"/>
        </w:rPr>
      </w:pPr>
      <w:r>
        <w:rPr>
          <w:rFonts w:hint="eastAsia" w:ascii="宋体" w:hAnsi="宋体" w:cs="宋体"/>
          <w:color w:val="0D0D0D"/>
          <w:kern w:val="0"/>
          <w:sz w:val="24"/>
          <w:lang w:bidi="ar"/>
        </w:rPr>
        <w:t>1、甲乙双方必须遵守本合同并执行合同中的各项规定，保证本合同的正常履行。</w:t>
      </w:r>
    </w:p>
    <w:p>
      <w:pPr>
        <w:widowControl/>
        <w:spacing w:line="360" w:lineRule="auto"/>
        <w:jc w:val="left"/>
        <w:rPr>
          <w:sz w:val="24"/>
        </w:rPr>
      </w:pPr>
      <w:r>
        <w:rPr>
          <w:rFonts w:hint="eastAsia" w:ascii="宋体" w:hAnsi="宋体" w:cs="宋体"/>
          <w:color w:val="0D0D0D"/>
          <w:kern w:val="0"/>
          <w:sz w:val="24"/>
          <w:lang w:bidi="ar"/>
        </w:rPr>
        <w:t xml:space="preserve">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 </w:t>
      </w:r>
    </w:p>
    <w:p>
      <w:pPr>
        <w:widowControl/>
        <w:spacing w:line="360" w:lineRule="auto"/>
        <w:jc w:val="left"/>
        <w:outlineLvl w:val="1"/>
        <w:rPr>
          <w:sz w:val="24"/>
        </w:rPr>
      </w:pPr>
      <w:bookmarkStart w:id="336" w:name="_Toc1817"/>
      <w:bookmarkStart w:id="337" w:name="_Toc29781"/>
      <w:bookmarkStart w:id="338" w:name="_Toc8086"/>
      <w:r>
        <w:rPr>
          <w:rFonts w:hint="eastAsia" w:ascii="宋体" w:hAnsi="宋体" w:cs="宋体"/>
          <w:color w:val="0D0D0D"/>
          <w:kern w:val="0"/>
          <w:sz w:val="24"/>
          <w:lang w:bidi="ar"/>
        </w:rPr>
        <w:t>第十一条 不可抗力事件处理</w:t>
      </w:r>
      <w:bookmarkEnd w:id="336"/>
      <w:bookmarkEnd w:id="337"/>
      <w:bookmarkEnd w:id="338"/>
      <w:r>
        <w:rPr>
          <w:rFonts w:hint="eastAsia" w:ascii="宋体" w:hAnsi="宋体" w:cs="宋体"/>
          <w:color w:val="0D0D0D"/>
          <w:kern w:val="0"/>
          <w:sz w:val="24"/>
          <w:lang w:bidi="ar"/>
        </w:rPr>
        <w:t xml:space="preserve"> </w:t>
      </w:r>
    </w:p>
    <w:p>
      <w:pPr>
        <w:widowControl/>
        <w:spacing w:line="360" w:lineRule="auto"/>
        <w:jc w:val="left"/>
        <w:rPr>
          <w:sz w:val="24"/>
        </w:rPr>
      </w:pPr>
      <w:r>
        <w:rPr>
          <w:rFonts w:hint="eastAsia" w:ascii="宋体" w:hAnsi="宋体" w:cs="宋体"/>
          <w:color w:val="0D0D0D"/>
          <w:kern w:val="0"/>
          <w:sz w:val="24"/>
          <w:lang w:bidi="ar"/>
        </w:rPr>
        <w:t xml:space="preserve">1、在合同有效期内，任何一方因不可抗力事件导致不能履行合同，则合同履行期可延长，其延长期与不可抗力影响期相同。 </w:t>
      </w:r>
    </w:p>
    <w:p>
      <w:pPr>
        <w:widowControl/>
        <w:spacing w:line="360" w:lineRule="auto"/>
        <w:jc w:val="left"/>
        <w:rPr>
          <w:sz w:val="24"/>
        </w:rPr>
      </w:pPr>
      <w:r>
        <w:rPr>
          <w:rFonts w:hint="eastAsia" w:ascii="宋体" w:hAnsi="宋体" w:cs="宋体"/>
          <w:color w:val="0D0D0D"/>
          <w:kern w:val="0"/>
          <w:sz w:val="24"/>
          <w:lang w:bidi="ar"/>
        </w:rPr>
        <w:t>2、不可抗力事件发生后，应立即通知对方，并寄送有关权威机构出具的证明。</w:t>
      </w:r>
    </w:p>
    <w:p>
      <w:pPr>
        <w:widowControl/>
        <w:spacing w:line="360" w:lineRule="auto"/>
        <w:jc w:val="left"/>
        <w:rPr>
          <w:sz w:val="24"/>
        </w:rPr>
      </w:pPr>
      <w:r>
        <w:rPr>
          <w:rFonts w:hint="eastAsia" w:ascii="宋体" w:hAnsi="宋体" w:cs="宋体"/>
          <w:color w:val="0D0D0D"/>
          <w:kern w:val="0"/>
          <w:sz w:val="24"/>
          <w:lang w:bidi="ar"/>
        </w:rPr>
        <w:t>3、不可抗力事件延续 XX 天以上，双方应通过友好协商，确定是否继续履行合同。</w:t>
      </w:r>
    </w:p>
    <w:p>
      <w:pPr>
        <w:widowControl/>
        <w:spacing w:line="360" w:lineRule="auto"/>
        <w:jc w:val="left"/>
        <w:outlineLvl w:val="1"/>
        <w:rPr>
          <w:sz w:val="24"/>
        </w:rPr>
      </w:pPr>
      <w:bookmarkStart w:id="339" w:name="_Toc26693"/>
      <w:bookmarkStart w:id="340" w:name="_Toc5240"/>
      <w:bookmarkStart w:id="341" w:name="_Toc15453"/>
      <w:r>
        <w:rPr>
          <w:rFonts w:hint="eastAsia" w:ascii="宋体" w:hAnsi="宋体" w:cs="宋体"/>
          <w:color w:val="0D0D0D"/>
          <w:kern w:val="0"/>
          <w:sz w:val="24"/>
          <w:lang w:bidi="ar"/>
        </w:rPr>
        <w:t>第十二条 解决合同纠纷的方式</w:t>
      </w:r>
      <w:bookmarkEnd w:id="339"/>
      <w:bookmarkEnd w:id="340"/>
      <w:bookmarkEnd w:id="341"/>
      <w:r>
        <w:rPr>
          <w:rFonts w:hint="eastAsia" w:ascii="宋体" w:hAnsi="宋体" w:cs="宋体"/>
          <w:color w:val="0D0D0D"/>
          <w:kern w:val="0"/>
          <w:sz w:val="24"/>
          <w:lang w:bidi="ar"/>
        </w:rPr>
        <w:t xml:space="preserve"> </w:t>
      </w:r>
    </w:p>
    <w:p>
      <w:pPr>
        <w:widowControl/>
        <w:spacing w:line="360" w:lineRule="auto"/>
        <w:jc w:val="left"/>
        <w:rPr>
          <w:sz w:val="24"/>
        </w:rPr>
      </w:pPr>
      <w:r>
        <w:rPr>
          <w:rFonts w:hint="eastAsia" w:ascii="宋体" w:hAnsi="宋体" w:cs="宋体"/>
          <w:color w:val="0D0D0D"/>
          <w:kern w:val="0"/>
          <w:sz w:val="24"/>
          <w:lang w:bidi="ar"/>
        </w:rPr>
        <w:t xml:space="preserve">本合同在履行中发生争议，双方应协商解决，协商不成的，双方同意按下列 </w:t>
      </w:r>
    </w:p>
    <w:p>
      <w:pPr>
        <w:widowControl/>
        <w:spacing w:line="360" w:lineRule="auto"/>
        <w:jc w:val="left"/>
        <w:rPr>
          <w:sz w:val="24"/>
        </w:rPr>
      </w:pPr>
      <w:r>
        <w:rPr>
          <w:rFonts w:hint="eastAsia" w:ascii="宋体" w:hAnsi="宋体" w:cs="宋体"/>
          <w:color w:val="0D0D0D"/>
          <w:kern w:val="0"/>
          <w:sz w:val="24"/>
          <w:lang w:bidi="ar"/>
        </w:rPr>
        <w:t xml:space="preserve">第 2 种方式解决： </w:t>
      </w:r>
    </w:p>
    <w:p>
      <w:pPr>
        <w:widowControl/>
        <w:spacing w:line="360" w:lineRule="auto"/>
        <w:jc w:val="left"/>
        <w:rPr>
          <w:sz w:val="24"/>
        </w:rPr>
      </w:pPr>
      <w:r>
        <w:rPr>
          <w:rFonts w:hint="eastAsia" w:ascii="宋体" w:hAnsi="宋体" w:cs="宋体"/>
          <w:color w:val="0D0D0D"/>
          <w:kern w:val="0"/>
          <w:sz w:val="24"/>
          <w:lang w:bidi="ar"/>
        </w:rPr>
        <w:t xml:space="preserve">1、提交 </w:t>
      </w:r>
    </w:p>
    <w:p>
      <w:pPr>
        <w:widowControl/>
        <w:spacing w:line="360" w:lineRule="auto"/>
        <w:jc w:val="left"/>
        <w:rPr>
          <w:sz w:val="24"/>
        </w:rPr>
      </w:pPr>
      <w:r>
        <w:rPr>
          <w:rFonts w:hint="eastAsia" w:ascii="宋体" w:hAnsi="宋体" w:cs="宋体"/>
          <w:color w:val="0D0D0D"/>
          <w:kern w:val="0"/>
          <w:sz w:val="24"/>
          <w:lang w:bidi="ar"/>
        </w:rPr>
        <w:t xml:space="preserve">委员会仲裁 </w:t>
      </w:r>
    </w:p>
    <w:p>
      <w:pPr>
        <w:widowControl/>
        <w:spacing w:line="360" w:lineRule="auto"/>
        <w:jc w:val="left"/>
        <w:rPr>
          <w:sz w:val="24"/>
        </w:rPr>
      </w:pPr>
      <w:r>
        <w:rPr>
          <w:rFonts w:hint="eastAsia" w:ascii="宋体" w:hAnsi="宋体" w:cs="宋体"/>
          <w:color w:val="0D0D0D"/>
          <w:kern w:val="0"/>
          <w:sz w:val="24"/>
          <w:lang w:bidi="ar"/>
        </w:rPr>
        <w:t xml:space="preserve">2、向乙方所在地人民法院提起 </w:t>
      </w:r>
    </w:p>
    <w:p>
      <w:pPr>
        <w:widowControl/>
        <w:spacing w:line="360" w:lineRule="auto"/>
        <w:jc w:val="left"/>
        <w:outlineLvl w:val="1"/>
        <w:rPr>
          <w:sz w:val="24"/>
        </w:rPr>
      </w:pPr>
      <w:bookmarkStart w:id="342" w:name="_Toc14441"/>
      <w:bookmarkStart w:id="343" w:name="_Toc12251"/>
      <w:bookmarkStart w:id="344" w:name="_Toc6137"/>
      <w:r>
        <w:rPr>
          <w:rFonts w:hint="eastAsia" w:ascii="宋体" w:hAnsi="宋体" w:cs="宋体"/>
          <w:color w:val="0D0D0D"/>
          <w:kern w:val="0"/>
          <w:sz w:val="24"/>
          <w:lang w:bidi="ar"/>
        </w:rPr>
        <w:t>第十三条 合同生效及其他</w:t>
      </w:r>
      <w:bookmarkEnd w:id="342"/>
      <w:bookmarkEnd w:id="343"/>
      <w:bookmarkEnd w:id="344"/>
      <w:r>
        <w:rPr>
          <w:rFonts w:hint="eastAsia" w:ascii="宋体" w:hAnsi="宋体" w:cs="宋体"/>
          <w:color w:val="0D0D0D"/>
          <w:kern w:val="0"/>
          <w:sz w:val="24"/>
          <w:lang w:bidi="ar"/>
        </w:rPr>
        <w:t xml:space="preserve"> </w:t>
      </w:r>
    </w:p>
    <w:p>
      <w:pPr>
        <w:widowControl/>
        <w:spacing w:line="360" w:lineRule="auto"/>
        <w:jc w:val="left"/>
        <w:rPr>
          <w:sz w:val="24"/>
        </w:rPr>
      </w:pPr>
      <w:r>
        <w:rPr>
          <w:rFonts w:hint="eastAsia" w:ascii="宋体" w:hAnsi="宋体" w:cs="宋体"/>
          <w:color w:val="0D0D0D"/>
          <w:kern w:val="0"/>
          <w:sz w:val="24"/>
          <w:lang w:bidi="ar"/>
        </w:rPr>
        <w:t xml:space="preserve">1、合同经双方法定代表人或授权委托代理人签字并加盖单位公章后生效。 </w:t>
      </w:r>
    </w:p>
    <w:p>
      <w:pPr>
        <w:widowControl/>
        <w:spacing w:line="360" w:lineRule="auto"/>
        <w:jc w:val="left"/>
        <w:rPr>
          <w:sz w:val="24"/>
        </w:rPr>
      </w:pPr>
      <w:r>
        <w:rPr>
          <w:rFonts w:hint="eastAsia" w:ascii="宋体" w:hAnsi="宋体" w:cs="宋体"/>
          <w:color w:val="0D0D0D"/>
          <w:kern w:val="0"/>
          <w:sz w:val="24"/>
          <w:lang w:bidi="ar"/>
        </w:rPr>
        <w:t xml:space="preserve">2、合同执行中涉及采购资金和采购内容修改或补充的，须经政府采购监管部门审批，并签书面补充协议报政府采购监督管理部门备案，方可作为主合同不可分割的一部分。 </w:t>
      </w:r>
    </w:p>
    <w:p>
      <w:pPr>
        <w:widowControl/>
        <w:spacing w:line="360" w:lineRule="auto"/>
        <w:jc w:val="left"/>
        <w:rPr>
          <w:sz w:val="24"/>
        </w:rPr>
      </w:pPr>
      <w:r>
        <w:rPr>
          <w:rFonts w:hint="eastAsia" w:ascii="宋体" w:hAnsi="宋体" w:cs="宋体"/>
          <w:color w:val="0D0D0D"/>
          <w:kern w:val="0"/>
          <w:sz w:val="24"/>
          <w:lang w:bidi="ar"/>
        </w:rPr>
        <w:t xml:space="preserve">3、本合同一式 XX 份，自双方签章之日起生效。甲方 X 份，乙方 X 份，具有同等法律效力。 </w:t>
      </w:r>
    </w:p>
    <w:p>
      <w:pPr>
        <w:widowControl/>
        <w:spacing w:line="360" w:lineRule="auto"/>
        <w:jc w:val="left"/>
        <w:outlineLvl w:val="1"/>
        <w:rPr>
          <w:sz w:val="24"/>
        </w:rPr>
      </w:pPr>
      <w:bookmarkStart w:id="345" w:name="_Toc5782"/>
      <w:bookmarkStart w:id="346" w:name="_Toc20318"/>
      <w:bookmarkStart w:id="347" w:name="_Toc27575"/>
      <w:r>
        <w:rPr>
          <w:rFonts w:hint="eastAsia" w:ascii="宋体" w:hAnsi="宋体" w:cs="宋体"/>
          <w:color w:val="0D0D0D"/>
          <w:kern w:val="0"/>
          <w:sz w:val="24"/>
          <w:lang w:bidi="ar"/>
        </w:rPr>
        <w:t>第十四条 附件</w:t>
      </w:r>
      <w:bookmarkEnd w:id="345"/>
      <w:bookmarkEnd w:id="346"/>
      <w:bookmarkEnd w:id="347"/>
      <w:r>
        <w:rPr>
          <w:rFonts w:hint="eastAsia" w:ascii="宋体" w:hAnsi="宋体" w:cs="宋体"/>
          <w:color w:val="0D0D0D"/>
          <w:kern w:val="0"/>
          <w:sz w:val="24"/>
          <w:lang w:bidi="ar"/>
        </w:rPr>
        <w:t xml:space="preserve"> </w:t>
      </w:r>
    </w:p>
    <w:p>
      <w:pPr>
        <w:widowControl/>
        <w:spacing w:line="360" w:lineRule="auto"/>
        <w:jc w:val="left"/>
        <w:rPr>
          <w:sz w:val="24"/>
        </w:rPr>
      </w:pPr>
      <w:r>
        <w:rPr>
          <w:rFonts w:hint="eastAsia" w:ascii="宋体" w:hAnsi="宋体" w:cs="宋体"/>
          <w:color w:val="0D0D0D"/>
          <w:kern w:val="0"/>
          <w:sz w:val="24"/>
          <w:lang w:bidi="ar"/>
        </w:rPr>
        <w:t xml:space="preserve">1、项目招标文件 </w:t>
      </w:r>
    </w:p>
    <w:p>
      <w:pPr>
        <w:widowControl/>
        <w:spacing w:line="360" w:lineRule="auto"/>
        <w:jc w:val="left"/>
        <w:rPr>
          <w:sz w:val="24"/>
        </w:rPr>
      </w:pPr>
      <w:r>
        <w:rPr>
          <w:rFonts w:hint="eastAsia" w:ascii="宋体" w:hAnsi="宋体" w:cs="宋体"/>
          <w:color w:val="0D0D0D"/>
          <w:kern w:val="0"/>
          <w:sz w:val="24"/>
          <w:lang w:bidi="ar"/>
        </w:rPr>
        <w:t xml:space="preserve">2、项目修改澄清文件 </w:t>
      </w:r>
    </w:p>
    <w:p>
      <w:pPr>
        <w:widowControl/>
        <w:spacing w:line="360" w:lineRule="auto"/>
        <w:jc w:val="left"/>
        <w:rPr>
          <w:sz w:val="24"/>
        </w:rPr>
      </w:pPr>
      <w:r>
        <w:rPr>
          <w:rFonts w:hint="eastAsia" w:ascii="宋体" w:hAnsi="宋体" w:cs="宋体"/>
          <w:color w:val="0D0D0D"/>
          <w:kern w:val="0"/>
          <w:sz w:val="24"/>
          <w:lang w:bidi="ar"/>
        </w:rPr>
        <w:t xml:space="preserve">3、项目投标文件 </w:t>
      </w:r>
    </w:p>
    <w:p>
      <w:pPr>
        <w:widowControl/>
        <w:spacing w:line="360" w:lineRule="auto"/>
        <w:jc w:val="left"/>
        <w:rPr>
          <w:sz w:val="24"/>
        </w:rPr>
      </w:pPr>
      <w:r>
        <w:rPr>
          <w:rFonts w:hint="eastAsia" w:ascii="宋体" w:hAnsi="宋体" w:cs="宋体"/>
          <w:color w:val="0D0D0D"/>
          <w:kern w:val="0"/>
          <w:sz w:val="24"/>
          <w:lang w:bidi="ar"/>
        </w:rPr>
        <w:t xml:space="preserve">4、中标通知书 </w:t>
      </w:r>
    </w:p>
    <w:p>
      <w:pPr>
        <w:widowControl/>
        <w:spacing w:line="360" w:lineRule="auto"/>
        <w:jc w:val="left"/>
        <w:rPr>
          <w:rFonts w:ascii="宋体" w:hAnsi="宋体" w:cs="宋体"/>
          <w:color w:val="0D0D0D"/>
          <w:kern w:val="0"/>
          <w:sz w:val="24"/>
          <w:lang w:bidi="ar"/>
        </w:rPr>
      </w:pPr>
      <w:r>
        <w:rPr>
          <w:rFonts w:hint="eastAsia" w:ascii="宋体" w:hAnsi="宋体" w:cs="宋体"/>
          <w:color w:val="0D0D0D"/>
          <w:kern w:val="0"/>
          <w:sz w:val="24"/>
          <w:lang w:bidi="ar"/>
        </w:rPr>
        <w:t xml:space="preserve">5、其他 </w:t>
      </w:r>
    </w:p>
    <w:p>
      <w:pPr>
        <w:widowControl/>
        <w:spacing w:line="360" w:lineRule="auto"/>
        <w:jc w:val="left"/>
        <w:rPr>
          <w:sz w:val="24"/>
        </w:rPr>
      </w:pPr>
      <w:r>
        <w:rPr>
          <w:rFonts w:hint="eastAsia" w:ascii="宋体" w:hAnsi="宋体" w:cs="宋体"/>
          <w:color w:val="0D0D0D"/>
          <w:kern w:val="0"/>
          <w:sz w:val="24"/>
          <w:lang w:bidi="ar"/>
        </w:rPr>
        <w:t>甲 方：（盖章）                           乙 方：（盖章）</w:t>
      </w:r>
    </w:p>
    <w:p>
      <w:pPr>
        <w:widowControl/>
        <w:spacing w:line="360" w:lineRule="auto"/>
        <w:jc w:val="left"/>
        <w:rPr>
          <w:sz w:val="24"/>
        </w:rPr>
      </w:pPr>
      <w:r>
        <w:rPr>
          <w:rFonts w:hint="eastAsia" w:ascii="宋体" w:hAnsi="宋体" w:cs="宋体"/>
          <w:color w:val="0D0D0D"/>
          <w:kern w:val="0"/>
          <w:sz w:val="24"/>
          <w:lang w:bidi="ar"/>
        </w:rPr>
        <w:t xml:space="preserve">法定代表人（授权代表）：                  法定代表人（授权代表）： </w:t>
      </w:r>
    </w:p>
    <w:p>
      <w:pPr>
        <w:widowControl/>
        <w:spacing w:line="360" w:lineRule="auto"/>
        <w:jc w:val="left"/>
        <w:rPr>
          <w:sz w:val="24"/>
        </w:rPr>
      </w:pPr>
      <w:r>
        <w:rPr>
          <w:rFonts w:hint="eastAsia" w:ascii="宋体" w:hAnsi="宋体" w:cs="宋体"/>
          <w:color w:val="0D0D0D"/>
          <w:kern w:val="0"/>
          <w:sz w:val="24"/>
          <w:lang w:bidi="ar"/>
        </w:rPr>
        <w:t xml:space="preserve">地 址：                                   地 址： </w:t>
      </w:r>
    </w:p>
    <w:p>
      <w:pPr>
        <w:widowControl/>
        <w:spacing w:line="360" w:lineRule="auto"/>
        <w:jc w:val="left"/>
        <w:rPr>
          <w:sz w:val="24"/>
        </w:rPr>
      </w:pPr>
      <w:r>
        <w:rPr>
          <w:rFonts w:hint="eastAsia" w:ascii="宋体" w:hAnsi="宋体" w:cs="宋体"/>
          <w:color w:val="0D0D0D"/>
          <w:kern w:val="0"/>
          <w:sz w:val="24"/>
          <w:lang w:bidi="ar"/>
        </w:rPr>
        <w:t xml:space="preserve">开户银行：                                开户银行： </w:t>
      </w:r>
    </w:p>
    <w:p>
      <w:pPr>
        <w:widowControl/>
        <w:spacing w:line="360" w:lineRule="auto"/>
        <w:jc w:val="left"/>
        <w:rPr>
          <w:sz w:val="24"/>
        </w:rPr>
      </w:pPr>
      <w:r>
        <w:rPr>
          <w:rFonts w:hint="eastAsia" w:ascii="宋体" w:hAnsi="宋体" w:cs="宋体"/>
          <w:color w:val="0D0D0D"/>
          <w:kern w:val="0"/>
          <w:sz w:val="24"/>
          <w:lang w:bidi="ar"/>
        </w:rPr>
        <w:t xml:space="preserve">账 号：                                   账 号： </w:t>
      </w:r>
    </w:p>
    <w:p>
      <w:pPr>
        <w:widowControl/>
        <w:spacing w:line="360" w:lineRule="auto"/>
        <w:jc w:val="left"/>
        <w:rPr>
          <w:sz w:val="24"/>
        </w:rPr>
      </w:pPr>
      <w:r>
        <w:rPr>
          <w:rFonts w:hint="eastAsia" w:ascii="宋体" w:hAnsi="宋体" w:cs="宋体"/>
          <w:color w:val="0D0D0D"/>
          <w:kern w:val="0"/>
          <w:sz w:val="24"/>
          <w:lang w:bidi="ar"/>
        </w:rPr>
        <w:t xml:space="preserve">电 话：                                   电 话： </w:t>
      </w:r>
    </w:p>
    <w:p>
      <w:pPr>
        <w:widowControl/>
        <w:spacing w:line="360" w:lineRule="auto"/>
        <w:jc w:val="left"/>
      </w:pPr>
      <w:r>
        <w:rPr>
          <w:rFonts w:hint="eastAsia" w:ascii="宋体" w:hAnsi="宋体" w:cs="宋体"/>
          <w:color w:val="0D0D0D"/>
          <w:kern w:val="0"/>
          <w:sz w:val="24"/>
          <w:lang w:bidi="ar"/>
        </w:rPr>
        <w:t>签约日期：XX 年 XX 月 XX 日               签约日期：XX 年 XX 月 XX 日</w:t>
      </w:r>
    </w:p>
    <w:p>
      <w:pPr>
        <w:rPr>
          <w:sz w:val="28"/>
          <w:szCs w:val="18"/>
        </w:rPr>
      </w:pPr>
      <w:r>
        <w:rPr>
          <w:rFonts w:hint="eastAsia"/>
          <w:sz w:val="28"/>
          <w:szCs w:val="18"/>
        </w:rPr>
        <w:br w:type="page"/>
      </w:r>
    </w:p>
    <w:p>
      <w:pPr>
        <w:pStyle w:val="3"/>
        <w:bidi w:val="0"/>
      </w:pPr>
      <w:bookmarkStart w:id="348" w:name="_Toc28919"/>
      <w:bookmarkStart w:id="349" w:name="_Toc30648"/>
      <w:r>
        <w:rPr>
          <w:rFonts w:hint="eastAsia"/>
        </w:rPr>
        <w:t>第六章 响应文件格式</w:t>
      </w:r>
      <w:bookmarkEnd w:id="348"/>
      <w:bookmarkEnd w:id="349"/>
    </w:p>
    <w:p>
      <w:pPr>
        <w:spacing w:line="560" w:lineRule="exact"/>
        <w:rPr>
          <w:rFonts w:asciiTheme="minorEastAsia" w:hAnsiTheme="minorEastAsia" w:eastAsiaTheme="minorEastAsia" w:cstheme="minorEastAsia"/>
          <w:sz w:val="32"/>
          <w:szCs w:val="32"/>
        </w:rPr>
      </w:pPr>
    </w:p>
    <w:p>
      <w:pPr>
        <w:pStyle w:val="2"/>
        <w:outlineLvl w:val="9"/>
        <w:rPr>
          <w:rFonts w:asciiTheme="minorEastAsia" w:hAnsiTheme="minorEastAsia" w:eastAsiaTheme="minorEastAsia" w:cstheme="minorEastAsia"/>
        </w:rPr>
      </w:pPr>
    </w:p>
    <w:p>
      <w:pPr>
        <w:pStyle w:val="7"/>
        <w:rPr>
          <w:rFonts w:asciiTheme="minorEastAsia" w:hAnsiTheme="minorEastAsia" w:eastAsiaTheme="minorEastAsia" w:cstheme="minorEastAsia"/>
        </w:rPr>
      </w:pPr>
    </w:p>
    <w:p>
      <w:pPr>
        <w:spacing w:line="560" w:lineRule="exact"/>
        <w:jc w:val="center"/>
        <w:outlineLvl w:val="0"/>
        <w:rPr>
          <w:rFonts w:asciiTheme="minorEastAsia" w:hAnsiTheme="minorEastAsia" w:eastAsiaTheme="minorEastAsia" w:cstheme="minorEastAsia"/>
          <w:b/>
          <w:sz w:val="24"/>
        </w:rPr>
      </w:pPr>
      <w:bookmarkStart w:id="350" w:name="_Toc19766"/>
      <w:bookmarkStart w:id="351" w:name="_Toc25406"/>
      <w:r>
        <w:rPr>
          <w:rFonts w:hint="eastAsia" w:asciiTheme="minorEastAsia" w:hAnsiTheme="minorEastAsia" w:eastAsiaTheme="minorEastAsia" w:cstheme="minorEastAsia"/>
          <w:bCs/>
          <w:sz w:val="32"/>
          <w:szCs w:val="32"/>
        </w:rPr>
        <w:t>（</w:t>
      </w:r>
      <w:r>
        <w:rPr>
          <w:rFonts w:hint="eastAsia" w:asciiTheme="minorEastAsia" w:hAnsiTheme="minorEastAsia" w:eastAsiaTheme="minorEastAsia" w:cstheme="minorEastAsia"/>
          <w:bCs/>
          <w:sz w:val="24"/>
        </w:rPr>
        <w:t>封  面）</w:t>
      </w:r>
      <w:bookmarkEnd w:id="350"/>
      <w:bookmarkEnd w:id="351"/>
    </w:p>
    <w:p>
      <w:pPr>
        <w:spacing w:line="560" w:lineRule="exact"/>
        <w:ind w:firstLine="2640" w:firstLineChars="1100"/>
        <w:rPr>
          <w:rFonts w:asciiTheme="minorEastAsia" w:hAnsiTheme="minorEastAsia" w:eastAsiaTheme="minorEastAsia" w:cstheme="minorEastAsia"/>
          <w:bCs/>
          <w:sz w:val="24"/>
        </w:rPr>
      </w:pPr>
    </w:p>
    <w:p>
      <w:pPr>
        <w:spacing w:line="560" w:lineRule="exact"/>
        <w:rPr>
          <w:rFonts w:asciiTheme="minorEastAsia" w:hAnsiTheme="minorEastAsia" w:eastAsiaTheme="minorEastAsia" w:cstheme="minorEastAsia"/>
          <w:bCs/>
          <w:sz w:val="24"/>
        </w:rPr>
      </w:pPr>
    </w:p>
    <w:p>
      <w:pPr>
        <w:spacing w:line="560" w:lineRule="exact"/>
        <w:rPr>
          <w:rFonts w:asciiTheme="minorEastAsia" w:hAnsiTheme="minorEastAsia" w:eastAsiaTheme="minorEastAsia" w:cstheme="minorEastAsia"/>
          <w:bCs/>
          <w:sz w:val="24"/>
        </w:rPr>
      </w:pPr>
    </w:p>
    <w:p>
      <w:pPr>
        <w:spacing w:line="560" w:lineRule="exact"/>
        <w:rPr>
          <w:rFonts w:asciiTheme="minorEastAsia" w:hAnsiTheme="minorEastAsia" w:eastAsiaTheme="minorEastAsia" w:cstheme="minorEastAsia"/>
          <w:bCs/>
          <w:sz w:val="24"/>
        </w:rPr>
      </w:pPr>
    </w:p>
    <w:p>
      <w:pPr>
        <w:spacing w:before="240" w:beforeLines="100" w:after="240" w:afterLines="100" w:line="560" w:lineRule="exact"/>
        <w:jc w:val="center"/>
        <w:outlineLvl w:val="1"/>
        <w:rPr>
          <w:rFonts w:asciiTheme="minorEastAsia" w:hAnsiTheme="minorEastAsia" w:eastAsiaTheme="minorEastAsia" w:cstheme="minorEastAsia"/>
          <w:bCs/>
          <w:sz w:val="24"/>
        </w:rPr>
      </w:pPr>
      <w:bookmarkStart w:id="352" w:name="_Toc8364"/>
      <w:bookmarkStart w:id="353" w:name="_Toc15611"/>
      <w:bookmarkStart w:id="354" w:name="_Toc29351"/>
      <w:r>
        <w:rPr>
          <w:rFonts w:hint="eastAsia" w:asciiTheme="minorEastAsia" w:hAnsiTheme="minorEastAsia" w:eastAsiaTheme="minorEastAsia" w:cstheme="minorEastAsia"/>
          <w:bCs/>
          <w:sz w:val="24"/>
        </w:rPr>
        <w:t>响   应  文  件</w:t>
      </w:r>
      <w:bookmarkEnd w:id="352"/>
      <w:bookmarkEnd w:id="353"/>
      <w:bookmarkEnd w:id="354"/>
    </w:p>
    <w:p>
      <w:pPr>
        <w:spacing w:line="56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w:t>
      </w:r>
    </w:p>
    <w:p>
      <w:pPr>
        <w:spacing w:line="560" w:lineRule="exact"/>
        <w:rPr>
          <w:rFonts w:asciiTheme="minorEastAsia" w:hAnsiTheme="minorEastAsia" w:eastAsiaTheme="minorEastAsia" w:cstheme="minorEastAsia"/>
          <w:bCs/>
          <w:sz w:val="24"/>
        </w:rPr>
      </w:pPr>
    </w:p>
    <w:p>
      <w:pPr>
        <w:spacing w:line="560" w:lineRule="exact"/>
        <w:ind w:firstLine="2880" w:firstLineChars="1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项目名称:</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 xml:space="preserve">                                  </w:t>
      </w:r>
    </w:p>
    <w:p>
      <w:pPr>
        <w:spacing w:line="560" w:lineRule="exact"/>
        <w:rPr>
          <w:rFonts w:asciiTheme="minorEastAsia" w:hAnsiTheme="minorEastAsia" w:eastAsiaTheme="minorEastAsia" w:cstheme="minorEastAsia"/>
          <w:bCs/>
          <w:sz w:val="24"/>
        </w:rPr>
      </w:pPr>
    </w:p>
    <w:p>
      <w:pPr>
        <w:spacing w:line="560" w:lineRule="exact"/>
        <w:rPr>
          <w:rFonts w:asciiTheme="minorEastAsia" w:hAnsiTheme="minorEastAsia" w:eastAsiaTheme="minorEastAsia" w:cstheme="minorEastAsia"/>
          <w:bCs/>
          <w:sz w:val="24"/>
        </w:rPr>
      </w:pPr>
    </w:p>
    <w:p>
      <w:pPr>
        <w:spacing w:line="560" w:lineRule="exact"/>
        <w:jc w:val="center"/>
        <w:rPr>
          <w:rFonts w:asciiTheme="minorEastAsia" w:hAnsiTheme="minorEastAsia" w:eastAsiaTheme="minorEastAsia" w:cstheme="minorEastAsia"/>
          <w:bCs/>
          <w:sz w:val="24"/>
        </w:rPr>
      </w:pPr>
    </w:p>
    <w:p>
      <w:pPr>
        <w:spacing w:line="560" w:lineRule="exact"/>
        <w:jc w:val="center"/>
        <w:rPr>
          <w:rFonts w:asciiTheme="minorEastAsia" w:hAnsiTheme="minorEastAsia" w:eastAsiaTheme="minorEastAsia" w:cstheme="minorEastAsia"/>
          <w:bCs/>
          <w:sz w:val="24"/>
        </w:rPr>
      </w:pPr>
    </w:p>
    <w:p>
      <w:pPr>
        <w:spacing w:line="560" w:lineRule="exact"/>
        <w:jc w:val="center"/>
        <w:outlineLvl w:val="1"/>
        <w:rPr>
          <w:rFonts w:asciiTheme="minorEastAsia" w:hAnsiTheme="minorEastAsia" w:eastAsiaTheme="minorEastAsia" w:cstheme="minorEastAsia"/>
          <w:bCs/>
          <w:sz w:val="24"/>
          <w:u w:val="single"/>
        </w:rPr>
      </w:pPr>
      <w:bookmarkStart w:id="355" w:name="_Toc16299"/>
      <w:bookmarkStart w:id="356" w:name="_Toc6468"/>
      <w:bookmarkStart w:id="357" w:name="_Toc5519"/>
      <w:r>
        <w:rPr>
          <w:rFonts w:hint="eastAsia" w:asciiTheme="minorEastAsia" w:hAnsiTheme="minorEastAsia" w:eastAsiaTheme="minorEastAsia" w:cstheme="minorEastAsia"/>
          <w:bCs/>
          <w:sz w:val="24"/>
        </w:rPr>
        <w:t>服 务 商：（盖章）</w:t>
      </w:r>
      <w:bookmarkEnd w:id="355"/>
      <w:bookmarkEnd w:id="356"/>
      <w:bookmarkEnd w:id="357"/>
      <w:r>
        <w:rPr>
          <w:rFonts w:hint="eastAsia" w:asciiTheme="minorEastAsia" w:hAnsiTheme="minorEastAsia" w:eastAsiaTheme="minorEastAsia" w:cstheme="minorEastAsia"/>
          <w:bCs/>
          <w:sz w:val="24"/>
          <w:u w:val="single"/>
        </w:rPr>
        <w:t xml:space="preserve">     </w:t>
      </w:r>
    </w:p>
    <w:p>
      <w:pPr>
        <w:spacing w:line="560" w:lineRule="exact"/>
        <w:jc w:val="center"/>
        <w:outlineLvl w:val="1"/>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u w:val="single"/>
        </w:rPr>
        <w:t xml:space="preserve">   </w:t>
      </w:r>
      <w:bookmarkStart w:id="358" w:name="_Toc848"/>
      <w:bookmarkStart w:id="359" w:name="_Toc850"/>
      <w:bookmarkStart w:id="360" w:name="_Toc1675"/>
      <w:r>
        <w:rPr>
          <w:rFonts w:hint="eastAsia" w:asciiTheme="minorEastAsia" w:hAnsiTheme="minorEastAsia" w:eastAsiaTheme="minorEastAsia" w:cstheme="minorEastAsia"/>
          <w:bCs/>
          <w:sz w:val="24"/>
        </w:rPr>
        <w:t>年</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月</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日</w:t>
      </w:r>
      <w:bookmarkEnd w:id="358"/>
      <w:bookmarkEnd w:id="359"/>
      <w:bookmarkEnd w:id="360"/>
    </w:p>
    <w:p>
      <w:pPr>
        <w:pStyle w:val="2"/>
        <w:outlineLvl w:val="9"/>
        <w:rPr>
          <w:rFonts w:asciiTheme="minorEastAsia" w:hAnsiTheme="minorEastAsia" w:eastAsiaTheme="minorEastAsia" w:cstheme="minorEastAsia"/>
        </w:rPr>
      </w:pPr>
    </w:p>
    <w:p>
      <w:pPr>
        <w:pStyle w:val="7"/>
        <w:ind w:firstLine="0"/>
        <w:rPr>
          <w:rFonts w:asciiTheme="minorEastAsia" w:hAnsiTheme="minorEastAsia" w:eastAsiaTheme="minorEastAsia" w:cstheme="minorEastAsia"/>
          <w:b/>
          <w:bCs/>
          <w:sz w:val="32"/>
          <w:szCs w:val="32"/>
        </w:rPr>
      </w:pPr>
    </w:p>
    <w:p>
      <w:pPr>
        <w:pStyle w:val="7"/>
        <w:ind w:firstLine="0"/>
        <w:rPr>
          <w:rFonts w:asciiTheme="minorEastAsia" w:hAnsiTheme="minorEastAsia" w:eastAsiaTheme="minorEastAsia" w:cstheme="minorEastAsia"/>
          <w:b/>
          <w:bCs/>
          <w:sz w:val="32"/>
          <w:szCs w:val="32"/>
        </w:rPr>
      </w:pPr>
    </w:p>
    <w:p>
      <w:pPr>
        <w:pStyle w:val="2"/>
        <w:bidi w:val="0"/>
        <w:jc w:val="center"/>
      </w:pPr>
      <w:bookmarkStart w:id="361" w:name="_Toc8935"/>
      <w:bookmarkStart w:id="362" w:name="_Toc20549"/>
      <w:bookmarkStart w:id="363" w:name="_Toc27023"/>
      <w:bookmarkStart w:id="364" w:name="_Toc21909"/>
      <w:r>
        <w:rPr>
          <w:rFonts w:hint="eastAsia"/>
        </w:rPr>
        <w:t>目</w:t>
      </w:r>
      <w:r>
        <w:rPr>
          <w:rFonts w:hint="eastAsia"/>
          <w:lang w:val="en-US" w:eastAsia="zh-CN"/>
        </w:rPr>
        <w:t xml:space="preserve">   </w:t>
      </w:r>
      <w:r>
        <w:rPr>
          <w:rFonts w:hint="eastAsia"/>
        </w:rPr>
        <w:t>录</w:t>
      </w:r>
      <w:bookmarkEnd w:id="361"/>
      <w:bookmarkEnd w:id="362"/>
      <w:bookmarkEnd w:id="363"/>
      <w:bookmarkEnd w:id="364"/>
    </w:p>
    <w:p>
      <w:pPr>
        <w:spacing w:line="560" w:lineRule="exact"/>
        <w:jc w:val="center"/>
        <w:rPr>
          <w:rFonts w:asciiTheme="minorEastAsia" w:hAnsiTheme="minorEastAsia" w:eastAsiaTheme="minorEastAsia" w:cstheme="minorEastAsia"/>
          <w:bCs/>
          <w:sz w:val="24"/>
        </w:rPr>
      </w:pPr>
    </w:p>
    <w:p>
      <w:pPr>
        <w:spacing w:line="56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一、响应函………………………………………………………………（页数）</w:t>
      </w:r>
    </w:p>
    <w:p>
      <w:pPr>
        <w:spacing w:line="56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二、响应一览表…………………………………………………………（页数）</w:t>
      </w:r>
    </w:p>
    <w:p>
      <w:pPr>
        <w:spacing w:line="56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三、响应价格明细表……………………………………………………（页数）</w:t>
      </w:r>
    </w:p>
    <w:p>
      <w:pPr>
        <w:spacing w:line="56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四、采购需求响应表……………………………………………………（页数）</w:t>
      </w:r>
    </w:p>
    <w:p>
      <w:pPr>
        <w:spacing w:line="56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五、采购需求及相关要求响应详情……………………………………（页数）</w:t>
      </w:r>
    </w:p>
    <w:p>
      <w:pPr>
        <w:spacing w:line="560" w:lineRule="exact"/>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六、资格证明文件………………………………………………………（页数）</w:t>
      </w:r>
    </w:p>
    <w:p>
      <w:pPr>
        <w:spacing w:line="560" w:lineRule="exact"/>
        <w:ind w:firstLine="48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Cs/>
          <w:sz w:val="24"/>
          <w:lang w:val="en-US" w:eastAsia="zh-CN"/>
        </w:rPr>
        <w:t>七、</w:t>
      </w:r>
      <w:r>
        <w:rPr>
          <w:rFonts w:hint="eastAsia" w:asciiTheme="minorEastAsia" w:hAnsiTheme="minorEastAsia" w:eastAsiaTheme="minorEastAsia" w:cstheme="minorEastAsia"/>
          <w:bCs/>
          <w:sz w:val="24"/>
        </w:rPr>
        <w:t>保证金退还申请书…………………………………………………（页数</w:t>
      </w:r>
      <w:r>
        <w:rPr>
          <w:rFonts w:hint="eastAsia" w:asciiTheme="minorEastAsia" w:hAnsiTheme="minorEastAsia" w:eastAsiaTheme="minorEastAsia" w:cstheme="minorEastAsia"/>
          <w:bCs/>
          <w:sz w:val="24"/>
          <w:lang w:eastAsia="zh-CN"/>
        </w:rPr>
        <w:t>）</w:t>
      </w:r>
    </w:p>
    <w:p>
      <w:pPr>
        <w:spacing w:line="560" w:lineRule="exact"/>
        <w:ind w:firstLine="480" w:firstLineChars="200"/>
        <w:rPr>
          <w:rFonts w:hint="eastAsia" w:asciiTheme="minorEastAsia" w:hAnsiTheme="minorEastAsia" w:eastAsiaTheme="minorEastAsia" w:cstheme="minorEastAsia"/>
          <w:bCs/>
          <w:sz w:val="24"/>
        </w:rPr>
      </w:pPr>
    </w:p>
    <w:p>
      <w:pPr>
        <w:pStyle w:val="7"/>
        <w:rPr>
          <w:rFonts w:hint="eastAsia" w:ascii="宋体" w:hAnsi="宋体" w:eastAsia="宋体" w:cs="宋体"/>
          <w:sz w:val="24"/>
          <w:szCs w:val="24"/>
          <w:lang w:val="en-US" w:eastAsia="zh-CN"/>
        </w:rPr>
      </w:pPr>
    </w:p>
    <w:p>
      <w:pPr>
        <w:pStyle w:val="7"/>
        <w:ind w:firstLine="0"/>
        <w:rPr>
          <w:rFonts w:asciiTheme="minorEastAsia" w:hAnsiTheme="minorEastAsia" w:eastAsiaTheme="minorEastAsia" w:cstheme="minorEastAsia"/>
          <w:sz w:val="32"/>
          <w:szCs w:val="32"/>
        </w:rPr>
      </w:pPr>
    </w:p>
    <w:p>
      <w:pPr>
        <w:pStyle w:val="7"/>
        <w:ind w:firstLine="0"/>
        <w:rPr>
          <w:rFonts w:asciiTheme="minorEastAsia" w:hAnsiTheme="minorEastAsia" w:eastAsiaTheme="minorEastAsia" w:cstheme="minorEastAsia"/>
          <w:sz w:val="32"/>
          <w:szCs w:val="32"/>
        </w:rPr>
      </w:pPr>
    </w:p>
    <w:p>
      <w:pPr>
        <w:pStyle w:val="7"/>
        <w:ind w:firstLine="0"/>
        <w:rPr>
          <w:rFonts w:asciiTheme="minorEastAsia" w:hAnsiTheme="minorEastAsia" w:eastAsiaTheme="minorEastAsia" w:cstheme="minorEastAsia"/>
          <w:sz w:val="32"/>
          <w:szCs w:val="32"/>
        </w:rPr>
      </w:pPr>
    </w:p>
    <w:p>
      <w:pPr>
        <w:pStyle w:val="7"/>
        <w:ind w:firstLine="0"/>
        <w:rPr>
          <w:rFonts w:asciiTheme="minorEastAsia" w:hAnsiTheme="minorEastAsia" w:eastAsiaTheme="minorEastAsia" w:cstheme="minorEastAsia"/>
          <w:sz w:val="32"/>
          <w:szCs w:val="32"/>
        </w:rPr>
      </w:pPr>
    </w:p>
    <w:p>
      <w:pPr>
        <w:pStyle w:val="7"/>
        <w:ind w:firstLine="0"/>
        <w:rPr>
          <w:rFonts w:asciiTheme="minorEastAsia" w:hAnsiTheme="minorEastAsia" w:eastAsiaTheme="minorEastAsia" w:cstheme="minorEastAsia"/>
          <w:sz w:val="32"/>
          <w:szCs w:val="32"/>
        </w:rPr>
      </w:pPr>
    </w:p>
    <w:p>
      <w:pPr>
        <w:pStyle w:val="7"/>
        <w:ind w:firstLine="0"/>
        <w:rPr>
          <w:rFonts w:asciiTheme="minorEastAsia" w:hAnsiTheme="minorEastAsia" w:eastAsiaTheme="minorEastAsia" w:cstheme="minorEastAsia"/>
          <w:sz w:val="32"/>
          <w:szCs w:val="32"/>
        </w:rPr>
      </w:pPr>
    </w:p>
    <w:p>
      <w:pPr>
        <w:pStyle w:val="7"/>
        <w:ind w:firstLine="0"/>
        <w:rPr>
          <w:rFonts w:asciiTheme="minorEastAsia" w:hAnsiTheme="minorEastAsia" w:eastAsiaTheme="minorEastAsia" w:cstheme="minorEastAsia"/>
          <w:sz w:val="32"/>
          <w:szCs w:val="32"/>
        </w:rPr>
      </w:pPr>
    </w:p>
    <w:p>
      <w:pPr>
        <w:pStyle w:val="7"/>
        <w:ind w:firstLine="0"/>
        <w:rPr>
          <w:rFonts w:asciiTheme="minorEastAsia" w:hAnsiTheme="minorEastAsia" w:eastAsiaTheme="minorEastAsia" w:cstheme="minorEastAsia"/>
          <w:sz w:val="32"/>
          <w:szCs w:val="32"/>
        </w:rPr>
      </w:pPr>
    </w:p>
    <w:p>
      <w:pPr>
        <w:widowControl/>
        <w:jc w:val="left"/>
        <w:rPr>
          <w:rFonts w:asciiTheme="minorEastAsia" w:hAnsiTheme="minorEastAsia" w:eastAsiaTheme="minorEastAsia" w:cstheme="minorEastAsia"/>
          <w:b/>
          <w:bCs/>
          <w:sz w:val="32"/>
          <w:szCs w:val="32"/>
        </w:rPr>
      </w:pPr>
      <w:r>
        <w:rPr>
          <w:rFonts w:asciiTheme="minorEastAsia" w:hAnsiTheme="minorEastAsia" w:eastAsiaTheme="minorEastAsia" w:cstheme="minorEastAsia"/>
        </w:rPr>
        <w:br w:type="page"/>
      </w:r>
    </w:p>
    <w:p>
      <w:pPr>
        <w:pStyle w:val="4"/>
        <w:bidi w:val="0"/>
        <w:jc w:val="center"/>
        <w:outlineLvl w:val="0"/>
        <w:rPr>
          <w:u w:val="none"/>
        </w:rPr>
      </w:pPr>
      <w:bookmarkStart w:id="365" w:name="_Toc5487"/>
      <w:r>
        <w:rPr>
          <w:rFonts w:hint="eastAsia"/>
          <w:u w:val="none"/>
        </w:rPr>
        <w:t>一、响应函</w:t>
      </w:r>
      <w:bookmarkEnd w:id="365"/>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（采购人/采购代理机构名称）</w:t>
      </w:r>
    </w:p>
    <w:p>
      <w:pPr>
        <w:spacing w:line="360" w:lineRule="auto"/>
        <w:ind w:firstLine="600"/>
        <w:rPr>
          <w:rFonts w:ascii="宋体" w:hAnsi="宋体" w:cs="宋体"/>
          <w:sz w:val="24"/>
        </w:rPr>
      </w:pPr>
      <w:r>
        <w:rPr>
          <w:rFonts w:hint="eastAsia" w:ascii="宋体" w:hAnsi="宋体" w:cs="宋体"/>
          <w:sz w:val="24"/>
        </w:rPr>
        <w:t>我（单位/本人，以下统称我方）自愿参加</w:t>
      </w:r>
      <w:r>
        <w:rPr>
          <w:rFonts w:hint="eastAsia" w:ascii="宋体" w:hAnsi="宋体" w:cs="宋体"/>
          <w:sz w:val="24"/>
          <w:u w:val="single"/>
        </w:rPr>
        <w:t xml:space="preserve">              （项目名称和招标编号）</w:t>
      </w:r>
      <w:r>
        <w:rPr>
          <w:rFonts w:hint="eastAsia" w:ascii="宋体" w:hAnsi="宋体" w:cs="宋体"/>
          <w:sz w:val="24"/>
        </w:rPr>
        <w:t>的投标,并做出如下承诺：</w:t>
      </w:r>
    </w:p>
    <w:p>
      <w:pPr>
        <w:spacing w:line="360" w:lineRule="auto"/>
        <w:ind w:firstLine="600"/>
        <w:rPr>
          <w:rFonts w:ascii="宋体" w:hAnsi="宋体" w:cs="宋体"/>
          <w:bCs/>
          <w:sz w:val="24"/>
        </w:rPr>
      </w:pPr>
      <w:r>
        <w:rPr>
          <w:rFonts w:hint="eastAsia" w:ascii="宋体" w:hAnsi="宋体" w:cs="宋体"/>
          <w:sz w:val="24"/>
        </w:rPr>
        <w:t>一、</w:t>
      </w:r>
      <w:r>
        <w:rPr>
          <w:rFonts w:hint="eastAsia" w:ascii="宋体" w:hAnsi="宋体" w:cs="宋体"/>
          <w:bCs/>
          <w:sz w:val="24"/>
        </w:rPr>
        <w:t>我方授权</w:t>
      </w:r>
      <w:r>
        <w:rPr>
          <w:rFonts w:hint="eastAsia" w:ascii="宋体" w:hAnsi="宋体" w:cs="宋体"/>
          <w:bCs/>
          <w:sz w:val="24"/>
          <w:u w:val="single"/>
        </w:rPr>
        <w:t xml:space="preserve">    </w:t>
      </w:r>
      <w:r>
        <w:rPr>
          <w:rFonts w:hint="eastAsia" w:ascii="宋体" w:hAnsi="宋体" w:cs="宋体"/>
          <w:bCs/>
          <w:sz w:val="24"/>
        </w:rPr>
        <w:t>(姓名和职务)代表我方</w:t>
      </w:r>
      <w:r>
        <w:rPr>
          <w:rFonts w:hint="eastAsia" w:ascii="宋体" w:hAnsi="宋体" w:cs="宋体"/>
          <w:bCs/>
          <w:sz w:val="24"/>
          <w:u w:val="single"/>
        </w:rPr>
        <w:t xml:space="preserve">           （投标单位</w:t>
      </w:r>
      <w:r>
        <w:rPr>
          <w:rFonts w:hint="eastAsia" w:ascii="宋体" w:hAnsi="宋体" w:cs="宋体"/>
          <w:bCs/>
          <w:sz w:val="24"/>
        </w:rPr>
        <w:t>的名称）全权处理本项目投标的有关事宜。</w:t>
      </w:r>
    </w:p>
    <w:p>
      <w:pPr>
        <w:spacing w:line="360" w:lineRule="auto"/>
        <w:ind w:firstLine="645"/>
        <w:rPr>
          <w:rFonts w:ascii="宋体" w:hAnsi="宋体" w:cs="宋体"/>
          <w:bCs/>
          <w:sz w:val="24"/>
        </w:rPr>
      </w:pPr>
      <w:r>
        <w:rPr>
          <w:rFonts w:hint="eastAsia" w:ascii="宋体" w:hAnsi="宋体" w:cs="宋体"/>
          <w:bCs/>
          <w:sz w:val="24"/>
        </w:rPr>
        <w:t>二、我方愿意按照采购文件规定的各项要求，向采购人提供所需的货物，我方所投总投标价为人民币（大写）</w:t>
      </w:r>
      <w:r>
        <w:rPr>
          <w:rFonts w:hint="eastAsia" w:ascii="宋体" w:hAnsi="宋体" w:cs="宋体"/>
          <w:bCs/>
          <w:sz w:val="24"/>
          <w:u w:val="single"/>
        </w:rPr>
        <w:t xml:space="preserve">      </w:t>
      </w:r>
      <w:r>
        <w:rPr>
          <w:rFonts w:hint="eastAsia" w:ascii="宋体" w:hAnsi="宋体" w:cs="宋体"/>
          <w:bCs/>
          <w:sz w:val="24"/>
        </w:rPr>
        <w:t xml:space="preserve"> 。（小写：</w:t>
      </w:r>
      <w:r>
        <w:rPr>
          <w:rFonts w:hint="eastAsia" w:ascii="宋体" w:hAnsi="宋体" w:cs="宋体"/>
          <w:bCs/>
          <w:sz w:val="24"/>
          <w:u w:val="single"/>
        </w:rPr>
        <w:t xml:space="preserve">      </w:t>
      </w:r>
      <w:r>
        <w:rPr>
          <w:rFonts w:hint="eastAsia" w:ascii="宋体" w:hAnsi="宋体" w:cs="宋体"/>
          <w:bCs/>
          <w:sz w:val="24"/>
        </w:rPr>
        <w:t xml:space="preserve"> ）</w:t>
      </w:r>
    </w:p>
    <w:p>
      <w:pPr>
        <w:pStyle w:val="2"/>
        <w:spacing w:before="0" w:after="0" w:line="360" w:lineRule="auto"/>
        <w:ind w:firstLine="480" w:firstLineChars="200"/>
        <w:rPr>
          <w:rFonts w:ascii="宋体" w:hAnsi="宋体" w:eastAsia="宋体" w:cs="宋体"/>
          <w:b w:val="0"/>
          <w:sz w:val="24"/>
          <w:szCs w:val="24"/>
        </w:rPr>
      </w:pPr>
      <w:bookmarkStart w:id="366" w:name="_Toc25147"/>
      <w:bookmarkStart w:id="367" w:name="_Toc9963"/>
      <w:bookmarkStart w:id="368" w:name="_Toc21178"/>
      <w:bookmarkStart w:id="369" w:name="_Toc5155"/>
      <w:bookmarkStart w:id="370" w:name="_Toc10924"/>
      <w:bookmarkStart w:id="371" w:name="_Toc21902"/>
      <w:bookmarkStart w:id="372" w:name="_Toc15813"/>
      <w:r>
        <w:rPr>
          <w:rFonts w:hint="eastAsia" w:ascii="宋体" w:hAnsi="宋体" w:eastAsia="宋体" w:cs="宋体"/>
          <w:b w:val="0"/>
          <w:sz w:val="24"/>
          <w:szCs w:val="24"/>
        </w:rPr>
        <w:t>三、我方已详细审查全部采购文件，包括所有补充通知（如有），完全理解并同意放弃对这方面有不明、误解的权利。</w:t>
      </w:r>
      <w:bookmarkEnd w:id="366"/>
      <w:bookmarkEnd w:id="367"/>
      <w:bookmarkEnd w:id="368"/>
      <w:bookmarkEnd w:id="369"/>
      <w:bookmarkEnd w:id="370"/>
      <w:bookmarkEnd w:id="371"/>
      <w:bookmarkEnd w:id="372"/>
    </w:p>
    <w:p>
      <w:pPr>
        <w:pStyle w:val="35"/>
        <w:spacing w:line="360" w:lineRule="auto"/>
        <w:ind w:firstLine="480"/>
        <w:rPr>
          <w:rFonts w:ascii="宋体" w:hAnsi="宋体" w:cs="宋体"/>
          <w:bCs/>
          <w:sz w:val="24"/>
          <w:szCs w:val="24"/>
        </w:rPr>
      </w:pPr>
      <w:r>
        <w:rPr>
          <w:rFonts w:hint="eastAsia" w:ascii="宋体" w:hAnsi="宋体" w:cs="宋体"/>
          <w:bCs/>
          <w:sz w:val="24"/>
          <w:szCs w:val="24"/>
        </w:rPr>
        <w:t>四、我方同意按照采购文件要求缴纳投标保证金，并承诺自投标截止时间至本项目发</w:t>
      </w:r>
      <w:r>
        <w:rPr>
          <w:rFonts w:hint="eastAsia" w:ascii="宋体" w:hAnsi="宋体" w:cs="宋体"/>
          <w:sz w:val="24"/>
          <w:szCs w:val="24"/>
        </w:rPr>
        <w:t>布中标公告为止，撤销投标的、或者中标后不依法与采购人签订合同、或者中标后不按照本采购文件规定缴纳招标代理费的，</w:t>
      </w:r>
      <w:r>
        <w:rPr>
          <w:rFonts w:hint="eastAsia" w:ascii="宋体" w:hAnsi="宋体" w:cs="宋体"/>
          <w:bCs/>
          <w:sz w:val="24"/>
          <w:szCs w:val="24"/>
        </w:rPr>
        <w:t>我方将向采购人、采购代理机构</w:t>
      </w:r>
      <w:r>
        <w:rPr>
          <w:rFonts w:hint="eastAsia" w:ascii="宋体" w:hAnsi="宋体" w:cs="宋体"/>
          <w:sz w:val="24"/>
          <w:szCs w:val="24"/>
        </w:rPr>
        <w:t>支付本采购文件公布的投标保证金作为违约赔偿金。</w:t>
      </w:r>
    </w:p>
    <w:p>
      <w:pPr>
        <w:spacing w:line="360" w:lineRule="auto"/>
        <w:ind w:firstLine="480" w:firstLineChars="200"/>
        <w:rPr>
          <w:rFonts w:ascii="宋体" w:hAnsi="宋体" w:cs="宋体"/>
          <w:bCs/>
          <w:sz w:val="24"/>
        </w:rPr>
      </w:pPr>
      <w:r>
        <w:rPr>
          <w:rFonts w:hint="eastAsia" w:ascii="宋体" w:hAnsi="宋体" w:cs="宋体"/>
          <w:bCs/>
          <w:sz w:val="24"/>
        </w:rPr>
        <w:t>五、我方愿意按照采购文件的要求，提供与项目有关的所有文件资料，并保证我方所有文件资料的合法性、真实性、完整性和准确性。</w:t>
      </w:r>
    </w:p>
    <w:p>
      <w:pPr>
        <w:spacing w:line="360" w:lineRule="auto"/>
        <w:ind w:firstLine="480" w:firstLineChars="200"/>
        <w:rPr>
          <w:rFonts w:ascii="宋体" w:hAnsi="宋体" w:cs="宋体"/>
          <w:bCs/>
          <w:sz w:val="24"/>
        </w:rPr>
      </w:pPr>
      <w:r>
        <w:rPr>
          <w:rFonts w:hint="eastAsia" w:ascii="宋体" w:hAnsi="宋体" w:cs="宋体"/>
          <w:bCs/>
          <w:sz w:val="24"/>
        </w:rPr>
        <w:t>六、一旦我方被确定为中标</w:t>
      </w:r>
      <w:r>
        <w:rPr>
          <w:rFonts w:hint="eastAsia" w:ascii="宋体" w:hAnsi="宋体" w:cs="宋体"/>
          <w:bCs/>
          <w:sz w:val="24"/>
          <w:lang w:eastAsia="zh-CN"/>
        </w:rPr>
        <w:t>服务商</w:t>
      </w:r>
      <w:r>
        <w:rPr>
          <w:rFonts w:hint="eastAsia" w:ascii="宋体" w:hAnsi="宋体" w:cs="宋体"/>
          <w:bCs/>
          <w:sz w:val="24"/>
        </w:rPr>
        <w:t xml:space="preserve">，我方将严格履行合同规定的责任和义务，保证于合同签字生效后按照约定时间完成项目，并交付采购人验收。 </w:t>
      </w:r>
    </w:p>
    <w:p>
      <w:pPr>
        <w:spacing w:line="360" w:lineRule="auto"/>
        <w:ind w:left="1495" w:leftChars="273" w:hanging="840" w:hangingChars="350"/>
        <w:rPr>
          <w:rFonts w:ascii="宋体" w:hAnsi="宋体" w:cs="宋体"/>
          <w:sz w:val="24"/>
        </w:rPr>
      </w:pPr>
    </w:p>
    <w:p>
      <w:pPr>
        <w:spacing w:line="360" w:lineRule="auto"/>
        <w:ind w:left="1495" w:leftChars="273" w:hanging="840" w:hangingChars="35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投 标 人：</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（盖公章）</w:t>
      </w:r>
    </w:p>
    <w:p>
      <w:pPr>
        <w:spacing w:line="360" w:lineRule="auto"/>
        <w:ind w:firstLine="480" w:firstLineChars="200"/>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pPr>
        <w:spacing w:line="360" w:lineRule="auto"/>
        <w:ind w:firstLine="480" w:firstLineChars="200"/>
        <w:rPr>
          <w:rFonts w:ascii="宋体" w:hAnsi="宋体" w:cs="宋体"/>
          <w:sz w:val="24"/>
        </w:rPr>
      </w:pPr>
      <w:r>
        <w:rPr>
          <w:rFonts w:hint="eastAsia" w:ascii="宋体" w:hAnsi="宋体" w:cs="宋体"/>
          <w:sz w:val="24"/>
        </w:rPr>
        <w:t>电    话：</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ab/>
      </w:r>
      <w:r>
        <w:rPr>
          <w:rFonts w:hint="eastAsia" w:ascii="宋体" w:hAnsi="宋体" w:cs="宋体"/>
          <w:sz w:val="24"/>
        </w:rPr>
        <w:tab/>
      </w:r>
    </w:p>
    <w:p>
      <w:pPr>
        <w:spacing w:line="360" w:lineRule="auto"/>
        <w:ind w:firstLine="480" w:firstLineChars="200"/>
        <w:rPr>
          <w:rFonts w:ascii="宋体" w:hAnsi="宋体" w:cs="宋体"/>
          <w:sz w:val="24"/>
          <w:u w:val="single"/>
        </w:rPr>
      </w:pPr>
      <w:r>
        <w:rPr>
          <w:rFonts w:hint="eastAsia" w:ascii="宋体" w:hAnsi="宋体" w:cs="宋体"/>
          <w:sz w:val="24"/>
        </w:rPr>
        <w:t>传    真：</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电子邮件：</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邮    编：</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法定代表人或委托代理人(签字或签章)：</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p>
    <w:p>
      <w:pPr>
        <w:pStyle w:val="7"/>
        <w:spacing w:line="360" w:lineRule="auto"/>
        <w:rPr>
          <w:rFonts w:ascii="宋体" w:hAnsi="宋体" w:cs="宋体"/>
          <w:sz w:val="28"/>
          <w:szCs w:val="28"/>
          <w:u w:val="single"/>
        </w:rPr>
      </w:pPr>
      <w:r>
        <w:rPr>
          <w:rFonts w:hint="eastAsia" w:ascii="宋体" w:hAnsi="宋体" w:cs="宋体"/>
          <w:sz w:val="24"/>
        </w:rPr>
        <w:t>日     期：</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p>
    <w:p>
      <w:pPr>
        <w:pStyle w:val="4"/>
        <w:bidi w:val="0"/>
        <w:outlineLvl w:val="0"/>
        <w:rPr>
          <w:rFonts w:asciiTheme="minorEastAsia" w:hAnsiTheme="minorEastAsia" w:eastAsiaTheme="minorEastAsia" w:cstheme="minorEastAsia"/>
          <w:bCs/>
          <w:sz w:val="32"/>
          <w:szCs w:val="32"/>
        </w:rPr>
      </w:pPr>
      <w:bookmarkStart w:id="373" w:name="_Toc22789"/>
      <w:r>
        <w:rPr>
          <w:rFonts w:hint="eastAsia"/>
          <w:u w:val="none"/>
        </w:rPr>
        <w:t>二、响应一览表</w:t>
      </w:r>
      <w:bookmarkEnd w:id="373"/>
    </w:p>
    <w:tbl>
      <w:tblPr>
        <w:tblStyle w:val="2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7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231" w:type="dxa"/>
            <w:tcBorders>
              <w:top w:val="double" w:color="auto" w:sz="4" w:space="0"/>
              <w:left w:val="double" w:color="auto" w:sz="4" w:space="0"/>
            </w:tcBorders>
            <w:vAlign w:val="center"/>
          </w:tcPr>
          <w:p>
            <w:pPr>
              <w:spacing w:line="560" w:lineRule="exact"/>
              <w:jc w:val="center"/>
              <w:rPr>
                <w:rFonts w:ascii="宋体" w:hAnsi="宋体" w:cs="宋体"/>
                <w:bCs/>
                <w:sz w:val="24"/>
              </w:rPr>
            </w:pPr>
            <w:r>
              <w:rPr>
                <w:rFonts w:hint="eastAsia" w:ascii="宋体" w:hAnsi="宋体" w:cs="宋体"/>
                <w:bCs/>
                <w:sz w:val="24"/>
              </w:rPr>
              <w:t>项目名称</w:t>
            </w:r>
          </w:p>
        </w:tc>
        <w:tc>
          <w:tcPr>
            <w:tcW w:w="7623" w:type="dxa"/>
            <w:tcBorders>
              <w:top w:val="double" w:color="auto" w:sz="4" w:space="0"/>
              <w:right w:val="double" w:color="auto" w:sz="4" w:space="0"/>
            </w:tcBorders>
            <w:vAlign w:val="center"/>
          </w:tcPr>
          <w:p>
            <w:pPr>
              <w:spacing w:line="560" w:lineRule="exac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231" w:type="dxa"/>
            <w:vMerge w:val="restart"/>
            <w:tcBorders>
              <w:left w:val="double" w:color="auto" w:sz="4" w:space="0"/>
            </w:tcBorders>
            <w:vAlign w:val="center"/>
          </w:tcPr>
          <w:p>
            <w:pPr>
              <w:spacing w:line="560" w:lineRule="exact"/>
              <w:jc w:val="center"/>
              <w:rPr>
                <w:rFonts w:ascii="宋体" w:hAnsi="宋体" w:cs="宋体"/>
                <w:bCs/>
                <w:sz w:val="24"/>
              </w:rPr>
            </w:pPr>
            <w:r>
              <w:rPr>
                <w:rFonts w:hint="eastAsia" w:ascii="宋体" w:hAnsi="宋体" w:cs="宋体"/>
                <w:bCs/>
                <w:sz w:val="24"/>
              </w:rPr>
              <w:t>投标价格</w:t>
            </w:r>
          </w:p>
        </w:tc>
        <w:tc>
          <w:tcPr>
            <w:tcW w:w="7623" w:type="dxa"/>
            <w:tcBorders>
              <w:right w:val="double" w:color="auto" w:sz="4" w:space="0"/>
            </w:tcBorders>
            <w:vAlign w:val="center"/>
          </w:tcPr>
          <w:p>
            <w:pPr>
              <w:spacing w:line="560" w:lineRule="exact"/>
              <w:rPr>
                <w:rFonts w:ascii="宋体" w:hAnsi="宋体" w:cs="宋体"/>
                <w:bCs/>
                <w:sz w:val="24"/>
              </w:rPr>
            </w:pPr>
            <w:r>
              <w:rPr>
                <w:rFonts w:hint="eastAsia" w:ascii="宋体" w:hAnsi="宋体" w:cs="宋体"/>
                <w:bCs/>
                <w:sz w:val="24"/>
              </w:rPr>
              <w:t>人民币小写(元):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231" w:type="dxa"/>
            <w:vMerge w:val="continue"/>
            <w:tcBorders>
              <w:left w:val="double" w:color="auto" w:sz="4" w:space="0"/>
            </w:tcBorders>
            <w:vAlign w:val="center"/>
          </w:tcPr>
          <w:p>
            <w:pPr>
              <w:spacing w:line="560" w:lineRule="exact"/>
              <w:jc w:val="center"/>
              <w:rPr>
                <w:rFonts w:ascii="宋体" w:hAnsi="宋体" w:cs="宋体"/>
                <w:bCs/>
                <w:sz w:val="24"/>
              </w:rPr>
            </w:pPr>
          </w:p>
        </w:tc>
        <w:tc>
          <w:tcPr>
            <w:tcW w:w="7623" w:type="dxa"/>
            <w:tcBorders>
              <w:right w:val="double" w:color="auto" w:sz="4" w:space="0"/>
            </w:tcBorders>
            <w:vAlign w:val="center"/>
          </w:tcPr>
          <w:p>
            <w:pPr>
              <w:spacing w:line="560" w:lineRule="exact"/>
              <w:rPr>
                <w:rFonts w:ascii="宋体" w:hAnsi="宋体" w:cs="宋体"/>
                <w:bCs/>
                <w:sz w:val="24"/>
              </w:rPr>
            </w:pPr>
            <w:r>
              <w:rPr>
                <w:rFonts w:hint="eastAsia" w:ascii="宋体" w:hAnsi="宋体" w:cs="宋体"/>
                <w:bCs/>
                <w:sz w:val="24"/>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231" w:type="dxa"/>
            <w:tcBorders>
              <w:left w:val="double" w:color="auto" w:sz="4" w:space="0"/>
            </w:tcBorders>
            <w:vAlign w:val="center"/>
          </w:tcPr>
          <w:p>
            <w:pPr>
              <w:spacing w:line="560" w:lineRule="exact"/>
              <w:jc w:val="center"/>
              <w:rPr>
                <w:rFonts w:ascii="宋体" w:hAnsi="宋体" w:cs="宋体"/>
                <w:bCs/>
                <w:sz w:val="24"/>
              </w:rPr>
            </w:pPr>
            <w:r>
              <w:rPr>
                <w:rFonts w:hint="eastAsia" w:ascii="宋体" w:hAnsi="宋体" w:cs="宋体"/>
                <w:bCs/>
                <w:sz w:val="24"/>
              </w:rPr>
              <w:t>交货期</w:t>
            </w:r>
          </w:p>
        </w:tc>
        <w:tc>
          <w:tcPr>
            <w:tcW w:w="7623" w:type="dxa"/>
            <w:tcBorders>
              <w:right w:val="double" w:color="auto" w:sz="4" w:space="0"/>
            </w:tcBorders>
            <w:vAlign w:val="center"/>
          </w:tcPr>
          <w:p>
            <w:pPr>
              <w:spacing w:line="560" w:lineRule="exac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231" w:type="dxa"/>
            <w:tcBorders>
              <w:left w:val="double" w:color="auto" w:sz="4" w:space="0"/>
            </w:tcBorders>
            <w:vAlign w:val="center"/>
          </w:tcPr>
          <w:p>
            <w:pPr>
              <w:spacing w:line="560" w:lineRule="exact"/>
              <w:jc w:val="center"/>
              <w:rPr>
                <w:rFonts w:hint="eastAsia" w:ascii="宋体" w:hAnsi="宋体" w:cs="宋体"/>
                <w:bCs/>
                <w:sz w:val="24"/>
              </w:rPr>
            </w:pPr>
            <w:r>
              <w:rPr>
                <w:rFonts w:hint="eastAsia" w:ascii="宋体" w:hAnsi="宋体" w:cs="宋体"/>
                <w:bCs/>
                <w:sz w:val="24"/>
                <w:lang w:val="en-US" w:eastAsia="zh-CN"/>
              </w:rPr>
              <w:t>项目实施地点</w:t>
            </w:r>
          </w:p>
        </w:tc>
        <w:tc>
          <w:tcPr>
            <w:tcW w:w="7623" w:type="dxa"/>
            <w:tcBorders>
              <w:right w:val="double" w:color="auto" w:sz="4" w:space="0"/>
            </w:tcBorders>
            <w:vAlign w:val="center"/>
          </w:tcPr>
          <w:p>
            <w:pPr>
              <w:spacing w:line="560" w:lineRule="exac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2231" w:type="dxa"/>
            <w:tcBorders>
              <w:left w:val="double" w:color="auto" w:sz="4" w:space="0"/>
              <w:bottom w:val="double" w:color="auto" w:sz="4" w:space="0"/>
            </w:tcBorders>
            <w:vAlign w:val="center"/>
          </w:tcPr>
          <w:p>
            <w:pPr>
              <w:spacing w:line="560" w:lineRule="exact"/>
              <w:jc w:val="center"/>
              <w:rPr>
                <w:rFonts w:ascii="宋体" w:hAnsi="宋体" w:cs="宋体"/>
                <w:bCs/>
                <w:sz w:val="24"/>
              </w:rPr>
            </w:pPr>
            <w:r>
              <w:rPr>
                <w:rFonts w:hint="eastAsia" w:ascii="宋体" w:hAnsi="宋体" w:cs="宋体"/>
                <w:bCs/>
                <w:sz w:val="24"/>
              </w:rPr>
              <w:t>备  注</w:t>
            </w:r>
          </w:p>
        </w:tc>
        <w:tc>
          <w:tcPr>
            <w:tcW w:w="7623" w:type="dxa"/>
            <w:tcBorders>
              <w:bottom w:val="double" w:color="auto" w:sz="4" w:space="0"/>
              <w:right w:val="double" w:color="auto" w:sz="4" w:space="0"/>
            </w:tcBorders>
            <w:vAlign w:val="center"/>
          </w:tcPr>
          <w:p>
            <w:pPr>
              <w:spacing w:line="560" w:lineRule="exact"/>
              <w:rPr>
                <w:rFonts w:ascii="宋体" w:hAnsi="宋体" w:cs="宋体"/>
                <w:bCs/>
                <w:sz w:val="24"/>
              </w:rPr>
            </w:pPr>
            <w:r>
              <w:rPr>
                <w:rFonts w:hint="eastAsia" w:ascii="宋体" w:hAnsi="宋体" w:cs="宋体"/>
                <w:bCs/>
                <w:sz w:val="24"/>
              </w:rPr>
              <w:t>投标价格为</w:t>
            </w:r>
            <w:r>
              <w:rPr>
                <w:rFonts w:hint="eastAsia" w:ascii="宋体" w:hAnsi="宋体" w:cs="宋体"/>
                <w:bCs/>
                <w:sz w:val="24"/>
                <w:lang w:eastAsia="zh-CN"/>
              </w:rPr>
              <w:t>服务商</w:t>
            </w:r>
            <w:r>
              <w:rPr>
                <w:rFonts w:hint="eastAsia" w:ascii="宋体" w:hAnsi="宋体" w:cs="宋体"/>
                <w:bCs/>
                <w:sz w:val="24"/>
              </w:rPr>
              <w:t>考虑各种因素（含折扣、优惠等）的最终报价。</w:t>
            </w:r>
          </w:p>
        </w:tc>
      </w:tr>
    </w:tbl>
    <w:p>
      <w:pPr>
        <w:spacing w:line="560" w:lineRule="exact"/>
        <w:ind w:left="-185" w:leftChars="-77"/>
        <w:rPr>
          <w:rFonts w:asciiTheme="minorEastAsia" w:hAnsiTheme="minorEastAsia" w:eastAsiaTheme="minorEastAsia" w:cstheme="minorEastAsia"/>
          <w:bCs/>
          <w:sz w:val="32"/>
          <w:szCs w:val="32"/>
        </w:rPr>
      </w:pPr>
    </w:p>
    <w:p>
      <w:pPr>
        <w:spacing w:line="560" w:lineRule="exact"/>
        <w:ind w:left="-185" w:leftChars="-77"/>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 xml:space="preserve">                             </w:t>
      </w:r>
    </w:p>
    <w:p>
      <w:pPr>
        <w:pStyle w:val="25"/>
        <w:ind w:left="0" w:leftChars="0" w:firstLine="0" w:firstLineChars="0"/>
        <w:rPr>
          <w:rFonts w:asciiTheme="minorEastAsia" w:hAnsiTheme="minorEastAsia" w:eastAsiaTheme="minorEastAsia" w:cstheme="minorEastAsia"/>
          <w:sz w:val="24"/>
          <w:szCs w:val="24"/>
          <w:lang w:eastAsia="zh-CN"/>
        </w:rPr>
      </w:pPr>
    </w:p>
    <w:p>
      <w:pPr>
        <w:pStyle w:val="25"/>
        <w:ind w:firstLine="240"/>
        <w:rPr>
          <w:rFonts w:asciiTheme="minorEastAsia" w:hAnsiTheme="minorEastAsia" w:eastAsiaTheme="minorEastAsia" w:cstheme="minorEastAsia"/>
          <w:sz w:val="24"/>
          <w:szCs w:val="24"/>
          <w:lang w:eastAsia="zh-CN"/>
        </w:rPr>
      </w:pPr>
    </w:p>
    <w:p>
      <w:pPr>
        <w:spacing w:line="560" w:lineRule="exact"/>
        <w:ind w:firstLine="3840" w:firstLineChars="16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服务商：</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（盖章）</w:t>
      </w:r>
    </w:p>
    <w:p>
      <w:pPr>
        <w:spacing w:line="560" w:lineRule="exact"/>
        <w:ind w:firstLine="5280" w:firstLineChars="2200"/>
        <w:rPr>
          <w:rFonts w:asciiTheme="minorEastAsia" w:hAnsiTheme="minorEastAsia" w:eastAsiaTheme="minorEastAsia" w:cstheme="minorEastAsia"/>
          <w:bCs/>
          <w:sz w:val="24"/>
        </w:rPr>
      </w:pPr>
    </w:p>
    <w:p>
      <w:pPr>
        <w:spacing w:line="560" w:lineRule="exact"/>
        <w:ind w:firstLine="5280" w:firstLineChars="2200"/>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24"/>
        </w:rPr>
        <w:t>年     月     日</w:t>
      </w:r>
    </w:p>
    <w:p>
      <w:pP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br w:type="page"/>
      </w:r>
    </w:p>
    <w:p>
      <w:pPr>
        <w:pStyle w:val="4"/>
        <w:numPr>
          <w:ilvl w:val="0"/>
          <w:numId w:val="4"/>
        </w:numPr>
        <w:bidi w:val="0"/>
        <w:outlineLvl w:val="0"/>
        <w:rPr>
          <w:u w:val="none"/>
        </w:rPr>
      </w:pPr>
      <w:bookmarkStart w:id="374" w:name="_Toc18637"/>
      <w:r>
        <w:rPr>
          <w:rFonts w:hint="eastAsia"/>
          <w:u w:val="none"/>
        </w:rPr>
        <w:t>响应价格明细表（可根据实际情况修改）</w:t>
      </w:r>
      <w:bookmarkEnd w:id="374"/>
      <w:r>
        <w:rPr>
          <w:rFonts w:hint="eastAsia"/>
          <w:u w:val="none"/>
        </w:rPr>
        <w:t xml:space="preserve">    </w:t>
      </w:r>
    </w:p>
    <w:tbl>
      <w:tblPr>
        <w:tblStyle w:val="27"/>
        <w:tblW w:w="985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930"/>
        <w:gridCol w:w="2421"/>
        <w:gridCol w:w="985"/>
        <w:gridCol w:w="985"/>
        <w:gridCol w:w="1577"/>
        <w:gridCol w:w="18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1103"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930"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服务名称</w:t>
            </w:r>
          </w:p>
        </w:tc>
        <w:tc>
          <w:tcPr>
            <w:tcW w:w="2421" w:type="dxa"/>
            <w:vAlign w:val="center"/>
          </w:tcPr>
          <w:p>
            <w:pPr>
              <w:spacing w:line="56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rPr>
              <w:t>服务内容</w:t>
            </w:r>
            <w:r>
              <w:rPr>
                <w:rFonts w:hint="eastAsia" w:ascii="宋体" w:hAnsi="宋体" w:eastAsia="宋体" w:cs="宋体"/>
                <w:bCs/>
                <w:sz w:val="24"/>
                <w:szCs w:val="24"/>
                <w:lang w:eastAsia="zh-CN"/>
              </w:rPr>
              <w:t>（</w:t>
            </w:r>
            <w:r>
              <w:rPr>
                <w:rFonts w:hint="eastAsia" w:ascii="宋体" w:hAnsi="宋体" w:eastAsia="宋体" w:cs="宋体"/>
                <w:bCs/>
                <w:sz w:val="24"/>
                <w:szCs w:val="24"/>
              </w:rPr>
              <w:t>型号</w:t>
            </w:r>
            <w:r>
              <w:rPr>
                <w:rFonts w:hint="eastAsia" w:ascii="宋体" w:hAnsi="宋体" w:eastAsia="宋体" w:cs="宋体"/>
                <w:bCs/>
                <w:sz w:val="24"/>
                <w:szCs w:val="24"/>
                <w:lang w:eastAsia="zh-CN"/>
              </w:rPr>
              <w:t>及主要规格、技术参数）</w:t>
            </w:r>
          </w:p>
        </w:tc>
        <w:tc>
          <w:tcPr>
            <w:tcW w:w="985"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单价</w:t>
            </w:r>
          </w:p>
        </w:tc>
        <w:tc>
          <w:tcPr>
            <w:tcW w:w="985"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1577"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总价（元）</w:t>
            </w:r>
          </w:p>
        </w:tc>
        <w:tc>
          <w:tcPr>
            <w:tcW w:w="1853"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服务期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103"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930" w:type="dxa"/>
            <w:vAlign w:val="center"/>
          </w:tcPr>
          <w:p>
            <w:pPr>
              <w:spacing w:line="560" w:lineRule="exact"/>
              <w:jc w:val="center"/>
              <w:rPr>
                <w:rFonts w:hint="eastAsia" w:ascii="宋体" w:hAnsi="宋体" w:eastAsia="宋体" w:cs="宋体"/>
                <w:bCs/>
                <w:sz w:val="24"/>
                <w:szCs w:val="24"/>
              </w:rPr>
            </w:pPr>
          </w:p>
        </w:tc>
        <w:tc>
          <w:tcPr>
            <w:tcW w:w="2421" w:type="dxa"/>
            <w:vAlign w:val="center"/>
          </w:tcPr>
          <w:p>
            <w:pPr>
              <w:spacing w:line="560" w:lineRule="exact"/>
              <w:jc w:val="center"/>
              <w:rPr>
                <w:rFonts w:hint="eastAsia" w:ascii="宋体" w:hAnsi="宋体" w:eastAsia="宋体" w:cs="宋体"/>
                <w:bCs/>
                <w:sz w:val="24"/>
                <w:szCs w:val="24"/>
              </w:rPr>
            </w:pPr>
          </w:p>
        </w:tc>
        <w:tc>
          <w:tcPr>
            <w:tcW w:w="985" w:type="dxa"/>
            <w:vAlign w:val="center"/>
          </w:tcPr>
          <w:p>
            <w:pPr>
              <w:spacing w:line="560" w:lineRule="exact"/>
              <w:jc w:val="center"/>
              <w:rPr>
                <w:rFonts w:hint="eastAsia" w:ascii="宋体" w:hAnsi="宋体" w:eastAsia="宋体" w:cs="宋体"/>
                <w:bCs/>
                <w:sz w:val="24"/>
                <w:szCs w:val="24"/>
              </w:rPr>
            </w:pPr>
          </w:p>
        </w:tc>
        <w:tc>
          <w:tcPr>
            <w:tcW w:w="985" w:type="dxa"/>
            <w:vAlign w:val="center"/>
          </w:tcPr>
          <w:p>
            <w:pPr>
              <w:spacing w:line="560" w:lineRule="exact"/>
              <w:jc w:val="center"/>
              <w:rPr>
                <w:rFonts w:hint="eastAsia" w:ascii="宋体" w:hAnsi="宋体" w:eastAsia="宋体" w:cs="宋体"/>
                <w:bCs/>
                <w:sz w:val="24"/>
                <w:szCs w:val="24"/>
              </w:rPr>
            </w:pPr>
          </w:p>
        </w:tc>
        <w:tc>
          <w:tcPr>
            <w:tcW w:w="1577" w:type="dxa"/>
            <w:vAlign w:val="center"/>
          </w:tcPr>
          <w:p>
            <w:pPr>
              <w:spacing w:line="560" w:lineRule="exact"/>
              <w:jc w:val="center"/>
              <w:rPr>
                <w:rFonts w:hint="eastAsia" w:ascii="宋体" w:hAnsi="宋体" w:eastAsia="宋体" w:cs="宋体"/>
                <w:bCs/>
                <w:sz w:val="24"/>
                <w:szCs w:val="24"/>
              </w:rPr>
            </w:pPr>
          </w:p>
        </w:tc>
        <w:tc>
          <w:tcPr>
            <w:tcW w:w="1853" w:type="dxa"/>
            <w:vMerge w:val="restart"/>
            <w:vAlign w:val="center"/>
          </w:tcPr>
          <w:p>
            <w:pPr>
              <w:spacing w:line="560" w:lineRule="exact"/>
              <w:jc w:val="center"/>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103"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930" w:type="dxa"/>
            <w:vAlign w:val="center"/>
          </w:tcPr>
          <w:p>
            <w:pPr>
              <w:spacing w:line="560" w:lineRule="exact"/>
              <w:jc w:val="center"/>
              <w:rPr>
                <w:rFonts w:hint="eastAsia" w:ascii="宋体" w:hAnsi="宋体" w:eastAsia="宋体" w:cs="宋体"/>
                <w:bCs/>
                <w:sz w:val="24"/>
                <w:szCs w:val="24"/>
              </w:rPr>
            </w:pPr>
          </w:p>
        </w:tc>
        <w:tc>
          <w:tcPr>
            <w:tcW w:w="2421" w:type="dxa"/>
            <w:vAlign w:val="center"/>
          </w:tcPr>
          <w:p>
            <w:pPr>
              <w:spacing w:line="560" w:lineRule="exact"/>
              <w:jc w:val="center"/>
              <w:rPr>
                <w:rFonts w:hint="eastAsia" w:ascii="宋体" w:hAnsi="宋体" w:eastAsia="宋体" w:cs="宋体"/>
                <w:bCs/>
                <w:sz w:val="24"/>
                <w:szCs w:val="24"/>
              </w:rPr>
            </w:pPr>
          </w:p>
        </w:tc>
        <w:tc>
          <w:tcPr>
            <w:tcW w:w="985" w:type="dxa"/>
            <w:vAlign w:val="center"/>
          </w:tcPr>
          <w:p>
            <w:pPr>
              <w:spacing w:line="560" w:lineRule="exact"/>
              <w:jc w:val="center"/>
              <w:rPr>
                <w:rFonts w:hint="eastAsia" w:ascii="宋体" w:hAnsi="宋体" w:eastAsia="宋体" w:cs="宋体"/>
                <w:bCs/>
                <w:sz w:val="24"/>
                <w:szCs w:val="24"/>
              </w:rPr>
            </w:pPr>
          </w:p>
        </w:tc>
        <w:tc>
          <w:tcPr>
            <w:tcW w:w="985" w:type="dxa"/>
            <w:vAlign w:val="center"/>
          </w:tcPr>
          <w:p>
            <w:pPr>
              <w:spacing w:line="560" w:lineRule="exact"/>
              <w:jc w:val="center"/>
              <w:rPr>
                <w:rFonts w:hint="eastAsia" w:ascii="宋体" w:hAnsi="宋体" w:eastAsia="宋体" w:cs="宋体"/>
                <w:bCs/>
                <w:sz w:val="24"/>
                <w:szCs w:val="24"/>
              </w:rPr>
            </w:pPr>
          </w:p>
        </w:tc>
        <w:tc>
          <w:tcPr>
            <w:tcW w:w="1577" w:type="dxa"/>
            <w:vAlign w:val="center"/>
          </w:tcPr>
          <w:p>
            <w:pPr>
              <w:spacing w:line="560" w:lineRule="exact"/>
              <w:jc w:val="center"/>
              <w:rPr>
                <w:rFonts w:hint="eastAsia" w:ascii="宋体" w:hAnsi="宋体" w:eastAsia="宋体" w:cs="宋体"/>
                <w:bCs/>
                <w:sz w:val="24"/>
                <w:szCs w:val="24"/>
              </w:rPr>
            </w:pPr>
          </w:p>
        </w:tc>
        <w:tc>
          <w:tcPr>
            <w:tcW w:w="1853" w:type="dxa"/>
            <w:vMerge w:val="continue"/>
            <w:vAlign w:val="top"/>
          </w:tcPr>
          <w:p>
            <w:pPr>
              <w:spacing w:line="560" w:lineRule="exact"/>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103"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930" w:type="dxa"/>
            <w:vAlign w:val="center"/>
          </w:tcPr>
          <w:p>
            <w:pPr>
              <w:spacing w:line="560" w:lineRule="exact"/>
              <w:jc w:val="center"/>
              <w:rPr>
                <w:rFonts w:hint="eastAsia" w:ascii="宋体" w:hAnsi="宋体" w:eastAsia="宋体" w:cs="宋体"/>
                <w:bCs/>
                <w:sz w:val="24"/>
                <w:szCs w:val="24"/>
              </w:rPr>
            </w:pPr>
          </w:p>
        </w:tc>
        <w:tc>
          <w:tcPr>
            <w:tcW w:w="2421" w:type="dxa"/>
            <w:vAlign w:val="center"/>
          </w:tcPr>
          <w:p>
            <w:pPr>
              <w:spacing w:line="560" w:lineRule="exact"/>
              <w:jc w:val="center"/>
              <w:rPr>
                <w:rFonts w:hint="eastAsia" w:ascii="宋体" w:hAnsi="宋体" w:eastAsia="宋体" w:cs="宋体"/>
                <w:bCs/>
                <w:sz w:val="24"/>
                <w:szCs w:val="24"/>
              </w:rPr>
            </w:pPr>
          </w:p>
        </w:tc>
        <w:tc>
          <w:tcPr>
            <w:tcW w:w="985" w:type="dxa"/>
            <w:vAlign w:val="center"/>
          </w:tcPr>
          <w:p>
            <w:pPr>
              <w:spacing w:line="560" w:lineRule="exact"/>
              <w:jc w:val="center"/>
              <w:rPr>
                <w:rFonts w:hint="eastAsia" w:ascii="宋体" w:hAnsi="宋体" w:eastAsia="宋体" w:cs="宋体"/>
                <w:bCs/>
                <w:sz w:val="24"/>
                <w:szCs w:val="24"/>
              </w:rPr>
            </w:pPr>
          </w:p>
        </w:tc>
        <w:tc>
          <w:tcPr>
            <w:tcW w:w="985" w:type="dxa"/>
            <w:vAlign w:val="center"/>
          </w:tcPr>
          <w:p>
            <w:pPr>
              <w:spacing w:line="560" w:lineRule="exact"/>
              <w:jc w:val="center"/>
              <w:rPr>
                <w:rFonts w:hint="eastAsia" w:ascii="宋体" w:hAnsi="宋体" w:eastAsia="宋体" w:cs="宋体"/>
                <w:bCs/>
                <w:sz w:val="24"/>
                <w:szCs w:val="24"/>
              </w:rPr>
            </w:pPr>
          </w:p>
        </w:tc>
        <w:tc>
          <w:tcPr>
            <w:tcW w:w="1577" w:type="dxa"/>
            <w:vAlign w:val="center"/>
          </w:tcPr>
          <w:p>
            <w:pPr>
              <w:spacing w:line="560" w:lineRule="exact"/>
              <w:jc w:val="center"/>
              <w:rPr>
                <w:rFonts w:hint="eastAsia" w:ascii="宋体" w:hAnsi="宋体" w:eastAsia="宋体" w:cs="宋体"/>
                <w:bCs/>
                <w:sz w:val="24"/>
                <w:szCs w:val="24"/>
              </w:rPr>
            </w:pPr>
          </w:p>
        </w:tc>
        <w:tc>
          <w:tcPr>
            <w:tcW w:w="1853" w:type="dxa"/>
            <w:vMerge w:val="continue"/>
            <w:vAlign w:val="top"/>
          </w:tcPr>
          <w:p>
            <w:pPr>
              <w:spacing w:line="560" w:lineRule="exact"/>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103"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930" w:type="dxa"/>
            <w:vAlign w:val="center"/>
          </w:tcPr>
          <w:p>
            <w:pPr>
              <w:spacing w:line="560" w:lineRule="exact"/>
              <w:jc w:val="center"/>
              <w:rPr>
                <w:rFonts w:hint="eastAsia" w:ascii="宋体" w:hAnsi="宋体" w:eastAsia="宋体" w:cs="宋体"/>
                <w:bCs/>
                <w:sz w:val="24"/>
                <w:szCs w:val="24"/>
              </w:rPr>
            </w:pPr>
          </w:p>
        </w:tc>
        <w:tc>
          <w:tcPr>
            <w:tcW w:w="2421" w:type="dxa"/>
            <w:vAlign w:val="center"/>
          </w:tcPr>
          <w:p>
            <w:pPr>
              <w:spacing w:line="560" w:lineRule="exact"/>
              <w:jc w:val="center"/>
              <w:rPr>
                <w:rFonts w:hint="eastAsia" w:ascii="宋体" w:hAnsi="宋体" w:eastAsia="宋体" w:cs="宋体"/>
                <w:bCs/>
                <w:sz w:val="24"/>
                <w:szCs w:val="24"/>
              </w:rPr>
            </w:pPr>
          </w:p>
        </w:tc>
        <w:tc>
          <w:tcPr>
            <w:tcW w:w="985" w:type="dxa"/>
            <w:vAlign w:val="center"/>
          </w:tcPr>
          <w:p>
            <w:pPr>
              <w:spacing w:line="560" w:lineRule="exact"/>
              <w:jc w:val="center"/>
              <w:rPr>
                <w:rFonts w:hint="eastAsia" w:ascii="宋体" w:hAnsi="宋体" w:eastAsia="宋体" w:cs="宋体"/>
                <w:bCs/>
                <w:sz w:val="24"/>
                <w:szCs w:val="24"/>
              </w:rPr>
            </w:pPr>
          </w:p>
        </w:tc>
        <w:tc>
          <w:tcPr>
            <w:tcW w:w="985" w:type="dxa"/>
            <w:vAlign w:val="center"/>
          </w:tcPr>
          <w:p>
            <w:pPr>
              <w:spacing w:line="560" w:lineRule="exact"/>
              <w:jc w:val="center"/>
              <w:rPr>
                <w:rFonts w:hint="eastAsia" w:ascii="宋体" w:hAnsi="宋体" w:eastAsia="宋体" w:cs="宋体"/>
                <w:bCs/>
                <w:sz w:val="24"/>
                <w:szCs w:val="24"/>
              </w:rPr>
            </w:pPr>
          </w:p>
        </w:tc>
        <w:tc>
          <w:tcPr>
            <w:tcW w:w="1577" w:type="dxa"/>
            <w:vAlign w:val="center"/>
          </w:tcPr>
          <w:p>
            <w:pPr>
              <w:spacing w:line="560" w:lineRule="exact"/>
              <w:jc w:val="center"/>
              <w:rPr>
                <w:rFonts w:hint="eastAsia" w:ascii="宋体" w:hAnsi="宋体" w:eastAsia="宋体" w:cs="宋体"/>
                <w:bCs/>
                <w:sz w:val="24"/>
                <w:szCs w:val="24"/>
              </w:rPr>
            </w:pPr>
          </w:p>
        </w:tc>
        <w:tc>
          <w:tcPr>
            <w:tcW w:w="1853" w:type="dxa"/>
            <w:vMerge w:val="continue"/>
            <w:vAlign w:val="top"/>
          </w:tcPr>
          <w:p>
            <w:pPr>
              <w:spacing w:line="560" w:lineRule="exact"/>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 w:hRule="atLeast"/>
          <w:jc w:val="center"/>
        </w:trPr>
        <w:tc>
          <w:tcPr>
            <w:tcW w:w="1103"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930" w:type="dxa"/>
            <w:vAlign w:val="center"/>
          </w:tcPr>
          <w:p>
            <w:pPr>
              <w:spacing w:line="560" w:lineRule="exact"/>
              <w:jc w:val="center"/>
              <w:rPr>
                <w:rFonts w:hint="eastAsia" w:ascii="宋体" w:hAnsi="宋体" w:eastAsia="宋体" w:cs="宋体"/>
                <w:bCs/>
                <w:sz w:val="24"/>
                <w:szCs w:val="24"/>
              </w:rPr>
            </w:pPr>
          </w:p>
        </w:tc>
        <w:tc>
          <w:tcPr>
            <w:tcW w:w="2421" w:type="dxa"/>
            <w:vAlign w:val="center"/>
          </w:tcPr>
          <w:p>
            <w:pPr>
              <w:spacing w:line="560" w:lineRule="exact"/>
              <w:jc w:val="center"/>
              <w:rPr>
                <w:rFonts w:hint="eastAsia" w:ascii="宋体" w:hAnsi="宋体" w:eastAsia="宋体" w:cs="宋体"/>
                <w:bCs/>
                <w:sz w:val="24"/>
                <w:szCs w:val="24"/>
              </w:rPr>
            </w:pPr>
          </w:p>
        </w:tc>
        <w:tc>
          <w:tcPr>
            <w:tcW w:w="985" w:type="dxa"/>
            <w:vAlign w:val="center"/>
          </w:tcPr>
          <w:p>
            <w:pPr>
              <w:spacing w:line="560" w:lineRule="exact"/>
              <w:jc w:val="center"/>
              <w:rPr>
                <w:rFonts w:hint="eastAsia" w:ascii="宋体" w:hAnsi="宋体" w:eastAsia="宋体" w:cs="宋体"/>
                <w:bCs/>
                <w:sz w:val="24"/>
                <w:szCs w:val="24"/>
              </w:rPr>
            </w:pPr>
          </w:p>
        </w:tc>
        <w:tc>
          <w:tcPr>
            <w:tcW w:w="985" w:type="dxa"/>
            <w:vAlign w:val="center"/>
          </w:tcPr>
          <w:p>
            <w:pPr>
              <w:spacing w:line="560" w:lineRule="exact"/>
              <w:jc w:val="center"/>
              <w:rPr>
                <w:rFonts w:hint="eastAsia" w:ascii="宋体" w:hAnsi="宋体" w:eastAsia="宋体" w:cs="宋体"/>
                <w:bCs/>
                <w:sz w:val="24"/>
                <w:szCs w:val="24"/>
              </w:rPr>
            </w:pPr>
          </w:p>
        </w:tc>
        <w:tc>
          <w:tcPr>
            <w:tcW w:w="1577" w:type="dxa"/>
            <w:vAlign w:val="center"/>
          </w:tcPr>
          <w:p>
            <w:pPr>
              <w:spacing w:line="560" w:lineRule="exact"/>
              <w:jc w:val="center"/>
              <w:rPr>
                <w:rFonts w:hint="eastAsia" w:ascii="宋体" w:hAnsi="宋体" w:eastAsia="宋体" w:cs="宋体"/>
                <w:bCs/>
                <w:sz w:val="24"/>
                <w:szCs w:val="24"/>
              </w:rPr>
            </w:pPr>
          </w:p>
        </w:tc>
        <w:tc>
          <w:tcPr>
            <w:tcW w:w="1853" w:type="dxa"/>
            <w:vMerge w:val="continue"/>
            <w:vAlign w:val="top"/>
          </w:tcPr>
          <w:p>
            <w:pPr>
              <w:spacing w:line="560" w:lineRule="exact"/>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1103"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6</w:t>
            </w:r>
          </w:p>
        </w:tc>
        <w:tc>
          <w:tcPr>
            <w:tcW w:w="930" w:type="dxa"/>
            <w:vAlign w:val="center"/>
          </w:tcPr>
          <w:p>
            <w:pPr>
              <w:spacing w:line="560" w:lineRule="exact"/>
              <w:jc w:val="center"/>
              <w:rPr>
                <w:rFonts w:hint="eastAsia" w:ascii="宋体" w:hAnsi="宋体" w:eastAsia="宋体" w:cs="宋体"/>
                <w:bCs/>
                <w:sz w:val="24"/>
                <w:szCs w:val="24"/>
              </w:rPr>
            </w:pPr>
          </w:p>
        </w:tc>
        <w:tc>
          <w:tcPr>
            <w:tcW w:w="2421" w:type="dxa"/>
            <w:vAlign w:val="center"/>
          </w:tcPr>
          <w:p>
            <w:pPr>
              <w:spacing w:line="560" w:lineRule="exact"/>
              <w:jc w:val="center"/>
              <w:rPr>
                <w:rFonts w:hint="eastAsia" w:ascii="宋体" w:hAnsi="宋体" w:eastAsia="宋体" w:cs="宋体"/>
                <w:bCs/>
                <w:sz w:val="24"/>
                <w:szCs w:val="24"/>
              </w:rPr>
            </w:pPr>
          </w:p>
        </w:tc>
        <w:tc>
          <w:tcPr>
            <w:tcW w:w="985" w:type="dxa"/>
            <w:vAlign w:val="center"/>
          </w:tcPr>
          <w:p>
            <w:pPr>
              <w:spacing w:line="560" w:lineRule="exact"/>
              <w:jc w:val="center"/>
              <w:rPr>
                <w:rFonts w:hint="eastAsia" w:ascii="宋体" w:hAnsi="宋体" w:eastAsia="宋体" w:cs="宋体"/>
                <w:bCs/>
                <w:sz w:val="24"/>
                <w:szCs w:val="24"/>
              </w:rPr>
            </w:pPr>
          </w:p>
        </w:tc>
        <w:tc>
          <w:tcPr>
            <w:tcW w:w="985" w:type="dxa"/>
            <w:vAlign w:val="center"/>
          </w:tcPr>
          <w:p>
            <w:pPr>
              <w:spacing w:line="560" w:lineRule="exact"/>
              <w:jc w:val="center"/>
              <w:rPr>
                <w:rFonts w:hint="eastAsia" w:ascii="宋体" w:hAnsi="宋体" w:eastAsia="宋体" w:cs="宋体"/>
                <w:bCs/>
                <w:sz w:val="24"/>
                <w:szCs w:val="24"/>
              </w:rPr>
            </w:pPr>
          </w:p>
        </w:tc>
        <w:tc>
          <w:tcPr>
            <w:tcW w:w="1577" w:type="dxa"/>
            <w:vAlign w:val="center"/>
          </w:tcPr>
          <w:p>
            <w:pPr>
              <w:spacing w:line="560" w:lineRule="exact"/>
              <w:jc w:val="center"/>
              <w:rPr>
                <w:rFonts w:hint="eastAsia" w:ascii="宋体" w:hAnsi="宋体" w:eastAsia="宋体" w:cs="宋体"/>
                <w:bCs/>
                <w:sz w:val="24"/>
                <w:szCs w:val="24"/>
              </w:rPr>
            </w:pPr>
          </w:p>
        </w:tc>
        <w:tc>
          <w:tcPr>
            <w:tcW w:w="1853" w:type="dxa"/>
            <w:vMerge w:val="continue"/>
            <w:vAlign w:val="top"/>
          </w:tcPr>
          <w:p>
            <w:pPr>
              <w:spacing w:line="560" w:lineRule="exact"/>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1103"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7</w:t>
            </w:r>
          </w:p>
        </w:tc>
        <w:tc>
          <w:tcPr>
            <w:tcW w:w="930" w:type="dxa"/>
            <w:vAlign w:val="center"/>
          </w:tcPr>
          <w:p>
            <w:pPr>
              <w:spacing w:line="560" w:lineRule="exact"/>
              <w:jc w:val="center"/>
              <w:rPr>
                <w:rFonts w:hint="eastAsia" w:ascii="宋体" w:hAnsi="宋体" w:eastAsia="宋体" w:cs="宋体"/>
                <w:bCs/>
                <w:sz w:val="24"/>
                <w:szCs w:val="24"/>
              </w:rPr>
            </w:pPr>
          </w:p>
        </w:tc>
        <w:tc>
          <w:tcPr>
            <w:tcW w:w="2421" w:type="dxa"/>
            <w:vAlign w:val="center"/>
          </w:tcPr>
          <w:p>
            <w:pPr>
              <w:spacing w:line="560" w:lineRule="exact"/>
              <w:jc w:val="center"/>
              <w:rPr>
                <w:rFonts w:hint="eastAsia" w:ascii="宋体" w:hAnsi="宋体" w:eastAsia="宋体" w:cs="宋体"/>
                <w:bCs/>
                <w:sz w:val="24"/>
                <w:szCs w:val="24"/>
              </w:rPr>
            </w:pPr>
          </w:p>
        </w:tc>
        <w:tc>
          <w:tcPr>
            <w:tcW w:w="985" w:type="dxa"/>
            <w:vAlign w:val="center"/>
          </w:tcPr>
          <w:p>
            <w:pPr>
              <w:spacing w:line="560" w:lineRule="exact"/>
              <w:jc w:val="center"/>
              <w:rPr>
                <w:rFonts w:hint="eastAsia" w:ascii="宋体" w:hAnsi="宋体" w:eastAsia="宋体" w:cs="宋体"/>
                <w:bCs/>
                <w:sz w:val="24"/>
                <w:szCs w:val="24"/>
              </w:rPr>
            </w:pPr>
          </w:p>
        </w:tc>
        <w:tc>
          <w:tcPr>
            <w:tcW w:w="985" w:type="dxa"/>
            <w:vAlign w:val="center"/>
          </w:tcPr>
          <w:p>
            <w:pPr>
              <w:spacing w:line="560" w:lineRule="exact"/>
              <w:jc w:val="center"/>
              <w:rPr>
                <w:rFonts w:hint="eastAsia" w:ascii="宋体" w:hAnsi="宋体" w:eastAsia="宋体" w:cs="宋体"/>
                <w:bCs/>
                <w:sz w:val="24"/>
                <w:szCs w:val="24"/>
              </w:rPr>
            </w:pPr>
          </w:p>
        </w:tc>
        <w:tc>
          <w:tcPr>
            <w:tcW w:w="1577" w:type="dxa"/>
            <w:vAlign w:val="center"/>
          </w:tcPr>
          <w:p>
            <w:pPr>
              <w:spacing w:line="560" w:lineRule="exact"/>
              <w:jc w:val="center"/>
              <w:rPr>
                <w:rFonts w:hint="eastAsia" w:ascii="宋体" w:hAnsi="宋体" w:eastAsia="宋体" w:cs="宋体"/>
                <w:bCs/>
                <w:sz w:val="24"/>
                <w:szCs w:val="24"/>
              </w:rPr>
            </w:pPr>
          </w:p>
        </w:tc>
        <w:tc>
          <w:tcPr>
            <w:tcW w:w="1853" w:type="dxa"/>
            <w:vMerge w:val="continue"/>
            <w:vAlign w:val="top"/>
          </w:tcPr>
          <w:p>
            <w:pPr>
              <w:spacing w:line="560" w:lineRule="exact"/>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1103"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8</w:t>
            </w:r>
          </w:p>
        </w:tc>
        <w:tc>
          <w:tcPr>
            <w:tcW w:w="930" w:type="dxa"/>
            <w:vAlign w:val="center"/>
          </w:tcPr>
          <w:p>
            <w:pPr>
              <w:spacing w:line="560" w:lineRule="exact"/>
              <w:jc w:val="center"/>
              <w:rPr>
                <w:rFonts w:hint="eastAsia" w:ascii="宋体" w:hAnsi="宋体" w:eastAsia="宋体" w:cs="宋体"/>
                <w:bCs/>
                <w:sz w:val="24"/>
                <w:szCs w:val="24"/>
              </w:rPr>
            </w:pPr>
          </w:p>
        </w:tc>
        <w:tc>
          <w:tcPr>
            <w:tcW w:w="2421" w:type="dxa"/>
            <w:vAlign w:val="center"/>
          </w:tcPr>
          <w:p>
            <w:pPr>
              <w:spacing w:line="560" w:lineRule="exact"/>
              <w:jc w:val="center"/>
              <w:rPr>
                <w:rFonts w:hint="eastAsia" w:ascii="宋体" w:hAnsi="宋体" w:eastAsia="宋体" w:cs="宋体"/>
                <w:bCs/>
                <w:sz w:val="24"/>
                <w:szCs w:val="24"/>
              </w:rPr>
            </w:pPr>
          </w:p>
        </w:tc>
        <w:tc>
          <w:tcPr>
            <w:tcW w:w="985" w:type="dxa"/>
            <w:vAlign w:val="center"/>
          </w:tcPr>
          <w:p>
            <w:pPr>
              <w:spacing w:line="560" w:lineRule="exact"/>
              <w:jc w:val="center"/>
              <w:rPr>
                <w:rFonts w:hint="eastAsia" w:ascii="宋体" w:hAnsi="宋体" w:eastAsia="宋体" w:cs="宋体"/>
                <w:bCs/>
                <w:sz w:val="24"/>
                <w:szCs w:val="24"/>
              </w:rPr>
            </w:pPr>
          </w:p>
        </w:tc>
        <w:tc>
          <w:tcPr>
            <w:tcW w:w="985" w:type="dxa"/>
            <w:vAlign w:val="center"/>
          </w:tcPr>
          <w:p>
            <w:pPr>
              <w:spacing w:line="560" w:lineRule="exact"/>
              <w:jc w:val="center"/>
              <w:rPr>
                <w:rFonts w:hint="eastAsia" w:ascii="宋体" w:hAnsi="宋体" w:eastAsia="宋体" w:cs="宋体"/>
                <w:bCs/>
                <w:sz w:val="24"/>
                <w:szCs w:val="24"/>
              </w:rPr>
            </w:pPr>
          </w:p>
        </w:tc>
        <w:tc>
          <w:tcPr>
            <w:tcW w:w="1577" w:type="dxa"/>
            <w:vAlign w:val="center"/>
          </w:tcPr>
          <w:p>
            <w:pPr>
              <w:spacing w:line="560" w:lineRule="exact"/>
              <w:jc w:val="center"/>
              <w:rPr>
                <w:rFonts w:hint="eastAsia" w:ascii="宋体" w:hAnsi="宋体" w:eastAsia="宋体" w:cs="宋体"/>
                <w:bCs/>
                <w:sz w:val="24"/>
                <w:szCs w:val="24"/>
              </w:rPr>
            </w:pPr>
          </w:p>
        </w:tc>
        <w:tc>
          <w:tcPr>
            <w:tcW w:w="1853" w:type="dxa"/>
            <w:vMerge w:val="continue"/>
            <w:vAlign w:val="top"/>
          </w:tcPr>
          <w:p>
            <w:pPr>
              <w:spacing w:line="560" w:lineRule="exact"/>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1103"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w:t>
            </w:r>
          </w:p>
        </w:tc>
        <w:tc>
          <w:tcPr>
            <w:tcW w:w="930" w:type="dxa"/>
            <w:vAlign w:val="center"/>
          </w:tcPr>
          <w:p>
            <w:pPr>
              <w:spacing w:line="560" w:lineRule="exact"/>
              <w:jc w:val="center"/>
              <w:rPr>
                <w:rFonts w:hint="eastAsia" w:ascii="宋体" w:hAnsi="宋体" w:eastAsia="宋体" w:cs="宋体"/>
                <w:bCs/>
                <w:sz w:val="24"/>
                <w:szCs w:val="24"/>
              </w:rPr>
            </w:pPr>
          </w:p>
        </w:tc>
        <w:tc>
          <w:tcPr>
            <w:tcW w:w="2421" w:type="dxa"/>
            <w:vAlign w:val="center"/>
          </w:tcPr>
          <w:p>
            <w:pPr>
              <w:spacing w:line="560" w:lineRule="exact"/>
              <w:jc w:val="center"/>
              <w:rPr>
                <w:rFonts w:hint="eastAsia" w:ascii="宋体" w:hAnsi="宋体" w:eastAsia="宋体" w:cs="宋体"/>
                <w:bCs/>
                <w:sz w:val="24"/>
                <w:szCs w:val="24"/>
              </w:rPr>
            </w:pPr>
          </w:p>
        </w:tc>
        <w:tc>
          <w:tcPr>
            <w:tcW w:w="985" w:type="dxa"/>
            <w:vAlign w:val="center"/>
          </w:tcPr>
          <w:p>
            <w:pPr>
              <w:spacing w:line="560" w:lineRule="exact"/>
              <w:jc w:val="center"/>
              <w:rPr>
                <w:rFonts w:hint="eastAsia" w:ascii="宋体" w:hAnsi="宋体" w:eastAsia="宋体" w:cs="宋体"/>
                <w:bCs/>
                <w:sz w:val="24"/>
                <w:szCs w:val="24"/>
              </w:rPr>
            </w:pPr>
          </w:p>
        </w:tc>
        <w:tc>
          <w:tcPr>
            <w:tcW w:w="985" w:type="dxa"/>
            <w:vAlign w:val="center"/>
          </w:tcPr>
          <w:p>
            <w:pPr>
              <w:spacing w:line="560" w:lineRule="exact"/>
              <w:jc w:val="center"/>
              <w:rPr>
                <w:rFonts w:hint="eastAsia" w:ascii="宋体" w:hAnsi="宋体" w:eastAsia="宋体" w:cs="宋体"/>
                <w:bCs/>
                <w:sz w:val="24"/>
                <w:szCs w:val="24"/>
              </w:rPr>
            </w:pPr>
          </w:p>
        </w:tc>
        <w:tc>
          <w:tcPr>
            <w:tcW w:w="1577" w:type="dxa"/>
            <w:vAlign w:val="center"/>
          </w:tcPr>
          <w:p>
            <w:pPr>
              <w:spacing w:line="560" w:lineRule="exact"/>
              <w:jc w:val="center"/>
              <w:rPr>
                <w:rFonts w:hint="eastAsia" w:ascii="宋体" w:hAnsi="宋体" w:eastAsia="宋体" w:cs="宋体"/>
                <w:bCs/>
                <w:sz w:val="24"/>
                <w:szCs w:val="24"/>
              </w:rPr>
            </w:pPr>
          </w:p>
        </w:tc>
        <w:tc>
          <w:tcPr>
            <w:tcW w:w="1853" w:type="dxa"/>
            <w:vMerge w:val="continue"/>
            <w:vAlign w:val="top"/>
          </w:tcPr>
          <w:p>
            <w:pPr>
              <w:spacing w:line="560" w:lineRule="exact"/>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103" w:type="dxa"/>
            <w:vAlign w:val="center"/>
          </w:tcPr>
          <w:p>
            <w:pPr>
              <w:spacing w:line="560" w:lineRule="exact"/>
              <w:jc w:val="center"/>
              <w:rPr>
                <w:rFonts w:hint="eastAsia" w:ascii="宋体" w:hAnsi="宋体" w:eastAsia="宋体" w:cs="宋体"/>
                <w:bCs/>
                <w:sz w:val="24"/>
                <w:szCs w:val="24"/>
              </w:rPr>
            </w:pPr>
          </w:p>
        </w:tc>
        <w:tc>
          <w:tcPr>
            <w:tcW w:w="3351" w:type="dxa"/>
            <w:gridSpan w:val="2"/>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合计</w:t>
            </w:r>
          </w:p>
        </w:tc>
        <w:tc>
          <w:tcPr>
            <w:tcW w:w="3547" w:type="dxa"/>
            <w:gridSpan w:val="3"/>
            <w:vAlign w:val="center"/>
          </w:tcPr>
          <w:p>
            <w:pPr>
              <w:spacing w:line="560" w:lineRule="exact"/>
              <w:jc w:val="center"/>
              <w:rPr>
                <w:rFonts w:hint="eastAsia" w:ascii="宋体" w:hAnsi="宋体" w:eastAsia="宋体" w:cs="宋体"/>
                <w:bCs/>
                <w:sz w:val="24"/>
                <w:szCs w:val="24"/>
              </w:rPr>
            </w:pPr>
          </w:p>
        </w:tc>
        <w:tc>
          <w:tcPr>
            <w:tcW w:w="1853" w:type="dxa"/>
            <w:vMerge w:val="continue"/>
            <w:vAlign w:val="top"/>
          </w:tcPr>
          <w:p>
            <w:pPr>
              <w:spacing w:line="560" w:lineRule="exact"/>
              <w:jc w:val="center"/>
              <w:rPr>
                <w:rFonts w:hint="eastAsia" w:ascii="宋体" w:hAnsi="宋体" w:eastAsia="宋体" w:cs="宋体"/>
                <w:bCs/>
                <w:sz w:val="24"/>
                <w:szCs w:val="24"/>
              </w:rPr>
            </w:pPr>
          </w:p>
        </w:tc>
      </w:tr>
    </w:tbl>
    <w:p>
      <w:pPr>
        <w:pStyle w:val="2"/>
        <w:outlineLvl w:val="9"/>
        <w:rPr>
          <w:rFonts w:asciiTheme="minorEastAsia" w:hAnsiTheme="minorEastAsia" w:eastAsiaTheme="minorEastAsia" w:cstheme="minorEastAsia"/>
          <w:sz w:val="24"/>
          <w:szCs w:val="24"/>
        </w:rPr>
      </w:pPr>
    </w:p>
    <w:p>
      <w:pPr>
        <w:spacing w:line="560" w:lineRule="exact"/>
        <w:ind w:firstLine="3360" w:firstLineChars="1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服务商：</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（盖章）</w:t>
      </w:r>
    </w:p>
    <w:p>
      <w:pPr>
        <w:pStyle w:val="25"/>
        <w:ind w:firstLine="210"/>
        <w:rPr>
          <w:lang w:eastAsia="zh-CN"/>
        </w:rPr>
      </w:pPr>
    </w:p>
    <w:p>
      <w:pPr>
        <w:pStyle w:val="25"/>
        <w:ind w:firstLine="3360" w:firstLineChars="1400"/>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法定代表人或其授权代表(签字或盖章)：____________</w:t>
      </w:r>
    </w:p>
    <w:p>
      <w:pPr>
        <w:spacing w:line="560" w:lineRule="exact"/>
        <w:ind w:firstLine="5040" w:firstLineChars="2100"/>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24"/>
        </w:rPr>
        <w:t>年     月     日</w:t>
      </w:r>
    </w:p>
    <w:p>
      <w:pPr>
        <w:pStyle w:val="7"/>
        <w:ind w:firstLine="0"/>
        <w:rPr>
          <w:rFonts w:asciiTheme="minorEastAsia" w:hAnsiTheme="minorEastAsia" w:eastAsiaTheme="minorEastAsia" w:cstheme="minorEastAsia"/>
          <w:sz w:val="32"/>
          <w:szCs w:val="32"/>
          <w:u w:val="single"/>
        </w:rPr>
      </w:pPr>
    </w:p>
    <w:p>
      <w:pPr>
        <w:pStyle w:val="7"/>
        <w:ind w:firstLine="0"/>
        <w:rPr>
          <w:rFonts w:asciiTheme="minorEastAsia" w:hAnsiTheme="minorEastAsia" w:eastAsiaTheme="minorEastAsia" w:cstheme="minorEastAsia"/>
          <w:sz w:val="32"/>
          <w:szCs w:val="32"/>
          <w:u w:val="single"/>
        </w:rPr>
      </w:pPr>
    </w:p>
    <w:p>
      <w:pPr>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br w:type="page"/>
      </w:r>
    </w:p>
    <w:p>
      <w:pPr>
        <w:pStyle w:val="4"/>
        <w:bidi w:val="0"/>
        <w:outlineLvl w:val="0"/>
        <w:rPr>
          <w:u w:val="none"/>
        </w:rPr>
      </w:pPr>
      <w:bookmarkStart w:id="375" w:name="_Toc31214"/>
      <w:r>
        <w:rPr>
          <w:rFonts w:hint="eastAsia"/>
          <w:u w:val="none"/>
        </w:rPr>
        <w:t>四、采购需求响应表（可根据实际情况修改）</w:t>
      </w:r>
      <w:bookmarkEnd w:id="375"/>
    </w:p>
    <w:p>
      <w:pPr>
        <w:pStyle w:val="7"/>
        <w:numPr>
          <w:ilvl w:val="0"/>
          <w:numId w:val="0"/>
        </w:numPr>
        <w:ind w:leftChars="0"/>
        <w:jc w:val="both"/>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 xml:space="preserve"> </w:t>
      </w:r>
    </w:p>
    <w:tbl>
      <w:tblPr>
        <w:tblStyle w:val="27"/>
        <w:tblW w:w="985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17"/>
        <w:gridCol w:w="3853"/>
        <w:gridCol w:w="3041"/>
        <w:gridCol w:w="101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vMerge w:val="restart"/>
            <w:vAlign w:val="center"/>
          </w:tcPr>
          <w:p>
            <w:pPr>
              <w:spacing w:line="56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序号</w:t>
            </w:r>
          </w:p>
        </w:tc>
        <w:tc>
          <w:tcPr>
            <w:tcW w:w="1217" w:type="dxa"/>
            <w:vMerge w:val="restart"/>
            <w:vAlign w:val="center"/>
          </w:tcPr>
          <w:p>
            <w:pPr>
              <w:spacing w:line="56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服务</w:t>
            </w:r>
          </w:p>
          <w:p>
            <w:pPr>
              <w:spacing w:line="56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名称</w:t>
            </w:r>
          </w:p>
        </w:tc>
        <w:tc>
          <w:tcPr>
            <w:tcW w:w="3853" w:type="dxa"/>
            <w:vAlign w:val="center"/>
          </w:tcPr>
          <w:p>
            <w:pPr>
              <w:spacing w:line="56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磋商文件规定</w:t>
            </w:r>
          </w:p>
        </w:tc>
        <w:tc>
          <w:tcPr>
            <w:tcW w:w="3041" w:type="dxa"/>
            <w:vAlign w:val="center"/>
          </w:tcPr>
          <w:p>
            <w:pPr>
              <w:spacing w:line="56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响应文件响应情况</w:t>
            </w:r>
          </w:p>
        </w:tc>
        <w:tc>
          <w:tcPr>
            <w:tcW w:w="1013" w:type="dxa"/>
            <w:vMerge w:val="restart"/>
            <w:vAlign w:val="center"/>
          </w:tcPr>
          <w:p>
            <w:pPr>
              <w:spacing w:line="56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偏离</w:t>
            </w:r>
          </w:p>
          <w:p>
            <w:pPr>
              <w:spacing w:line="56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vMerge w:val="continue"/>
            <w:vAlign w:val="center"/>
          </w:tcPr>
          <w:p>
            <w:pPr>
              <w:spacing w:line="560" w:lineRule="exact"/>
              <w:jc w:val="center"/>
              <w:rPr>
                <w:rFonts w:asciiTheme="minorEastAsia" w:hAnsiTheme="minorEastAsia" w:eastAsiaTheme="minorEastAsia" w:cstheme="minorEastAsia"/>
                <w:bCs/>
                <w:sz w:val="24"/>
              </w:rPr>
            </w:pPr>
          </w:p>
        </w:tc>
        <w:tc>
          <w:tcPr>
            <w:tcW w:w="1217" w:type="dxa"/>
            <w:vMerge w:val="continue"/>
            <w:vAlign w:val="center"/>
          </w:tcPr>
          <w:p>
            <w:pPr>
              <w:spacing w:line="560" w:lineRule="exact"/>
              <w:jc w:val="center"/>
              <w:rPr>
                <w:rFonts w:asciiTheme="minorEastAsia" w:hAnsiTheme="minorEastAsia" w:eastAsiaTheme="minorEastAsia" w:cstheme="minorEastAsia"/>
                <w:bCs/>
                <w:sz w:val="24"/>
              </w:rPr>
            </w:pPr>
          </w:p>
        </w:tc>
        <w:tc>
          <w:tcPr>
            <w:tcW w:w="3853" w:type="dxa"/>
            <w:vAlign w:val="center"/>
          </w:tcPr>
          <w:p>
            <w:pPr>
              <w:spacing w:line="560" w:lineRule="exact"/>
              <w:jc w:val="center"/>
              <w:rPr>
                <w:rFonts w:asciiTheme="minorEastAsia" w:hAnsiTheme="minorEastAsia" w:eastAsiaTheme="minorEastAsia" w:cstheme="minorEastAsia"/>
                <w:bCs/>
                <w:spacing w:val="-6"/>
                <w:sz w:val="24"/>
              </w:rPr>
            </w:pPr>
            <w:r>
              <w:rPr>
                <w:rFonts w:hint="eastAsia" w:ascii="宋体" w:hAnsi="宋体" w:cs="宋体"/>
                <w:bCs/>
                <w:sz w:val="24"/>
              </w:rPr>
              <w:t>技术参数</w:t>
            </w:r>
          </w:p>
        </w:tc>
        <w:tc>
          <w:tcPr>
            <w:tcW w:w="3041" w:type="dxa"/>
            <w:vAlign w:val="center"/>
          </w:tcPr>
          <w:p>
            <w:pPr>
              <w:spacing w:line="560" w:lineRule="exact"/>
              <w:jc w:val="center"/>
              <w:rPr>
                <w:rFonts w:asciiTheme="minorEastAsia" w:hAnsiTheme="minorEastAsia" w:eastAsiaTheme="minorEastAsia" w:cstheme="minorEastAsia"/>
                <w:bCs/>
                <w:sz w:val="24"/>
              </w:rPr>
            </w:pPr>
            <w:r>
              <w:rPr>
                <w:rFonts w:hint="eastAsia" w:ascii="宋体" w:hAnsi="宋体" w:cs="宋体"/>
                <w:bCs/>
                <w:sz w:val="24"/>
              </w:rPr>
              <w:t>技术参数</w:t>
            </w:r>
          </w:p>
        </w:tc>
        <w:tc>
          <w:tcPr>
            <w:tcW w:w="1013" w:type="dxa"/>
            <w:vMerge w:val="continue"/>
            <w:vAlign w:val="center"/>
          </w:tcPr>
          <w:p>
            <w:pPr>
              <w:spacing w:line="560" w:lineRule="exact"/>
              <w:jc w:val="center"/>
              <w:rPr>
                <w:rFonts w:asciiTheme="minorEastAsia" w:hAnsiTheme="minorEastAsia" w:eastAsiaTheme="minorEastAsia" w:cstheme="minorEastAsia"/>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p>
        </w:tc>
        <w:tc>
          <w:tcPr>
            <w:tcW w:w="1217" w:type="dxa"/>
            <w:vAlign w:val="center"/>
          </w:tcPr>
          <w:p>
            <w:pPr>
              <w:spacing w:line="560" w:lineRule="exact"/>
              <w:jc w:val="center"/>
              <w:rPr>
                <w:rFonts w:asciiTheme="minorEastAsia" w:hAnsiTheme="minorEastAsia" w:eastAsiaTheme="minorEastAsia" w:cstheme="minorEastAsia"/>
                <w:bCs/>
                <w:sz w:val="24"/>
              </w:rPr>
            </w:pPr>
          </w:p>
        </w:tc>
        <w:tc>
          <w:tcPr>
            <w:tcW w:w="3853" w:type="dxa"/>
            <w:vAlign w:val="center"/>
          </w:tcPr>
          <w:p>
            <w:pPr>
              <w:spacing w:line="560" w:lineRule="exact"/>
              <w:jc w:val="center"/>
              <w:rPr>
                <w:rFonts w:asciiTheme="minorEastAsia" w:hAnsiTheme="minorEastAsia" w:eastAsiaTheme="minorEastAsia" w:cstheme="minorEastAsia"/>
                <w:bCs/>
                <w:sz w:val="24"/>
              </w:rPr>
            </w:pPr>
          </w:p>
        </w:tc>
        <w:tc>
          <w:tcPr>
            <w:tcW w:w="3041" w:type="dxa"/>
            <w:vAlign w:val="center"/>
          </w:tcPr>
          <w:p>
            <w:pPr>
              <w:spacing w:line="560" w:lineRule="exact"/>
              <w:jc w:val="center"/>
              <w:rPr>
                <w:rFonts w:asciiTheme="minorEastAsia" w:hAnsiTheme="minorEastAsia" w:eastAsiaTheme="minorEastAsia" w:cstheme="minorEastAsia"/>
                <w:bCs/>
                <w:sz w:val="24"/>
              </w:rPr>
            </w:pPr>
          </w:p>
        </w:tc>
        <w:tc>
          <w:tcPr>
            <w:tcW w:w="1013" w:type="dxa"/>
            <w:vAlign w:val="center"/>
          </w:tcPr>
          <w:p>
            <w:pPr>
              <w:spacing w:line="560" w:lineRule="exact"/>
              <w:jc w:val="center"/>
              <w:rPr>
                <w:rFonts w:asciiTheme="minorEastAsia" w:hAnsiTheme="minorEastAsia" w:eastAsiaTheme="minorEastAsia" w:cstheme="minorEastAsia"/>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w:t>
            </w:r>
          </w:p>
        </w:tc>
        <w:tc>
          <w:tcPr>
            <w:tcW w:w="1217" w:type="dxa"/>
            <w:vAlign w:val="center"/>
          </w:tcPr>
          <w:p>
            <w:pPr>
              <w:spacing w:line="560" w:lineRule="exact"/>
              <w:jc w:val="center"/>
              <w:rPr>
                <w:rFonts w:asciiTheme="minorEastAsia" w:hAnsiTheme="minorEastAsia" w:eastAsiaTheme="minorEastAsia" w:cstheme="minorEastAsia"/>
                <w:bCs/>
                <w:sz w:val="24"/>
              </w:rPr>
            </w:pPr>
          </w:p>
        </w:tc>
        <w:tc>
          <w:tcPr>
            <w:tcW w:w="3853" w:type="dxa"/>
            <w:vAlign w:val="center"/>
          </w:tcPr>
          <w:p>
            <w:pPr>
              <w:spacing w:line="560" w:lineRule="exact"/>
              <w:jc w:val="center"/>
              <w:rPr>
                <w:rFonts w:asciiTheme="minorEastAsia" w:hAnsiTheme="minorEastAsia" w:eastAsiaTheme="minorEastAsia" w:cstheme="minorEastAsia"/>
                <w:bCs/>
                <w:sz w:val="24"/>
              </w:rPr>
            </w:pPr>
          </w:p>
        </w:tc>
        <w:tc>
          <w:tcPr>
            <w:tcW w:w="3041" w:type="dxa"/>
            <w:vAlign w:val="center"/>
          </w:tcPr>
          <w:p>
            <w:pPr>
              <w:spacing w:line="560" w:lineRule="exact"/>
              <w:jc w:val="center"/>
              <w:rPr>
                <w:rFonts w:asciiTheme="minorEastAsia" w:hAnsiTheme="minorEastAsia" w:eastAsiaTheme="minorEastAsia" w:cstheme="minorEastAsia"/>
                <w:bCs/>
                <w:sz w:val="24"/>
              </w:rPr>
            </w:pPr>
          </w:p>
        </w:tc>
        <w:tc>
          <w:tcPr>
            <w:tcW w:w="1013" w:type="dxa"/>
            <w:vAlign w:val="center"/>
          </w:tcPr>
          <w:p>
            <w:pPr>
              <w:spacing w:line="560" w:lineRule="exact"/>
              <w:jc w:val="center"/>
              <w:rPr>
                <w:rFonts w:asciiTheme="minorEastAsia" w:hAnsiTheme="minorEastAsia" w:eastAsiaTheme="minorEastAsia" w:cstheme="minorEastAsia"/>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w:t>
            </w:r>
          </w:p>
        </w:tc>
        <w:tc>
          <w:tcPr>
            <w:tcW w:w="1217" w:type="dxa"/>
            <w:vAlign w:val="center"/>
          </w:tcPr>
          <w:p>
            <w:pPr>
              <w:spacing w:line="560" w:lineRule="exact"/>
              <w:jc w:val="center"/>
              <w:rPr>
                <w:rFonts w:asciiTheme="minorEastAsia" w:hAnsiTheme="minorEastAsia" w:eastAsiaTheme="minorEastAsia" w:cstheme="minorEastAsia"/>
                <w:bCs/>
                <w:sz w:val="24"/>
              </w:rPr>
            </w:pPr>
          </w:p>
        </w:tc>
        <w:tc>
          <w:tcPr>
            <w:tcW w:w="3853" w:type="dxa"/>
            <w:vAlign w:val="center"/>
          </w:tcPr>
          <w:p>
            <w:pPr>
              <w:spacing w:line="560" w:lineRule="exact"/>
              <w:jc w:val="center"/>
              <w:rPr>
                <w:rFonts w:asciiTheme="minorEastAsia" w:hAnsiTheme="minorEastAsia" w:eastAsiaTheme="minorEastAsia" w:cstheme="minorEastAsia"/>
                <w:bCs/>
                <w:sz w:val="24"/>
              </w:rPr>
            </w:pPr>
          </w:p>
        </w:tc>
        <w:tc>
          <w:tcPr>
            <w:tcW w:w="3041" w:type="dxa"/>
            <w:vAlign w:val="center"/>
          </w:tcPr>
          <w:p>
            <w:pPr>
              <w:spacing w:line="560" w:lineRule="exact"/>
              <w:jc w:val="center"/>
              <w:rPr>
                <w:rFonts w:asciiTheme="minorEastAsia" w:hAnsiTheme="minorEastAsia" w:eastAsiaTheme="minorEastAsia" w:cstheme="minorEastAsia"/>
                <w:bCs/>
                <w:sz w:val="24"/>
              </w:rPr>
            </w:pPr>
          </w:p>
        </w:tc>
        <w:tc>
          <w:tcPr>
            <w:tcW w:w="1013" w:type="dxa"/>
            <w:vAlign w:val="center"/>
          </w:tcPr>
          <w:p>
            <w:pPr>
              <w:spacing w:line="560" w:lineRule="exact"/>
              <w:jc w:val="center"/>
              <w:rPr>
                <w:rFonts w:asciiTheme="minorEastAsia" w:hAnsiTheme="minorEastAsia" w:eastAsiaTheme="minorEastAsia" w:cstheme="minorEastAsia"/>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w:t>
            </w:r>
          </w:p>
        </w:tc>
        <w:tc>
          <w:tcPr>
            <w:tcW w:w="1217" w:type="dxa"/>
            <w:vAlign w:val="center"/>
          </w:tcPr>
          <w:p>
            <w:pPr>
              <w:spacing w:line="560" w:lineRule="exact"/>
              <w:jc w:val="center"/>
              <w:rPr>
                <w:rFonts w:asciiTheme="minorEastAsia" w:hAnsiTheme="minorEastAsia" w:eastAsiaTheme="minorEastAsia" w:cstheme="minorEastAsia"/>
                <w:bCs/>
                <w:sz w:val="24"/>
              </w:rPr>
            </w:pPr>
          </w:p>
        </w:tc>
        <w:tc>
          <w:tcPr>
            <w:tcW w:w="3853" w:type="dxa"/>
            <w:vAlign w:val="center"/>
          </w:tcPr>
          <w:p>
            <w:pPr>
              <w:spacing w:line="560" w:lineRule="exact"/>
              <w:jc w:val="center"/>
              <w:rPr>
                <w:rFonts w:asciiTheme="minorEastAsia" w:hAnsiTheme="minorEastAsia" w:eastAsiaTheme="minorEastAsia" w:cstheme="minorEastAsia"/>
                <w:bCs/>
                <w:sz w:val="24"/>
              </w:rPr>
            </w:pPr>
          </w:p>
        </w:tc>
        <w:tc>
          <w:tcPr>
            <w:tcW w:w="3041" w:type="dxa"/>
            <w:vAlign w:val="center"/>
          </w:tcPr>
          <w:p>
            <w:pPr>
              <w:spacing w:line="560" w:lineRule="exact"/>
              <w:jc w:val="center"/>
              <w:rPr>
                <w:rFonts w:asciiTheme="minorEastAsia" w:hAnsiTheme="minorEastAsia" w:eastAsiaTheme="minorEastAsia" w:cstheme="minorEastAsia"/>
                <w:bCs/>
                <w:sz w:val="24"/>
              </w:rPr>
            </w:pPr>
          </w:p>
        </w:tc>
        <w:tc>
          <w:tcPr>
            <w:tcW w:w="1013" w:type="dxa"/>
            <w:vAlign w:val="center"/>
          </w:tcPr>
          <w:p>
            <w:pPr>
              <w:spacing w:line="560" w:lineRule="exact"/>
              <w:jc w:val="center"/>
              <w:rPr>
                <w:rFonts w:asciiTheme="minorEastAsia" w:hAnsiTheme="minorEastAsia" w:eastAsiaTheme="minorEastAsia" w:cstheme="minorEastAsia"/>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w:t>
            </w:r>
          </w:p>
        </w:tc>
        <w:tc>
          <w:tcPr>
            <w:tcW w:w="1217" w:type="dxa"/>
            <w:vAlign w:val="center"/>
          </w:tcPr>
          <w:p>
            <w:pPr>
              <w:spacing w:line="560" w:lineRule="exact"/>
              <w:jc w:val="center"/>
              <w:rPr>
                <w:rFonts w:asciiTheme="minorEastAsia" w:hAnsiTheme="minorEastAsia" w:eastAsiaTheme="minorEastAsia" w:cstheme="minorEastAsia"/>
                <w:bCs/>
                <w:sz w:val="24"/>
              </w:rPr>
            </w:pPr>
          </w:p>
        </w:tc>
        <w:tc>
          <w:tcPr>
            <w:tcW w:w="3853" w:type="dxa"/>
            <w:vAlign w:val="center"/>
          </w:tcPr>
          <w:p>
            <w:pPr>
              <w:spacing w:line="560" w:lineRule="exact"/>
              <w:jc w:val="center"/>
              <w:rPr>
                <w:rFonts w:asciiTheme="minorEastAsia" w:hAnsiTheme="minorEastAsia" w:eastAsiaTheme="minorEastAsia" w:cstheme="minorEastAsia"/>
                <w:bCs/>
                <w:sz w:val="24"/>
              </w:rPr>
            </w:pPr>
          </w:p>
        </w:tc>
        <w:tc>
          <w:tcPr>
            <w:tcW w:w="3041" w:type="dxa"/>
            <w:vAlign w:val="center"/>
          </w:tcPr>
          <w:p>
            <w:pPr>
              <w:spacing w:line="560" w:lineRule="exact"/>
              <w:jc w:val="center"/>
              <w:rPr>
                <w:rFonts w:asciiTheme="minorEastAsia" w:hAnsiTheme="minorEastAsia" w:eastAsiaTheme="minorEastAsia" w:cstheme="minorEastAsia"/>
                <w:bCs/>
                <w:sz w:val="24"/>
              </w:rPr>
            </w:pPr>
          </w:p>
        </w:tc>
        <w:tc>
          <w:tcPr>
            <w:tcW w:w="1013" w:type="dxa"/>
            <w:vAlign w:val="center"/>
          </w:tcPr>
          <w:p>
            <w:pPr>
              <w:spacing w:line="560" w:lineRule="exact"/>
              <w:jc w:val="center"/>
              <w:rPr>
                <w:rFonts w:asciiTheme="minorEastAsia" w:hAnsiTheme="minorEastAsia" w:eastAsiaTheme="minorEastAsia" w:cstheme="minorEastAsia"/>
                <w:bCs/>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tcBorders>
              <w:bottom w:val="double" w:color="auto" w:sz="4" w:space="0"/>
            </w:tcBorders>
            <w:vAlign w:val="center"/>
          </w:tcPr>
          <w:p>
            <w:pPr>
              <w:spacing w:line="56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w:t>
            </w:r>
          </w:p>
        </w:tc>
        <w:tc>
          <w:tcPr>
            <w:tcW w:w="1217" w:type="dxa"/>
            <w:tcBorders>
              <w:bottom w:val="double" w:color="auto" w:sz="4" w:space="0"/>
            </w:tcBorders>
            <w:vAlign w:val="center"/>
          </w:tcPr>
          <w:p>
            <w:pPr>
              <w:spacing w:line="560" w:lineRule="exact"/>
              <w:jc w:val="center"/>
              <w:rPr>
                <w:rFonts w:asciiTheme="minorEastAsia" w:hAnsiTheme="minorEastAsia" w:eastAsiaTheme="minorEastAsia" w:cstheme="minorEastAsia"/>
                <w:bCs/>
                <w:sz w:val="24"/>
              </w:rPr>
            </w:pPr>
          </w:p>
        </w:tc>
        <w:tc>
          <w:tcPr>
            <w:tcW w:w="3853" w:type="dxa"/>
            <w:tcBorders>
              <w:bottom w:val="double" w:color="auto" w:sz="4" w:space="0"/>
            </w:tcBorders>
            <w:vAlign w:val="center"/>
          </w:tcPr>
          <w:p>
            <w:pPr>
              <w:spacing w:line="560" w:lineRule="exact"/>
              <w:jc w:val="center"/>
              <w:rPr>
                <w:rFonts w:asciiTheme="minorEastAsia" w:hAnsiTheme="minorEastAsia" w:eastAsiaTheme="minorEastAsia" w:cstheme="minorEastAsia"/>
                <w:bCs/>
                <w:sz w:val="24"/>
              </w:rPr>
            </w:pPr>
          </w:p>
        </w:tc>
        <w:tc>
          <w:tcPr>
            <w:tcW w:w="3041" w:type="dxa"/>
            <w:tcBorders>
              <w:bottom w:val="double" w:color="auto" w:sz="4" w:space="0"/>
            </w:tcBorders>
            <w:vAlign w:val="center"/>
          </w:tcPr>
          <w:p>
            <w:pPr>
              <w:spacing w:line="560" w:lineRule="exact"/>
              <w:jc w:val="center"/>
              <w:rPr>
                <w:rFonts w:asciiTheme="minorEastAsia" w:hAnsiTheme="minorEastAsia" w:eastAsiaTheme="minorEastAsia" w:cstheme="minorEastAsia"/>
                <w:bCs/>
                <w:sz w:val="24"/>
              </w:rPr>
            </w:pPr>
          </w:p>
        </w:tc>
        <w:tc>
          <w:tcPr>
            <w:tcW w:w="1013" w:type="dxa"/>
            <w:tcBorders>
              <w:bottom w:val="double" w:color="auto" w:sz="4" w:space="0"/>
            </w:tcBorders>
            <w:vAlign w:val="center"/>
          </w:tcPr>
          <w:p>
            <w:pPr>
              <w:spacing w:line="560" w:lineRule="exact"/>
              <w:jc w:val="center"/>
              <w:rPr>
                <w:rFonts w:asciiTheme="minorEastAsia" w:hAnsiTheme="minorEastAsia" w:eastAsiaTheme="minorEastAsia" w:cstheme="minorEastAsia"/>
                <w:bCs/>
                <w:sz w:val="24"/>
              </w:rPr>
            </w:pPr>
          </w:p>
        </w:tc>
      </w:tr>
    </w:tbl>
    <w:p>
      <w:pPr>
        <w:wordWrap w:val="0"/>
        <w:spacing w:line="440" w:lineRule="exact"/>
        <w:jc w:val="right"/>
        <w:rPr>
          <w:rFonts w:ascii="宋体" w:hAnsi="宋体"/>
          <w:sz w:val="24"/>
        </w:rPr>
      </w:pPr>
    </w:p>
    <w:p>
      <w:pPr>
        <w:pStyle w:val="25"/>
        <w:ind w:firstLine="210"/>
        <w:rPr>
          <w:lang w:eastAsia="zh-CN"/>
        </w:rPr>
      </w:pPr>
    </w:p>
    <w:p>
      <w:pPr>
        <w:spacing w:line="560" w:lineRule="exact"/>
        <w:ind w:firstLine="3360" w:firstLineChars="1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服务商：</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（盖章）</w:t>
      </w:r>
    </w:p>
    <w:p>
      <w:pPr>
        <w:pStyle w:val="25"/>
        <w:ind w:firstLine="210"/>
        <w:rPr>
          <w:lang w:eastAsia="zh-CN"/>
        </w:rPr>
      </w:pPr>
    </w:p>
    <w:p>
      <w:pPr>
        <w:pStyle w:val="25"/>
        <w:ind w:firstLine="3360" w:firstLineChars="1400"/>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法定代表人或其授权代表(签字或盖章)：____________</w:t>
      </w:r>
    </w:p>
    <w:p>
      <w:pPr>
        <w:spacing w:line="560" w:lineRule="exact"/>
        <w:ind w:firstLine="5040" w:firstLineChars="2100"/>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24"/>
        </w:rPr>
        <w:t>年     月     日</w:t>
      </w:r>
    </w:p>
    <w:p>
      <w:pPr>
        <w:pStyle w:val="25"/>
        <w:ind w:firstLine="210"/>
        <w:rPr>
          <w:lang w:eastAsia="zh-CN" w:bidi="ar-SA"/>
        </w:rPr>
      </w:pPr>
    </w:p>
    <w:p>
      <w:pPr>
        <w:pStyle w:val="25"/>
        <w:ind w:firstLine="210"/>
        <w:rPr>
          <w:lang w:eastAsia="zh-CN" w:bidi="ar-SA"/>
        </w:rPr>
        <w:sectPr>
          <w:pgSz w:w="11906" w:h="16838"/>
          <w:pgMar w:top="1440" w:right="1077" w:bottom="1440" w:left="1077" w:header="851" w:footer="992" w:gutter="0"/>
          <w:cols w:space="720" w:num="1"/>
          <w:docGrid w:linePitch="312" w:charSpace="0"/>
        </w:sectPr>
      </w:pPr>
    </w:p>
    <w:p>
      <w:pPr>
        <w:pStyle w:val="4"/>
        <w:bidi w:val="0"/>
        <w:outlineLvl w:val="0"/>
        <w:rPr>
          <w:u w:val="none"/>
        </w:rPr>
      </w:pPr>
      <w:bookmarkStart w:id="376" w:name="_Toc3020"/>
      <w:r>
        <w:rPr>
          <w:rFonts w:hint="eastAsia"/>
          <w:u w:val="none"/>
          <w:lang w:val="en-US" w:eastAsia="zh-CN"/>
        </w:rPr>
        <w:t>五</w:t>
      </w:r>
      <w:r>
        <w:rPr>
          <w:rFonts w:hint="eastAsia"/>
          <w:u w:val="none"/>
        </w:rPr>
        <w:t>、采购需求及相关要求响应详情</w:t>
      </w:r>
      <w:bookmarkEnd w:id="376"/>
    </w:p>
    <w:p>
      <w:pPr>
        <w:spacing w:before="120" w:after="120" w:line="560" w:lineRule="exact"/>
        <w:ind w:firstLine="480" w:firstLineChars="20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caps/>
          <w:color w:val="000000"/>
          <w:sz w:val="24"/>
        </w:rPr>
        <w:t>（本部分由服务商根据磋商文件的采购需求和相关要求填写，附详细的方案和相应的承诺等。服务方案（包括但不限于现状分析、报告包含的内容、研究方向、思路、工作程序、研究目标与内容、研究体系与进度计划、 重难点分析与合理化建议等招标文件要求的内容）</w:t>
      </w:r>
    </w:p>
    <w:p>
      <w:pPr>
        <w:tabs>
          <w:tab w:val="left" w:pos="630"/>
        </w:tabs>
        <w:spacing w:line="560" w:lineRule="exact"/>
        <w:rPr>
          <w:rFonts w:asciiTheme="minorEastAsia" w:hAnsiTheme="minorEastAsia" w:eastAsiaTheme="minorEastAsia" w:cstheme="minorEastAsia"/>
          <w:sz w:val="32"/>
          <w:szCs w:val="32"/>
        </w:rPr>
      </w:pPr>
    </w:p>
    <w:p>
      <w:pPr>
        <w:rPr>
          <w:rFonts w:asciiTheme="minorEastAsia" w:hAnsiTheme="minorEastAsia" w:eastAsiaTheme="minorEastAsia" w:cstheme="minorEastAsia"/>
        </w:rPr>
      </w:pPr>
      <w:r>
        <w:rPr>
          <w:rFonts w:hint="eastAsia" w:asciiTheme="minorEastAsia" w:hAnsiTheme="minorEastAsia" w:eastAsiaTheme="minorEastAsia" w:cstheme="minorEastAsia"/>
          <w:b/>
          <w:bCs/>
          <w:sz w:val="32"/>
          <w:szCs w:val="32"/>
        </w:rPr>
        <w:br w:type="page"/>
      </w:r>
    </w:p>
    <w:p>
      <w:pPr>
        <w:pStyle w:val="4"/>
        <w:bidi w:val="0"/>
        <w:outlineLvl w:val="0"/>
        <w:rPr>
          <w:u w:val="none"/>
        </w:rPr>
      </w:pPr>
      <w:bookmarkStart w:id="377" w:name="_Toc12893"/>
      <w:r>
        <w:rPr>
          <w:rFonts w:hint="eastAsia"/>
          <w:u w:val="none"/>
          <w:lang w:val="en-US" w:eastAsia="zh-CN"/>
        </w:rPr>
        <w:t>六</w:t>
      </w:r>
      <w:r>
        <w:rPr>
          <w:rFonts w:hint="eastAsia"/>
          <w:u w:val="none"/>
        </w:rPr>
        <w:t>、资格证明文件</w:t>
      </w:r>
      <w:bookmarkEnd w:id="377"/>
    </w:p>
    <w:p>
      <w:pPr>
        <w:pStyle w:val="5"/>
        <w:bidi w:val="0"/>
        <w:jc w:val="center"/>
        <w:outlineLvl w:val="1"/>
      </w:pPr>
      <w:bookmarkStart w:id="378" w:name="_Toc1631"/>
      <w:r>
        <w:rPr>
          <w:rFonts w:hint="eastAsia"/>
        </w:rPr>
        <w:t>（一）法人或者非法人组织的营业执照等证明文件</w:t>
      </w:r>
      <w:bookmarkStart w:id="379" w:name="_Toc515647806"/>
      <w:r>
        <w:rPr>
          <w:rFonts w:hint="eastAsia"/>
        </w:rPr>
        <w:t>或自然人的身份证明</w:t>
      </w:r>
      <w:bookmarkEnd w:id="378"/>
      <w:bookmarkEnd w:id="379"/>
    </w:p>
    <w:p>
      <w:pPr>
        <w:pStyle w:val="13"/>
        <w:tabs>
          <w:tab w:val="left" w:pos="5580"/>
        </w:tabs>
        <w:spacing w:line="560" w:lineRule="exact"/>
        <w:ind w:left="1157" w:leftChars="257" w:hanging="540"/>
        <w:rPr>
          <w:rFonts w:asciiTheme="minorEastAsia" w:hAnsiTheme="minorEastAsia" w:eastAsiaTheme="minorEastAsia" w:cstheme="minorEastAsia"/>
          <w:b/>
          <w:sz w:val="32"/>
          <w:szCs w:val="32"/>
        </w:rPr>
      </w:pPr>
    </w:p>
    <w:p>
      <w:pPr>
        <w:pStyle w:val="13"/>
        <w:tabs>
          <w:tab w:val="left" w:pos="5580"/>
        </w:tabs>
        <w:spacing w:line="560" w:lineRule="exact"/>
        <w:ind w:left="1157" w:leftChars="257" w:hanging="540"/>
        <w:rPr>
          <w:rFonts w:asciiTheme="minorEastAsia" w:hAnsiTheme="minorEastAsia" w:eastAsiaTheme="minorEastAsia" w:cstheme="minorEastAsia"/>
          <w:b/>
          <w:sz w:val="32"/>
          <w:szCs w:val="32"/>
        </w:rPr>
      </w:pPr>
    </w:p>
    <w:p>
      <w:pPr>
        <w:pStyle w:val="13"/>
        <w:tabs>
          <w:tab w:val="left" w:pos="5580"/>
        </w:tabs>
        <w:spacing w:line="560" w:lineRule="exact"/>
        <w:rPr>
          <w:rFonts w:asciiTheme="minorEastAsia" w:hAnsiTheme="minorEastAsia" w:eastAsiaTheme="minorEastAsia" w:cstheme="minorEastAsia"/>
          <w:sz w:val="32"/>
          <w:szCs w:val="32"/>
        </w:rPr>
      </w:pPr>
    </w:p>
    <w:p>
      <w:pPr>
        <w:pStyle w:val="13"/>
        <w:tabs>
          <w:tab w:val="left" w:pos="5580"/>
        </w:tabs>
        <w:spacing w:line="560" w:lineRule="exact"/>
        <w:rPr>
          <w:rFonts w:asciiTheme="minorEastAsia" w:hAnsiTheme="minorEastAsia" w:eastAsiaTheme="minorEastAsia" w:cstheme="minorEastAsia"/>
          <w:sz w:val="32"/>
          <w:szCs w:val="32"/>
        </w:rPr>
      </w:pPr>
    </w:p>
    <w:p>
      <w:pPr>
        <w:pStyle w:val="13"/>
        <w:tabs>
          <w:tab w:val="left" w:pos="5580"/>
        </w:tabs>
        <w:spacing w:line="560" w:lineRule="exact"/>
        <w:rPr>
          <w:rFonts w:asciiTheme="minorEastAsia" w:hAnsiTheme="minorEastAsia" w:eastAsiaTheme="minorEastAsia" w:cstheme="minorEastAsia"/>
          <w:sz w:val="32"/>
          <w:szCs w:val="32"/>
        </w:rPr>
      </w:pPr>
    </w:p>
    <w:p>
      <w:pPr>
        <w:pStyle w:val="13"/>
        <w:tabs>
          <w:tab w:val="left" w:pos="5580"/>
        </w:tabs>
        <w:spacing w:line="560" w:lineRule="exact"/>
        <w:rPr>
          <w:rFonts w:asciiTheme="minorEastAsia" w:hAnsiTheme="minorEastAsia" w:eastAsiaTheme="minorEastAsia" w:cstheme="minorEastAsia"/>
          <w:sz w:val="32"/>
          <w:szCs w:val="32"/>
        </w:rPr>
      </w:pPr>
    </w:p>
    <w:p>
      <w:pPr>
        <w:pStyle w:val="13"/>
        <w:tabs>
          <w:tab w:val="left" w:pos="5580"/>
        </w:tabs>
        <w:spacing w:line="560" w:lineRule="exact"/>
        <w:rPr>
          <w:rFonts w:asciiTheme="minorEastAsia" w:hAnsiTheme="minorEastAsia" w:eastAsiaTheme="minorEastAsia" w:cstheme="minorEastAsia"/>
          <w:sz w:val="32"/>
          <w:szCs w:val="32"/>
        </w:rPr>
      </w:pPr>
    </w:p>
    <w:p>
      <w:pPr>
        <w:pStyle w:val="13"/>
        <w:tabs>
          <w:tab w:val="left" w:pos="5580"/>
        </w:tabs>
        <w:spacing w:line="560" w:lineRule="exact"/>
        <w:rPr>
          <w:rFonts w:asciiTheme="minorEastAsia" w:hAnsiTheme="minorEastAsia" w:eastAsiaTheme="minorEastAsia" w:cstheme="minorEastAsia"/>
          <w:sz w:val="32"/>
          <w:szCs w:val="32"/>
        </w:rPr>
      </w:pPr>
    </w:p>
    <w:p>
      <w:pPr>
        <w:pStyle w:val="13"/>
        <w:tabs>
          <w:tab w:val="left" w:pos="5580"/>
        </w:tabs>
        <w:spacing w:line="560" w:lineRule="exact"/>
        <w:rPr>
          <w:rFonts w:asciiTheme="minorEastAsia" w:hAnsiTheme="minorEastAsia" w:eastAsiaTheme="minorEastAsia" w:cstheme="minorEastAsia"/>
          <w:sz w:val="32"/>
          <w:szCs w:val="32"/>
        </w:rPr>
      </w:pPr>
    </w:p>
    <w:p>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br w:type="page"/>
      </w:r>
    </w:p>
    <w:p>
      <w:pPr>
        <w:pStyle w:val="5"/>
        <w:bidi w:val="0"/>
        <w:jc w:val="center"/>
        <w:outlineLvl w:val="1"/>
      </w:pPr>
      <w:bookmarkStart w:id="380" w:name="_Toc24237"/>
      <w:r>
        <w:rPr>
          <w:rFonts w:hint="eastAsia"/>
        </w:rPr>
        <w:t>（二）法定代表人授权委托书</w:t>
      </w:r>
      <w:bookmarkEnd w:id="380"/>
    </w:p>
    <w:p>
      <w:pPr>
        <w:spacing w:line="560" w:lineRule="exact"/>
        <w:rPr>
          <w:rFonts w:asciiTheme="minorEastAsia" w:hAnsiTheme="minorEastAsia" w:eastAsiaTheme="minorEastAsia" w:cstheme="minorEastAsia"/>
          <w:sz w:val="28"/>
          <w:szCs w:val="28"/>
        </w:rPr>
      </w:pPr>
    </w:p>
    <w:p>
      <w:pPr>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（采购人/采购代理机构名称）</w:t>
      </w:r>
    </w:p>
    <w:p>
      <w:pPr>
        <w:spacing w:line="560" w:lineRule="exact"/>
        <w:ind w:firstLine="645"/>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本授权书声明：</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（服务商名称）的</w:t>
      </w:r>
      <w:r>
        <w:rPr>
          <w:rFonts w:hint="eastAsia" w:asciiTheme="minorEastAsia" w:hAnsiTheme="minorEastAsia" w:eastAsiaTheme="minorEastAsia" w:cstheme="minorEastAsia"/>
          <w:bCs/>
          <w:sz w:val="24"/>
          <w:u w:val="single"/>
        </w:rPr>
        <w:t xml:space="preserve">       （法人代表姓名、职务）</w:t>
      </w:r>
      <w:r>
        <w:rPr>
          <w:rFonts w:hint="eastAsia" w:asciiTheme="minorEastAsia" w:hAnsiTheme="minorEastAsia" w:eastAsiaTheme="minorEastAsia" w:cstheme="minorEastAsia"/>
          <w:bCs/>
          <w:sz w:val="24"/>
        </w:rPr>
        <w:t>授权</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被授权人的姓名、职务）为我方就</w:t>
      </w:r>
      <w:r>
        <w:rPr>
          <w:rFonts w:hint="eastAsia" w:asciiTheme="minorEastAsia" w:hAnsiTheme="minorEastAsia" w:eastAsiaTheme="minorEastAsia" w:cstheme="minorEastAsia"/>
          <w:bCs/>
          <w:sz w:val="24"/>
          <w:u w:val="single"/>
        </w:rPr>
        <w:t xml:space="preserve">        （采购项目名称）</w:t>
      </w:r>
      <w:r>
        <w:rPr>
          <w:rFonts w:hint="eastAsia" w:asciiTheme="minorEastAsia" w:hAnsiTheme="minorEastAsia" w:eastAsiaTheme="minorEastAsia" w:cstheme="minorEastAsia"/>
          <w:bCs/>
          <w:sz w:val="24"/>
        </w:rPr>
        <w:t>购项目的合法代理人，以我方名义全权处理与该项目有关的一切事务。</w:t>
      </w:r>
    </w:p>
    <w:p>
      <w:pPr>
        <w:spacing w:line="560" w:lineRule="exact"/>
        <w:ind w:firstLine="645"/>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本授权书于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日签字生效,特此声明。</w:t>
      </w:r>
    </w:p>
    <w:p>
      <w:pPr>
        <w:spacing w:line="560" w:lineRule="exact"/>
        <w:ind w:firstLine="645"/>
        <w:rPr>
          <w:rFonts w:asciiTheme="minorEastAsia" w:hAnsiTheme="minorEastAsia" w:eastAsiaTheme="minorEastAsia" w:cstheme="minorEastAsia"/>
          <w:bCs/>
          <w:sz w:val="24"/>
        </w:rPr>
      </w:pPr>
    </w:p>
    <w:p>
      <w:pPr>
        <w:pStyle w:val="13"/>
        <w:tabs>
          <w:tab w:val="left" w:pos="5580"/>
        </w:tabs>
        <w:spacing w:line="560" w:lineRule="exact"/>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服务商（盖公章）：</w:t>
      </w:r>
      <w:r>
        <w:rPr>
          <w:rFonts w:hint="eastAsia" w:asciiTheme="minorEastAsia" w:hAnsiTheme="minorEastAsia" w:eastAsiaTheme="minorEastAsia" w:cstheme="minorEastAsia"/>
          <w:sz w:val="24"/>
          <w:szCs w:val="24"/>
          <w:u w:val="single"/>
        </w:rPr>
        <w:t xml:space="preserve">                                                         </w:t>
      </w:r>
    </w:p>
    <w:p>
      <w:pPr>
        <w:pStyle w:val="13"/>
        <w:tabs>
          <w:tab w:val="left" w:pos="5580"/>
        </w:tabs>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FFFFFF"/>
        </w:rPr>
        <w:t>法定代表人（签字或签章）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p>
    <w:p>
      <w:pPr>
        <w:pStyle w:val="13"/>
        <w:tabs>
          <w:tab w:val="left" w:pos="5580"/>
        </w:tabs>
        <w:spacing w:line="560" w:lineRule="exact"/>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color="EEECE1"/>
        </w:rPr>
        <w:t>身份证号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p>
    <w:p>
      <w:pPr>
        <w:pStyle w:val="13"/>
        <w:tabs>
          <w:tab w:val="left" w:pos="5580"/>
        </w:tabs>
        <w:spacing w:line="560" w:lineRule="exact"/>
        <w:ind w:firstLine="480" w:firstLineChars="200"/>
        <w:rPr>
          <w:rFonts w:asciiTheme="minorEastAsia" w:hAnsiTheme="minorEastAsia" w:eastAsiaTheme="minorEastAsia" w:cstheme="minorEastAsia"/>
          <w:sz w:val="24"/>
          <w:szCs w:val="24"/>
          <w:u w:val="single" w:color="FFFFFF"/>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u w:val="single"/>
        </w:rPr>
        <w:t xml:space="preserve">                                                                </w:t>
      </w:r>
    </w:p>
    <w:p>
      <w:pPr>
        <w:pStyle w:val="13"/>
        <w:tabs>
          <w:tab w:val="left" w:pos="5580"/>
        </w:tabs>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u w:val="single" w:color="FFFFFF"/>
        </w:rPr>
        <w:t>（签字或签章）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p>
    <w:p>
      <w:pPr>
        <w:pStyle w:val="13"/>
        <w:tabs>
          <w:tab w:val="left" w:pos="5580"/>
        </w:tabs>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身份证号：</w:t>
      </w:r>
      <w:r>
        <w:rPr>
          <w:rFonts w:hint="eastAsia" w:asciiTheme="minorEastAsia" w:hAnsiTheme="minorEastAsia" w:eastAsiaTheme="minorEastAsia" w:cstheme="minorEastAsia"/>
          <w:sz w:val="24"/>
          <w:szCs w:val="24"/>
          <w:u w:val="single"/>
        </w:rPr>
        <w:t xml:space="preserve">                                                                </w:t>
      </w:r>
    </w:p>
    <w:p>
      <w:pPr>
        <w:pStyle w:val="13"/>
        <w:tabs>
          <w:tab w:val="left" w:pos="5580"/>
        </w:tabs>
        <w:spacing w:line="560" w:lineRule="exact"/>
        <w:ind w:firstLine="480" w:firstLineChars="200"/>
        <w:rPr>
          <w:rFonts w:asciiTheme="minorEastAsia" w:hAnsiTheme="minorEastAsia" w:eastAsiaTheme="minorEastAsia" w:cstheme="minorEastAsia"/>
          <w:sz w:val="24"/>
          <w:szCs w:val="24"/>
          <w:u w:val="single" w:color="FFFFFF"/>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u w:val="single"/>
        </w:rPr>
        <w:t xml:space="preserve">                                                                </w:t>
      </w:r>
    </w:p>
    <w:p>
      <w:pPr>
        <w:pStyle w:val="13"/>
        <w:tabs>
          <w:tab w:val="left" w:pos="5580"/>
        </w:tabs>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FFFFFF"/>
        </w:rPr>
        <w:t>详细通讯地址</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p>
    <w:p>
      <w:pPr>
        <w:pStyle w:val="13"/>
        <w:tabs>
          <w:tab w:val="left" w:pos="5580"/>
        </w:tabs>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FFFFFF"/>
        </w:rPr>
        <w:t xml:space="preserve">邮 政 编 码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p>
    <w:p>
      <w:pPr>
        <w:pStyle w:val="13"/>
        <w:tabs>
          <w:tab w:val="left" w:pos="5580"/>
        </w:tabs>
        <w:spacing w:line="5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FFFFFF"/>
        </w:rPr>
        <w:t>传真</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p>
    <w:p>
      <w:pPr>
        <w:pStyle w:val="13"/>
        <w:tabs>
          <w:tab w:val="left" w:pos="5580"/>
        </w:tabs>
        <w:spacing w:line="56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u w:val="single" w:color="FFFFFF"/>
        </w:rPr>
        <w:t>电话</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p>
    <w:p>
      <w:pPr>
        <w:adjustRightInd w:val="0"/>
        <w:snapToGrid w:val="0"/>
        <w:spacing w:line="560" w:lineRule="exact"/>
        <w:ind w:firstLine="460" w:firstLineChars="192"/>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（附法人及代理人身份证复印件） </w:t>
      </w:r>
    </w:p>
    <w:p>
      <w:pPr>
        <w:adjustRightInd w:val="0"/>
        <w:snapToGrid w:val="0"/>
        <w:spacing w:line="560" w:lineRule="exact"/>
        <w:ind w:firstLine="460" w:firstLineChars="19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注：自然人投标的或法定代表人投标的无需提供</w:t>
      </w:r>
      <w:bookmarkStart w:id="381" w:name="_Toc2582314"/>
    </w:p>
    <w:p>
      <w:pPr>
        <w:pStyle w:val="37"/>
        <w:ind w:firstLine="560"/>
        <w:rPr>
          <w:rFonts w:asciiTheme="minorEastAsia" w:hAnsiTheme="minorEastAsia" w:eastAsiaTheme="minorEastAsia" w:cstheme="minorEastAsia"/>
          <w:sz w:val="28"/>
          <w:szCs w:val="28"/>
        </w:rPr>
      </w:pPr>
    </w:p>
    <w:p>
      <w:pPr>
        <w:pStyle w:val="37"/>
        <w:ind w:firstLine="560"/>
        <w:rPr>
          <w:rFonts w:asciiTheme="minorEastAsia" w:hAnsiTheme="minorEastAsia" w:eastAsiaTheme="minorEastAsia" w:cstheme="minorEastAsia"/>
          <w:sz w:val="28"/>
          <w:szCs w:val="28"/>
        </w:rPr>
      </w:pPr>
    </w:p>
    <w:p>
      <w:pPr>
        <w:pStyle w:val="5"/>
        <w:bidi w:val="0"/>
        <w:jc w:val="center"/>
        <w:outlineLvl w:val="1"/>
      </w:pPr>
      <w:bookmarkStart w:id="382" w:name="_Toc5751"/>
      <w:r>
        <w:rPr>
          <w:rFonts w:hint="eastAsia"/>
        </w:rPr>
        <w:t>（三）具有良好的商业信誉和健全的财务会计制度承诺书</w:t>
      </w:r>
      <w:bookmarkEnd w:id="382"/>
    </w:p>
    <w:p>
      <w:pPr>
        <w:spacing w:line="56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（采购人、采购代理机构）</w:t>
      </w:r>
    </w:p>
    <w:p>
      <w:pPr>
        <w:spacing w:line="560" w:lineRule="exact"/>
        <w:ind w:firstLine="6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我单位参与</w:t>
      </w:r>
      <w:r>
        <w:rPr>
          <w:rFonts w:hint="eastAsia" w:asciiTheme="minorEastAsia" w:hAnsiTheme="minorEastAsia" w:eastAsiaTheme="minorEastAsia" w:cstheme="minorEastAsia"/>
          <w:sz w:val="24"/>
          <w:u w:val="single"/>
        </w:rPr>
        <w:t>（项目名称）（项目编号：         ）</w:t>
      </w:r>
      <w:r>
        <w:rPr>
          <w:rFonts w:hint="eastAsia" w:asciiTheme="minorEastAsia" w:hAnsiTheme="minorEastAsia" w:eastAsiaTheme="minorEastAsia" w:cstheme="minorEastAsia"/>
          <w:sz w:val="24"/>
        </w:rPr>
        <w:t>项目的政府采购活动，现承诺如下：</w:t>
      </w:r>
    </w:p>
    <w:p>
      <w:pPr>
        <w:spacing w:line="560" w:lineRule="exact"/>
        <w:ind w:firstLine="6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我单位具有符合《中华人民共和国政府采购法》《中华人民共和国政府采购法实施条例》及采购文件资格要求规定的良好的商业信誉和健全的财务会计制度。</w:t>
      </w:r>
    </w:p>
    <w:p>
      <w:pPr>
        <w:spacing w:line="560" w:lineRule="exact"/>
        <w:ind w:firstLine="6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若我单位以上承诺不实，自愿承担提供虚假材料谋取中标、成交的法律责任。</w:t>
      </w:r>
    </w:p>
    <w:p>
      <w:pPr>
        <w:spacing w:line="560" w:lineRule="exact"/>
        <w:ind w:firstLine="640"/>
        <w:rPr>
          <w:rFonts w:asciiTheme="minorEastAsia" w:hAnsiTheme="minorEastAsia" w:eastAsiaTheme="minorEastAsia" w:cstheme="minorEastAsia"/>
          <w:sz w:val="24"/>
        </w:rPr>
      </w:pPr>
    </w:p>
    <w:p>
      <w:pPr>
        <w:spacing w:line="560" w:lineRule="exact"/>
        <w:ind w:firstLine="640"/>
        <w:rPr>
          <w:rFonts w:asciiTheme="minorEastAsia" w:hAnsiTheme="minorEastAsia" w:eastAsiaTheme="minorEastAsia" w:cstheme="minorEastAsia"/>
          <w:sz w:val="24"/>
        </w:rPr>
      </w:pPr>
    </w:p>
    <w:p>
      <w:pPr>
        <w:spacing w:line="560" w:lineRule="exact"/>
        <w:ind w:firstLine="1447" w:firstLineChars="60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承诺服务商（全称并加盖公章）：</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560" w:lineRule="exact"/>
        <w:ind w:firstLine="1447" w:firstLineChars="60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单位负责人或授权代表（签字）：</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560" w:lineRule="exact"/>
        <w:ind w:firstLine="1447" w:firstLineChars="603"/>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xml:space="preserve">            </w:t>
      </w:r>
    </w:p>
    <w:p>
      <w:pPr>
        <w:spacing w:line="560" w:lineRule="exact"/>
        <w:rPr>
          <w:rFonts w:asciiTheme="minorEastAsia" w:hAnsiTheme="minorEastAsia" w:eastAsiaTheme="minorEastAsia" w:cstheme="minorEastAsia"/>
          <w:sz w:val="28"/>
          <w:szCs w:val="28"/>
        </w:rPr>
      </w:pPr>
    </w:p>
    <w:p>
      <w:pPr>
        <w:spacing w:line="560" w:lineRule="exact"/>
        <w:rPr>
          <w:rFonts w:asciiTheme="minorEastAsia" w:hAnsiTheme="minorEastAsia" w:eastAsiaTheme="minorEastAsia" w:cstheme="minorEastAsia"/>
          <w:sz w:val="28"/>
          <w:szCs w:val="28"/>
        </w:rPr>
      </w:pPr>
    </w:p>
    <w:p>
      <w:pPr>
        <w:spacing w:line="560" w:lineRule="exact"/>
        <w:ind w:firstLine="480" w:firstLineChars="200"/>
        <w:rPr>
          <w:rFonts w:ascii="宋体" w:hAnsi="宋体" w:cs="宋体"/>
          <w:sz w:val="24"/>
        </w:rPr>
      </w:pPr>
      <w:r>
        <w:rPr>
          <w:rFonts w:hint="eastAsia" w:ascii="宋体" w:hAnsi="宋体" w:cs="宋体"/>
          <w:sz w:val="24"/>
        </w:rPr>
        <w:t>说明：服务商可自行选择是否提供本承诺函，若不提供本承诺函，应按《中华人民共和国政府采购法》《中华人民共和国政府采购法实施条例》及采购文件资格要求提供相应的证明材料。（投标人承诺良好的商业信誉和健全的财务会计制度；若为联合体投标，联合体各方均需提供承诺书）</w:t>
      </w:r>
    </w:p>
    <w:p>
      <w:pPr>
        <w:pStyle w:val="2"/>
        <w:spacing w:before="0" w:line="560" w:lineRule="exact"/>
        <w:ind w:left="1157" w:leftChars="257" w:hanging="540"/>
        <w:outlineLvl w:val="9"/>
        <w:rPr>
          <w:rFonts w:ascii="宋体" w:hAnsi="宋体" w:eastAsia="宋体" w:cs="宋体"/>
          <w:sz w:val="24"/>
          <w:szCs w:val="24"/>
        </w:rPr>
        <w:sectPr>
          <w:pgSz w:w="11906" w:h="16838"/>
          <w:pgMar w:top="1440" w:right="1077" w:bottom="1440" w:left="1077" w:header="851" w:footer="992" w:gutter="0"/>
          <w:cols w:space="720" w:num="1"/>
          <w:docGrid w:linePitch="312" w:charSpace="0"/>
        </w:sectPr>
      </w:pPr>
    </w:p>
    <w:p>
      <w:pPr>
        <w:pStyle w:val="5"/>
        <w:bidi w:val="0"/>
        <w:jc w:val="center"/>
        <w:outlineLvl w:val="1"/>
      </w:pPr>
      <w:bookmarkStart w:id="383" w:name="_Toc13290"/>
      <w:r>
        <w:rPr>
          <w:rFonts w:hint="eastAsia"/>
        </w:rPr>
        <w:t>（四）依法缴纳社会保障资金的缴纳记录和税收的承诺书</w:t>
      </w:r>
      <w:bookmarkEnd w:id="383"/>
    </w:p>
    <w:p>
      <w:pPr>
        <w:spacing w:line="560" w:lineRule="exact"/>
        <w:rPr>
          <w:rFonts w:asciiTheme="minorEastAsia" w:hAnsiTheme="minorEastAsia" w:eastAsiaTheme="minorEastAsia" w:cstheme="minorEastAsia"/>
          <w:sz w:val="28"/>
          <w:szCs w:val="28"/>
        </w:rPr>
      </w:pPr>
    </w:p>
    <w:p>
      <w:pPr>
        <w:spacing w:line="56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（采购人、采购代理机构）</w:t>
      </w:r>
    </w:p>
    <w:p>
      <w:pPr>
        <w:spacing w:line="560" w:lineRule="exact"/>
        <w:ind w:firstLine="6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我单位参与</w:t>
      </w:r>
      <w:r>
        <w:rPr>
          <w:rFonts w:hint="eastAsia" w:asciiTheme="minorEastAsia" w:hAnsiTheme="minorEastAsia" w:eastAsiaTheme="minorEastAsia" w:cstheme="minorEastAsia"/>
          <w:sz w:val="24"/>
          <w:u w:val="single"/>
        </w:rPr>
        <w:t>（项目名称）（项目编号：         ）</w:t>
      </w:r>
      <w:r>
        <w:rPr>
          <w:rFonts w:hint="eastAsia" w:asciiTheme="minorEastAsia" w:hAnsiTheme="minorEastAsia" w:eastAsiaTheme="minorEastAsia" w:cstheme="minorEastAsia"/>
          <w:sz w:val="24"/>
        </w:rPr>
        <w:t>项目的政府采购活动，现承诺如下：</w:t>
      </w:r>
    </w:p>
    <w:p>
      <w:pPr>
        <w:spacing w:line="560" w:lineRule="exact"/>
        <w:ind w:firstLine="6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我单位符合《中华人民共和国政府采购法》《中华人民共和国政府采购法实施条例》及采购文件资格要求规定的依法缴纳税收和社会保障资金。</w:t>
      </w:r>
    </w:p>
    <w:p>
      <w:pPr>
        <w:spacing w:line="560" w:lineRule="exact"/>
        <w:ind w:firstLine="6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若我单位以上承诺不实，自愿承担提供虚假材料谋取中标、成交的法律责任。</w:t>
      </w:r>
    </w:p>
    <w:p>
      <w:pPr>
        <w:spacing w:line="560" w:lineRule="exact"/>
        <w:ind w:firstLine="640"/>
        <w:rPr>
          <w:rFonts w:asciiTheme="minorEastAsia" w:hAnsiTheme="minorEastAsia" w:eastAsiaTheme="minorEastAsia" w:cstheme="minorEastAsia"/>
          <w:sz w:val="24"/>
        </w:rPr>
      </w:pPr>
    </w:p>
    <w:p>
      <w:pPr>
        <w:spacing w:line="560" w:lineRule="exact"/>
        <w:rPr>
          <w:rFonts w:asciiTheme="minorEastAsia" w:hAnsiTheme="minorEastAsia" w:eastAsiaTheme="minorEastAsia" w:cstheme="minorEastAsia"/>
          <w:sz w:val="24"/>
        </w:rPr>
      </w:pPr>
    </w:p>
    <w:p>
      <w:pPr>
        <w:spacing w:line="560" w:lineRule="exact"/>
        <w:ind w:firstLine="1447" w:firstLineChars="603"/>
        <w:rPr>
          <w:rFonts w:asciiTheme="minorEastAsia" w:hAnsiTheme="minorEastAsia" w:eastAsiaTheme="minorEastAsia" w:cstheme="minorEastAsia"/>
          <w:sz w:val="24"/>
        </w:rPr>
      </w:pPr>
    </w:p>
    <w:p>
      <w:pPr>
        <w:spacing w:line="560" w:lineRule="exact"/>
        <w:ind w:firstLine="1447" w:firstLineChars="603"/>
        <w:rPr>
          <w:rFonts w:asciiTheme="minorEastAsia" w:hAnsiTheme="minorEastAsia" w:eastAsiaTheme="minorEastAsia" w:cstheme="minorEastAsia"/>
          <w:sz w:val="24"/>
        </w:rPr>
      </w:pPr>
    </w:p>
    <w:p>
      <w:pPr>
        <w:spacing w:line="560" w:lineRule="exact"/>
        <w:ind w:firstLine="1447" w:firstLineChars="60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承诺服务商（全称并加盖公章）：</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560" w:lineRule="exact"/>
        <w:ind w:firstLine="1447" w:firstLineChars="60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单位负责人或授权代表（签字）：</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560" w:lineRule="exact"/>
        <w:ind w:firstLine="1447" w:firstLineChars="603"/>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xml:space="preserve">            </w:t>
      </w:r>
    </w:p>
    <w:p>
      <w:pPr>
        <w:spacing w:line="560" w:lineRule="exact"/>
        <w:ind w:firstLine="640"/>
        <w:rPr>
          <w:rFonts w:asciiTheme="minorEastAsia" w:hAnsiTheme="minorEastAsia" w:eastAsiaTheme="minorEastAsia" w:cstheme="minorEastAsia"/>
          <w:sz w:val="24"/>
          <w:u w:val="single"/>
        </w:rPr>
      </w:pPr>
    </w:p>
    <w:p>
      <w:pPr>
        <w:spacing w:line="560" w:lineRule="exact"/>
        <w:rPr>
          <w:rFonts w:asciiTheme="minorEastAsia" w:hAnsiTheme="minorEastAsia" w:eastAsiaTheme="minorEastAsia" w:cstheme="minorEastAsia"/>
          <w:sz w:val="24"/>
        </w:rPr>
      </w:pPr>
    </w:p>
    <w:p>
      <w:pPr>
        <w:spacing w:line="560" w:lineRule="exact"/>
        <w:ind w:firstLine="48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4"/>
        </w:rPr>
        <w:t>说明：服务商可自行选择是否提供本承诺函，若不提供本承诺函，应按《中华人民共和国政府采购法》《中华人民共和国政府采购法实施条例》及采购文件资格要求提供相应的证明材料。（投标人承诺依法缴纳社会保障资金和税收；若为联合体投标，联合体各方均需提供承诺书）</w:t>
      </w:r>
    </w:p>
    <w:p>
      <w:pPr>
        <w:spacing w:line="560" w:lineRule="exac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caps/>
          <w:color w:val="000000"/>
          <w:sz w:val="32"/>
          <w:szCs w:val="32"/>
        </w:rPr>
        <w:br w:type="page"/>
      </w:r>
    </w:p>
    <w:p>
      <w:pPr>
        <w:pStyle w:val="5"/>
        <w:bidi w:val="0"/>
        <w:jc w:val="center"/>
        <w:outlineLvl w:val="1"/>
      </w:pPr>
      <w:bookmarkStart w:id="384" w:name="_Toc14414"/>
      <w:r>
        <w:rPr>
          <w:rFonts w:hint="eastAsia"/>
        </w:rPr>
        <w:t>（五）参加政府采购活动前3年内在经营活动中没有重大违法记录的承诺书</w:t>
      </w:r>
      <w:bookmarkEnd w:id="384"/>
    </w:p>
    <w:p>
      <w:pPr>
        <w:spacing w:line="560" w:lineRule="exact"/>
        <w:rPr>
          <w:rFonts w:asciiTheme="minorEastAsia" w:hAnsiTheme="minorEastAsia" w:eastAsiaTheme="minorEastAsia" w:cstheme="minorEastAsia"/>
          <w:sz w:val="32"/>
          <w:szCs w:val="32"/>
        </w:rPr>
      </w:pPr>
    </w:p>
    <w:p>
      <w:pPr>
        <w:spacing w:line="56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（采购人、采购代理机构）</w:t>
      </w:r>
    </w:p>
    <w:p>
      <w:pPr>
        <w:spacing w:line="560" w:lineRule="exact"/>
        <w:ind w:firstLine="6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我单位参与</w:t>
      </w:r>
      <w:r>
        <w:rPr>
          <w:rFonts w:hint="eastAsia" w:asciiTheme="minorEastAsia" w:hAnsiTheme="minorEastAsia" w:eastAsiaTheme="minorEastAsia" w:cstheme="minorEastAsia"/>
          <w:sz w:val="24"/>
          <w:u w:val="single"/>
        </w:rPr>
        <w:t>（项目名称）（项目编号：         ）</w:t>
      </w:r>
      <w:r>
        <w:rPr>
          <w:rFonts w:hint="eastAsia" w:asciiTheme="minorEastAsia" w:hAnsiTheme="minorEastAsia" w:eastAsiaTheme="minorEastAsia" w:cstheme="minorEastAsia"/>
          <w:sz w:val="24"/>
        </w:rPr>
        <w:t>项目的政府采购活动，现承诺如下：</w:t>
      </w:r>
    </w:p>
    <w:p>
      <w:pPr>
        <w:spacing w:line="560" w:lineRule="exact"/>
        <w:ind w:firstLine="6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我单位符合《中华人民共和国政府采购法》《中华人民共和国政府采购法实施条例》及采购文件资格要求规定的参加政府采购活动前三年内，在经营活动中没有重大违法记录。</w:t>
      </w:r>
    </w:p>
    <w:p>
      <w:pPr>
        <w:spacing w:line="560" w:lineRule="exact"/>
        <w:ind w:firstLine="6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若我单位以上承诺不实，自愿承担提供虚假材料谋取中标、成交的法律责任。</w:t>
      </w:r>
    </w:p>
    <w:p>
      <w:pPr>
        <w:spacing w:line="560" w:lineRule="exact"/>
        <w:rPr>
          <w:rFonts w:asciiTheme="minorEastAsia" w:hAnsiTheme="minorEastAsia" w:eastAsiaTheme="minorEastAsia" w:cstheme="minorEastAsia"/>
          <w:sz w:val="24"/>
        </w:rPr>
      </w:pPr>
    </w:p>
    <w:p>
      <w:pPr>
        <w:spacing w:line="560" w:lineRule="exact"/>
        <w:ind w:firstLine="1447" w:firstLineChars="60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单位负责人或授权代表（签字）：</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560" w:lineRule="exact"/>
        <w:ind w:firstLine="4084" w:firstLineChars="17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xml:space="preserve">                                    </w:t>
      </w:r>
    </w:p>
    <w:p>
      <w:pPr>
        <w:spacing w:line="560" w:lineRule="exact"/>
        <w:rPr>
          <w:rFonts w:asciiTheme="minorEastAsia" w:hAnsiTheme="minorEastAsia" w:eastAsiaTheme="minorEastAsia" w:cstheme="minorEastAsia"/>
          <w:sz w:val="24"/>
        </w:rPr>
      </w:pPr>
    </w:p>
    <w:p>
      <w:pPr>
        <w:spacing w:line="560" w:lineRule="exact"/>
        <w:rPr>
          <w:rFonts w:asciiTheme="minorEastAsia" w:hAnsiTheme="minorEastAsia" w:eastAsiaTheme="minorEastAsia" w:cstheme="minorEastAsia"/>
          <w:sz w:val="24"/>
        </w:rPr>
      </w:pPr>
    </w:p>
    <w:p>
      <w:pPr>
        <w:spacing w:line="560" w:lineRule="exact"/>
        <w:ind w:firstLine="480" w:firstLineChars="200"/>
      </w:pPr>
      <w:r>
        <w:rPr>
          <w:rFonts w:hint="eastAsia" w:asciiTheme="minorEastAsia" w:hAnsiTheme="minorEastAsia" w:eastAsiaTheme="minorEastAsia" w:cstheme="minorEastAsia"/>
          <w:sz w:val="24"/>
        </w:rPr>
        <w:t>说明：服务商可自行选择是否提供本承诺函，若不提供本承诺函，应按《中华人民共和国政府采购法》《中华人民共和国政府采购法实施条例》及采购文件资格要求提供相应的证明材料。（申请人承诺参加政府采购活动前3年内在经营活动中没有重大违法记录；若为联合体投标，联合体各方均需提供承诺书）</w:t>
      </w:r>
      <w:r>
        <w:rPr>
          <w:rFonts w:hint="eastAsia" w:asciiTheme="minorEastAsia" w:hAnsiTheme="minorEastAsia" w:eastAsiaTheme="minorEastAsia" w:cstheme="minorEastAsia"/>
          <w:b/>
          <w:spacing w:val="6"/>
          <w:sz w:val="24"/>
        </w:rPr>
        <w:br w:type="page"/>
      </w:r>
      <w:bookmarkEnd w:id="381"/>
    </w:p>
    <w:p>
      <w:pPr>
        <w:pStyle w:val="5"/>
        <w:bidi w:val="0"/>
        <w:jc w:val="center"/>
        <w:outlineLvl w:val="1"/>
      </w:pPr>
      <w:bookmarkStart w:id="385" w:name="_Toc21339"/>
      <w:r>
        <w:rPr>
          <w:rFonts w:hint="eastAsia"/>
        </w:rPr>
        <w:t>（六）落实政府采购政策要求的资格证明文件</w:t>
      </w:r>
      <w:bookmarkEnd w:id="385"/>
    </w:p>
    <w:p>
      <w:pPr>
        <w:spacing w:line="500" w:lineRule="exact"/>
        <w:jc w:val="center"/>
        <w:outlineLvl w:val="1"/>
        <w:rPr>
          <w:rFonts w:asciiTheme="minorEastAsia" w:hAnsiTheme="minorEastAsia" w:eastAsiaTheme="minorEastAsia" w:cstheme="minorEastAsia"/>
          <w:b/>
          <w:bCs/>
          <w:sz w:val="24"/>
          <w:szCs w:val="24"/>
        </w:rPr>
      </w:pPr>
      <w:bookmarkStart w:id="386" w:name="_Toc3639"/>
      <w:r>
        <w:rPr>
          <w:rFonts w:hint="eastAsia" w:asciiTheme="minorEastAsia" w:hAnsiTheme="minorEastAsia" w:eastAsiaTheme="minorEastAsia" w:cstheme="minorEastAsia"/>
          <w:b/>
          <w:bCs/>
          <w:sz w:val="24"/>
          <w:szCs w:val="24"/>
        </w:rPr>
        <w:t>中小企业声明函（工程、服务）</w:t>
      </w:r>
      <w:bookmarkEnd w:id="386"/>
    </w:p>
    <w:p>
      <w:pPr>
        <w:spacing w:line="500" w:lineRule="exact"/>
        <w:ind w:firstLine="480" w:firstLineChars="200"/>
        <w:rPr>
          <w:rFonts w:asciiTheme="minorEastAsia" w:hAnsiTheme="minorEastAsia" w:eastAsiaTheme="minorEastAsia" w:cstheme="minorEastAsia"/>
          <w:sz w:val="24"/>
        </w:rPr>
      </w:pP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本公司（联合体）郑重声明，根据《政府采购促进中小企业发展管理办法》（财库〔2020〕46号）的规定，本公司（联合体）参加</w:t>
      </w:r>
      <w:r>
        <w:rPr>
          <w:rFonts w:hint="eastAsia" w:asciiTheme="minorEastAsia" w:hAnsiTheme="minorEastAsia" w:eastAsiaTheme="minorEastAsia" w:cstheme="minorEastAsia"/>
          <w:i/>
          <w:iCs/>
          <w:sz w:val="24"/>
          <w:u w:val="single"/>
        </w:rPr>
        <w:t>（单位名称）</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i/>
          <w:iCs/>
          <w:sz w:val="24"/>
          <w:u w:val="single"/>
        </w:rPr>
        <w:t>（项目名称）</w:t>
      </w:r>
      <w:r>
        <w:rPr>
          <w:rFonts w:hint="eastAsia" w:asciiTheme="minorEastAsia" w:hAnsiTheme="minorEastAsia" w:eastAsiaTheme="minorEastAsia" w:cstheme="minorEastAsia"/>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i/>
          <w:iCs/>
          <w:sz w:val="24"/>
          <w:u w:val="single"/>
        </w:rPr>
        <w:t>（标的名称）</w:t>
      </w:r>
      <w:r>
        <w:rPr>
          <w:rStyle w:val="31"/>
          <w:rFonts w:hint="eastAsia" w:asciiTheme="minorEastAsia" w:hAnsiTheme="minorEastAsia" w:eastAsiaTheme="minorEastAsia" w:cstheme="minorEastAsia"/>
          <w:i/>
          <w:iCs/>
          <w:sz w:val="24"/>
          <w:u w:val="single"/>
        </w:rPr>
        <w:footnoteReference w:id="0"/>
      </w:r>
      <w:r>
        <w:rPr>
          <w:rFonts w:hint="eastAsia" w:asciiTheme="minorEastAsia" w:hAnsiTheme="minorEastAsia" w:eastAsiaTheme="minorEastAsia" w:cstheme="minorEastAsia"/>
          <w:sz w:val="24"/>
        </w:rPr>
        <w:t>，属于</w:t>
      </w:r>
      <w:r>
        <w:rPr>
          <w:rFonts w:hint="eastAsia" w:asciiTheme="minorEastAsia" w:hAnsiTheme="minorEastAsia" w:eastAsiaTheme="minorEastAsia" w:cstheme="minorEastAsia"/>
          <w:i/>
          <w:iCs/>
          <w:sz w:val="24"/>
          <w:u w:val="single"/>
        </w:rPr>
        <w:t>（采购文件中明确的所属行业）</w:t>
      </w:r>
      <w:r>
        <w:rPr>
          <w:rFonts w:hint="eastAsia" w:asciiTheme="minorEastAsia" w:hAnsiTheme="minorEastAsia" w:eastAsiaTheme="minorEastAsia" w:cstheme="minorEastAsia"/>
          <w:sz w:val="24"/>
        </w:rPr>
        <w:t>；承建（承接）企业为</w:t>
      </w:r>
      <w:r>
        <w:rPr>
          <w:rFonts w:hint="eastAsia" w:asciiTheme="minorEastAsia" w:hAnsiTheme="minorEastAsia" w:eastAsiaTheme="minorEastAsia" w:cstheme="minorEastAsia"/>
          <w:i/>
          <w:iCs/>
          <w:sz w:val="24"/>
          <w:u w:val="single"/>
        </w:rPr>
        <w:t>（企业名称）</w:t>
      </w:r>
      <w:r>
        <w:rPr>
          <w:rFonts w:hint="eastAsia" w:asciiTheme="minorEastAsia" w:hAnsiTheme="minorEastAsia" w:eastAsiaTheme="minorEastAsia" w:cstheme="minorEastAsia"/>
          <w:sz w:val="24"/>
        </w:rPr>
        <w:t>，从业人员</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万元</w:t>
      </w:r>
      <w:r>
        <w:rPr>
          <w:rStyle w:val="31"/>
          <w:rFonts w:hint="eastAsia" w:asciiTheme="minorEastAsia" w:hAnsiTheme="minorEastAsia" w:eastAsiaTheme="minorEastAsia" w:cstheme="minorEastAsia"/>
          <w:sz w:val="24"/>
        </w:rPr>
        <w:footnoteReference w:id="1"/>
      </w:r>
      <w:r>
        <w:rPr>
          <w:rFonts w:hint="eastAsia" w:asciiTheme="minorEastAsia" w:hAnsiTheme="minorEastAsia" w:eastAsiaTheme="minorEastAsia" w:cstheme="minorEastAsia"/>
          <w:sz w:val="24"/>
        </w:rPr>
        <w:t>，属于</w:t>
      </w:r>
      <w:r>
        <w:rPr>
          <w:rFonts w:hint="eastAsia" w:asciiTheme="minorEastAsia" w:hAnsiTheme="minorEastAsia" w:eastAsiaTheme="minorEastAsia" w:cstheme="minorEastAsia"/>
          <w:i/>
          <w:iCs/>
          <w:sz w:val="24"/>
          <w:u w:val="single"/>
        </w:rPr>
        <w:t>（中型企业、小型企业、微型企业）</w:t>
      </w:r>
      <w:r>
        <w:rPr>
          <w:rFonts w:hint="eastAsia" w:asciiTheme="minorEastAsia" w:hAnsiTheme="minorEastAsia" w:eastAsiaTheme="minorEastAsia" w:cstheme="minorEastAsia"/>
          <w:sz w:val="24"/>
        </w:rPr>
        <w:t>；</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i/>
          <w:iCs/>
          <w:sz w:val="24"/>
          <w:u w:val="single"/>
        </w:rPr>
        <w:t>（标的名称）</w:t>
      </w:r>
      <w:r>
        <w:rPr>
          <w:rFonts w:hint="eastAsia" w:asciiTheme="minorEastAsia" w:hAnsiTheme="minorEastAsia" w:eastAsiaTheme="minorEastAsia" w:cstheme="minorEastAsia"/>
          <w:sz w:val="24"/>
        </w:rPr>
        <w:t>，属于</w:t>
      </w:r>
      <w:r>
        <w:rPr>
          <w:rFonts w:hint="eastAsia" w:asciiTheme="minorEastAsia" w:hAnsiTheme="minorEastAsia" w:eastAsiaTheme="minorEastAsia" w:cstheme="minorEastAsia"/>
          <w:i/>
          <w:iCs/>
          <w:sz w:val="24"/>
          <w:u w:val="single"/>
        </w:rPr>
        <w:t>（采购文件中明确的所属行业）</w:t>
      </w:r>
      <w:r>
        <w:rPr>
          <w:rFonts w:hint="eastAsia" w:asciiTheme="minorEastAsia" w:hAnsiTheme="minorEastAsia" w:eastAsiaTheme="minorEastAsia" w:cstheme="minorEastAsia"/>
          <w:sz w:val="24"/>
        </w:rPr>
        <w:t>；承建（承接）企业为</w:t>
      </w:r>
      <w:r>
        <w:rPr>
          <w:rFonts w:hint="eastAsia" w:asciiTheme="minorEastAsia" w:hAnsiTheme="minorEastAsia" w:eastAsiaTheme="minorEastAsia" w:cstheme="minorEastAsia"/>
          <w:i/>
          <w:iCs/>
          <w:sz w:val="24"/>
          <w:u w:val="single"/>
        </w:rPr>
        <w:t>（企业名称）</w:t>
      </w:r>
      <w:r>
        <w:rPr>
          <w:rFonts w:hint="eastAsia" w:asciiTheme="minorEastAsia" w:hAnsiTheme="minorEastAsia" w:eastAsiaTheme="minorEastAsia" w:cstheme="minorEastAsia"/>
          <w:sz w:val="24"/>
        </w:rPr>
        <w:t>，从业人员</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i/>
          <w:iCs/>
          <w:sz w:val="24"/>
          <w:u w:val="single"/>
        </w:rPr>
        <w:t>（中型企业、小型企业、微型企业）</w:t>
      </w:r>
      <w:r>
        <w:rPr>
          <w:rFonts w:hint="eastAsia" w:asciiTheme="minorEastAsia" w:hAnsiTheme="minorEastAsia" w:eastAsiaTheme="minorEastAsia" w:cstheme="minorEastAsia"/>
          <w:sz w:val="24"/>
        </w:rPr>
        <w:t>；</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以上企业，不属于大企业的分支机构，不存在控股股东为大企业的情形，也不存在与大企业的负责人为同一人的情形。</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本企业对上述声明内容的真实性负责。如有虚假，将依法承担相应责任。</w:t>
      </w:r>
    </w:p>
    <w:p>
      <w:pPr>
        <w:spacing w:line="500" w:lineRule="exact"/>
        <w:ind w:firstLine="2640" w:firstLineChars="1100"/>
        <w:rPr>
          <w:rFonts w:asciiTheme="minorEastAsia" w:hAnsiTheme="minorEastAsia" w:eastAsiaTheme="minorEastAsia" w:cstheme="minorEastAsia"/>
          <w:sz w:val="24"/>
        </w:rPr>
      </w:pPr>
    </w:p>
    <w:p>
      <w:pPr>
        <w:spacing w:line="500" w:lineRule="exact"/>
        <w:ind w:firstLine="2640" w:firstLineChars="11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企业名称（盖章）：</w:t>
      </w:r>
      <w:r>
        <w:rPr>
          <w:rFonts w:hint="eastAsia" w:asciiTheme="minorEastAsia" w:hAnsiTheme="minorEastAsia" w:eastAsiaTheme="minorEastAsia" w:cstheme="minorEastAsia"/>
          <w:sz w:val="24"/>
          <w:u w:val="single"/>
        </w:rPr>
        <w:t xml:space="preserve">                                   </w:t>
      </w:r>
    </w:p>
    <w:p>
      <w:pPr>
        <w:pStyle w:val="25"/>
        <w:ind w:firstLine="210"/>
        <w:rPr>
          <w:lang w:eastAsia="zh-CN"/>
        </w:rPr>
      </w:pPr>
    </w:p>
    <w:p>
      <w:pPr>
        <w:spacing w:line="500" w:lineRule="exact"/>
        <w:ind w:firstLine="4080" w:firstLineChars="17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xml:space="preserve">                                   </w:t>
      </w:r>
    </w:p>
    <w:p>
      <w:pPr>
        <w:spacing w:line="560" w:lineRule="exact"/>
        <w:jc w:val="center"/>
        <w:rPr>
          <w:rFonts w:asciiTheme="minorEastAsia" w:hAnsiTheme="minorEastAsia" w:eastAsiaTheme="minorEastAsia" w:cstheme="minorEastAsia"/>
          <w:b/>
          <w:spacing w:val="6"/>
          <w:sz w:val="32"/>
          <w:szCs w:val="32"/>
        </w:rPr>
      </w:pPr>
    </w:p>
    <w:p>
      <w:pPr>
        <w:spacing w:line="560" w:lineRule="exact"/>
        <w:jc w:val="center"/>
        <w:rPr>
          <w:rFonts w:asciiTheme="minorEastAsia" w:hAnsiTheme="minorEastAsia" w:eastAsiaTheme="minorEastAsia" w:cstheme="minorEastAsia"/>
          <w:b/>
          <w:spacing w:val="6"/>
          <w:sz w:val="32"/>
          <w:szCs w:val="32"/>
        </w:rPr>
      </w:pPr>
    </w:p>
    <w:p>
      <w:pPr>
        <w:spacing w:line="560" w:lineRule="exact"/>
        <w:jc w:val="center"/>
        <w:rPr>
          <w:rFonts w:asciiTheme="minorEastAsia" w:hAnsiTheme="minorEastAsia" w:eastAsiaTheme="minorEastAsia" w:cstheme="minorEastAsia"/>
          <w:b/>
          <w:spacing w:val="6"/>
          <w:sz w:val="32"/>
          <w:szCs w:val="32"/>
        </w:rPr>
      </w:pPr>
    </w:p>
    <w:p>
      <w:pPr>
        <w:spacing w:line="560" w:lineRule="exact"/>
        <w:rPr>
          <w:rFonts w:asciiTheme="minorEastAsia" w:hAnsiTheme="minorEastAsia" w:eastAsiaTheme="minorEastAsia" w:cstheme="minorEastAsia"/>
          <w:b/>
          <w:spacing w:val="6"/>
          <w:sz w:val="32"/>
          <w:szCs w:val="32"/>
        </w:rPr>
      </w:pPr>
    </w:p>
    <w:p>
      <w:pPr>
        <w:pStyle w:val="2"/>
        <w:spacing w:before="0" w:line="560" w:lineRule="exact"/>
        <w:jc w:val="center"/>
        <w:rPr>
          <w:rFonts w:asciiTheme="minorEastAsia" w:hAnsiTheme="minorEastAsia" w:eastAsiaTheme="minorEastAsia" w:cstheme="minorEastAsia"/>
          <w:spacing w:val="6"/>
          <w:sz w:val="24"/>
        </w:rPr>
      </w:pPr>
      <w:bookmarkStart w:id="387" w:name="_Toc27529"/>
      <w:bookmarkStart w:id="388" w:name="_Toc13208"/>
      <w:r>
        <w:rPr>
          <w:rFonts w:hint="eastAsia" w:asciiTheme="minorEastAsia" w:hAnsiTheme="minorEastAsia" w:eastAsiaTheme="minorEastAsia" w:cstheme="minorEastAsia"/>
          <w:sz w:val="24"/>
          <w:szCs w:val="24"/>
        </w:rPr>
        <w:t>残疾人福利性单位声明函</w:t>
      </w:r>
      <w:bookmarkEnd w:id="387"/>
      <w:bookmarkEnd w:id="388"/>
    </w:p>
    <w:p>
      <w:pPr>
        <w:spacing w:line="560" w:lineRule="exact"/>
        <w:ind w:firstLine="504"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本单位郑重声明，根据《财政部 民政部 中国残疾人联合会关于促进残疾人就业政府采购政策的通知》（财库</w:t>
      </w:r>
      <w:r>
        <w:rPr>
          <w:rFonts w:hint="eastAsia" w:asciiTheme="minorEastAsia" w:hAnsiTheme="minorEastAsia" w:eastAsiaTheme="minorEastAsia" w:cstheme="minorEastAsia"/>
          <w:sz w:val="24"/>
        </w:rPr>
        <w:t>〔2017〕141</w:t>
      </w:r>
      <w:r>
        <w:rPr>
          <w:rFonts w:hint="eastAsia" w:asciiTheme="minorEastAsia" w:hAnsiTheme="minorEastAsia" w:eastAsiaTheme="minorEastAsia" w:cstheme="minorEastAsia"/>
          <w:spacing w:val="6"/>
          <w:sz w:val="24"/>
        </w:rPr>
        <w:t>号）的规定，本单位为符合条件的残疾人福利性单位，且本单位参加</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单位的</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项目采购活动提供本单位制造的货物（由本单位承担工程/提供服务），或者提供其他残疾人福利性单位制造的货物（不包括使用非残疾人福利性单位注册商标的货物）。</w:t>
      </w:r>
    </w:p>
    <w:p>
      <w:pPr>
        <w:spacing w:line="560" w:lineRule="exact"/>
        <w:ind w:firstLine="504"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本单位对上述声明的真实性负责。如有虚假，将依法承担相应责任。</w:t>
      </w:r>
    </w:p>
    <w:p>
      <w:pPr>
        <w:spacing w:line="560" w:lineRule="exact"/>
        <w:ind w:firstLine="504" w:firstLineChars="200"/>
        <w:rPr>
          <w:rFonts w:asciiTheme="minorEastAsia" w:hAnsiTheme="minorEastAsia" w:eastAsiaTheme="minorEastAsia" w:cstheme="minorEastAsia"/>
          <w:spacing w:val="6"/>
          <w:sz w:val="24"/>
        </w:rPr>
      </w:pPr>
    </w:p>
    <w:p>
      <w:pPr>
        <w:spacing w:line="560" w:lineRule="exact"/>
        <w:ind w:firstLine="504" w:firstLineChars="200"/>
        <w:rPr>
          <w:rFonts w:asciiTheme="minorEastAsia" w:hAnsiTheme="minorEastAsia" w:eastAsiaTheme="minorEastAsia" w:cstheme="minorEastAsia"/>
          <w:spacing w:val="6"/>
          <w:sz w:val="24"/>
        </w:rPr>
      </w:pPr>
    </w:p>
    <w:p>
      <w:pPr>
        <w:pStyle w:val="7"/>
        <w:widowControl/>
        <w:snapToGrid w:val="0"/>
        <w:spacing w:line="560" w:lineRule="exact"/>
        <w:ind w:firstLine="967" w:firstLineChars="384"/>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pacing w:val="6"/>
          <w:sz w:val="24"/>
        </w:rPr>
        <w:t xml:space="preserve">            单位</w:t>
      </w:r>
      <w:r>
        <w:rPr>
          <w:rFonts w:hint="eastAsia" w:asciiTheme="minorEastAsia" w:hAnsiTheme="minorEastAsia" w:eastAsiaTheme="minorEastAsia" w:cstheme="minorEastAsia"/>
          <w:sz w:val="24"/>
        </w:rPr>
        <w:t>名称：（盖章）</w:t>
      </w:r>
      <w:r>
        <w:rPr>
          <w:rFonts w:hint="eastAsia" w:asciiTheme="minorEastAsia" w:hAnsiTheme="minorEastAsia" w:eastAsiaTheme="minorEastAsia" w:cstheme="minorEastAsia"/>
          <w:sz w:val="24"/>
          <w:u w:val="single"/>
        </w:rPr>
        <w:t xml:space="preserve">                                   </w:t>
      </w:r>
    </w:p>
    <w:p>
      <w:pPr>
        <w:pStyle w:val="7"/>
        <w:widowControl/>
        <w:snapToGrid w:val="0"/>
        <w:spacing w:line="560" w:lineRule="exact"/>
        <w:ind w:firstLine="921" w:firstLineChars="384"/>
        <w:rPr>
          <w:rFonts w:asciiTheme="minorEastAsia" w:hAnsiTheme="minorEastAsia" w:eastAsiaTheme="minorEastAsia" w:cstheme="minorEastAsia"/>
          <w:sz w:val="24"/>
          <w:u w:val="single"/>
        </w:rPr>
      </w:pPr>
    </w:p>
    <w:p>
      <w:pPr>
        <w:pStyle w:val="7"/>
        <w:widowControl/>
        <w:snapToGrid w:val="0"/>
        <w:spacing w:line="560" w:lineRule="exact"/>
        <w:ind w:firstLine="3600" w:firstLineChars="15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日    期：</w:t>
      </w:r>
      <w:r>
        <w:rPr>
          <w:rFonts w:hint="eastAsia" w:asciiTheme="minorEastAsia" w:hAnsiTheme="minorEastAsia" w:eastAsiaTheme="minorEastAsia" w:cstheme="minorEastAsia"/>
          <w:sz w:val="24"/>
          <w:u w:val="single"/>
        </w:rPr>
        <w:t xml:space="preserve">                                    </w:t>
      </w:r>
    </w:p>
    <w:p>
      <w:pPr>
        <w:spacing w:line="560" w:lineRule="exact"/>
        <w:ind w:firstLine="4160" w:firstLineChars="1300"/>
        <w:rPr>
          <w:rFonts w:asciiTheme="minorEastAsia" w:hAnsiTheme="minorEastAsia" w:eastAsiaTheme="minorEastAsia" w:cstheme="minorEastAsia"/>
          <w:sz w:val="32"/>
          <w:szCs w:val="32"/>
        </w:rPr>
      </w:pPr>
    </w:p>
    <w:p>
      <w:pPr>
        <w:spacing w:line="560" w:lineRule="exact"/>
        <w:rPr>
          <w:rFonts w:asciiTheme="minorEastAsia" w:hAnsiTheme="minorEastAsia" w:eastAsiaTheme="minorEastAsia" w:cstheme="minorEastAsia"/>
          <w:sz w:val="32"/>
          <w:szCs w:val="32"/>
        </w:rPr>
      </w:pPr>
    </w:p>
    <w:p>
      <w:pPr>
        <w:spacing w:line="560" w:lineRule="exact"/>
        <w:rPr>
          <w:rFonts w:asciiTheme="minorEastAsia" w:hAnsiTheme="minorEastAsia" w:eastAsiaTheme="minorEastAsia" w:cstheme="minorEastAsia"/>
          <w:sz w:val="32"/>
          <w:szCs w:val="32"/>
        </w:rPr>
      </w:pPr>
    </w:p>
    <w:p>
      <w:pPr>
        <w:spacing w:line="560" w:lineRule="exact"/>
        <w:rPr>
          <w:rFonts w:asciiTheme="minorEastAsia" w:hAnsiTheme="minorEastAsia" w:eastAsiaTheme="minorEastAsia" w:cstheme="minorEastAsia"/>
          <w:sz w:val="32"/>
          <w:szCs w:val="32"/>
        </w:rPr>
      </w:pPr>
    </w:p>
    <w:p>
      <w:pPr>
        <w:spacing w:line="560" w:lineRule="exact"/>
        <w:rPr>
          <w:rFonts w:asciiTheme="minorEastAsia" w:hAnsiTheme="minorEastAsia" w:eastAsiaTheme="minorEastAsia" w:cstheme="minorEastAsia"/>
          <w:sz w:val="32"/>
          <w:szCs w:val="32"/>
        </w:rPr>
      </w:pPr>
    </w:p>
    <w:p>
      <w:pPr>
        <w:spacing w:line="560" w:lineRule="exact"/>
        <w:rPr>
          <w:rFonts w:asciiTheme="minorEastAsia" w:hAnsiTheme="minorEastAsia" w:eastAsiaTheme="minorEastAsia" w:cstheme="minorEastAsia"/>
          <w:sz w:val="32"/>
          <w:szCs w:val="32"/>
        </w:rPr>
      </w:pPr>
    </w:p>
    <w:p>
      <w:pPr>
        <w:spacing w:line="560" w:lineRule="exact"/>
        <w:rPr>
          <w:rFonts w:asciiTheme="minorEastAsia" w:hAnsiTheme="minorEastAsia" w:eastAsiaTheme="minorEastAsia" w:cstheme="minorEastAsia"/>
          <w:sz w:val="32"/>
          <w:szCs w:val="32"/>
        </w:rPr>
      </w:pPr>
    </w:p>
    <w:p>
      <w:pPr>
        <w:spacing w:line="560" w:lineRule="exact"/>
        <w:rPr>
          <w:rFonts w:asciiTheme="minorEastAsia" w:hAnsiTheme="minorEastAsia" w:eastAsiaTheme="minorEastAsia" w:cstheme="minorEastAsia"/>
          <w:sz w:val="32"/>
          <w:szCs w:val="32"/>
        </w:rPr>
      </w:pPr>
    </w:p>
    <w:p>
      <w:pPr>
        <w:widowControl/>
        <w:jc w:val="left"/>
        <w:rPr>
          <w:rFonts w:asciiTheme="minorEastAsia" w:hAnsiTheme="minorEastAsia" w:eastAsiaTheme="minorEastAsia" w:cstheme="minorEastAsia"/>
          <w:b/>
          <w:bCs/>
          <w:sz w:val="32"/>
          <w:szCs w:val="32"/>
        </w:rPr>
      </w:pPr>
      <w:bookmarkStart w:id="389" w:name="_Toc14042"/>
      <w:r>
        <w:rPr>
          <w:rFonts w:asciiTheme="minorEastAsia" w:hAnsiTheme="minorEastAsia" w:eastAsiaTheme="minorEastAsia" w:cstheme="minorEastAsia"/>
        </w:rPr>
        <w:br w:type="page"/>
      </w:r>
    </w:p>
    <w:p>
      <w:pPr>
        <w:pStyle w:val="2"/>
        <w:spacing w:before="0" w:after="0" w:line="560" w:lineRule="exact"/>
        <w:jc w:val="center"/>
        <w:rPr>
          <w:rFonts w:asciiTheme="minorEastAsia" w:hAnsiTheme="minorEastAsia" w:eastAsiaTheme="minorEastAsia" w:cstheme="minorEastAsia"/>
          <w:kern w:val="0"/>
          <w:sz w:val="24"/>
        </w:rPr>
      </w:pPr>
      <w:bookmarkStart w:id="390" w:name="_Toc2376"/>
      <w:bookmarkStart w:id="391" w:name="_Toc21525"/>
      <w:r>
        <w:rPr>
          <w:rFonts w:hint="eastAsia" w:asciiTheme="minorEastAsia" w:hAnsiTheme="minorEastAsia" w:eastAsiaTheme="minorEastAsia" w:cstheme="minorEastAsia"/>
          <w:sz w:val="24"/>
          <w:szCs w:val="24"/>
        </w:rPr>
        <w:t>监狱企业声明函</w:t>
      </w:r>
      <w:bookmarkEnd w:id="389"/>
      <w:bookmarkEnd w:id="390"/>
      <w:bookmarkEnd w:id="391"/>
    </w:p>
    <w:p>
      <w:pPr>
        <w:spacing w:line="560" w:lineRule="exact"/>
        <w:ind w:firstLine="480" w:firstLineChars="200"/>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kern w:val="0"/>
          <w:sz w:val="24"/>
        </w:rPr>
        <w:t>本单位郑重声明，根据《财政部 司法部关于政府采购支持监狱企业发展有关问题的通知》（财库〔2014〕68号）的规定，本单位为符合条件的监狱企业，</w:t>
      </w:r>
      <w:r>
        <w:rPr>
          <w:rFonts w:hint="eastAsia" w:asciiTheme="minorEastAsia" w:hAnsiTheme="minorEastAsia" w:eastAsiaTheme="minorEastAsia" w:cstheme="minorEastAsia"/>
          <w:spacing w:val="6"/>
          <w:sz w:val="24"/>
        </w:rPr>
        <w:t>且本单位参加</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单位的</w:t>
      </w:r>
      <w:r>
        <w:rPr>
          <w:rFonts w:hint="eastAsia" w:asciiTheme="minorEastAsia" w:hAnsiTheme="minorEastAsia" w:eastAsiaTheme="minorEastAsia" w:cstheme="minorEastAsia"/>
          <w:spacing w:val="6"/>
          <w:sz w:val="24"/>
          <w:u w:val="single"/>
        </w:rPr>
        <w:t xml:space="preserve">      </w:t>
      </w:r>
      <w:r>
        <w:rPr>
          <w:rFonts w:hint="eastAsia" w:asciiTheme="minorEastAsia" w:hAnsiTheme="minorEastAsia" w:eastAsiaTheme="minorEastAsia" w:cstheme="minorEastAsia"/>
          <w:spacing w:val="6"/>
          <w:sz w:val="24"/>
        </w:rPr>
        <w:t>项目采购活动提供本单位制造的货物（由本单位承担工程/提供服务）。</w:t>
      </w:r>
    </w:p>
    <w:p>
      <w:pPr>
        <w:widowControl/>
        <w:spacing w:line="560" w:lineRule="exact"/>
        <w:ind w:firstLine="480" w:firstLineChars="200"/>
        <w:jc w:val="left"/>
        <w:rPr>
          <w:rFonts w:asciiTheme="minorEastAsia" w:hAnsiTheme="minorEastAsia" w:eastAsiaTheme="minorEastAsia" w:cstheme="minorEastAsia"/>
          <w:kern w:val="0"/>
          <w:sz w:val="24"/>
        </w:rPr>
      </w:pPr>
    </w:p>
    <w:p>
      <w:pPr>
        <w:widowControl/>
        <w:spacing w:line="560" w:lineRule="exact"/>
        <w:jc w:val="left"/>
        <w:rPr>
          <w:rFonts w:asciiTheme="minorEastAsia" w:hAnsiTheme="minorEastAsia" w:eastAsiaTheme="minorEastAsia" w:cstheme="minorEastAsia"/>
          <w:spacing w:val="6"/>
          <w:sz w:val="24"/>
        </w:rPr>
      </w:pPr>
      <w:r>
        <w:rPr>
          <w:rFonts w:hint="eastAsia" w:asciiTheme="minorEastAsia" w:hAnsiTheme="minorEastAsia" w:eastAsiaTheme="minorEastAsia" w:cstheme="minorEastAsia"/>
          <w:kern w:val="0"/>
          <w:sz w:val="24"/>
        </w:rPr>
        <w:t>　  本单位对上述声明的真实性负责。如有虚假，将依法承担相应责任。</w:t>
      </w:r>
    </w:p>
    <w:p>
      <w:pPr>
        <w:spacing w:line="560" w:lineRule="exact"/>
        <w:ind w:firstLine="504" w:firstLineChars="200"/>
        <w:rPr>
          <w:rFonts w:asciiTheme="minorEastAsia" w:hAnsiTheme="minorEastAsia" w:eastAsiaTheme="minorEastAsia" w:cstheme="minorEastAsia"/>
          <w:spacing w:val="6"/>
          <w:sz w:val="24"/>
        </w:rPr>
      </w:pPr>
    </w:p>
    <w:p>
      <w:pPr>
        <w:spacing w:line="560" w:lineRule="exact"/>
        <w:ind w:firstLine="504" w:firstLineChars="200"/>
        <w:rPr>
          <w:rFonts w:asciiTheme="minorEastAsia" w:hAnsiTheme="minorEastAsia" w:eastAsiaTheme="minorEastAsia" w:cstheme="minorEastAsia"/>
          <w:spacing w:val="6"/>
          <w:sz w:val="24"/>
        </w:rPr>
      </w:pPr>
    </w:p>
    <w:p>
      <w:pPr>
        <w:pStyle w:val="7"/>
        <w:widowControl/>
        <w:snapToGrid w:val="0"/>
        <w:spacing w:line="560" w:lineRule="exact"/>
        <w:ind w:firstLine="967" w:firstLineChars="384"/>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pacing w:val="6"/>
          <w:sz w:val="24"/>
        </w:rPr>
        <w:t xml:space="preserve">                单位</w:t>
      </w:r>
      <w:r>
        <w:rPr>
          <w:rFonts w:hint="eastAsia" w:asciiTheme="minorEastAsia" w:hAnsiTheme="minorEastAsia" w:eastAsiaTheme="minorEastAsia" w:cstheme="minorEastAsia"/>
          <w:sz w:val="24"/>
        </w:rPr>
        <w:t>名称：（盖章）</w:t>
      </w:r>
      <w:r>
        <w:rPr>
          <w:rFonts w:hint="eastAsia" w:asciiTheme="minorEastAsia" w:hAnsiTheme="minorEastAsia" w:eastAsiaTheme="minorEastAsia" w:cstheme="minorEastAsia"/>
          <w:sz w:val="24"/>
          <w:u w:val="single"/>
        </w:rPr>
        <w:t xml:space="preserve">                                </w:t>
      </w:r>
    </w:p>
    <w:p>
      <w:pPr>
        <w:pStyle w:val="7"/>
        <w:widowControl/>
        <w:snapToGrid w:val="0"/>
        <w:spacing w:line="560" w:lineRule="exact"/>
        <w:ind w:firstLine="921" w:firstLineChars="384"/>
        <w:rPr>
          <w:rFonts w:asciiTheme="minorEastAsia" w:hAnsiTheme="minorEastAsia" w:eastAsiaTheme="minorEastAsia" w:cstheme="minorEastAsia"/>
          <w:sz w:val="24"/>
          <w:u w:val="single"/>
        </w:rPr>
      </w:pPr>
    </w:p>
    <w:p>
      <w:pPr>
        <w:pStyle w:val="7"/>
        <w:widowControl/>
        <w:snapToGrid w:val="0"/>
        <w:spacing w:line="560" w:lineRule="exact"/>
        <w:ind w:firstLine="4320" w:firstLineChars="18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日   期：</w:t>
      </w:r>
      <w:r>
        <w:rPr>
          <w:rFonts w:hint="eastAsia" w:asciiTheme="minorEastAsia" w:hAnsiTheme="minorEastAsia" w:eastAsiaTheme="minorEastAsia" w:cstheme="minorEastAsia"/>
          <w:sz w:val="24"/>
          <w:u w:val="single"/>
        </w:rPr>
        <w:t xml:space="preserve">                                </w:t>
      </w:r>
    </w:p>
    <w:p>
      <w:pPr>
        <w:pStyle w:val="7"/>
        <w:widowControl/>
        <w:snapToGrid w:val="0"/>
        <w:spacing w:line="560" w:lineRule="exact"/>
        <w:ind w:firstLine="4320" w:firstLineChars="1800"/>
        <w:rPr>
          <w:rFonts w:hint="eastAsia" w:asciiTheme="minorEastAsia" w:hAnsiTheme="minorEastAsia" w:eastAsiaTheme="minorEastAsia" w:cstheme="minorEastAsia"/>
          <w:sz w:val="24"/>
          <w:u w:val="single"/>
        </w:rPr>
      </w:pPr>
    </w:p>
    <w:p>
      <w:pPr>
        <w:pStyle w:val="7"/>
        <w:widowControl/>
        <w:snapToGrid w:val="0"/>
        <w:spacing w:line="560" w:lineRule="exact"/>
        <w:ind w:firstLine="4320" w:firstLineChars="1800"/>
        <w:rPr>
          <w:rFonts w:hint="eastAsia" w:asciiTheme="minorEastAsia" w:hAnsiTheme="minorEastAsia" w:eastAsiaTheme="minorEastAsia" w:cstheme="minorEastAsia"/>
          <w:sz w:val="24"/>
          <w:u w:val="single"/>
        </w:rPr>
      </w:pPr>
    </w:p>
    <w:p>
      <w:pPr>
        <w:pStyle w:val="7"/>
        <w:widowControl/>
        <w:snapToGrid w:val="0"/>
        <w:spacing w:line="560" w:lineRule="exact"/>
        <w:ind w:firstLine="4320" w:firstLineChars="1800"/>
        <w:rPr>
          <w:rFonts w:hint="eastAsia" w:asciiTheme="minorEastAsia" w:hAnsiTheme="minorEastAsia" w:eastAsiaTheme="minorEastAsia" w:cstheme="minorEastAsia"/>
          <w:sz w:val="24"/>
          <w:u w:val="single"/>
        </w:rPr>
      </w:pPr>
    </w:p>
    <w:p>
      <w:pPr>
        <w:pStyle w:val="7"/>
        <w:widowControl/>
        <w:snapToGrid w:val="0"/>
        <w:spacing w:line="560" w:lineRule="exact"/>
        <w:ind w:firstLine="4320" w:firstLineChars="1800"/>
        <w:rPr>
          <w:rFonts w:hint="eastAsia" w:asciiTheme="minorEastAsia" w:hAnsiTheme="minorEastAsia" w:eastAsiaTheme="minorEastAsia" w:cstheme="minorEastAsia"/>
          <w:sz w:val="24"/>
          <w:u w:val="single"/>
        </w:rPr>
      </w:pPr>
    </w:p>
    <w:p>
      <w:pPr>
        <w:pStyle w:val="7"/>
        <w:widowControl/>
        <w:snapToGrid w:val="0"/>
        <w:spacing w:line="560" w:lineRule="exact"/>
        <w:ind w:firstLine="4320" w:firstLineChars="1800"/>
        <w:rPr>
          <w:rFonts w:hint="eastAsia" w:asciiTheme="minorEastAsia" w:hAnsiTheme="minorEastAsia" w:eastAsiaTheme="minorEastAsia" w:cstheme="minorEastAsia"/>
          <w:sz w:val="24"/>
          <w:u w:val="single"/>
        </w:rPr>
      </w:pPr>
    </w:p>
    <w:p>
      <w:pPr>
        <w:pStyle w:val="7"/>
        <w:widowControl/>
        <w:snapToGrid w:val="0"/>
        <w:spacing w:line="560" w:lineRule="exact"/>
        <w:ind w:firstLine="4320" w:firstLineChars="1800"/>
        <w:rPr>
          <w:rFonts w:hint="eastAsia" w:asciiTheme="minorEastAsia" w:hAnsiTheme="minorEastAsia" w:eastAsiaTheme="minorEastAsia" w:cstheme="minorEastAsia"/>
          <w:sz w:val="24"/>
          <w:u w:val="single"/>
        </w:rPr>
      </w:pPr>
    </w:p>
    <w:p>
      <w:pPr>
        <w:pStyle w:val="7"/>
        <w:widowControl/>
        <w:snapToGrid w:val="0"/>
        <w:spacing w:line="560" w:lineRule="exact"/>
        <w:ind w:firstLine="4320" w:firstLineChars="1800"/>
        <w:rPr>
          <w:rFonts w:hint="eastAsia" w:asciiTheme="minorEastAsia" w:hAnsiTheme="minorEastAsia" w:eastAsiaTheme="minorEastAsia" w:cstheme="minorEastAsia"/>
          <w:sz w:val="24"/>
          <w:u w:val="single"/>
        </w:rPr>
      </w:pPr>
    </w:p>
    <w:p>
      <w:pPr>
        <w:pStyle w:val="7"/>
        <w:widowControl/>
        <w:snapToGrid w:val="0"/>
        <w:spacing w:line="560" w:lineRule="exact"/>
        <w:ind w:firstLine="4320" w:firstLineChars="1800"/>
        <w:rPr>
          <w:rFonts w:hint="eastAsia" w:asciiTheme="minorEastAsia" w:hAnsiTheme="minorEastAsia" w:eastAsiaTheme="minorEastAsia" w:cstheme="minorEastAsia"/>
          <w:sz w:val="24"/>
          <w:u w:val="single"/>
        </w:rPr>
      </w:pPr>
    </w:p>
    <w:p>
      <w:pPr>
        <w:pStyle w:val="7"/>
        <w:widowControl/>
        <w:snapToGrid w:val="0"/>
        <w:spacing w:line="560" w:lineRule="exact"/>
        <w:ind w:firstLine="4320" w:firstLineChars="1800"/>
        <w:rPr>
          <w:rFonts w:hint="eastAsia" w:asciiTheme="minorEastAsia" w:hAnsiTheme="minorEastAsia" w:eastAsiaTheme="minorEastAsia" w:cstheme="minorEastAsia"/>
          <w:sz w:val="24"/>
          <w:u w:val="single"/>
        </w:rPr>
      </w:pPr>
    </w:p>
    <w:p>
      <w:pPr>
        <w:pStyle w:val="7"/>
        <w:widowControl/>
        <w:snapToGrid w:val="0"/>
        <w:spacing w:line="560" w:lineRule="exact"/>
        <w:ind w:firstLine="4320" w:firstLineChars="1800"/>
        <w:rPr>
          <w:rFonts w:hint="eastAsia" w:asciiTheme="minorEastAsia" w:hAnsiTheme="minorEastAsia" w:eastAsiaTheme="minorEastAsia" w:cstheme="minorEastAsia"/>
          <w:sz w:val="24"/>
          <w:u w:val="single"/>
        </w:rPr>
      </w:pPr>
    </w:p>
    <w:p>
      <w:pPr>
        <w:pStyle w:val="7"/>
        <w:widowControl/>
        <w:snapToGrid w:val="0"/>
        <w:spacing w:line="560" w:lineRule="exact"/>
        <w:ind w:firstLine="4320" w:firstLineChars="1800"/>
        <w:rPr>
          <w:rFonts w:hint="eastAsia" w:asciiTheme="minorEastAsia" w:hAnsiTheme="minorEastAsia" w:eastAsiaTheme="minorEastAsia" w:cstheme="minorEastAsia"/>
          <w:sz w:val="24"/>
          <w:u w:val="single"/>
        </w:rPr>
      </w:pPr>
    </w:p>
    <w:p>
      <w:pPr>
        <w:pStyle w:val="7"/>
        <w:widowControl/>
        <w:snapToGrid w:val="0"/>
        <w:spacing w:line="560" w:lineRule="exact"/>
        <w:ind w:firstLine="4320" w:firstLineChars="1800"/>
        <w:rPr>
          <w:rFonts w:hint="eastAsia" w:asciiTheme="minorEastAsia" w:hAnsiTheme="minorEastAsia" w:eastAsiaTheme="minorEastAsia" w:cstheme="minorEastAsia"/>
          <w:sz w:val="24"/>
          <w:u w:val="single"/>
        </w:rPr>
      </w:pPr>
    </w:p>
    <w:p>
      <w:pPr>
        <w:pStyle w:val="7"/>
        <w:widowControl/>
        <w:snapToGrid w:val="0"/>
        <w:spacing w:line="560" w:lineRule="exact"/>
        <w:ind w:left="0" w:leftChars="0" w:firstLine="0" w:firstLineChars="0"/>
        <w:rPr>
          <w:rFonts w:hint="eastAsia" w:asciiTheme="minorEastAsia" w:hAnsiTheme="minorEastAsia" w:eastAsiaTheme="minorEastAsia" w:cstheme="minorEastAsia"/>
          <w:sz w:val="24"/>
          <w:u w:val="single"/>
        </w:rPr>
      </w:pPr>
    </w:p>
    <w:p>
      <w:pPr>
        <w:pStyle w:val="5"/>
        <w:bidi w:val="0"/>
        <w:jc w:val="center"/>
        <w:outlineLvl w:val="0"/>
        <w:rPr>
          <w:rFonts w:hint="eastAsia"/>
        </w:rPr>
      </w:pPr>
      <w:bookmarkStart w:id="392" w:name="_Toc23130"/>
      <w:bookmarkStart w:id="393" w:name="_Toc3806"/>
      <w:bookmarkStart w:id="394" w:name="_Toc28540"/>
      <w:bookmarkStart w:id="395" w:name="_Toc6685"/>
      <w:bookmarkStart w:id="396" w:name="_Toc8674_WPSOffice_Level2"/>
      <w:bookmarkStart w:id="397" w:name="_Toc2011_WPSOffice_Level1"/>
      <w:r>
        <w:rPr>
          <w:rFonts w:hint="eastAsia"/>
          <w:lang w:val="en-US" w:eastAsia="zh-CN"/>
        </w:rPr>
        <w:t>七、</w:t>
      </w:r>
      <w:r>
        <w:rPr>
          <w:rFonts w:hint="eastAsia"/>
        </w:rPr>
        <w:t>保证金退还申请书</w:t>
      </w:r>
      <w:bookmarkEnd w:id="392"/>
      <w:bookmarkEnd w:id="393"/>
    </w:p>
    <w:p>
      <w:pPr>
        <w:spacing w:line="360" w:lineRule="auto"/>
        <w:contextualSpacing/>
        <w:jc w:val="center"/>
        <w:outlineLvl w:val="0"/>
        <w:rPr>
          <w:rFonts w:hint="eastAsia" w:ascii="宋体" w:hAnsi="宋体"/>
          <w:sz w:val="24"/>
        </w:rPr>
      </w:pPr>
      <w:bookmarkStart w:id="398" w:name="_Toc890"/>
      <w:r>
        <w:rPr>
          <w:rFonts w:hint="eastAsia" w:ascii="宋体" w:hAnsi="宋体"/>
          <w:b/>
          <w:sz w:val="24"/>
        </w:rPr>
        <w:t>投标保证金退还申请书</w:t>
      </w:r>
      <w:bookmarkEnd w:id="394"/>
      <w:bookmarkEnd w:id="395"/>
      <w:bookmarkEnd w:id="396"/>
      <w:bookmarkEnd w:id="398"/>
    </w:p>
    <w:tbl>
      <w:tblPr>
        <w:tblStyle w:val="27"/>
        <w:tblW w:w="92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20"/>
        <w:gridCol w:w="2402"/>
        <w:gridCol w:w="46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5" w:hRule="exact"/>
          <w:jc w:val="center"/>
        </w:trPr>
        <w:tc>
          <w:tcPr>
            <w:tcW w:w="2220" w:type="dxa"/>
            <w:shd w:val="clear" w:color="auto" w:fill="E6E6E6"/>
            <w:noWrap w:val="0"/>
            <w:vAlign w:val="center"/>
          </w:tcPr>
          <w:p>
            <w:pPr>
              <w:jc w:val="center"/>
              <w:rPr>
                <w:rFonts w:hint="eastAsia" w:ascii="宋体" w:hAnsi="宋体"/>
                <w:b w:val="0"/>
                <w:bCs w:val="0"/>
                <w:sz w:val="24"/>
              </w:rPr>
            </w:pPr>
            <w:r>
              <w:rPr>
                <w:rFonts w:hint="eastAsia" w:ascii="宋体" w:hAnsi="宋体"/>
                <w:b w:val="0"/>
                <w:bCs w:val="0"/>
                <w:sz w:val="24"/>
              </w:rPr>
              <w:t>项目编号</w:t>
            </w:r>
          </w:p>
        </w:tc>
        <w:tc>
          <w:tcPr>
            <w:tcW w:w="7040" w:type="dxa"/>
            <w:gridSpan w:val="2"/>
            <w:shd w:val="clear" w:color="auto" w:fill="E6E6E6"/>
            <w:noWrap w:val="0"/>
            <w:vAlign w:val="center"/>
          </w:tcPr>
          <w:p>
            <w:pPr>
              <w:pStyle w:val="14"/>
              <w:ind w:left="5250"/>
              <w:jc w:val="center"/>
              <w:rPr>
                <w:rFonts w:hint="eastAsia" w:ascii="宋体" w:hAnsi="宋体"/>
                <w:b w:val="0"/>
                <w:bCs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5" w:hRule="exact"/>
          <w:jc w:val="center"/>
        </w:trPr>
        <w:tc>
          <w:tcPr>
            <w:tcW w:w="2220" w:type="dxa"/>
            <w:shd w:val="clear" w:color="auto" w:fill="E6E6E6"/>
            <w:noWrap w:val="0"/>
            <w:vAlign w:val="center"/>
          </w:tcPr>
          <w:p>
            <w:pPr>
              <w:jc w:val="center"/>
              <w:rPr>
                <w:rFonts w:hint="eastAsia" w:ascii="宋体" w:hAnsi="宋体"/>
                <w:b w:val="0"/>
                <w:bCs w:val="0"/>
                <w:sz w:val="24"/>
              </w:rPr>
            </w:pPr>
            <w:r>
              <w:rPr>
                <w:rFonts w:hint="eastAsia" w:ascii="宋体" w:hAnsi="宋体"/>
                <w:b w:val="0"/>
                <w:bCs w:val="0"/>
                <w:sz w:val="24"/>
              </w:rPr>
              <w:t>项目名称</w:t>
            </w:r>
          </w:p>
        </w:tc>
        <w:tc>
          <w:tcPr>
            <w:tcW w:w="7040" w:type="dxa"/>
            <w:gridSpan w:val="2"/>
            <w:shd w:val="clear" w:color="auto" w:fill="E6E6E6"/>
            <w:noWrap w:val="0"/>
            <w:vAlign w:val="center"/>
          </w:tcPr>
          <w:p>
            <w:pPr>
              <w:pStyle w:val="14"/>
              <w:ind w:left="5250"/>
              <w:jc w:val="center"/>
              <w:rPr>
                <w:rFonts w:hint="eastAsia" w:ascii="宋体" w:hAnsi="宋体"/>
                <w:b w:val="0"/>
                <w:bCs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5" w:hRule="exact"/>
          <w:jc w:val="center"/>
        </w:trPr>
        <w:tc>
          <w:tcPr>
            <w:tcW w:w="2220" w:type="dxa"/>
            <w:tcBorders>
              <w:bottom w:val="single" w:color="auto" w:sz="4" w:space="0"/>
            </w:tcBorders>
            <w:noWrap w:val="0"/>
            <w:vAlign w:val="center"/>
          </w:tcPr>
          <w:p>
            <w:pPr>
              <w:jc w:val="center"/>
              <w:rPr>
                <w:rFonts w:hint="eastAsia" w:ascii="宋体" w:hAnsi="宋体"/>
                <w:b w:val="0"/>
                <w:bCs w:val="0"/>
                <w:sz w:val="24"/>
              </w:rPr>
            </w:pPr>
            <w:r>
              <w:rPr>
                <w:rFonts w:hint="eastAsia" w:ascii="宋体" w:hAnsi="宋体"/>
                <w:b w:val="0"/>
                <w:bCs w:val="0"/>
                <w:sz w:val="24"/>
              </w:rPr>
              <w:t>保证金金额</w:t>
            </w:r>
          </w:p>
        </w:tc>
        <w:tc>
          <w:tcPr>
            <w:tcW w:w="7040" w:type="dxa"/>
            <w:gridSpan w:val="2"/>
            <w:tcBorders>
              <w:bottom w:val="single" w:color="auto" w:sz="4" w:space="0"/>
            </w:tcBorders>
            <w:noWrap w:val="0"/>
            <w:vAlign w:val="center"/>
          </w:tcPr>
          <w:p>
            <w:pPr>
              <w:jc w:val="center"/>
              <w:rPr>
                <w:rFonts w:hint="eastAsia" w:ascii="宋体" w:hAnsi="宋体"/>
                <w:b w:val="0"/>
                <w:bCs w:val="0"/>
                <w:sz w:val="24"/>
              </w:rPr>
            </w:pPr>
            <w:r>
              <w:rPr>
                <w:rFonts w:hint="eastAsia" w:ascii="宋体" w:hAnsi="宋体"/>
                <w:b w:val="0"/>
                <w:bCs w:val="0"/>
                <w:sz w:val="24"/>
              </w:rPr>
              <w:t>￥</w:t>
            </w:r>
            <w:r>
              <w:rPr>
                <w:rFonts w:hint="eastAsia" w:ascii="宋体" w:hAnsi="宋体"/>
                <w:b w:val="0"/>
                <w:bCs w:val="0"/>
                <w:sz w:val="24"/>
                <w:u w:val="single"/>
              </w:rPr>
              <w:t xml:space="preserve">          </w:t>
            </w:r>
            <w:r>
              <w:rPr>
                <w:rFonts w:hint="eastAsia" w:ascii="宋体" w:hAnsi="宋体"/>
                <w:b w:val="0"/>
                <w:bCs w:val="0"/>
                <w:sz w:val="24"/>
              </w:rPr>
              <w:t>.00（人民币</w:t>
            </w:r>
            <w:r>
              <w:rPr>
                <w:rFonts w:hint="eastAsia" w:ascii="宋体" w:hAnsi="宋体"/>
                <w:b w:val="0"/>
                <w:bCs w:val="0"/>
                <w:sz w:val="24"/>
                <w:u w:val="single"/>
              </w:rPr>
              <w:t xml:space="preserve">                  </w:t>
            </w:r>
            <w:r>
              <w:rPr>
                <w:rFonts w:hint="eastAsia" w:ascii="宋体" w:hAnsi="宋体"/>
                <w:b w:val="0"/>
                <w:bCs w:val="0"/>
                <w:sz w:val="24"/>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5" w:hRule="exact"/>
          <w:jc w:val="center"/>
        </w:trPr>
        <w:tc>
          <w:tcPr>
            <w:tcW w:w="2220" w:type="dxa"/>
            <w:noWrap w:val="0"/>
            <w:vAlign w:val="center"/>
          </w:tcPr>
          <w:p>
            <w:pPr>
              <w:jc w:val="center"/>
              <w:rPr>
                <w:rFonts w:hint="eastAsia" w:ascii="宋体" w:hAnsi="宋体"/>
                <w:b w:val="0"/>
                <w:bCs w:val="0"/>
                <w:sz w:val="24"/>
              </w:rPr>
            </w:pPr>
            <w:r>
              <w:rPr>
                <w:rFonts w:hint="eastAsia" w:ascii="宋体" w:hAnsi="宋体"/>
                <w:b w:val="0"/>
                <w:bCs w:val="0"/>
                <w:sz w:val="24"/>
              </w:rPr>
              <w:t>投标人名称（全称）</w:t>
            </w:r>
          </w:p>
        </w:tc>
        <w:tc>
          <w:tcPr>
            <w:tcW w:w="7040" w:type="dxa"/>
            <w:gridSpan w:val="2"/>
            <w:noWrap w:val="0"/>
            <w:vAlign w:val="center"/>
          </w:tcPr>
          <w:p>
            <w:pPr>
              <w:jc w:val="center"/>
              <w:rPr>
                <w:rFonts w:hint="eastAsia" w:ascii="宋体" w:hAnsi="宋体"/>
                <w:b w:val="0"/>
                <w:bCs w:val="0"/>
                <w:sz w:val="24"/>
              </w:rPr>
            </w:pPr>
            <w:r>
              <w:rPr>
                <w:rFonts w:hint="eastAsia" w:ascii="宋体" w:hAnsi="宋体"/>
                <w:b w:val="0"/>
                <w:bCs w:val="0"/>
                <w:sz w:val="24"/>
              </w:rPr>
              <w:t xml:space="preserve">                               （盖章）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5" w:hRule="exact"/>
          <w:jc w:val="center"/>
        </w:trPr>
        <w:tc>
          <w:tcPr>
            <w:tcW w:w="2220" w:type="dxa"/>
            <w:vMerge w:val="restart"/>
            <w:noWrap w:val="0"/>
            <w:vAlign w:val="center"/>
          </w:tcPr>
          <w:p>
            <w:pPr>
              <w:jc w:val="center"/>
              <w:rPr>
                <w:rFonts w:hint="eastAsia" w:ascii="宋体" w:hAnsi="宋体"/>
                <w:b w:val="0"/>
                <w:bCs w:val="0"/>
                <w:sz w:val="24"/>
              </w:rPr>
            </w:pPr>
            <w:r>
              <w:rPr>
                <w:rFonts w:hint="eastAsia" w:ascii="宋体" w:hAnsi="宋体"/>
                <w:b w:val="0"/>
                <w:bCs w:val="0"/>
                <w:sz w:val="24"/>
              </w:rPr>
              <w:t>联系人及联系方式</w:t>
            </w:r>
          </w:p>
        </w:tc>
        <w:tc>
          <w:tcPr>
            <w:tcW w:w="2402" w:type="dxa"/>
            <w:tcBorders>
              <w:bottom w:val="single" w:color="auto" w:sz="4" w:space="0"/>
              <w:right w:val="single" w:color="auto" w:sz="4" w:space="0"/>
            </w:tcBorders>
            <w:noWrap w:val="0"/>
            <w:vAlign w:val="center"/>
          </w:tcPr>
          <w:p>
            <w:pPr>
              <w:jc w:val="center"/>
              <w:rPr>
                <w:rFonts w:hint="eastAsia" w:ascii="宋体" w:hAnsi="宋体"/>
                <w:b w:val="0"/>
                <w:bCs w:val="0"/>
                <w:sz w:val="24"/>
              </w:rPr>
            </w:pPr>
            <w:r>
              <w:rPr>
                <w:rFonts w:hint="eastAsia" w:ascii="宋体" w:hAnsi="宋体"/>
                <w:b w:val="0"/>
                <w:bCs w:val="0"/>
                <w:sz w:val="24"/>
              </w:rPr>
              <w:t>联系人</w:t>
            </w:r>
          </w:p>
        </w:tc>
        <w:tc>
          <w:tcPr>
            <w:tcW w:w="4638" w:type="dxa"/>
            <w:tcBorders>
              <w:left w:val="single" w:color="auto" w:sz="4" w:space="0"/>
              <w:bottom w:val="single" w:color="auto" w:sz="4" w:space="0"/>
            </w:tcBorders>
            <w:noWrap w:val="0"/>
            <w:vAlign w:val="center"/>
          </w:tcPr>
          <w:p>
            <w:pPr>
              <w:jc w:val="center"/>
              <w:rPr>
                <w:rFonts w:hint="eastAsia" w:ascii="宋体" w:hAnsi="宋体"/>
                <w:b w:val="0"/>
                <w:bCs w:val="0"/>
                <w:sz w:val="24"/>
              </w:rPr>
            </w:pPr>
            <w:r>
              <w:rPr>
                <w:rFonts w:hint="eastAsia" w:ascii="宋体" w:hAnsi="宋体"/>
                <w:b w:val="0"/>
                <w:bCs w:val="0"/>
                <w:sz w:val="24"/>
              </w:rPr>
              <w:t>联系方式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3" w:hRule="exact"/>
          <w:jc w:val="center"/>
        </w:trPr>
        <w:tc>
          <w:tcPr>
            <w:tcW w:w="2220" w:type="dxa"/>
            <w:vMerge w:val="continue"/>
            <w:noWrap w:val="0"/>
            <w:vAlign w:val="center"/>
          </w:tcPr>
          <w:p>
            <w:pPr>
              <w:jc w:val="center"/>
              <w:rPr>
                <w:rFonts w:hint="eastAsia" w:ascii="宋体" w:hAnsi="宋体"/>
                <w:b w:val="0"/>
                <w:bCs w:val="0"/>
                <w:sz w:val="24"/>
              </w:rPr>
            </w:pPr>
          </w:p>
        </w:tc>
        <w:tc>
          <w:tcPr>
            <w:tcW w:w="2402" w:type="dxa"/>
            <w:tcBorders>
              <w:top w:val="single" w:color="auto" w:sz="4" w:space="0"/>
              <w:right w:val="single" w:color="auto" w:sz="4" w:space="0"/>
            </w:tcBorders>
            <w:noWrap w:val="0"/>
            <w:vAlign w:val="center"/>
          </w:tcPr>
          <w:p>
            <w:pPr>
              <w:jc w:val="center"/>
              <w:rPr>
                <w:rFonts w:hint="eastAsia" w:ascii="宋体" w:hAnsi="宋体"/>
                <w:b w:val="0"/>
                <w:bCs w:val="0"/>
                <w:sz w:val="24"/>
              </w:rPr>
            </w:pPr>
          </w:p>
        </w:tc>
        <w:tc>
          <w:tcPr>
            <w:tcW w:w="4638" w:type="dxa"/>
            <w:tcBorders>
              <w:top w:val="single" w:color="auto" w:sz="4" w:space="0"/>
              <w:left w:val="single" w:color="auto" w:sz="4" w:space="0"/>
            </w:tcBorders>
            <w:noWrap w:val="0"/>
            <w:vAlign w:val="center"/>
          </w:tcPr>
          <w:p>
            <w:pPr>
              <w:spacing w:line="360" w:lineRule="exact"/>
              <w:jc w:val="left"/>
              <w:rPr>
                <w:rFonts w:hint="eastAsia" w:ascii="宋体" w:hAnsi="宋体"/>
                <w:b w:val="0"/>
                <w:bCs w:val="0"/>
                <w:sz w:val="24"/>
              </w:rPr>
            </w:pPr>
            <w:r>
              <w:rPr>
                <w:rFonts w:hint="eastAsia" w:ascii="宋体" w:hAnsi="宋体"/>
                <w:b w:val="0"/>
                <w:bCs w:val="0"/>
                <w:sz w:val="24"/>
              </w:rPr>
              <w:t>移动电话：</w:t>
            </w:r>
          </w:p>
          <w:p>
            <w:pPr>
              <w:spacing w:line="360" w:lineRule="exact"/>
              <w:jc w:val="left"/>
              <w:rPr>
                <w:rFonts w:hint="eastAsia" w:ascii="宋体" w:hAnsi="宋体"/>
                <w:b w:val="0"/>
                <w:bCs w:val="0"/>
                <w:sz w:val="24"/>
              </w:rPr>
            </w:pPr>
            <w:r>
              <w:rPr>
                <w:rFonts w:hint="eastAsia" w:ascii="宋体" w:hAnsi="宋体"/>
                <w:b w:val="0"/>
                <w:bCs w:val="0"/>
                <w:sz w:val="24"/>
              </w:rPr>
              <w:t>固定电话：</w:t>
            </w:r>
          </w:p>
          <w:p>
            <w:pPr>
              <w:jc w:val="center"/>
              <w:rPr>
                <w:rFonts w:hint="eastAsia" w:ascii="宋体" w:hAnsi="宋体"/>
                <w:b w:val="0"/>
                <w:bCs w:val="0"/>
                <w:sz w:val="24"/>
              </w:rPr>
            </w:pPr>
          </w:p>
          <w:p>
            <w:pPr>
              <w:jc w:val="center"/>
              <w:rPr>
                <w:rFonts w:hint="eastAsia" w:ascii="宋体" w:hAnsi="宋体"/>
                <w:b w:val="0"/>
                <w:bCs w:val="0"/>
                <w:sz w:val="24"/>
              </w:rPr>
            </w:pPr>
          </w:p>
          <w:p>
            <w:pPr>
              <w:jc w:val="center"/>
              <w:rPr>
                <w:rFonts w:hint="eastAsia" w:ascii="宋体" w:hAnsi="宋体"/>
                <w:b w:val="0"/>
                <w:bCs w:val="0"/>
                <w:sz w:val="24"/>
              </w:rPr>
            </w:pPr>
          </w:p>
          <w:p>
            <w:pPr>
              <w:jc w:val="center"/>
              <w:rPr>
                <w:rFonts w:hint="eastAsia" w:ascii="宋体" w:hAnsi="宋体"/>
                <w:b w:val="0"/>
                <w:bCs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8" w:hRule="exact"/>
          <w:jc w:val="center"/>
        </w:trPr>
        <w:tc>
          <w:tcPr>
            <w:tcW w:w="2220" w:type="dxa"/>
            <w:noWrap w:val="0"/>
            <w:vAlign w:val="center"/>
          </w:tcPr>
          <w:p>
            <w:pPr>
              <w:jc w:val="center"/>
              <w:rPr>
                <w:rFonts w:hint="eastAsia" w:ascii="宋体" w:hAnsi="宋体"/>
                <w:b w:val="0"/>
                <w:bCs w:val="0"/>
                <w:sz w:val="24"/>
              </w:rPr>
            </w:pPr>
            <w:r>
              <w:rPr>
                <w:rFonts w:hint="eastAsia" w:ascii="宋体" w:hAnsi="宋体"/>
                <w:b w:val="0"/>
                <w:bCs w:val="0"/>
                <w:sz w:val="24"/>
              </w:rPr>
              <w:t>是否中标</w:t>
            </w:r>
          </w:p>
        </w:tc>
        <w:tc>
          <w:tcPr>
            <w:tcW w:w="2402" w:type="dxa"/>
            <w:tcBorders>
              <w:top w:val="single" w:color="auto" w:sz="4" w:space="0"/>
              <w:right w:val="single" w:color="auto" w:sz="4" w:space="0"/>
            </w:tcBorders>
            <w:noWrap w:val="0"/>
            <w:vAlign w:val="center"/>
          </w:tcPr>
          <w:p>
            <w:pPr>
              <w:rPr>
                <w:rFonts w:hint="eastAsia" w:ascii="宋体" w:hAnsi="宋体"/>
                <w:b w:val="0"/>
                <w:bCs w:val="0"/>
                <w:sz w:val="24"/>
              </w:rPr>
            </w:pPr>
          </w:p>
        </w:tc>
        <w:tc>
          <w:tcPr>
            <w:tcW w:w="4638" w:type="dxa"/>
            <w:tcBorders>
              <w:top w:val="single" w:color="auto" w:sz="4" w:space="0"/>
              <w:left w:val="single" w:color="auto" w:sz="4" w:space="0"/>
            </w:tcBorders>
            <w:noWrap w:val="0"/>
            <w:vAlign w:val="center"/>
          </w:tcPr>
          <w:p>
            <w:pPr>
              <w:rPr>
                <w:rFonts w:hint="eastAsia" w:ascii="宋体" w:hAnsi="宋体"/>
                <w:b w:val="0"/>
                <w:bCs w:val="0"/>
                <w:sz w:val="24"/>
              </w:rPr>
            </w:pPr>
            <w:r>
              <w:rPr>
                <w:rFonts w:hint="eastAsia" w:ascii="宋体" w:hAnsi="宋体"/>
                <w:b w:val="0"/>
                <w:bCs w:val="0"/>
                <w:sz w:val="24"/>
              </w:rPr>
              <w:t>中标金额：      （未中标划“/”）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4" w:hRule="exact"/>
          <w:jc w:val="center"/>
        </w:trPr>
        <w:tc>
          <w:tcPr>
            <w:tcW w:w="2220" w:type="dxa"/>
            <w:noWrap w:val="0"/>
            <w:vAlign w:val="center"/>
          </w:tcPr>
          <w:p>
            <w:pPr>
              <w:spacing w:line="400" w:lineRule="exact"/>
              <w:jc w:val="center"/>
              <w:rPr>
                <w:rFonts w:hint="eastAsia" w:ascii="宋体" w:hAnsi="宋体"/>
                <w:b w:val="0"/>
                <w:bCs w:val="0"/>
                <w:sz w:val="24"/>
              </w:rPr>
            </w:pPr>
            <w:r>
              <w:rPr>
                <w:rFonts w:hint="eastAsia" w:ascii="宋体" w:hAnsi="宋体"/>
                <w:b w:val="0"/>
                <w:bCs w:val="0"/>
                <w:sz w:val="24"/>
              </w:rPr>
              <w:t>收款账户名称</w:t>
            </w:r>
          </w:p>
          <w:p>
            <w:pPr>
              <w:jc w:val="center"/>
              <w:rPr>
                <w:rFonts w:hint="eastAsia" w:ascii="宋体" w:hAnsi="宋体"/>
                <w:b w:val="0"/>
                <w:bCs w:val="0"/>
                <w:sz w:val="24"/>
              </w:rPr>
            </w:pPr>
            <w:r>
              <w:rPr>
                <w:rFonts w:hint="eastAsia" w:ascii="宋体" w:hAnsi="宋体"/>
                <w:b w:val="0"/>
                <w:bCs w:val="0"/>
                <w:sz w:val="24"/>
              </w:rPr>
              <w:t>（全称）</w:t>
            </w:r>
          </w:p>
          <w:p>
            <w:pPr>
              <w:jc w:val="center"/>
              <w:rPr>
                <w:rFonts w:hint="eastAsia" w:ascii="宋体" w:hAnsi="宋体"/>
                <w:b w:val="0"/>
                <w:bCs w:val="0"/>
                <w:sz w:val="24"/>
              </w:rPr>
            </w:pPr>
          </w:p>
          <w:p>
            <w:pPr>
              <w:jc w:val="center"/>
              <w:rPr>
                <w:rFonts w:hint="eastAsia" w:ascii="宋体" w:hAnsi="宋体"/>
                <w:b w:val="0"/>
                <w:bCs w:val="0"/>
                <w:sz w:val="24"/>
              </w:rPr>
            </w:pPr>
          </w:p>
        </w:tc>
        <w:tc>
          <w:tcPr>
            <w:tcW w:w="7040" w:type="dxa"/>
            <w:gridSpan w:val="2"/>
            <w:tcBorders>
              <w:top w:val="single" w:color="auto" w:sz="4" w:space="0"/>
            </w:tcBorders>
            <w:noWrap w:val="0"/>
            <w:vAlign w:val="center"/>
          </w:tcPr>
          <w:p>
            <w:pPr>
              <w:rPr>
                <w:rFonts w:hint="eastAsia" w:ascii="宋体" w:hAnsi="宋体"/>
                <w:b w:val="0"/>
                <w:bCs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5" w:hRule="exact"/>
          <w:jc w:val="center"/>
        </w:trPr>
        <w:tc>
          <w:tcPr>
            <w:tcW w:w="2220" w:type="dxa"/>
            <w:noWrap w:val="0"/>
            <w:vAlign w:val="center"/>
          </w:tcPr>
          <w:p>
            <w:pPr>
              <w:bidi w:val="0"/>
              <w:jc w:val="center"/>
              <w:rPr>
                <w:rFonts w:hint="eastAsia"/>
              </w:rPr>
            </w:pPr>
            <w:r>
              <w:rPr>
                <w:rFonts w:hint="eastAsia"/>
              </w:rPr>
              <w:t>开户行名称</w:t>
            </w:r>
          </w:p>
          <w:p>
            <w:pPr>
              <w:bidi w:val="0"/>
              <w:jc w:val="center"/>
              <w:rPr>
                <w:rFonts w:hint="eastAsia"/>
              </w:rPr>
            </w:pPr>
            <w:r>
              <w:rPr>
                <w:rFonts w:hint="eastAsia"/>
              </w:rPr>
              <w:t>（基本账户、全称）</w:t>
            </w:r>
          </w:p>
        </w:tc>
        <w:tc>
          <w:tcPr>
            <w:tcW w:w="7040" w:type="dxa"/>
            <w:gridSpan w:val="2"/>
            <w:noWrap w:val="0"/>
            <w:vAlign w:val="center"/>
          </w:tcPr>
          <w:p>
            <w:pPr>
              <w:bidi w:val="0"/>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exact"/>
          <w:jc w:val="center"/>
        </w:trPr>
        <w:tc>
          <w:tcPr>
            <w:tcW w:w="2220" w:type="dxa"/>
            <w:noWrap w:val="0"/>
            <w:vAlign w:val="center"/>
          </w:tcPr>
          <w:p>
            <w:pPr>
              <w:bidi w:val="0"/>
              <w:jc w:val="center"/>
              <w:rPr>
                <w:rFonts w:hint="eastAsia"/>
              </w:rPr>
            </w:pPr>
            <w:r>
              <w:rPr>
                <w:rFonts w:hint="eastAsia"/>
              </w:rPr>
              <w:t>开户行帐号</w:t>
            </w:r>
          </w:p>
        </w:tc>
        <w:tc>
          <w:tcPr>
            <w:tcW w:w="7040" w:type="dxa"/>
            <w:gridSpan w:val="2"/>
            <w:noWrap w:val="0"/>
            <w:vAlign w:val="center"/>
          </w:tcPr>
          <w:p>
            <w:pPr>
              <w:bidi w:val="0"/>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5" w:hRule="exact"/>
          <w:jc w:val="center"/>
        </w:trPr>
        <w:tc>
          <w:tcPr>
            <w:tcW w:w="2220" w:type="dxa"/>
            <w:noWrap w:val="0"/>
            <w:vAlign w:val="center"/>
          </w:tcPr>
          <w:p>
            <w:pPr>
              <w:bidi w:val="0"/>
              <w:jc w:val="center"/>
              <w:rPr>
                <w:rFonts w:hint="eastAsia"/>
              </w:rPr>
            </w:pPr>
            <w:r>
              <w:rPr>
                <w:rFonts w:hint="eastAsia"/>
              </w:rPr>
              <w:t>开户行行号</w:t>
            </w:r>
          </w:p>
        </w:tc>
        <w:tc>
          <w:tcPr>
            <w:tcW w:w="7040" w:type="dxa"/>
            <w:gridSpan w:val="2"/>
            <w:noWrap w:val="0"/>
            <w:vAlign w:val="center"/>
          </w:tcPr>
          <w:p>
            <w:pPr>
              <w:bidi w:val="0"/>
              <w:jc w:val="cente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 w:hRule="exact"/>
          <w:jc w:val="center"/>
        </w:trPr>
        <w:tc>
          <w:tcPr>
            <w:tcW w:w="2220" w:type="dxa"/>
            <w:noWrap w:val="0"/>
            <w:vAlign w:val="center"/>
          </w:tcPr>
          <w:p>
            <w:pPr>
              <w:bidi w:val="0"/>
              <w:jc w:val="center"/>
              <w:rPr>
                <w:rFonts w:hint="eastAsia"/>
              </w:rPr>
            </w:pPr>
            <w:r>
              <w:rPr>
                <w:rFonts w:hint="eastAsia"/>
              </w:rPr>
              <w:t>备注</w:t>
            </w:r>
          </w:p>
        </w:tc>
        <w:tc>
          <w:tcPr>
            <w:tcW w:w="7040" w:type="dxa"/>
            <w:gridSpan w:val="2"/>
            <w:noWrap w:val="0"/>
            <w:vAlign w:val="center"/>
          </w:tcPr>
          <w:p>
            <w:pPr>
              <w:bidi w:val="0"/>
              <w:jc w:val="center"/>
              <w:rPr>
                <w:rFonts w:hint="eastAsia"/>
              </w:rPr>
            </w:pPr>
          </w:p>
        </w:tc>
      </w:tr>
    </w:tbl>
    <w:p>
      <w:pPr>
        <w:bidi w:val="0"/>
        <w:outlineLvl w:val="0"/>
        <w:rPr>
          <w:rFonts w:hint="eastAsia" w:ascii="宋体" w:hAnsi="宋体"/>
          <w:b/>
          <w:bCs/>
        </w:rPr>
      </w:pPr>
      <w:bookmarkStart w:id="399" w:name="_Toc2869"/>
      <w:bookmarkStart w:id="400" w:name="_Toc8511"/>
      <w:bookmarkStart w:id="401" w:name="_Toc32254"/>
      <w:r>
        <w:rPr>
          <w:rFonts w:hint="eastAsia" w:ascii="宋体" w:hAnsi="宋体"/>
          <w:b/>
          <w:bCs/>
        </w:rPr>
        <w:t>注：</w:t>
      </w:r>
      <w:bookmarkEnd w:id="399"/>
      <w:bookmarkEnd w:id="400"/>
    </w:p>
    <w:p>
      <w:pPr>
        <w:bidi w:val="0"/>
        <w:rPr>
          <w:rFonts w:hint="eastAsia"/>
          <w:b/>
          <w:bCs/>
        </w:rPr>
      </w:pPr>
      <w:r>
        <w:rPr>
          <w:rFonts w:hint="eastAsia"/>
          <w:b/>
          <w:bCs/>
        </w:rPr>
        <w:t>1.本表必须为打印件，人工填写的表格不接受办理。</w:t>
      </w:r>
      <w:bookmarkEnd w:id="401"/>
    </w:p>
    <w:p>
      <w:pPr>
        <w:bidi w:val="0"/>
        <w:rPr>
          <w:rFonts w:hint="eastAsia"/>
          <w:b/>
          <w:bCs/>
        </w:rPr>
      </w:pPr>
      <w:r>
        <w:rPr>
          <w:rFonts w:hint="eastAsia"/>
          <w:b/>
          <w:bCs/>
        </w:rPr>
        <w:t>2.请将填写后的“投标保证金退还申请书”、“投标保证金</w:t>
      </w:r>
      <w:r>
        <w:rPr>
          <w:rFonts w:hint="eastAsia"/>
          <w:b/>
          <w:bCs/>
          <w:lang w:val="en-US" w:eastAsia="zh-CN"/>
        </w:rPr>
        <w:t>汇款凭证或</w:t>
      </w:r>
      <w:r>
        <w:rPr>
          <w:rFonts w:hint="eastAsia"/>
          <w:b/>
          <w:bCs/>
        </w:rPr>
        <w:t>收据”原件快递至我公司，我方收到以上资料后为投标人办理投标保证金退还。</w:t>
      </w:r>
    </w:p>
    <w:p>
      <w:pPr>
        <w:bidi w:val="0"/>
        <w:rPr>
          <w:rFonts w:hint="eastAsia"/>
          <w:b/>
          <w:bCs/>
        </w:rPr>
      </w:pPr>
      <w:r>
        <w:rPr>
          <w:rFonts w:hint="eastAsia"/>
          <w:b/>
          <w:bCs/>
        </w:rPr>
        <w:t>3.快递请寄：</w:t>
      </w:r>
    </w:p>
    <w:p>
      <w:pPr>
        <w:bidi w:val="0"/>
        <w:ind w:firstLine="482" w:firstLineChars="200"/>
        <w:outlineLvl w:val="0"/>
        <w:rPr>
          <w:rFonts w:hint="eastAsia"/>
          <w:b/>
          <w:bCs/>
        </w:rPr>
      </w:pPr>
      <w:bookmarkStart w:id="402" w:name="_Toc21940"/>
      <w:bookmarkStart w:id="403" w:name="_Toc28383"/>
      <w:r>
        <w:rPr>
          <w:rFonts w:hint="eastAsia"/>
          <w:b/>
          <w:bCs/>
        </w:rPr>
        <w:t>单位名称：中瑞岳华（上海）项目管理有限公司新疆分公司</w:t>
      </w:r>
      <w:bookmarkEnd w:id="402"/>
      <w:bookmarkEnd w:id="403"/>
    </w:p>
    <w:p>
      <w:pPr>
        <w:bidi w:val="0"/>
        <w:ind w:firstLine="482" w:firstLineChars="200"/>
        <w:outlineLvl w:val="0"/>
        <w:rPr>
          <w:rFonts w:hint="eastAsia"/>
          <w:b/>
          <w:bCs/>
        </w:rPr>
      </w:pPr>
      <w:bookmarkStart w:id="404" w:name="_Toc4289"/>
      <w:bookmarkStart w:id="405" w:name="_Toc17278"/>
      <w:r>
        <w:rPr>
          <w:rFonts w:hint="eastAsia"/>
          <w:b/>
          <w:bCs/>
        </w:rPr>
        <w:t xml:space="preserve">地  </w:t>
      </w:r>
      <w:r>
        <w:rPr>
          <w:rFonts w:hint="eastAsia"/>
          <w:b/>
          <w:bCs/>
          <w:lang w:val="en-US" w:eastAsia="zh-CN"/>
        </w:rPr>
        <w:t xml:space="preserve">  </w:t>
      </w:r>
      <w:r>
        <w:rPr>
          <w:rFonts w:hint="eastAsia"/>
          <w:b/>
          <w:bCs/>
        </w:rPr>
        <w:t>址： 新疆乌鲁木齐经济技术开发区庐山街6</w:t>
      </w:r>
      <w:r>
        <w:rPr>
          <w:b/>
          <w:bCs/>
        </w:rPr>
        <w:t>96</w:t>
      </w:r>
      <w:r>
        <w:rPr>
          <w:rFonts w:hint="eastAsia"/>
          <w:b/>
          <w:bCs/>
        </w:rPr>
        <w:t>号丝绸之路交易中心1</w:t>
      </w:r>
      <w:r>
        <w:rPr>
          <w:b/>
          <w:bCs/>
        </w:rPr>
        <w:t>604</w:t>
      </w:r>
      <w:bookmarkEnd w:id="404"/>
      <w:bookmarkEnd w:id="405"/>
    </w:p>
    <w:p>
      <w:pPr>
        <w:bidi w:val="0"/>
        <w:ind w:firstLine="482" w:firstLineChars="200"/>
        <w:outlineLvl w:val="0"/>
        <w:rPr>
          <w:lang w:eastAsia="zh-CN"/>
        </w:rPr>
      </w:pPr>
      <w:bookmarkStart w:id="406" w:name="_Toc31573"/>
      <w:bookmarkStart w:id="407" w:name="_Toc12144"/>
      <w:r>
        <w:rPr>
          <w:rFonts w:hint="eastAsia"/>
          <w:b/>
          <w:bCs/>
        </w:rPr>
        <w:t>收</w:t>
      </w:r>
      <w:r>
        <w:rPr>
          <w:rFonts w:hint="eastAsia"/>
          <w:b/>
          <w:bCs/>
          <w:lang w:val="en-US" w:eastAsia="zh-CN"/>
        </w:rPr>
        <w:t xml:space="preserve"> </w:t>
      </w:r>
      <w:r>
        <w:rPr>
          <w:rFonts w:hint="eastAsia"/>
          <w:b/>
          <w:bCs/>
        </w:rPr>
        <w:t>件</w:t>
      </w:r>
      <w:r>
        <w:rPr>
          <w:rFonts w:hint="eastAsia"/>
          <w:b/>
          <w:bCs/>
          <w:lang w:val="en-US" w:eastAsia="zh-CN"/>
        </w:rPr>
        <w:t xml:space="preserve"> </w:t>
      </w:r>
      <w:r>
        <w:rPr>
          <w:rFonts w:hint="eastAsia"/>
          <w:b/>
          <w:bCs/>
        </w:rPr>
        <w:t xml:space="preserve">人：令文君 </w:t>
      </w:r>
      <w:r>
        <w:rPr>
          <w:rFonts w:hint="eastAsia"/>
          <w:b/>
          <w:bCs/>
          <w:lang w:eastAsia="zh-CN"/>
        </w:rPr>
        <w:t>，</w:t>
      </w:r>
      <w:r>
        <w:rPr>
          <w:rFonts w:hint="eastAsia"/>
          <w:b/>
          <w:bCs/>
        </w:rPr>
        <w:t>电话：</w:t>
      </w:r>
      <w:bookmarkEnd w:id="397"/>
      <w:r>
        <w:rPr>
          <w:b/>
          <w:bCs/>
        </w:rPr>
        <w:t>15160968614</w:t>
      </w:r>
      <w:bookmarkEnd w:id="406"/>
      <w:bookmarkEnd w:id="407"/>
    </w:p>
    <w:p>
      <w:pPr>
        <w:bidi w:val="0"/>
        <w:rPr>
          <w:lang w:eastAsia="zh-CN"/>
        </w:rPr>
      </w:pPr>
    </w:p>
    <w:p>
      <w:pPr>
        <w:bidi w:val="0"/>
        <w:jc w:val="right"/>
        <w:rPr>
          <w:lang w:eastAsia="zh-CN"/>
        </w:rPr>
      </w:pPr>
    </w:p>
    <w:sectPr>
      <w:pgSz w:w="11906" w:h="16838"/>
      <w:pgMar w:top="1440" w:right="1077" w:bottom="1440" w:left="1077"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36855"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36855"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0.85pt;width:18.65pt;mso-position-horizontal:center;mso-position-horizontal-relative:margin;z-index:251659264;mso-width-relative:page;mso-height-relative:page;" filled="f" stroked="f" coordsize="21600,21600" o:gfxdata="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Vi8uA0wAAAAMBAAAPAAAAAAAAAAEAIAAAACIAAABkcnMvZG93bnJldi54bWxQSwEC&#10;FAAUAAAACACHTuJAnIWlCDICAABVBAAADgAAAAAAAAABACAAAAAiAQAAZHJzL2Uyb0RvYy54bWxQ&#10;SwUGAAAAAAYABgBZAQAAxgUAAAAA&#10;">
              <v:fill on="f" focussize="0,0"/>
              <v:stroke on="f" weight="0.5pt"/>
              <v:imagedata o:title=""/>
              <o:lock v:ext="edit" aspectratio="f"/>
              <v:textbox inset="0mm,0mm,0mm,0mm">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360" w:lineRule="auto"/>
      </w:pPr>
      <w:r>
        <w:separator/>
      </w:r>
    </w:p>
  </w:footnote>
  <w:footnote w:type="continuationSeparator" w:id="5">
    <w:p>
      <w:pPr>
        <w:spacing w:line="360" w:lineRule="auto"/>
      </w:pPr>
      <w:r>
        <w:continuationSeparator/>
      </w:r>
    </w:p>
  </w:footnote>
  <w:footnote w:id="0">
    <w:p>
      <w:pPr>
        <w:pStyle w:val="19"/>
      </w:pPr>
      <w:r>
        <w:rPr>
          <w:rStyle w:val="31"/>
        </w:rPr>
        <w:footnoteRef/>
      </w:r>
      <w:r>
        <w:t xml:space="preserve"> </w:t>
      </w:r>
      <w:r>
        <w:rPr>
          <w:rFonts w:hint="eastAsia"/>
          <w:lang w:eastAsia="zh-CN"/>
        </w:rPr>
        <w:t>服务商</w:t>
      </w:r>
      <w:r>
        <w:rPr>
          <w:rFonts w:hint="eastAsia"/>
        </w:rPr>
        <w:t>需按提供的服务或工程标的分别填写，未按规定填写的，视为未提供《中小企业申明函》。</w:t>
      </w:r>
    </w:p>
  </w:footnote>
  <w:footnote w:id="1">
    <w:p>
      <w:pPr>
        <w:pStyle w:val="19"/>
      </w:pPr>
      <w:r>
        <w:rPr>
          <w:rStyle w:val="31"/>
        </w:rPr>
        <w:footnoteRef/>
      </w:r>
      <w:r>
        <w:t xml:space="preserve"> </w:t>
      </w:r>
      <w:r>
        <w:rPr>
          <w:rFonts w:hint="eastAsia"/>
        </w:rPr>
        <w:t>从业人员、营业收入、资产总额填报上一年度数据，无上一年度数据的新成立企业可不填报。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CBCE64"/>
    <w:multiLevelType w:val="singleLevel"/>
    <w:tmpl w:val="BDCBCE64"/>
    <w:lvl w:ilvl="0" w:tentative="0">
      <w:start w:val="7"/>
      <w:numFmt w:val="chineseCounting"/>
      <w:suff w:val="nothing"/>
      <w:lvlText w:val="（%1）"/>
      <w:lvlJc w:val="left"/>
      <w:rPr>
        <w:rFonts w:hint="eastAsia"/>
      </w:rPr>
    </w:lvl>
  </w:abstractNum>
  <w:abstractNum w:abstractNumId="1">
    <w:nsid w:val="48A23B74"/>
    <w:multiLevelType w:val="multilevel"/>
    <w:tmpl w:val="48A23B7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D46ACFA"/>
    <w:multiLevelType w:val="singleLevel"/>
    <w:tmpl w:val="4D46ACFA"/>
    <w:lvl w:ilvl="0" w:tentative="0">
      <w:start w:val="3"/>
      <w:numFmt w:val="chineseCounting"/>
      <w:suff w:val="nothing"/>
      <w:lvlText w:val="%1、"/>
      <w:lvlJc w:val="left"/>
      <w:rPr>
        <w:rFonts w:hint="eastAsia"/>
      </w:rPr>
    </w:lvl>
  </w:abstractNum>
  <w:abstractNum w:abstractNumId="3">
    <w:nsid w:val="61C9BAD6"/>
    <w:multiLevelType w:val="singleLevel"/>
    <w:tmpl w:val="61C9BAD6"/>
    <w:lvl w:ilvl="0" w:tentative="0">
      <w:start w:val="4"/>
      <w:numFmt w:val="chineseCounting"/>
      <w:suff w:val="space"/>
      <w:lvlText w:val="第%1章"/>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758A346A"/>
    <w:rsid w:val="00003D9A"/>
    <w:rsid w:val="00052384"/>
    <w:rsid w:val="000826D8"/>
    <w:rsid w:val="001E78E3"/>
    <w:rsid w:val="00222477"/>
    <w:rsid w:val="0024305B"/>
    <w:rsid w:val="00366917"/>
    <w:rsid w:val="00374A56"/>
    <w:rsid w:val="00383D64"/>
    <w:rsid w:val="00446AC9"/>
    <w:rsid w:val="0045042A"/>
    <w:rsid w:val="004B7905"/>
    <w:rsid w:val="004D2D1F"/>
    <w:rsid w:val="004E6790"/>
    <w:rsid w:val="00537CB9"/>
    <w:rsid w:val="005441F7"/>
    <w:rsid w:val="005B2F68"/>
    <w:rsid w:val="00655184"/>
    <w:rsid w:val="006C3802"/>
    <w:rsid w:val="007F53BC"/>
    <w:rsid w:val="00836FDE"/>
    <w:rsid w:val="00865DD4"/>
    <w:rsid w:val="008F4AA2"/>
    <w:rsid w:val="00915F98"/>
    <w:rsid w:val="00983A3A"/>
    <w:rsid w:val="009E572A"/>
    <w:rsid w:val="009F26D5"/>
    <w:rsid w:val="00A76B01"/>
    <w:rsid w:val="00A96F0D"/>
    <w:rsid w:val="00AF5BEA"/>
    <w:rsid w:val="00B74158"/>
    <w:rsid w:val="00B86985"/>
    <w:rsid w:val="00C517FF"/>
    <w:rsid w:val="00CF4C9C"/>
    <w:rsid w:val="00D31699"/>
    <w:rsid w:val="00D67A43"/>
    <w:rsid w:val="00D9012D"/>
    <w:rsid w:val="00DC0D73"/>
    <w:rsid w:val="00E03A92"/>
    <w:rsid w:val="00EB658B"/>
    <w:rsid w:val="00ED2357"/>
    <w:rsid w:val="00F75270"/>
    <w:rsid w:val="00FF33A7"/>
    <w:rsid w:val="01504677"/>
    <w:rsid w:val="01D7512E"/>
    <w:rsid w:val="02347B1E"/>
    <w:rsid w:val="02587777"/>
    <w:rsid w:val="02685C0C"/>
    <w:rsid w:val="02932CBC"/>
    <w:rsid w:val="029742B6"/>
    <w:rsid w:val="03100052"/>
    <w:rsid w:val="037100EB"/>
    <w:rsid w:val="03B93F9D"/>
    <w:rsid w:val="03F4746D"/>
    <w:rsid w:val="03F57DA8"/>
    <w:rsid w:val="04041F97"/>
    <w:rsid w:val="04192C2C"/>
    <w:rsid w:val="04C34EC5"/>
    <w:rsid w:val="04CA0AED"/>
    <w:rsid w:val="04D40563"/>
    <w:rsid w:val="04F65FDF"/>
    <w:rsid w:val="05577733"/>
    <w:rsid w:val="05792708"/>
    <w:rsid w:val="05837ACB"/>
    <w:rsid w:val="059E7B97"/>
    <w:rsid w:val="05D451B3"/>
    <w:rsid w:val="06385BD9"/>
    <w:rsid w:val="066944DC"/>
    <w:rsid w:val="06BF0AA6"/>
    <w:rsid w:val="07090C6F"/>
    <w:rsid w:val="071F6AB6"/>
    <w:rsid w:val="07D94CA7"/>
    <w:rsid w:val="07F54A27"/>
    <w:rsid w:val="080B32B1"/>
    <w:rsid w:val="08993658"/>
    <w:rsid w:val="089E539B"/>
    <w:rsid w:val="08A406FE"/>
    <w:rsid w:val="09034EC4"/>
    <w:rsid w:val="09752318"/>
    <w:rsid w:val="097547D9"/>
    <w:rsid w:val="098E6CDB"/>
    <w:rsid w:val="0ACD3F1C"/>
    <w:rsid w:val="0AF268DA"/>
    <w:rsid w:val="0B6235F2"/>
    <w:rsid w:val="0B951847"/>
    <w:rsid w:val="0BD346EA"/>
    <w:rsid w:val="0BDE34EB"/>
    <w:rsid w:val="0C6E02C3"/>
    <w:rsid w:val="0CAE6912"/>
    <w:rsid w:val="0CF23634"/>
    <w:rsid w:val="0D576FA9"/>
    <w:rsid w:val="0DA53E4B"/>
    <w:rsid w:val="0DAD36CA"/>
    <w:rsid w:val="0E846CDD"/>
    <w:rsid w:val="0EA35CAC"/>
    <w:rsid w:val="0EE347C6"/>
    <w:rsid w:val="0F40546A"/>
    <w:rsid w:val="0F5E5CF0"/>
    <w:rsid w:val="0F671466"/>
    <w:rsid w:val="0F891892"/>
    <w:rsid w:val="0F90683B"/>
    <w:rsid w:val="0FA27922"/>
    <w:rsid w:val="0FA73CB7"/>
    <w:rsid w:val="0FD3160B"/>
    <w:rsid w:val="0FF00A3E"/>
    <w:rsid w:val="100A23F4"/>
    <w:rsid w:val="10621E67"/>
    <w:rsid w:val="10753493"/>
    <w:rsid w:val="11AD363C"/>
    <w:rsid w:val="11F2041B"/>
    <w:rsid w:val="12353F49"/>
    <w:rsid w:val="12592B1D"/>
    <w:rsid w:val="129C545E"/>
    <w:rsid w:val="13223BB5"/>
    <w:rsid w:val="135429B4"/>
    <w:rsid w:val="140F0CD6"/>
    <w:rsid w:val="144834BD"/>
    <w:rsid w:val="14AE44CC"/>
    <w:rsid w:val="14C03686"/>
    <w:rsid w:val="150E0EA5"/>
    <w:rsid w:val="15C119FD"/>
    <w:rsid w:val="15D440F0"/>
    <w:rsid w:val="15EC186A"/>
    <w:rsid w:val="161812A0"/>
    <w:rsid w:val="164567E5"/>
    <w:rsid w:val="1687358E"/>
    <w:rsid w:val="168F1D1C"/>
    <w:rsid w:val="169412C0"/>
    <w:rsid w:val="16B26E62"/>
    <w:rsid w:val="16EA2C3C"/>
    <w:rsid w:val="16EA4F66"/>
    <w:rsid w:val="179D45DE"/>
    <w:rsid w:val="18900A98"/>
    <w:rsid w:val="189A16E7"/>
    <w:rsid w:val="195B1BCF"/>
    <w:rsid w:val="19AC242B"/>
    <w:rsid w:val="19FC57AC"/>
    <w:rsid w:val="1A2C729C"/>
    <w:rsid w:val="1A3E7D2E"/>
    <w:rsid w:val="1A4B4535"/>
    <w:rsid w:val="1A742525"/>
    <w:rsid w:val="1AE27BE9"/>
    <w:rsid w:val="1B887D9B"/>
    <w:rsid w:val="1B8C15E8"/>
    <w:rsid w:val="1BA4488D"/>
    <w:rsid w:val="1C64256B"/>
    <w:rsid w:val="1C8E2992"/>
    <w:rsid w:val="1CA35D4F"/>
    <w:rsid w:val="1D2B6F84"/>
    <w:rsid w:val="1E3236C0"/>
    <w:rsid w:val="1E4D2C71"/>
    <w:rsid w:val="1E561C58"/>
    <w:rsid w:val="1EA071AC"/>
    <w:rsid w:val="1EBB1CE9"/>
    <w:rsid w:val="1EC57AEB"/>
    <w:rsid w:val="1EED6DD1"/>
    <w:rsid w:val="1FA37E2C"/>
    <w:rsid w:val="1FAF67D1"/>
    <w:rsid w:val="20300903"/>
    <w:rsid w:val="20360CA0"/>
    <w:rsid w:val="20A601D3"/>
    <w:rsid w:val="20BB73F7"/>
    <w:rsid w:val="21004DD5"/>
    <w:rsid w:val="21B45D17"/>
    <w:rsid w:val="21E776F8"/>
    <w:rsid w:val="21EE0A4F"/>
    <w:rsid w:val="22110411"/>
    <w:rsid w:val="22146DBF"/>
    <w:rsid w:val="226141D0"/>
    <w:rsid w:val="2307254B"/>
    <w:rsid w:val="233B2587"/>
    <w:rsid w:val="237B432D"/>
    <w:rsid w:val="23DC1B5F"/>
    <w:rsid w:val="24A73F1B"/>
    <w:rsid w:val="24D97AB1"/>
    <w:rsid w:val="25557296"/>
    <w:rsid w:val="25D83C3B"/>
    <w:rsid w:val="25E64E1F"/>
    <w:rsid w:val="2626084F"/>
    <w:rsid w:val="264B3767"/>
    <w:rsid w:val="27207FB4"/>
    <w:rsid w:val="273962DF"/>
    <w:rsid w:val="276500BD"/>
    <w:rsid w:val="27933A57"/>
    <w:rsid w:val="27CD7A6B"/>
    <w:rsid w:val="28392D79"/>
    <w:rsid w:val="287E5298"/>
    <w:rsid w:val="29173501"/>
    <w:rsid w:val="29260D4F"/>
    <w:rsid w:val="29E42303"/>
    <w:rsid w:val="2A2B114A"/>
    <w:rsid w:val="2A6E1B87"/>
    <w:rsid w:val="2AA54DDB"/>
    <w:rsid w:val="2ABF778F"/>
    <w:rsid w:val="2AF7727E"/>
    <w:rsid w:val="2B036A4B"/>
    <w:rsid w:val="2BEE1B4E"/>
    <w:rsid w:val="2C0518EC"/>
    <w:rsid w:val="2CA40D97"/>
    <w:rsid w:val="2CCD64E8"/>
    <w:rsid w:val="2CDD649C"/>
    <w:rsid w:val="2CE26B31"/>
    <w:rsid w:val="2D301196"/>
    <w:rsid w:val="2D7459AC"/>
    <w:rsid w:val="2E642B63"/>
    <w:rsid w:val="2E9D2300"/>
    <w:rsid w:val="2ED77737"/>
    <w:rsid w:val="2F083808"/>
    <w:rsid w:val="2F1D07EE"/>
    <w:rsid w:val="2F435B80"/>
    <w:rsid w:val="2FAC16BE"/>
    <w:rsid w:val="2FD03066"/>
    <w:rsid w:val="2FF4408E"/>
    <w:rsid w:val="2FF665EE"/>
    <w:rsid w:val="30974CB4"/>
    <w:rsid w:val="313905C7"/>
    <w:rsid w:val="318D26EA"/>
    <w:rsid w:val="31C814B2"/>
    <w:rsid w:val="31FE661B"/>
    <w:rsid w:val="32186458"/>
    <w:rsid w:val="3267745C"/>
    <w:rsid w:val="32877139"/>
    <w:rsid w:val="338D4C23"/>
    <w:rsid w:val="343A7B12"/>
    <w:rsid w:val="34897D69"/>
    <w:rsid w:val="348B4458"/>
    <w:rsid w:val="34E30390"/>
    <w:rsid w:val="359978AF"/>
    <w:rsid w:val="35ED19A9"/>
    <w:rsid w:val="367844FB"/>
    <w:rsid w:val="36CE19B4"/>
    <w:rsid w:val="36D85C0D"/>
    <w:rsid w:val="370139A9"/>
    <w:rsid w:val="370A336F"/>
    <w:rsid w:val="37225683"/>
    <w:rsid w:val="37485D87"/>
    <w:rsid w:val="377C3473"/>
    <w:rsid w:val="378943C9"/>
    <w:rsid w:val="37BC2797"/>
    <w:rsid w:val="380E648C"/>
    <w:rsid w:val="38543F62"/>
    <w:rsid w:val="3904020F"/>
    <w:rsid w:val="39E06DBA"/>
    <w:rsid w:val="3A12631A"/>
    <w:rsid w:val="3A2F0543"/>
    <w:rsid w:val="3A6A7F88"/>
    <w:rsid w:val="3A7947CB"/>
    <w:rsid w:val="3AA12D62"/>
    <w:rsid w:val="3BDE1E22"/>
    <w:rsid w:val="3CD40FF5"/>
    <w:rsid w:val="3CDD2E89"/>
    <w:rsid w:val="3CF059D3"/>
    <w:rsid w:val="3D7C2E95"/>
    <w:rsid w:val="3D8B437F"/>
    <w:rsid w:val="3DE65DA3"/>
    <w:rsid w:val="3E0D6F40"/>
    <w:rsid w:val="3E1F55EE"/>
    <w:rsid w:val="3E293C02"/>
    <w:rsid w:val="3E324050"/>
    <w:rsid w:val="3F225195"/>
    <w:rsid w:val="401339F2"/>
    <w:rsid w:val="405E13E8"/>
    <w:rsid w:val="419D6C61"/>
    <w:rsid w:val="41B7244F"/>
    <w:rsid w:val="42A47C47"/>
    <w:rsid w:val="42AB302B"/>
    <w:rsid w:val="42AD1746"/>
    <w:rsid w:val="42EF728D"/>
    <w:rsid w:val="436D4F8E"/>
    <w:rsid w:val="437C611B"/>
    <w:rsid w:val="443B008B"/>
    <w:rsid w:val="44433926"/>
    <w:rsid w:val="44A6065D"/>
    <w:rsid w:val="453D1A6D"/>
    <w:rsid w:val="45D16BF2"/>
    <w:rsid w:val="460C5E7C"/>
    <w:rsid w:val="4622744D"/>
    <w:rsid w:val="46E34406"/>
    <w:rsid w:val="46ED7A5B"/>
    <w:rsid w:val="47C0269E"/>
    <w:rsid w:val="47CD56D4"/>
    <w:rsid w:val="47D76015"/>
    <w:rsid w:val="47F54B9A"/>
    <w:rsid w:val="47FC65D3"/>
    <w:rsid w:val="48442373"/>
    <w:rsid w:val="490B2B50"/>
    <w:rsid w:val="49327C12"/>
    <w:rsid w:val="498A4052"/>
    <w:rsid w:val="49984253"/>
    <w:rsid w:val="49E578FE"/>
    <w:rsid w:val="49EE62EB"/>
    <w:rsid w:val="4ABF170F"/>
    <w:rsid w:val="4ADE0E90"/>
    <w:rsid w:val="4AE42CDD"/>
    <w:rsid w:val="4B0B218C"/>
    <w:rsid w:val="4B130543"/>
    <w:rsid w:val="4B6424FA"/>
    <w:rsid w:val="4BAD6D96"/>
    <w:rsid w:val="4C770D95"/>
    <w:rsid w:val="4D262514"/>
    <w:rsid w:val="4DB645E9"/>
    <w:rsid w:val="4DC36C4F"/>
    <w:rsid w:val="4E0374A3"/>
    <w:rsid w:val="4E4A4DC8"/>
    <w:rsid w:val="4EED2BFC"/>
    <w:rsid w:val="4F3501F1"/>
    <w:rsid w:val="506B1753"/>
    <w:rsid w:val="512F7C8E"/>
    <w:rsid w:val="513E3C86"/>
    <w:rsid w:val="51555980"/>
    <w:rsid w:val="51580121"/>
    <w:rsid w:val="51615F67"/>
    <w:rsid w:val="51A76A58"/>
    <w:rsid w:val="51FD1956"/>
    <w:rsid w:val="52B71EAC"/>
    <w:rsid w:val="52D10231"/>
    <w:rsid w:val="52F72CA9"/>
    <w:rsid w:val="530A0D48"/>
    <w:rsid w:val="530B7044"/>
    <w:rsid w:val="5311687F"/>
    <w:rsid w:val="53265124"/>
    <w:rsid w:val="537C78EB"/>
    <w:rsid w:val="54613205"/>
    <w:rsid w:val="54843081"/>
    <w:rsid w:val="54B4295D"/>
    <w:rsid w:val="54CD4E9B"/>
    <w:rsid w:val="54DB36EB"/>
    <w:rsid w:val="55584344"/>
    <w:rsid w:val="558928BE"/>
    <w:rsid w:val="55F07271"/>
    <w:rsid w:val="562051F2"/>
    <w:rsid w:val="562343E9"/>
    <w:rsid w:val="567E0CB1"/>
    <w:rsid w:val="56AD76A3"/>
    <w:rsid w:val="56C22F7C"/>
    <w:rsid w:val="5705494D"/>
    <w:rsid w:val="576C5AE0"/>
    <w:rsid w:val="57732721"/>
    <w:rsid w:val="58147C0E"/>
    <w:rsid w:val="58273C77"/>
    <w:rsid w:val="58F47904"/>
    <w:rsid w:val="591B44A2"/>
    <w:rsid w:val="59D86D93"/>
    <w:rsid w:val="5A3E3FB5"/>
    <w:rsid w:val="5ABF6D18"/>
    <w:rsid w:val="5B433C96"/>
    <w:rsid w:val="5B912F69"/>
    <w:rsid w:val="5BAE56AA"/>
    <w:rsid w:val="5BF04DD9"/>
    <w:rsid w:val="5BF46E5A"/>
    <w:rsid w:val="5C4557EC"/>
    <w:rsid w:val="5C8E1F06"/>
    <w:rsid w:val="5CA70254"/>
    <w:rsid w:val="5CF50FC0"/>
    <w:rsid w:val="5D3634A8"/>
    <w:rsid w:val="5D3B7B7E"/>
    <w:rsid w:val="5D4C78F9"/>
    <w:rsid w:val="5D4F497E"/>
    <w:rsid w:val="5D65761E"/>
    <w:rsid w:val="5D92680F"/>
    <w:rsid w:val="5DEF1FB7"/>
    <w:rsid w:val="5E3D23B8"/>
    <w:rsid w:val="5E5166CA"/>
    <w:rsid w:val="5E645805"/>
    <w:rsid w:val="5E7F3237"/>
    <w:rsid w:val="5EB22C13"/>
    <w:rsid w:val="5ED418CC"/>
    <w:rsid w:val="5F767F88"/>
    <w:rsid w:val="607B6371"/>
    <w:rsid w:val="60AF592A"/>
    <w:rsid w:val="60C3022B"/>
    <w:rsid w:val="60EE0200"/>
    <w:rsid w:val="613B56D0"/>
    <w:rsid w:val="614E5143"/>
    <w:rsid w:val="6223212B"/>
    <w:rsid w:val="625642AF"/>
    <w:rsid w:val="628801E0"/>
    <w:rsid w:val="63D14B5F"/>
    <w:rsid w:val="64175235"/>
    <w:rsid w:val="649D706B"/>
    <w:rsid w:val="653B6015"/>
    <w:rsid w:val="655E0305"/>
    <w:rsid w:val="658670F9"/>
    <w:rsid w:val="65C65126"/>
    <w:rsid w:val="661B453C"/>
    <w:rsid w:val="66362B9F"/>
    <w:rsid w:val="66781506"/>
    <w:rsid w:val="66CE38D9"/>
    <w:rsid w:val="66CE7A09"/>
    <w:rsid w:val="66E67A45"/>
    <w:rsid w:val="66F15444"/>
    <w:rsid w:val="66FB3677"/>
    <w:rsid w:val="6729595E"/>
    <w:rsid w:val="67337CC1"/>
    <w:rsid w:val="676C04B5"/>
    <w:rsid w:val="67773F91"/>
    <w:rsid w:val="677A67E4"/>
    <w:rsid w:val="67B70384"/>
    <w:rsid w:val="67F25FD2"/>
    <w:rsid w:val="681A0027"/>
    <w:rsid w:val="682D0CCB"/>
    <w:rsid w:val="68B06A86"/>
    <w:rsid w:val="69106440"/>
    <w:rsid w:val="69431305"/>
    <w:rsid w:val="695C38BE"/>
    <w:rsid w:val="69B2696A"/>
    <w:rsid w:val="69D462E3"/>
    <w:rsid w:val="6A3D0B50"/>
    <w:rsid w:val="6A5A4AAA"/>
    <w:rsid w:val="6A971908"/>
    <w:rsid w:val="6AB26742"/>
    <w:rsid w:val="6B0671D6"/>
    <w:rsid w:val="6B371AA7"/>
    <w:rsid w:val="6BAC0395"/>
    <w:rsid w:val="6D022C7C"/>
    <w:rsid w:val="6D323B6A"/>
    <w:rsid w:val="6DA2672C"/>
    <w:rsid w:val="6E1F7C4B"/>
    <w:rsid w:val="6E8E265A"/>
    <w:rsid w:val="6E903918"/>
    <w:rsid w:val="6EC24415"/>
    <w:rsid w:val="6EC95D7D"/>
    <w:rsid w:val="6EDF73DA"/>
    <w:rsid w:val="6F06705D"/>
    <w:rsid w:val="6F225F6C"/>
    <w:rsid w:val="6F5C21AB"/>
    <w:rsid w:val="6F784190"/>
    <w:rsid w:val="6FF81B39"/>
    <w:rsid w:val="70354626"/>
    <w:rsid w:val="7070570D"/>
    <w:rsid w:val="70716758"/>
    <w:rsid w:val="70DB2B30"/>
    <w:rsid w:val="71440507"/>
    <w:rsid w:val="717F6C52"/>
    <w:rsid w:val="71E86700"/>
    <w:rsid w:val="723043E4"/>
    <w:rsid w:val="726D76BA"/>
    <w:rsid w:val="72895EFF"/>
    <w:rsid w:val="72B6034E"/>
    <w:rsid w:val="734549D5"/>
    <w:rsid w:val="736D527F"/>
    <w:rsid w:val="736D58C0"/>
    <w:rsid w:val="73C043AA"/>
    <w:rsid w:val="74005BE1"/>
    <w:rsid w:val="74300EF4"/>
    <w:rsid w:val="7499627D"/>
    <w:rsid w:val="74A46FDF"/>
    <w:rsid w:val="74EC050E"/>
    <w:rsid w:val="750A24A6"/>
    <w:rsid w:val="752367FE"/>
    <w:rsid w:val="758A346A"/>
    <w:rsid w:val="75D81149"/>
    <w:rsid w:val="75F61BD9"/>
    <w:rsid w:val="76716B7C"/>
    <w:rsid w:val="76A44125"/>
    <w:rsid w:val="76B17148"/>
    <w:rsid w:val="77051360"/>
    <w:rsid w:val="774A6624"/>
    <w:rsid w:val="778B45A3"/>
    <w:rsid w:val="78E256ED"/>
    <w:rsid w:val="791763D6"/>
    <w:rsid w:val="796D382C"/>
    <w:rsid w:val="7A674BC8"/>
    <w:rsid w:val="7AEA338E"/>
    <w:rsid w:val="7B2F1880"/>
    <w:rsid w:val="7B6D38F1"/>
    <w:rsid w:val="7C2A3A47"/>
    <w:rsid w:val="7C3435BD"/>
    <w:rsid w:val="7C417A9D"/>
    <w:rsid w:val="7C4B3560"/>
    <w:rsid w:val="7CAA5F81"/>
    <w:rsid w:val="7CF47535"/>
    <w:rsid w:val="7D237062"/>
    <w:rsid w:val="7D4476CE"/>
    <w:rsid w:val="7D5D6CD6"/>
    <w:rsid w:val="7D725678"/>
    <w:rsid w:val="7DD34B4F"/>
    <w:rsid w:val="7E8912A8"/>
    <w:rsid w:val="7ED93FC3"/>
    <w:rsid w:val="7F2E2202"/>
    <w:rsid w:val="7F342150"/>
    <w:rsid w:val="7F3709D3"/>
    <w:rsid w:val="7F3B13CB"/>
    <w:rsid w:val="7F6B3B24"/>
    <w:rsid w:val="7FA91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53"/>
    <w:qFormat/>
    <w:uiPriority w:val="0"/>
    <w:pPr>
      <w:keepNext/>
      <w:keepLines/>
      <w:spacing w:before="340" w:after="330" w:line="240" w:lineRule="auto"/>
      <w:jc w:val="center"/>
      <w:outlineLvl w:val="0"/>
    </w:pPr>
    <w:rPr>
      <w:b/>
      <w:kern w:val="44"/>
      <w:sz w:val="32"/>
    </w:rPr>
  </w:style>
  <w:style w:type="paragraph" w:styleId="2">
    <w:name w:val="heading 2"/>
    <w:basedOn w:val="1"/>
    <w:next w:val="1"/>
    <w:link w:val="52"/>
    <w:qFormat/>
    <w:uiPriority w:val="0"/>
    <w:pPr>
      <w:keepNext/>
      <w:keepLines/>
      <w:spacing w:before="260" w:after="260" w:line="360" w:lineRule="auto"/>
      <w:outlineLvl w:val="1"/>
    </w:pPr>
    <w:rPr>
      <w:rFonts w:ascii="Arial" w:hAnsi="Arial" w:eastAsia="黑体"/>
      <w:b/>
      <w:bCs/>
      <w:sz w:val="30"/>
      <w:szCs w:val="32"/>
    </w:rPr>
  </w:style>
  <w:style w:type="paragraph" w:styleId="4">
    <w:name w:val="heading 3"/>
    <w:basedOn w:val="1"/>
    <w:next w:val="1"/>
    <w:qFormat/>
    <w:uiPriority w:val="0"/>
    <w:pPr>
      <w:keepNext/>
      <w:keepLines/>
      <w:autoSpaceDE w:val="0"/>
      <w:autoSpaceDN w:val="0"/>
      <w:adjustRightInd w:val="0"/>
      <w:spacing w:before="360" w:after="120"/>
      <w:jc w:val="center"/>
      <w:outlineLvl w:val="2"/>
    </w:pPr>
    <w:rPr>
      <w:rFonts w:ascii="宋体" w:hAnsi="宋体"/>
      <w:b/>
      <w:kern w:val="0"/>
      <w:sz w:val="28"/>
      <w:szCs w:val="20"/>
      <w:u w:val="single"/>
    </w:rPr>
  </w:style>
  <w:style w:type="paragraph" w:styleId="5">
    <w:name w:val="heading 4"/>
    <w:basedOn w:val="1"/>
    <w:next w:val="1"/>
    <w:qFormat/>
    <w:uiPriority w:val="0"/>
    <w:pPr>
      <w:keepNext/>
      <w:keepLines/>
      <w:spacing w:before="280" w:after="290" w:line="360" w:lineRule="auto"/>
      <w:jc w:val="left"/>
      <w:outlineLvl w:val="3"/>
    </w:pPr>
    <w:rPr>
      <w:rFonts w:ascii="Arial" w:hAnsi="Arial" w:eastAsia="宋体"/>
      <w:b/>
      <w:bCs/>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able of authorities"/>
    <w:next w:val="1"/>
    <w:qFormat/>
    <w:uiPriority w:val="0"/>
    <w:pPr>
      <w:widowControl w:val="0"/>
      <w:jc w:val="both"/>
    </w:pPr>
    <w:rPr>
      <w:rFonts w:ascii="Calibri" w:hAnsi="Calibri" w:eastAsia="宋体" w:cs="Times New Roman"/>
      <w:kern w:val="2"/>
      <w:sz w:val="21"/>
      <w:szCs w:val="22"/>
      <w:lang w:val="en-US" w:eastAsia="zh-CN" w:bidi="ar-SA"/>
    </w:rPr>
  </w:style>
  <w:style w:type="paragraph" w:styleId="7">
    <w:name w:val="Normal Indent"/>
    <w:basedOn w:val="1"/>
    <w:qFormat/>
    <w:uiPriority w:val="0"/>
    <w:pPr>
      <w:ind w:firstLine="420"/>
    </w:pPr>
    <w:rPr>
      <w:kern w:val="0"/>
      <w:sz w:val="20"/>
    </w:rPr>
  </w:style>
  <w:style w:type="paragraph" w:styleId="8">
    <w:name w:val="toa heading"/>
    <w:basedOn w:val="1"/>
    <w:next w:val="1"/>
    <w:semiHidden/>
    <w:qFormat/>
    <w:uiPriority w:val="0"/>
    <w:pPr>
      <w:spacing w:before="120"/>
    </w:pPr>
    <w:rPr>
      <w:rFonts w:ascii="Arial" w:hAnsi="Arial" w:cs="Arial"/>
      <w:sz w:val="24"/>
    </w:rPr>
  </w:style>
  <w:style w:type="paragraph" w:styleId="9">
    <w:name w:val="Body Text"/>
    <w:basedOn w:val="1"/>
    <w:next w:val="10"/>
    <w:qFormat/>
    <w:uiPriority w:val="1"/>
    <w:rPr>
      <w:rFonts w:ascii="宋体" w:hAnsi="宋体" w:cs="宋体"/>
      <w:szCs w:val="21"/>
      <w:lang w:eastAsia="en-US" w:bidi="en-US"/>
    </w:rPr>
  </w:style>
  <w:style w:type="paragraph" w:styleId="10">
    <w:name w:val="Quote"/>
    <w:basedOn w:val="1"/>
    <w:next w:val="1"/>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paragraph" w:styleId="11">
    <w:name w:val="Body Text Indent"/>
    <w:basedOn w:val="1"/>
    <w:next w:val="12"/>
    <w:qFormat/>
    <w:uiPriority w:val="0"/>
    <w:pPr>
      <w:spacing w:after="120"/>
      <w:ind w:left="420" w:leftChars="200"/>
    </w:pPr>
  </w:style>
  <w:style w:type="paragraph" w:styleId="12">
    <w:name w:val="envelope return"/>
    <w:basedOn w:val="1"/>
    <w:qFormat/>
    <w:uiPriority w:val="0"/>
    <w:pPr>
      <w:snapToGrid w:val="0"/>
    </w:pPr>
    <w:rPr>
      <w:rFonts w:ascii="Arial" w:hAnsi="Arial"/>
    </w:rPr>
  </w:style>
  <w:style w:type="paragraph" w:styleId="13">
    <w:name w:val="Plain Text"/>
    <w:basedOn w:val="1"/>
    <w:next w:val="1"/>
    <w:qFormat/>
    <w:uiPriority w:val="0"/>
    <w:rPr>
      <w:rFonts w:ascii="宋体" w:hAnsi="Courier New"/>
      <w:szCs w:val="20"/>
    </w:rPr>
  </w:style>
  <w:style w:type="paragraph" w:styleId="14">
    <w:name w:val="Date"/>
    <w:basedOn w:val="1"/>
    <w:next w:val="1"/>
    <w:qFormat/>
    <w:uiPriority w:val="0"/>
    <w:pPr>
      <w:ind w:left="100" w:leftChars="2500"/>
    </w:pPr>
  </w:style>
  <w:style w:type="paragraph" w:styleId="15">
    <w:name w:val="Balloon Text"/>
    <w:basedOn w:val="1"/>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pPr>
      <w:spacing w:before="120" w:after="120"/>
    </w:pPr>
    <w:rPr>
      <w:bCs/>
      <w:caps/>
      <w:sz w:val="30"/>
      <w:szCs w:val="30"/>
    </w:rPr>
  </w:style>
  <w:style w:type="paragraph" w:styleId="19">
    <w:name w:val="footnote text"/>
    <w:basedOn w:val="1"/>
    <w:qFormat/>
    <w:uiPriority w:val="0"/>
    <w:pPr>
      <w:snapToGrid w:val="0"/>
      <w:jc w:val="left"/>
    </w:pPr>
    <w:rPr>
      <w:sz w:val="18"/>
    </w:rPr>
  </w:style>
  <w:style w:type="paragraph" w:styleId="20">
    <w:name w:val="toc 6"/>
    <w:basedOn w:val="1"/>
    <w:next w:val="1"/>
    <w:qFormat/>
    <w:uiPriority w:val="39"/>
    <w:pPr>
      <w:ind w:left="1400"/>
      <w:jc w:val="left"/>
    </w:pPr>
    <w:rPr>
      <w:rFonts w:ascii="Calibri" w:hAnsi="Calibri" w:cs="Calibri"/>
      <w:sz w:val="18"/>
      <w:szCs w:val="18"/>
    </w:rPr>
  </w:style>
  <w:style w:type="paragraph" w:styleId="21">
    <w:name w:val="toc 2"/>
    <w:basedOn w:val="1"/>
    <w:next w:val="1"/>
    <w:qFormat/>
    <w:uiPriority w:val="39"/>
    <w:pPr>
      <w:tabs>
        <w:tab w:val="left" w:pos="900"/>
        <w:tab w:val="left" w:pos="1080"/>
        <w:tab w:val="right" w:leader="dot" w:pos="9628"/>
      </w:tabs>
      <w:adjustRightInd w:val="0"/>
      <w:snapToGrid w:val="0"/>
      <w:spacing w:line="360" w:lineRule="auto"/>
      <w:ind w:firstLine="420" w:firstLineChars="200"/>
      <w:jc w:val="left"/>
    </w:pPr>
  </w:style>
  <w:style w:type="paragraph" w:styleId="22">
    <w:name w:val="Normal (Web)"/>
    <w:basedOn w:val="1"/>
    <w:qFormat/>
    <w:uiPriority w:val="0"/>
    <w:pPr>
      <w:spacing w:before="100" w:beforeAutospacing="1" w:after="100" w:afterAutospacing="1"/>
      <w:jc w:val="left"/>
    </w:pPr>
    <w:rPr>
      <w:kern w:val="0"/>
      <w:sz w:val="24"/>
    </w:rPr>
  </w:style>
  <w:style w:type="paragraph" w:styleId="23">
    <w:name w:val="index 1"/>
    <w:basedOn w:val="1"/>
    <w:next w:val="1"/>
    <w:qFormat/>
    <w:uiPriority w:val="0"/>
    <w:rPr>
      <w:rFonts w:eastAsia="仿宋_GB2312"/>
      <w:b/>
      <w:sz w:val="24"/>
    </w:rPr>
  </w:style>
  <w:style w:type="paragraph" w:styleId="24">
    <w:name w:val="Title"/>
    <w:basedOn w:val="1"/>
    <w:next w:val="1"/>
    <w:qFormat/>
    <w:uiPriority w:val="0"/>
    <w:pPr>
      <w:spacing w:before="240" w:after="60"/>
      <w:jc w:val="center"/>
      <w:outlineLvl w:val="0"/>
    </w:pPr>
    <w:rPr>
      <w:rFonts w:ascii="Cambria" w:hAnsi="Cambria"/>
      <w:b/>
      <w:bCs/>
      <w:sz w:val="32"/>
      <w:szCs w:val="32"/>
    </w:rPr>
  </w:style>
  <w:style w:type="paragraph" w:styleId="25">
    <w:name w:val="Body Text First Indent"/>
    <w:basedOn w:val="9"/>
    <w:qFormat/>
    <w:uiPriority w:val="0"/>
    <w:pPr>
      <w:tabs>
        <w:tab w:val="left" w:pos="567"/>
      </w:tabs>
      <w:ind w:firstLine="420" w:firstLineChars="100"/>
    </w:pPr>
  </w:style>
  <w:style w:type="paragraph" w:styleId="26">
    <w:name w:val="Body Text First Indent 2"/>
    <w:basedOn w:val="11"/>
    <w:next w:val="11"/>
    <w:qFormat/>
    <w:uiPriority w:val="0"/>
    <w:pPr>
      <w:ind w:firstLine="42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rPr>
  </w:style>
  <w:style w:type="character" w:styleId="31">
    <w:name w:val="footnote reference"/>
    <w:basedOn w:val="29"/>
    <w:qFormat/>
    <w:uiPriority w:val="0"/>
    <w:rPr>
      <w:vertAlign w:val="superscript"/>
    </w:rPr>
  </w:style>
  <w:style w:type="paragraph" w:customStyle="1" w:styleId="32">
    <w:name w:val="列出段落1"/>
    <w:basedOn w:val="33"/>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3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_Style 3"/>
    <w:next w:val="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列表段落1"/>
    <w:basedOn w:val="1"/>
    <w:qFormat/>
    <w:uiPriority w:val="34"/>
    <w:pPr>
      <w:ind w:firstLine="420" w:firstLineChars="200"/>
    </w:pPr>
    <w:rPr>
      <w:rFonts w:ascii="Calibri" w:hAnsi="Calibri"/>
      <w:szCs w:val="22"/>
    </w:rPr>
  </w:style>
  <w:style w:type="paragraph" w:customStyle="1" w:styleId="36">
    <w:name w:val="p0"/>
    <w:next w:val="15"/>
    <w:qFormat/>
    <w:uiPriority w:val="0"/>
    <w:rPr>
      <w:rFonts w:ascii="Calibri" w:hAnsi="Calibri" w:eastAsia="宋体" w:cs="Times New Roman"/>
      <w:sz w:val="21"/>
      <w:szCs w:val="21"/>
      <w:lang w:val="en-US" w:eastAsia="zh-CN" w:bidi="ar-SA"/>
    </w:rPr>
  </w:style>
  <w:style w:type="paragraph" w:customStyle="1" w:styleId="37">
    <w:name w:val="正文（缩进）"/>
    <w:basedOn w:val="1"/>
    <w:qFormat/>
    <w:uiPriority w:val="0"/>
    <w:pPr>
      <w:ind w:firstLine="480" w:firstLineChars="200"/>
    </w:pPr>
    <w:rPr>
      <w:szCs w:val="21"/>
    </w:rPr>
  </w:style>
  <w:style w:type="paragraph" w:customStyle="1" w:styleId="38">
    <w:name w:val="样式 样式 行距: 1.5 倍行距 + 首行缩进:  2 字符"/>
    <w:basedOn w:val="1"/>
    <w:qFormat/>
    <w:uiPriority w:val="0"/>
    <w:rPr>
      <w:rFonts w:cs="宋体"/>
      <w:sz w:val="24"/>
    </w:rPr>
  </w:style>
  <w:style w:type="character" w:customStyle="1" w:styleId="39">
    <w:name w:val="fontstyle01"/>
    <w:qFormat/>
    <w:uiPriority w:val="0"/>
    <w:rPr>
      <w:rFonts w:hint="eastAsia" w:ascii="宋体" w:hAnsi="宋体" w:eastAsia="宋体"/>
      <w:color w:val="000000"/>
      <w:sz w:val="24"/>
      <w:szCs w:val="24"/>
    </w:rPr>
  </w:style>
  <w:style w:type="paragraph" w:customStyle="1" w:styleId="40">
    <w:name w:val="Table Paragraph"/>
    <w:basedOn w:val="1"/>
    <w:qFormat/>
    <w:uiPriority w:val="1"/>
    <w:rPr>
      <w:rFonts w:eastAsia="Times New Roman"/>
      <w:lang w:eastAsia="en-US" w:bidi="en-US"/>
    </w:rPr>
  </w:style>
  <w:style w:type="paragraph" w:customStyle="1" w:styleId="4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42">
    <w:name w:val="font11"/>
    <w:qFormat/>
    <w:uiPriority w:val="0"/>
    <w:rPr>
      <w:rFonts w:hint="eastAsia" w:ascii="宋体" w:hAnsi="宋体" w:eastAsia="宋体" w:cs="宋体"/>
      <w:b/>
      <w:bCs/>
      <w:color w:val="000000"/>
      <w:sz w:val="24"/>
      <w:szCs w:val="24"/>
      <w:u w:val="none"/>
    </w:rPr>
  </w:style>
  <w:style w:type="character" w:customStyle="1" w:styleId="43">
    <w:name w:val="font61"/>
    <w:basedOn w:val="29"/>
    <w:qFormat/>
    <w:uiPriority w:val="0"/>
    <w:rPr>
      <w:rFonts w:hint="eastAsia" w:ascii="宋体" w:hAnsi="宋体" w:eastAsia="宋体" w:cs="宋体"/>
      <w:color w:val="FF0000"/>
      <w:sz w:val="22"/>
      <w:szCs w:val="22"/>
      <w:u w:val="none"/>
    </w:rPr>
  </w:style>
  <w:style w:type="character" w:customStyle="1" w:styleId="44">
    <w:name w:val="font01"/>
    <w:basedOn w:val="29"/>
    <w:qFormat/>
    <w:uiPriority w:val="0"/>
    <w:rPr>
      <w:rFonts w:hint="eastAsia" w:ascii="宋体" w:hAnsi="宋体" w:eastAsia="宋体" w:cs="宋体"/>
      <w:color w:val="000000"/>
      <w:sz w:val="22"/>
      <w:szCs w:val="22"/>
      <w:u w:val="none"/>
    </w:rPr>
  </w:style>
  <w:style w:type="character" w:customStyle="1" w:styleId="45">
    <w:name w:val="font41"/>
    <w:basedOn w:val="29"/>
    <w:qFormat/>
    <w:uiPriority w:val="0"/>
    <w:rPr>
      <w:rFonts w:hint="eastAsia" w:ascii="宋体" w:hAnsi="宋体" w:eastAsia="宋体" w:cs="宋体"/>
      <w:color w:val="000000"/>
      <w:sz w:val="24"/>
      <w:szCs w:val="24"/>
      <w:u w:val="none"/>
    </w:rPr>
  </w:style>
  <w:style w:type="character" w:customStyle="1" w:styleId="46">
    <w:name w:val="font51"/>
    <w:basedOn w:val="29"/>
    <w:qFormat/>
    <w:uiPriority w:val="0"/>
    <w:rPr>
      <w:rFonts w:hint="eastAsia" w:ascii="宋体" w:hAnsi="宋体" w:eastAsia="宋体" w:cs="宋体"/>
      <w:color w:val="000000"/>
      <w:sz w:val="22"/>
      <w:szCs w:val="22"/>
      <w:u w:val="none"/>
    </w:rPr>
  </w:style>
  <w:style w:type="paragraph" w:customStyle="1" w:styleId="47">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4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9">
    <w:name w:val="WPSOffice手动目录 1"/>
    <w:qFormat/>
    <w:uiPriority w:val="0"/>
    <w:pPr>
      <w:ind w:leftChars="0"/>
    </w:pPr>
    <w:rPr>
      <w:rFonts w:ascii="Times New Roman" w:hAnsi="Times New Roman" w:eastAsia="宋体" w:cs="Times New Roman"/>
      <w:sz w:val="20"/>
      <w:szCs w:val="20"/>
    </w:rPr>
  </w:style>
  <w:style w:type="paragraph" w:customStyle="1" w:styleId="50">
    <w:name w:val="WPSOffice手动目录 2"/>
    <w:qFormat/>
    <w:uiPriority w:val="0"/>
    <w:pPr>
      <w:ind w:leftChars="200"/>
    </w:pPr>
    <w:rPr>
      <w:rFonts w:ascii="Times New Roman" w:hAnsi="Times New Roman" w:eastAsia="宋体" w:cs="Times New Roman"/>
      <w:sz w:val="20"/>
      <w:szCs w:val="20"/>
    </w:rPr>
  </w:style>
  <w:style w:type="paragraph" w:customStyle="1" w:styleId="51">
    <w:name w:val="WPSOffice手动目录 3"/>
    <w:qFormat/>
    <w:uiPriority w:val="0"/>
    <w:pPr>
      <w:ind w:leftChars="400"/>
    </w:pPr>
    <w:rPr>
      <w:rFonts w:ascii="Times New Roman" w:hAnsi="Times New Roman" w:eastAsia="宋体" w:cs="Times New Roman"/>
      <w:sz w:val="20"/>
      <w:szCs w:val="20"/>
    </w:rPr>
  </w:style>
  <w:style w:type="character" w:customStyle="1" w:styleId="52">
    <w:name w:val="标题 2 Char"/>
    <w:link w:val="2"/>
    <w:qFormat/>
    <w:uiPriority w:val="0"/>
    <w:rPr>
      <w:rFonts w:ascii="Arial" w:hAnsi="Arial" w:eastAsia="黑体"/>
      <w:b/>
      <w:bCs/>
      <w:sz w:val="30"/>
      <w:szCs w:val="32"/>
    </w:rPr>
  </w:style>
  <w:style w:type="character" w:customStyle="1" w:styleId="53">
    <w:name w:val="标题 1 Char"/>
    <w:link w:val="3"/>
    <w:qFormat/>
    <w:uiPriority w:val="0"/>
    <w:rPr>
      <w:b/>
      <w:kern w:val="44"/>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EEEAAD-4822-48F0-90F8-0AE7D7FB5E83}">
  <ds:schemaRefs/>
</ds:datastoreItem>
</file>

<file path=docProps/app.xml><?xml version="1.0" encoding="utf-8"?>
<Properties xmlns="http://schemas.openxmlformats.org/officeDocument/2006/extended-properties" xmlns:vt="http://schemas.openxmlformats.org/officeDocument/2006/docPropsVTypes">
  <Template>Normal</Template>
  <Pages>46</Pages>
  <Words>20359</Words>
  <Characters>21517</Characters>
  <Lines>167</Lines>
  <Paragraphs>47</Paragraphs>
  <TotalTime>13</TotalTime>
  <ScaleCrop>false</ScaleCrop>
  <LinksUpToDate>false</LinksUpToDate>
  <CharactersWithSpaces>24402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2022-04-25T04:28:00Z</dcterms:created>
  <dc:creator>FXXXY</dc:creator>
  <cp:lastModifiedBy>略</cp:lastModifiedBy>
  <cp:lastPrinted>2022-04-07T05:29:00Z</cp:lastPrinted>
  <dcterms:modified xsi:type="dcterms:W3CDTF">2022-11-17T05:10:58Z</dcterms:modified>
  <dc:title>竞争性磋商文件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F37B697A0282456997C4576D1CCEA7E2</vt:lpwstr>
  </property>
</Properties>
</file>