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color w:val="auto"/>
          <w:sz w:val="52"/>
          <w:szCs w:val="52"/>
          <w:lang w:val="en-US" w:eastAsia="zh-CN"/>
        </w:rPr>
      </w:pPr>
      <w:r>
        <w:rPr>
          <w:rFonts w:hint="eastAsia" w:ascii="仿宋" w:hAnsi="仿宋" w:eastAsia="仿宋" w:cs="仿宋"/>
          <w:b/>
          <w:bCs/>
          <w:color w:val="auto"/>
          <w:sz w:val="52"/>
          <w:szCs w:val="52"/>
          <w:lang w:val="en-US" w:eastAsia="zh-CN"/>
        </w:rPr>
        <w:t>乌什县农村污水处理配套设施购置项目（一标段）</w:t>
      </w:r>
    </w:p>
    <w:p>
      <w:pPr>
        <w:pStyle w:val="2"/>
        <w:rPr>
          <w:rFonts w:hint="eastAsia"/>
          <w:color w:val="auto"/>
        </w:rPr>
      </w:pPr>
    </w:p>
    <w:p>
      <w:pPr>
        <w:keepNext w:val="0"/>
        <w:keepLines w:val="0"/>
        <w:pageBreakBefore w:val="0"/>
        <w:widowControl/>
        <w:kinsoku/>
        <w:wordWrap/>
        <w:overflowPunct/>
        <w:topLinePunct w:val="0"/>
        <w:autoSpaceDE/>
        <w:autoSpaceDN/>
        <w:bidi w:val="0"/>
        <w:adjustRightInd/>
        <w:snapToGrid/>
        <w:spacing w:line="500" w:lineRule="exact"/>
        <w:ind w:firstLine="964" w:firstLineChars="200"/>
        <w:jc w:val="both"/>
        <w:textAlignment w:val="auto"/>
        <w:rPr>
          <w:rFonts w:hint="default" w:ascii="仿宋" w:hAnsi="仿宋" w:eastAsia="仿宋" w:cs="仿宋"/>
          <w:b/>
          <w:bCs/>
          <w:color w:val="auto"/>
          <w:sz w:val="48"/>
          <w:szCs w:val="48"/>
          <w:lang w:val="en-US" w:eastAsia="zh-CN"/>
        </w:rPr>
      </w:pPr>
      <w:r>
        <w:rPr>
          <w:rFonts w:hint="eastAsia" w:ascii="仿宋" w:hAnsi="仿宋" w:eastAsia="仿宋" w:cs="仿宋"/>
          <w:b/>
          <w:bCs/>
          <w:color w:val="auto"/>
          <w:sz w:val="48"/>
          <w:szCs w:val="48"/>
        </w:rPr>
        <w:t>项目编号：</w:t>
      </w:r>
      <w:r>
        <w:rPr>
          <w:rFonts w:hint="eastAsia" w:ascii="仿宋" w:hAnsi="仿宋" w:eastAsia="仿宋" w:cs="仿宋"/>
          <w:b/>
          <w:bCs/>
          <w:color w:val="auto"/>
          <w:sz w:val="48"/>
          <w:szCs w:val="48"/>
          <w:lang w:eastAsia="zh-CN"/>
        </w:rPr>
        <w:t>WSX[2022]-</w:t>
      </w:r>
      <w:r>
        <w:rPr>
          <w:rFonts w:hint="eastAsia" w:ascii="仿宋" w:hAnsi="仿宋" w:eastAsia="仿宋" w:cs="仿宋"/>
          <w:b/>
          <w:bCs/>
          <w:color w:val="auto"/>
          <w:sz w:val="48"/>
          <w:szCs w:val="48"/>
          <w:lang w:val="en-US" w:eastAsia="zh-CN"/>
        </w:rPr>
        <w:t>159-1</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0"/>
          <w:szCs w:val="30"/>
          <w:lang w:val="en-US" w:eastAsia="zh-CN"/>
        </w:rPr>
      </w:pPr>
    </w:p>
    <w:p>
      <w:pPr>
        <w:jc w:val="center"/>
        <w:rPr>
          <w:rFonts w:hint="eastAsia" w:ascii="仿宋" w:hAnsi="仿宋" w:eastAsia="仿宋" w:cs="仿宋"/>
          <w:bCs/>
          <w:color w:val="auto"/>
          <w:sz w:val="24"/>
          <w:szCs w:val="24"/>
        </w:rPr>
      </w:pPr>
    </w:p>
    <w:p>
      <w:pPr>
        <w:tabs>
          <w:tab w:val="left" w:pos="8040"/>
        </w:tabs>
        <w:jc w:val="left"/>
        <w:rPr>
          <w:rFonts w:hint="eastAsia" w:ascii="仿宋" w:hAnsi="仿宋" w:eastAsia="仿宋" w:cs="仿宋"/>
          <w:bCs/>
          <w:color w:val="auto"/>
          <w:sz w:val="24"/>
          <w:szCs w:val="24"/>
        </w:rPr>
      </w:pPr>
    </w:p>
    <w:p>
      <w:pPr>
        <w:tabs>
          <w:tab w:val="left" w:pos="8040"/>
        </w:tabs>
        <w:jc w:val="left"/>
        <w:rPr>
          <w:rFonts w:hint="eastAsia" w:ascii="仿宋" w:hAnsi="仿宋" w:eastAsia="仿宋" w:cs="仿宋"/>
          <w:bCs/>
          <w:color w:val="auto"/>
          <w:sz w:val="24"/>
          <w:szCs w:val="24"/>
        </w:rPr>
      </w:pPr>
    </w:p>
    <w:p>
      <w:pPr>
        <w:tabs>
          <w:tab w:val="left" w:pos="8040"/>
        </w:tabs>
        <w:jc w:val="left"/>
        <w:rPr>
          <w:rFonts w:hint="eastAsia" w:ascii="仿宋" w:hAnsi="仿宋" w:eastAsia="仿宋" w:cs="仿宋"/>
          <w:bCs/>
          <w:color w:val="auto"/>
          <w:sz w:val="24"/>
          <w:szCs w:val="24"/>
        </w:rPr>
      </w:pPr>
      <w:bookmarkStart w:id="198" w:name="_GoBack"/>
      <w:bookmarkEnd w:id="198"/>
    </w:p>
    <w:p>
      <w:pPr>
        <w:tabs>
          <w:tab w:val="left" w:pos="8040"/>
        </w:tabs>
        <w:jc w:val="left"/>
        <w:rPr>
          <w:rFonts w:hint="eastAsia" w:ascii="仿宋" w:hAnsi="仿宋" w:eastAsia="仿宋" w:cs="仿宋"/>
          <w:bCs/>
          <w:color w:val="auto"/>
          <w:sz w:val="24"/>
          <w:szCs w:val="24"/>
        </w:rPr>
      </w:pPr>
    </w:p>
    <w:p>
      <w:pPr>
        <w:tabs>
          <w:tab w:val="left" w:pos="8040"/>
        </w:tabs>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ab/>
      </w:r>
    </w:p>
    <w:p>
      <w:pPr>
        <w:ind w:left="0" w:leftChars="0" w:firstLine="0" w:firstLineChars="0"/>
        <w:jc w:val="center"/>
        <w:rPr>
          <w:rFonts w:hint="eastAsia" w:ascii="仿宋" w:hAnsi="仿宋" w:eastAsia="仿宋" w:cs="仿宋"/>
          <w:b/>
          <w:bCs/>
          <w:color w:val="auto"/>
          <w:sz w:val="96"/>
          <w:szCs w:val="96"/>
        </w:rPr>
      </w:pPr>
      <w:r>
        <w:rPr>
          <w:rFonts w:hint="eastAsia" w:ascii="仿宋" w:hAnsi="仿宋" w:eastAsia="仿宋" w:cs="仿宋"/>
          <w:b/>
          <w:bCs/>
          <w:color w:val="auto"/>
          <w:sz w:val="96"/>
          <w:szCs w:val="96"/>
        </w:rPr>
        <w:t>竞争性</w:t>
      </w:r>
      <w:r>
        <w:rPr>
          <w:rFonts w:hint="eastAsia" w:ascii="仿宋" w:hAnsi="仿宋" w:eastAsia="仿宋" w:cs="仿宋"/>
          <w:b/>
          <w:bCs/>
          <w:color w:val="auto"/>
          <w:sz w:val="96"/>
          <w:szCs w:val="96"/>
          <w:lang w:eastAsia="zh-CN"/>
        </w:rPr>
        <w:t>磋商</w:t>
      </w:r>
      <w:r>
        <w:rPr>
          <w:rFonts w:hint="eastAsia" w:ascii="仿宋" w:hAnsi="仿宋" w:eastAsia="仿宋" w:cs="仿宋"/>
          <w:b/>
          <w:bCs/>
          <w:color w:val="auto"/>
          <w:sz w:val="96"/>
          <w:szCs w:val="96"/>
        </w:rPr>
        <w:t>文件</w:t>
      </w:r>
    </w:p>
    <w:p>
      <w:pPr>
        <w:jc w:val="center"/>
        <w:rPr>
          <w:rFonts w:hint="eastAsia" w:ascii="仿宋" w:hAnsi="仿宋" w:eastAsia="仿宋" w:cs="仿宋"/>
          <w:bCs/>
          <w:color w:val="auto"/>
          <w:sz w:val="24"/>
          <w:szCs w:val="24"/>
        </w:rPr>
      </w:pPr>
    </w:p>
    <w:p>
      <w:pPr>
        <w:jc w:val="center"/>
        <w:rPr>
          <w:rFonts w:hint="eastAsia" w:ascii="仿宋" w:hAnsi="仿宋" w:eastAsia="仿宋" w:cs="仿宋"/>
          <w:bCs/>
          <w:color w:val="auto"/>
          <w:sz w:val="24"/>
          <w:szCs w:val="24"/>
        </w:rPr>
      </w:pPr>
    </w:p>
    <w:p>
      <w:pPr>
        <w:jc w:val="center"/>
        <w:rPr>
          <w:rFonts w:hint="eastAsia" w:ascii="仿宋" w:hAnsi="仿宋" w:eastAsia="仿宋" w:cs="仿宋"/>
          <w:bCs/>
          <w:color w:val="auto"/>
          <w:sz w:val="24"/>
          <w:szCs w:val="24"/>
        </w:rPr>
      </w:pPr>
    </w:p>
    <w:p>
      <w:pPr>
        <w:jc w:val="both"/>
        <w:rPr>
          <w:rFonts w:hint="eastAsia" w:ascii="仿宋" w:hAnsi="仿宋" w:eastAsia="仿宋" w:cs="仿宋"/>
          <w:bCs/>
          <w:color w:val="auto"/>
          <w:sz w:val="24"/>
          <w:szCs w:val="24"/>
        </w:rPr>
      </w:pPr>
    </w:p>
    <w:p>
      <w:pPr>
        <w:pStyle w:val="14"/>
        <w:rPr>
          <w:rFonts w:hint="eastAsia" w:ascii="仿宋" w:hAnsi="仿宋" w:eastAsia="仿宋" w:cs="仿宋"/>
          <w:color w:val="auto"/>
        </w:rPr>
      </w:pPr>
    </w:p>
    <w:p>
      <w:pPr>
        <w:rPr>
          <w:rFonts w:hint="eastAsia"/>
          <w:color w:val="auto"/>
        </w:rPr>
      </w:pPr>
    </w:p>
    <w:p>
      <w:pPr>
        <w:pStyle w:val="14"/>
        <w:ind w:left="0" w:leftChars="0" w:firstLine="0" w:firstLineChars="0"/>
        <w:rPr>
          <w:rFonts w:hint="eastAsia" w:ascii="仿宋" w:hAnsi="仿宋" w:eastAsia="仿宋" w:cs="仿宋"/>
          <w:color w:val="auto"/>
        </w:rPr>
      </w:pPr>
    </w:p>
    <w:p>
      <w:pPr>
        <w:pStyle w:val="14"/>
        <w:ind w:left="0" w:leftChars="0" w:firstLine="0" w:firstLineChars="0"/>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color w:val="auto"/>
        </w:rPr>
      </w:pPr>
    </w:p>
    <w:p>
      <w:pPr>
        <w:jc w:val="center"/>
        <w:rPr>
          <w:rFonts w:hint="eastAsia" w:ascii="仿宋" w:hAnsi="仿宋" w:eastAsia="仿宋" w:cs="仿宋"/>
          <w:bCs/>
          <w:color w:val="auto"/>
          <w:sz w:val="24"/>
          <w:szCs w:val="24"/>
        </w:rPr>
      </w:pPr>
    </w:p>
    <w:p>
      <w:pPr>
        <w:spacing w:line="480" w:lineRule="auto"/>
        <w:ind w:firstLine="904" w:firstLineChars="300"/>
        <w:jc w:val="both"/>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sz w:val="30"/>
          <w:szCs w:val="30"/>
        </w:rPr>
        <w:t>采</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rPr>
        <w:t xml:space="preserve"> </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rPr>
        <w:t xml:space="preserve">购 </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rPr>
        <w:t>人：</w:t>
      </w:r>
      <w:r>
        <w:rPr>
          <w:rFonts w:hint="eastAsia" w:ascii="仿宋" w:hAnsi="仿宋" w:eastAsia="仿宋" w:cs="仿宋"/>
          <w:b/>
          <w:bCs/>
          <w:color w:val="auto"/>
          <w:kern w:val="2"/>
          <w:sz w:val="30"/>
          <w:szCs w:val="30"/>
          <w:lang w:val="en-US" w:eastAsia="zh-CN" w:bidi="ar-SA"/>
        </w:rPr>
        <w:t>乌什县乡村振兴局</w:t>
      </w:r>
    </w:p>
    <w:p>
      <w:pPr>
        <w:spacing w:line="48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lang w:eastAsia="zh-CN"/>
        </w:rPr>
        <w:t>采购</w:t>
      </w:r>
      <w:r>
        <w:rPr>
          <w:rFonts w:hint="eastAsia" w:ascii="仿宋" w:hAnsi="仿宋" w:eastAsia="仿宋" w:cs="仿宋"/>
          <w:b/>
          <w:bCs/>
          <w:color w:val="auto"/>
          <w:sz w:val="30"/>
          <w:szCs w:val="30"/>
        </w:rPr>
        <w:t>代理机</w:t>
      </w:r>
      <w:r>
        <w:rPr>
          <w:rFonts w:hint="eastAsia" w:ascii="仿宋" w:hAnsi="仿宋" w:eastAsia="仿宋" w:cs="仿宋"/>
          <w:b/>
          <w:bCs/>
          <w:color w:val="auto"/>
          <w:sz w:val="30"/>
          <w:szCs w:val="30"/>
          <w:lang w:eastAsia="zh-CN"/>
        </w:rPr>
        <w:t>构：</w:t>
      </w:r>
      <w:r>
        <w:rPr>
          <w:rFonts w:hint="eastAsia" w:ascii="仿宋" w:hAnsi="仿宋" w:eastAsia="仿宋" w:cs="仿宋"/>
          <w:b/>
          <w:bCs/>
          <w:color w:val="auto"/>
          <w:sz w:val="30"/>
          <w:szCs w:val="30"/>
          <w:lang w:val="en-US" w:eastAsia="zh-CN"/>
        </w:rPr>
        <w:t>新疆瀚哲项目管理有限公司</w:t>
      </w:r>
    </w:p>
    <w:p>
      <w:pPr>
        <w:spacing w:line="360" w:lineRule="auto"/>
        <w:jc w:val="center"/>
        <w:rPr>
          <w:rFonts w:hint="eastAsia" w:ascii="仿宋" w:hAnsi="仿宋" w:eastAsia="仿宋" w:cs="仿宋"/>
          <w:b/>
          <w:bCs/>
          <w:color w:val="auto"/>
          <w:sz w:val="28"/>
          <w:szCs w:val="28"/>
          <w:lang w:eastAsia="zh-CN"/>
        </w:rPr>
      </w:pPr>
    </w:p>
    <w:p>
      <w:pPr>
        <w:spacing w:line="360" w:lineRule="auto"/>
        <w:jc w:val="center"/>
        <w:rPr>
          <w:rFonts w:hint="eastAsia" w:ascii="仿宋" w:hAnsi="仿宋" w:eastAsia="仿宋" w:cs="仿宋"/>
          <w:b/>
          <w:bCs/>
          <w:i w:val="0"/>
          <w:caps w:val="0"/>
          <w:color w:val="auto"/>
          <w:spacing w:val="0"/>
          <w:sz w:val="56"/>
          <w:szCs w:val="56"/>
          <w:shd w:val="clear" w:color="auto" w:fill="FFFFFF"/>
          <w:lang w:eastAsia="zh-CN"/>
        </w:rPr>
      </w:pPr>
      <w:r>
        <w:rPr>
          <w:rFonts w:hint="eastAsia" w:ascii="仿宋" w:hAnsi="仿宋" w:eastAsia="仿宋" w:cs="仿宋"/>
          <w:b/>
          <w:bCs/>
          <w:color w:val="auto"/>
          <w:sz w:val="28"/>
          <w:szCs w:val="28"/>
          <w:lang w:eastAsia="zh-CN"/>
        </w:rPr>
        <w:t>二〇二二年</w:t>
      </w:r>
      <w:r>
        <w:rPr>
          <w:rFonts w:hint="eastAsia" w:ascii="仿宋" w:hAnsi="仿宋" w:eastAsia="仿宋" w:cs="仿宋"/>
          <w:b/>
          <w:bCs/>
          <w:color w:val="auto"/>
          <w:sz w:val="28"/>
          <w:szCs w:val="28"/>
          <w:lang w:val="en-US" w:eastAsia="zh-CN"/>
        </w:rPr>
        <w:t>十一</w:t>
      </w:r>
      <w:r>
        <w:rPr>
          <w:rFonts w:hint="eastAsia" w:ascii="仿宋" w:hAnsi="仿宋" w:eastAsia="仿宋" w:cs="仿宋"/>
          <w:b/>
          <w:bCs/>
          <w:color w:val="auto"/>
          <w:sz w:val="28"/>
          <w:szCs w:val="28"/>
          <w:lang w:eastAsia="zh-CN"/>
        </w:rPr>
        <w:t>月</w:t>
      </w:r>
    </w:p>
    <w:p>
      <w:pPr>
        <w:spacing w:before="312" w:beforeLines="100" w:after="312" w:afterLines="100" w:line="560" w:lineRule="exact"/>
        <w:jc w:val="center"/>
        <w:rPr>
          <w:rFonts w:hint="eastAsia" w:ascii="仿宋" w:hAnsi="仿宋" w:eastAsia="仿宋" w:cs="仿宋"/>
          <w:b/>
          <w:bCs/>
          <w:i w:val="0"/>
          <w:caps w:val="0"/>
          <w:color w:val="auto"/>
          <w:spacing w:val="0"/>
          <w:sz w:val="56"/>
          <w:szCs w:val="56"/>
          <w:shd w:val="clear" w:color="auto" w:fill="FFFFFF"/>
          <w:lang w:eastAsia="zh-CN"/>
        </w:rPr>
      </w:pPr>
      <w:r>
        <w:rPr>
          <w:rFonts w:hint="eastAsia" w:ascii="宋体" w:hAnsi="宋体" w:eastAsia="宋体" w:cs="宋体"/>
          <w:b/>
          <w:bCs/>
          <w:i w:val="0"/>
          <w:caps w:val="0"/>
          <w:color w:val="auto"/>
          <w:spacing w:val="0"/>
          <w:sz w:val="56"/>
          <w:szCs w:val="56"/>
          <w:shd w:val="clear" w:color="auto" w:fill="FFFFFF"/>
          <w:lang w:eastAsia="zh-CN"/>
        </w:rPr>
        <w:t>竞争性磋商文件</w:t>
      </w:r>
    </w:p>
    <w:p>
      <w:pPr>
        <w:spacing w:before="240" w:beforeLines="100" w:after="240" w:afterLines="100" w:line="360" w:lineRule="auto"/>
        <w:rPr>
          <w:rFonts w:hint="eastAsia" w:ascii="宋体" w:hAnsi="宋体" w:cs="宋体"/>
          <w:b w:val="0"/>
          <w:bCs w:val="0"/>
          <w:color w:val="auto"/>
          <w:sz w:val="32"/>
          <w:szCs w:val="32"/>
          <w:lang w:val="en-US" w:eastAsia="zh-CN"/>
        </w:rPr>
      </w:pPr>
      <w:r>
        <w:rPr>
          <w:rFonts w:hint="eastAsia" w:ascii="宋体" w:hAnsi="宋体" w:eastAsia="宋体" w:cs="宋体"/>
          <w:b w:val="0"/>
          <w:bCs w:val="0"/>
          <w:color w:val="auto"/>
          <w:sz w:val="32"/>
          <w:szCs w:val="32"/>
          <w:lang w:eastAsia="zh-CN"/>
        </w:rPr>
        <w:t>项目名称：</w:t>
      </w:r>
      <w:r>
        <w:rPr>
          <w:rFonts w:hint="eastAsia" w:ascii="宋体" w:hAnsi="宋体" w:cs="宋体"/>
          <w:b w:val="0"/>
          <w:bCs w:val="0"/>
          <w:color w:val="auto"/>
          <w:sz w:val="32"/>
          <w:szCs w:val="32"/>
          <w:lang w:val="en-US" w:eastAsia="zh-CN"/>
        </w:rPr>
        <w:t>乌什县农村污水处理配套设施购置项目（一标段）</w:t>
      </w:r>
    </w:p>
    <w:p>
      <w:pPr>
        <w:spacing w:before="240" w:beforeLines="100" w:after="240" w:afterLines="100" w:line="360" w:lineRule="auto"/>
        <w:rPr>
          <w:rFonts w:hint="eastAsia" w:ascii="宋体" w:hAnsi="宋体" w:cs="宋体"/>
          <w:b w:val="0"/>
          <w:bCs w:val="0"/>
          <w:color w:val="auto"/>
          <w:sz w:val="32"/>
          <w:szCs w:val="32"/>
          <w:lang w:val="en-US" w:eastAsia="zh-CN"/>
        </w:rPr>
      </w:pPr>
      <w:r>
        <w:rPr>
          <w:rFonts w:hint="eastAsia" w:ascii="宋体" w:hAnsi="宋体" w:eastAsia="宋体" w:cs="宋体"/>
          <w:b w:val="0"/>
          <w:bCs w:val="0"/>
          <w:color w:val="auto"/>
          <w:sz w:val="32"/>
          <w:szCs w:val="32"/>
          <w:lang w:eastAsia="zh-CN"/>
        </w:rPr>
        <w:t>采购人：</w:t>
      </w:r>
      <w:r>
        <w:rPr>
          <w:rFonts w:hint="eastAsia" w:ascii="宋体" w:hAnsi="宋体" w:cs="宋体"/>
          <w:b w:val="0"/>
          <w:bCs w:val="0"/>
          <w:color w:val="auto"/>
          <w:sz w:val="32"/>
          <w:szCs w:val="32"/>
          <w:lang w:val="en-US" w:eastAsia="zh-CN"/>
        </w:rPr>
        <w:t>乌什县乡村振兴局</w:t>
      </w:r>
    </w:p>
    <w:p>
      <w:pPr>
        <w:pStyle w:val="2"/>
        <w:ind w:left="0" w:leftChars="0" w:firstLine="0" w:firstLineChars="0"/>
        <w:rPr>
          <w:rFonts w:hint="eastAsia"/>
          <w:color w:val="auto"/>
          <w:lang w:eastAsia="zh-CN"/>
        </w:rPr>
      </w:pPr>
      <w:r>
        <w:rPr>
          <w:rFonts w:hint="eastAsia" w:ascii="宋体" w:hAnsi="宋体" w:eastAsia="宋体" w:cs="宋体"/>
          <w:b w:val="0"/>
          <w:bCs w:val="0"/>
          <w:color w:val="auto"/>
          <w:sz w:val="32"/>
          <w:szCs w:val="32"/>
          <w:lang w:eastAsia="zh-CN"/>
        </w:rPr>
        <w:t>法定代表人或其委托代理人（</w:t>
      </w:r>
      <w:r>
        <w:rPr>
          <w:rFonts w:hint="eastAsia" w:ascii="宋体" w:hAnsi="宋体" w:cs="宋体"/>
          <w:b w:val="0"/>
          <w:bCs w:val="0"/>
          <w:color w:val="auto"/>
          <w:sz w:val="32"/>
          <w:szCs w:val="32"/>
          <w:lang w:eastAsia="zh-CN"/>
        </w:rPr>
        <w:t>签字或盖章</w:t>
      </w:r>
      <w:r>
        <w:rPr>
          <w:rFonts w:hint="eastAsia" w:ascii="宋体" w:hAnsi="宋体" w:eastAsia="宋体" w:cs="宋体"/>
          <w:b w:val="0"/>
          <w:bCs w:val="0"/>
          <w:color w:val="auto"/>
          <w:sz w:val="32"/>
          <w:szCs w:val="32"/>
          <w:lang w:eastAsia="zh-CN"/>
        </w:rPr>
        <w:t>）：</w:t>
      </w:r>
    </w:p>
    <w:p>
      <w:pPr>
        <w:spacing w:before="240" w:beforeLines="100" w:after="240" w:afterLines="100" w:line="360" w:lineRule="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联系人：</w:t>
      </w:r>
      <w:r>
        <w:rPr>
          <w:rFonts w:hint="eastAsia" w:ascii="宋体" w:hAnsi="宋体" w:eastAsia="宋体" w:cs="宋体"/>
          <w:b w:val="0"/>
          <w:bCs w:val="0"/>
          <w:color w:val="auto"/>
          <w:kern w:val="2"/>
          <w:sz w:val="32"/>
          <w:szCs w:val="32"/>
          <w:lang w:val="en-US" w:eastAsia="zh-CN" w:bidi="ar-SA"/>
        </w:rPr>
        <w:t>盛耀</w:t>
      </w:r>
    </w:p>
    <w:p>
      <w:pPr>
        <w:spacing w:before="240" w:beforeLines="100" w:after="240" w:afterLines="100" w:line="360" w:lineRule="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eastAsia="zh-CN"/>
        </w:rPr>
        <w:t>联系电话：</w:t>
      </w:r>
      <w:r>
        <w:rPr>
          <w:rFonts w:hint="eastAsia" w:ascii="宋体" w:hAnsi="宋体" w:eastAsia="宋体" w:cs="宋体"/>
          <w:b w:val="0"/>
          <w:bCs w:val="0"/>
          <w:color w:val="auto"/>
          <w:sz w:val="32"/>
          <w:szCs w:val="32"/>
          <w:lang w:val="en-US" w:eastAsia="zh-CN"/>
        </w:rPr>
        <w:t xml:space="preserve">13552735918  </w:t>
      </w:r>
    </w:p>
    <w:p>
      <w:pPr>
        <w:spacing w:before="240" w:beforeLines="100" w:after="240" w:afterLines="100" w:line="360" w:lineRule="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地址：乌什县新城路1号</w:t>
      </w:r>
    </w:p>
    <w:p>
      <w:pPr>
        <w:pStyle w:val="2"/>
        <w:rPr>
          <w:rFonts w:hint="eastAsia"/>
          <w:color w:val="auto"/>
          <w:lang w:val="en-US" w:eastAsia="zh-CN"/>
        </w:rPr>
      </w:pPr>
    </w:p>
    <w:p>
      <w:pPr>
        <w:spacing w:before="240" w:beforeLines="100" w:after="240" w:afterLines="100" w:line="360" w:lineRule="auto"/>
        <w:rPr>
          <w:rFonts w:hint="eastAsia" w:ascii="宋体" w:hAnsi="宋体" w:eastAsia="宋体" w:cs="宋体"/>
          <w:b w:val="0"/>
          <w:bCs w:val="0"/>
          <w:color w:val="auto"/>
          <w:sz w:val="32"/>
          <w:szCs w:val="32"/>
          <w:lang w:eastAsia="zh-CN"/>
        </w:rPr>
      </w:pPr>
      <w:r>
        <w:rPr>
          <w:rFonts w:hint="eastAsia" w:ascii="宋体" w:hAnsi="宋体" w:eastAsia="宋体" w:cs="宋体"/>
          <w:b w:val="0"/>
          <w:bCs w:val="0"/>
          <w:color w:val="auto"/>
          <w:sz w:val="32"/>
          <w:szCs w:val="32"/>
          <w:lang w:eastAsia="zh-CN"/>
        </w:rPr>
        <w:t>采购代理机构：</w:t>
      </w:r>
      <w:r>
        <w:rPr>
          <w:rFonts w:hint="eastAsia" w:ascii="宋体" w:hAnsi="宋体" w:cs="宋体"/>
          <w:b w:val="0"/>
          <w:bCs w:val="0"/>
          <w:color w:val="auto"/>
          <w:sz w:val="32"/>
          <w:szCs w:val="32"/>
          <w:lang w:val="en-US" w:eastAsia="zh-CN"/>
        </w:rPr>
        <w:t>新疆瀚哲项目管理有限公司</w:t>
      </w:r>
    </w:p>
    <w:p>
      <w:pPr>
        <w:spacing w:before="240" w:beforeLines="100" w:after="240" w:afterLines="100" w:line="360" w:lineRule="auto"/>
        <w:rPr>
          <w:rFonts w:hint="eastAsia" w:ascii="宋体" w:hAnsi="宋体" w:eastAsia="宋体" w:cs="宋体"/>
          <w:b w:val="0"/>
          <w:bCs w:val="0"/>
          <w:color w:val="auto"/>
          <w:sz w:val="32"/>
          <w:szCs w:val="32"/>
          <w:lang w:eastAsia="zh-CN"/>
        </w:rPr>
      </w:pPr>
      <w:r>
        <w:rPr>
          <w:rFonts w:hint="eastAsia" w:ascii="宋体" w:hAnsi="宋体" w:eastAsia="宋体" w:cs="宋体"/>
          <w:b w:val="0"/>
          <w:bCs w:val="0"/>
          <w:color w:val="auto"/>
          <w:sz w:val="32"/>
          <w:szCs w:val="32"/>
          <w:lang w:eastAsia="zh-CN"/>
        </w:rPr>
        <w:t>法定代表人或其委托代理人（签章）：</w:t>
      </w:r>
    </w:p>
    <w:p>
      <w:pPr>
        <w:spacing w:before="240" w:beforeLines="100" w:after="240" w:afterLines="100" w:line="360" w:lineRule="auto"/>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eastAsia="zh-CN"/>
        </w:rPr>
        <w:t>联系人：</w:t>
      </w:r>
      <w:r>
        <w:rPr>
          <w:rFonts w:hint="eastAsia" w:ascii="宋体" w:hAnsi="宋体" w:cs="宋体"/>
          <w:b w:val="0"/>
          <w:bCs w:val="0"/>
          <w:color w:val="auto"/>
          <w:sz w:val="32"/>
          <w:szCs w:val="32"/>
          <w:lang w:val="en-US" w:eastAsia="zh-CN"/>
        </w:rPr>
        <w:t>代娟娟</w:t>
      </w:r>
    </w:p>
    <w:p>
      <w:pPr>
        <w:spacing w:before="240" w:beforeLines="100" w:after="240" w:afterLines="100" w:line="360" w:lineRule="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eastAsia="zh-CN"/>
        </w:rPr>
        <w:t>联系电话：</w:t>
      </w:r>
      <w:r>
        <w:rPr>
          <w:rFonts w:hint="eastAsia" w:ascii="宋体" w:hAnsi="宋体" w:eastAsia="宋体" w:cs="宋体"/>
          <w:b w:val="0"/>
          <w:bCs w:val="0"/>
          <w:color w:val="auto"/>
          <w:sz w:val="32"/>
          <w:szCs w:val="32"/>
          <w:lang w:val="en-US" w:eastAsia="zh-CN"/>
        </w:rPr>
        <w:t>18509977717</w:t>
      </w:r>
    </w:p>
    <w:p>
      <w:pPr>
        <w:spacing w:before="240" w:beforeLines="100" w:after="240" w:afterLines="100" w:line="360" w:lineRule="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联系地址：阿克苏市疆南名居4号楼3单元101室</w:t>
      </w:r>
    </w:p>
    <w:p>
      <w:pPr>
        <w:pStyle w:val="2"/>
        <w:rPr>
          <w:rFonts w:hint="eastAsia"/>
          <w:color w:val="auto"/>
          <w:lang w:eastAsia="zh-CN"/>
        </w:rPr>
      </w:pPr>
    </w:p>
    <w:p>
      <w:pPr>
        <w:spacing w:before="240" w:beforeLines="100" w:after="240" w:afterLines="100" w:line="360" w:lineRule="auto"/>
        <w:jc w:val="center"/>
        <w:rPr>
          <w:rFonts w:hint="eastAsia" w:ascii="宋体" w:hAnsi="宋体" w:cs="宋体"/>
          <w:b w:val="0"/>
          <w:bCs w:val="0"/>
          <w:color w:val="auto"/>
          <w:sz w:val="32"/>
          <w:szCs w:val="32"/>
          <w:lang w:eastAsia="zh-CN"/>
        </w:rPr>
      </w:pPr>
      <w:r>
        <w:rPr>
          <w:rFonts w:hint="eastAsia" w:ascii="宋体" w:hAnsi="宋体" w:cs="宋体"/>
          <w:b w:val="0"/>
          <w:bCs w:val="0"/>
          <w:color w:val="auto"/>
          <w:sz w:val="32"/>
          <w:szCs w:val="32"/>
          <w:lang w:eastAsia="zh-CN"/>
        </w:rPr>
        <w:t>二〇二二年</w:t>
      </w:r>
      <w:r>
        <w:rPr>
          <w:rFonts w:hint="eastAsia" w:ascii="宋体" w:hAnsi="宋体" w:cs="宋体"/>
          <w:b w:val="0"/>
          <w:bCs w:val="0"/>
          <w:color w:val="auto"/>
          <w:sz w:val="32"/>
          <w:szCs w:val="32"/>
          <w:lang w:val="en-US" w:eastAsia="zh-CN"/>
        </w:rPr>
        <w:t>十一</w:t>
      </w:r>
      <w:r>
        <w:rPr>
          <w:rFonts w:hint="eastAsia" w:ascii="宋体" w:hAnsi="宋体" w:cs="宋体"/>
          <w:b w:val="0"/>
          <w:bCs w:val="0"/>
          <w:color w:val="auto"/>
          <w:sz w:val="32"/>
          <w:szCs w:val="32"/>
          <w:lang w:eastAsia="zh-CN"/>
        </w:rPr>
        <w:t>月</w:t>
      </w:r>
    </w:p>
    <w:p>
      <w:pPr>
        <w:rPr>
          <w:rFonts w:hint="eastAsia" w:ascii="仿宋" w:hAnsi="仿宋" w:eastAsia="仿宋" w:cs="仿宋"/>
          <w:color w:val="auto"/>
          <w:sz w:val="24"/>
          <w:szCs w:val="36"/>
        </w:rPr>
      </w:pPr>
    </w:p>
    <w:sdt>
      <w:sdtPr>
        <w:rPr>
          <w:rFonts w:ascii="宋体" w:hAnsi="宋体" w:eastAsia="宋体" w:cs="Times New Roman"/>
          <w:color w:val="auto"/>
          <w:kern w:val="2"/>
          <w:sz w:val="21"/>
          <w:szCs w:val="22"/>
          <w:lang w:val="en-US" w:eastAsia="zh-CN" w:bidi="ar-SA"/>
        </w:rPr>
        <w:id w:val="147481600"/>
        <w15:color w:val="DBDBDB"/>
        <w:docPartObj>
          <w:docPartGallery w:val="Table of Contents"/>
          <w:docPartUnique/>
        </w:docPartObj>
      </w:sdtPr>
      <w:sdtEndPr>
        <w:rPr>
          <w:rFonts w:hint="eastAsia" w:ascii="Times New Roman" w:hAnsi="Times New Roman" w:eastAsia="宋体" w:cs="Times New Roman"/>
          <w:color w:val="auto"/>
          <w:kern w:val="2"/>
          <w:sz w:val="18"/>
          <w:szCs w:val="22"/>
          <w:lang w:val="en-US" w:eastAsia="zh-CN" w:bidi="ar-SA"/>
        </w:rPr>
      </w:sdtEndPr>
      <w:sdtContent>
        <w:p>
          <w:pPr>
            <w:spacing w:before="0" w:beforeLines="0" w:after="0" w:afterLines="0" w:line="240" w:lineRule="auto"/>
            <w:ind w:left="0" w:leftChars="0" w:right="0" w:rightChars="0" w:firstLine="0" w:firstLineChars="0"/>
            <w:jc w:val="center"/>
            <w:rPr>
              <w:b/>
              <w:bCs/>
              <w:color w:val="auto"/>
              <w:sz w:val="48"/>
              <w:szCs w:val="52"/>
            </w:rPr>
          </w:pPr>
          <w:r>
            <w:rPr>
              <w:rFonts w:ascii="宋体" w:hAnsi="宋体" w:eastAsia="宋体"/>
              <w:b/>
              <w:bCs/>
              <w:color w:val="auto"/>
              <w:sz w:val="48"/>
              <w:szCs w:val="52"/>
            </w:rPr>
            <w:t>目</w:t>
          </w:r>
          <w:r>
            <w:rPr>
              <w:rFonts w:hint="eastAsia" w:ascii="宋体" w:hAnsi="宋体" w:eastAsia="宋体"/>
              <w:b/>
              <w:bCs/>
              <w:color w:val="auto"/>
              <w:sz w:val="48"/>
              <w:szCs w:val="52"/>
              <w:lang w:val="en-US" w:eastAsia="zh-CN"/>
            </w:rPr>
            <w:t xml:space="preserve">   </w:t>
          </w:r>
          <w:r>
            <w:rPr>
              <w:rFonts w:ascii="宋体" w:hAnsi="宋体" w:eastAsia="宋体"/>
              <w:b/>
              <w:bCs/>
              <w:color w:val="auto"/>
              <w:sz w:val="48"/>
              <w:szCs w:val="52"/>
            </w:rPr>
            <w:t>录</w:t>
          </w:r>
        </w:p>
        <w:p>
          <w:pPr>
            <w:pStyle w:val="158"/>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b/>
              <w:bCs/>
              <w:color w:val="auto"/>
              <w:sz w:val="28"/>
              <w:szCs w:val="28"/>
            </w:rPr>
          </w:pPr>
          <w:r>
            <w:rPr>
              <w:rFonts w:hint="eastAsia"/>
              <w:color w:val="auto"/>
            </w:rPr>
            <w:fldChar w:fldCharType="begin"/>
          </w:r>
          <w:r>
            <w:rPr>
              <w:rFonts w:hint="eastAsia"/>
              <w:color w:val="auto"/>
            </w:rPr>
            <w:instrText xml:space="preserve">TOC \o "1-1" \h \u </w:instrText>
          </w:r>
          <w:r>
            <w:rPr>
              <w:rFonts w:hint="eastAsia"/>
              <w:color w:val="auto"/>
            </w:rPr>
            <w:fldChar w:fldCharType="separate"/>
          </w:r>
          <w:r>
            <w:rPr>
              <w:rFonts w:hint="eastAsia"/>
              <w:b/>
              <w:bCs/>
              <w:color w:val="auto"/>
              <w:sz w:val="28"/>
              <w:szCs w:val="28"/>
            </w:rPr>
            <w:fldChar w:fldCharType="begin"/>
          </w:r>
          <w:r>
            <w:rPr>
              <w:rFonts w:hint="eastAsia"/>
              <w:b/>
              <w:bCs/>
              <w:color w:val="auto"/>
              <w:sz w:val="28"/>
              <w:szCs w:val="28"/>
            </w:rPr>
            <w:instrText xml:space="preserve"> HYPERLINK \l _Toc4617 </w:instrText>
          </w:r>
          <w:r>
            <w:rPr>
              <w:rFonts w:hint="eastAsia"/>
              <w:b/>
              <w:bCs/>
              <w:color w:val="auto"/>
              <w:sz w:val="28"/>
              <w:szCs w:val="28"/>
            </w:rPr>
            <w:fldChar w:fldCharType="separate"/>
          </w:r>
          <w:r>
            <w:rPr>
              <w:rFonts w:hint="eastAsia" w:ascii="仿宋" w:hAnsi="仿宋" w:eastAsia="仿宋" w:cs="仿宋"/>
              <w:b/>
              <w:bCs/>
              <w:color w:val="auto"/>
              <w:sz w:val="28"/>
              <w:szCs w:val="44"/>
            </w:rPr>
            <w:t xml:space="preserve">第一章 </w:t>
          </w:r>
          <w:r>
            <w:rPr>
              <w:rFonts w:hint="eastAsia" w:ascii="仿宋" w:hAnsi="仿宋" w:eastAsia="仿宋" w:cs="仿宋"/>
              <w:b/>
              <w:bCs/>
              <w:color w:val="auto"/>
              <w:sz w:val="28"/>
              <w:szCs w:val="44"/>
              <w:lang w:val="en-US" w:eastAsia="zh-CN"/>
            </w:rPr>
            <w:t xml:space="preserve"> </w:t>
          </w:r>
          <w:r>
            <w:rPr>
              <w:rFonts w:hint="eastAsia" w:ascii="仿宋" w:hAnsi="仿宋" w:eastAsia="仿宋" w:cs="仿宋"/>
              <w:b/>
              <w:bCs/>
              <w:color w:val="auto"/>
              <w:sz w:val="28"/>
              <w:szCs w:val="44"/>
            </w:rPr>
            <w:t>采购公告</w:t>
          </w:r>
          <w:r>
            <w:rPr>
              <w:b/>
              <w:bCs/>
              <w:color w:val="auto"/>
              <w:sz w:val="28"/>
              <w:szCs w:val="28"/>
            </w:rPr>
            <w:tab/>
          </w:r>
          <w:r>
            <w:rPr>
              <w:b/>
              <w:bCs/>
              <w:color w:val="auto"/>
              <w:sz w:val="28"/>
              <w:szCs w:val="28"/>
            </w:rPr>
            <w:fldChar w:fldCharType="begin"/>
          </w:r>
          <w:r>
            <w:rPr>
              <w:b/>
              <w:bCs/>
              <w:color w:val="auto"/>
              <w:sz w:val="28"/>
              <w:szCs w:val="28"/>
            </w:rPr>
            <w:instrText xml:space="preserve"> PAGEREF _Toc4617 \h </w:instrText>
          </w:r>
          <w:r>
            <w:rPr>
              <w:b/>
              <w:bCs/>
              <w:color w:val="auto"/>
              <w:sz w:val="28"/>
              <w:szCs w:val="28"/>
            </w:rPr>
            <w:fldChar w:fldCharType="separate"/>
          </w:r>
          <w:r>
            <w:rPr>
              <w:b/>
              <w:bCs/>
              <w:color w:val="auto"/>
              <w:sz w:val="28"/>
              <w:szCs w:val="28"/>
            </w:rPr>
            <w:t>1</w:t>
          </w:r>
          <w:r>
            <w:rPr>
              <w:b/>
              <w:bCs/>
              <w:color w:val="auto"/>
              <w:sz w:val="28"/>
              <w:szCs w:val="28"/>
            </w:rPr>
            <w:fldChar w:fldCharType="end"/>
          </w:r>
          <w:r>
            <w:rPr>
              <w:rFonts w:hint="eastAsia"/>
              <w:b/>
              <w:bCs/>
              <w:color w:val="auto"/>
              <w:sz w:val="28"/>
              <w:szCs w:val="28"/>
            </w:rPr>
            <w:fldChar w:fldCharType="end"/>
          </w:r>
        </w:p>
        <w:p>
          <w:pPr>
            <w:pStyle w:val="158"/>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b/>
              <w:bCs/>
              <w:color w:val="auto"/>
              <w:sz w:val="28"/>
              <w:szCs w:val="28"/>
            </w:rPr>
          </w:pPr>
          <w:r>
            <w:rPr>
              <w:rFonts w:hint="eastAsia"/>
              <w:b/>
              <w:bCs/>
              <w:color w:val="auto"/>
              <w:sz w:val="28"/>
              <w:szCs w:val="28"/>
            </w:rPr>
            <w:fldChar w:fldCharType="begin"/>
          </w:r>
          <w:r>
            <w:rPr>
              <w:rFonts w:hint="eastAsia"/>
              <w:b/>
              <w:bCs/>
              <w:color w:val="auto"/>
              <w:sz w:val="28"/>
              <w:szCs w:val="28"/>
            </w:rPr>
            <w:instrText xml:space="preserve"> HYPERLINK \l _Toc26836 </w:instrText>
          </w:r>
          <w:r>
            <w:rPr>
              <w:rFonts w:hint="eastAsia"/>
              <w:b/>
              <w:bCs/>
              <w:color w:val="auto"/>
              <w:sz w:val="28"/>
              <w:szCs w:val="28"/>
            </w:rPr>
            <w:fldChar w:fldCharType="separate"/>
          </w:r>
          <w:r>
            <w:rPr>
              <w:rFonts w:hint="eastAsia" w:ascii="仿宋" w:hAnsi="仿宋" w:eastAsia="仿宋" w:cs="仿宋"/>
              <w:b/>
              <w:bCs/>
              <w:color w:val="auto"/>
              <w:sz w:val="28"/>
              <w:szCs w:val="48"/>
            </w:rPr>
            <w:t xml:space="preserve">第二章 </w:t>
          </w:r>
          <w:r>
            <w:rPr>
              <w:rFonts w:hint="eastAsia" w:ascii="仿宋" w:hAnsi="仿宋" w:eastAsia="仿宋" w:cs="仿宋"/>
              <w:b/>
              <w:bCs/>
              <w:color w:val="auto"/>
              <w:sz w:val="28"/>
              <w:szCs w:val="48"/>
              <w:lang w:val="en-US" w:eastAsia="zh-CN"/>
            </w:rPr>
            <w:t xml:space="preserve"> </w:t>
          </w:r>
          <w:r>
            <w:rPr>
              <w:rFonts w:hint="eastAsia" w:ascii="仿宋" w:hAnsi="仿宋" w:eastAsia="仿宋" w:cs="仿宋"/>
              <w:b/>
              <w:bCs/>
              <w:color w:val="auto"/>
              <w:sz w:val="28"/>
              <w:szCs w:val="48"/>
            </w:rPr>
            <w:t>供应商须知</w:t>
          </w:r>
          <w:r>
            <w:rPr>
              <w:b/>
              <w:bCs/>
              <w:color w:val="auto"/>
              <w:sz w:val="28"/>
              <w:szCs w:val="28"/>
            </w:rPr>
            <w:tab/>
          </w:r>
          <w:r>
            <w:rPr>
              <w:b/>
              <w:bCs/>
              <w:color w:val="auto"/>
              <w:sz w:val="28"/>
              <w:szCs w:val="28"/>
            </w:rPr>
            <w:fldChar w:fldCharType="begin"/>
          </w:r>
          <w:r>
            <w:rPr>
              <w:b/>
              <w:bCs/>
              <w:color w:val="auto"/>
              <w:sz w:val="28"/>
              <w:szCs w:val="28"/>
            </w:rPr>
            <w:instrText xml:space="preserve"> PAGEREF _Toc26836 \h </w:instrText>
          </w:r>
          <w:r>
            <w:rPr>
              <w:b/>
              <w:bCs/>
              <w:color w:val="auto"/>
              <w:sz w:val="28"/>
              <w:szCs w:val="28"/>
            </w:rPr>
            <w:fldChar w:fldCharType="separate"/>
          </w:r>
          <w:r>
            <w:rPr>
              <w:b/>
              <w:bCs/>
              <w:color w:val="auto"/>
              <w:sz w:val="28"/>
              <w:szCs w:val="28"/>
            </w:rPr>
            <w:t>5</w:t>
          </w:r>
          <w:r>
            <w:rPr>
              <w:b/>
              <w:bCs/>
              <w:color w:val="auto"/>
              <w:sz w:val="28"/>
              <w:szCs w:val="28"/>
            </w:rPr>
            <w:fldChar w:fldCharType="end"/>
          </w:r>
          <w:r>
            <w:rPr>
              <w:rFonts w:hint="eastAsia"/>
              <w:b/>
              <w:bCs/>
              <w:color w:val="auto"/>
              <w:sz w:val="28"/>
              <w:szCs w:val="28"/>
            </w:rPr>
            <w:fldChar w:fldCharType="end"/>
          </w:r>
        </w:p>
        <w:p>
          <w:pPr>
            <w:pStyle w:val="158"/>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b/>
              <w:bCs/>
              <w:color w:val="auto"/>
              <w:sz w:val="28"/>
              <w:szCs w:val="28"/>
            </w:rPr>
          </w:pPr>
          <w:r>
            <w:rPr>
              <w:rFonts w:hint="eastAsia"/>
              <w:b/>
              <w:bCs/>
              <w:color w:val="auto"/>
              <w:sz w:val="28"/>
              <w:szCs w:val="28"/>
            </w:rPr>
            <w:fldChar w:fldCharType="begin"/>
          </w:r>
          <w:r>
            <w:rPr>
              <w:rFonts w:hint="eastAsia"/>
              <w:b/>
              <w:bCs/>
              <w:color w:val="auto"/>
              <w:sz w:val="28"/>
              <w:szCs w:val="28"/>
            </w:rPr>
            <w:instrText xml:space="preserve"> HYPERLINK \l _Toc5433 </w:instrText>
          </w:r>
          <w:r>
            <w:rPr>
              <w:rFonts w:hint="eastAsia"/>
              <w:b/>
              <w:bCs/>
              <w:color w:val="auto"/>
              <w:sz w:val="28"/>
              <w:szCs w:val="28"/>
            </w:rPr>
            <w:fldChar w:fldCharType="separate"/>
          </w:r>
          <w:r>
            <w:rPr>
              <w:rFonts w:hint="eastAsia" w:ascii="仿宋" w:hAnsi="仿宋" w:eastAsia="仿宋" w:cs="仿宋"/>
              <w:b/>
              <w:bCs/>
              <w:color w:val="auto"/>
              <w:sz w:val="28"/>
              <w:szCs w:val="44"/>
              <w:lang w:val="en-US" w:eastAsia="zh-CN"/>
            </w:rPr>
            <w:t xml:space="preserve">第三章 </w:t>
          </w:r>
          <w:r>
            <w:rPr>
              <w:rFonts w:hint="eastAsia" w:ascii="仿宋" w:hAnsi="仿宋" w:eastAsia="仿宋" w:cs="仿宋"/>
              <w:b/>
              <w:bCs/>
              <w:color w:val="auto"/>
              <w:sz w:val="28"/>
              <w:szCs w:val="44"/>
            </w:rPr>
            <w:t xml:space="preserve"> 采购需求</w:t>
          </w:r>
          <w:r>
            <w:rPr>
              <w:b/>
              <w:bCs/>
              <w:color w:val="auto"/>
              <w:sz w:val="28"/>
              <w:szCs w:val="28"/>
            </w:rPr>
            <w:tab/>
          </w:r>
          <w:r>
            <w:rPr>
              <w:b/>
              <w:bCs/>
              <w:color w:val="auto"/>
              <w:sz w:val="28"/>
              <w:szCs w:val="28"/>
            </w:rPr>
            <w:fldChar w:fldCharType="begin"/>
          </w:r>
          <w:r>
            <w:rPr>
              <w:b/>
              <w:bCs/>
              <w:color w:val="auto"/>
              <w:sz w:val="28"/>
              <w:szCs w:val="28"/>
            </w:rPr>
            <w:instrText xml:space="preserve"> PAGEREF _Toc5433 \h </w:instrText>
          </w:r>
          <w:r>
            <w:rPr>
              <w:b/>
              <w:bCs/>
              <w:color w:val="auto"/>
              <w:sz w:val="28"/>
              <w:szCs w:val="28"/>
            </w:rPr>
            <w:fldChar w:fldCharType="separate"/>
          </w:r>
          <w:r>
            <w:rPr>
              <w:b/>
              <w:bCs/>
              <w:color w:val="auto"/>
              <w:sz w:val="28"/>
              <w:szCs w:val="28"/>
            </w:rPr>
            <w:t>24</w:t>
          </w:r>
          <w:r>
            <w:rPr>
              <w:b/>
              <w:bCs/>
              <w:color w:val="auto"/>
              <w:sz w:val="28"/>
              <w:szCs w:val="28"/>
            </w:rPr>
            <w:fldChar w:fldCharType="end"/>
          </w:r>
          <w:r>
            <w:rPr>
              <w:rFonts w:hint="eastAsia"/>
              <w:b/>
              <w:bCs/>
              <w:color w:val="auto"/>
              <w:sz w:val="28"/>
              <w:szCs w:val="28"/>
            </w:rPr>
            <w:fldChar w:fldCharType="end"/>
          </w:r>
        </w:p>
        <w:p>
          <w:pPr>
            <w:pStyle w:val="158"/>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b/>
              <w:bCs/>
              <w:color w:val="auto"/>
              <w:sz w:val="28"/>
              <w:szCs w:val="28"/>
            </w:rPr>
          </w:pPr>
          <w:r>
            <w:rPr>
              <w:rFonts w:hint="eastAsia"/>
              <w:b/>
              <w:bCs/>
              <w:color w:val="auto"/>
              <w:sz w:val="28"/>
              <w:szCs w:val="28"/>
            </w:rPr>
            <w:fldChar w:fldCharType="begin"/>
          </w:r>
          <w:r>
            <w:rPr>
              <w:rFonts w:hint="eastAsia"/>
              <w:b/>
              <w:bCs/>
              <w:color w:val="auto"/>
              <w:sz w:val="28"/>
              <w:szCs w:val="28"/>
            </w:rPr>
            <w:instrText xml:space="preserve"> HYPERLINK \l _Toc10337 </w:instrText>
          </w:r>
          <w:r>
            <w:rPr>
              <w:rFonts w:hint="eastAsia"/>
              <w:b/>
              <w:bCs/>
              <w:color w:val="auto"/>
              <w:sz w:val="28"/>
              <w:szCs w:val="28"/>
            </w:rPr>
            <w:fldChar w:fldCharType="separate"/>
          </w:r>
          <w:r>
            <w:rPr>
              <w:rFonts w:hint="eastAsia" w:ascii="仿宋" w:hAnsi="仿宋" w:eastAsia="仿宋" w:cs="仿宋"/>
              <w:b/>
              <w:bCs/>
              <w:color w:val="auto"/>
              <w:sz w:val="28"/>
              <w:szCs w:val="48"/>
            </w:rPr>
            <w:t>第</w:t>
          </w:r>
          <w:r>
            <w:rPr>
              <w:rFonts w:hint="eastAsia" w:ascii="仿宋" w:hAnsi="仿宋" w:eastAsia="仿宋" w:cs="仿宋"/>
              <w:b/>
              <w:bCs/>
              <w:color w:val="auto"/>
              <w:sz w:val="28"/>
              <w:szCs w:val="48"/>
              <w:lang w:eastAsia="zh-CN"/>
            </w:rPr>
            <w:t>四</w:t>
          </w:r>
          <w:r>
            <w:rPr>
              <w:rFonts w:hint="eastAsia" w:ascii="仿宋" w:hAnsi="仿宋" w:eastAsia="仿宋" w:cs="仿宋"/>
              <w:b/>
              <w:bCs/>
              <w:color w:val="auto"/>
              <w:sz w:val="28"/>
              <w:szCs w:val="48"/>
            </w:rPr>
            <w:t>章  评</w:t>
          </w:r>
          <w:r>
            <w:rPr>
              <w:rFonts w:hint="eastAsia" w:ascii="仿宋" w:hAnsi="仿宋" w:eastAsia="仿宋" w:cs="仿宋"/>
              <w:b/>
              <w:bCs/>
              <w:color w:val="auto"/>
              <w:sz w:val="28"/>
              <w:szCs w:val="48"/>
              <w:lang w:eastAsia="zh-CN"/>
            </w:rPr>
            <w:t>审</w:t>
          </w:r>
          <w:r>
            <w:rPr>
              <w:rFonts w:hint="eastAsia" w:ascii="仿宋" w:hAnsi="仿宋" w:eastAsia="仿宋" w:cs="仿宋"/>
              <w:b/>
              <w:bCs/>
              <w:color w:val="auto"/>
              <w:sz w:val="28"/>
              <w:szCs w:val="48"/>
            </w:rPr>
            <w:t>办法</w:t>
          </w:r>
          <w:r>
            <w:rPr>
              <w:b/>
              <w:bCs/>
              <w:color w:val="auto"/>
              <w:sz w:val="28"/>
              <w:szCs w:val="28"/>
            </w:rPr>
            <w:tab/>
          </w:r>
          <w:r>
            <w:rPr>
              <w:b/>
              <w:bCs/>
              <w:color w:val="auto"/>
              <w:sz w:val="28"/>
              <w:szCs w:val="28"/>
            </w:rPr>
            <w:fldChar w:fldCharType="begin"/>
          </w:r>
          <w:r>
            <w:rPr>
              <w:b/>
              <w:bCs/>
              <w:color w:val="auto"/>
              <w:sz w:val="28"/>
              <w:szCs w:val="28"/>
            </w:rPr>
            <w:instrText xml:space="preserve"> PAGEREF _Toc10337 \h </w:instrText>
          </w:r>
          <w:r>
            <w:rPr>
              <w:b/>
              <w:bCs/>
              <w:color w:val="auto"/>
              <w:sz w:val="28"/>
              <w:szCs w:val="28"/>
            </w:rPr>
            <w:fldChar w:fldCharType="separate"/>
          </w:r>
          <w:r>
            <w:rPr>
              <w:b/>
              <w:bCs/>
              <w:color w:val="auto"/>
              <w:sz w:val="28"/>
              <w:szCs w:val="28"/>
            </w:rPr>
            <w:t>26</w:t>
          </w:r>
          <w:r>
            <w:rPr>
              <w:b/>
              <w:bCs/>
              <w:color w:val="auto"/>
              <w:sz w:val="28"/>
              <w:szCs w:val="28"/>
            </w:rPr>
            <w:fldChar w:fldCharType="end"/>
          </w:r>
          <w:r>
            <w:rPr>
              <w:rFonts w:hint="eastAsia"/>
              <w:b/>
              <w:bCs/>
              <w:color w:val="auto"/>
              <w:sz w:val="28"/>
              <w:szCs w:val="28"/>
            </w:rPr>
            <w:fldChar w:fldCharType="end"/>
          </w:r>
        </w:p>
        <w:p>
          <w:pPr>
            <w:pStyle w:val="158"/>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b/>
              <w:bCs/>
              <w:color w:val="auto"/>
              <w:sz w:val="28"/>
              <w:szCs w:val="28"/>
            </w:rPr>
          </w:pPr>
          <w:r>
            <w:rPr>
              <w:rFonts w:hint="eastAsia"/>
              <w:b/>
              <w:bCs/>
              <w:color w:val="auto"/>
              <w:sz w:val="28"/>
              <w:szCs w:val="28"/>
            </w:rPr>
            <w:fldChar w:fldCharType="begin"/>
          </w:r>
          <w:r>
            <w:rPr>
              <w:rFonts w:hint="eastAsia"/>
              <w:b/>
              <w:bCs/>
              <w:color w:val="auto"/>
              <w:sz w:val="28"/>
              <w:szCs w:val="28"/>
            </w:rPr>
            <w:instrText xml:space="preserve"> HYPERLINK \l _Toc12181 </w:instrText>
          </w:r>
          <w:r>
            <w:rPr>
              <w:rFonts w:hint="eastAsia"/>
              <w:b/>
              <w:bCs/>
              <w:color w:val="auto"/>
              <w:sz w:val="28"/>
              <w:szCs w:val="28"/>
            </w:rPr>
            <w:fldChar w:fldCharType="separate"/>
          </w:r>
          <w:r>
            <w:rPr>
              <w:rFonts w:hint="eastAsia" w:ascii="仿宋" w:hAnsi="仿宋" w:eastAsia="仿宋" w:cs="仿宋"/>
              <w:b/>
              <w:bCs/>
              <w:color w:val="auto"/>
              <w:sz w:val="28"/>
              <w:szCs w:val="44"/>
            </w:rPr>
            <w:t>第</w:t>
          </w:r>
          <w:r>
            <w:rPr>
              <w:rFonts w:hint="eastAsia" w:ascii="仿宋" w:hAnsi="仿宋" w:eastAsia="仿宋" w:cs="仿宋"/>
              <w:b/>
              <w:bCs/>
              <w:color w:val="auto"/>
              <w:sz w:val="28"/>
              <w:szCs w:val="44"/>
              <w:lang w:eastAsia="zh-CN"/>
            </w:rPr>
            <w:t>五</w:t>
          </w:r>
          <w:r>
            <w:rPr>
              <w:rFonts w:hint="eastAsia" w:ascii="仿宋" w:hAnsi="仿宋" w:eastAsia="仿宋" w:cs="仿宋"/>
              <w:b/>
              <w:bCs/>
              <w:color w:val="auto"/>
              <w:sz w:val="28"/>
              <w:szCs w:val="44"/>
            </w:rPr>
            <w:t>章  签订合同、合同主要条款</w:t>
          </w:r>
          <w:r>
            <w:rPr>
              <w:rFonts w:hint="eastAsia" w:ascii="仿宋" w:hAnsi="仿宋" w:eastAsia="仿宋" w:cs="仿宋"/>
              <w:b/>
              <w:bCs/>
              <w:color w:val="auto"/>
              <w:sz w:val="28"/>
              <w:szCs w:val="44"/>
              <w:lang w:eastAsia="zh-CN"/>
            </w:rPr>
            <w:t>（仅供参考）</w:t>
          </w:r>
          <w:r>
            <w:rPr>
              <w:b/>
              <w:bCs/>
              <w:color w:val="auto"/>
              <w:sz w:val="28"/>
              <w:szCs w:val="28"/>
            </w:rPr>
            <w:tab/>
          </w:r>
          <w:r>
            <w:rPr>
              <w:b/>
              <w:bCs/>
              <w:color w:val="auto"/>
              <w:sz w:val="28"/>
              <w:szCs w:val="28"/>
            </w:rPr>
            <w:fldChar w:fldCharType="begin"/>
          </w:r>
          <w:r>
            <w:rPr>
              <w:b/>
              <w:bCs/>
              <w:color w:val="auto"/>
              <w:sz w:val="28"/>
              <w:szCs w:val="28"/>
            </w:rPr>
            <w:instrText xml:space="preserve"> PAGEREF _Toc12181 \h </w:instrText>
          </w:r>
          <w:r>
            <w:rPr>
              <w:b/>
              <w:bCs/>
              <w:color w:val="auto"/>
              <w:sz w:val="28"/>
              <w:szCs w:val="28"/>
            </w:rPr>
            <w:fldChar w:fldCharType="separate"/>
          </w:r>
          <w:r>
            <w:rPr>
              <w:b/>
              <w:bCs/>
              <w:color w:val="auto"/>
              <w:sz w:val="28"/>
              <w:szCs w:val="28"/>
            </w:rPr>
            <w:t>33</w:t>
          </w:r>
          <w:r>
            <w:rPr>
              <w:b/>
              <w:bCs/>
              <w:color w:val="auto"/>
              <w:sz w:val="28"/>
              <w:szCs w:val="28"/>
            </w:rPr>
            <w:fldChar w:fldCharType="end"/>
          </w:r>
          <w:r>
            <w:rPr>
              <w:rFonts w:hint="eastAsia"/>
              <w:b/>
              <w:bCs/>
              <w:color w:val="auto"/>
              <w:sz w:val="28"/>
              <w:szCs w:val="28"/>
            </w:rPr>
            <w:fldChar w:fldCharType="end"/>
          </w:r>
        </w:p>
        <w:p>
          <w:pPr>
            <w:pStyle w:val="158"/>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b/>
              <w:bCs/>
              <w:color w:val="auto"/>
              <w:sz w:val="28"/>
              <w:szCs w:val="28"/>
            </w:rPr>
          </w:pPr>
          <w:r>
            <w:rPr>
              <w:rFonts w:hint="eastAsia"/>
              <w:b/>
              <w:bCs/>
              <w:color w:val="auto"/>
              <w:sz w:val="28"/>
              <w:szCs w:val="28"/>
            </w:rPr>
            <w:fldChar w:fldCharType="begin"/>
          </w:r>
          <w:r>
            <w:rPr>
              <w:rFonts w:hint="eastAsia"/>
              <w:b/>
              <w:bCs/>
              <w:color w:val="auto"/>
              <w:sz w:val="28"/>
              <w:szCs w:val="28"/>
            </w:rPr>
            <w:instrText xml:space="preserve"> HYPERLINK \l _Toc31460 </w:instrText>
          </w:r>
          <w:r>
            <w:rPr>
              <w:rFonts w:hint="eastAsia"/>
              <w:b/>
              <w:bCs/>
              <w:color w:val="auto"/>
              <w:sz w:val="28"/>
              <w:szCs w:val="28"/>
            </w:rPr>
            <w:fldChar w:fldCharType="separate"/>
          </w:r>
          <w:r>
            <w:rPr>
              <w:rFonts w:hint="eastAsia" w:ascii="仿宋" w:hAnsi="仿宋" w:eastAsia="仿宋" w:cs="仿宋"/>
              <w:b/>
              <w:bCs/>
              <w:color w:val="auto"/>
              <w:sz w:val="28"/>
              <w:szCs w:val="44"/>
            </w:rPr>
            <w:t>第</w:t>
          </w:r>
          <w:r>
            <w:rPr>
              <w:rFonts w:hint="eastAsia" w:ascii="仿宋" w:hAnsi="仿宋" w:eastAsia="仿宋" w:cs="仿宋"/>
              <w:b/>
              <w:bCs/>
              <w:color w:val="auto"/>
              <w:sz w:val="28"/>
              <w:szCs w:val="44"/>
              <w:lang w:eastAsia="zh-CN"/>
            </w:rPr>
            <w:t>六</w:t>
          </w:r>
          <w:r>
            <w:rPr>
              <w:rFonts w:hint="eastAsia" w:ascii="仿宋" w:hAnsi="仿宋" w:eastAsia="仿宋" w:cs="仿宋"/>
              <w:b/>
              <w:bCs/>
              <w:color w:val="auto"/>
              <w:sz w:val="28"/>
              <w:szCs w:val="44"/>
            </w:rPr>
            <w:t>章  响应文件格式</w:t>
          </w:r>
          <w:r>
            <w:rPr>
              <w:b/>
              <w:bCs/>
              <w:color w:val="auto"/>
              <w:sz w:val="28"/>
              <w:szCs w:val="28"/>
            </w:rPr>
            <w:tab/>
          </w:r>
          <w:r>
            <w:rPr>
              <w:b/>
              <w:bCs/>
              <w:color w:val="auto"/>
              <w:sz w:val="28"/>
              <w:szCs w:val="28"/>
            </w:rPr>
            <w:fldChar w:fldCharType="begin"/>
          </w:r>
          <w:r>
            <w:rPr>
              <w:b/>
              <w:bCs/>
              <w:color w:val="auto"/>
              <w:sz w:val="28"/>
              <w:szCs w:val="28"/>
            </w:rPr>
            <w:instrText xml:space="preserve"> PAGEREF _Toc31460 \h </w:instrText>
          </w:r>
          <w:r>
            <w:rPr>
              <w:b/>
              <w:bCs/>
              <w:color w:val="auto"/>
              <w:sz w:val="28"/>
              <w:szCs w:val="28"/>
            </w:rPr>
            <w:fldChar w:fldCharType="separate"/>
          </w:r>
          <w:r>
            <w:rPr>
              <w:b/>
              <w:bCs/>
              <w:color w:val="auto"/>
              <w:sz w:val="28"/>
              <w:szCs w:val="28"/>
            </w:rPr>
            <w:t>35</w:t>
          </w:r>
          <w:r>
            <w:rPr>
              <w:b/>
              <w:bCs/>
              <w:color w:val="auto"/>
              <w:sz w:val="28"/>
              <w:szCs w:val="28"/>
            </w:rPr>
            <w:fldChar w:fldCharType="end"/>
          </w:r>
          <w:r>
            <w:rPr>
              <w:rFonts w:hint="eastAsia"/>
              <w:b/>
              <w:bCs/>
              <w:color w:val="auto"/>
              <w:sz w:val="28"/>
              <w:szCs w:val="28"/>
            </w:rPr>
            <w:fldChar w:fldCharType="end"/>
          </w:r>
        </w:p>
        <w:p>
          <w:pPr>
            <w:pStyle w:val="158"/>
            <w:tabs>
              <w:tab w:val="right" w:leader="dot" w:pos="8300"/>
            </w:tabs>
            <w:rPr>
              <w:color w:val="auto"/>
            </w:rPr>
          </w:pPr>
        </w:p>
        <w:p>
          <w:pPr>
            <w:pStyle w:val="14"/>
            <w:rPr>
              <w:rFonts w:hint="eastAsia"/>
              <w:color w:val="auto"/>
            </w:rPr>
            <w:sectPr>
              <w:headerReference r:id="rId3" w:type="default"/>
              <w:footerReference r:id="rId4" w:type="default"/>
              <w:pgSz w:w="11906" w:h="16838"/>
              <w:pgMar w:top="1440" w:right="1803" w:bottom="1440" w:left="1803" w:header="850" w:footer="992" w:gutter="0"/>
              <w:pgNumType w:fmt="decimal" w:start="1"/>
              <w:cols w:space="720" w:num="1"/>
              <w:rtlGutter w:val="0"/>
              <w:docGrid w:type="lines" w:linePitch="312" w:charSpace="0"/>
            </w:sectPr>
          </w:pPr>
          <w:r>
            <w:rPr>
              <w:rFonts w:hint="eastAsia"/>
              <w:color w:val="auto"/>
            </w:rPr>
            <w:fldChar w:fldCharType="end"/>
          </w:r>
        </w:p>
      </w:sdtContent>
    </w:sdt>
    <w:p>
      <w:pPr>
        <w:numPr>
          <w:ilvl w:val="0"/>
          <w:numId w:val="3"/>
        </w:numPr>
        <w:spacing w:after="156" w:afterLines="50"/>
        <w:jc w:val="center"/>
        <w:outlineLvl w:val="0"/>
        <w:rPr>
          <w:rFonts w:hint="eastAsia" w:ascii="仿宋" w:hAnsi="仿宋" w:eastAsia="仿宋" w:cs="仿宋"/>
          <w:b/>
          <w:bCs/>
          <w:color w:val="auto"/>
          <w:sz w:val="36"/>
          <w:szCs w:val="36"/>
        </w:rPr>
      </w:pPr>
      <w:bookmarkStart w:id="0" w:name="_Toc10246"/>
      <w:bookmarkStart w:id="1" w:name="_Toc4617"/>
      <w:r>
        <w:rPr>
          <w:rFonts w:hint="eastAsia" w:ascii="仿宋" w:hAnsi="仿宋" w:eastAsia="仿宋" w:cs="仿宋"/>
          <w:b/>
          <w:bCs/>
          <w:color w:val="auto"/>
          <w:sz w:val="36"/>
          <w:szCs w:val="36"/>
        </w:rPr>
        <w:t>采购公告</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color w:val="auto"/>
          <w:sz w:val="44"/>
          <w:szCs w:val="44"/>
          <w:lang w:val="en-US" w:eastAsia="zh-CN"/>
        </w:rPr>
      </w:pPr>
      <w:bookmarkStart w:id="2" w:name="_Toc6850"/>
      <w:bookmarkStart w:id="3" w:name="_Toc35393652"/>
      <w:bookmarkStart w:id="4" w:name="_Toc35393821"/>
      <w:r>
        <w:rPr>
          <w:rFonts w:hint="eastAsia" w:ascii="华文中宋" w:hAnsi="华文中宋" w:eastAsia="华文中宋" w:cs="华文中宋"/>
          <w:b/>
          <w:bCs/>
          <w:color w:val="auto"/>
          <w:sz w:val="44"/>
          <w:szCs w:val="44"/>
          <w:lang w:val="en-US" w:eastAsia="zh-CN"/>
        </w:rPr>
        <w:t>乌什县农村污水处理配套设施购置项目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color w:val="auto"/>
          <w:sz w:val="44"/>
          <w:szCs w:val="44"/>
          <w:lang w:val="en-US" w:eastAsia="zh-CN"/>
        </w:rPr>
      </w:pPr>
      <w:r>
        <w:rPr>
          <w:rFonts w:hint="eastAsia" w:ascii="华文中宋" w:hAnsi="华文中宋" w:eastAsia="华文中宋" w:cs="华文中宋"/>
          <w:b/>
          <w:bCs/>
          <w:color w:val="auto"/>
          <w:sz w:val="44"/>
          <w:szCs w:val="44"/>
          <w:lang w:val="en-US" w:eastAsia="zh-CN"/>
        </w:rPr>
        <w:t>（一标段）竞争性磋商公告</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乌什县农村污水处理配套设施购置项目（一标段</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的潜在供应商应在</w:t>
      </w:r>
      <w:r>
        <w:rPr>
          <w:rFonts w:hint="eastAsia" w:ascii="仿宋" w:hAnsi="仿宋" w:eastAsia="仿宋" w:cs="仿宋"/>
          <w:color w:val="auto"/>
          <w:sz w:val="28"/>
          <w:szCs w:val="28"/>
          <w:u w:val="single"/>
          <w:lang w:val="en-US" w:eastAsia="zh-CN"/>
        </w:rPr>
        <w:t>新疆政府采购网（政采云平台）</w:t>
      </w:r>
      <w:r>
        <w:rPr>
          <w:rFonts w:hint="eastAsia" w:ascii="仿宋" w:hAnsi="仿宋" w:eastAsia="仿宋" w:cs="仿宋"/>
          <w:color w:val="auto"/>
          <w:sz w:val="28"/>
          <w:szCs w:val="28"/>
        </w:rPr>
        <w:t>获取采购文件，并于</w:t>
      </w:r>
      <w:r>
        <w:rPr>
          <w:rFonts w:hint="eastAsia" w:ascii="仿宋" w:hAnsi="仿宋" w:eastAsia="仿宋" w:cs="仿宋"/>
          <w:color w:val="auto"/>
          <w:sz w:val="28"/>
          <w:szCs w:val="28"/>
          <w:u w:val="single"/>
          <w:lang w:val="en-US" w:eastAsia="zh-CN"/>
        </w:rPr>
        <w:t>2022年11月25日11点00分</w:t>
      </w:r>
      <w:r>
        <w:rPr>
          <w:rFonts w:hint="eastAsia" w:ascii="仿宋" w:hAnsi="仿宋" w:eastAsia="仿宋" w:cs="仿宋"/>
          <w:color w:val="auto"/>
          <w:sz w:val="28"/>
          <w:szCs w:val="28"/>
          <w:u w:val="single"/>
        </w:rPr>
        <w:t>（北京时间）</w:t>
      </w:r>
      <w:r>
        <w:rPr>
          <w:rFonts w:hint="eastAsia" w:ascii="仿宋" w:hAnsi="仿宋" w:eastAsia="仿宋" w:cs="仿宋"/>
          <w:color w:val="auto"/>
          <w:sz w:val="28"/>
          <w:szCs w:val="28"/>
        </w:rPr>
        <w:t>前提交响应文件。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bookmarkStart w:id="5" w:name="_Toc28359089"/>
      <w:bookmarkStart w:id="6" w:name="_Toc23325"/>
      <w:bookmarkStart w:id="7" w:name="_Toc28359012"/>
      <w:bookmarkStart w:id="8" w:name="_Toc35393629"/>
      <w:bookmarkStart w:id="9" w:name="_Toc35393798"/>
      <w:r>
        <w:rPr>
          <w:rFonts w:hint="eastAsia" w:ascii="黑体" w:hAnsi="黑体" w:eastAsia="黑体" w:cs="黑体"/>
          <w:color w:val="auto"/>
          <w:sz w:val="28"/>
          <w:szCs w:val="28"/>
        </w:rPr>
        <w:t>一、项目基本情况</w:t>
      </w:r>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eastAsia="zh-CN"/>
        </w:rPr>
        <w:t>WSX[2022]-1</w:t>
      </w:r>
      <w:r>
        <w:rPr>
          <w:rFonts w:hint="eastAsia" w:ascii="仿宋" w:hAnsi="仿宋" w:eastAsia="仿宋" w:cs="仿宋"/>
          <w:color w:val="auto"/>
          <w:sz w:val="28"/>
          <w:szCs w:val="28"/>
          <w:lang w:val="en-US" w:eastAsia="zh-CN"/>
        </w:rPr>
        <w:t>59-1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乌什县农村污水处理配套设施购置项目（一标段）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采购方式：竞争性磋商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预算金额：</w:t>
      </w:r>
      <w:r>
        <w:rPr>
          <w:rFonts w:hint="eastAsia" w:ascii="仿宋" w:hAnsi="仿宋" w:eastAsia="仿宋" w:cs="仿宋"/>
          <w:color w:val="auto"/>
          <w:sz w:val="28"/>
          <w:szCs w:val="28"/>
          <w:lang w:val="en-US" w:eastAsia="zh-CN"/>
        </w:rPr>
        <w:t>1834240.00元（壹佰捌拾叁万肆仟贰佰肆拾元整）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最高限价：</w:t>
      </w:r>
      <w:r>
        <w:rPr>
          <w:rFonts w:hint="eastAsia" w:ascii="仿宋" w:hAnsi="仿宋" w:eastAsia="仿宋" w:cs="仿宋"/>
          <w:color w:val="auto"/>
          <w:sz w:val="28"/>
          <w:szCs w:val="28"/>
          <w:lang w:val="en-US" w:eastAsia="zh-CN"/>
        </w:rPr>
        <w:t>1834240.00元（壹佰捌拾叁万肆仟贰佰肆拾元整）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采购需求：</w:t>
      </w:r>
      <w:r>
        <w:rPr>
          <w:rFonts w:hint="eastAsia" w:ascii="仿宋" w:hAnsi="仿宋" w:eastAsia="仿宋" w:cs="仿宋"/>
          <w:color w:val="auto"/>
          <w:sz w:val="28"/>
          <w:szCs w:val="28"/>
          <w:lang w:val="en-US" w:eastAsia="zh-CN"/>
        </w:rPr>
        <w:t>乌什县农村污水处理配套设施购置。</w:t>
      </w:r>
      <w:r>
        <w:rPr>
          <w:rFonts w:hint="eastAsia" w:ascii="仿宋" w:hAnsi="仿宋" w:eastAsia="仿宋"/>
          <w:color w:val="auto"/>
          <w:sz w:val="28"/>
          <w:szCs w:val="28"/>
          <w:lang w:val="en-US" w:eastAsia="zh-CN"/>
        </w:rPr>
        <w:t>（详情见采购清单）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合同履行期限：</w:t>
      </w:r>
      <w:r>
        <w:rPr>
          <w:rFonts w:hint="eastAsia" w:ascii="宋体" w:hAnsi="宋体" w:cs="宋体"/>
          <w:color w:val="auto"/>
          <w:sz w:val="24"/>
          <w:u w:val="none"/>
          <w:lang w:val="en-US" w:eastAsia="zh-CN"/>
        </w:rPr>
        <w:t>自合同签订之日起20个日历天。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eastAsia="仿宋" w:cs="仿宋"/>
          <w:color w:val="auto"/>
          <w:sz w:val="28"/>
          <w:szCs w:val="28"/>
          <w:lang w:eastAsia="zh-CN"/>
        </w:rPr>
        <w:t>不</w:t>
      </w:r>
      <w:r>
        <w:rPr>
          <w:rFonts w:hint="eastAsia" w:ascii="仿宋" w:hAnsi="仿宋" w:eastAsia="仿宋" w:cs="仿宋"/>
          <w:color w:val="auto"/>
          <w:sz w:val="28"/>
          <w:szCs w:val="28"/>
        </w:rPr>
        <w:t>接受联合体。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bookmarkStart w:id="10" w:name="_Toc35393630"/>
      <w:bookmarkStart w:id="11" w:name="_Toc35393799"/>
      <w:bookmarkStart w:id="12" w:name="_Toc28359013"/>
      <w:bookmarkStart w:id="13" w:name="_Toc19651"/>
      <w:bookmarkStart w:id="14" w:name="_Toc28359090"/>
      <w:r>
        <w:rPr>
          <w:rFonts w:hint="eastAsia" w:ascii="黑体" w:hAnsi="黑体" w:eastAsia="黑体" w:cs="黑体"/>
          <w:color w:val="auto"/>
          <w:sz w:val="28"/>
          <w:szCs w:val="28"/>
        </w:rPr>
        <w:t>二、申请人的资格要求：</w:t>
      </w:r>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bookmarkStart w:id="15" w:name="_Toc35393800"/>
      <w:bookmarkStart w:id="16" w:name="_Toc28359014"/>
      <w:bookmarkStart w:id="17" w:name="_Toc28359091"/>
      <w:bookmarkStart w:id="18" w:name="_Toc3539363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落实政府采购政策需满足的资格要求：（1）新疆维吾尔自治区政府采购促进中小企业发展管理实施办法》（新财规〔2021〕6号）；（2）《财政部、司法部关于政府采购支持监狱企业发展有关问题的通知》（财库〔2014〕68号）； （3）《国务院办公厅关于建立政府强制采购节能产品制度的通知》（国办发〔2007〕51号）； （4）《财政部民政部中国残疾人联合会关于促进残疾人就业政府采购政策的通知》财库〔2017〕141号。（5）《财政部发展改革委生态环境部市场监管总局关于调整优化节能产品环境标志产品政府采购执行机制的通知》（财库〔2019〕9号），投标产品遵照《关于印发节能产品政府采购品目清单的通知》（财库〔2019〕19号）相关规定执行。(6)《自治区财政厅关于落实好政府采购支持中小企业发展的通知》（新财购〔2022〕22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bookmarkStart w:id="19" w:name="_Toc17628"/>
      <w:r>
        <w:rPr>
          <w:rFonts w:hint="eastAsia" w:ascii="仿宋" w:hAnsi="仿宋" w:eastAsia="仿宋" w:cs="仿宋"/>
          <w:color w:val="auto"/>
          <w:sz w:val="28"/>
          <w:szCs w:val="28"/>
          <w:lang w:val="en-US" w:eastAsia="zh-CN"/>
        </w:rPr>
        <w:t>3.本项目的特定资格要求：</w:t>
      </w:r>
      <w:r>
        <w:rPr>
          <w:rFonts w:hint="eastAsia" w:ascii="仿宋" w:hAnsi="仿宋" w:eastAsia="仿宋" w:cs="仿宋"/>
          <w:b w:val="0"/>
          <w:bCs w:val="0"/>
          <w:color w:val="auto"/>
          <w:sz w:val="28"/>
          <w:szCs w:val="28"/>
        </w:rPr>
        <w:t>本项目的特定资格要求</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（1）具备</w:t>
      </w:r>
      <w:r>
        <w:rPr>
          <w:rFonts w:hint="eastAsia" w:ascii="仿宋" w:hAnsi="仿宋" w:eastAsia="仿宋" w:cs="仿宋"/>
          <w:color w:val="auto"/>
          <w:sz w:val="28"/>
          <w:szCs w:val="28"/>
          <w:lang w:val="en-US" w:eastAsia="zh-CN"/>
        </w:rPr>
        <w:t>有效的营业执照、（2）</w:t>
      </w:r>
      <w:r>
        <w:rPr>
          <w:rFonts w:hint="eastAsia" w:ascii="仿宋" w:hAnsi="仿宋" w:eastAsia="仿宋" w:cs="仿宋"/>
          <w:b w:val="0"/>
          <w:bCs w:val="0"/>
          <w:color w:val="auto"/>
          <w:sz w:val="28"/>
          <w:szCs w:val="28"/>
          <w:lang w:val="en-US" w:eastAsia="zh-CN"/>
        </w:rPr>
        <w:t>未被“信用中国”（www.creditchina.gov.cn）、中国政府采购网（www.ccgp.gov.cn）列入失信被执行人、重大税收违法失信主体、政府采购严重违法失信行为记录名单。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三、获取采购文件</w:t>
      </w:r>
      <w:bookmarkEnd w:id="15"/>
      <w:bookmarkEnd w:id="16"/>
      <w:bookmarkEnd w:id="17"/>
      <w:bookmarkEnd w:id="18"/>
      <w:bookmarkEnd w:id="19"/>
    </w:p>
    <w:p>
      <w:pPr>
        <w:spacing w:line="360" w:lineRule="auto"/>
        <w:ind w:firstLine="540"/>
        <w:outlineLvl w:val="9"/>
        <w:rPr>
          <w:rFonts w:hint="eastAsia" w:ascii="仿宋" w:hAnsi="仿宋" w:eastAsia="仿宋" w:cs="仿宋"/>
          <w:color w:val="auto"/>
          <w:sz w:val="28"/>
          <w:szCs w:val="28"/>
        </w:rPr>
      </w:pPr>
      <w:r>
        <w:rPr>
          <w:rFonts w:hint="eastAsia" w:ascii="仿宋" w:hAnsi="仿宋" w:eastAsia="仿宋" w:cs="仿宋"/>
          <w:color w:val="auto"/>
          <w:sz w:val="28"/>
          <w:szCs w:val="28"/>
        </w:rPr>
        <w:t>时间：</w:t>
      </w:r>
      <w:r>
        <w:rPr>
          <w:rFonts w:hint="eastAsia" w:ascii="仿宋" w:hAnsi="仿宋" w:eastAsia="仿宋" w:cs="仿宋"/>
          <w:color w:val="auto"/>
          <w:sz w:val="28"/>
          <w:szCs w:val="28"/>
          <w:lang w:val="en-US" w:eastAsia="zh-CN"/>
        </w:rPr>
        <w:t>2022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日至</w:t>
      </w:r>
      <w:r>
        <w:rPr>
          <w:rFonts w:hint="eastAsia" w:ascii="仿宋" w:hAnsi="仿宋" w:eastAsia="仿宋" w:cs="仿宋"/>
          <w:color w:val="auto"/>
          <w:sz w:val="28"/>
          <w:szCs w:val="28"/>
          <w:lang w:val="en-US" w:eastAsia="zh-CN"/>
        </w:rPr>
        <w:t>2022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日，每天上午</w:t>
      </w:r>
      <w:r>
        <w:rPr>
          <w:rFonts w:hint="eastAsia" w:ascii="仿宋" w:hAnsi="仿宋" w:eastAsia="仿宋" w:cs="仿宋"/>
          <w:color w:val="auto"/>
          <w:sz w:val="28"/>
          <w:szCs w:val="28"/>
          <w:u w:val="single"/>
          <w:lang w:val="en-US" w:eastAsia="zh-CN"/>
        </w:rPr>
        <w:t>10：00</w:t>
      </w:r>
      <w:r>
        <w:rPr>
          <w:rFonts w:hint="eastAsia" w:ascii="仿宋" w:hAnsi="仿宋" w:eastAsia="仿宋" w:cs="仿宋"/>
          <w:color w:val="auto"/>
          <w:sz w:val="28"/>
          <w:szCs w:val="28"/>
        </w:rPr>
        <w:t>至</w:t>
      </w:r>
      <w:r>
        <w:rPr>
          <w:rFonts w:hint="eastAsia" w:ascii="仿宋" w:hAnsi="仿宋" w:eastAsia="仿宋" w:cs="仿宋"/>
          <w:color w:val="auto"/>
          <w:sz w:val="28"/>
          <w:szCs w:val="28"/>
          <w:u w:val="single"/>
          <w:lang w:val="en-US" w:eastAsia="zh-CN"/>
        </w:rPr>
        <w:t>14:00</w:t>
      </w:r>
      <w:r>
        <w:rPr>
          <w:rFonts w:hint="eastAsia" w:ascii="仿宋" w:hAnsi="仿宋" w:eastAsia="仿宋" w:cs="仿宋"/>
          <w:color w:val="auto"/>
          <w:sz w:val="28"/>
          <w:szCs w:val="28"/>
        </w:rPr>
        <w:t>，下午</w:t>
      </w:r>
      <w:r>
        <w:rPr>
          <w:rFonts w:hint="eastAsia" w:ascii="仿宋" w:hAnsi="仿宋" w:eastAsia="仿宋" w:cs="仿宋"/>
          <w:color w:val="auto"/>
          <w:sz w:val="28"/>
          <w:szCs w:val="28"/>
          <w:u w:val="single"/>
          <w:lang w:val="en-US" w:eastAsia="zh-CN"/>
        </w:rPr>
        <w:t>15:30</w:t>
      </w:r>
      <w:r>
        <w:rPr>
          <w:rFonts w:hint="eastAsia" w:ascii="仿宋" w:hAnsi="仿宋" w:eastAsia="仿宋" w:cs="仿宋"/>
          <w:color w:val="auto"/>
          <w:sz w:val="28"/>
          <w:szCs w:val="28"/>
        </w:rPr>
        <w:t>至</w:t>
      </w:r>
      <w:r>
        <w:rPr>
          <w:rFonts w:hint="eastAsia" w:ascii="仿宋" w:hAnsi="仿宋" w:eastAsia="仿宋" w:cs="仿宋"/>
          <w:color w:val="auto"/>
          <w:sz w:val="28"/>
          <w:szCs w:val="28"/>
          <w:u w:val="single"/>
          <w:lang w:val="en-US" w:eastAsia="zh-CN"/>
        </w:rPr>
        <w:t>19:30</w:t>
      </w:r>
      <w:r>
        <w:rPr>
          <w:rFonts w:hint="eastAsia" w:ascii="仿宋" w:hAnsi="仿宋" w:eastAsia="仿宋" w:cs="仿宋"/>
          <w:color w:val="auto"/>
          <w:sz w:val="28"/>
          <w:szCs w:val="28"/>
        </w:rPr>
        <w:t>（北京时间，法定节假日除外）</w:t>
      </w:r>
    </w:p>
    <w:p>
      <w:pPr>
        <w:spacing w:line="360" w:lineRule="auto"/>
        <w:ind w:firstLine="540"/>
        <w:outlineLvl w:val="9"/>
        <w:rPr>
          <w:rFonts w:hint="eastAsia" w:ascii="仿宋" w:hAnsi="仿宋" w:eastAsia="仿宋" w:cs="仿宋"/>
          <w:color w:val="auto"/>
          <w:sz w:val="28"/>
          <w:szCs w:val="28"/>
          <w:u w:val="single"/>
        </w:rPr>
      </w:pPr>
      <w:bookmarkStart w:id="20" w:name="_Toc35393632"/>
      <w:bookmarkStart w:id="21" w:name="_Toc21883"/>
      <w:bookmarkStart w:id="22" w:name="_Toc28359092"/>
      <w:bookmarkStart w:id="23" w:name="_Toc28359015"/>
      <w:bookmarkStart w:id="24" w:name="_Toc35393801"/>
      <w:r>
        <w:rPr>
          <w:rFonts w:hint="eastAsia" w:ascii="仿宋" w:hAnsi="仿宋" w:eastAsia="仿宋" w:cs="仿宋"/>
          <w:color w:val="auto"/>
          <w:sz w:val="28"/>
          <w:szCs w:val="28"/>
        </w:rPr>
        <w:t>地点：</w:t>
      </w:r>
      <w:r>
        <w:rPr>
          <w:rFonts w:hint="eastAsia" w:ascii="仿宋" w:hAnsi="仿宋" w:eastAsia="仿宋" w:cs="仿宋"/>
          <w:color w:val="auto"/>
          <w:sz w:val="28"/>
          <w:szCs w:val="28"/>
          <w:lang w:val="en-US" w:eastAsia="zh-CN"/>
        </w:rPr>
        <w:t>新疆政府采购网（政采云平台）</w:t>
      </w:r>
    </w:p>
    <w:p>
      <w:pPr>
        <w:spacing w:line="360" w:lineRule="auto"/>
        <w:ind w:firstLine="540"/>
        <w:outlineLvl w:val="9"/>
        <w:rPr>
          <w:rFonts w:hint="eastAsia" w:ascii="仿宋" w:hAnsi="仿宋" w:eastAsia="仿宋" w:cs="仿宋"/>
          <w:color w:val="auto"/>
          <w:sz w:val="28"/>
          <w:szCs w:val="28"/>
        </w:rPr>
      </w:pPr>
      <w:r>
        <w:rPr>
          <w:rFonts w:hint="eastAsia" w:ascii="仿宋" w:hAnsi="仿宋" w:eastAsia="仿宋" w:cs="仿宋"/>
          <w:color w:val="auto"/>
          <w:sz w:val="28"/>
          <w:szCs w:val="28"/>
        </w:rPr>
        <w:t>方式：</w:t>
      </w:r>
      <w:r>
        <w:rPr>
          <w:rFonts w:hint="eastAsia" w:ascii="仿宋" w:hAnsi="仿宋" w:eastAsia="仿宋" w:cs="仿宋"/>
          <w:color w:val="auto"/>
          <w:sz w:val="28"/>
          <w:szCs w:val="28"/>
          <w:lang w:val="en-US" w:eastAsia="zh-CN"/>
        </w:rPr>
        <w:t>政采云报名成功后自行下载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四、响应文件提交</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截止时间：</w:t>
      </w:r>
      <w:r>
        <w:rPr>
          <w:rFonts w:hint="eastAsia" w:ascii="仿宋" w:hAnsi="仿宋" w:eastAsia="仿宋" w:cs="仿宋"/>
          <w:color w:val="auto"/>
          <w:sz w:val="28"/>
          <w:szCs w:val="28"/>
          <w:lang w:val="en-US" w:eastAsia="zh-CN"/>
        </w:rPr>
        <w:t>2022年11月25日11点00分</w:t>
      </w:r>
      <w:r>
        <w:rPr>
          <w:rFonts w:hint="eastAsia" w:ascii="仿宋" w:hAnsi="仿宋" w:eastAsia="仿宋" w:cs="仿宋"/>
          <w:color w:val="auto"/>
          <w:sz w:val="28"/>
          <w:szCs w:val="28"/>
        </w:rPr>
        <w:t>（北京时间）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val="en-US" w:eastAsia="zh-CN"/>
        </w:rPr>
        <w:t>政采云一站式政府采购云平台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bookmarkStart w:id="25" w:name="_Toc35393802"/>
      <w:bookmarkStart w:id="26" w:name="_Toc35393633"/>
      <w:bookmarkStart w:id="27" w:name="_Toc28359016"/>
      <w:bookmarkStart w:id="28" w:name="_Toc28359093"/>
      <w:bookmarkStart w:id="29" w:name="_Toc17038"/>
      <w:r>
        <w:rPr>
          <w:rFonts w:hint="eastAsia" w:ascii="黑体" w:hAnsi="黑体" w:eastAsia="黑体" w:cs="黑体"/>
          <w:color w:val="auto"/>
          <w:sz w:val="28"/>
          <w:szCs w:val="28"/>
        </w:rPr>
        <w:t>五、</w:t>
      </w:r>
      <w:r>
        <w:rPr>
          <w:rFonts w:hint="eastAsia" w:ascii="黑体" w:hAnsi="黑体" w:eastAsia="黑体" w:cs="黑体"/>
          <w:color w:val="auto"/>
          <w:sz w:val="28"/>
          <w:szCs w:val="28"/>
          <w:lang w:eastAsia="zh-CN"/>
        </w:rPr>
        <w:t>响应文件</w:t>
      </w:r>
      <w:r>
        <w:rPr>
          <w:rFonts w:hint="eastAsia" w:ascii="黑体" w:hAnsi="黑体" w:eastAsia="黑体" w:cs="黑体"/>
          <w:color w:val="auto"/>
          <w:sz w:val="28"/>
          <w:szCs w:val="28"/>
        </w:rPr>
        <w:t>开启</w:t>
      </w:r>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时间：</w:t>
      </w:r>
      <w:r>
        <w:rPr>
          <w:rFonts w:hint="eastAsia" w:ascii="仿宋" w:hAnsi="仿宋" w:eastAsia="仿宋" w:cs="仿宋"/>
          <w:color w:val="auto"/>
          <w:sz w:val="28"/>
          <w:szCs w:val="28"/>
          <w:lang w:val="en-US" w:eastAsia="zh-CN"/>
        </w:rPr>
        <w:t>2022年11月25日11点00分</w:t>
      </w:r>
      <w:r>
        <w:rPr>
          <w:rFonts w:hint="eastAsia" w:ascii="仿宋" w:hAnsi="仿宋" w:eastAsia="仿宋" w:cs="仿宋"/>
          <w:color w:val="auto"/>
          <w:sz w:val="28"/>
          <w:szCs w:val="28"/>
        </w:rPr>
        <w:t>（北京时间）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val="en-US" w:eastAsia="zh-CN"/>
        </w:rPr>
        <w:t>政采云一站式政府采购云平台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bookmarkStart w:id="30" w:name="_Toc35393803"/>
      <w:bookmarkStart w:id="31" w:name="_Toc28359017"/>
      <w:bookmarkStart w:id="32" w:name="_Toc35393634"/>
      <w:bookmarkStart w:id="33" w:name="_Toc27659"/>
      <w:bookmarkStart w:id="34" w:name="_Toc28359094"/>
      <w:r>
        <w:rPr>
          <w:rFonts w:hint="eastAsia" w:ascii="黑体" w:hAnsi="黑体" w:eastAsia="黑体" w:cs="黑体"/>
          <w:color w:val="auto"/>
          <w:sz w:val="28"/>
          <w:szCs w:val="28"/>
        </w:rPr>
        <w:t>六、公告期限</w:t>
      </w:r>
      <w:bookmarkEnd w:id="30"/>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自本公告发布之日起</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bookmarkStart w:id="35" w:name="_Toc20707"/>
      <w:bookmarkStart w:id="36" w:name="_Toc35393635"/>
      <w:bookmarkStart w:id="37" w:name="_Toc35393804"/>
      <w:r>
        <w:rPr>
          <w:rFonts w:hint="eastAsia" w:ascii="黑体" w:hAnsi="黑体" w:eastAsia="黑体" w:cs="黑体"/>
          <w:color w:val="auto"/>
          <w:sz w:val="28"/>
          <w:szCs w:val="28"/>
        </w:rPr>
        <w:t>七、其他补充事宜</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sz w:val="28"/>
          <w:szCs w:val="28"/>
        </w:rPr>
        <w:t>1、</w:t>
      </w:r>
      <w:r>
        <w:rPr>
          <w:rFonts w:hint="eastAsia" w:ascii="仿宋" w:hAnsi="仿宋" w:eastAsia="仿宋" w:cs="仿宋"/>
          <w:color w:val="auto"/>
          <w:kern w:val="0"/>
          <w:sz w:val="28"/>
          <w:szCs w:val="28"/>
          <w:lang w:val="en-US" w:eastAsia="zh-CN" w:bidi="ar-SA"/>
        </w:rPr>
        <w:t>本公告同时在新疆政府采购网、乌什县人民政府网、阿克苏地区行政公署网发布。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SA"/>
        </w:rPr>
        <w:t>2、</w:t>
      </w:r>
      <w:r>
        <w:rPr>
          <w:rFonts w:hint="eastAsia" w:ascii="仿宋" w:hAnsi="仿宋" w:eastAsia="仿宋" w:cs="仿宋"/>
          <w:color w:val="auto"/>
          <w:sz w:val="28"/>
          <w:szCs w:val="28"/>
        </w:rPr>
        <w:t>请投标单位随时关注本项目的变更、答疑、澄清文件。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特别提示：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bookmarkStart w:id="38" w:name="_Toc28359095"/>
      <w:bookmarkStart w:id="39" w:name="_Toc35393805"/>
      <w:bookmarkStart w:id="40" w:name="_Toc28359018"/>
      <w:bookmarkStart w:id="41" w:name="_Toc9251"/>
      <w:bookmarkStart w:id="42" w:name="_Toc3539363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八、凡对本次采购提出询问，请按以下方式联系。</w:t>
      </w:r>
      <w:bookmarkEnd w:id="38"/>
      <w:bookmarkEnd w:id="39"/>
      <w:bookmarkEnd w:id="40"/>
      <w:bookmarkEnd w:id="41"/>
      <w:bookmarkEnd w:id="42"/>
    </w:p>
    <w:p>
      <w:pPr>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1.采购人信息</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outlineLvl w:val="9"/>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名</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rPr>
        <w:t xml:space="preserve"> 称：</w:t>
      </w:r>
      <w:r>
        <w:rPr>
          <w:rFonts w:hint="eastAsia" w:ascii="Times New Roman" w:hAnsi="Times New Roman" w:eastAsia="仿宋_GB2312" w:cs="Times New Roman"/>
          <w:color w:val="auto"/>
          <w:spacing w:val="11"/>
          <w:sz w:val="30"/>
          <w:szCs w:val="30"/>
          <w:lang w:val="en-US" w:eastAsia="zh-CN"/>
        </w:rPr>
        <w:t>乌什县乡村振兴局</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outlineLvl w:val="9"/>
        <w:rPr>
          <w:rFonts w:hint="eastAsia" w:ascii="仿宋" w:hAnsi="仿宋" w:eastAsia="仿宋" w:cs="仿宋"/>
          <w:color w:val="auto"/>
          <w:sz w:val="28"/>
          <w:szCs w:val="28"/>
          <w:u w:val="none"/>
          <w:lang w:val="en-US"/>
        </w:rPr>
      </w:pPr>
      <w:r>
        <w:rPr>
          <w:rFonts w:hint="eastAsia" w:ascii="仿宋" w:hAnsi="仿宋" w:eastAsia="仿宋" w:cs="仿宋"/>
          <w:color w:val="auto"/>
          <w:sz w:val="28"/>
          <w:szCs w:val="28"/>
          <w:u w:val="none"/>
        </w:rPr>
        <w:t>地</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rPr>
        <w:t>址：乌什县新城路1号</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联系方式：</w:t>
      </w:r>
      <w:bookmarkStart w:id="43" w:name="_Toc28359086"/>
      <w:bookmarkStart w:id="44" w:name="_Toc28359009"/>
    </w:p>
    <w:bookmarkEnd w:id="43"/>
    <w:bookmarkEnd w:id="44"/>
    <w:p>
      <w:pPr>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采购代理机构信息</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名    称：新疆瀚哲项目管理有限公司</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地    址：阿克苏市疆南名居4号楼3单元101室</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联系方式：</w:t>
      </w:r>
      <w:bookmarkStart w:id="45" w:name="_Toc35393639"/>
      <w:bookmarkStart w:id="46" w:name="_Toc28359098"/>
      <w:bookmarkStart w:id="47" w:name="_Toc28359021"/>
      <w:bookmarkStart w:id="48" w:name="_Toc35393808"/>
      <w:r>
        <w:rPr>
          <w:rFonts w:hint="eastAsia" w:ascii="仿宋" w:hAnsi="仿宋" w:eastAsia="仿宋" w:cs="仿宋"/>
          <w:color w:val="auto"/>
          <w:sz w:val="28"/>
          <w:szCs w:val="28"/>
          <w:u w:val="none"/>
          <w:lang w:val="en-US" w:eastAsia="zh-CN"/>
        </w:rPr>
        <w:t>18509977717</w:t>
      </w:r>
    </w:p>
    <w:p>
      <w:pPr>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3.项目联系方式</w:t>
      </w:r>
      <w:bookmarkEnd w:id="45"/>
      <w:bookmarkEnd w:id="46"/>
      <w:bookmarkEnd w:id="47"/>
      <w:bookmarkEnd w:id="48"/>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 xml:space="preserve">项目联系人：代娟娟 </w:t>
      </w:r>
    </w:p>
    <w:p>
      <w:pPr>
        <w:pageBreakBefore w:val="0"/>
        <w:kinsoku/>
        <w:wordWrap/>
        <w:overflowPunct/>
        <w:topLinePunct w:val="0"/>
        <w:autoSpaceDE/>
        <w:autoSpaceDN/>
        <w:bidi w:val="0"/>
        <w:adjustRightInd/>
        <w:snapToGrid/>
        <w:spacing w:line="480" w:lineRule="exact"/>
        <w:ind w:left="1129" w:leftChars="371" w:hanging="350" w:hangingChars="125"/>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电      话：18509977717</w:t>
      </w:r>
    </w:p>
    <w:p>
      <w:pPr>
        <w:pageBreakBefore w:val="0"/>
        <w:kinsoku/>
        <w:wordWrap/>
        <w:overflowPunct/>
        <w:topLinePunct w:val="0"/>
        <w:bidi w:val="0"/>
        <w:snapToGrid/>
        <w:spacing w:line="416" w:lineRule="exact"/>
        <w:textAlignment w:val="auto"/>
        <w:rPr>
          <w:color w:val="auto"/>
        </w:rPr>
      </w:pPr>
    </w:p>
    <w:p>
      <w:pPr>
        <w:pageBreakBefore w:val="0"/>
        <w:kinsoku/>
        <w:wordWrap/>
        <w:overflowPunct/>
        <w:topLinePunct w:val="0"/>
        <w:autoSpaceDE/>
        <w:autoSpaceDN/>
        <w:bidi w:val="0"/>
        <w:adjustRightInd/>
        <w:snapToGrid/>
        <w:spacing w:line="416" w:lineRule="exact"/>
        <w:ind w:firstLine="420" w:firstLineChars="200"/>
        <w:textAlignment w:val="auto"/>
        <w:rPr>
          <w:color w:val="auto"/>
        </w:rPr>
      </w:pPr>
    </w:p>
    <w:p>
      <w:pPr>
        <w:pageBreakBefore w:val="0"/>
        <w:kinsoku/>
        <w:wordWrap/>
        <w:overflowPunct/>
        <w:topLinePunct w:val="0"/>
        <w:bidi w:val="0"/>
        <w:snapToGrid/>
        <w:spacing w:line="416" w:lineRule="exact"/>
        <w:textAlignment w:val="auto"/>
        <w:rPr>
          <w:color w:val="auto"/>
        </w:rPr>
      </w:pPr>
    </w:p>
    <w:p>
      <w:pPr>
        <w:pageBreakBefore w:val="0"/>
        <w:kinsoku/>
        <w:wordWrap/>
        <w:overflowPunct/>
        <w:topLinePunct w:val="0"/>
        <w:bidi w:val="0"/>
        <w:snapToGrid/>
        <w:spacing w:line="416" w:lineRule="exact"/>
        <w:textAlignment w:val="auto"/>
        <w:rPr>
          <w:color w:val="auto"/>
        </w:rPr>
      </w:pPr>
    </w:p>
    <w:p>
      <w:pPr>
        <w:pageBreakBefore w:val="0"/>
        <w:kinsoku/>
        <w:wordWrap/>
        <w:overflowPunct/>
        <w:topLinePunct w:val="0"/>
        <w:autoSpaceDE/>
        <w:autoSpaceDN/>
        <w:bidi w:val="0"/>
        <w:adjustRightInd/>
        <w:snapToGrid/>
        <w:spacing w:line="240" w:lineRule="auto"/>
        <w:ind w:firstLine="420" w:firstLineChars="200"/>
        <w:textAlignment w:val="auto"/>
        <w:rPr>
          <w:color w:val="auto"/>
        </w:rPr>
      </w:pPr>
    </w:p>
    <w:p>
      <w:pPr>
        <w:rPr>
          <w:color w:val="auto"/>
        </w:rPr>
      </w:pPr>
    </w:p>
    <w:p>
      <w:pPr>
        <w:pStyle w:val="2"/>
        <w:rPr>
          <w:rFonts w:hint="eastAsia" w:ascii="仿宋" w:hAnsi="仿宋" w:eastAsia="仿宋" w:cs="Times New Roman"/>
          <w:color w:val="auto"/>
          <w:sz w:val="28"/>
          <w:szCs w:val="28"/>
          <w:lang w:val="en-US" w:eastAsia="zh-CN"/>
        </w:rPr>
      </w:pPr>
    </w:p>
    <w:p>
      <w:pPr>
        <w:pStyle w:val="2"/>
        <w:rPr>
          <w:rFonts w:hint="eastAsia" w:ascii="仿宋" w:hAnsi="仿宋" w:eastAsia="仿宋" w:cs="Times New Roman"/>
          <w:color w:val="auto"/>
          <w:sz w:val="28"/>
          <w:szCs w:val="28"/>
          <w:lang w:val="en-US" w:eastAsia="zh-CN"/>
        </w:rPr>
      </w:pPr>
    </w:p>
    <w:p>
      <w:pPr>
        <w:pStyle w:val="2"/>
        <w:rPr>
          <w:rFonts w:hint="eastAsia" w:ascii="仿宋" w:hAnsi="仿宋" w:eastAsia="仿宋" w:cs="Times New Roman"/>
          <w:color w:val="auto"/>
          <w:sz w:val="28"/>
          <w:szCs w:val="28"/>
          <w:lang w:val="en-US" w:eastAsia="zh-CN"/>
        </w:rPr>
      </w:pPr>
    </w:p>
    <w:p>
      <w:pPr>
        <w:pStyle w:val="2"/>
        <w:rPr>
          <w:rFonts w:hint="eastAsia" w:ascii="仿宋" w:hAnsi="仿宋" w:eastAsia="仿宋" w:cs="Times New Roman"/>
          <w:color w:val="auto"/>
          <w:sz w:val="28"/>
          <w:szCs w:val="28"/>
          <w:lang w:val="en-US" w:eastAsia="zh-CN"/>
        </w:rPr>
        <w:sectPr>
          <w:headerReference r:id="rId5" w:type="default"/>
          <w:footerReference r:id="rId6" w:type="default"/>
          <w:pgSz w:w="11906" w:h="16838"/>
          <w:pgMar w:top="1440" w:right="1803" w:bottom="1440" w:left="1803" w:header="850" w:footer="992" w:gutter="0"/>
          <w:pgNumType w:fmt="decimal" w:start="1"/>
          <w:cols w:space="720" w:num="1"/>
          <w:rtlGutter w:val="0"/>
          <w:docGrid w:type="lines" w:linePitch="312" w:charSpace="0"/>
        </w:sectPr>
      </w:pPr>
    </w:p>
    <w:bookmarkEnd w:id="3"/>
    <w:bookmarkEnd w:id="4"/>
    <w:p>
      <w:pPr>
        <w:pageBreakBefore w:val="0"/>
        <w:numPr>
          <w:ilvl w:val="0"/>
          <w:numId w:val="3"/>
        </w:numPr>
        <w:kinsoku/>
        <w:overflowPunct/>
        <w:topLinePunct w:val="0"/>
        <w:bidi w:val="0"/>
        <w:snapToGrid/>
        <w:spacing w:beforeAutospacing="0" w:afterAutospacing="0" w:line="440" w:lineRule="exact"/>
        <w:ind w:left="0" w:leftChars="0" w:firstLine="0" w:firstLineChars="0"/>
        <w:jc w:val="center"/>
        <w:textAlignment w:val="auto"/>
        <w:outlineLvl w:val="0"/>
        <w:rPr>
          <w:rFonts w:hint="eastAsia" w:ascii="仿宋" w:hAnsi="仿宋" w:eastAsia="仿宋" w:cs="仿宋"/>
          <w:b/>
          <w:bCs/>
          <w:color w:val="auto"/>
          <w:sz w:val="36"/>
          <w:szCs w:val="36"/>
        </w:rPr>
      </w:pPr>
      <w:bookmarkStart w:id="49" w:name="_Toc26836"/>
      <w:bookmarkStart w:id="50" w:name="_Toc9306"/>
      <w:r>
        <w:rPr>
          <w:rFonts w:hint="eastAsia" w:ascii="仿宋" w:hAnsi="仿宋" w:eastAsia="仿宋" w:cs="仿宋"/>
          <w:b/>
          <w:bCs/>
          <w:color w:val="auto"/>
          <w:sz w:val="36"/>
          <w:szCs w:val="36"/>
        </w:rPr>
        <w:t xml:space="preserve"> 供应商须知</w:t>
      </w:r>
    </w:p>
    <w:p>
      <w:pPr>
        <w:pageBreakBefore w:val="0"/>
        <w:numPr>
          <w:ilvl w:val="0"/>
          <w:numId w:val="0"/>
        </w:numPr>
        <w:kinsoku/>
        <w:overflowPunct/>
        <w:topLinePunct w:val="0"/>
        <w:bidi w:val="0"/>
        <w:snapToGrid/>
        <w:spacing w:beforeAutospacing="0" w:afterAutospacing="0" w:line="440" w:lineRule="exact"/>
        <w:ind w:leftChars="0"/>
        <w:jc w:val="center"/>
        <w:textAlignment w:val="auto"/>
        <w:outlineLvl w:val="0"/>
        <w:rPr>
          <w:rFonts w:hint="eastAsia" w:ascii="仿宋" w:hAnsi="仿宋" w:eastAsia="仿宋" w:cs="仿宋"/>
          <w:b/>
          <w:bCs/>
          <w:color w:val="auto"/>
          <w:sz w:val="36"/>
          <w:szCs w:val="36"/>
        </w:rPr>
      </w:pPr>
    </w:p>
    <w:p>
      <w:pPr>
        <w:pageBreakBefore w:val="0"/>
        <w:numPr>
          <w:ilvl w:val="0"/>
          <w:numId w:val="0"/>
        </w:numPr>
        <w:kinsoku/>
        <w:overflowPunct/>
        <w:topLinePunct w:val="0"/>
        <w:bidi w:val="0"/>
        <w:snapToGrid/>
        <w:spacing w:beforeAutospacing="0" w:afterAutospacing="0" w:line="440" w:lineRule="exact"/>
        <w:ind w:leftChars="0"/>
        <w:jc w:val="center"/>
        <w:textAlignment w:val="auto"/>
        <w:outlineLvl w:val="0"/>
        <w:rPr>
          <w:rFonts w:hint="eastAsia"/>
          <w:color w:val="auto"/>
        </w:rPr>
      </w:pPr>
      <w:r>
        <w:rPr>
          <w:rFonts w:hint="eastAsia" w:ascii="仿宋" w:hAnsi="仿宋" w:eastAsia="仿宋" w:cs="仿宋"/>
          <w:b/>
          <w:bCs/>
          <w:color w:val="auto"/>
          <w:sz w:val="36"/>
          <w:szCs w:val="36"/>
        </w:rPr>
        <w:t>供应商须知前附表</w:t>
      </w:r>
      <w:bookmarkEnd w:id="49"/>
      <w:bookmarkEnd w:id="50"/>
    </w:p>
    <w:tbl>
      <w:tblPr>
        <w:tblStyle w:val="26"/>
        <w:tblW w:w="9286" w:type="dxa"/>
        <w:jc w:val="center"/>
        <w:tblLayout w:type="fixed"/>
        <w:tblCellMar>
          <w:top w:w="0" w:type="dxa"/>
          <w:left w:w="108" w:type="dxa"/>
          <w:bottom w:w="0" w:type="dxa"/>
          <w:right w:w="108" w:type="dxa"/>
        </w:tblCellMar>
      </w:tblPr>
      <w:tblGrid>
        <w:gridCol w:w="786"/>
        <w:gridCol w:w="2380"/>
        <w:gridCol w:w="6120"/>
      </w:tblGrid>
      <w:tr>
        <w:tblPrEx>
          <w:tblCellMar>
            <w:top w:w="0" w:type="dxa"/>
            <w:left w:w="108" w:type="dxa"/>
            <w:bottom w:w="0" w:type="dxa"/>
            <w:right w:w="108" w:type="dxa"/>
          </w:tblCellMar>
        </w:tblPrEx>
        <w:trPr>
          <w:trHeight w:val="522"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序号</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条款名称</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665"/>
              </w:tabs>
              <w:kinsoku/>
              <w:wordWrap/>
              <w:overflowPunct/>
              <w:topLinePunct w:val="0"/>
              <w:bidi w:val="0"/>
              <w:snapToGrid/>
              <w:spacing w:line="260" w:lineRule="exact"/>
              <w:jc w:val="center"/>
              <w:textAlignment w:val="auto"/>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编列内容</w:t>
            </w:r>
          </w:p>
        </w:tc>
      </w:tr>
      <w:tr>
        <w:tblPrEx>
          <w:tblCellMar>
            <w:top w:w="0" w:type="dxa"/>
            <w:left w:w="108" w:type="dxa"/>
            <w:bottom w:w="0" w:type="dxa"/>
            <w:right w:w="108" w:type="dxa"/>
          </w:tblCellMar>
        </w:tblPrEx>
        <w:trPr>
          <w:trHeight w:val="748"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采购人</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乌什县乡村振兴局</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地址：乌什县新城路1号</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w:t>
            </w:r>
            <w:bookmarkStart w:id="51" w:name="EBdc46765b8496439baac9487bf5cb2605"/>
            <w:bookmarkEnd w:id="51"/>
            <w:r>
              <w:rPr>
                <w:rFonts w:hint="eastAsia" w:ascii="仿宋" w:hAnsi="仿宋" w:eastAsia="仿宋" w:cs="仿宋"/>
                <w:color w:val="auto"/>
                <w:sz w:val="24"/>
                <w:szCs w:val="24"/>
                <w:lang w:val="en-US" w:eastAsia="zh-CN"/>
              </w:rPr>
              <w:t>盛耀</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w:t>
            </w:r>
            <w:bookmarkStart w:id="52" w:name="EBb02062c7f213427390e93f40bb6fd07d"/>
            <w:bookmarkEnd w:id="52"/>
            <w:r>
              <w:rPr>
                <w:rFonts w:hint="eastAsia" w:ascii="仿宋" w:hAnsi="仿宋" w:eastAsia="仿宋" w:cs="仿宋"/>
                <w:color w:val="auto"/>
                <w:sz w:val="24"/>
                <w:szCs w:val="24"/>
                <w:lang w:val="en-US" w:eastAsia="zh-CN"/>
              </w:rPr>
              <w:t xml:space="preserve">13552735918   </w:t>
            </w:r>
          </w:p>
        </w:tc>
      </w:tr>
      <w:tr>
        <w:tblPrEx>
          <w:tblCellMar>
            <w:top w:w="0" w:type="dxa"/>
            <w:left w:w="108" w:type="dxa"/>
            <w:bottom w:w="0" w:type="dxa"/>
            <w:right w:w="108" w:type="dxa"/>
          </w:tblCellMar>
        </w:tblPrEx>
        <w:trPr>
          <w:trHeight w:val="130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名称：新疆瀚哲项目管理有限公司</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地址：阿克苏市疆南名居4号楼3单元101室</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联系人：代娟娟</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联系电话：18509977717</w:t>
            </w:r>
          </w:p>
        </w:tc>
      </w:tr>
      <w:tr>
        <w:tblPrEx>
          <w:tblCellMar>
            <w:top w:w="0" w:type="dxa"/>
            <w:left w:w="108" w:type="dxa"/>
            <w:bottom w:w="0" w:type="dxa"/>
            <w:right w:w="108" w:type="dxa"/>
          </w:tblCellMar>
        </w:tblPrEx>
        <w:trPr>
          <w:trHeight w:val="61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kern w:val="0"/>
                <w:sz w:val="24"/>
                <w:szCs w:val="24"/>
                <w:u w:val="none"/>
                <w:lang w:val="en-US" w:eastAsia="zh-CN" w:bidi="ar"/>
              </w:rPr>
              <w:t>乌什县农村污水处理配套设施购置项目（一标段）</w:t>
            </w:r>
          </w:p>
        </w:tc>
      </w:tr>
      <w:tr>
        <w:tblPrEx>
          <w:tblCellMar>
            <w:top w:w="0" w:type="dxa"/>
            <w:left w:w="108" w:type="dxa"/>
            <w:bottom w:w="0" w:type="dxa"/>
            <w:right w:w="108" w:type="dxa"/>
          </w:tblCellMar>
        </w:tblPrEx>
        <w:trPr>
          <w:trHeight w:val="44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项目编号</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default" w:ascii="仿宋" w:hAnsi="仿宋" w:eastAsia="仿宋" w:cs="仿宋"/>
                <w:color w:val="auto"/>
                <w:sz w:val="24"/>
                <w:szCs w:val="24"/>
                <w:lang w:val="en-US"/>
              </w:rPr>
            </w:pPr>
            <w:r>
              <w:rPr>
                <w:rFonts w:hint="default" w:ascii="仿宋" w:hAnsi="仿宋" w:eastAsia="仿宋" w:cs="仿宋"/>
                <w:color w:val="auto"/>
                <w:sz w:val="24"/>
                <w:szCs w:val="24"/>
                <w:lang w:val="en-US" w:eastAsia="zh-CN"/>
              </w:rPr>
              <w:t>WSX[2022]-159-1</w:t>
            </w:r>
          </w:p>
        </w:tc>
      </w:tr>
      <w:tr>
        <w:tblPrEx>
          <w:tblCellMar>
            <w:top w:w="0" w:type="dxa"/>
            <w:left w:w="108" w:type="dxa"/>
            <w:bottom w:w="0" w:type="dxa"/>
            <w:right w:w="108" w:type="dxa"/>
          </w:tblCellMar>
        </w:tblPrEx>
        <w:trPr>
          <w:trHeight w:val="483"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资金来源以及</w:t>
            </w:r>
          </w:p>
          <w:p>
            <w:pPr>
              <w:rPr>
                <w:rFonts w:hint="eastAsia" w:ascii="仿宋" w:hAnsi="仿宋" w:eastAsia="仿宋" w:cs="仿宋"/>
                <w:color w:val="auto"/>
                <w:sz w:val="24"/>
                <w:szCs w:val="24"/>
                <w:lang w:val="zh-CN"/>
              </w:rPr>
            </w:pPr>
            <w:r>
              <w:rPr>
                <w:rFonts w:hint="eastAsia" w:ascii="仿宋" w:hAnsi="仿宋" w:eastAsia="仿宋" w:cs="仿宋"/>
                <w:color w:val="auto"/>
                <w:sz w:val="24"/>
                <w:szCs w:val="24"/>
              </w:rPr>
              <w:t>资金构成</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财政资金</w:t>
            </w:r>
          </w:p>
        </w:tc>
      </w:tr>
      <w:tr>
        <w:tblPrEx>
          <w:tblCellMar>
            <w:top w:w="0" w:type="dxa"/>
            <w:left w:w="108" w:type="dxa"/>
            <w:bottom w:w="0" w:type="dxa"/>
            <w:right w:w="108" w:type="dxa"/>
          </w:tblCellMar>
        </w:tblPrEx>
        <w:trPr>
          <w:trHeight w:val="51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采购内容</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详情见采购需求。</w:t>
            </w:r>
          </w:p>
        </w:tc>
      </w:tr>
      <w:tr>
        <w:tblPrEx>
          <w:tblCellMar>
            <w:top w:w="0" w:type="dxa"/>
            <w:left w:w="108" w:type="dxa"/>
            <w:bottom w:w="0" w:type="dxa"/>
            <w:right w:w="108" w:type="dxa"/>
          </w:tblCellMar>
        </w:tblPrEx>
        <w:trPr>
          <w:trHeight w:val="46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最高限价（元）</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1834240.00</w:t>
            </w:r>
          </w:p>
        </w:tc>
      </w:tr>
      <w:tr>
        <w:tblPrEx>
          <w:tblCellMar>
            <w:top w:w="0" w:type="dxa"/>
            <w:left w:w="108" w:type="dxa"/>
            <w:bottom w:w="0" w:type="dxa"/>
            <w:right w:w="108" w:type="dxa"/>
          </w:tblCellMar>
        </w:tblPrEx>
        <w:trPr>
          <w:trHeight w:val="711"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签订合同后20日历日内供货完毕，</w:t>
            </w:r>
            <w:r>
              <w:rPr>
                <w:rFonts w:hint="default" w:ascii="仿宋" w:hAnsi="仿宋" w:eastAsia="仿宋" w:cs="仿宋"/>
                <w:color w:val="auto"/>
                <w:sz w:val="24"/>
                <w:szCs w:val="24"/>
                <w:lang w:val="en-US" w:eastAsia="zh-CN"/>
              </w:rPr>
              <w:t>具体</w:t>
            </w:r>
            <w:r>
              <w:rPr>
                <w:rFonts w:hint="eastAsia" w:ascii="仿宋" w:hAnsi="仿宋" w:eastAsia="仿宋" w:cs="仿宋"/>
                <w:color w:val="auto"/>
                <w:sz w:val="24"/>
                <w:szCs w:val="24"/>
                <w:lang w:val="en-US" w:eastAsia="zh-CN"/>
              </w:rPr>
              <w:t>供货期</w:t>
            </w:r>
            <w:r>
              <w:rPr>
                <w:rFonts w:hint="default" w:ascii="仿宋" w:hAnsi="仿宋" w:eastAsia="仿宋" w:cs="仿宋"/>
                <w:color w:val="auto"/>
                <w:sz w:val="24"/>
                <w:szCs w:val="24"/>
                <w:lang w:val="en-US" w:eastAsia="zh-CN"/>
              </w:rPr>
              <w:t>以签订的合同为准。</w:t>
            </w:r>
          </w:p>
        </w:tc>
      </w:tr>
      <w:tr>
        <w:tblPrEx>
          <w:tblCellMar>
            <w:top w:w="0" w:type="dxa"/>
            <w:left w:w="108" w:type="dxa"/>
            <w:bottom w:w="0" w:type="dxa"/>
            <w:right w:w="108" w:type="dxa"/>
          </w:tblCellMar>
        </w:tblPrEx>
        <w:trPr>
          <w:trHeight w:val="44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供货地点</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60" w:lineRule="exact"/>
              <w:ind w:right="900" w:rightChars="0"/>
              <w:jc w:val="left"/>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详情见采购需求。</w:t>
            </w:r>
          </w:p>
        </w:tc>
      </w:tr>
      <w:tr>
        <w:tblPrEx>
          <w:tblCellMar>
            <w:top w:w="0" w:type="dxa"/>
            <w:left w:w="108" w:type="dxa"/>
            <w:bottom w:w="0" w:type="dxa"/>
            <w:right w:w="108" w:type="dxa"/>
          </w:tblCellMar>
        </w:tblPrEx>
        <w:trPr>
          <w:trHeight w:val="44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质量要求</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合格，必须达到国家和行业规定标准及响应文件中规定的标准。</w:t>
            </w:r>
          </w:p>
        </w:tc>
      </w:tr>
      <w:tr>
        <w:tblPrEx>
          <w:tblCellMar>
            <w:top w:w="0" w:type="dxa"/>
            <w:left w:w="108" w:type="dxa"/>
            <w:bottom w:w="0" w:type="dxa"/>
            <w:right w:w="108" w:type="dxa"/>
          </w:tblCellMar>
        </w:tblPrEx>
        <w:trPr>
          <w:trHeight w:val="73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是否接受联合体报价</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不接受</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接受，应满足下列要求：</w:t>
            </w:r>
            <w:r>
              <w:rPr>
                <w:rFonts w:hint="eastAsia" w:ascii="仿宋" w:hAnsi="仿宋" w:eastAsia="仿宋" w:cs="仿宋"/>
                <w:color w:val="auto"/>
                <w:sz w:val="24"/>
                <w:szCs w:val="24"/>
                <w:u w:val="single"/>
              </w:rPr>
              <w:t xml:space="preserve">           </w:t>
            </w:r>
          </w:p>
        </w:tc>
      </w:tr>
      <w:tr>
        <w:tblPrEx>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响应文件</w:t>
            </w:r>
            <w:r>
              <w:rPr>
                <w:rFonts w:hint="eastAsia" w:ascii="仿宋" w:hAnsi="仿宋" w:eastAsia="仿宋" w:cs="仿宋"/>
                <w:color w:val="auto"/>
                <w:sz w:val="24"/>
                <w:szCs w:val="24"/>
                <w:lang w:val="zh-CN"/>
              </w:rPr>
              <w:t>有效期</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响应</w:t>
            </w:r>
            <w:r>
              <w:rPr>
                <w:rFonts w:hint="eastAsia" w:ascii="仿宋" w:hAnsi="仿宋" w:eastAsia="仿宋" w:cs="仿宋"/>
                <w:color w:val="auto"/>
                <w:sz w:val="24"/>
                <w:szCs w:val="24"/>
                <w:lang w:val="zh-CN"/>
              </w:rPr>
              <w:t>截止期结束后</w:t>
            </w:r>
            <w:r>
              <w:rPr>
                <w:rFonts w:hint="eastAsia" w:ascii="仿宋" w:hAnsi="仿宋" w:eastAsia="仿宋" w:cs="仿宋"/>
                <w:color w:val="auto"/>
                <w:sz w:val="24"/>
                <w:szCs w:val="24"/>
                <w:lang w:val="zh-CN" w:eastAsia="zh-CN"/>
              </w:rPr>
              <w:t>60</w:t>
            </w:r>
            <w:r>
              <w:rPr>
                <w:rFonts w:hint="eastAsia" w:ascii="仿宋" w:hAnsi="仿宋" w:eastAsia="仿宋" w:cs="仿宋"/>
                <w:color w:val="auto"/>
                <w:sz w:val="24"/>
                <w:szCs w:val="24"/>
                <w:lang w:val="zh-CN"/>
              </w:rPr>
              <w:t>天，</w:t>
            </w:r>
            <w:r>
              <w:rPr>
                <w:rFonts w:hint="eastAsia" w:ascii="仿宋" w:hAnsi="仿宋" w:eastAsia="仿宋" w:cs="仿宋"/>
                <w:color w:val="auto"/>
                <w:sz w:val="24"/>
                <w:szCs w:val="24"/>
                <w:lang w:val="zh-CN" w:eastAsia="zh-CN"/>
              </w:rPr>
              <w:t>成交供应商</w:t>
            </w:r>
            <w:r>
              <w:rPr>
                <w:rFonts w:hint="eastAsia" w:ascii="仿宋" w:hAnsi="仿宋" w:eastAsia="仿宋" w:cs="仿宋"/>
                <w:color w:val="auto"/>
                <w:sz w:val="24"/>
                <w:szCs w:val="24"/>
                <w:lang w:val="zh-CN"/>
              </w:rPr>
              <w:t>单位</w:t>
            </w:r>
            <w:r>
              <w:rPr>
                <w:rFonts w:hint="eastAsia" w:ascii="仿宋" w:hAnsi="仿宋" w:eastAsia="仿宋" w:cs="仿宋"/>
                <w:color w:val="auto"/>
                <w:sz w:val="24"/>
                <w:szCs w:val="24"/>
                <w:lang w:val="zh-CN" w:eastAsia="zh-CN"/>
              </w:rPr>
              <w:t>响应文件</w:t>
            </w:r>
            <w:r>
              <w:rPr>
                <w:rFonts w:hint="eastAsia" w:ascii="仿宋" w:hAnsi="仿宋" w:eastAsia="仿宋" w:cs="仿宋"/>
                <w:color w:val="auto"/>
                <w:sz w:val="24"/>
                <w:szCs w:val="24"/>
                <w:lang w:val="zh-CN"/>
              </w:rPr>
              <w:t>有效期至合同全面履行完毕。</w:t>
            </w:r>
          </w:p>
        </w:tc>
      </w:tr>
      <w:tr>
        <w:tblPrEx>
          <w:tblCellMar>
            <w:top w:w="0" w:type="dxa"/>
            <w:left w:w="108" w:type="dxa"/>
            <w:bottom w:w="0" w:type="dxa"/>
            <w:right w:w="108" w:type="dxa"/>
          </w:tblCellMar>
        </w:tblPrEx>
        <w:trPr>
          <w:trHeight w:val="906"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踏勘现场</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不组织，自行踏勘</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组织，踏勘时间：</w:t>
            </w:r>
            <w:r>
              <w:rPr>
                <w:rFonts w:hint="eastAsia" w:ascii="仿宋" w:hAnsi="仿宋" w:eastAsia="仿宋" w:cs="仿宋"/>
                <w:color w:val="auto"/>
                <w:sz w:val="24"/>
                <w:szCs w:val="24"/>
                <w:u w:val="single"/>
                <w:lang w:val="zh-CN"/>
              </w:rPr>
              <w:t xml:space="preserve">               </w:t>
            </w:r>
          </w:p>
          <w:p>
            <w:pPr>
              <w:keepNext w:val="0"/>
              <w:keepLines w:val="0"/>
              <w:pageBreakBefore w:val="0"/>
              <w:tabs>
                <w:tab w:val="left" w:pos="7665"/>
              </w:tabs>
              <w:kinsoku/>
              <w:wordWrap/>
              <w:overflowPunct/>
              <w:topLinePunct w:val="0"/>
              <w:bidi w:val="0"/>
              <w:snapToGrid/>
              <w:spacing w:line="260" w:lineRule="exact"/>
              <w:ind w:firstLine="1080" w:firstLineChars="45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踏勘地点：</w:t>
            </w:r>
            <w:r>
              <w:rPr>
                <w:rFonts w:hint="eastAsia" w:ascii="仿宋" w:hAnsi="仿宋" w:eastAsia="仿宋" w:cs="仿宋"/>
                <w:color w:val="auto"/>
                <w:sz w:val="24"/>
                <w:szCs w:val="24"/>
                <w:u w:val="single"/>
                <w:lang w:val="zh-CN"/>
              </w:rPr>
              <w:t xml:space="preserve">               </w:t>
            </w:r>
          </w:p>
        </w:tc>
      </w:tr>
      <w:tr>
        <w:tblPrEx>
          <w:tblCellMar>
            <w:top w:w="0" w:type="dxa"/>
            <w:left w:w="108" w:type="dxa"/>
            <w:bottom w:w="0" w:type="dxa"/>
            <w:right w:w="108" w:type="dxa"/>
          </w:tblCellMar>
        </w:tblPrEx>
        <w:trPr>
          <w:trHeight w:val="906"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履约保证金</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要求，履约保证金的形式：</w:t>
            </w:r>
            <w:r>
              <w:rPr>
                <w:rFonts w:hint="eastAsia" w:ascii="仿宋" w:hAnsi="仿宋" w:eastAsia="仿宋" w:cs="仿宋"/>
                <w:color w:val="auto"/>
                <w:sz w:val="24"/>
                <w:szCs w:val="24"/>
                <w:lang w:val="en-US" w:eastAsia="zh-CN"/>
              </w:rPr>
              <w:t xml:space="preserve">支票、汇票、本票或者金融机构、担保机构出具的保函等非现金形式提交。 </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履约保证金的金额：</w:t>
            </w:r>
            <w:r>
              <w:rPr>
                <w:rFonts w:hint="eastAsia" w:ascii="仿宋" w:hAnsi="仿宋" w:eastAsia="仿宋" w:cs="仿宋"/>
                <w:color w:val="auto"/>
                <w:sz w:val="24"/>
                <w:szCs w:val="24"/>
                <w:lang w:val="en-US" w:eastAsia="zh-CN"/>
              </w:rPr>
              <w:t>合同价的6%</w:t>
            </w:r>
          </w:p>
          <w:p>
            <w:pPr>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不要求</w:t>
            </w:r>
          </w:p>
        </w:tc>
      </w:tr>
      <w:tr>
        <w:tblPrEx>
          <w:tblCellMar>
            <w:top w:w="0" w:type="dxa"/>
            <w:left w:w="108" w:type="dxa"/>
            <w:bottom w:w="0" w:type="dxa"/>
            <w:right w:w="108" w:type="dxa"/>
          </w:tblCellMar>
        </w:tblPrEx>
        <w:trPr>
          <w:trHeight w:val="616"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采购代理服务费支付</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由采购人支付</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由成交供应商支付</w:t>
            </w:r>
          </w:p>
        </w:tc>
      </w:tr>
      <w:tr>
        <w:tblPrEx>
          <w:tblCellMar>
            <w:top w:w="0" w:type="dxa"/>
            <w:left w:w="108" w:type="dxa"/>
            <w:bottom w:w="0" w:type="dxa"/>
            <w:right w:w="108" w:type="dxa"/>
          </w:tblCellMar>
        </w:tblPrEx>
        <w:trPr>
          <w:trHeight w:val="839"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构成采购文件的其他材料</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更正公告、补充文件</w:t>
            </w:r>
          </w:p>
        </w:tc>
      </w:tr>
      <w:tr>
        <w:tblPrEx>
          <w:tblCellMar>
            <w:top w:w="0" w:type="dxa"/>
            <w:left w:w="108" w:type="dxa"/>
            <w:bottom w:w="0" w:type="dxa"/>
            <w:right w:w="108" w:type="dxa"/>
          </w:tblCellMar>
        </w:tblPrEx>
        <w:trPr>
          <w:trHeight w:val="81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lang w:val="en-US" w:eastAsia="zh-CN"/>
              </w:rPr>
              <w:t>7</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竞争性磋商文件</w:t>
            </w:r>
          </w:p>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eastAsia="zh-CN"/>
              </w:rPr>
              <w:t>澄清时间</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供应商提出问题的截止时间：</w:t>
            </w:r>
            <w:r>
              <w:rPr>
                <w:rFonts w:hint="eastAsia" w:ascii="仿宋" w:hAnsi="仿宋" w:eastAsia="仿宋" w:cs="仿宋"/>
                <w:color w:val="auto"/>
                <w:sz w:val="24"/>
                <w:szCs w:val="24"/>
                <w:lang w:eastAsia="zh-CN"/>
              </w:rPr>
              <w:t>采购响应截止时间前</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天；</w:t>
            </w:r>
          </w:p>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eastAsia="zh-CN"/>
              </w:rPr>
              <w:t>采购人书面澄清的截止时间：采购响应截止时间前</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天。</w:t>
            </w:r>
          </w:p>
        </w:tc>
      </w:tr>
      <w:tr>
        <w:tblPrEx>
          <w:tblCellMar>
            <w:top w:w="0" w:type="dxa"/>
            <w:left w:w="108" w:type="dxa"/>
            <w:bottom w:w="0" w:type="dxa"/>
            <w:right w:w="108" w:type="dxa"/>
          </w:tblCellMar>
        </w:tblPrEx>
        <w:trPr>
          <w:trHeight w:val="9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lang w:val="en-US" w:eastAsia="zh-CN"/>
              </w:rPr>
              <w:t>8</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供应商资格条件</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pStyle w:val="135"/>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中华人民共和国政府采购法》第二十二条规定的条件:①具有独立承担民事责任的能力；②具有良好的商业信誉和健全的财务会计制度；③具有履行合同所必需的设备和专业技术能力；④有依法缴纳税收和社会保障资金的良好记录；⑤参加政府采购活动前三年内，在经营活动中没有重大违法记录；⑥法律、行政法规规定的其他条件。</w:t>
            </w:r>
          </w:p>
          <w:p>
            <w:pPr>
              <w:pStyle w:val="135"/>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落实政府采购政策需满足的资格要求：执行国家相关政策；</w:t>
            </w:r>
          </w:p>
          <w:p>
            <w:pPr>
              <w:pStyle w:val="135"/>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有效经年检的三证合一营业执照；</w:t>
            </w:r>
          </w:p>
          <w:p>
            <w:pPr>
              <w:pStyle w:val="135"/>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法定代表人授权委托书原件及被授权人居民身份证原件（法定代表人本人报名的，提供居民身份证原件）；</w:t>
            </w:r>
          </w:p>
          <w:p>
            <w:pPr>
              <w:pStyle w:val="135"/>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未被“信用中国”（www.creditchina.gov.cn）、中国政府采购网（www.ccgp.gov.cn）列入失信被执行人、重大税收违法失信主体、政府采购严重违法失信行为记录名单，供应商如在“信用中国”网站和中国政府采购网被列入严重违法失信行为记录名单的（尚在处罚期内的），将拒绝其参加本次政府采购活动﹙供应商网上自行打印后加盖供应商公章，获取响应截止时间之前完成，获取响应截止时间后的获取无效﹚；</w:t>
            </w:r>
          </w:p>
          <w:p>
            <w:pPr>
              <w:pStyle w:val="135"/>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近一年的年度审计报告或财务报表，企业成立不足一年的提供企业成立至今的财务报表；</w:t>
            </w:r>
          </w:p>
          <w:p>
            <w:pPr>
              <w:pStyle w:val="135"/>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近六个月的缴纳税收证明(未产生税收的供应商，应提供相应的证明材料）及企业近三个月的社保缴纳清单和明细（含授权委托人社保），企业成立不足一年提供成立至今的；</w:t>
            </w:r>
          </w:p>
          <w:p>
            <w:pPr>
              <w:pStyle w:val="135"/>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中小企业相关证明文件；　　</w:t>
            </w:r>
          </w:p>
          <w:p>
            <w:pPr>
              <w:pStyle w:val="135"/>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本项目不接受联合体。</w:t>
            </w:r>
          </w:p>
          <w:p>
            <w:pPr>
              <w:pStyle w:val="135"/>
              <w:keepNext w:val="0"/>
              <w:keepLines w:val="0"/>
              <w:pageBreakBefore w:val="0"/>
              <w:numPr>
                <w:ilvl w:val="0"/>
                <w:numId w:val="0"/>
              </w:numPr>
              <w:kinsoku/>
              <w:wordWrap/>
              <w:overflowPunct/>
              <w:topLinePunct w:val="0"/>
              <w:bidi w:val="0"/>
              <w:snapToGrid/>
              <w:spacing w:line="260" w:lineRule="exact"/>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pPr>
              <w:pStyle w:val="135"/>
              <w:keepNext w:val="0"/>
              <w:keepLines w:val="0"/>
              <w:pageBreakBefore w:val="0"/>
              <w:numPr>
                <w:ilvl w:val="0"/>
                <w:numId w:val="0"/>
              </w:numPr>
              <w:kinsoku/>
              <w:wordWrap/>
              <w:overflowPunct/>
              <w:topLinePunct w:val="0"/>
              <w:bidi w:val="0"/>
              <w:snapToGrid/>
              <w:spacing w:line="260" w:lineRule="exact"/>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上述证件齐全、满足要求的供应商为有效供应商。</w:t>
            </w:r>
          </w:p>
          <w:p>
            <w:pPr>
              <w:pStyle w:val="135"/>
              <w:keepNext w:val="0"/>
              <w:keepLines w:val="0"/>
              <w:pageBreakBefore w:val="0"/>
              <w:numPr>
                <w:ilvl w:val="0"/>
                <w:numId w:val="0"/>
              </w:numPr>
              <w:kinsoku/>
              <w:wordWrap/>
              <w:overflowPunct/>
              <w:topLinePunct w:val="0"/>
              <w:bidi w:val="0"/>
              <w:snapToGrid/>
              <w:spacing w:line="260" w:lineRule="exact"/>
              <w:ind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与采购人存在利害关系可能影响公正性的单位，不得参加投标。单位负责人为同一人或存在控股、管理关系的不同单位，不得参加同一标段投标，否则，相关投标均无效。</w:t>
            </w:r>
          </w:p>
          <w:p>
            <w:pPr>
              <w:pStyle w:val="135"/>
              <w:keepNext w:val="0"/>
              <w:keepLines w:val="0"/>
              <w:pageBreakBefore w:val="0"/>
              <w:numPr>
                <w:ilvl w:val="0"/>
                <w:numId w:val="0"/>
              </w:numPr>
              <w:kinsoku/>
              <w:wordWrap/>
              <w:overflowPunct/>
              <w:topLinePunct w:val="0"/>
              <w:bidi w:val="0"/>
              <w:snapToGrid/>
              <w:spacing w:line="260" w:lineRule="exact"/>
              <w:ind w:leftChars="0" w:firstLine="480" w:firstLineChars="200"/>
              <w:textAlignment w:val="auto"/>
              <w:rPr>
                <w:rFonts w:hint="eastAsia" w:ascii="仿宋" w:hAnsi="仿宋" w:eastAsia="仿宋" w:cs="仿宋"/>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是否允许递交备选报价方案</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不允许</w:t>
            </w:r>
          </w:p>
          <w:p>
            <w:pPr>
              <w:keepNext w:val="0"/>
              <w:keepLines w:val="0"/>
              <w:pageBreakBefore w:val="0"/>
              <w:kinsoku/>
              <w:wordWrap/>
              <w:overflowPunct/>
              <w:topLinePunct w:val="0"/>
              <w:bidi w:val="0"/>
              <w:snapToGrid/>
              <w:spacing w:line="260" w:lineRule="exact"/>
              <w:ind w:left="360" w:leftChars="0" w:hanging="360" w:hangingChars="150"/>
              <w:textAlignment w:val="auto"/>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 允许。要求：只有成交供应商所递交的备选报价方案方可予以考虑。磋商小组认为成交供应商的备选报价方案优于其按照采购文件要求的报价方案，采购人可以接受该备选报价方案。</w:t>
            </w:r>
          </w:p>
        </w:tc>
      </w:tr>
      <w:tr>
        <w:tblPrEx>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响应报价</w:t>
            </w:r>
            <w:r>
              <w:rPr>
                <w:rFonts w:hint="eastAsia" w:ascii="仿宋" w:hAnsi="仿宋" w:eastAsia="仿宋" w:cs="仿宋"/>
                <w:color w:val="auto"/>
                <w:sz w:val="24"/>
                <w:szCs w:val="24"/>
                <w:lang w:val="zh-CN"/>
              </w:rPr>
              <w:t>及费用</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5"/>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本项目</w:t>
            </w:r>
            <w:r>
              <w:rPr>
                <w:rFonts w:hint="eastAsia" w:ascii="仿宋" w:hAnsi="仿宋" w:eastAsia="仿宋" w:cs="仿宋"/>
                <w:color w:val="auto"/>
                <w:sz w:val="24"/>
                <w:szCs w:val="24"/>
                <w:lang w:val="zh-CN" w:eastAsia="zh-CN"/>
              </w:rPr>
              <w:t>采购响应</w:t>
            </w:r>
            <w:r>
              <w:rPr>
                <w:rFonts w:hint="eastAsia" w:ascii="仿宋" w:hAnsi="仿宋" w:eastAsia="仿宋" w:cs="仿宋"/>
                <w:color w:val="auto"/>
                <w:sz w:val="24"/>
                <w:szCs w:val="24"/>
                <w:lang w:val="zh-CN"/>
              </w:rPr>
              <w:t>应以人民币报价；</w:t>
            </w:r>
          </w:p>
          <w:p>
            <w:pPr>
              <w:keepNext w:val="0"/>
              <w:keepLines w:val="0"/>
              <w:pageBreakBefore w:val="0"/>
              <w:numPr>
                <w:ilvl w:val="0"/>
                <w:numId w:val="5"/>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响应报价</w:t>
            </w:r>
            <w:r>
              <w:rPr>
                <w:rFonts w:hint="eastAsia" w:ascii="仿宋" w:hAnsi="仿宋" w:eastAsia="仿宋" w:cs="仿宋"/>
                <w:color w:val="auto"/>
                <w:sz w:val="24"/>
                <w:szCs w:val="24"/>
                <w:lang w:val="zh-CN"/>
              </w:rPr>
              <w:t>：采购内容的采购供应、运输装卸</w:t>
            </w:r>
            <w:r>
              <w:rPr>
                <w:rFonts w:hint="eastAsia" w:ascii="仿宋" w:hAnsi="仿宋" w:eastAsia="仿宋" w:cs="仿宋"/>
                <w:color w:val="auto"/>
                <w:sz w:val="24"/>
                <w:szCs w:val="24"/>
                <w:lang w:val="zh-CN" w:eastAsia="zh-CN"/>
              </w:rPr>
              <w:t>等</w:t>
            </w:r>
            <w:r>
              <w:rPr>
                <w:rFonts w:hint="eastAsia" w:ascii="仿宋" w:hAnsi="仿宋" w:eastAsia="仿宋" w:cs="仿宋"/>
                <w:color w:val="auto"/>
                <w:sz w:val="24"/>
                <w:szCs w:val="24"/>
                <w:lang w:val="zh-CN"/>
              </w:rPr>
              <w:t>相关服务</w:t>
            </w:r>
            <w:r>
              <w:rPr>
                <w:rFonts w:hint="eastAsia" w:ascii="仿宋" w:hAnsi="仿宋" w:eastAsia="仿宋" w:cs="仿宋"/>
                <w:color w:val="auto"/>
                <w:sz w:val="24"/>
                <w:szCs w:val="24"/>
                <w:lang w:val="zh-CN" w:eastAsia="zh-CN"/>
              </w:rPr>
              <w:t>；</w:t>
            </w:r>
          </w:p>
          <w:p>
            <w:pPr>
              <w:keepNext w:val="0"/>
              <w:keepLines w:val="0"/>
              <w:pageBreakBefore w:val="0"/>
              <w:numPr>
                <w:ilvl w:val="0"/>
                <w:numId w:val="5"/>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报价是成交的一个重要因素，但不是成交的唯一依据。</w:t>
            </w:r>
          </w:p>
          <w:p>
            <w:pPr>
              <w:keepNext w:val="0"/>
              <w:keepLines w:val="0"/>
              <w:pageBreakBefore w:val="0"/>
              <w:numPr>
                <w:ilvl w:val="0"/>
                <w:numId w:val="5"/>
              </w:numPr>
              <w:kinsoku/>
              <w:wordWrap/>
              <w:overflowPunct/>
              <w:topLinePunct w:val="0"/>
              <w:bidi w:val="0"/>
              <w:snapToGrid/>
              <w:spacing w:line="260" w:lineRule="exact"/>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不论</w:t>
            </w:r>
            <w:r>
              <w:rPr>
                <w:rFonts w:hint="eastAsia" w:ascii="仿宋" w:hAnsi="仿宋" w:eastAsia="仿宋" w:cs="仿宋"/>
                <w:color w:val="auto"/>
                <w:sz w:val="24"/>
                <w:szCs w:val="24"/>
                <w:lang w:val="zh-CN" w:eastAsia="zh-CN"/>
              </w:rPr>
              <w:t>采购响应</w:t>
            </w:r>
            <w:r>
              <w:rPr>
                <w:rFonts w:hint="eastAsia" w:ascii="仿宋" w:hAnsi="仿宋" w:eastAsia="仿宋" w:cs="仿宋"/>
                <w:color w:val="auto"/>
                <w:sz w:val="24"/>
                <w:szCs w:val="24"/>
                <w:lang w:val="zh-CN"/>
              </w:rPr>
              <w:t>结果如何，</w:t>
            </w:r>
            <w:r>
              <w:rPr>
                <w:rFonts w:hint="eastAsia" w:ascii="仿宋" w:hAnsi="仿宋" w:eastAsia="仿宋" w:cs="仿宋"/>
                <w:color w:val="auto"/>
                <w:sz w:val="24"/>
                <w:szCs w:val="24"/>
                <w:lang w:val="zh-CN" w:eastAsia="zh-CN"/>
              </w:rPr>
              <w:t>供应商</w:t>
            </w:r>
            <w:r>
              <w:rPr>
                <w:rFonts w:hint="eastAsia" w:ascii="仿宋" w:hAnsi="仿宋" w:eastAsia="仿宋" w:cs="仿宋"/>
                <w:color w:val="auto"/>
                <w:sz w:val="24"/>
                <w:szCs w:val="24"/>
                <w:lang w:val="zh-CN"/>
              </w:rPr>
              <w:t>均应自行承担所有与</w:t>
            </w:r>
            <w:r>
              <w:rPr>
                <w:rFonts w:hint="eastAsia" w:ascii="仿宋" w:hAnsi="仿宋" w:eastAsia="仿宋" w:cs="仿宋"/>
                <w:color w:val="auto"/>
                <w:sz w:val="24"/>
                <w:szCs w:val="24"/>
                <w:lang w:val="zh-CN" w:eastAsia="zh-CN"/>
              </w:rPr>
              <w:t>采购响应</w:t>
            </w:r>
            <w:r>
              <w:rPr>
                <w:rFonts w:hint="eastAsia" w:ascii="仿宋" w:hAnsi="仿宋" w:eastAsia="仿宋" w:cs="仿宋"/>
                <w:color w:val="auto"/>
                <w:sz w:val="24"/>
                <w:szCs w:val="24"/>
                <w:lang w:val="zh-CN"/>
              </w:rPr>
              <w:t>有关的全部费用。</w:t>
            </w:r>
          </w:p>
        </w:tc>
      </w:tr>
      <w:tr>
        <w:tblPrEx>
          <w:tblCellMar>
            <w:top w:w="0" w:type="dxa"/>
            <w:left w:w="108" w:type="dxa"/>
            <w:bottom w:w="0" w:type="dxa"/>
            <w:right w:w="108" w:type="dxa"/>
          </w:tblCellMar>
        </w:tblPrEx>
        <w:trPr>
          <w:trHeight w:val="913"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样品</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360" w:hanging="36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不需要</w:t>
            </w:r>
          </w:p>
          <w:p>
            <w:pPr>
              <w:keepNext w:val="0"/>
              <w:keepLines w:val="0"/>
              <w:pageBreakBefore w:val="0"/>
              <w:kinsoku/>
              <w:wordWrap/>
              <w:overflowPunct/>
              <w:topLinePunct w:val="0"/>
              <w:bidi w:val="0"/>
              <w:snapToGrid/>
              <w:spacing w:line="260" w:lineRule="exact"/>
              <w:ind w:left="360" w:hanging="36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需要，样品要求如下：</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1.样品：采购文件中带“※”标注的货物为供应商开标时应提供的样品。</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2.样品的生产、打包费等一切费用由供应商自理。</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3.送样截止时间：20</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时</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分</w:t>
            </w:r>
            <w:r>
              <w:rPr>
                <w:rFonts w:hint="eastAsia" w:ascii="仿宋" w:hAnsi="仿宋" w:eastAsia="仿宋" w:cs="仿宋"/>
                <w:color w:val="auto"/>
                <w:sz w:val="24"/>
                <w:szCs w:val="24"/>
              </w:rPr>
              <w:t>，</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4.送样送达地点：</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逾期送达或未送达到指定地点的拒绝接收</w:t>
            </w:r>
            <w:r>
              <w:rPr>
                <w:rFonts w:hint="eastAsia" w:ascii="仿宋" w:hAnsi="仿宋" w:eastAsia="仿宋" w:cs="仿宋"/>
                <w:color w:val="auto"/>
                <w:sz w:val="24"/>
                <w:szCs w:val="24"/>
                <w:lang w:val="zh-CN"/>
              </w:rPr>
              <w:t>。</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5.供应商应按照采购代理机构的要求摆放样品并做好展示，样品不能有供应商的标识及品牌，样品将进行统一编号。</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6.若需要现场演示的，供应商应提前做好演示准备（包括电源线等），届时未能演示的，后果自负。</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7.宣布评审结果前，供应商不得将样品整理、装箱或者撤离展示区；遇到特殊情况需要对样品进行整理、装箱或者移动样品的，供应商必须书面提出申请，采购代理机构同意后方可移动样品。</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小组已经确定供应商响应无效或者废标的，供应商签字确认后可以进行样品整理、装箱或者撤离展示区，但不得影响或者损害其他供应商的样品，否则将承担相应的法律责任。</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8.宣布评审结果后，成交供应商与采购人、采购代理机构共同清点、检查和密封样品，由成交供应商送至采购人指定地点封存。</w:t>
            </w:r>
          </w:p>
        </w:tc>
      </w:tr>
      <w:tr>
        <w:tblPrEx>
          <w:tblCellMar>
            <w:top w:w="0" w:type="dxa"/>
            <w:left w:w="108" w:type="dxa"/>
            <w:bottom w:w="0" w:type="dxa"/>
            <w:right w:w="108" w:type="dxa"/>
          </w:tblCellMar>
        </w:tblPrEx>
        <w:trPr>
          <w:trHeight w:val="1439"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val="zh-CN"/>
              </w:rPr>
              <w:t>递交响应文件截止时间</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0" w:leftChars="0" w:firstLine="0" w:firstLineChars="0"/>
              <w:jc w:val="left"/>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时间：2022年</w:t>
            </w:r>
            <w:r>
              <w:rPr>
                <w:rFonts w:hint="eastAsia" w:ascii="仿宋" w:hAnsi="仿宋" w:eastAsia="仿宋" w:cs="仿宋"/>
                <w:color w:val="auto"/>
                <w:kern w:val="2"/>
                <w:sz w:val="24"/>
                <w:szCs w:val="24"/>
                <w:lang w:val="en-US" w:eastAsia="zh-CN" w:bidi="ar-SA"/>
              </w:rPr>
              <w:t>11</w:t>
            </w:r>
            <w:r>
              <w:rPr>
                <w:rFonts w:hint="eastAsia" w:ascii="仿宋" w:hAnsi="仿宋" w:eastAsia="仿宋" w:cs="仿宋"/>
                <w:color w:val="auto"/>
                <w:kern w:val="2"/>
                <w:sz w:val="24"/>
                <w:szCs w:val="24"/>
                <w:lang w:val="zh-CN" w:eastAsia="zh-CN" w:bidi="ar-SA"/>
              </w:rPr>
              <w:t>月</w:t>
            </w:r>
            <w:r>
              <w:rPr>
                <w:rFonts w:hint="eastAsia" w:ascii="仿宋" w:hAnsi="仿宋" w:eastAsia="仿宋" w:cs="仿宋"/>
                <w:color w:val="auto"/>
                <w:kern w:val="2"/>
                <w:sz w:val="24"/>
                <w:szCs w:val="24"/>
                <w:lang w:val="en-US" w:eastAsia="zh-CN" w:bidi="ar-SA"/>
              </w:rPr>
              <w:t>25</w:t>
            </w:r>
            <w:r>
              <w:rPr>
                <w:rFonts w:hint="eastAsia" w:ascii="仿宋" w:hAnsi="仿宋" w:eastAsia="仿宋" w:cs="仿宋"/>
                <w:color w:val="auto"/>
                <w:kern w:val="2"/>
                <w:sz w:val="24"/>
                <w:szCs w:val="24"/>
                <w:lang w:val="zh-CN" w:eastAsia="zh-CN" w:bidi="ar-SA"/>
              </w:rPr>
              <w:t>日上午</w:t>
            </w:r>
            <w:r>
              <w:rPr>
                <w:rFonts w:hint="eastAsia" w:ascii="仿宋" w:hAnsi="仿宋" w:eastAsia="仿宋" w:cs="仿宋"/>
                <w:color w:val="auto"/>
                <w:kern w:val="2"/>
                <w:sz w:val="24"/>
                <w:szCs w:val="24"/>
                <w:lang w:val="en-US" w:eastAsia="zh-CN" w:bidi="ar-SA"/>
              </w:rPr>
              <w:t>11</w:t>
            </w:r>
            <w:r>
              <w:rPr>
                <w:rFonts w:hint="eastAsia" w:ascii="仿宋" w:hAnsi="仿宋" w:eastAsia="仿宋" w:cs="仿宋"/>
                <w:color w:val="auto"/>
                <w:kern w:val="2"/>
                <w:sz w:val="24"/>
                <w:szCs w:val="24"/>
                <w:lang w:val="zh-CN" w:eastAsia="zh-CN" w:bidi="ar-SA"/>
              </w:rPr>
              <w:t>：</w:t>
            </w:r>
            <w:r>
              <w:rPr>
                <w:rFonts w:hint="eastAsia" w:ascii="仿宋" w:hAnsi="仿宋" w:eastAsia="仿宋" w:cs="仿宋"/>
                <w:color w:val="auto"/>
                <w:kern w:val="2"/>
                <w:sz w:val="24"/>
                <w:szCs w:val="24"/>
                <w:lang w:val="en-US" w:eastAsia="zh-CN" w:bidi="ar-SA"/>
              </w:rPr>
              <w:t>00</w:t>
            </w:r>
            <w:r>
              <w:rPr>
                <w:rFonts w:hint="eastAsia" w:ascii="仿宋" w:hAnsi="仿宋" w:eastAsia="仿宋" w:cs="仿宋"/>
                <w:color w:val="auto"/>
                <w:kern w:val="2"/>
                <w:sz w:val="24"/>
                <w:szCs w:val="24"/>
                <w:lang w:val="zh-CN" w:eastAsia="zh-CN" w:bidi="ar-SA"/>
              </w:rPr>
              <w:t xml:space="preserve"> 分。</w:t>
            </w:r>
          </w:p>
          <w:p>
            <w:pPr>
              <w:keepNext w:val="0"/>
              <w:keepLines w:val="0"/>
              <w:pageBreakBefore w:val="0"/>
              <w:kinsoku/>
              <w:wordWrap/>
              <w:overflowPunct/>
              <w:topLinePunct w:val="0"/>
              <w:bidi w:val="0"/>
              <w:snapToGrid/>
              <w:spacing w:line="260" w:lineRule="exact"/>
              <w:ind w:left="0" w:leftChars="0" w:firstLine="0" w:firstLineChars="0"/>
              <w:jc w:val="left"/>
              <w:textAlignment w:val="auto"/>
              <w:rPr>
                <w:rFonts w:hint="eastAsia" w:ascii="仿宋" w:hAnsi="仿宋" w:eastAsia="仿宋" w:cs="仿宋"/>
                <w:color w:val="auto"/>
                <w:sz w:val="24"/>
                <w:szCs w:val="24"/>
                <w:lang w:val="zh-CN"/>
              </w:rPr>
            </w:pPr>
            <w:r>
              <w:rPr>
                <w:rFonts w:hint="eastAsia" w:ascii="仿宋" w:hAnsi="仿宋" w:eastAsia="仿宋" w:cs="仿宋"/>
                <w:color w:val="auto"/>
                <w:kern w:val="2"/>
                <w:sz w:val="24"/>
                <w:szCs w:val="24"/>
                <w:lang w:val="zh-CN" w:eastAsia="zh-CN" w:bidi="ar-SA"/>
              </w:rPr>
              <w:t>地点：政采云一站式政府采购云平台</w:t>
            </w:r>
          </w:p>
        </w:tc>
      </w:tr>
      <w:tr>
        <w:tblPrEx>
          <w:tblCellMar>
            <w:top w:w="0" w:type="dxa"/>
            <w:left w:w="108" w:type="dxa"/>
            <w:bottom w:w="0" w:type="dxa"/>
            <w:right w:w="108" w:type="dxa"/>
          </w:tblCellMar>
        </w:tblPrEx>
        <w:trPr>
          <w:trHeight w:val="1653"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开标时间及地点</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0" w:leftChars="0" w:firstLine="0" w:firstLineChars="0"/>
              <w:jc w:val="left"/>
              <w:textAlignment w:val="auto"/>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color w:val="auto"/>
                <w:kern w:val="2"/>
                <w:sz w:val="24"/>
                <w:szCs w:val="24"/>
                <w:lang w:val="zh-CN" w:eastAsia="zh-CN" w:bidi="ar-SA"/>
              </w:rPr>
              <w:t>时间：</w:t>
            </w:r>
            <w:r>
              <w:rPr>
                <w:rFonts w:hint="eastAsia" w:ascii="仿宋" w:hAnsi="仿宋" w:eastAsia="仿宋" w:cs="仿宋"/>
                <w:color w:val="auto"/>
                <w:kern w:val="2"/>
                <w:sz w:val="24"/>
                <w:szCs w:val="24"/>
                <w:lang w:val="zh-CN" w:eastAsia="zh-CN" w:bidi="ar-SA"/>
              </w:rPr>
              <w:t>2022年</w:t>
            </w:r>
            <w:r>
              <w:rPr>
                <w:rFonts w:hint="eastAsia" w:ascii="仿宋" w:hAnsi="仿宋" w:eastAsia="仿宋" w:cs="仿宋"/>
                <w:color w:val="auto"/>
                <w:kern w:val="2"/>
                <w:sz w:val="24"/>
                <w:szCs w:val="24"/>
                <w:lang w:val="en-US" w:eastAsia="zh-CN" w:bidi="ar-SA"/>
              </w:rPr>
              <w:t>11</w:t>
            </w:r>
            <w:r>
              <w:rPr>
                <w:rFonts w:hint="eastAsia" w:ascii="仿宋" w:hAnsi="仿宋" w:eastAsia="仿宋" w:cs="仿宋"/>
                <w:color w:val="auto"/>
                <w:kern w:val="2"/>
                <w:sz w:val="24"/>
                <w:szCs w:val="24"/>
                <w:lang w:val="zh-CN" w:eastAsia="zh-CN" w:bidi="ar-SA"/>
              </w:rPr>
              <w:t>月</w:t>
            </w:r>
            <w:r>
              <w:rPr>
                <w:rFonts w:hint="eastAsia" w:ascii="仿宋" w:hAnsi="仿宋" w:eastAsia="仿宋" w:cs="仿宋"/>
                <w:color w:val="auto"/>
                <w:kern w:val="2"/>
                <w:sz w:val="24"/>
                <w:szCs w:val="24"/>
                <w:lang w:val="en-US" w:eastAsia="zh-CN" w:bidi="ar-SA"/>
              </w:rPr>
              <w:t>25</w:t>
            </w:r>
            <w:r>
              <w:rPr>
                <w:rFonts w:hint="eastAsia" w:ascii="仿宋" w:hAnsi="仿宋" w:eastAsia="仿宋" w:cs="仿宋"/>
                <w:color w:val="auto"/>
                <w:kern w:val="2"/>
                <w:sz w:val="24"/>
                <w:szCs w:val="24"/>
                <w:lang w:val="zh-CN" w:eastAsia="zh-CN" w:bidi="ar-SA"/>
              </w:rPr>
              <w:t>日上午</w:t>
            </w:r>
            <w:r>
              <w:rPr>
                <w:rFonts w:hint="eastAsia" w:ascii="仿宋" w:hAnsi="仿宋" w:eastAsia="仿宋" w:cs="仿宋"/>
                <w:color w:val="auto"/>
                <w:kern w:val="2"/>
                <w:sz w:val="24"/>
                <w:szCs w:val="24"/>
                <w:lang w:val="en-US" w:eastAsia="zh-CN" w:bidi="ar-SA"/>
              </w:rPr>
              <w:t>11</w:t>
            </w:r>
            <w:r>
              <w:rPr>
                <w:rFonts w:hint="eastAsia" w:ascii="仿宋" w:hAnsi="仿宋" w:eastAsia="仿宋" w:cs="仿宋"/>
                <w:color w:val="auto"/>
                <w:kern w:val="2"/>
                <w:sz w:val="24"/>
                <w:szCs w:val="24"/>
                <w:lang w:val="zh-CN" w:eastAsia="zh-CN" w:bidi="ar-SA"/>
              </w:rPr>
              <w:t>：</w:t>
            </w:r>
            <w:r>
              <w:rPr>
                <w:rFonts w:hint="eastAsia" w:ascii="仿宋" w:hAnsi="仿宋" w:eastAsia="仿宋" w:cs="仿宋"/>
                <w:color w:val="auto"/>
                <w:kern w:val="2"/>
                <w:sz w:val="24"/>
                <w:szCs w:val="24"/>
                <w:lang w:val="en-US" w:eastAsia="zh-CN" w:bidi="ar-SA"/>
              </w:rPr>
              <w:t>00</w:t>
            </w:r>
            <w:r>
              <w:rPr>
                <w:rFonts w:hint="eastAsia" w:ascii="仿宋" w:hAnsi="仿宋" w:eastAsia="仿宋" w:cs="仿宋"/>
                <w:color w:val="auto"/>
                <w:kern w:val="2"/>
                <w:sz w:val="24"/>
                <w:szCs w:val="24"/>
                <w:lang w:val="zh-CN" w:eastAsia="zh-CN" w:bidi="ar-SA"/>
              </w:rPr>
              <w:t xml:space="preserve"> 分。</w:t>
            </w:r>
          </w:p>
          <w:p>
            <w:pPr>
              <w:keepNext w:val="0"/>
              <w:keepLines w:val="0"/>
              <w:pageBreakBefore w:val="0"/>
              <w:kinsoku/>
              <w:wordWrap/>
              <w:overflowPunct/>
              <w:topLinePunct w:val="0"/>
              <w:bidi w:val="0"/>
              <w:snapToGrid/>
              <w:spacing w:line="260" w:lineRule="exact"/>
              <w:ind w:left="0" w:leftChars="0" w:firstLine="0" w:firstLineChars="0"/>
              <w:jc w:val="left"/>
              <w:textAlignment w:val="auto"/>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color w:val="auto"/>
                <w:kern w:val="2"/>
                <w:sz w:val="24"/>
                <w:szCs w:val="24"/>
                <w:lang w:val="zh-CN" w:eastAsia="zh-CN" w:bidi="ar-SA"/>
              </w:rPr>
              <w:t>地点：政采云一站式政府采购云平台</w:t>
            </w:r>
          </w:p>
          <w:p>
            <w:pPr>
              <w:keepNext w:val="0"/>
              <w:keepLines w:val="0"/>
              <w:pageBreakBefore w:val="0"/>
              <w:kinsoku/>
              <w:wordWrap/>
              <w:overflowPunct/>
              <w:topLinePunct w:val="0"/>
              <w:bidi w:val="0"/>
              <w:snapToGrid/>
              <w:spacing w:line="260" w:lineRule="exact"/>
              <w:ind w:left="0" w:leftChars="0" w:firstLine="0" w:firstLineChars="0"/>
              <w:jc w:val="left"/>
              <w:textAlignment w:val="auto"/>
              <w:rPr>
                <w:rFonts w:hint="eastAsia"/>
                <w:color w:val="auto"/>
                <w:lang w:val="zh-CN"/>
              </w:rPr>
            </w:pPr>
            <w:r>
              <w:rPr>
                <w:rFonts w:hint="eastAsia" w:ascii="仿宋" w:hAnsi="仿宋" w:eastAsia="仿宋" w:cs="Times New Roman"/>
                <w:color w:val="auto"/>
                <w:kern w:val="2"/>
                <w:sz w:val="24"/>
                <w:szCs w:val="24"/>
                <w:lang w:val="en-US" w:eastAsia="zh-CN" w:bidi="ar-SA"/>
              </w:rPr>
              <w:t>注：供应商需要使用CA锁，登录政府采购云平台电子投标客户端制作响应文件，将生成的“JMBS格式电子加密响应文件”上传递交至“政府采购云平台”。</w:t>
            </w:r>
          </w:p>
        </w:tc>
      </w:tr>
      <w:tr>
        <w:tblPrEx>
          <w:tblCellMar>
            <w:top w:w="0" w:type="dxa"/>
            <w:left w:w="108" w:type="dxa"/>
            <w:bottom w:w="0" w:type="dxa"/>
            <w:right w:w="108" w:type="dxa"/>
          </w:tblCellMar>
        </w:tblPrEx>
        <w:trPr>
          <w:trHeight w:val="116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360" w:hanging="360" w:hangingChars="15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磋商小组共</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rPr>
              <w:t>人，其中：采购人代表</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rPr>
              <w:t>人，评审专家</w:t>
            </w:r>
            <w:r>
              <w:rPr>
                <w:rFonts w:hint="eastAsia" w:ascii="仿宋" w:hAnsi="仿宋" w:eastAsia="仿宋" w:cs="仿宋"/>
                <w:color w:val="auto"/>
                <w:sz w:val="24"/>
                <w:szCs w:val="24"/>
                <w:lang w:val="en-US" w:eastAsia="zh-CN"/>
              </w:rPr>
              <w:t xml:space="preserve">5 </w:t>
            </w:r>
            <w:r>
              <w:rPr>
                <w:rFonts w:hint="eastAsia" w:ascii="仿宋" w:hAnsi="仿宋" w:eastAsia="仿宋" w:cs="仿宋"/>
                <w:color w:val="auto"/>
                <w:sz w:val="24"/>
                <w:szCs w:val="24"/>
                <w:lang w:val="zh-CN"/>
              </w:rPr>
              <w:t>人。</w:t>
            </w:r>
          </w:p>
          <w:p>
            <w:pPr>
              <w:keepNext w:val="0"/>
              <w:keepLines w:val="0"/>
              <w:pageBreakBefore w:val="0"/>
              <w:kinsoku/>
              <w:wordWrap/>
              <w:overflowPunct/>
              <w:topLinePunct w:val="0"/>
              <w:bidi w:val="0"/>
              <w:snapToGrid/>
              <w:spacing w:line="260" w:lineRule="exact"/>
              <w:ind w:left="360" w:hanging="360" w:hangingChars="150"/>
              <w:textAlignment w:val="auto"/>
              <w:rPr>
                <w:rFonts w:hint="eastAsia"/>
                <w:color w:val="auto"/>
                <w:lang w:val="zh-CN"/>
              </w:rPr>
            </w:pPr>
            <w:r>
              <w:rPr>
                <w:rFonts w:hint="eastAsia" w:ascii="仿宋" w:hAnsi="仿宋" w:eastAsia="仿宋" w:cs="仿宋"/>
                <w:color w:val="auto"/>
                <w:sz w:val="24"/>
                <w:szCs w:val="24"/>
                <w:lang w:val="zh-CN"/>
              </w:rPr>
              <w:t>磋商小组人员确定方式：从政府采购专家库随机抽取</w:t>
            </w:r>
          </w:p>
        </w:tc>
      </w:tr>
      <w:tr>
        <w:tblPrEx>
          <w:tblCellMar>
            <w:top w:w="0" w:type="dxa"/>
            <w:left w:w="108" w:type="dxa"/>
            <w:bottom w:w="0" w:type="dxa"/>
            <w:right w:w="108" w:type="dxa"/>
          </w:tblCellMar>
        </w:tblPrEx>
        <w:trPr>
          <w:trHeight w:val="766"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评审办法</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综合评分法</w:t>
            </w:r>
          </w:p>
        </w:tc>
      </w:tr>
      <w:tr>
        <w:tblPrEx>
          <w:tblCellMar>
            <w:top w:w="0" w:type="dxa"/>
            <w:left w:w="108" w:type="dxa"/>
            <w:bottom w:w="0" w:type="dxa"/>
            <w:right w:w="108" w:type="dxa"/>
          </w:tblCellMar>
        </w:tblPrEx>
        <w:trPr>
          <w:trHeight w:val="1312"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rPr>
              <w:t>是否授权</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小组确定成交供应商</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360" w:hanging="360" w:hanging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eq \o\ac(□)</w:instrTex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 xml:space="preserve"> 是，</w:t>
            </w:r>
            <w:r>
              <w:rPr>
                <w:rFonts w:hint="eastAsia" w:ascii="仿宋" w:hAnsi="仿宋" w:eastAsia="仿宋" w:cs="仿宋"/>
                <w:color w:val="auto"/>
                <w:sz w:val="24"/>
                <w:szCs w:val="24"/>
                <w:lang w:val="zh-CN"/>
              </w:rPr>
              <w:t>每包确定一个成交供应商。</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否，推荐的成交候选供应商个数：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p>
        </w:tc>
      </w:tr>
      <w:tr>
        <w:tblPrEx>
          <w:tblCellMar>
            <w:top w:w="0" w:type="dxa"/>
            <w:left w:w="108" w:type="dxa"/>
            <w:bottom w:w="0" w:type="dxa"/>
            <w:right w:w="108" w:type="dxa"/>
          </w:tblCellMar>
        </w:tblPrEx>
        <w:trPr>
          <w:trHeight w:val="1248"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是否退还响应文件</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除供应商需收回的资格、资信等证明文件中的证明材料原件（如营业执照、合同、相关资质证书等）外，其他文件概不退还。</w:t>
            </w:r>
            <w:r>
              <w:rPr>
                <w:rFonts w:hint="eastAsia" w:ascii="仿宋" w:hAnsi="仿宋" w:eastAsia="仿宋" w:cs="仿宋"/>
                <w:color w:val="auto"/>
                <w:sz w:val="24"/>
                <w:szCs w:val="24"/>
                <w:lang w:eastAsia="zh-CN"/>
              </w:rPr>
              <w:t>（本项目不适用）</w:t>
            </w:r>
          </w:p>
        </w:tc>
      </w:tr>
      <w:tr>
        <w:tblPrEx>
          <w:tblCellMar>
            <w:top w:w="0" w:type="dxa"/>
            <w:left w:w="108" w:type="dxa"/>
            <w:bottom w:w="0" w:type="dxa"/>
            <w:right w:w="108" w:type="dxa"/>
          </w:tblCellMar>
        </w:tblPrEx>
        <w:trPr>
          <w:trHeight w:val="923"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eastAsia="zh-CN"/>
              </w:rPr>
              <w:t>采购结果公示</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rPr>
            </w:pPr>
            <w:r>
              <w:rPr>
                <w:rFonts w:hint="eastAsia" w:ascii="仿宋" w:hAnsi="仿宋" w:eastAsia="仿宋" w:cs="仿宋"/>
                <w:color w:val="auto"/>
                <w:sz w:val="24"/>
                <w:szCs w:val="24"/>
                <w:lang w:eastAsia="zh-CN"/>
              </w:rPr>
              <w:t>本项目的采购结果在</w:t>
            </w:r>
            <w:r>
              <w:rPr>
                <w:rFonts w:hint="eastAsia" w:ascii="仿宋" w:hAnsi="仿宋" w:eastAsia="仿宋" w:cs="仿宋"/>
                <w:color w:val="auto"/>
                <w:sz w:val="24"/>
                <w:szCs w:val="24"/>
                <w:lang w:val="zh-CN"/>
              </w:rPr>
              <w:t>新疆政府采购网、</w:t>
            </w:r>
            <w:r>
              <w:rPr>
                <w:rFonts w:hint="eastAsia" w:ascii="仿宋" w:hAnsi="仿宋" w:eastAsia="仿宋" w:cs="仿宋"/>
                <w:color w:val="auto"/>
                <w:sz w:val="24"/>
                <w:szCs w:val="24"/>
                <w:lang w:val="zh-CN" w:eastAsia="zh-CN"/>
              </w:rPr>
              <w:t>阿克苏地区行政公署网、乌什县</w:t>
            </w:r>
            <w:r>
              <w:rPr>
                <w:rFonts w:hint="eastAsia" w:ascii="仿宋" w:hAnsi="仿宋" w:eastAsia="仿宋" w:cs="仿宋"/>
                <w:color w:val="auto"/>
                <w:sz w:val="24"/>
                <w:szCs w:val="24"/>
                <w:lang w:val="zh-CN"/>
              </w:rPr>
              <w:t>人民政府网</w:t>
            </w:r>
            <w:r>
              <w:rPr>
                <w:rFonts w:hint="eastAsia" w:ascii="仿宋" w:hAnsi="仿宋" w:eastAsia="仿宋" w:cs="仿宋"/>
                <w:color w:val="auto"/>
                <w:sz w:val="24"/>
                <w:szCs w:val="24"/>
                <w:lang w:eastAsia="zh-CN"/>
              </w:rPr>
              <w:t>发布公示</w:t>
            </w:r>
          </w:p>
        </w:tc>
      </w:tr>
      <w:tr>
        <w:tblPrEx>
          <w:tblCellMar>
            <w:top w:w="0" w:type="dxa"/>
            <w:left w:w="108" w:type="dxa"/>
            <w:bottom w:w="0" w:type="dxa"/>
            <w:right w:w="108" w:type="dxa"/>
          </w:tblCellMar>
        </w:tblPrEx>
        <w:trPr>
          <w:trHeight w:val="841"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其他需补充的内容</w:t>
            </w:r>
          </w:p>
        </w:tc>
      </w:tr>
      <w:tr>
        <w:tblPrEx>
          <w:tblCellMar>
            <w:top w:w="0" w:type="dxa"/>
            <w:left w:w="108" w:type="dxa"/>
            <w:bottom w:w="0" w:type="dxa"/>
            <w:right w:w="108" w:type="dxa"/>
          </w:tblCellMar>
        </w:tblPrEx>
        <w:trPr>
          <w:trHeight w:val="42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29.1</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响应文件</w:t>
            </w:r>
            <w:r>
              <w:rPr>
                <w:rFonts w:hint="eastAsia" w:ascii="仿宋" w:hAnsi="仿宋" w:eastAsia="仿宋" w:cs="仿宋"/>
                <w:color w:val="auto"/>
                <w:sz w:val="24"/>
                <w:szCs w:val="24"/>
                <w:lang w:val="zh-CN"/>
              </w:rPr>
              <w:t>的要求</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实行电子招投标，供应商须登录政府采购云平台申请获取采购文件，并需要使用CA锁，在新疆政府采购网--下载专区下载--供应商客户端制作响应文件，并生成JMBS格式加密文件，在响应截止前上传至政府采购云平台。若供应商参与响应,自行承担与响应有关的一切费用。</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2、各供应商应在开标前确保是新疆维吾尔自治区政府采购网正式注册入库的供应商，并完成CA数字证书申领。因未注册入库、未办理CA数字证书等原因造成无法响应或响应失败等后果的由供应商自行承担。</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4、供应商在开标时须携带制作加密电子响应文件所使用的CA锁，电脑须提前配置好浏览器（建议使用360浏览器或谷歌浏览器），以便开标时在线解密。</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5、响应供应商应当在响应截止时间前，将生成的“JMBS格式电子加密响应文件”上传递交至“政府采购云平台”，响应截止时间以后上传递交的响应文件将被“政府采购云平台”拒收。</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b/>
                <w:bCs/>
                <w:color w:val="auto"/>
                <w:sz w:val="24"/>
                <w:szCs w:val="24"/>
                <w:lang w:val="en-US" w:eastAsia="zh-CN"/>
              </w:rPr>
              <w:t>评标结束后，各供应商须在开标截止后3个工作日内按采购文件要求将纸质版响应文件递交至代理机构（所产生的的费用供应商自理）。</w:t>
            </w:r>
            <w:r>
              <w:rPr>
                <w:rFonts w:hint="eastAsia" w:ascii="仿宋" w:hAnsi="仿宋" w:eastAsia="仿宋" w:cs="仿宋"/>
                <w:b w:val="0"/>
                <w:bCs w:val="0"/>
                <w:color w:val="auto"/>
                <w:sz w:val="24"/>
                <w:szCs w:val="24"/>
                <w:lang w:val="zh-CN" w:eastAsia="zh-CN"/>
              </w:rPr>
              <w:t>（邮寄地址：新疆阿克苏地区阿克苏市</w:t>
            </w:r>
            <w:r>
              <w:rPr>
                <w:rFonts w:hint="eastAsia" w:ascii="仿宋" w:hAnsi="仿宋" w:eastAsia="仿宋" w:cs="仿宋"/>
                <w:b w:val="0"/>
                <w:bCs w:val="0"/>
                <w:color w:val="auto"/>
                <w:sz w:val="24"/>
                <w:szCs w:val="24"/>
                <w:lang w:val="en-US" w:eastAsia="zh-CN"/>
              </w:rPr>
              <w:t>解放中路疆南名居四号楼三单元101室</w:t>
            </w:r>
            <w:r>
              <w:rPr>
                <w:rFonts w:hint="eastAsia" w:ascii="仿宋" w:hAnsi="仿宋" w:eastAsia="仿宋" w:cs="仿宋"/>
                <w:b w:val="0"/>
                <w:bCs w:val="0"/>
                <w:color w:val="auto"/>
                <w:sz w:val="24"/>
                <w:szCs w:val="24"/>
                <w:lang w:val="zh-CN" w:eastAsia="zh-CN"/>
              </w:rPr>
              <w:t>；收件人：</w:t>
            </w:r>
            <w:r>
              <w:rPr>
                <w:rFonts w:hint="eastAsia" w:ascii="仿宋" w:hAnsi="仿宋" w:eastAsia="仿宋" w:cs="仿宋"/>
                <w:b w:val="0"/>
                <w:bCs w:val="0"/>
                <w:color w:val="auto"/>
                <w:sz w:val="24"/>
                <w:szCs w:val="24"/>
                <w:lang w:val="en-US" w:eastAsia="zh-CN"/>
              </w:rPr>
              <w:t>代娟娟</w:t>
            </w:r>
            <w:r>
              <w:rPr>
                <w:rFonts w:hint="eastAsia" w:ascii="仿宋" w:hAnsi="仿宋" w:eastAsia="仿宋" w:cs="仿宋"/>
                <w:b w:val="0"/>
                <w:bCs w:val="0"/>
                <w:color w:val="auto"/>
                <w:sz w:val="24"/>
                <w:szCs w:val="24"/>
                <w:lang w:val="zh-CN" w:eastAsia="zh-CN"/>
              </w:rPr>
              <w:t>；联系电话：18509977717</w:t>
            </w:r>
            <w:r>
              <w:rPr>
                <w:rFonts w:hint="eastAsia" w:ascii="仿宋" w:hAnsi="仿宋" w:eastAsia="仿宋" w:cs="仿宋"/>
                <w:b w:val="0"/>
                <w:bCs w:val="0"/>
                <w:color w:val="auto"/>
                <w:sz w:val="24"/>
                <w:szCs w:val="24"/>
                <w:lang w:val="en-US" w:eastAsia="zh-CN"/>
              </w:rPr>
              <w:t>）</w:t>
            </w:r>
            <w:r>
              <w:rPr>
                <w:rFonts w:hint="eastAsia" w:ascii="仿宋" w:hAnsi="仿宋" w:eastAsia="仿宋" w:cs="仿宋"/>
                <w:color w:val="auto"/>
                <w:sz w:val="24"/>
                <w:szCs w:val="24"/>
                <w:lang w:val="en-US" w:eastAsia="zh-CN"/>
              </w:rPr>
              <w:t>纸质版响应文件可通过加密电子版响应文件打印生成，应当与电子版响应文件一致。</w:t>
            </w:r>
            <w:r>
              <w:rPr>
                <w:rFonts w:hint="eastAsia" w:ascii="仿宋" w:hAnsi="仿宋" w:eastAsia="仿宋" w:cs="仿宋"/>
                <w:b w:val="0"/>
                <w:bCs w:val="0"/>
                <w:color w:val="auto"/>
                <w:sz w:val="24"/>
                <w:szCs w:val="24"/>
                <w:lang w:val="en-US" w:eastAsia="zh-CN"/>
              </w:rPr>
              <w:t>【</w:t>
            </w:r>
            <w:r>
              <w:rPr>
                <w:rFonts w:hint="eastAsia" w:ascii="仿宋" w:hAnsi="仿宋" w:eastAsia="仿宋" w:cs="仿宋"/>
                <w:color w:val="auto"/>
                <w:sz w:val="24"/>
                <w:szCs w:val="24"/>
                <w:lang w:val="en-US" w:eastAsia="zh-CN"/>
              </w:rPr>
              <w:t>1、</w:t>
            </w:r>
            <w:r>
              <w:rPr>
                <w:rFonts w:hint="eastAsia" w:ascii="仿宋" w:hAnsi="仿宋" w:eastAsia="仿宋" w:cs="仿宋"/>
                <w:b/>
                <w:bCs/>
                <w:color w:val="auto"/>
                <w:sz w:val="24"/>
                <w:szCs w:val="24"/>
                <w:lang w:val="en-US" w:eastAsia="zh-CN"/>
              </w:rPr>
              <w:t>份数要求：正本壹份、副本叁份，电子标肆份（U盘和光盘）</w:t>
            </w:r>
            <w:r>
              <w:rPr>
                <w:rFonts w:hint="eastAsia" w:ascii="仿宋" w:hAnsi="仿宋" w:eastAsia="仿宋" w:cs="仿宋"/>
                <w:b w:val="0"/>
                <w:bCs w:val="0"/>
                <w:color w:val="auto"/>
                <w:sz w:val="24"/>
                <w:szCs w:val="24"/>
                <w:lang w:val="en-US" w:eastAsia="zh-CN"/>
              </w:rPr>
              <w:t>。2、装订要求：响应文件商务技术部分装订成一册，响应文件的装订必须采用死页胶粘本。】</w:t>
            </w:r>
          </w:p>
        </w:tc>
      </w:tr>
      <w:tr>
        <w:tblPrEx>
          <w:tblCellMar>
            <w:top w:w="0" w:type="dxa"/>
            <w:left w:w="108" w:type="dxa"/>
            <w:bottom w:w="0" w:type="dxa"/>
            <w:right w:w="108" w:type="dxa"/>
          </w:tblCellMar>
        </w:tblPrEx>
        <w:trPr>
          <w:trHeight w:val="703" w:hRule="atLeast"/>
          <w:jc w:val="center"/>
        </w:trPr>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29.2</w:t>
            </w:r>
          </w:p>
        </w:tc>
        <w:tc>
          <w:tcPr>
            <w:tcW w:w="238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定义</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原件：</w:t>
            </w:r>
            <w:r>
              <w:rPr>
                <w:rFonts w:hint="eastAsia" w:ascii="仿宋" w:hAnsi="仿宋" w:eastAsia="仿宋" w:cs="仿宋"/>
                <w:color w:val="auto"/>
                <w:sz w:val="24"/>
                <w:szCs w:val="24"/>
              </w:rPr>
              <w:t>最初产生的区别于复制件的原始文件或文件的原本或公证处出具的文件复制件公证书。</w:t>
            </w:r>
          </w:p>
        </w:tc>
      </w:tr>
      <w:tr>
        <w:tblPrEx>
          <w:tblCellMar>
            <w:top w:w="0" w:type="dxa"/>
            <w:left w:w="108" w:type="dxa"/>
            <w:bottom w:w="0" w:type="dxa"/>
            <w:right w:w="108" w:type="dxa"/>
          </w:tblCellMar>
        </w:tblPrEx>
        <w:trPr>
          <w:trHeight w:val="107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p>
        </w:tc>
        <w:tc>
          <w:tcPr>
            <w:tcW w:w="238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书面形式：包括文字的打印或复印件、传真、信函、电传、电报、</w:t>
            </w:r>
            <w:r>
              <w:rPr>
                <w:rFonts w:hint="eastAsia" w:ascii="仿宋" w:hAnsi="仿宋" w:eastAsia="仿宋" w:cs="仿宋"/>
                <w:color w:val="auto"/>
                <w:sz w:val="24"/>
                <w:szCs w:val="24"/>
                <w:shd w:val="clear" w:color="auto" w:fill="FFFFFF"/>
              </w:rPr>
              <w:t>电子邮件、</w:t>
            </w:r>
            <w:r>
              <w:rPr>
                <w:rFonts w:hint="eastAsia" w:ascii="仿宋" w:hAnsi="仿宋" w:eastAsia="仿宋" w:cs="仿宋"/>
                <w:color w:val="auto"/>
                <w:sz w:val="24"/>
                <w:szCs w:val="24"/>
                <w:shd w:val="clear" w:color="auto" w:fill="FFFFFF"/>
                <w:lang w:eastAsia="zh-CN"/>
              </w:rPr>
              <w:t>阿克苏</w:t>
            </w:r>
            <w:r>
              <w:rPr>
                <w:rFonts w:hint="eastAsia" w:ascii="仿宋" w:hAnsi="仿宋" w:eastAsia="仿宋" w:cs="仿宋"/>
                <w:color w:val="auto"/>
                <w:sz w:val="24"/>
                <w:szCs w:val="24"/>
                <w:shd w:val="clear" w:color="auto" w:fill="FFFFFF"/>
              </w:rPr>
              <w:t>人民政府网</w:t>
            </w:r>
            <w:r>
              <w:rPr>
                <w:rFonts w:hint="eastAsia" w:ascii="仿宋" w:hAnsi="仿宋" w:eastAsia="仿宋" w:cs="仿宋"/>
                <w:color w:val="auto"/>
                <w:sz w:val="24"/>
                <w:szCs w:val="24"/>
              </w:rPr>
              <w:t>发布的公告</w:t>
            </w:r>
            <w:r>
              <w:rPr>
                <w:rFonts w:hint="eastAsia" w:ascii="仿宋" w:hAnsi="仿宋" w:eastAsia="仿宋" w:cs="仿宋"/>
                <w:color w:val="auto"/>
                <w:sz w:val="24"/>
                <w:szCs w:val="24"/>
                <w:shd w:val="clear" w:color="auto" w:fill="FFFFFF"/>
              </w:rPr>
              <w:t>等可以有形地表现所载内容的形式。</w:t>
            </w:r>
          </w:p>
        </w:tc>
      </w:tr>
      <w:tr>
        <w:tblPrEx>
          <w:tblCellMar>
            <w:top w:w="0" w:type="dxa"/>
            <w:left w:w="108" w:type="dxa"/>
            <w:bottom w:w="0" w:type="dxa"/>
            <w:right w:w="108" w:type="dxa"/>
          </w:tblCellMar>
        </w:tblPrEx>
        <w:trPr>
          <w:trHeight w:val="122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29.3</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分包和非主体、非关键性工作</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360" w:hanging="360" w:hanging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不允许</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允许，供应商根据采购文件载明的标的采购项目实际情况，拟在成交后将成交项目的非主体、非关键性工作交由他人完成的，应当在响应文件中载明。</w:t>
            </w:r>
          </w:p>
        </w:tc>
      </w:tr>
      <w:tr>
        <w:tblPrEx>
          <w:tblCellMar>
            <w:top w:w="0" w:type="dxa"/>
            <w:left w:w="108" w:type="dxa"/>
            <w:bottom w:w="0" w:type="dxa"/>
            <w:right w:w="108" w:type="dxa"/>
          </w:tblCellMar>
        </w:tblPrEx>
        <w:trPr>
          <w:trHeight w:val="753"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29.4</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监督</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rPr>
            </w:pPr>
            <w:r>
              <w:rPr>
                <w:rFonts w:hint="eastAsia" w:ascii="仿宋" w:hAnsi="仿宋" w:eastAsia="仿宋" w:cs="仿宋"/>
                <w:color w:val="auto"/>
                <w:sz w:val="24"/>
                <w:szCs w:val="24"/>
                <w:lang w:val="zh-CN"/>
              </w:rPr>
              <w:t>本次采购活动以及相关当事人应当接受</w:t>
            </w:r>
            <w:r>
              <w:rPr>
                <w:rFonts w:hint="eastAsia" w:ascii="仿宋" w:hAnsi="仿宋" w:eastAsia="仿宋" w:cs="仿宋"/>
                <w:color w:val="auto"/>
                <w:sz w:val="24"/>
                <w:szCs w:val="24"/>
                <w:highlight w:val="none"/>
                <w:lang w:val="en-US" w:eastAsia="zh-CN"/>
              </w:rPr>
              <w:t>当地</w:t>
            </w:r>
            <w:r>
              <w:rPr>
                <w:rFonts w:hint="eastAsia" w:ascii="仿宋" w:hAnsi="仿宋" w:eastAsia="仿宋" w:cs="仿宋"/>
                <w:color w:val="auto"/>
                <w:sz w:val="24"/>
                <w:szCs w:val="24"/>
                <w:highlight w:val="none"/>
                <w:lang w:val="en-US" w:eastAsia="zh-CN"/>
              </w:rPr>
              <w:t>行业</w:t>
            </w:r>
            <w:r>
              <w:rPr>
                <w:rFonts w:hint="eastAsia" w:ascii="仿宋" w:hAnsi="仿宋" w:eastAsia="仿宋" w:cs="仿宋"/>
                <w:bCs/>
                <w:color w:val="auto"/>
                <w:sz w:val="24"/>
                <w:szCs w:val="24"/>
                <w:highlight w:val="none"/>
                <w:lang w:val="zh-CN"/>
              </w:rPr>
              <w:t>监督管理部门</w:t>
            </w:r>
            <w:r>
              <w:rPr>
                <w:rFonts w:hint="eastAsia" w:ascii="仿宋" w:hAnsi="仿宋" w:eastAsia="仿宋" w:cs="仿宋"/>
                <w:color w:val="auto"/>
                <w:sz w:val="24"/>
                <w:szCs w:val="24"/>
                <w:highlight w:val="none"/>
                <w:lang w:val="zh-CN"/>
              </w:rPr>
              <w:t>依法实施的监督。</w:t>
            </w:r>
          </w:p>
        </w:tc>
      </w:tr>
      <w:tr>
        <w:tblPrEx>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29.5</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说明</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eastAsia="zh-CN"/>
              </w:rPr>
              <w:t>本项目专门面向中小企业或小型、微型企业采购。</w:t>
            </w:r>
          </w:p>
        </w:tc>
      </w:tr>
      <w:tr>
        <w:tblPrEx>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根据中华人民共和国财政部、中华人民共和国工业和信息化部《关于进一步加大政府采购支持中小企业力度的通知》（财库〔2022〕19号）文件的规定，属于中小企业评审优惠内容及幅度如下：</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（一）中小企业（含中型、小型、微型企业）应当同时符合以下条件：</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①符合中小企业划分标准（按《关于印发中小企业划型标准规定的通知》（工信部联企业〔2011〕300号）执行）；</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②提供本企业制造的货物、承担的项目或者服务，或者提供其他中小企业制造的货物。本项所称货物不包括使用大型企业注册商标的货物；</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③小型、微型企业提供中型企业制造的货物的，视同为中型企业。</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（二）价格扣除办法：</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对中小微型企业（或联合体各方均为小型、微型企业的）产品的价格给予10%的扣除，用扣除后的价格参加评审。</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（三）中小微型企业适用价格扣除办法时应提供的相关资料：《中小企业声明函》</w:t>
            </w:r>
          </w:p>
        </w:tc>
      </w:tr>
      <w:tr>
        <w:tblPrEx>
          <w:tblCellMar>
            <w:top w:w="0" w:type="dxa"/>
            <w:left w:w="108" w:type="dxa"/>
            <w:bottom w:w="0" w:type="dxa"/>
            <w:right w:w="108" w:type="dxa"/>
          </w:tblCellMar>
        </w:tblPrEx>
        <w:trPr>
          <w:trHeight w:val="842"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低于成本价不正当竞争预防措施：</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kern w:val="2"/>
                <w:sz w:val="21"/>
                <w:szCs w:val="22"/>
                <w:lang w:val="zh-CN" w:eastAsia="zh-CN" w:bidi="ar-SA"/>
              </w:rPr>
            </w:pPr>
            <w:r>
              <w:rPr>
                <w:rFonts w:hint="eastAsia" w:ascii="仿宋" w:hAnsi="仿宋" w:eastAsia="仿宋" w:cs="仿宋"/>
                <w:color w:val="auto"/>
                <w:sz w:val="24"/>
                <w:szCs w:val="24"/>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CellMar>
            <w:top w:w="0" w:type="dxa"/>
            <w:left w:w="108" w:type="dxa"/>
            <w:bottom w:w="0" w:type="dxa"/>
            <w:right w:w="108" w:type="dxa"/>
          </w:tblCellMar>
        </w:tblPrEx>
        <w:trPr>
          <w:trHeight w:val="842"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注意：</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1、采购文件每套售价/元；</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2、按照新发改议价[2012]832号文,供应商在提交响应文件时，需缴纳场地服务费1000元，当参加项目的供应商多余6家时，所需缴纳的场地服务费为：6000元/供应商单位个数；</w:t>
            </w:r>
          </w:p>
          <w:p>
            <w:pPr>
              <w:pStyle w:val="14"/>
              <w:ind w:left="0" w:leftChars="0" w:firstLine="0" w:firstLineChars="0"/>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3、最终成交供应商须向现场</w:t>
            </w:r>
            <w:r>
              <w:rPr>
                <w:rFonts w:hint="eastAsia" w:ascii="仿宋" w:hAnsi="仿宋" w:eastAsia="仿宋" w:cs="仿宋"/>
                <w:color w:val="auto"/>
                <w:sz w:val="24"/>
                <w:szCs w:val="24"/>
              </w:rPr>
              <w:t>公证机构</w:t>
            </w:r>
            <w:r>
              <w:rPr>
                <w:rFonts w:hint="eastAsia" w:ascii="仿宋" w:hAnsi="仿宋" w:eastAsia="仿宋" w:cs="仿宋"/>
                <w:color w:val="auto"/>
                <w:sz w:val="24"/>
                <w:szCs w:val="24"/>
                <w:lang w:eastAsia="zh-CN"/>
              </w:rPr>
              <w:t>支付相应公证费用；</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4、本次项目收取代理服务费由成交供应商支付，成交供应商领取成交通知书前，需向新疆瀚哲项目管理有限公司一次性付清代理服务费；</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5、本次项目代理服务费用按国家计委[2002]1980号文件和国家发改委发改办价格【2003】857号文件标准计费，该费用由供应商计入响应总报价中，不再单独列项。</w:t>
            </w:r>
          </w:p>
        </w:tc>
      </w:tr>
    </w:tbl>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sz w:val="24"/>
          <w:szCs w:val="24"/>
          <w:lang w:val="en-US" w:eastAsia="zh-CN"/>
        </w:rPr>
      </w:pPr>
      <w:bookmarkStart w:id="53" w:name="_Toc464831128"/>
      <w:bookmarkStart w:id="54" w:name="_Toc31331"/>
      <w:r>
        <w:rPr>
          <w:rFonts w:hint="eastAsia" w:ascii="仿宋" w:hAnsi="仿宋" w:eastAsia="仿宋" w:cs="仿宋"/>
          <w:color w:val="auto"/>
          <w:sz w:val="24"/>
          <w:szCs w:val="24"/>
          <w:lang w:val="en-US" w:eastAsia="zh-CN"/>
        </w:rPr>
        <w:t>注：采购文件中若有和前附表不一致时以前附表为准。</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color w:val="auto"/>
          <w:sz w:val="24"/>
          <w:szCs w:val="24"/>
          <w:lang w:val="en-US" w:eastAsia="zh-CN"/>
        </w:rPr>
        <w:sectPr>
          <w:pgSz w:w="11906" w:h="16838"/>
          <w:pgMar w:top="1440" w:right="1803" w:bottom="1440" w:left="1803" w:header="850"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1"/>
        <w:rPr>
          <w:rFonts w:hint="eastAsia" w:ascii="仿宋" w:hAnsi="仿宋" w:eastAsia="仿宋" w:cs="仿宋"/>
          <w:b/>
          <w:bCs/>
          <w:color w:val="auto"/>
          <w:sz w:val="36"/>
          <w:szCs w:val="36"/>
        </w:rPr>
      </w:pPr>
      <w:r>
        <w:rPr>
          <w:rFonts w:hint="eastAsia" w:ascii="仿宋" w:hAnsi="仿宋" w:eastAsia="仿宋" w:cs="仿宋"/>
          <w:b/>
          <w:bCs/>
          <w:color w:val="auto"/>
          <w:sz w:val="36"/>
          <w:szCs w:val="36"/>
        </w:rPr>
        <w:t>供应商须知</w:t>
      </w:r>
      <w:bookmarkEnd w:id="53"/>
      <w:bookmarkEnd w:id="54"/>
    </w:p>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outlineLvl w:val="2"/>
        <w:rPr>
          <w:rFonts w:hint="eastAsia" w:ascii="仿宋" w:hAnsi="仿宋" w:eastAsia="仿宋" w:cs="仿宋"/>
          <w:color w:val="auto"/>
          <w:sz w:val="24"/>
          <w:szCs w:val="24"/>
        </w:rPr>
      </w:pPr>
      <w:bookmarkStart w:id="55" w:name="_Toc5948"/>
      <w:bookmarkStart w:id="56" w:name="_Toc464831129"/>
      <w:r>
        <w:rPr>
          <w:rFonts w:hint="eastAsia" w:ascii="仿宋" w:hAnsi="仿宋" w:eastAsia="仿宋" w:cs="仿宋"/>
          <w:color w:val="auto"/>
          <w:sz w:val="24"/>
          <w:szCs w:val="24"/>
        </w:rPr>
        <w:t>1.采购依据以及原则</w:t>
      </w:r>
      <w:bookmarkEnd w:id="55"/>
      <w:bookmarkEnd w:id="56"/>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1.1《中华人民共和国政府采购法》；</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1.2《中华人民共和国合同法》；</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1.3《中华人民共和国政府采购法实施条例》；</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1.4《政府采购非招标采购方式管理办法》；</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lang w:eastAsia="zh-CN"/>
        </w:rPr>
      </w:pPr>
      <w:r>
        <w:rPr>
          <w:rFonts w:hint="eastAsia" w:ascii="仿宋" w:hAnsi="仿宋" w:eastAsia="仿宋" w:cs="仿宋"/>
          <w:color w:val="auto"/>
          <w:sz w:val="24"/>
          <w:szCs w:val="24"/>
        </w:rPr>
        <w:t>1.5《政府采购供应商投诉处理办法》</w:t>
      </w:r>
      <w:r>
        <w:rPr>
          <w:rFonts w:hint="eastAsia" w:ascii="仿宋" w:hAnsi="仿宋" w:eastAsia="仿宋" w:cs="仿宋"/>
          <w:color w:val="auto"/>
          <w:sz w:val="24"/>
          <w:szCs w:val="24"/>
          <w:lang w:eastAsia="zh-CN"/>
        </w:rPr>
        <w:t>；</w:t>
      </w:r>
    </w:p>
    <w:p>
      <w:pPr>
        <w:pStyle w:val="135"/>
        <w:keepNext w:val="0"/>
        <w:keepLines w:val="0"/>
        <w:pageBreakBefore w:val="0"/>
        <w:kinsoku/>
        <w:wordWrap/>
        <w:overflowPunct/>
        <w:topLinePunct w:val="0"/>
        <w:bidi w:val="0"/>
        <w:snapToGrid/>
        <w:spacing w:line="240" w:lineRule="auto"/>
        <w:ind w:right="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政府采购促进中小企业发展管理办法》的通知（财库〔2020〕46号）；</w:t>
      </w:r>
    </w:p>
    <w:p>
      <w:pPr>
        <w:pStyle w:val="135"/>
        <w:keepNext w:val="0"/>
        <w:keepLines w:val="0"/>
        <w:pageBreakBefore w:val="0"/>
        <w:kinsoku/>
        <w:wordWrap/>
        <w:overflowPunct/>
        <w:topLinePunct w:val="0"/>
        <w:bidi w:val="0"/>
        <w:snapToGrid/>
        <w:spacing w:line="240" w:lineRule="auto"/>
        <w:ind w:right="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2014】68号）</w:t>
      </w:r>
    </w:p>
    <w:p>
      <w:pPr>
        <w:pStyle w:val="135"/>
        <w:keepNext w:val="0"/>
        <w:keepLines w:val="0"/>
        <w:pageBreakBefore w:val="0"/>
        <w:kinsoku/>
        <w:wordWrap/>
        <w:overflowPunct/>
        <w:topLinePunct w:val="0"/>
        <w:bidi w:val="0"/>
        <w:snapToGrid/>
        <w:spacing w:line="240" w:lineRule="auto"/>
        <w:ind w:right="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1.8《国务院办公厅关于建立政府强制采购节能产品制度的通知》（国办发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2007】51号）</w:t>
      </w:r>
    </w:p>
    <w:p>
      <w:pPr>
        <w:pStyle w:val="135"/>
        <w:keepNext w:val="0"/>
        <w:keepLines w:val="0"/>
        <w:pageBreakBefore w:val="0"/>
        <w:kinsoku/>
        <w:wordWrap/>
        <w:overflowPunct/>
        <w:topLinePunct w:val="0"/>
        <w:bidi w:val="0"/>
        <w:snapToGrid/>
        <w:spacing w:line="240" w:lineRule="auto"/>
        <w:ind w:right="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1.9《财政部民政部中国残疾人联合会关于促进残疾人就业政府采购政策的通知》（财库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2017】141号）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其他有关法律、行政法规以及省市规范性文件规定。</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57" w:name="_Toc5951"/>
      <w:bookmarkStart w:id="58" w:name="_Toc464831130"/>
      <w:r>
        <w:rPr>
          <w:rFonts w:hint="eastAsia" w:ascii="仿宋" w:hAnsi="仿宋" w:eastAsia="仿宋" w:cs="仿宋"/>
          <w:color w:val="auto"/>
          <w:sz w:val="24"/>
          <w:szCs w:val="24"/>
        </w:rPr>
        <w:t>2.合格的供应商</w:t>
      </w:r>
      <w:bookmarkEnd w:id="57"/>
      <w:bookmarkEnd w:id="58"/>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2.1符合《中华人民共和国政府采购法》第二十二条第一款规定的条件；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2.2符合本采购文件规定的资格要求，且按照要求提供相关证明材料；</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2.3单位负责人为同一人或者存在直接控股、管理关系的不同供应商，不得参加同一合同项下的政府采购活动。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2.4供应商须知前附表规定接受联合体报价的，应符合以下规定：</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.1联合体各方应按照采购文件提供的格式签订联合体协议书，明确联合体牵头人和各方权利义务；</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.2联合体各方均应当符合《政府采购法》第二十二条第一款规定的条件；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.3联合体中有同类资质的供应商按照联合体分工承担相同工作的，应当按照资质等级较低的供应商确定资质等级。</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.4以联合体形式参加政府采购活动的，联合体各方不得再单独参加或者与其他供应商另外组成联合体参加同一合同项下的政府采购活动。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.5联合体各方应当共同与采购人签订采购合同，就合同约定的事项对采购人承担连带责任。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.6鼓励大中型企业和其他自然人、法人或者其他组织与小型、微型企业组成联合体报价，但联合体各方均应符合上述规定。</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除采购人拟采购进口产品通过财政部门审核外，供应商不得提供直接进口或者委托进口产品（包括已进入中国境内的进口产品）。</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为采购项目提供整体设计、规范编制或者项目管理、监理、检测等服务的供应商，不得再参加该采购项目的其他采购活动。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供应商提供的证明材料内容必须真实可靠。</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符合上述条件的供应商即为合格供应商，具有参与竞争性</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的资格。</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59" w:name="_Toc14654"/>
      <w:bookmarkStart w:id="60" w:name="_Toc464831131"/>
      <w:r>
        <w:rPr>
          <w:rFonts w:hint="eastAsia" w:ascii="仿宋" w:hAnsi="仿宋" w:eastAsia="仿宋" w:cs="仿宋"/>
          <w:color w:val="auto"/>
          <w:sz w:val="24"/>
          <w:szCs w:val="24"/>
        </w:rPr>
        <w:t>3.保密</w:t>
      </w:r>
      <w:bookmarkEnd w:id="59"/>
      <w:bookmarkEnd w:id="60"/>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参与竞争性</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活动的当事人应对采购文件和响应文件中的商业和技术等秘密保密，违者应对由此造成的后果承担法律责任。</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61" w:name="_Toc464831132"/>
      <w:bookmarkStart w:id="62" w:name="_Toc15387"/>
      <w:r>
        <w:rPr>
          <w:rFonts w:hint="eastAsia" w:ascii="仿宋" w:hAnsi="仿宋" w:eastAsia="仿宋" w:cs="仿宋"/>
          <w:color w:val="auto"/>
          <w:sz w:val="24"/>
          <w:szCs w:val="24"/>
        </w:rPr>
        <w:t>4.语言文字、计量单位、时间单位、报价有效期以及参与采购活动费用</w:t>
      </w:r>
      <w:bookmarkEnd w:id="61"/>
      <w:bookmarkEnd w:id="62"/>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4.1语言文字</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除专用术语外，与竞争性</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活动有关的语言均使用简体中文。必要时专用术语应附有中文注释。如供应商提交的支持文件和印刷的文献使用另一种语言，应附有相应内容的中文翻译本，在解释响应文件时以中文翻译本为准。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4.2计量单位</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除采购文件另有规定外，计量均应采用中华人民共和国法定计量单位；所有报价一律使用人民币，货币单位为“元”。</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4.3时间单位</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除采购文件中另有规定外，采购文件所使用的时间单位“天”、“日”均指日历天，时、分均为北京时间。</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4.4报价有效期</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4.4.1在供应商须知前附表规定的报价有效期内，响应文件以及其补充、承诺等部分均保持有效。</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4.4.2在采购文件规定的响应文件有效期满之前，如果出现特殊情况，采购人或者采购代理机构可在报价有效期内要求供应商延长有效期，要求与答复均以书面通知为准并作为采购文件和响应文件的组成部分；同意上述要求的，既不能要求也不允许其修改响应文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4.5参与采购活动费用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供应商应自行承担其准备和参加采购活动发生的所有费用。</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63" w:name="_Toc19492"/>
      <w:bookmarkStart w:id="64" w:name="_Toc464831133"/>
      <w:r>
        <w:rPr>
          <w:rFonts w:hint="eastAsia" w:ascii="仿宋" w:hAnsi="仿宋" w:eastAsia="仿宋" w:cs="仿宋"/>
          <w:color w:val="auto"/>
          <w:sz w:val="24"/>
          <w:szCs w:val="24"/>
        </w:rPr>
        <w:t>5.踏勘现场</w:t>
      </w:r>
      <w:bookmarkEnd w:id="63"/>
      <w:bookmarkEnd w:id="64"/>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5.1供应商须知前附表规定组织踏勘现场的，采购人必须按照规定时间、地点组织供应商踏勘项目现场，以便供应商获取有关编制响应文件和签署合同所涉及现场的资料。供应商承担踏勘现场所发生的自身费用。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5.2采购人向供应商提供的有关现场的资料和数据，是采购人现有的能使供应商利用的资料，采购人对供应商由此而做出的推论、理解和结论不负责任。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5.3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65" w:name="_Toc464831134"/>
      <w:bookmarkStart w:id="66" w:name="_Toc6300"/>
      <w:r>
        <w:rPr>
          <w:rFonts w:hint="eastAsia" w:ascii="仿宋" w:hAnsi="仿宋" w:eastAsia="仿宋" w:cs="仿宋"/>
          <w:color w:val="auto"/>
          <w:sz w:val="24"/>
          <w:szCs w:val="24"/>
        </w:rPr>
        <w:t>6.询问</w:t>
      </w:r>
      <w:bookmarkEnd w:id="65"/>
      <w:bookmarkEnd w:id="66"/>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6.1供应商对竞争性</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活动事项有疑问的，可以向采购代理机构提出询问；采购代理机构应当及时作出答复，但答复的内容不得涉及商业秘密。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6.2询问及答复既可以采取书面形式，也可以采取电话、面谈等口头方式。</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67" w:name="_Toc10795"/>
      <w:bookmarkStart w:id="68" w:name="_Toc464831135"/>
      <w:r>
        <w:rPr>
          <w:rFonts w:hint="eastAsia" w:ascii="仿宋" w:hAnsi="仿宋" w:eastAsia="仿宋" w:cs="仿宋"/>
          <w:color w:val="auto"/>
          <w:sz w:val="24"/>
          <w:szCs w:val="24"/>
        </w:rPr>
        <w:t>7.偏离</w:t>
      </w:r>
      <w:bookmarkEnd w:id="67"/>
      <w:bookmarkEnd w:id="68"/>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采购人允许响应文件偏离采购文件某些非实质性要求的，偏离应当符合采购文件规定的偏离范围和幅度。</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lang w:eastAsia="zh-CN"/>
        </w:rPr>
      </w:pPr>
      <w:bookmarkStart w:id="69" w:name="_Toc464831136"/>
      <w:bookmarkStart w:id="70" w:name="_Toc2699"/>
      <w:r>
        <w:rPr>
          <w:rFonts w:hint="eastAsia" w:ascii="仿宋" w:hAnsi="仿宋" w:eastAsia="仿宋" w:cs="仿宋"/>
          <w:color w:val="auto"/>
          <w:sz w:val="24"/>
          <w:szCs w:val="24"/>
        </w:rPr>
        <w:t>8.</w:t>
      </w:r>
      <w:bookmarkEnd w:id="69"/>
      <w:bookmarkEnd w:id="70"/>
      <w:r>
        <w:rPr>
          <w:rFonts w:hint="eastAsia" w:ascii="仿宋" w:hAnsi="仿宋" w:eastAsia="仿宋" w:cs="仿宋"/>
          <w:color w:val="auto"/>
          <w:sz w:val="24"/>
          <w:szCs w:val="24"/>
          <w:lang w:eastAsia="zh-CN"/>
        </w:rPr>
        <w:t>质量保证金：按照前附表规定</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8.1在签订合同</w:t>
      </w:r>
      <w:r>
        <w:rPr>
          <w:rFonts w:hint="eastAsia" w:ascii="仿宋" w:hAnsi="仿宋" w:eastAsia="仿宋" w:cs="仿宋"/>
          <w:color w:val="auto"/>
          <w:sz w:val="24"/>
          <w:szCs w:val="24"/>
          <w:lang w:eastAsia="zh-CN"/>
        </w:rPr>
        <w:t>后</w:t>
      </w:r>
      <w:r>
        <w:rPr>
          <w:rFonts w:hint="eastAsia" w:ascii="仿宋" w:hAnsi="仿宋" w:eastAsia="仿宋" w:cs="仿宋"/>
          <w:color w:val="auto"/>
          <w:sz w:val="24"/>
          <w:szCs w:val="24"/>
        </w:rPr>
        <w:t>，成交供应商应按照有关规定或者事先经过采购人书面认可的</w:t>
      </w:r>
      <w:r>
        <w:rPr>
          <w:rFonts w:hint="eastAsia" w:ascii="仿宋" w:hAnsi="仿宋" w:eastAsia="仿宋" w:cs="仿宋"/>
          <w:color w:val="auto"/>
          <w:sz w:val="24"/>
          <w:szCs w:val="24"/>
          <w:lang w:eastAsia="zh-CN"/>
        </w:rPr>
        <w:t>质量保证</w:t>
      </w:r>
      <w:r>
        <w:rPr>
          <w:rFonts w:hint="eastAsia" w:ascii="仿宋" w:hAnsi="仿宋" w:eastAsia="仿宋" w:cs="仿宋"/>
          <w:color w:val="auto"/>
          <w:sz w:val="24"/>
          <w:szCs w:val="24"/>
        </w:rPr>
        <w:t>要求向采购人提交</w:t>
      </w:r>
      <w:r>
        <w:rPr>
          <w:rFonts w:hint="eastAsia" w:ascii="仿宋" w:hAnsi="仿宋" w:eastAsia="仿宋" w:cs="仿宋"/>
          <w:color w:val="auto"/>
          <w:sz w:val="24"/>
          <w:szCs w:val="24"/>
          <w:lang w:eastAsia="zh-CN"/>
        </w:rPr>
        <w:t>质量保证金</w:t>
      </w:r>
      <w:r>
        <w:rPr>
          <w:rFonts w:hint="eastAsia" w:ascii="仿宋" w:hAnsi="仿宋" w:eastAsia="仿宋" w:cs="仿宋"/>
          <w:color w:val="auto"/>
          <w:sz w:val="24"/>
          <w:szCs w:val="24"/>
        </w:rPr>
        <w:t>。</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71" w:name="_Toc464831137"/>
      <w:bookmarkStart w:id="72" w:name="_Toc31854"/>
      <w:r>
        <w:rPr>
          <w:rFonts w:hint="eastAsia" w:ascii="仿宋" w:hAnsi="仿宋" w:eastAsia="仿宋" w:cs="仿宋"/>
          <w:color w:val="auto"/>
          <w:sz w:val="24"/>
          <w:szCs w:val="24"/>
        </w:rPr>
        <w:t>9.采购代理服务费</w:t>
      </w:r>
      <w:bookmarkEnd w:id="71"/>
      <w:bookmarkEnd w:id="72"/>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9.1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金额为基准计算并收取。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金额在5亿元以上的代理服务费实行收费上限，货物类代理服务费上限为350万元。</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9.2采购代理服务费在审批的项目预算中已经列支的，由采购人支付，并按照财政部门规定列支；在审批的项目预算中未列支的，采购代理服务费用由成交供应商支付，见供应商须知前附表。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9.3采购代理服务费采用差额定率累进计费方式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依据按国家计委计价格[2002]1980号、发改价格[2011] 534号、发改价格[2015] 299号文取费，以成交价为基数计取。</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73" w:name="_Toc14123"/>
      <w:bookmarkStart w:id="74" w:name="_Toc464831138"/>
      <w:r>
        <w:rPr>
          <w:rFonts w:hint="eastAsia" w:ascii="仿宋" w:hAnsi="仿宋" w:eastAsia="仿宋" w:cs="仿宋"/>
          <w:color w:val="auto"/>
          <w:sz w:val="24"/>
          <w:szCs w:val="24"/>
        </w:rPr>
        <w:t>10.采购文件</w:t>
      </w:r>
      <w:bookmarkEnd w:id="73"/>
      <w:bookmarkEnd w:id="74"/>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10.1采购文件的组成</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10.1.1采购文件是用以阐明所需货物以及服务、</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程序和合同格式的规范性文件。采购文件主要由以下部分组成：</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（1）采购公告；</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（2）供应商须知前附表；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（3）供应商应当提交的资格、资信等证明文件；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（4）采购需求；</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（5）供应商须知；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（6）开标、</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、成交；</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（7）纪律要求；</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（8）签订合同、合同主要条款；</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（9）响应文件格式；</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（10）供应商须知前附表规定的其他材料。</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10.1.2根据本章第10.2款对采购文件所作的澄清和修改，构成采购文件的组成部分。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10.1.3除非有特殊要求，采购文件不单独提供项目所在地的自然环境、气候条件、公用设施等情况，供应商被视为熟悉上述与履行合同有关的一切情况。</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10.2采购文件的澄清和修改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10.2.1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报监管部门批准并</w:t>
      </w:r>
      <w:r>
        <w:rPr>
          <w:rFonts w:hint="eastAsia" w:ascii="仿宋" w:hAnsi="仿宋" w:eastAsia="仿宋" w:cs="仿宋"/>
          <w:color w:val="auto"/>
          <w:sz w:val="24"/>
          <w:szCs w:val="24"/>
          <w:lang w:eastAsia="zh-CN"/>
        </w:rPr>
        <w:t>在</w:t>
      </w:r>
      <w:r>
        <w:rPr>
          <w:rFonts w:hint="eastAsia" w:ascii="仿宋" w:hAnsi="仿宋" w:eastAsia="仿宋" w:cs="仿宋"/>
          <w:color w:val="auto"/>
          <w:sz w:val="24"/>
          <w:szCs w:val="24"/>
        </w:rPr>
        <w:t>新疆政府采购网</w:t>
      </w:r>
      <w:r>
        <w:rPr>
          <w:rFonts w:hint="eastAsia" w:ascii="仿宋" w:hAnsi="仿宋" w:eastAsia="仿宋" w:cs="仿宋"/>
          <w:color w:val="auto"/>
          <w:sz w:val="24"/>
          <w:szCs w:val="24"/>
          <w:lang w:eastAsia="zh-CN"/>
        </w:rPr>
        <w:t>、阿克苏地区行政公署网、</w:t>
      </w:r>
      <w:r>
        <w:rPr>
          <w:rFonts w:hint="eastAsia" w:ascii="仿宋" w:hAnsi="仿宋" w:eastAsia="仿宋" w:cs="仿宋"/>
          <w:color w:val="auto"/>
          <w:sz w:val="24"/>
          <w:szCs w:val="24"/>
          <w:lang w:val="en-US" w:eastAsia="zh-CN"/>
        </w:rPr>
        <w:t>乌什县人民政府网</w:t>
      </w:r>
      <w:r>
        <w:rPr>
          <w:rFonts w:hint="eastAsia" w:ascii="仿宋" w:hAnsi="仿宋" w:eastAsia="仿宋" w:cs="仿宋"/>
          <w:color w:val="auto"/>
          <w:sz w:val="24"/>
          <w:szCs w:val="24"/>
        </w:rPr>
        <w:t>发布更正公告，通知所有采购文件收受人，但不指明澄清问题的来源。不足5日的，采购人、采购代理机构应当顺延提交首次响应文件截止时间</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rPr>
        <w:t>具体时间将在更正公告中予以明确。</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10.2.2供应商应仔细检查采购文件是否齐全。如有残缺、遗漏或者不清楚的，应在供应商须知前附表规定的时间前，以加盖供应商单位公章的书面文件提出，采用信函、传真或者直接送达的形式通知采购代理机构，同时将电子版文件以电子邮件的形式发送至采购代理机构的电子信箱，否则，由此引起的损失由供应商自负。同时，供应商有义务对采购文件的准确性进行复核，如发现有任何错误（打印的错误、逻辑的错误）或者前后矛盾的，应在规定提交答疑的时间内提交给采购人或采购代理机构，否则，供应商应无条件接受采购文件所有条款。</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10.2.3采购文件的澄清或者修改文件在</w:t>
      </w:r>
      <w:r>
        <w:rPr>
          <w:rFonts w:hint="eastAsia" w:ascii="仿宋" w:hAnsi="仿宋" w:eastAsia="仿宋" w:cs="仿宋"/>
          <w:i w:val="0"/>
          <w:caps w:val="0"/>
          <w:color w:val="auto"/>
          <w:spacing w:val="0"/>
          <w:sz w:val="24"/>
          <w:szCs w:val="24"/>
        </w:rPr>
        <w:t>新疆政府采购网</w:t>
      </w:r>
      <w:r>
        <w:rPr>
          <w:rFonts w:hint="eastAsia" w:ascii="仿宋" w:hAnsi="仿宋" w:eastAsia="仿宋" w:cs="仿宋"/>
          <w:i w:val="0"/>
          <w:caps w:val="0"/>
          <w:color w:val="auto"/>
          <w:spacing w:val="0"/>
          <w:sz w:val="24"/>
          <w:szCs w:val="24"/>
          <w:lang w:eastAsia="zh-CN"/>
        </w:rPr>
        <w:t>、</w:t>
      </w:r>
      <w:r>
        <w:rPr>
          <w:rFonts w:hint="eastAsia" w:ascii="仿宋" w:hAnsi="仿宋" w:eastAsia="仿宋" w:cs="仿宋"/>
          <w:color w:val="auto"/>
          <w:sz w:val="24"/>
          <w:szCs w:val="24"/>
          <w:lang w:eastAsia="zh-CN"/>
        </w:rPr>
        <w:t>阿克苏地区行政公署网、</w:t>
      </w:r>
      <w:r>
        <w:rPr>
          <w:rFonts w:hint="eastAsia" w:ascii="仿宋" w:hAnsi="仿宋" w:eastAsia="仿宋" w:cs="仿宋"/>
          <w:color w:val="auto"/>
          <w:sz w:val="24"/>
          <w:szCs w:val="24"/>
          <w:lang w:val="en-US" w:eastAsia="zh-CN"/>
        </w:rPr>
        <w:t>乌什县人民政府网</w:t>
      </w:r>
      <w:r>
        <w:rPr>
          <w:rFonts w:hint="eastAsia" w:ascii="仿宋" w:hAnsi="仿宋" w:eastAsia="仿宋" w:cs="仿宋"/>
          <w:color w:val="auto"/>
          <w:sz w:val="24"/>
          <w:szCs w:val="24"/>
        </w:rPr>
        <w:t>发布公告，方可作为采购文件组成部分并具有法律效力，任何口头答复、通知无效。采购文件的澄清或者修改在同一内容的表述上不一致时，以最后发出的公告为准。</w:t>
      </w:r>
    </w:p>
    <w:p>
      <w:pPr>
        <w:pStyle w:val="14"/>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10.2.</w:t>
      </w:r>
      <w:r>
        <w:rPr>
          <w:rFonts w:hint="eastAsia" w:ascii="仿宋" w:hAnsi="仿宋" w:eastAsia="仿宋" w:cs="仿宋"/>
          <w:color w:val="auto"/>
          <w:sz w:val="24"/>
          <w:szCs w:val="24"/>
          <w:lang w:val="en-US" w:eastAsia="zh-CN"/>
        </w:rPr>
        <w:t>4供应商对政府采购活动事项有疑问的，可以向被质疑人提出询问，被质疑人应当及时予以答复，但答复的内容不得涉及商业秘密。供应商询问和质疑实行实名制。供应商询问和质疑应当有事实根据，不得进行虚假、恶意询问或质疑，干扰政府采购正常的工作秩序。供应商提起质疑应当符合下列条件：必须是参与被质疑项目的供应商；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供应商名称、地址及联系方式；质疑日期。质疑书的递交应当采取当面递交的形式。</w:t>
      </w:r>
    </w:p>
    <w:p>
      <w:pPr>
        <w:pStyle w:val="14"/>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10.2.</w:t>
      </w:r>
      <w:r>
        <w:rPr>
          <w:rFonts w:hint="eastAsia" w:ascii="仿宋" w:hAnsi="仿宋" w:eastAsia="仿宋" w:cs="仿宋"/>
          <w:color w:val="auto"/>
          <w:sz w:val="24"/>
          <w:szCs w:val="24"/>
          <w:lang w:val="en-US" w:eastAsia="zh-CN"/>
        </w:rPr>
        <w:t>5对采购文件的澄清和质疑</w:t>
      </w:r>
    </w:p>
    <w:p>
      <w:pPr>
        <w:pStyle w:val="14"/>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供应商应尽早领取竞争性磋商文件，若对竞争性磋商文件有疑问需要澄清或质疑，</w:t>
      </w:r>
      <w:r>
        <w:rPr>
          <w:rFonts w:hint="eastAsia" w:ascii="仿宋" w:hAnsi="仿宋" w:eastAsia="仿宋" w:cs="仿宋"/>
          <w:color w:val="auto"/>
          <w:sz w:val="24"/>
          <w:szCs w:val="24"/>
          <w:lang w:val="en-US" w:eastAsia="zh-CN"/>
        </w:rPr>
        <w:t>须在开标7日前</w:t>
      </w:r>
      <w:r>
        <w:rPr>
          <w:rFonts w:hint="eastAsia" w:ascii="仿宋" w:hAnsi="仿宋" w:eastAsia="仿宋" w:cs="仿宋"/>
          <w:color w:val="auto"/>
          <w:sz w:val="24"/>
          <w:szCs w:val="24"/>
          <w:lang w:val="en-US" w:eastAsia="zh-CN"/>
        </w:rPr>
        <w:t>由澄清或质疑方的法定代表人或授权供应商（必须为法定代表人授权进行该项目响应的被授权人）以书面形式向采购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供应商递交澄清或质疑函时，还须提供法人投标授权函和质疑授权函（均为原件）及被授权供应商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pStyle w:val="14"/>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在响应截止日3天前根据澄清或质疑函的具体内容相应作出答复或不予答复，答复内容不得涉及商业秘密。作出答复的将以书面形式通知提出澄清或质疑的供应商和其他有关供应商，或在新疆政府采购网上予以公布。递交质疑的供应商和其他有关供应商在被告知、收到上述公告、通知或答疑书后，应立即向采购人回函确认。未确认情况应当视为对质疑答复的知晓，也将视为对质疑答复内容接受的默认。对于未在响应文件中对修改内容做实质性响应的，对其产生的不利因素由未确认者自行承担。同时采购人可以酌情延长响应截止时间。</w:t>
      </w:r>
    </w:p>
    <w:p>
      <w:pPr>
        <w:pStyle w:val="14"/>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10.2.</w:t>
      </w:r>
      <w:r>
        <w:rPr>
          <w:rFonts w:hint="eastAsia" w:ascii="仿宋" w:hAnsi="仿宋" w:eastAsia="仿宋" w:cs="仿宋"/>
          <w:color w:val="auto"/>
          <w:sz w:val="24"/>
          <w:szCs w:val="24"/>
          <w:lang w:val="en-US" w:eastAsia="zh-CN"/>
        </w:rPr>
        <w:t>6对采购过程和拟成交结果的质疑</w:t>
      </w:r>
    </w:p>
    <w:p>
      <w:pPr>
        <w:pStyle w:val="14"/>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认为采购过程和拟成交结果使自己的权益受到损害的，可以在供应商于新疆政府采购网发布拟成交结果之日起3个工作日内，由质疑方的法定代表人或授权供应商以书面形式向供应商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供应商递交质疑函时，还须提供法人投标授权函和质疑授权函（均为原件）及被授权供应商的身份证复印件。身份证复印件须正反面清晰、有效，并要求由该身份证持有人在复印件正反面非空白位置注明“该复印件用于在（项目名称）”字样，并由身份证持有人签字确认。上述资料均须加盖公章。</w:t>
      </w:r>
    </w:p>
    <w:p>
      <w:pPr>
        <w:pStyle w:val="14"/>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应在受理供应商的书面质疑后，根据质疑函的具体内容及时向递交质疑函的供应商作出答复或不予答复，答复内容不得涉及商业秘密。作出答复的以书面形式通知递交质疑的供应商和其他有关供应商。递交质疑的供应商和其他有关供应商在被告知、收到上述公告、通知或答疑书后，应立即向采购人回函确认。未确认情况应当视为对质疑答复的知晓，也将视为对质疑答复内容接受的默认。</w:t>
      </w:r>
    </w:p>
    <w:p>
      <w:pPr>
        <w:pStyle w:val="14"/>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10.2.</w:t>
      </w:r>
      <w:r>
        <w:rPr>
          <w:rFonts w:hint="eastAsia" w:ascii="仿宋" w:hAnsi="仿宋" w:eastAsia="仿宋" w:cs="仿宋"/>
          <w:color w:val="auto"/>
          <w:sz w:val="24"/>
          <w:szCs w:val="24"/>
          <w:lang w:val="en-US" w:eastAsia="zh-CN"/>
        </w:rPr>
        <w:t>7澄清或质疑不予受理的情况，有下列情形之一的，属于无效质疑，被质疑人不予受理，由此产生的影响由供应商自行承担：</w:t>
      </w:r>
    </w:p>
    <w:p>
      <w:pPr>
        <w:pStyle w:val="14"/>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(一)不是参与该政府采购项目活动供应商的;</w:t>
      </w:r>
    </w:p>
    <w:p>
      <w:pPr>
        <w:pStyle w:val="14"/>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(二)被质疑人为采购人或政府采购代理机构之外的；</w:t>
      </w:r>
    </w:p>
    <w:p>
      <w:pPr>
        <w:pStyle w:val="14"/>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(三)所有质疑事项超过质疑有效期的；</w:t>
      </w:r>
    </w:p>
    <w:p>
      <w:pPr>
        <w:pStyle w:val="14"/>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(四)以具有法律效力的文书送达之外方式提出的；</w:t>
      </w:r>
    </w:p>
    <w:p>
      <w:pPr>
        <w:pStyle w:val="14"/>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 未按上述规定递交澄清或质疑函的；</w:t>
      </w:r>
    </w:p>
    <w:p>
      <w:pPr>
        <w:pStyle w:val="14"/>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 其它不符合受理条件的情形。</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10.2.</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供应商认为采购文件存在歧视性条款或者不合理要求等需要澄清的，应在规定时间内一次性全部提出。在规定时间未一次性提出或者对已澄清的条款再提异议者，即视为同意和接受相关条款。</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10.2.</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从更正公告发布时间开始，供应商应在供应商须知前附表规定的时间内从</w:t>
      </w:r>
      <w:r>
        <w:rPr>
          <w:rFonts w:hint="eastAsia" w:ascii="仿宋" w:hAnsi="仿宋" w:eastAsia="仿宋" w:cs="仿宋"/>
          <w:i w:val="0"/>
          <w:caps w:val="0"/>
          <w:color w:val="auto"/>
          <w:spacing w:val="0"/>
          <w:sz w:val="24"/>
          <w:szCs w:val="24"/>
          <w:lang w:eastAsia="zh-CN"/>
        </w:rPr>
        <w:t>新疆政府采购网、阿克苏地区行政公署网、乌什县人民政府网</w:t>
      </w:r>
      <w:r>
        <w:rPr>
          <w:rFonts w:hint="eastAsia" w:ascii="仿宋" w:hAnsi="仿宋" w:eastAsia="仿宋" w:cs="仿宋"/>
          <w:color w:val="auto"/>
          <w:sz w:val="24"/>
          <w:szCs w:val="24"/>
        </w:rPr>
        <w:t>上下载或者从网上直接打印公告，加盖供应商单位公章以及确认日期，采用信函、传真或者直接送达的形式通知采购代理机构。否则，即视为同意和接受该公告内容。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10.3延长报价截止时间和开标时间</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采购人可以视采购具体情况，延长报价截止时间和开标时间，但至少应当在采购文件要求提交首次响应文件截止时间至少5日前，以书面形式通知所有获取磋商文件的供应商。</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75" w:name="_Toc14708"/>
      <w:bookmarkStart w:id="76" w:name="_Toc464831139"/>
      <w:r>
        <w:rPr>
          <w:rFonts w:hint="eastAsia" w:ascii="仿宋" w:hAnsi="仿宋" w:eastAsia="仿宋" w:cs="仿宋"/>
          <w:color w:val="auto"/>
          <w:sz w:val="24"/>
          <w:szCs w:val="24"/>
        </w:rPr>
        <w:t>11.响应文件的组成</w:t>
      </w:r>
      <w:bookmarkEnd w:id="75"/>
      <w:bookmarkEnd w:id="76"/>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11.1供应商应按照采购文件的要求以及格式编制响应文件，并保证其真实性、准确性以及完整性，并按照采购文件要求提交全部资料并做出实质性响应。</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11.2响应文件及电子版响应文件组成：</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一、报价函</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二、报价一览表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三、分项报价明细表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四、联合投标协议书（本次不接受联合体投标）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五、法定代表人身份证明（或法定代表人授权委托书)</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六、信用中国、中国政府采购网</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七、商务偏离表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八、技术偏离表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九、响应服务技术参数</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十、供应商基本情况表（附营业执照等）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十一、无重大违法记录的书面声明</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十二、政府采购诚信承诺书</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8"/>
          <w:lang w:eastAsia="zh-CN"/>
        </w:rPr>
        <w:t>十三、其他资料（中小微等），</w:t>
      </w:r>
      <w:r>
        <w:rPr>
          <w:rFonts w:hint="eastAsia" w:ascii="仿宋" w:hAnsi="仿宋" w:eastAsia="仿宋" w:cs="仿宋"/>
          <w:color w:val="auto"/>
          <w:sz w:val="24"/>
          <w:szCs w:val="24"/>
        </w:rPr>
        <w:t>采购文件要求和供应商认为应介绍或者提交的资料和文件。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电子版响应文件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电子版响应文件内容为</w:t>
      </w:r>
      <w:r>
        <w:rPr>
          <w:rFonts w:hint="eastAsia" w:ascii="仿宋" w:hAnsi="仿宋" w:eastAsia="仿宋" w:cs="仿宋"/>
          <w:color w:val="auto"/>
          <w:sz w:val="24"/>
          <w:szCs w:val="24"/>
          <w:lang w:eastAsia="zh-CN"/>
        </w:rPr>
        <w:t>纸质版响应文件</w:t>
      </w:r>
      <w:r>
        <w:rPr>
          <w:rFonts w:hint="eastAsia" w:ascii="仿宋" w:hAnsi="仿宋" w:eastAsia="仿宋" w:cs="仿宋"/>
          <w:color w:val="auto"/>
          <w:sz w:val="24"/>
          <w:szCs w:val="24"/>
        </w:rPr>
        <w:t>要求的内容。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电子版响应文件作为响应文件的一部分，均不退回。</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77" w:name="_Toc12297"/>
      <w:bookmarkStart w:id="78" w:name="_Toc464831140"/>
      <w:r>
        <w:rPr>
          <w:rFonts w:hint="eastAsia" w:ascii="仿宋" w:hAnsi="仿宋" w:eastAsia="仿宋" w:cs="仿宋"/>
          <w:color w:val="auto"/>
          <w:sz w:val="24"/>
          <w:szCs w:val="24"/>
        </w:rPr>
        <w:t>12.响应报价</w:t>
      </w:r>
      <w:bookmarkEnd w:id="77"/>
      <w:bookmarkEnd w:id="78"/>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w:t>
      </w:r>
      <w:r>
        <w:rPr>
          <w:rFonts w:hint="eastAsia" w:ascii="仿宋" w:hAnsi="仿宋" w:eastAsia="仿宋" w:cs="仿宋"/>
          <w:color w:val="auto"/>
          <w:sz w:val="24"/>
          <w:szCs w:val="24"/>
          <w:lang w:val="zh-CN" w:eastAsia="zh-CN"/>
        </w:rPr>
        <w:t>响应报价</w:t>
      </w:r>
      <w:r>
        <w:rPr>
          <w:rFonts w:hint="eastAsia" w:ascii="仿宋" w:hAnsi="仿宋" w:eastAsia="仿宋" w:cs="仿宋"/>
          <w:color w:val="auto"/>
          <w:sz w:val="24"/>
          <w:szCs w:val="24"/>
          <w:lang w:val="zh-CN"/>
        </w:rPr>
        <w:t>及费用</w:t>
      </w:r>
      <w:r>
        <w:rPr>
          <w:rFonts w:hint="eastAsia" w:ascii="仿宋" w:hAnsi="仿宋" w:eastAsia="仿宋" w:cs="仿宋"/>
          <w:color w:val="auto"/>
          <w:sz w:val="24"/>
          <w:szCs w:val="24"/>
        </w:rPr>
        <w:t>：见供应商须知前附表。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12.2供应商应对所投包中的</w:t>
      </w:r>
      <w:r>
        <w:rPr>
          <w:rFonts w:hint="eastAsia" w:ascii="仿宋" w:hAnsi="仿宋" w:eastAsia="仿宋" w:cs="仿宋"/>
          <w:color w:val="auto"/>
          <w:sz w:val="24"/>
          <w:szCs w:val="24"/>
          <w:lang w:eastAsia="zh-CN"/>
        </w:rPr>
        <w:t>采购内容</w:t>
      </w:r>
      <w:r>
        <w:rPr>
          <w:rFonts w:hint="eastAsia" w:ascii="仿宋" w:hAnsi="仿宋" w:eastAsia="仿宋" w:cs="仿宋"/>
          <w:color w:val="auto"/>
          <w:sz w:val="24"/>
          <w:szCs w:val="24"/>
        </w:rPr>
        <w:t>进行报价，对每一包</w:t>
      </w:r>
      <w:r>
        <w:rPr>
          <w:rFonts w:hint="eastAsia" w:ascii="仿宋" w:hAnsi="仿宋" w:eastAsia="仿宋" w:cs="仿宋"/>
          <w:color w:val="auto"/>
          <w:sz w:val="24"/>
          <w:szCs w:val="24"/>
          <w:lang w:eastAsia="zh-CN"/>
        </w:rPr>
        <w:t>采购内容</w:t>
      </w:r>
      <w:r>
        <w:rPr>
          <w:rFonts w:hint="eastAsia" w:ascii="仿宋" w:hAnsi="仿宋" w:eastAsia="仿宋" w:cs="仿宋"/>
          <w:color w:val="auto"/>
          <w:sz w:val="24"/>
          <w:szCs w:val="24"/>
        </w:rPr>
        <w:t>的报价必须全部报齐。</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12.3供应商不得以任何方式或者方法提供报价以外的任何附赠条款。</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供应商应按照采购文件中要求的内容填写报价，并由法定代表人或者被授权代表签署。</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供应商须按照附件格式表中的各单项明细逐项填写，以方便</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小组对各响应文件进行比较。</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唱标时，采购代理机构只对按照采购文件要求编制的响应报价进行唱标。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供应商的成交价格在合同执行中是固定不变的，不得以任何理由予以变更，不得出现任何包含价格调整的要求。</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采购人不接受未经中国海关报验放进入中国境内且产自关境外的货物报价。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val="en-GB"/>
        </w:rPr>
        <w:t>未规定可以采购进口产品的，不允许进口产品参加报价。</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79" w:name="_Toc21807"/>
      <w:bookmarkStart w:id="80" w:name="_Toc464831141"/>
      <w:r>
        <w:rPr>
          <w:rFonts w:hint="eastAsia" w:ascii="仿宋" w:hAnsi="仿宋" w:eastAsia="仿宋" w:cs="仿宋"/>
          <w:color w:val="auto"/>
          <w:sz w:val="24"/>
          <w:szCs w:val="24"/>
        </w:rPr>
        <w:t>13.响应文件格式以及编制要求</w:t>
      </w:r>
      <w:bookmarkEnd w:id="79"/>
      <w:bookmarkEnd w:id="80"/>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13.1响应文件编制装订</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.响应文件封面设置包括：响应文件、项目名称、项目编号、供应商全称和响应文件完成时间。供应商全称填写“×××公司”。</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.供应商应按照采购文件的要求编写响应文件，对采购文件要求填写的表格或者资料不得缺少或者留空，响应文件不得加行、涂改、插字或者删除。</w:t>
      </w:r>
    </w:p>
    <w:p>
      <w:pPr>
        <w:pStyle w:val="14"/>
        <w:ind w:left="0" w:leftChars="0" w:firstLine="480" w:firstLineChars="200"/>
        <w:rPr>
          <w:rFonts w:hint="eastAsia" w:ascii="仿宋" w:hAnsi="仿宋" w:eastAsia="仿宋" w:cs="仿宋"/>
          <w:color w:val="auto"/>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.响应文件正文用白色A4复印纸，并编制目录，目录、内容标注连续页码，标注于页面底部居中位置。</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响应文件签署和盖章</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1.采购文件要求供应商法定代表人或者被授权代表签字处，均须本人用黑色签字笔签署（包括姓和名）并加盖单位公章，不得由他人代签。</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2.被授权代表人签字的，响应文件应附法人授权委托书。</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3.“报价函”、“法人授权委托书”和“政府采购诚信承诺书”必须由法定代表人签署。</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lang w:val="zh-CN"/>
        </w:rPr>
      </w:pPr>
      <w:r>
        <w:rPr>
          <w:rFonts w:hint="eastAsia" w:ascii="仿宋" w:hAnsi="仿宋" w:eastAsia="仿宋" w:cs="仿宋"/>
          <w:color w:val="auto"/>
          <w:sz w:val="24"/>
          <w:szCs w:val="24"/>
          <w:lang w:val="zh-CN"/>
        </w:rPr>
        <w:t>4. 供应商在响应文件以及相关书面文件中的单位盖章（包括印章、公章等）均指与供应商名称全称相一致的标准公章，不得使用其他形式（如带有“专用章”、“合同章”、“财务章”、“业务章”等）的印章，如正本中含有合同，须加盖骑缝章。</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供应商可对</w:t>
      </w:r>
      <w:r>
        <w:rPr>
          <w:rFonts w:hint="eastAsia" w:ascii="仿宋" w:hAnsi="仿宋" w:eastAsia="仿宋" w:cs="仿宋"/>
          <w:color w:val="auto"/>
          <w:sz w:val="24"/>
          <w:szCs w:val="24"/>
          <w:lang w:eastAsia="zh-CN"/>
        </w:rPr>
        <w:t>供货</w:t>
      </w:r>
      <w:r>
        <w:rPr>
          <w:rFonts w:hint="eastAsia" w:ascii="仿宋" w:hAnsi="仿宋" w:eastAsia="仿宋" w:cs="仿宋"/>
          <w:color w:val="auto"/>
          <w:sz w:val="24"/>
          <w:szCs w:val="24"/>
        </w:rPr>
        <w:t>现场以及其范围环境进行考察，以获取有关编制响应文件和签署实施合同所需的各项资料，供应商应承担现场考察的费用、责任和风险。</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响应文件份数及要求</w:t>
      </w:r>
    </w:p>
    <w:p>
      <w:pPr>
        <w:pStyle w:val="25"/>
        <w:keepNext w:val="0"/>
        <w:keepLines w:val="0"/>
        <w:pageBreakBefore w:val="0"/>
        <w:kinsoku/>
        <w:wordWrap/>
        <w:overflowPunct/>
        <w:topLinePunct w:val="0"/>
        <w:bidi w:val="0"/>
        <w:snapToGrid/>
        <w:spacing w:after="0" w:line="240" w:lineRule="auto"/>
        <w:ind w:left="0" w:leftChars="0" w:right="0" w:firstLine="480" w:firstLineChars="200"/>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1.响应文件正本壹份，副本叁份。正本和副本的封面上应当清楚地标记“正本”或者“副本”字样；正本和副本不一致时，以正本为准。</w:t>
      </w:r>
    </w:p>
    <w:p>
      <w:pPr>
        <w:pStyle w:val="25"/>
        <w:keepNext w:val="0"/>
        <w:keepLines w:val="0"/>
        <w:pageBreakBefore w:val="0"/>
        <w:kinsoku/>
        <w:wordWrap/>
        <w:overflowPunct/>
        <w:topLinePunct w:val="0"/>
        <w:bidi w:val="0"/>
        <w:snapToGrid/>
        <w:spacing w:after="0" w:line="240" w:lineRule="auto"/>
        <w:ind w:left="0" w:leftChars="0" w:right="0" w:firstLine="480" w:firstLineChars="200"/>
        <w:rPr>
          <w:rFonts w:hint="eastAsia" w:ascii="仿宋" w:hAnsi="仿宋" w:eastAsia="仿宋" w:cs="仿宋"/>
          <w:color w:val="auto"/>
          <w:sz w:val="24"/>
          <w:szCs w:val="24"/>
          <w:lang w:val="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kern w:val="2"/>
          <w:sz w:val="24"/>
          <w:szCs w:val="24"/>
          <w:lang w:val="zh-CN" w:eastAsia="zh-CN" w:bidi="ar-SA"/>
        </w:rPr>
        <w:t>.电子版响应文件壹套：内容与纸质响应文件正本一致，介质：肆份“U”盘和肆张光盘（必须为可打开、可复制、可复制数据中不能出现“#REF!”字样）。</w:t>
      </w:r>
      <w:bookmarkStart w:id="81" w:name="_Toc5619"/>
      <w:bookmarkStart w:id="82" w:name="_Toc464831143"/>
    </w:p>
    <w:p>
      <w:pPr>
        <w:pStyle w:val="25"/>
        <w:keepNext w:val="0"/>
        <w:keepLines w:val="0"/>
        <w:pageBreakBefore w:val="0"/>
        <w:kinsoku/>
        <w:wordWrap/>
        <w:overflowPunct/>
        <w:topLinePunct w:val="0"/>
        <w:bidi w:val="0"/>
        <w:snapToGrid/>
        <w:spacing w:after="0" w:line="240" w:lineRule="auto"/>
        <w:ind w:left="0" w:leftChars="0" w:right="0" w:firstLine="480" w:firstLineChars="200"/>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15.响应文件的递交</w:t>
      </w:r>
      <w:bookmarkEnd w:id="81"/>
      <w:bookmarkEnd w:id="82"/>
    </w:p>
    <w:p>
      <w:pPr>
        <w:pStyle w:val="25"/>
        <w:keepNext w:val="0"/>
        <w:keepLines w:val="0"/>
        <w:pageBreakBefore w:val="0"/>
        <w:kinsoku/>
        <w:wordWrap/>
        <w:overflowPunct/>
        <w:topLinePunct w:val="0"/>
        <w:bidi w:val="0"/>
        <w:snapToGrid/>
        <w:spacing w:after="0" w:line="240" w:lineRule="auto"/>
        <w:ind w:left="0" w:leftChars="0" w:right="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实行电子招投标，供应商需要使用CA锁，在新疆政府采购网--下载专区下载--供应商客户端制作响应文件，并生成JMBS格式加密文件，在响应截止前上传至政府采购云平台，响应截止时间以后上传递交的响应文件将被“政府采购云平台”拒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15.1供应商应在报价截止时间前递交响应文件。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15.2供应商递交响应文件的时间、地点和要求：见供应商须知前附表。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15.3</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中违反国家有关法律法规的强制性规定的，其</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按未满足</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实质性要求处理。</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83" w:name="_Toc464831144"/>
      <w:bookmarkStart w:id="84" w:name="_Toc6740"/>
      <w:r>
        <w:rPr>
          <w:rFonts w:hint="eastAsia" w:ascii="仿宋" w:hAnsi="仿宋" w:eastAsia="仿宋" w:cs="仿宋"/>
          <w:color w:val="auto"/>
          <w:sz w:val="24"/>
          <w:szCs w:val="24"/>
        </w:rPr>
        <w:t>16.响应文件的修改与撤回</w:t>
      </w:r>
      <w:bookmarkEnd w:id="83"/>
      <w:bookmarkEnd w:id="84"/>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16.1供应商在采购文件要求提交响应文件截止时间前，可以补充、修改、替代或者撤回已提交的响应文件，并书面形式通知采购人或者采购代理机构。补充、修改的内容为响应文件的组成部分。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16.2供应商对响应文件的补充、修改，应按照本采购文件有关规定进行编制、标记、盖章和递交。</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16.3在提交响应文件截止时间后到采购文件规定的报价有效期终止之前，在采购文件没有变动的情况下，供应商不得补充、修改、替代或者撤回其响应文件。</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85" w:name="_Toc464831149"/>
      <w:bookmarkStart w:id="86" w:name="_Toc16131"/>
      <w:bookmarkStart w:id="87" w:name="_Toc464831146"/>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开标、</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、成交</w:t>
      </w:r>
      <w:bookmarkEnd w:id="85"/>
      <w:bookmarkEnd w:id="86"/>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US" w:eastAsia="zh-CN"/>
        </w:rPr>
      </w:pPr>
      <w:bookmarkStart w:id="88" w:name="_Toc464831151"/>
      <w:r>
        <w:rPr>
          <w:rFonts w:hint="eastAsia" w:ascii="仿宋" w:hAnsi="仿宋" w:eastAsia="仿宋" w:cs="仿宋"/>
          <w:color w:val="auto"/>
          <w:sz w:val="24"/>
          <w:szCs w:val="24"/>
          <w:lang w:val="en-US" w:eastAsia="zh-CN"/>
        </w:rPr>
        <w:t>17.1  开标程序</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17.2  除非采购代理机构另外书面通知，本标将按本采购文件《供应商须知前附表》中规定的时间和地点开标。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17.2  开标时，采购人、监督部门、公证部门的工作人员将对开标会议到场监督。</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17.2  开标时，供应商完成在线解密后，由工作人员开始唱标。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17.2  唱标完毕后，如果供应商对所唱内容有异议，应当场立即提出。经现场监标人员确认，认为有必要重新唱标的，由唱标员重新唱标。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17.2  所有唱标均记录在案，并经监标人员或公证人员的签字，作为各供应商响应文件的组成部分。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17.2  供应商代表对开标过程和开标记录有疑义，以及认为采购人、采购代理机构相关工作人员有需要回避的情形的，应当场提出询问或者回避申请。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17.2  供应商未参加开标的，视同认可开标结果。</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17.3 </w:t>
      </w:r>
      <w:r>
        <w:rPr>
          <w:rFonts w:hint="eastAsia" w:ascii="仿宋" w:hAnsi="仿宋" w:eastAsia="仿宋" w:cs="仿宋"/>
          <w:color w:val="auto"/>
          <w:sz w:val="24"/>
          <w:szCs w:val="24"/>
        </w:rPr>
        <w:t>开标</w:t>
      </w:r>
      <w:bookmarkEnd w:id="88"/>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17.3</w:t>
      </w:r>
      <w:r>
        <w:rPr>
          <w:rFonts w:hint="eastAsia" w:ascii="仿宋" w:hAnsi="仿宋" w:eastAsia="仿宋" w:cs="仿宋"/>
          <w:color w:val="auto"/>
          <w:sz w:val="24"/>
          <w:szCs w:val="24"/>
        </w:rPr>
        <w:t>.1开标应当在采购文件确定的提交响应文件截止时间的同一时间公开进行；采购代理机构按照本采购文件规定的时间和地点组织召开开标会议。届时请供应商法定代表人或者被授权代表参加，参加开标会议的代表应签名报到。</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由采购代理机构工作人员唱标。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唱标人当众宣读供应商名称、响应报价、采购文件允许提供的备选报价方案和响应文件的其他主要内容，并不得拒绝任何符合要求的响应报价。供应商若有报价和优惠未被唱出，应在开标时及时声明或者提出，否则采购代理机构对此不承担任何责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开标和唱标由采购代理机构指定专人负责，开标记录由供应商法定代表人或者被授权代表、采购人代表、记录人等有关人员签字确认，采购代理机构负责存档备查。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供应商对开标有异议的，应当在开标现场以书面形式提出，采购人或者采购代理机构应当场给予答复，并制作记录，供应商法定代表人或者被授权代表、采购人代表、采购代理机构（包括公证机构人员）签字确认。</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bookmarkStart w:id="89" w:name="_Toc464831152"/>
      <w:r>
        <w:rPr>
          <w:rFonts w:hint="eastAsia" w:ascii="仿宋" w:hAnsi="仿宋" w:eastAsia="仿宋" w:cs="仿宋"/>
          <w:color w:val="auto"/>
          <w:sz w:val="24"/>
          <w:szCs w:val="24"/>
          <w:lang w:val="en-US" w:eastAsia="zh-CN"/>
        </w:rPr>
        <w:t>17.4</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w:t>
      </w:r>
      <w:bookmarkEnd w:id="89"/>
    </w:p>
    <w:p>
      <w:pPr>
        <w:keepNext w:val="0"/>
        <w:keepLines w:val="0"/>
        <w:pageBreakBefore w:val="0"/>
        <w:kinsoku/>
        <w:wordWrap/>
        <w:overflowPunct/>
        <w:topLinePunct w:val="0"/>
        <w:bidi w:val="0"/>
        <w:snapToGrid/>
        <w:spacing w:line="240" w:lineRule="auto"/>
        <w:ind w:right="0" w:firstLine="480" w:firstLineChars="200"/>
        <w:rPr>
          <w:rFonts w:hint="default"/>
          <w:color w:val="auto"/>
          <w:lang w:val="en-US" w:eastAsia="zh-CN"/>
        </w:rPr>
      </w:pPr>
      <w:r>
        <w:rPr>
          <w:rFonts w:hint="eastAsia" w:ascii="仿宋" w:hAnsi="仿宋" w:eastAsia="仿宋" w:cs="仿宋"/>
          <w:color w:val="auto"/>
          <w:sz w:val="24"/>
          <w:szCs w:val="24"/>
          <w:lang w:val="en-US" w:eastAsia="zh-CN"/>
        </w:rPr>
        <w:t>17.3.1 磋商小组所有成员应当集中与单一供应商分别进行在线磋商，并给予所有参加磋商的供应商平等的磋商机会。</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小组的组成</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rPr>
      </w:pPr>
      <w:r>
        <w:rPr>
          <w:rFonts w:hint="eastAsia" w:ascii="仿宋" w:hAnsi="仿宋" w:eastAsia="仿宋" w:cs="仿宋"/>
          <w:color w:val="auto"/>
          <w:sz w:val="24"/>
          <w:szCs w:val="24"/>
        </w:rPr>
        <w:t>采购人按照《中华人民共和国政府采购法》以及有关规定组建</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由依法组建的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小组负责。</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小组由采购人代表和评审专家共同组成，成员人数为三人以及以上单数，其中采购人代表只限一人，技术、经济等方面的评审专家不得少于成员总数的三分之二。</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3.2评审专家的抽取</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3.2.1采用随机抽取方式从政府采购监管部门依法设立的专家库中确定</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小组成员。任何单位和个人都不得指定评审专家或干预评审专家的抽取工作。</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3.2.2参加评审专家抽取的有关人员对被抽取的专家的姓名、单位和联系方式等内容负有保密的义务。</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小组成员的名单在评审结果确定前必须严格保密。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3.3</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小组成员不得参加与自己有利害关系的评审活动，与自己有利害关系的应当回避，已经进入的必须更换。</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3.4</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小组负责对各响应文件进行评审、比较、评定，并按本采购文件的规定确定成交供应商或者推荐</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候选人。</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3.5</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小组具有依据采购文件进行独立评审的权力，且不受外界任何因素的干扰。</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小组成员必须独立、负责地提出评审意见，并对自己的评审意见承担责任。对评审结果有不同意见的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小组成员应当以书面形式说明其不同意见和理由，评审报告应当注明不同意见。评审委员会成员拒绝评审或者拒绝在评审报告上签字并且又不书面说明其不同意见和理由的，视为同意评审结果。</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3.6</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小组的职责：</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3.6.1审查响应文件是否符合采购文件要求；</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3.6.2要求供应商对响应文件有关事项做出解释或者澄清；</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3.6.3推荐</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候选人名单，或者受采购人委托按照事先确定的办法直接确定成交供应商；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3.6.4向采购人、采购代理机构或者有关部门报告非法干预评审工作的行为。</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3.6.5对围、串标等违法违规行为作出认定。</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3.7</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小组的义务：</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3.7.1遵纪守法，客观、公正、廉洁地履行职责；</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3.7.2提出真实、可靠的评审意见；</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3.7.3严格遵守评审纪律，不得向外界泄露评审情况；</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3.7.4发现供应商在招报价活动中有不正当竞争或者恶意串通等违规行为，应及时向监督部门报告并加以制止；</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3.7.5按照采购文件规定的评审方法和评审标准进行评审，对评审意见承担个人责任；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3.7.6编写评审报告；</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3.7.7配合采购人或者采购代理机构答复供应商提出的质疑；</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3.7.8对评审过程和结果，以及采购人、供应商的商业秘密保密；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3.7.9配合监管部门处理投诉；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3.8</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小组成员有下列情形之一的，应当回避：</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3.8.1供应商或者供应商主要负责人的近亲属；</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3.8.2项目主管部门或者行政监督部门的人员；</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3.8.3与供应商有经济利益关系；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3.8.4曾因在采购、评审以及其他与政府采购有关系活动中从事违法行为而受到行政处罚或者刑事处罚的；</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3.8.5与供应商有其他利害关系。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bookmarkStart w:id="90" w:name="_Toc464831153"/>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4评审程序</w:t>
      </w:r>
      <w:bookmarkEnd w:id="90"/>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4.1宣布评审纪律以及回避提示；</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4.2组织推荐</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小组组长；</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4.3资格性审查；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4.4</w:t>
      </w:r>
      <w:r>
        <w:rPr>
          <w:rFonts w:hint="eastAsia" w:ascii="仿宋" w:hAnsi="仿宋" w:eastAsia="仿宋" w:cs="仿宋"/>
          <w:color w:val="auto"/>
          <w:sz w:val="24"/>
          <w:szCs w:val="24"/>
          <w:lang w:eastAsia="zh-CN"/>
        </w:rPr>
        <w:t>形式</w:t>
      </w:r>
      <w:r>
        <w:rPr>
          <w:rFonts w:hint="eastAsia" w:ascii="仿宋" w:hAnsi="仿宋" w:eastAsia="仿宋" w:cs="仿宋"/>
          <w:color w:val="auto"/>
          <w:sz w:val="24"/>
          <w:szCs w:val="24"/>
        </w:rPr>
        <w:t>性审查；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4.5技术评审；</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4.6澄清有关问题；</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4.7</w:t>
      </w:r>
      <w:r>
        <w:rPr>
          <w:rFonts w:hint="eastAsia" w:ascii="仿宋" w:hAnsi="仿宋" w:eastAsia="仿宋" w:cs="仿宋"/>
          <w:color w:val="auto"/>
          <w:sz w:val="24"/>
          <w:szCs w:val="24"/>
          <w:lang w:eastAsia="zh-CN"/>
        </w:rPr>
        <w:t>磋商、最后报价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4.8确定成交供应商或者推荐成交候选人名单；</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4.9编写评审报告；</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4.10宣布评审</w:t>
      </w:r>
      <w:r>
        <w:rPr>
          <w:rFonts w:hint="eastAsia" w:ascii="仿宋" w:hAnsi="仿宋" w:eastAsia="仿宋" w:cs="仿宋"/>
          <w:color w:val="auto"/>
          <w:sz w:val="24"/>
          <w:szCs w:val="24"/>
          <w:lang w:eastAsia="zh-CN"/>
        </w:rPr>
        <w:t>结果</w:t>
      </w:r>
      <w:r>
        <w:rPr>
          <w:rFonts w:hint="eastAsia" w:ascii="仿宋" w:hAnsi="仿宋" w:eastAsia="仿宋" w:cs="仿宋"/>
          <w:color w:val="auto"/>
          <w:sz w:val="24"/>
          <w:szCs w:val="24"/>
        </w:rPr>
        <w:t>。</w:t>
      </w:r>
    </w:p>
    <w:p>
      <w:pPr>
        <w:keepNext w:val="0"/>
        <w:keepLines w:val="0"/>
        <w:pageBreakBefore w:val="0"/>
        <w:kinsoku/>
        <w:wordWrap/>
        <w:overflowPunct/>
        <w:topLinePunct w:val="0"/>
        <w:bidi w:val="0"/>
        <w:snapToGrid/>
        <w:spacing w:line="240" w:lineRule="auto"/>
        <w:ind w:right="0" w:firstLine="480" w:firstLineChars="200"/>
        <w:outlineLvl w:val="9"/>
        <w:rPr>
          <w:rFonts w:hint="eastAsia" w:ascii="仿宋" w:hAnsi="仿宋" w:eastAsia="仿宋" w:cs="仿宋"/>
          <w:color w:val="auto"/>
          <w:sz w:val="28"/>
          <w:szCs w:val="28"/>
        </w:rPr>
      </w:pPr>
      <w:bookmarkStart w:id="91" w:name="_Toc464831154"/>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5评审</w:t>
      </w:r>
      <w:bookmarkEnd w:id="91"/>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形式</w:t>
      </w:r>
      <w:r>
        <w:rPr>
          <w:rFonts w:hint="eastAsia" w:ascii="仿宋" w:hAnsi="仿宋" w:eastAsia="仿宋" w:cs="仿宋"/>
          <w:color w:val="auto"/>
          <w:sz w:val="24"/>
          <w:szCs w:val="24"/>
        </w:rPr>
        <w:t>性审查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小组依据采购文件的规定，从响应文件的有效性、完整性和对采购文件的响应程度进行审查，以确定是否对采购文件的实质性要求作出响应。</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bookmarkStart w:id="92" w:name="_Toc464831155"/>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技术评审</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lang w:val="en-GB"/>
        </w:rPr>
        <w:t>按照采购文件要求，审查报价供应商所投货物和服务的规格、质量、数量及服务要求等技术要求和参数，并记录实质性响应、技术偏离等事项，进行技术部分的</w:t>
      </w:r>
      <w:r>
        <w:rPr>
          <w:rFonts w:hint="eastAsia" w:ascii="仿宋" w:hAnsi="仿宋" w:eastAsia="仿宋" w:cs="仿宋"/>
          <w:color w:val="auto"/>
          <w:sz w:val="24"/>
          <w:szCs w:val="24"/>
          <w:lang w:val="en-GB" w:eastAsia="zh-CN"/>
        </w:rPr>
        <w:t>形式性</w:t>
      </w:r>
      <w:r>
        <w:rPr>
          <w:rFonts w:hint="eastAsia" w:ascii="仿宋" w:hAnsi="仿宋" w:eastAsia="仿宋" w:cs="仿宋"/>
          <w:color w:val="auto"/>
          <w:sz w:val="24"/>
          <w:szCs w:val="24"/>
          <w:lang w:val="en-GB"/>
        </w:rPr>
        <w:t>审查。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GB"/>
        </w:rPr>
        <w:t>对技术复杂或性质特殊、响应文件技术或指标不一致的，</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lang w:val="en-GB"/>
        </w:rPr>
        <w:t>小组应根据采购文件以及各响应文件情况，在确保采购需求、质量和服务相等的前提下，按同等或者略高于采购文件标准确定统一</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lang w:val="en-GB"/>
        </w:rPr>
        <w:t>技术指标（包括强制性标准和行业标准），</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lang w:val="en-GB"/>
        </w:rPr>
        <w:t>现场形成书面技术要求并经</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lang w:val="en-GB"/>
        </w:rPr>
        <w:t>小组全体成员签字确认，该标准是评审报告的组成部分，</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lang w:val="en-GB"/>
        </w:rPr>
        <w:t>技术指标经所有参与</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lang w:val="en-GB"/>
        </w:rPr>
        <w:t>供应商书面承诺后方可进行</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lang w:val="en-GB"/>
        </w:rPr>
        <w:t>。</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6澄清有关问题</w:t>
      </w:r>
      <w:bookmarkEnd w:id="92"/>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6.1对响应文件中含义不明确、同类问题表述不一致或者有明显文字和计算错误的内容，</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应以书面形式要求供应商做出必要的澄清、承诺、说明或者纠正。供应商的澄清、承诺、说明或者纠正应采取书面形式，由法定代表人或者被授权代表签字，并不得超出响应文件的范围或者改变响应文件的实质性内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6.2</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小组判断响应文件的响应性仅基于响应文件本身而不靠外部因素。未响应实质性条款的，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小组有权确定其响应无效，供应商不能通过修正、撤销或者澄清不符之处而使其报价成为实质性响应的报价。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6.3</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小组可以允许供应商修改或者澄清其响应文件中不构成实质偏离的、微小的、非正规的不一致或者不规则的地方。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eastAsia="zh-CN"/>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val="en-GB"/>
        </w:rPr>
        <w:t>7</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rPr>
        <w:t>、最后报价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eastAsia="zh-CN"/>
        </w:rPr>
      </w:pPr>
      <w:r>
        <w:rPr>
          <w:rFonts w:hint="eastAsia" w:ascii="仿宋" w:hAnsi="仿宋" w:eastAsia="仿宋" w:cs="仿宋"/>
          <w:color w:val="auto"/>
          <w:sz w:val="24"/>
          <w:szCs w:val="24"/>
          <w:lang w:val="en-GB" w:eastAsia="zh-CN"/>
        </w:rPr>
        <w:t>17.7.1磋商前，磋商小组应核实供应商对统一磋商技术标准（包括强制性标准和行业标准）等是否全部承诺或者确认。</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eastAsia="zh-CN"/>
        </w:rPr>
        <w:t>17.7.2磋商</w:t>
      </w:r>
      <w:r>
        <w:rPr>
          <w:rFonts w:hint="eastAsia" w:ascii="仿宋" w:hAnsi="仿宋" w:eastAsia="仿宋" w:cs="仿宋"/>
          <w:color w:val="auto"/>
          <w:sz w:val="24"/>
          <w:szCs w:val="24"/>
          <w:lang w:val="en-GB"/>
        </w:rPr>
        <w:t>小组所有成员集中与单一供应商</w:t>
      </w:r>
      <w:r>
        <w:rPr>
          <w:rFonts w:hint="eastAsia" w:ascii="仿宋" w:hAnsi="仿宋" w:eastAsia="仿宋" w:cs="仿宋"/>
          <w:color w:val="auto"/>
          <w:sz w:val="24"/>
          <w:szCs w:val="24"/>
          <w:lang w:val="en-GB" w:eastAsia="zh-CN"/>
        </w:rPr>
        <w:t>按照递交响应文件顺序的逆序</w:t>
      </w:r>
      <w:r>
        <w:rPr>
          <w:rFonts w:hint="eastAsia" w:ascii="仿宋" w:hAnsi="仿宋" w:eastAsia="仿宋" w:cs="仿宋"/>
          <w:color w:val="auto"/>
          <w:sz w:val="24"/>
          <w:szCs w:val="24"/>
          <w:lang w:val="en-GB"/>
        </w:rPr>
        <w:t>进行</w:t>
      </w:r>
      <w:r>
        <w:rPr>
          <w:rFonts w:hint="eastAsia" w:ascii="仿宋" w:hAnsi="仿宋" w:eastAsia="仿宋" w:cs="仿宋"/>
          <w:color w:val="auto"/>
          <w:sz w:val="24"/>
          <w:szCs w:val="24"/>
          <w:lang w:val="en-GB" w:eastAsia="zh-CN"/>
        </w:rPr>
        <w:t>在线磋商</w:t>
      </w:r>
      <w:r>
        <w:rPr>
          <w:rFonts w:hint="eastAsia" w:ascii="仿宋" w:hAnsi="仿宋" w:eastAsia="仿宋" w:cs="仿宋"/>
          <w:color w:val="auto"/>
          <w:sz w:val="24"/>
          <w:szCs w:val="24"/>
          <w:lang w:val="en-GB"/>
        </w:rPr>
        <w:t>。在</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lang w:val="en-GB"/>
        </w:rPr>
        <w:t>中，</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lang w:val="en-GB"/>
        </w:rPr>
        <w:t>的任何一方不得透露与</w:t>
      </w:r>
      <w:r>
        <w:rPr>
          <w:rFonts w:hint="eastAsia" w:ascii="仿宋" w:hAnsi="仿宋" w:eastAsia="仿宋" w:cs="仿宋"/>
          <w:color w:val="auto"/>
          <w:sz w:val="24"/>
          <w:szCs w:val="24"/>
          <w:lang w:val="en-GB" w:eastAsia="zh-CN"/>
        </w:rPr>
        <w:t>磋商</w:t>
      </w:r>
      <w:r>
        <w:rPr>
          <w:rFonts w:hint="eastAsia" w:ascii="仿宋" w:hAnsi="仿宋" w:eastAsia="仿宋" w:cs="仿宋"/>
          <w:color w:val="auto"/>
          <w:sz w:val="24"/>
          <w:szCs w:val="24"/>
          <w:lang w:val="en-GB"/>
        </w:rPr>
        <w:t>有关的其他供应商的技术资料、价格和其他信息。</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（1）第一种情况</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GB"/>
        </w:rPr>
        <w:t>磋商文件能够详细列明采购标的的技术、服务要求的，磋商结束后，磋商小组将要求所有实质性响应的供应商在规定时间内提交最后报价。最后报价是供应商响应文件的有效组成部分。提交最后报价的供应商不得少于3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（2）第二种情况</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本次项目采用第一种情况进行</w:t>
      </w:r>
      <w:r>
        <w:rPr>
          <w:rFonts w:hint="eastAsia" w:ascii="仿宋" w:hAnsi="仿宋" w:eastAsia="仿宋" w:cs="仿宋"/>
          <w:color w:val="auto"/>
          <w:sz w:val="24"/>
          <w:szCs w:val="24"/>
          <w:lang w:val="en-GB" w:eastAsia="zh-CN"/>
        </w:rPr>
        <w:t>在线</w:t>
      </w:r>
      <w:r>
        <w:rPr>
          <w:rFonts w:hint="eastAsia" w:ascii="仿宋" w:hAnsi="仿宋" w:eastAsia="仿宋" w:cs="仿宋"/>
          <w:color w:val="auto"/>
          <w:sz w:val="24"/>
          <w:szCs w:val="24"/>
          <w:lang w:val="en-GB"/>
        </w:rPr>
        <w:t>磋商。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7.3</w:t>
      </w:r>
      <w:r>
        <w:rPr>
          <w:rFonts w:hint="eastAsia" w:ascii="仿宋" w:hAnsi="仿宋" w:eastAsia="仿宋" w:cs="仿宋"/>
          <w:color w:val="auto"/>
          <w:sz w:val="24"/>
          <w:szCs w:val="24"/>
          <w:lang w:val="en-GB"/>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szCs w:val="24"/>
          <w:lang w:val="en-GB"/>
        </w:rPr>
        <w:t>已提交响应文件的供应商，在提交最后报价之前，可以根据磋商情况退出磋商。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szCs w:val="24"/>
          <w:lang w:val="zh-CN"/>
        </w:rPr>
        <w:t>经磋商确定最终采购需求和提交最后报价的供应商后，由磋商小组采用综合评分法对提交最后报价的供应商的响应文件和最后报价进行综合评分。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val="en-GB"/>
        </w:rPr>
        <w:t>8</w:t>
      </w:r>
      <w:r>
        <w:rPr>
          <w:rFonts w:hint="eastAsia" w:ascii="仿宋" w:hAnsi="仿宋" w:eastAsia="仿宋" w:cs="仿宋"/>
          <w:color w:val="auto"/>
          <w:sz w:val="24"/>
          <w:szCs w:val="24"/>
          <w:lang w:val="zh-CN"/>
        </w:rPr>
        <w:t>综合评审</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val="en-GB"/>
        </w:rPr>
        <w:t>8.1评审方法：综合评分法，是指响应文件满足磋商文件全部实质性要求且按评审因素的量化指标评审得分最高的供应商为成交候选供应商的评审方法。</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val="en-GB"/>
        </w:rPr>
        <w:t>8.</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GB"/>
        </w:rPr>
        <w:t>磋商小组依据磋商文件及供应商的响应文件和</w:t>
      </w:r>
      <w:r>
        <w:rPr>
          <w:rFonts w:hint="eastAsia" w:ascii="仿宋" w:hAnsi="仿宋" w:eastAsia="仿宋" w:cs="仿宋"/>
          <w:color w:val="auto"/>
          <w:sz w:val="24"/>
          <w:szCs w:val="24"/>
          <w:lang w:val="zh-CN"/>
        </w:rPr>
        <w:t>最后报价</w:t>
      </w:r>
      <w:r>
        <w:rPr>
          <w:rFonts w:hint="eastAsia" w:ascii="仿宋" w:hAnsi="仿宋" w:eastAsia="仿宋" w:cs="仿宋"/>
          <w:color w:val="auto"/>
          <w:sz w:val="24"/>
          <w:szCs w:val="24"/>
          <w:lang w:val="en-GB"/>
        </w:rPr>
        <w:t>，对响应文件的商务和技术部分进行进一步的比较和评价。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eastAsia="zh-CN"/>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val="en-GB"/>
        </w:rPr>
        <w:t>8.</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GB"/>
        </w:rPr>
        <w:t>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r>
        <w:rPr>
          <w:rFonts w:hint="eastAsia" w:ascii="仿宋" w:hAnsi="仿宋" w:eastAsia="仿宋" w:cs="仿宋"/>
          <w:color w:val="auto"/>
          <w:sz w:val="24"/>
          <w:szCs w:val="24"/>
          <w:lang w:val="en-GB" w:eastAsia="zh-CN"/>
        </w:rPr>
        <w:t>（最低报价不作为评审的唯一依据。采购人不承诺将合同授予报价最低的供应商）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lang w:val="en-GB"/>
        </w:rPr>
      </w:pPr>
      <w:bookmarkStart w:id="93" w:name="_Toc464831157"/>
      <w:r>
        <w:rPr>
          <w:rFonts w:hint="eastAsia" w:ascii="仿宋" w:hAnsi="仿宋" w:eastAsia="仿宋" w:cs="仿宋"/>
          <w:color w:val="auto"/>
          <w:sz w:val="24"/>
          <w:szCs w:val="24"/>
          <w:lang w:val="en-US" w:eastAsia="zh-CN"/>
        </w:rPr>
        <w:t>17.9</w:t>
      </w:r>
      <w:r>
        <w:rPr>
          <w:rFonts w:hint="eastAsia" w:ascii="仿宋" w:hAnsi="仿宋" w:eastAsia="仿宋" w:cs="仿宋"/>
          <w:color w:val="auto"/>
          <w:sz w:val="24"/>
          <w:szCs w:val="24"/>
          <w:lang w:val="en-GB"/>
        </w:rPr>
        <w:t>成交</w:t>
      </w:r>
      <w:bookmarkEnd w:id="93"/>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lang w:val="en-US" w:eastAsia="zh-CN"/>
        </w:rPr>
        <w:t>17.9.1</w:t>
      </w:r>
      <w:r>
        <w:rPr>
          <w:rFonts w:hint="eastAsia" w:ascii="仿宋" w:hAnsi="仿宋" w:eastAsia="仿宋" w:cs="仿宋"/>
          <w:color w:val="auto"/>
          <w:sz w:val="24"/>
          <w:szCs w:val="24"/>
          <w:lang w:val="en-GB"/>
        </w:rPr>
        <w:t>对经比较和评价符合磋商文件要求的供应商，按照综合评审得分由高到低顺序推荐成交候选供应商</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GB"/>
        </w:rPr>
        <w:t>并确定排名第一的</w:t>
      </w:r>
      <w:r>
        <w:rPr>
          <w:rFonts w:hint="eastAsia" w:ascii="仿宋" w:hAnsi="仿宋" w:eastAsia="仿宋" w:cs="仿宋"/>
          <w:color w:val="auto"/>
          <w:sz w:val="24"/>
          <w:szCs w:val="24"/>
          <w:lang w:val="zh-CN"/>
        </w:rPr>
        <w:t>成交候选</w:t>
      </w:r>
      <w:r>
        <w:rPr>
          <w:rFonts w:hint="eastAsia" w:ascii="仿宋" w:hAnsi="仿宋" w:eastAsia="仿宋" w:cs="仿宋"/>
          <w:color w:val="auto"/>
          <w:sz w:val="24"/>
          <w:szCs w:val="24"/>
          <w:lang w:val="en-GB"/>
        </w:rPr>
        <w:t>供应商为成交供应商</w:t>
      </w:r>
      <w:r>
        <w:rPr>
          <w:rFonts w:hint="eastAsia" w:ascii="仿宋" w:hAnsi="仿宋" w:eastAsia="仿宋" w:cs="仿宋"/>
          <w:color w:val="auto"/>
          <w:sz w:val="24"/>
          <w:szCs w:val="24"/>
          <w:lang w:val="zh-CN"/>
        </w:rPr>
        <w:t>。如报价</w:t>
      </w:r>
      <w:r>
        <w:rPr>
          <w:rFonts w:hint="eastAsia" w:ascii="仿宋" w:hAnsi="仿宋" w:eastAsia="仿宋" w:cs="仿宋"/>
          <w:color w:val="auto"/>
          <w:sz w:val="24"/>
          <w:szCs w:val="24"/>
          <w:lang w:val="en-GB"/>
        </w:rPr>
        <w:t>相同，由磋商小组按技术指标、实力等综合因素优劣排列。</w:t>
      </w:r>
    </w:p>
    <w:p>
      <w:pPr>
        <w:keepNext w:val="0"/>
        <w:keepLines w:val="0"/>
        <w:pageBreakBefore w:val="0"/>
        <w:kinsoku/>
        <w:wordWrap/>
        <w:overflowPunct/>
        <w:topLinePunct w:val="0"/>
        <w:bidi w:val="0"/>
        <w:snapToGrid/>
        <w:spacing w:line="240" w:lineRule="auto"/>
        <w:ind w:right="0" w:firstLine="482"/>
        <w:rPr>
          <w:rFonts w:hint="eastAsia" w:ascii="仿宋" w:hAnsi="仿宋" w:eastAsia="仿宋" w:cs="仿宋"/>
          <w:color w:val="auto"/>
          <w:sz w:val="24"/>
          <w:lang w:val="zh-CN"/>
        </w:rPr>
      </w:pPr>
      <w:r>
        <w:rPr>
          <w:rFonts w:hint="eastAsia" w:ascii="仿宋" w:hAnsi="仿宋" w:eastAsia="仿宋" w:cs="仿宋"/>
          <w:color w:val="auto"/>
          <w:sz w:val="24"/>
          <w:szCs w:val="24"/>
          <w:lang w:val="en-US" w:eastAsia="zh-CN"/>
        </w:rPr>
        <w:t>17.9.2</w:t>
      </w:r>
      <w:r>
        <w:rPr>
          <w:rFonts w:hint="eastAsia" w:ascii="仿宋" w:hAnsi="仿宋" w:eastAsia="仿宋" w:cs="仿宋"/>
          <w:color w:val="auto"/>
          <w:sz w:val="24"/>
          <w:lang w:val="zh-CN"/>
        </w:rPr>
        <w:t>按照有关规定成交供应商因不可抗力或者自身原因不能履行政府采购合同的须顺延排序第二的供应商成交的，或者采购人推荐排序第二的供应商成交的，报经监督部门核准后可以确定排序第二的供应商成交，其成交价格由第二供应商、监督部门及采购人三方协定。否则应予废标，由采购人依法重新组织采购。</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lang w:val="en-GB"/>
        </w:rPr>
        <w:t>8.5</w:t>
      </w:r>
      <w:r>
        <w:rPr>
          <w:rFonts w:hint="eastAsia" w:ascii="仿宋" w:hAnsi="仿宋" w:eastAsia="仿宋" w:cs="仿宋"/>
          <w:color w:val="auto"/>
          <w:sz w:val="24"/>
          <w:lang w:val="en-GB" w:eastAsia="zh-CN"/>
        </w:rPr>
        <w:t>磋商</w:t>
      </w:r>
      <w:r>
        <w:rPr>
          <w:rFonts w:hint="eastAsia" w:ascii="仿宋" w:hAnsi="仿宋" w:eastAsia="仿宋" w:cs="仿宋"/>
          <w:color w:val="auto"/>
          <w:sz w:val="24"/>
          <w:lang w:val="en-GB"/>
        </w:rPr>
        <w:t>结果应通知所有参加</w:t>
      </w:r>
      <w:r>
        <w:rPr>
          <w:rFonts w:hint="eastAsia" w:ascii="仿宋" w:hAnsi="仿宋" w:eastAsia="仿宋" w:cs="仿宋"/>
          <w:color w:val="auto"/>
          <w:sz w:val="24"/>
          <w:lang w:val="en-GB" w:eastAsia="zh-CN"/>
        </w:rPr>
        <w:t>磋商</w:t>
      </w:r>
      <w:r>
        <w:rPr>
          <w:rFonts w:hint="eastAsia" w:ascii="仿宋" w:hAnsi="仿宋" w:eastAsia="仿宋" w:cs="仿宋"/>
          <w:color w:val="auto"/>
          <w:sz w:val="24"/>
          <w:lang w:val="en-GB"/>
        </w:rPr>
        <w:t>的供应商。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kern w:val="0"/>
          <w:sz w:val="24"/>
          <w:szCs w:val="24"/>
        </w:rPr>
      </w:pPr>
      <w:bookmarkStart w:id="94" w:name="_Toc464831158"/>
      <w:r>
        <w:rPr>
          <w:rFonts w:hint="eastAsia" w:ascii="仿宋" w:hAnsi="仿宋" w:eastAsia="仿宋" w:cs="仿宋"/>
          <w:color w:val="auto"/>
          <w:kern w:val="0"/>
          <w:sz w:val="24"/>
          <w:szCs w:val="24"/>
          <w:lang w:eastAsia="zh-CN"/>
        </w:rPr>
        <w:t>1</w:t>
      </w: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lang w:eastAsia="zh-CN"/>
        </w:rPr>
        <w:t>.9</w:t>
      </w:r>
      <w:r>
        <w:rPr>
          <w:rFonts w:hint="eastAsia" w:ascii="仿宋" w:hAnsi="仿宋" w:eastAsia="仿宋" w:cs="仿宋"/>
          <w:color w:val="auto"/>
          <w:kern w:val="0"/>
          <w:sz w:val="24"/>
          <w:szCs w:val="24"/>
        </w:rPr>
        <w:t>成交结果公告以及成交通知书</w:t>
      </w:r>
      <w:bookmarkEnd w:id="94"/>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1</w:t>
      </w: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lang w:eastAsia="zh-CN"/>
        </w:rPr>
        <w:t>.9.</w:t>
      </w:r>
      <w:r>
        <w:rPr>
          <w:rFonts w:hint="eastAsia" w:ascii="仿宋" w:hAnsi="仿宋" w:eastAsia="仿宋" w:cs="仿宋"/>
          <w:color w:val="auto"/>
          <w:kern w:val="0"/>
          <w:sz w:val="24"/>
          <w:szCs w:val="24"/>
        </w:rPr>
        <w:t>1采购人或者采购代理机构应当自成交供应商确定之日起2个工作日内，发出成交通知书，并在</w:t>
      </w:r>
      <w:r>
        <w:rPr>
          <w:rFonts w:hint="eastAsia" w:ascii="仿宋" w:hAnsi="仿宋" w:eastAsia="仿宋" w:cs="仿宋"/>
          <w:color w:val="auto"/>
          <w:kern w:val="0"/>
          <w:sz w:val="24"/>
          <w:szCs w:val="24"/>
          <w:lang w:eastAsia="zh-CN"/>
        </w:rPr>
        <w:t>相关媒介</w:t>
      </w:r>
      <w:r>
        <w:rPr>
          <w:rFonts w:hint="eastAsia" w:ascii="仿宋" w:hAnsi="仿宋" w:eastAsia="仿宋" w:cs="仿宋"/>
          <w:color w:val="auto"/>
          <w:kern w:val="0"/>
          <w:sz w:val="24"/>
          <w:szCs w:val="24"/>
        </w:rPr>
        <w:t>公告成交结果（公告期限为1</w:t>
      </w:r>
      <w:r>
        <w:rPr>
          <w:rFonts w:hint="eastAsia" w:ascii="仿宋" w:hAnsi="仿宋" w:eastAsia="仿宋" w:cs="仿宋"/>
          <w:color w:val="auto"/>
          <w:kern w:val="0"/>
          <w:sz w:val="24"/>
          <w:szCs w:val="24"/>
          <w:lang w:eastAsia="zh-CN"/>
        </w:rPr>
        <w:t>工作日</w:t>
      </w:r>
      <w:r>
        <w:rPr>
          <w:rFonts w:hint="eastAsia" w:ascii="仿宋" w:hAnsi="仿宋" w:eastAsia="仿宋" w:cs="仿宋"/>
          <w:color w:val="auto"/>
          <w:kern w:val="0"/>
          <w:sz w:val="24"/>
          <w:szCs w:val="24"/>
        </w:rPr>
        <w:t>），采购文件随成交结果同时公告。</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1</w:t>
      </w: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lang w:eastAsia="zh-CN"/>
        </w:rPr>
        <w:t>.9.</w:t>
      </w:r>
      <w:r>
        <w:rPr>
          <w:rFonts w:hint="eastAsia" w:ascii="仿宋" w:hAnsi="仿宋" w:eastAsia="仿宋" w:cs="仿宋"/>
          <w:color w:val="auto"/>
          <w:kern w:val="0"/>
          <w:sz w:val="24"/>
          <w:szCs w:val="24"/>
        </w:rPr>
        <w:t>2采购人或采购代理机构不按照规定发布成交结果公告或者发布成交结果公告后不签发成交通知书的，应当承担法律责任，给成交供应商造成经济损失的应承担赔偿责任。</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.9.</w:t>
      </w:r>
      <w:r>
        <w:rPr>
          <w:rStyle w:val="94"/>
          <w:rFonts w:hint="eastAsia" w:ascii="仿宋" w:hAnsi="仿宋" w:eastAsia="仿宋" w:cs="仿宋"/>
          <w:color w:val="auto"/>
          <w:sz w:val="24"/>
          <w:szCs w:val="24"/>
        </w:rPr>
        <w:t>3成交通知书对采购人和成交供应商都具有法律效力。成交通知书发出后，采购人改变成交结果的，或者成交供应商放弃成交，应当依法承担法律责任。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kern w:val="0"/>
          <w:sz w:val="24"/>
          <w:szCs w:val="24"/>
          <w:lang w:val="en-US" w:eastAsia="zh-CN"/>
        </w:rPr>
      </w:pPr>
      <w:bookmarkStart w:id="95" w:name="_Toc464831159"/>
      <w:r>
        <w:rPr>
          <w:rFonts w:hint="eastAsia" w:ascii="仿宋" w:hAnsi="仿宋" w:eastAsia="仿宋" w:cs="仿宋"/>
          <w:color w:val="auto"/>
          <w:kern w:val="0"/>
          <w:sz w:val="24"/>
          <w:szCs w:val="24"/>
          <w:lang w:val="en-US" w:eastAsia="zh-CN"/>
        </w:rPr>
        <w:t>17.10磋商的特殊情形</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zh-CN" w:eastAsia="zh-CN"/>
        </w:rPr>
        <w:t>对磋商文件</w:t>
      </w:r>
      <w:r>
        <w:rPr>
          <w:rFonts w:hint="eastAsia" w:ascii="仿宋" w:hAnsi="仿宋" w:eastAsia="仿宋" w:cs="仿宋"/>
          <w:color w:val="auto"/>
          <w:kern w:val="0"/>
          <w:sz w:val="24"/>
          <w:szCs w:val="24"/>
          <w:lang w:val="en-US" w:eastAsia="zh-CN"/>
        </w:rPr>
        <w:t>作出实质性响应的供应商不足三家，但符合《政府采购竞争性磋商采购方式管理暂行办法》第二十一条规定的属于本办法第三条第四项“市场竞争不充分的科研项目，以及需要扶持的科技成果转化项目”情形的，提交最后报价的供应商可以为2家。</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17.11</w:t>
      </w:r>
      <w:r>
        <w:rPr>
          <w:rStyle w:val="94"/>
          <w:rFonts w:hint="eastAsia" w:ascii="仿宋" w:hAnsi="仿宋" w:eastAsia="仿宋" w:cs="仿宋"/>
          <w:color w:val="auto"/>
          <w:sz w:val="24"/>
          <w:szCs w:val="24"/>
        </w:rPr>
        <w:t>响应无效</w:t>
      </w:r>
      <w:bookmarkEnd w:id="95"/>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出现下列情形之一的，响应无效：</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1响应</w:t>
      </w:r>
      <w:r>
        <w:rPr>
          <w:rStyle w:val="94"/>
          <w:rFonts w:hint="eastAsia" w:ascii="仿宋" w:hAnsi="仿宋" w:eastAsia="仿宋" w:cs="仿宋"/>
          <w:color w:val="auto"/>
          <w:sz w:val="24"/>
          <w:szCs w:val="24"/>
          <w:lang w:eastAsia="zh-CN"/>
        </w:rPr>
        <w:t>报价高于采购预算</w:t>
      </w:r>
      <w:r>
        <w:rPr>
          <w:rStyle w:val="94"/>
          <w:rFonts w:hint="eastAsia" w:ascii="仿宋" w:hAnsi="仿宋" w:eastAsia="仿宋" w:cs="仿宋"/>
          <w:color w:val="auto"/>
          <w:sz w:val="24"/>
          <w:szCs w:val="24"/>
        </w:rPr>
        <w:t>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2对“★”条款未做出实质性响应或者发生负偏离的；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3应提供而未提供带“▲”标注的政府强制采购节能产品的；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4对允许偏离的非实质性条款，偏离采购文件规定的偏离范围和幅度的；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5不按照采购文件规定报价、没有分项报价、拒绝报价、有多个报价（采购文件另有规定的除外）、有选择性报价、附有条件的报价或者拒绝修正报价的；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6响应文件正副本未区分或者内容严重不一致的；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rPr>
        <w:t>报价有效期不满足采购文件要求的；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lang w:val="en-US" w:eastAsia="zh-CN"/>
        </w:rPr>
        <w:t>8</w:t>
      </w:r>
      <w:r>
        <w:rPr>
          <w:rStyle w:val="94"/>
          <w:rFonts w:hint="eastAsia" w:ascii="仿宋" w:hAnsi="仿宋" w:eastAsia="仿宋" w:cs="仿宋"/>
          <w:color w:val="auto"/>
          <w:sz w:val="24"/>
          <w:szCs w:val="24"/>
        </w:rPr>
        <w:t>报价超出营业执照经营范围的；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lang w:val="en-US" w:eastAsia="zh-CN"/>
        </w:rPr>
        <w:t>9</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小组2/3及以上成员认定报价方案技术含量低、偏离范围超出允许幅度、不符合采购文件要求的；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w:t>
      </w:r>
      <w:r>
        <w:rPr>
          <w:rStyle w:val="94"/>
          <w:rFonts w:hint="eastAsia" w:ascii="仿宋" w:hAnsi="仿宋" w:eastAsia="仿宋" w:cs="仿宋"/>
          <w:color w:val="auto"/>
          <w:sz w:val="24"/>
          <w:szCs w:val="24"/>
          <w:lang w:val="en-US" w:eastAsia="zh-CN"/>
        </w:rPr>
        <w:t>0</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小组判定供应商涂改证明材料或者提供虚假材料和承诺的；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rPr>
        <w:t>未按采购文件规定编制、签署、盖章响应文件的；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w:t>
      </w:r>
      <w:r>
        <w:rPr>
          <w:rStyle w:val="94"/>
          <w:rFonts w:hint="eastAsia" w:ascii="仿宋" w:hAnsi="仿宋" w:eastAsia="仿宋" w:cs="仿宋"/>
          <w:color w:val="auto"/>
          <w:sz w:val="24"/>
          <w:szCs w:val="24"/>
          <w:lang w:val="en-US" w:eastAsia="zh-CN"/>
        </w:rPr>
        <w:t>2</w:t>
      </w:r>
      <w:r>
        <w:rPr>
          <w:rStyle w:val="94"/>
          <w:rFonts w:hint="eastAsia" w:ascii="仿宋" w:hAnsi="仿宋" w:eastAsia="仿宋" w:cs="仿宋"/>
          <w:color w:val="auto"/>
          <w:sz w:val="24"/>
          <w:szCs w:val="24"/>
        </w:rPr>
        <w:t>采购文件第三章第1条规定供应商应当提交的资格、资信等证明文件未提供、提供不齐全或者复印件未装订于响应文件中的；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w:t>
      </w:r>
      <w:r>
        <w:rPr>
          <w:rStyle w:val="94"/>
          <w:rFonts w:hint="eastAsia" w:ascii="仿宋" w:hAnsi="仿宋" w:eastAsia="仿宋" w:cs="仿宋"/>
          <w:color w:val="auto"/>
          <w:sz w:val="24"/>
          <w:szCs w:val="24"/>
          <w:lang w:val="en-US" w:eastAsia="zh-CN"/>
        </w:rPr>
        <w:t>3</w:t>
      </w:r>
      <w:r>
        <w:rPr>
          <w:rStyle w:val="94"/>
          <w:rFonts w:hint="eastAsia" w:ascii="仿宋" w:hAnsi="仿宋" w:eastAsia="仿宋" w:cs="仿宋"/>
          <w:color w:val="auto"/>
          <w:sz w:val="24"/>
          <w:szCs w:val="24"/>
        </w:rPr>
        <w:t>资格、资信等证明文件可以为复印件的，复印件未加盖单位公章的；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1</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rPr>
        <w:t>不符合法律、法规和采购文件中规定的其他要求的。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对响应无效的认定，必须经</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小组集体做出决定并出具响应无效的事实依据，由供应商法定代表人或者被授权代表签字确认，拒绝签字的，不影响</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小组做出的决定。</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bookmarkStart w:id="96" w:name="_Toc464831160"/>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2</w:t>
      </w:r>
      <w:r>
        <w:rPr>
          <w:rStyle w:val="94"/>
          <w:rFonts w:hint="eastAsia" w:ascii="仿宋" w:hAnsi="仿宋" w:eastAsia="仿宋" w:cs="仿宋"/>
          <w:color w:val="auto"/>
          <w:sz w:val="24"/>
          <w:szCs w:val="24"/>
        </w:rPr>
        <w:t>废标</w:t>
      </w:r>
      <w:bookmarkEnd w:id="96"/>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2</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1出现下列情形之一的，应予废标：</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2</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1.1在</w:t>
      </w:r>
      <w:r>
        <w:rPr>
          <w:rStyle w:val="94"/>
          <w:rFonts w:hint="eastAsia" w:ascii="仿宋" w:hAnsi="仿宋" w:eastAsia="仿宋" w:cs="仿宋"/>
          <w:color w:val="auto"/>
          <w:sz w:val="24"/>
          <w:szCs w:val="24"/>
          <w:lang w:eastAsia="zh-CN"/>
        </w:rPr>
        <w:t>采购响应</w:t>
      </w:r>
      <w:r>
        <w:rPr>
          <w:rStyle w:val="94"/>
          <w:rFonts w:hint="eastAsia" w:ascii="仿宋" w:hAnsi="仿宋" w:eastAsia="仿宋" w:cs="仿宋"/>
          <w:color w:val="auto"/>
          <w:sz w:val="24"/>
          <w:szCs w:val="24"/>
        </w:rPr>
        <w:t>截止时间结束后参加报价的供应商不足3家，符合采购文件规定条件的供应商不足3家或者对采购文件作实质性响应的供应商不足3家的；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2</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1.2出现影响采购公正的违法违规行为的；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2</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1.3供应商的报价均超过采购预算的；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2</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1.4因重大变故，采购任务取消的；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2</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1.5法律、法规以及采购文件规定的其他废标情形。</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2</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2废标后，采购人或者采购代理机构应当将废标理由通知所有供应商。</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bookmarkStart w:id="97" w:name="_Toc464831161"/>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3</w:t>
      </w:r>
      <w:r>
        <w:rPr>
          <w:rStyle w:val="94"/>
          <w:rFonts w:hint="eastAsia" w:ascii="仿宋" w:hAnsi="仿宋" w:eastAsia="仿宋" w:cs="仿宋"/>
          <w:color w:val="auto"/>
          <w:sz w:val="24"/>
          <w:szCs w:val="24"/>
        </w:rPr>
        <w:t>特殊情况处置程序</w:t>
      </w:r>
      <w:bookmarkEnd w:id="97"/>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3</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小组成员的更换</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3</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1.1</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小组进行评审。</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3</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1.2退出</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小组的成员，其已完成的评审行为无效。由采购人向监督人员提出更换</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小组成员意见并获准后，根据本采购文件规定的</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小组成员产生方式另行确定替代者进行评审。</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3</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2记名投票</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在评审过程中，</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小组发生分歧或者评审结论有异议需表决的，按照少数服从多数的原则，由</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小组全体成员以记名投票方式表决。</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3</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3延期开标</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因特殊情况需要推迟开标时间的，采购人或者采购代理机构必须提前报监督部门审批，经批准后按规定提前告知所有参加报价的供应商，否则必须按时开标。</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bookmarkStart w:id="98" w:name="_Toc464831162"/>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rPr>
        <w:t>违法违规情形</w:t>
      </w:r>
      <w:bookmarkEnd w:id="98"/>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1有下列情形之一的，属于供应商相互串通报价：</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1.1供应商之间协商响应报价等响应文件的实质性内容；</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1.2供应商之间约定成交供应商；</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1.3供应商之间约定部分供应商放弃报价或者成交；</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1.4属于同一集团、协会、商会等组织成员的供应商按照该组织要求协同报价；</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1.5供应商之间为谋取</w:t>
      </w:r>
      <w:r>
        <w:rPr>
          <w:rStyle w:val="94"/>
          <w:rFonts w:hint="eastAsia" w:ascii="仿宋" w:hAnsi="仿宋" w:eastAsia="仿宋" w:cs="仿宋"/>
          <w:color w:val="auto"/>
          <w:sz w:val="24"/>
          <w:szCs w:val="24"/>
          <w:lang w:eastAsia="zh-CN"/>
        </w:rPr>
        <w:t>成交</w:t>
      </w:r>
      <w:r>
        <w:rPr>
          <w:rStyle w:val="94"/>
          <w:rFonts w:hint="eastAsia" w:ascii="仿宋" w:hAnsi="仿宋" w:eastAsia="仿宋" w:cs="仿宋"/>
          <w:color w:val="auto"/>
          <w:sz w:val="24"/>
          <w:szCs w:val="24"/>
        </w:rPr>
        <w:t>或者排斥特定供应商而采取的其他联合行动。</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2有下列情形之一的，视为供应商相互串通报价，</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小组应当出具违法违规认定意见并作响应无效处理：</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2.1不同供应商的响应文件由同一单位或者个人编制；</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2.2不同供应商委托同一单位或者个人办理报价事宜；</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2.3不同供应商的响应文件载明的项目管理成员为同一人；</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2.4不同供应商的响应文件异常一致或者响应报价呈规律性差异；</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2.5不同供应商的响应文件相互混装；</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3有下列情形之一的，属于采购人与供应商串通报价：</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3.1采购人在开标前开启响应文件并将有关信息泄露给其他供应商；</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3.2采购人直接或者间接向供应商泄露标底、</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小组成员等信息；</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3.3采购人明示或者暗示供应商压低或者抬高响应报价；</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3.4采购人授意供应商撤换、修改响应文件；</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3.5采购人明示或者暗示供应商为特定供应商</w:t>
      </w:r>
      <w:r>
        <w:rPr>
          <w:rStyle w:val="94"/>
          <w:rFonts w:hint="eastAsia" w:ascii="仿宋" w:hAnsi="仿宋" w:eastAsia="仿宋" w:cs="仿宋"/>
          <w:color w:val="auto"/>
          <w:sz w:val="24"/>
          <w:szCs w:val="24"/>
          <w:lang w:eastAsia="zh-CN"/>
        </w:rPr>
        <w:t>成交</w:t>
      </w:r>
      <w:r>
        <w:rPr>
          <w:rStyle w:val="94"/>
          <w:rFonts w:hint="eastAsia" w:ascii="仿宋" w:hAnsi="仿宋" w:eastAsia="仿宋" w:cs="仿宋"/>
          <w:color w:val="auto"/>
          <w:sz w:val="24"/>
          <w:szCs w:val="24"/>
        </w:rPr>
        <w:t>提供方便；</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4</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3.6采购人与供应商为谋求特定供应商</w:t>
      </w:r>
      <w:r>
        <w:rPr>
          <w:rStyle w:val="94"/>
          <w:rFonts w:hint="eastAsia" w:ascii="仿宋" w:hAnsi="仿宋" w:eastAsia="仿宋" w:cs="仿宋"/>
          <w:color w:val="auto"/>
          <w:sz w:val="24"/>
          <w:szCs w:val="24"/>
          <w:lang w:eastAsia="zh-CN"/>
        </w:rPr>
        <w:t>成交</w:t>
      </w:r>
      <w:r>
        <w:rPr>
          <w:rStyle w:val="94"/>
          <w:rFonts w:hint="eastAsia" w:ascii="仿宋" w:hAnsi="仿宋" w:eastAsia="仿宋" w:cs="仿宋"/>
          <w:color w:val="auto"/>
          <w:sz w:val="24"/>
          <w:szCs w:val="24"/>
        </w:rPr>
        <w:t>而采取的其他串通行为。</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在开标、评审过程中发现以上违法违规情形的，首先由</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小组作出认定，对认定确有以上违法违规情形的供应商，按无效报价处理，再进入正常评审程序。</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bookmarkStart w:id="99" w:name="_Toc464831163"/>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5</w:t>
      </w:r>
      <w:r>
        <w:rPr>
          <w:rStyle w:val="94"/>
          <w:rFonts w:hint="eastAsia" w:ascii="仿宋" w:hAnsi="仿宋" w:eastAsia="仿宋" w:cs="仿宋"/>
          <w:color w:val="auto"/>
          <w:sz w:val="24"/>
          <w:szCs w:val="24"/>
        </w:rPr>
        <w:t>违规处理</w:t>
      </w:r>
      <w:bookmarkEnd w:id="99"/>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供应商有下列情形之一的，列入不良行为记录名单，在一至三年内禁止参加</w:t>
      </w:r>
      <w:r>
        <w:rPr>
          <w:rStyle w:val="94"/>
          <w:rFonts w:hint="eastAsia" w:ascii="仿宋" w:hAnsi="仿宋" w:eastAsia="仿宋" w:cs="仿宋"/>
          <w:color w:val="auto"/>
          <w:sz w:val="24"/>
          <w:szCs w:val="24"/>
          <w:lang w:eastAsia="zh-CN"/>
        </w:rPr>
        <w:t>阿克苏地区</w:t>
      </w:r>
      <w:r>
        <w:rPr>
          <w:rStyle w:val="94"/>
          <w:rFonts w:hint="eastAsia" w:ascii="仿宋" w:hAnsi="仿宋" w:eastAsia="仿宋" w:cs="仿宋"/>
          <w:color w:val="auto"/>
          <w:sz w:val="24"/>
          <w:szCs w:val="24"/>
        </w:rPr>
        <w:t>政府采购活动：</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5</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1提供虚假报价材料谋取</w:t>
      </w:r>
      <w:r>
        <w:rPr>
          <w:rStyle w:val="94"/>
          <w:rFonts w:hint="eastAsia" w:ascii="仿宋" w:hAnsi="仿宋" w:eastAsia="仿宋" w:cs="仿宋"/>
          <w:color w:val="auto"/>
          <w:sz w:val="24"/>
          <w:szCs w:val="24"/>
          <w:lang w:eastAsia="zh-CN"/>
        </w:rPr>
        <w:t>成交</w:t>
      </w:r>
      <w:r>
        <w:rPr>
          <w:rStyle w:val="94"/>
          <w:rFonts w:hint="eastAsia" w:ascii="仿宋" w:hAnsi="仿宋" w:eastAsia="仿宋" w:cs="仿宋"/>
          <w:color w:val="auto"/>
          <w:sz w:val="24"/>
          <w:szCs w:val="24"/>
        </w:rPr>
        <w:t>、成交的；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5</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2采取不正当手段诋毁、排挤其他供应商的；</w:t>
      </w:r>
    </w:p>
    <w:p>
      <w:pPr>
        <w:keepNext w:val="0"/>
        <w:keepLines w:val="0"/>
        <w:pageBreakBefore w:val="0"/>
        <w:kinsoku/>
        <w:wordWrap/>
        <w:overflowPunct/>
        <w:topLinePunct w:val="0"/>
        <w:bidi w:val="0"/>
        <w:snapToGrid/>
        <w:spacing w:line="240" w:lineRule="auto"/>
        <w:ind w:right="0" w:firstLine="480" w:firstLineChars="20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7</w:t>
      </w:r>
      <w:r>
        <w:rPr>
          <w:rStyle w:val="94"/>
          <w:rFonts w:hint="eastAsia" w:ascii="仿宋" w:hAnsi="仿宋" w:eastAsia="仿宋" w:cs="仿宋"/>
          <w:color w:val="auto"/>
          <w:sz w:val="24"/>
          <w:szCs w:val="24"/>
          <w:lang w:eastAsia="zh-CN"/>
        </w:rPr>
        <w:t>.1</w:t>
      </w:r>
      <w:r>
        <w:rPr>
          <w:rStyle w:val="94"/>
          <w:rFonts w:hint="eastAsia" w:ascii="仿宋" w:hAnsi="仿宋" w:eastAsia="仿宋" w:cs="仿宋"/>
          <w:color w:val="auto"/>
          <w:sz w:val="24"/>
          <w:szCs w:val="24"/>
          <w:lang w:val="en-US" w:eastAsia="zh-CN"/>
        </w:rPr>
        <w:t>5</w:t>
      </w:r>
      <w:r>
        <w:rPr>
          <w:rStyle w:val="94"/>
          <w:rFonts w:hint="eastAsia" w:ascii="仿宋" w:hAnsi="仿宋" w:eastAsia="仿宋" w:cs="仿宋"/>
          <w:color w:val="auto"/>
          <w:sz w:val="24"/>
          <w:szCs w:val="24"/>
          <w:lang w:eastAsia="zh-CN"/>
        </w:rPr>
        <w:t>.</w:t>
      </w:r>
      <w:r>
        <w:rPr>
          <w:rStyle w:val="94"/>
          <w:rFonts w:hint="eastAsia" w:ascii="仿宋" w:hAnsi="仿宋" w:eastAsia="仿宋" w:cs="仿宋"/>
          <w:color w:val="auto"/>
          <w:sz w:val="24"/>
          <w:szCs w:val="24"/>
        </w:rPr>
        <w:t>3与采购人、其他供应商或者采购代理机构恶意串通的；</w:t>
      </w:r>
    </w:p>
    <w:bookmarkEnd w:id="87"/>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100" w:name="_Toc30973"/>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质疑</w:t>
      </w:r>
      <w:bookmarkEnd w:id="100"/>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1参加本次政府采购活动的供应商认为采购文件、采购过程和成交结果使自己的权益受到损害的，可以在知道或者应知道其权益受到损害之日起7个工作日内，以书面形式向采购人或者采购代理机构提出质疑。</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2质疑书内容应包括以下主要内容：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2.1质疑人的名称、地址、电话等；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2.2具体的质疑事项、证据以及法律、法规依据；</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2.3提出质疑的日期。</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4除书面形式外，其他任何方式的质疑，采购人或者采购代理机构均不予接受和回复。</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5采购人或者采购代理机构在收到质疑书后7个工作日内做出书面答复，并以书面形式通知质疑人和其他有关供应商，但答复不得涉及商业秘密。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6质疑人对采购人、采购代理机构的答复不满意或者采购人、采购代理机构未在规定的时间内做出答复的，可以在答复期满后15个工作日内向同级监管部门投诉。</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101" w:name="_Toc464831147"/>
      <w:bookmarkStart w:id="102" w:name="_Toc20671"/>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投诉</w:t>
      </w:r>
      <w:bookmarkEnd w:id="101"/>
      <w:bookmarkEnd w:id="102"/>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按照《中华人民共和国政府采购法》、财政部《政府采购供应商投诉处理办法》（第20号令）和财政部《关于加强政府采购供应商投诉受理审查工作的通知》（财库〔2007〕1号）文件以及相关的法律、法规及规定，质疑人对采购人、采购代理机构的答复不满意或者采购人、采购代理机构未在规定的时间内做出答复的，可以在答复期满后15个工作日内向同级监管部门投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2投诉人提起投诉应符合下列条件：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2.1投诉人是参与所投诉政府采购活动的供应商；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2.2提起投诉前已依法进行质疑；</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2.3投诉书内容符合财政部《政府采购供应商投诉处理办法》（第20号令）规定；</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2.4在投诉有效期限内提起投诉；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2.5属于本财政部门管辖；</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2.6同一投诉事项未经财政部门投诉处理；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2.7法律法规规定的其他条件。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3投诉人投诉时，应当提交投诉书，并按照被投诉采购人、采购代理机构和与投诉事项有关的供应商数量提供投诉书的副本。</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4投诉书应当包括以下主要内容：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4.1投诉人和被投诉人的名称、地址、电话等；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4.2具体的投诉事宜以及事实依据；</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4.3质疑书和质疑答复情况以及相关证明材料；</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4.4提起投诉的日期。</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5投诉书应当署名。投诉人为自然人的，应当由本人签字；投诉人为法人或者其他组织的，应当由法定代表人或者主要负责人签字盖章并加盖公章。</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6投诉人可以委托代理人办理投诉事务。代理人办理投诉事务时，除提交投诉书外，还应当向同级监管部门提交投诉人的授权委托书，授权委托书应当载明委托代理的具体权限和事项。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7投诉人不符合上述规定提起的投诉，监管部门不予受理。</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color w:val="auto"/>
          <w:sz w:val="24"/>
          <w:szCs w:val="24"/>
        </w:rPr>
      </w:pPr>
      <w:bookmarkStart w:id="103" w:name="_Toc464831148"/>
      <w:bookmarkStart w:id="104" w:name="_Toc10132"/>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.其他需补充的内容</w:t>
      </w:r>
      <w:bookmarkEnd w:id="103"/>
      <w:bookmarkEnd w:id="104"/>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color w:val="auto"/>
        </w:rPr>
      </w:pPr>
      <w:r>
        <w:rPr>
          <w:rFonts w:hint="eastAsia" w:ascii="仿宋" w:hAnsi="仿宋" w:eastAsia="仿宋" w:cs="仿宋"/>
          <w:color w:val="auto"/>
          <w:sz w:val="24"/>
          <w:szCs w:val="24"/>
        </w:rPr>
        <w:t>其他需补充的内容：见供应商须知前附表。</w:t>
      </w:r>
    </w:p>
    <w:p>
      <w:pPr>
        <w:keepNext w:val="0"/>
        <w:keepLines w:val="0"/>
        <w:pageBreakBefore w:val="0"/>
        <w:kinsoku/>
        <w:wordWrap/>
        <w:overflowPunct/>
        <w:topLinePunct w:val="0"/>
        <w:bidi w:val="0"/>
        <w:snapToGrid/>
        <w:spacing w:line="240" w:lineRule="auto"/>
        <w:ind w:right="0"/>
        <w:rPr>
          <w:rFonts w:hint="eastAsia" w:ascii="仿宋" w:hAnsi="仿宋" w:eastAsia="仿宋" w:cs="仿宋"/>
          <w:color w:val="auto"/>
          <w:sz w:val="24"/>
          <w:szCs w:val="24"/>
        </w:rPr>
      </w:pPr>
    </w:p>
    <w:p>
      <w:pPr>
        <w:keepNext w:val="0"/>
        <w:keepLines w:val="0"/>
        <w:pageBreakBefore w:val="0"/>
        <w:kinsoku/>
        <w:wordWrap/>
        <w:overflowPunct/>
        <w:topLinePunct w:val="0"/>
        <w:bidi w:val="0"/>
        <w:snapToGrid/>
        <w:spacing w:line="240" w:lineRule="auto"/>
        <w:ind w:right="0"/>
        <w:rPr>
          <w:rFonts w:hint="eastAsia" w:ascii="仿宋" w:hAnsi="仿宋" w:eastAsia="仿宋" w:cs="仿宋"/>
          <w:color w:val="auto"/>
        </w:rPr>
        <w:sectPr>
          <w:pgSz w:w="11906" w:h="16838"/>
          <w:pgMar w:top="1440" w:right="1803" w:bottom="1440" w:left="1803" w:header="850" w:footer="992" w:gutter="0"/>
          <w:pgNumType w:fmt="decimal"/>
          <w:cols w:space="720" w:num="1"/>
          <w:rtlGutter w:val="0"/>
          <w:docGrid w:type="lines" w:linePitch="312" w:charSpace="0"/>
        </w:sectPr>
      </w:pPr>
    </w:p>
    <w:p>
      <w:pPr>
        <w:numPr>
          <w:ilvl w:val="0"/>
          <w:numId w:val="3"/>
        </w:numPr>
        <w:spacing w:after="156" w:afterLines="50" w:line="240" w:lineRule="auto"/>
        <w:ind w:left="0" w:leftChars="0" w:firstLine="0" w:firstLineChars="0"/>
        <w:jc w:val="center"/>
        <w:outlineLvl w:val="0"/>
        <w:rPr>
          <w:rFonts w:hint="eastAsia" w:ascii="仿宋" w:hAnsi="仿宋" w:eastAsia="仿宋" w:cs="仿宋"/>
          <w:b/>
          <w:bCs/>
          <w:color w:val="auto"/>
          <w:sz w:val="36"/>
          <w:szCs w:val="36"/>
        </w:rPr>
      </w:pPr>
      <w:bookmarkStart w:id="105" w:name="_Toc31544"/>
      <w:bookmarkStart w:id="106" w:name="_Toc5433"/>
      <w:r>
        <w:rPr>
          <w:rFonts w:hint="eastAsia" w:ascii="仿宋" w:hAnsi="仿宋" w:eastAsia="仿宋" w:cs="仿宋"/>
          <w:b/>
          <w:bCs/>
          <w:color w:val="auto"/>
          <w:sz w:val="36"/>
          <w:szCs w:val="36"/>
        </w:rPr>
        <w:t xml:space="preserve"> 采购需求</w:t>
      </w:r>
      <w:bookmarkEnd w:id="105"/>
      <w:bookmarkEnd w:id="106"/>
      <w:bookmarkStart w:id="107" w:name="_Toc3651"/>
    </w:p>
    <w:p>
      <w:pPr>
        <w:keepNext w:val="0"/>
        <w:keepLines w:val="0"/>
        <w:pageBreakBefore w:val="0"/>
        <w:widowControl w:val="0"/>
        <w:kinsoku/>
        <w:wordWrap/>
        <w:overflowPunct/>
        <w:topLinePunct w:val="0"/>
        <w:autoSpaceDE/>
        <w:autoSpaceDN/>
        <w:bidi w:val="0"/>
        <w:adjustRightInd/>
        <w:spacing w:line="480" w:lineRule="auto"/>
        <w:ind w:right="560"/>
        <w:textAlignment w:val="auto"/>
        <w:outlineLvl w:val="1"/>
        <w:rPr>
          <w:rFonts w:hint="eastAsia" w:ascii="宋体" w:hAnsi="宋体" w:eastAsia="宋体" w:cs="宋体"/>
          <w:b/>
          <w:color w:val="auto"/>
          <w:sz w:val="24"/>
          <w:szCs w:val="24"/>
        </w:rPr>
      </w:pPr>
      <w:bookmarkStart w:id="108" w:name="_Toc19901"/>
      <w:r>
        <w:rPr>
          <w:rFonts w:hint="eastAsia" w:ascii="宋体" w:hAnsi="宋体" w:eastAsia="宋体" w:cs="宋体"/>
          <w:b/>
          <w:color w:val="auto"/>
          <w:sz w:val="24"/>
          <w:szCs w:val="24"/>
        </w:rPr>
        <w:t>一、</w:t>
      </w:r>
      <w:bookmarkStart w:id="109" w:name="_Toc130695597"/>
      <w:bookmarkStart w:id="110" w:name="_Toc278958165"/>
      <w:bookmarkStart w:id="111" w:name="_Toc185747585"/>
      <w:bookmarkStart w:id="112" w:name="_Toc153615294"/>
      <w:bookmarkStart w:id="113" w:name="_Toc279046872"/>
      <w:bookmarkStart w:id="114" w:name="_Toc271105684"/>
      <w:bookmarkStart w:id="115" w:name="_Toc243923374"/>
      <w:bookmarkStart w:id="116" w:name="_Toc272350614"/>
      <w:bookmarkStart w:id="117" w:name="_Toc226966687"/>
      <w:bookmarkStart w:id="118" w:name="_Toc191353021"/>
      <w:bookmarkStart w:id="119" w:name="_Toc245203888"/>
      <w:bookmarkStart w:id="120" w:name="_Toc277758492"/>
      <w:bookmarkStart w:id="121" w:name="_Toc226521699"/>
      <w:bookmarkStart w:id="122" w:name="_Toc209258279"/>
      <w:bookmarkStart w:id="123" w:name="_Toc130697189"/>
      <w:bookmarkStart w:id="124" w:name="_Toc243743360"/>
      <w:bookmarkStart w:id="125" w:name="_Toc7716"/>
      <w:r>
        <w:rPr>
          <w:rFonts w:hint="eastAsia" w:ascii="宋体" w:hAnsi="宋体" w:eastAsia="宋体" w:cs="宋体"/>
          <w:b/>
          <w:color w:val="auto"/>
          <w:sz w:val="24"/>
          <w:szCs w:val="24"/>
        </w:rPr>
        <w:t>项目概况</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ascii="宋体" w:hAnsi="宋体" w:eastAsia="宋体" w:cs="宋体"/>
          <w:b/>
          <w:color w:val="auto"/>
          <w:sz w:val="24"/>
          <w:szCs w:val="24"/>
        </w:rPr>
        <w:t>及总体要求</w:t>
      </w:r>
      <w:bookmarkEnd w:id="125"/>
      <w:r>
        <w:rPr>
          <w:rFonts w:hint="eastAsia" w:ascii="宋体" w:hAnsi="宋体" w:eastAsia="宋体" w:cs="宋体"/>
          <w:b/>
          <w:color w:val="auto"/>
          <w:sz w:val="24"/>
          <w:szCs w:val="24"/>
        </w:rPr>
        <w:t>：</w:t>
      </w:r>
      <w:bookmarkEnd w:id="108"/>
    </w:p>
    <w:p>
      <w:pPr>
        <w:keepNext w:val="0"/>
        <w:keepLines w:val="0"/>
        <w:pageBreakBefore w:val="0"/>
        <w:widowControl w:val="0"/>
        <w:kinsoku/>
        <w:wordWrap/>
        <w:overflowPunct/>
        <w:topLinePunct w:val="0"/>
        <w:autoSpaceDE/>
        <w:autoSpaceDN/>
        <w:bidi w:val="0"/>
        <w:adjustRightInd/>
        <w:spacing w:line="480" w:lineRule="auto"/>
        <w:ind w:right="560"/>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项目</w:t>
      </w:r>
      <w:r>
        <w:rPr>
          <w:rFonts w:hint="eastAsia" w:ascii="宋体" w:hAnsi="宋体" w:eastAsia="宋体" w:cs="宋体"/>
          <w:b/>
          <w:color w:val="auto"/>
          <w:sz w:val="24"/>
          <w:szCs w:val="24"/>
        </w:rPr>
        <w:t>编号：</w:t>
      </w:r>
      <w:r>
        <w:rPr>
          <w:rFonts w:hint="eastAsia" w:ascii="宋体" w:hAnsi="宋体" w:eastAsia="宋体" w:cs="宋体"/>
          <w:b/>
          <w:color w:val="auto"/>
          <w:sz w:val="24"/>
          <w:szCs w:val="24"/>
          <w:lang w:eastAsia="zh-CN"/>
        </w:rPr>
        <w:t>WSX[2022]-</w:t>
      </w:r>
      <w:r>
        <w:rPr>
          <w:rFonts w:hint="eastAsia" w:ascii="宋体" w:hAnsi="宋体" w:eastAsia="宋体" w:cs="宋体"/>
          <w:b/>
          <w:color w:val="auto"/>
          <w:sz w:val="24"/>
          <w:szCs w:val="24"/>
          <w:lang w:val="en-US" w:eastAsia="zh-CN"/>
        </w:rPr>
        <w:t>159-1</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r>
        <w:rPr>
          <w:rFonts w:hint="eastAsia" w:ascii="宋体" w:hAnsi="宋体" w:cs="宋体"/>
          <w:b/>
          <w:color w:val="auto"/>
          <w:sz w:val="24"/>
          <w:szCs w:val="24"/>
          <w:lang w:eastAsia="zh-CN"/>
        </w:rPr>
        <w:t>乌什县农村污水处理配套设施购置项目（一标段）</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重要说明：</w:t>
      </w:r>
    </w:p>
    <w:p>
      <w:pPr>
        <w:keepNext w:val="0"/>
        <w:keepLines w:val="0"/>
        <w:pageBreakBefore w:val="0"/>
        <w:widowControl w:val="0"/>
        <w:numPr>
          <w:ilvl w:val="0"/>
          <w:numId w:val="6"/>
        </w:numPr>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采购内容：</w:t>
      </w:r>
      <w:r>
        <w:rPr>
          <w:rFonts w:hint="eastAsia" w:ascii="宋体" w:hAnsi="宋体" w:eastAsia="宋体" w:cs="宋体"/>
          <w:color w:val="auto"/>
          <w:sz w:val="24"/>
          <w:szCs w:val="24"/>
        </w:rPr>
        <w:t>为阿合雅镇等8个行政村各采购1辆罐体容积不低于9m³的吸粪车（柴油发动机，功率≥120kw），国Ⅵ排放标准。</w:t>
      </w:r>
    </w:p>
    <w:p>
      <w:pPr>
        <w:keepNext w:val="0"/>
        <w:keepLines w:val="0"/>
        <w:pageBreakBefore w:val="0"/>
        <w:widowControl w:val="0"/>
        <w:numPr>
          <w:ilvl w:val="0"/>
          <w:numId w:val="6"/>
        </w:numPr>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供货地点：</w:t>
      </w:r>
      <w:r>
        <w:rPr>
          <w:rFonts w:hint="eastAsia" w:ascii="宋体" w:hAnsi="宋体" w:eastAsia="宋体" w:cs="宋体"/>
          <w:color w:val="auto"/>
          <w:sz w:val="24"/>
          <w:szCs w:val="24"/>
        </w:rPr>
        <w:t>阿合雅镇果鲁克（3）村、吐曼（16）村；阿恰塔格乡托克逊亚贝希（1）村、托万克和田（10）村；依麻木镇汗代克吉然（9）村、吉然（11）村；英阿瓦提乡英买力（2）村、特日木（8）；</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rPr>
        <w:t>2、要求</w:t>
      </w:r>
      <w:r>
        <w:rPr>
          <w:rFonts w:hint="eastAsia" w:ascii="宋体" w:hAnsi="宋体" w:cs="宋体"/>
          <w:b w:val="0"/>
          <w:bCs w:val="0"/>
          <w:color w:val="auto"/>
          <w:sz w:val="24"/>
          <w:szCs w:val="24"/>
          <w:highlight w:val="none"/>
          <w:lang w:val="zh-CN"/>
        </w:rPr>
        <w:t>供货期</w:t>
      </w:r>
      <w:r>
        <w:rPr>
          <w:rFonts w:hint="eastAsia" w:ascii="宋体" w:hAnsi="宋体" w:eastAsia="宋体" w:cs="宋体"/>
          <w:b w:val="0"/>
          <w:bCs w:val="0"/>
          <w:color w:val="auto"/>
          <w:sz w:val="24"/>
          <w:szCs w:val="24"/>
          <w:highlight w:val="none"/>
          <w:lang w:val="zh-CN"/>
        </w:rPr>
        <w:t>：</w:t>
      </w:r>
      <w:r>
        <w:rPr>
          <w:rFonts w:hint="eastAsia" w:ascii="宋体" w:hAnsi="宋体" w:cs="宋体"/>
          <w:b w:val="0"/>
          <w:bCs w:val="0"/>
          <w:color w:val="auto"/>
          <w:sz w:val="24"/>
          <w:szCs w:val="24"/>
          <w:highlight w:val="none"/>
          <w:lang w:val="zh-CN" w:eastAsia="zh-CN"/>
        </w:rPr>
        <w:t>签订合同后</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val="zh-CN" w:eastAsia="zh-CN"/>
        </w:rPr>
        <w:t>日历日内</w:t>
      </w:r>
      <w:r>
        <w:rPr>
          <w:rFonts w:hint="eastAsia" w:ascii="宋体" w:hAnsi="宋体" w:cs="宋体"/>
          <w:b w:val="0"/>
          <w:bCs w:val="0"/>
          <w:color w:val="auto"/>
          <w:sz w:val="24"/>
          <w:szCs w:val="24"/>
          <w:highlight w:val="none"/>
          <w:lang w:val="zh-CN"/>
        </w:rPr>
        <w:t>供货完毕</w:t>
      </w:r>
      <w:r>
        <w:rPr>
          <w:rFonts w:hint="eastAsia" w:ascii="宋体" w:hAnsi="宋体" w:eastAsia="宋体" w:cs="宋体"/>
          <w:b w:val="0"/>
          <w:bCs w:val="0"/>
          <w:color w:val="auto"/>
          <w:sz w:val="24"/>
          <w:szCs w:val="24"/>
          <w:highlight w:val="none"/>
          <w:lang w:val="zh-CN" w:eastAsia="zh-CN"/>
        </w:rPr>
        <w:t>，具体供货期以签订的合同为准。</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3.质保期：</w:t>
      </w:r>
      <w:r>
        <w:rPr>
          <w:rFonts w:hint="eastAsia" w:ascii="宋体" w:hAnsi="宋体" w:cs="宋体"/>
          <w:b w:val="0"/>
          <w:bCs w:val="0"/>
          <w:color w:val="auto"/>
          <w:sz w:val="24"/>
          <w:szCs w:val="24"/>
          <w:highlight w:val="none"/>
          <w:lang w:val="en-US" w:eastAsia="zh-CN"/>
        </w:rPr>
        <w:t>1年。</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简要规格描述：</w:t>
      </w:r>
      <w:r>
        <w:rPr>
          <w:rFonts w:hint="eastAsia" w:ascii="宋体" w:hAnsi="宋体" w:eastAsia="宋体" w:cs="宋体"/>
          <w:color w:val="auto"/>
          <w:sz w:val="24"/>
          <w:szCs w:val="24"/>
        </w:rPr>
        <w:t>罐体容积不低于9m³的吸粪车（柴油发动机，功率≥120kw），国Ⅵ排放标准。</w:t>
      </w:r>
    </w:p>
    <w:p>
      <w:pPr>
        <w:pStyle w:val="2"/>
        <w:ind w:left="0" w:leftChars="0" w:firstLine="0" w:firstLineChars="0"/>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5.付款方式：</w:t>
      </w:r>
      <w:r>
        <w:rPr>
          <w:rFonts w:hint="eastAsia" w:ascii="宋体" w:hAnsi="宋体" w:cs="宋体"/>
          <w:color w:val="auto"/>
          <w:kern w:val="0"/>
          <w:sz w:val="24"/>
          <w:szCs w:val="24"/>
          <w:highlight w:val="none"/>
          <w:lang w:val="en-US" w:eastAsia="zh-CN"/>
        </w:rPr>
        <w:t>签订合同之日起预付款50%，验收完成后付百分之47%。（扣除质保金 3 %，质保期后全额退回。）</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简要规格描述：</w:t>
      </w:r>
      <w:r>
        <w:rPr>
          <w:rFonts w:hint="eastAsia" w:ascii="宋体" w:hAnsi="宋体" w:eastAsia="宋体" w:cs="宋体"/>
          <w:color w:val="auto"/>
          <w:sz w:val="24"/>
          <w:szCs w:val="24"/>
        </w:rPr>
        <w:t>罐体容积不低于9m³的吸粪车（柴油发动机，功率≥120kw），国Ⅵ排放标准。</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、在合同签订后，采购方有权提出因规范、标准等实际情况发生变化而产生的补充要求。</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sectPr>
          <w:pgSz w:w="11906" w:h="16838"/>
          <w:pgMar w:top="1440" w:right="1803" w:bottom="1440" w:left="1803" w:header="850" w:footer="992" w:gutter="0"/>
          <w:pgNumType w:fmt="decimal"/>
          <w:cols w:space="720" w:num="1"/>
          <w:rtlGutter w:val="0"/>
          <w:docGrid w:type="lines" w:linePitch="312" w:charSpace="0"/>
        </w:sect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、须提供国家正规发票。</w:t>
      </w:r>
    </w:p>
    <w:p>
      <w:pPr>
        <w:pStyle w:val="4"/>
        <w:rPr>
          <w:rFonts w:hint="eastAsia"/>
          <w:color w:val="auto"/>
        </w:rPr>
      </w:pPr>
    </w:p>
    <w:p>
      <w:pPr>
        <w:pStyle w:val="5"/>
        <w:widowControl w:val="0"/>
        <w:numPr>
          <w:ilvl w:val="0"/>
          <w:numId w:val="0"/>
        </w:numPr>
        <w:jc w:val="both"/>
        <w:rPr>
          <w:rFonts w:hint="eastAsia" w:ascii="宋体" w:hAnsi="宋体" w:eastAsia="宋体" w:cs="宋体"/>
          <w:b/>
          <w:color w:val="auto"/>
          <w:kern w:val="2"/>
          <w:sz w:val="24"/>
          <w:szCs w:val="24"/>
          <w:lang w:val="en-US" w:eastAsia="zh-CN" w:bidi="ar-SA"/>
        </w:rPr>
      </w:pPr>
      <w:r>
        <w:rPr>
          <w:rFonts w:hint="eastAsia" w:ascii="宋体" w:hAnsi="宋体" w:cs="宋体"/>
          <w:b/>
          <w:color w:val="auto"/>
          <w:kern w:val="2"/>
          <w:sz w:val="24"/>
          <w:szCs w:val="24"/>
          <w:lang w:val="en-US" w:eastAsia="zh-CN" w:bidi="ar-SA"/>
        </w:rPr>
        <w:t>二、采购</w:t>
      </w:r>
      <w:r>
        <w:rPr>
          <w:rFonts w:hint="eastAsia" w:ascii="宋体" w:hAnsi="宋体" w:eastAsia="宋体" w:cs="宋体"/>
          <w:b/>
          <w:color w:val="auto"/>
          <w:kern w:val="2"/>
          <w:sz w:val="24"/>
          <w:szCs w:val="24"/>
          <w:lang w:val="en-US" w:eastAsia="zh-CN" w:bidi="ar-SA"/>
        </w:rPr>
        <w:t>清单</w:t>
      </w:r>
    </w:p>
    <w:p>
      <w:pPr>
        <w:pStyle w:val="5"/>
        <w:widowControl w:val="0"/>
        <w:numPr>
          <w:ilvl w:val="0"/>
          <w:numId w:val="0"/>
        </w:numPr>
        <w:jc w:val="both"/>
        <w:rPr>
          <w:rFonts w:hint="eastAsia" w:ascii="宋体" w:hAnsi="宋体" w:eastAsia="宋体" w:cs="宋体"/>
          <w:b/>
          <w:color w:val="auto"/>
          <w:kern w:val="2"/>
          <w:sz w:val="24"/>
          <w:szCs w:val="24"/>
          <w:lang w:val="en-US" w:eastAsia="zh-CN" w:bidi="ar-SA"/>
        </w:rPr>
      </w:pPr>
    </w:p>
    <w:p>
      <w:pPr>
        <w:pStyle w:val="5"/>
        <w:widowControl w:val="0"/>
        <w:numPr>
          <w:ilvl w:val="0"/>
          <w:numId w:val="0"/>
        </w:numPr>
        <w:jc w:val="both"/>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吸粪车</w:t>
      </w:r>
      <w:r>
        <w:rPr>
          <w:rFonts w:hint="eastAsia" w:ascii="宋体" w:hAnsi="宋体" w:cs="宋体"/>
          <w:b/>
          <w:color w:val="auto"/>
          <w:kern w:val="2"/>
          <w:sz w:val="24"/>
          <w:szCs w:val="24"/>
          <w:lang w:val="en-US" w:eastAsia="zh-CN" w:bidi="ar-SA"/>
        </w:rPr>
        <w:t>8辆</w:t>
      </w:r>
    </w:p>
    <w:p>
      <w:pPr>
        <w:pStyle w:val="5"/>
        <w:widowControl w:val="0"/>
        <w:numPr>
          <w:ilvl w:val="0"/>
          <w:numId w:val="0"/>
        </w:numPr>
        <w:jc w:val="both"/>
        <w:rPr>
          <w:rFonts w:hint="eastAsia" w:ascii="宋体" w:hAnsi="宋体" w:eastAsia="宋体" w:cs="宋体"/>
          <w:b/>
          <w:color w:val="auto"/>
          <w:kern w:val="2"/>
          <w:sz w:val="24"/>
          <w:szCs w:val="24"/>
          <w:lang w:val="en-US" w:eastAsia="zh-CN" w:bidi="ar-SA"/>
        </w:rPr>
      </w:pPr>
    </w:p>
    <w:tbl>
      <w:tblPr>
        <w:tblStyle w:val="26"/>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478"/>
        <w:gridCol w:w="4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w:t>
            </w:r>
          </w:p>
        </w:tc>
        <w:tc>
          <w:tcPr>
            <w:tcW w:w="4333" w:type="dxa"/>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排放标准</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国Ⅵ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燃料种类</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★底盘发动机额定功率 (kw)</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★总质量(Kg)</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整备质量(Kg)</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≥678</w:t>
            </w:r>
            <w:r>
              <w:rPr>
                <w:rFonts w:hint="eastAsia" w:ascii="宋体" w:hAnsi="宋体" w:cs="宋体"/>
                <w:color w:val="auto"/>
                <w:kern w:val="2"/>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接近角/离去角（°）</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★额定载质量(Kg)</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≥507</w:t>
            </w:r>
            <w:r>
              <w:rPr>
                <w:rFonts w:hint="eastAsia" w:ascii="宋体" w:hAnsi="宋体" w:cs="宋体"/>
                <w:color w:val="auto"/>
                <w:kern w:val="2"/>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zh-CN" w:eastAsia="zh-CN" w:bidi="ar-SA"/>
              </w:rPr>
              <w:t xml:space="preserve"> </w:t>
            </w:r>
            <w:r>
              <w:rPr>
                <w:rFonts w:hint="eastAsia" w:ascii="宋体" w:hAnsi="宋体" w:eastAsia="宋体" w:cs="宋体"/>
                <w:color w:val="auto"/>
                <w:kern w:val="2"/>
                <w:sz w:val="21"/>
                <w:szCs w:val="21"/>
                <w:highlight w:val="none"/>
                <w:lang w:val="en-US" w:eastAsia="zh-CN" w:bidi="ar-SA"/>
              </w:rPr>
              <w:t>清水</w:t>
            </w:r>
            <w:r>
              <w:rPr>
                <w:rFonts w:hint="eastAsia" w:ascii="宋体" w:hAnsi="宋体" w:eastAsia="宋体" w:cs="宋体"/>
                <w:color w:val="auto"/>
                <w:kern w:val="2"/>
                <w:sz w:val="21"/>
                <w:szCs w:val="21"/>
                <w:highlight w:val="none"/>
                <w:lang w:val="zh-CN" w:eastAsia="zh-CN" w:bidi="ar-SA"/>
              </w:rPr>
              <w:t>罐</w:t>
            </w:r>
            <w:r>
              <w:rPr>
                <w:rFonts w:hint="eastAsia" w:ascii="宋体" w:hAnsi="宋体" w:eastAsia="宋体" w:cs="宋体"/>
                <w:color w:val="auto"/>
                <w:kern w:val="2"/>
                <w:sz w:val="21"/>
                <w:szCs w:val="21"/>
                <w:highlight w:val="none"/>
                <w:lang w:val="en-US" w:eastAsia="zh-CN" w:bidi="ar-SA"/>
              </w:rPr>
              <w:t>体公告</w:t>
            </w:r>
            <w:r>
              <w:rPr>
                <w:rFonts w:hint="eastAsia" w:ascii="宋体" w:hAnsi="宋体" w:eastAsia="宋体" w:cs="宋体"/>
                <w:color w:val="auto"/>
                <w:kern w:val="2"/>
                <w:sz w:val="21"/>
                <w:szCs w:val="21"/>
                <w:highlight w:val="none"/>
                <w:lang w:val="zh-CN" w:eastAsia="zh-CN" w:bidi="ar-SA"/>
              </w:rPr>
              <w:t>容积</w:t>
            </w:r>
            <w:r>
              <w:rPr>
                <w:rFonts w:hint="eastAsia" w:ascii="宋体" w:hAnsi="宋体" w:eastAsia="宋体" w:cs="宋体"/>
                <w:color w:val="auto"/>
                <w:kern w:val="2"/>
                <w:sz w:val="21"/>
                <w:szCs w:val="21"/>
                <w:highlight w:val="none"/>
                <w:lang w:val="en-US" w:eastAsia="zh-CN" w:bidi="ar-SA"/>
              </w:rPr>
              <w:t>（m³）</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前悬/后悬（mm）</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≤1250/1980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zh-CN" w:eastAsia="zh-CN" w:bidi="ar-SA"/>
              </w:rPr>
              <w:t xml:space="preserve"> </w:t>
            </w:r>
            <w:r>
              <w:rPr>
                <w:rFonts w:hint="eastAsia" w:ascii="宋体" w:hAnsi="宋体" w:eastAsia="宋体" w:cs="宋体"/>
                <w:color w:val="auto"/>
                <w:kern w:val="2"/>
                <w:sz w:val="21"/>
                <w:szCs w:val="21"/>
                <w:highlight w:val="none"/>
                <w:lang w:val="en-US" w:eastAsia="zh-CN" w:bidi="ar-SA"/>
              </w:rPr>
              <w:t>污水</w:t>
            </w:r>
            <w:r>
              <w:rPr>
                <w:rFonts w:hint="eastAsia" w:ascii="宋体" w:hAnsi="宋体" w:eastAsia="宋体" w:cs="宋体"/>
                <w:color w:val="auto"/>
                <w:kern w:val="2"/>
                <w:sz w:val="21"/>
                <w:szCs w:val="21"/>
                <w:highlight w:val="none"/>
                <w:lang w:val="zh-CN" w:eastAsia="zh-CN" w:bidi="ar-SA"/>
              </w:rPr>
              <w:t>罐</w:t>
            </w:r>
            <w:r>
              <w:rPr>
                <w:rFonts w:hint="eastAsia" w:ascii="宋体" w:hAnsi="宋体" w:eastAsia="宋体" w:cs="宋体"/>
                <w:color w:val="auto"/>
                <w:kern w:val="2"/>
                <w:sz w:val="21"/>
                <w:szCs w:val="21"/>
                <w:highlight w:val="none"/>
                <w:lang w:val="en-US" w:eastAsia="zh-CN" w:bidi="ar-SA"/>
              </w:rPr>
              <w:t>体公告</w:t>
            </w:r>
            <w:r>
              <w:rPr>
                <w:rFonts w:hint="eastAsia" w:ascii="宋体" w:hAnsi="宋体" w:eastAsia="宋体" w:cs="宋体"/>
                <w:color w:val="auto"/>
                <w:kern w:val="2"/>
                <w:sz w:val="21"/>
                <w:szCs w:val="21"/>
                <w:highlight w:val="none"/>
                <w:lang w:val="zh-CN" w:eastAsia="zh-CN" w:bidi="ar-SA"/>
              </w:rPr>
              <w:t>容积</w:t>
            </w:r>
            <w:r>
              <w:rPr>
                <w:rFonts w:hint="eastAsia" w:ascii="宋体" w:hAnsi="宋体" w:eastAsia="宋体" w:cs="宋体"/>
                <w:color w:val="auto"/>
                <w:kern w:val="2"/>
                <w:sz w:val="21"/>
                <w:szCs w:val="21"/>
                <w:highlight w:val="none"/>
                <w:lang w:val="en-US" w:eastAsia="zh-CN" w:bidi="ar-SA"/>
              </w:rPr>
              <w:t>（m³）</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w:t>
            </w:r>
            <w:r>
              <w:rPr>
                <w:rFonts w:hint="eastAsia" w:ascii="宋体" w:hAnsi="宋体" w:cs="宋体"/>
                <w:color w:val="auto"/>
                <w:kern w:val="2"/>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zh-CN" w:eastAsia="zh-CN" w:bidi="ar-SA"/>
              </w:rPr>
              <w:t xml:space="preserve"> 罐</w:t>
            </w:r>
            <w:r>
              <w:rPr>
                <w:rFonts w:hint="eastAsia" w:ascii="宋体" w:hAnsi="宋体" w:eastAsia="宋体" w:cs="宋体"/>
                <w:color w:val="auto"/>
                <w:kern w:val="2"/>
                <w:sz w:val="21"/>
                <w:szCs w:val="21"/>
                <w:highlight w:val="none"/>
                <w:lang w:val="en-US" w:eastAsia="zh-CN" w:bidi="ar-SA"/>
              </w:rPr>
              <w:t>体最大</w:t>
            </w:r>
            <w:r>
              <w:rPr>
                <w:rFonts w:hint="eastAsia" w:ascii="宋体" w:hAnsi="宋体" w:eastAsia="宋体" w:cs="宋体"/>
                <w:color w:val="auto"/>
                <w:kern w:val="2"/>
                <w:sz w:val="21"/>
                <w:szCs w:val="21"/>
                <w:highlight w:val="none"/>
                <w:lang w:val="zh-CN" w:eastAsia="zh-CN" w:bidi="ar-SA"/>
              </w:rPr>
              <w:t>容积</w:t>
            </w:r>
            <w:r>
              <w:rPr>
                <w:rFonts w:hint="eastAsia" w:ascii="宋体" w:hAnsi="宋体" w:eastAsia="宋体" w:cs="宋体"/>
                <w:color w:val="auto"/>
                <w:kern w:val="2"/>
                <w:sz w:val="21"/>
                <w:szCs w:val="21"/>
                <w:highlight w:val="none"/>
                <w:lang w:val="en-US" w:eastAsia="zh-CN" w:bidi="ar-SA"/>
              </w:rPr>
              <w:t>（m³）</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★罐体厚度</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13</w:t>
            </w:r>
          </w:p>
        </w:tc>
        <w:tc>
          <w:tcPr>
            <w:tcW w:w="347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★防腐工艺</w:t>
            </w:r>
          </w:p>
        </w:tc>
        <w:tc>
          <w:tcPr>
            <w:tcW w:w="433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罐内需做防锈处理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0" w:type="dxa"/>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14</w:t>
            </w:r>
          </w:p>
        </w:tc>
        <w:tc>
          <w:tcPr>
            <w:tcW w:w="3478" w:type="dxa"/>
            <w:noWrap w:val="0"/>
            <w:vAlign w:val="center"/>
          </w:tcPr>
          <w:p>
            <w:pPr>
              <w:shd w:val="clear" w:color="auto" w:fill="auto"/>
              <w:spacing w:line="36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上装</w:t>
            </w:r>
            <w:r>
              <w:rPr>
                <w:rFonts w:hint="eastAsia" w:ascii="宋体" w:hAnsi="宋体" w:eastAsia="宋体" w:cs="宋体"/>
                <w:color w:val="auto"/>
                <w:sz w:val="21"/>
                <w:szCs w:val="21"/>
                <w:highlight w:val="none"/>
                <w:lang w:val="zh-CN" w:eastAsia="zh-CN"/>
              </w:rPr>
              <w:t>配置</w:t>
            </w:r>
          </w:p>
        </w:tc>
        <w:tc>
          <w:tcPr>
            <w:tcW w:w="4333" w:type="dxa"/>
            <w:noWrap w:val="0"/>
            <w:vAlign w:val="center"/>
          </w:tcPr>
          <w:p>
            <w:pPr>
              <w:shd w:val="clear" w:color="auto" w:fill="auto"/>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可举升罐体、</w:t>
            </w:r>
            <w:r>
              <w:rPr>
                <w:rFonts w:hint="eastAsia" w:ascii="宋体" w:hAnsi="宋体" w:eastAsia="宋体" w:cs="宋体"/>
                <w:color w:val="auto"/>
                <w:sz w:val="21"/>
                <w:szCs w:val="21"/>
                <w:highlight w:val="none"/>
                <w:lang w:val="en-US" w:eastAsia="zh-CN"/>
              </w:rPr>
              <w:t>尾部排污口、加粗型污水观察管，真空泵，水油分离器，防溢阀，吸污管≧8米1根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0" w:type="dxa"/>
            <w:noWrap w:val="0"/>
            <w:vAlign w:val="center"/>
          </w:tcPr>
          <w:p>
            <w:pPr>
              <w:shd w:val="clear" w:color="auto" w:fill="auto"/>
              <w:spacing w:line="360" w:lineRule="auto"/>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15</w:t>
            </w:r>
          </w:p>
        </w:tc>
        <w:tc>
          <w:tcPr>
            <w:tcW w:w="3478" w:type="dxa"/>
            <w:noWrap w:val="0"/>
            <w:vAlign w:val="center"/>
          </w:tcPr>
          <w:p>
            <w:pPr>
              <w:shd w:val="clear" w:color="auto" w:fill="auto"/>
              <w:spacing w:line="36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底盘配置</w:t>
            </w:r>
          </w:p>
        </w:tc>
        <w:tc>
          <w:tcPr>
            <w:tcW w:w="4333" w:type="dxa"/>
            <w:noWrap w:val="0"/>
            <w:vAlign w:val="center"/>
          </w:tcPr>
          <w:p>
            <w:pPr>
              <w:shd w:val="clear" w:color="auto" w:fill="auto"/>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ABS、TBOX、巡航、断气刹、中控锁、电动车窗、遥控钥匙、≧5档变速箱</w:t>
            </w:r>
          </w:p>
        </w:tc>
      </w:tr>
      <w:bookmarkEnd w:id="107"/>
    </w:tbl>
    <w:p>
      <w:pPr>
        <w:keepNext w:val="0"/>
        <w:keepLines w:val="0"/>
        <w:pageBreakBefore w:val="0"/>
        <w:kinsoku/>
        <w:wordWrap/>
        <w:overflowPunct/>
        <w:topLinePunct w:val="0"/>
        <w:bidi w:val="0"/>
        <w:snapToGrid/>
        <w:spacing w:line="240" w:lineRule="auto"/>
        <w:ind w:right="0"/>
        <w:rPr>
          <w:rFonts w:hint="eastAsia" w:ascii="宋体" w:hAnsi="宋体" w:eastAsia="宋体" w:cs="宋体"/>
          <w:b/>
          <w:bCs/>
          <w:i w:val="0"/>
          <w:iCs w:val="0"/>
          <w:color w:val="auto"/>
          <w:kern w:val="0"/>
          <w:sz w:val="24"/>
          <w:szCs w:val="24"/>
          <w:u w:val="none"/>
          <w:lang w:val="en-US" w:eastAsia="zh-CN" w:bidi="ar"/>
        </w:rPr>
      </w:pPr>
      <w:bookmarkStart w:id="126" w:name="_Toc6661"/>
      <w:bookmarkStart w:id="127" w:name="_Toc2308"/>
      <w:bookmarkStart w:id="128" w:name="_Toc494455916"/>
    </w:p>
    <w:p>
      <w:pPr>
        <w:keepNext w:val="0"/>
        <w:keepLines w:val="0"/>
        <w:pageBreakBefore w:val="0"/>
        <w:kinsoku/>
        <w:wordWrap/>
        <w:overflowPunct/>
        <w:topLinePunct w:val="0"/>
        <w:bidi w:val="0"/>
        <w:snapToGrid/>
        <w:spacing w:line="240" w:lineRule="auto"/>
        <w:ind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br w:type="page"/>
      </w:r>
    </w:p>
    <w:p>
      <w:pPr>
        <w:pStyle w:val="2"/>
        <w:rPr>
          <w:rFonts w:hint="eastAsia"/>
          <w:color w:val="auto"/>
        </w:rPr>
        <w:sectPr>
          <w:pgSz w:w="11906" w:h="16838"/>
          <w:pgMar w:top="1440" w:right="1803" w:bottom="1440" w:left="1803" w:header="850" w:footer="992" w:gutter="0"/>
          <w:pgNumType w:fmt="decimal"/>
          <w:cols w:space="720" w:num="1"/>
          <w:rtlGutter w:val="0"/>
          <w:docGrid w:type="lines" w:linePitch="312" w:charSpace="0"/>
        </w:sectPr>
      </w:pPr>
    </w:p>
    <w:p>
      <w:pPr>
        <w:spacing w:line="360" w:lineRule="auto"/>
        <w:jc w:val="center"/>
        <w:outlineLvl w:val="0"/>
        <w:rPr>
          <w:rFonts w:hint="eastAsia" w:ascii="仿宋" w:hAnsi="仿宋" w:eastAsia="仿宋" w:cs="仿宋"/>
          <w:b/>
          <w:bCs/>
          <w:color w:val="auto"/>
          <w:sz w:val="36"/>
          <w:szCs w:val="36"/>
        </w:rPr>
      </w:pPr>
      <w:bookmarkStart w:id="129" w:name="_Toc10337"/>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eastAsia="zh-CN"/>
        </w:rPr>
        <w:t>四</w:t>
      </w:r>
      <w:r>
        <w:rPr>
          <w:rFonts w:hint="eastAsia" w:ascii="仿宋" w:hAnsi="仿宋" w:eastAsia="仿宋" w:cs="仿宋"/>
          <w:b/>
          <w:bCs/>
          <w:color w:val="auto"/>
          <w:sz w:val="36"/>
          <w:szCs w:val="36"/>
        </w:rPr>
        <w:t>章  评</w:t>
      </w:r>
      <w:r>
        <w:rPr>
          <w:rFonts w:hint="eastAsia" w:ascii="仿宋" w:hAnsi="仿宋" w:eastAsia="仿宋" w:cs="仿宋"/>
          <w:b/>
          <w:bCs/>
          <w:color w:val="auto"/>
          <w:sz w:val="36"/>
          <w:szCs w:val="36"/>
          <w:lang w:eastAsia="zh-CN"/>
        </w:rPr>
        <w:t>审</w:t>
      </w:r>
      <w:r>
        <w:rPr>
          <w:rFonts w:hint="eastAsia" w:ascii="仿宋" w:hAnsi="仿宋" w:eastAsia="仿宋" w:cs="仿宋"/>
          <w:b/>
          <w:bCs/>
          <w:color w:val="auto"/>
          <w:sz w:val="36"/>
          <w:szCs w:val="36"/>
        </w:rPr>
        <w:t>办法</w:t>
      </w:r>
      <w:bookmarkEnd w:id="126"/>
      <w:bookmarkEnd w:id="127"/>
      <w:bookmarkEnd w:id="128"/>
      <w:bookmarkEnd w:id="129"/>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b/>
          <w:bCs/>
          <w:color w:val="auto"/>
          <w:sz w:val="28"/>
          <w:szCs w:val="28"/>
          <w:lang w:eastAsia="zh-CN"/>
        </w:rPr>
      </w:pPr>
      <w:bookmarkStart w:id="130" w:name="_Toc494455918"/>
      <w:bookmarkStart w:id="131" w:name="_Toc13049"/>
      <w:bookmarkStart w:id="132" w:name="_Toc8060"/>
      <w:bookmarkStart w:id="133" w:name="_Toc14816"/>
      <w:r>
        <w:rPr>
          <w:rFonts w:hint="eastAsia" w:ascii="仿宋" w:hAnsi="仿宋" w:eastAsia="仿宋" w:cs="仿宋"/>
          <w:b/>
          <w:bCs/>
          <w:color w:val="auto"/>
          <w:kern w:val="2"/>
          <w:sz w:val="28"/>
          <w:szCs w:val="28"/>
          <w:lang w:val="en-US" w:eastAsia="zh-CN" w:bidi="ar-SA"/>
        </w:rPr>
        <w:t>1.评</w:t>
      </w:r>
      <w:bookmarkEnd w:id="130"/>
      <w:r>
        <w:rPr>
          <w:rFonts w:hint="eastAsia" w:ascii="仿宋" w:hAnsi="仿宋" w:eastAsia="仿宋" w:cs="仿宋"/>
          <w:b/>
          <w:bCs/>
          <w:color w:val="auto"/>
          <w:kern w:val="2"/>
          <w:sz w:val="28"/>
          <w:szCs w:val="28"/>
          <w:lang w:val="en-US" w:eastAsia="zh-CN" w:bidi="ar-SA"/>
        </w:rPr>
        <w:t>审办法前附表</w:t>
      </w:r>
      <w:bookmarkEnd w:id="131"/>
      <w:bookmarkEnd w:id="132"/>
      <w:bookmarkEnd w:id="133"/>
    </w:p>
    <w:tbl>
      <w:tblPr>
        <w:tblStyle w:val="26"/>
        <w:tblW w:w="9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4"/>
        <w:gridCol w:w="1887"/>
        <w:gridCol w:w="5909"/>
      </w:tblGrid>
      <w:tr>
        <w:tblPrEx>
          <w:tblCellMar>
            <w:top w:w="0" w:type="dxa"/>
            <w:left w:w="108" w:type="dxa"/>
            <w:bottom w:w="0" w:type="dxa"/>
            <w:right w:w="108" w:type="dxa"/>
          </w:tblCellMar>
        </w:tblPrEx>
        <w:trPr>
          <w:trHeight w:val="95" w:hRule="atLeast"/>
          <w:jc w:val="center"/>
        </w:trPr>
        <w:tc>
          <w:tcPr>
            <w:tcW w:w="3211"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324" w:type="dxa"/>
            <w:vMerge w:val="restart"/>
            <w:tcBorders>
              <w:top w:val="single" w:color="auto" w:sz="4" w:space="0"/>
              <w:left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w:t>
            </w:r>
          </w:p>
        </w:tc>
        <w:tc>
          <w:tcPr>
            <w:tcW w:w="1887" w:type="dxa"/>
            <w:vMerge w:val="restart"/>
            <w:tcBorders>
              <w:top w:val="single" w:color="auto" w:sz="4" w:space="0"/>
              <w:left w:val="nil"/>
              <w:right w:val="single" w:color="auto" w:sz="4" w:space="0"/>
            </w:tcBorders>
            <w:noWrap w:val="0"/>
            <w:vAlign w:val="center"/>
          </w:tcPr>
          <w:p>
            <w:pPr>
              <w:spacing w:before="72" w:beforeLines="30"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资格性审查</w:t>
            </w: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rPr>
              <w:t>有效的经年检的营业执照副本；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324" w:type="dxa"/>
            <w:vMerge w:val="continue"/>
            <w:tcBorders>
              <w:left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法定代表人身份证明、法定代表人授权委托书及受托人身份证明；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财务状况报告：由审计机构审计的近一年年度的财务审计报告或财务报表（企业成立不足一年提供成立至今的财务报表）；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324" w:type="dxa"/>
            <w:vMerge w:val="continue"/>
            <w:tcBorders>
              <w:left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近六个月的缴纳税收证明(</w:t>
            </w:r>
            <w:r>
              <w:rPr>
                <w:rFonts w:hint="eastAsia" w:ascii="仿宋" w:hAnsi="仿宋" w:eastAsia="仿宋" w:cs="仿宋"/>
                <w:color w:val="auto"/>
                <w:kern w:val="2"/>
                <w:sz w:val="24"/>
                <w:szCs w:val="24"/>
                <w:highlight w:val="none"/>
                <w:lang w:val="en-US" w:eastAsia="zh-CN" w:bidi="ar-SA"/>
              </w:rPr>
              <w:t>未产生税收的供应商，应提供相应的证明材料</w:t>
            </w:r>
            <w:r>
              <w:rPr>
                <w:rFonts w:hint="eastAsia" w:ascii="仿宋" w:hAnsi="仿宋" w:eastAsia="仿宋" w:cs="仿宋"/>
                <w:color w:val="auto"/>
                <w:sz w:val="24"/>
                <w:szCs w:val="24"/>
                <w:lang w:val="en-US" w:eastAsia="zh-CN"/>
              </w:rPr>
              <w:t>)及企业近三个月的社保缴纳清单和明细（含授权委托人社保）</w:t>
            </w:r>
            <w:r>
              <w:rPr>
                <w:rFonts w:hint="eastAsia" w:ascii="仿宋" w:hAnsi="仿宋" w:eastAsia="仿宋" w:cs="仿宋"/>
                <w:color w:val="auto"/>
                <w:kern w:val="2"/>
                <w:sz w:val="24"/>
                <w:szCs w:val="24"/>
                <w:lang w:val="en-US" w:eastAsia="zh-CN" w:bidi="ar-SA"/>
              </w:rPr>
              <w:t>(企业成立不足一年提供成立至今的)</w:t>
            </w:r>
            <w:r>
              <w:rPr>
                <w:rFonts w:hint="eastAsia" w:ascii="仿宋" w:hAnsi="仿宋" w:eastAsia="仿宋" w:cs="仿宋"/>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1324" w:type="dxa"/>
            <w:vMerge w:val="continue"/>
            <w:tcBorders>
              <w:left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未被列入失信被执行人、重大税收违法</w:t>
            </w:r>
            <w:r>
              <w:rPr>
                <w:rFonts w:hint="eastAsia" w:ascii="仿宋" w:hAnsi="仿宋" w:eastAsia="仿宋" w:cs="仿宋"/>
                <w:color w:val="auto"/>
                <w:sz w:val="24"/>
                <w:szCs w:val="24"/>
                <w:lang w:eastAsia="zh-CN"/>
              </w:rPr>
              <w:t>失信主体</w:t>
            </w:r>
            <w:r>
              <w:rPr>
                <w:rFonts w:hint="eastAsia" w:ascii="仿宋" w:hAnsi="仿宋" w:eastAsia="仿宋" w:cs="仿宋"/>
                <w:color w:val="auto"/>
                <w:sz w:val="24"/>
                <w:szCs w:val="24"/>
              </w:rPr>
              <w:t>以及政府采购严重违法失信行为记录；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324" w:type="dxa"/>
            <w:vMerge w:val="continue"/>
            <w:tcBorders>
              <w:left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供应商为中小企业/小微企业；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324"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w:t>
            </w:r>
          </w:p>
        </w:tc>
        <w:tc>
          <w:tcPr>
            <w:tcW w:w="1887"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符合</w:t>
            </w:r>
            <w:r>
              <w:rPr>
                <w:rFonts w:hint="eastAsia" w:ascii="仿宋" w:hAnsi="仿宋" w:eastAsia="仿宋" w:cs="仿宋"/>
                <w:color w:val="auto"/>
                <w:sz w:val="24"/>
                <w:szCs w:val="24"/>
              </w:rPr>
              <w:t>性审查</w:t>
            </w: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投标人名称是否与营业执照等资格证明文件一致；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1887" w:type="dxa"/>
            <w:vMerge w:val="continue"/>
            <w:tcBorders>
              <w:top w:val="single" w:color="auto" w:sz="4" w:space="0"/>
              <w:left w:val="nil"/>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投标报价是否只有一个有效报价且未超过预算金额；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1887" w:type="dxa"/>
            <w:vMerge w:val="continue"/>
            <w:tcBorders>
              <w:top w:val="single" w:color="auto" w:sz="4" w:space="0"/>
              <w:left w:val="nil"/>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响应文件载明的供货期限是否未超过招标文件规定的期限；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color w:val="auto"/>
                <w:sz w:val="24"/>
                <w:szCs w:val="24"/>
              </w:rPr>
            </w:pPr>
          </w:p>
        </w:tc>
        <w:tc>
          <w:tcPr>
            <w:tcW w:w="1887" w:type="dxa"/>
            <w:vMerge w:val="continue"/>
            <w:tcBorders>
              <w:top w:val="single" w:color="auto" w:sz="4" w:space="0"/>
              <w:left w:val="nil"/>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响应文件中是否有法定代表人或其授权代表签字（章）和加盖投标单位公章；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color w:val="auto"/>
                <w:sz w:val="24"/>
                <w:szCs w:val="24"/>
              </w:rPr>
            </w:pPr>
          </w:p>
        </w:tc>
        <w:tc>
          <w:tcPr>
            <w:tcW w:w="1887" w:type="dxa"/>
            <w:vMerge w:val="continue"/>
            <w:tcBorders>
              <w:top w:val="single" w:color="auto" w:sz="4" w:space="0"/>
              <w:left w:val="nil"/>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响应文件中是否未含有采购人不能接受的附加条件的；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color w:val="auto"/>
                <w:sz w:val="24"/>
                <w:szCs w:val="24"/>
              </w:rPr>
            </w:pPr>
          </w:p>
        </w:tc>
        <w:tc>
          <w:tcPr>
            <w:tcW w:w="1887" w:type="dxa"/>
            <w:vMerge w:val="continue"/>
            <w:tcBorders>
              <w:top w:val="single" w:color="auto" w:sz="4" w:space="0"/>
              <w:left w:val="nil"/>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符合法律、法规和竞争性磋商文件中规定的其他实质性要求的。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120" w:type="dxa"/>
            <w:gridSpan w:val="3"/>
            <w:tcBorders>
              <w:left w:val="single" w:color="auto" w:sz="4" w:space="0"/>
              <w:right w:val="single" w:color="auto" w:sz="4" w:space="0"/>
            </w:tcBorders>
            <w:noWrap w:val="0"/>
            <w:vAlign w:val="center"/>
          </w:tcPr>
          <w:p>
            <w:pPr>
              <w:keepNext w:val="0"/>
              <w:keepLines w:val="0"/>
              <w:widowControl/>
              <w:suppressLineNumbers w:val="0"/>
              <w:tabs>
                <w:tab w:val="left" w:pos="3156"/>
              </w:tabs>
              <w:spacing w:line="240" w:lineRule="auto"/>
              <w:jc w:val="left"/>
              <w:textAlignment w:val="center"/>
              <w:rPr>
                <w:rFonts w:hint="eastAsia" w:ascii="仿宋" w:hAnsi="仿宋" w:eastAsia="仿宋" w:cs="仿宋"/>
                <w:i w:val="0"/>
                <w:color w:val="auto"/>
                <w:kern w:val="0"/>
                <w:sz w:val="24"/>
                <w:szCs w:val="24"/>
                <w:u w:val="none"/>
                <w:lang w:val="en-US" w:eastAsia="zh-CN" w:bidi="ar"/>
              </w:rPr>
            </w:pPr>
            <w:bookmarkStart w:id="134" w:name="_Toc13997"/>
            <w:r>
              <w:rPr>
                <w:rFonts w:hint="eastAsia" w:ascii="宋体" w:hAnsi="宋体" w:cs="宋体"/>
                <w:b/>
                <w:color w:val="auto"/>
                <w:sz w:val="24"/>
                <w:szCs w:val="24"/>
              </w:rPr>
              <w:t>注：以上检查内容必须全部符合检查标准，否则为无效标</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lang w:val="en-US" w:eastAsia="zh-CN"/>
        </w:rPr>
        <w:sectPr>
          <w:pgSz w:w="11906" w:h="16838"/>
          <w:pgMar w:top="1440" w:right="1803" w:bottom="1440" w:left="1803" w:header="850" w:footer="992" w:gutter="0"/>
          <w:pgNumType w:fmt="decimal"/>
          <w:cols w:space="720" w:num="1"/>
          <w:rtlGutter w:val="0"/>
          <w:docGrid w:type="lines" w:linePitch="312" w:charSpace="0"/>
        </w:sectPr>
      </w:pPr>
    </w:p>
    <w:p>
      <w:pPr>
        <w:pStyle w:val="10"/>
        <w:rPr>
          <w:rFonts w:hint="eastAsia"/>
          <w:color w:val="auto"/>
          <w:lang w:val="en-US" w:eastAsia="zh-CN"/>
        </w:rPr>
        <w:sectPr>
          <w:type w:val="continuous"/>
          <w:pgSz w:w="11906" w:h="16838"/>
          <w:pgMar w:top="1440" w:right="1803" w:bottom="1440" w:left="1803" w:header="850" w:footer="992" w:gutter="0"/>
          <w:pgNumType w:fmt="decimal"/>
          <w:cols w:space="720" w:num="1"/>
          <w:rtlGutter w:val="0"/>
          <w:docGrid w:type="lines" w:linePitch="312" w:charSpace="0"/>
        </w:sectPr>
      </w:pPr>
    </w:p>
    <w:tbl>
      <w:tblPr>
        <w:tblStyle w:val="26"/>
        <w:tblW w:w="44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80"/>
        <w:gridCol w:w="945"/>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项目分值</w:t>
            </w:r>
          </w:p>
        </w:tc>
        <w:tc>
          <w:tcPr>
            <w:tcW w:w="926" w:type="pct"/>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评分内容</w:t>
            </w:r>
          </w:p>
        </w:tc>
        <w:tc>
          <w:tcPr>
            <w:tcW w:w="3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0"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100分</w:t>
            </w:r>
          </w:p>
        </w:tc>
        <w:tc>
          <w:tcPr>
            <w:tcW w:w="4529" w:type="pct"/>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一、商务部分+技术部分：70分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4"/>
                <w:szCs w:val="24"/>
              </w:rPr>
            </w:pPr>
          </w:p>
        </w:tc>
        <w:tc>
          <w:tcPr>
            <w:tcW w:w="549"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产品技术参数及性能指标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sz w:val="24"/>
                <w:szCs w:val="24"/>
                <w:lang w:val="en-US" w:eastAsia="zh-CN"/>
              </w:rPr>
              <w:t>30分</w:t>
            </w:r>
            <w:r>
              <w:rPr>
                <w:rFonts w:hint="eastAsia" w:ascii="仿宋" w:hAnsi="仿宋" w:eastAsia="仿宋" w:cs="仿宋"/>
                <w:color w:val="auto"/>
                <w:kern w:val="0"/>
                <w:sz w:val="24"/>
                <w:szCs w:val="24"/>
                <w:lang w:val="en-US" w:eastAsia="zh-CN"/>
              </w:rPr>
              <w:t>）</w:t>
            </w:r>
          </w:p>
        </w:tc>
        <w:tc>
          <w:tcPr>
            <w:tcW w:w="37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0-30</w:t>
            </w:r>
          </w:p>
        </w:tc>
        <w:tc>
          <w:tcPr>
            <w:tcW w:w="3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从供应商提供的所投产品的技术指标、基本功能、采购需求的吻合程度和偏差情况（包括所投产品配置、主要技术参数）进行评价，基础分为30分；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为主要技术参数，有负偏离或缺漏的，每一项扣基础分3分；其他参数指标有负偏离或缺漏的，每一项扣基础分2分，本项最高扣30分。（以上技术指标中“≥”后的数值为满足要求的基本值，所投产品指标数值与基本值相等时为满足，大于时为正偏离，小于时为不满足，以此类推；以上技术指标中“≤”后的数值为满足要求的基本值，所投产品指标数值与基本值相等时为满足，大于时为正偏离，小于时为不满足，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atLeast"/>
          <w:jc w:val="center"/>
        </w:trPr>
        <w:tc>
          <w:tcPr>
            <w:tcW w:w="47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4"/>
                <w:szCs w:val="24"/>
                <w:lang w:val="en-US" w:eastAsia="zh-CN"/>
              </w:rPr>
            </w:pPr>
          </w:p>
        </w:tc>
        <w:tc>
          <w:tcPr>
            <w:tcW w:w="549"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实施方案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20分</w:t>
            </w:r>
            <w:r>
              <w:rPr>
                <w:rFonts w:hint="eastAsia" w:ascii="仿宋" w:hAnsi="仿宋" w:eastAsia="仿宋" w:cs="仿宋"/>
                <w:color w:val="auto"/>
                <w:kern w:val="0"/>
                <w:sz w:val="24"/>
                <w:szCs w:val="24"/>
                <w:lang w:eastAsia="zh-CN"/>
              </w:rPr>
              <w:t>）</w:t>
            </w:r>
          </w:p>
        </w:tc>
        <w:tc>
          <w:tcPr>
            <w:tcW w:w="37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0-20</w:t>
            </w:r>
          </w:p>
        </w:tc>
        <w:tc>
          <w:tcPr>
            <w:tcW w:w="3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根据供应商所提供项目实施方案中的人力资源安排、供货进度及质量保障措施及承诺、应急预案、组织验收流程及资料整理等（包含但不限于）内容。</w:t>
            </w:r>
          </w:p>
          <w:p>
            <w:pPr>
              <w:keepNext w:val="0"/>
              <w:keepLines w:val="0"/>
              <w:pageBreakBefore w:val="0"/>
              <w:widowControl/>
              <w:numPr>
                <w:ilvl w:val="0"/>
                <w:numId w:val="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项目实施方案中有具体的供货保障的人力资源安排方案，</w:t>
            </w:r>
            <w:r>
              <w:rPr>
                <w:rFonts w:hint="eastAsia" w:ascii="仿宋" w:hAnsi="仿宋" w:eastAsia="仿宋" w:cs="仿宋"/>
                <w:color w:val="auto"/>
                <w:sz w:val="24"/>
                <w:szCs w:val="24"/>
                <w:lang w:val="en-US" w:eastAsia="zh-CN"/>
              </w:rPr>
              <w:t>配备齐全、搭配合理</w:t>
            </w:r>
            <w:r>
              <w:rPr>
                <w:rFonts w:hint="eastAsia" w:ascii="仿宋" w:hAnsi="仿宋" w:eastAsia="仿宋" w:cs="仿宋"/>
                <w:color w:val="auto"/>
                <w:kern w:val="0"/>
                <w:sz w:val="24"/>
                <w:szCs w:val="24"/>
                <w:lang w:val="en-US" w:eastAsia="zh-CN" w:bidi="ar-SA"/>
              </w:rPr>
              <w:t>且内容完善具有针对性，内容叙述条理清晰符合项目特点及需求的得6分；有供货保障的人力资源安排方案，但内容简单条理混乱，无具体针对性，未根据项目具体内容编制供货保障的人力资源安排方案的得3分；未提供或明显套用其他项目内容不得分。</w:t>
            </w:r>
          </w:p>
          <w:p>
            <w:pPr>
              <w:keepNext w:val="0"/>
              <w:keepLines w:val="0"/>
              <w:pageBreakBefore w:val="0"/>
              <w:widowControl/>
              <w:numPr>
                <w:ilvl w:val="0"/>
                <w:numId w:val="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目实施方案中有供货进度及质量保障措施及承诺，内容具体完善，具有针对性，叙述条理清晰符合项目特点及需求的得5分；有供货进度及质量保障措施及承诺，但内容简单，只有框架性承诺无具体实质性响应内容，无具体针对性的得2分；未提供或明显套用其他项目内容不得分。</w:t>
            </w:r>
          </w:p>
          <w:p>
            <w:pPr>
              <w:keepNext w:val="0"/>
              <w:keepLines w:val="0"/>
              <w:pageBreakBefore w:val="0"/>
              <w:widowControl/>
              <w:numPr>
                <w:ilvl w:val="0"/>
                <w:numId w:val="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目实施方案中有应急预案，内容具体，覆盖完善，承诺内容具有针对性，叙述条理清晰符合项目特点及需求的得5分；有应急预案，预案内容简单覆盖不完善，承诺内容简单条理混乱，只有框架性承诺无具体实质性响应内容，无具体针对性的得2分；未提供或明显套用其他项目内容不得分。</w:t>
            </w:r>
          </w:p>
          <w:p>
            <w:pPr>
              <w:keepNext w:val="0"/>
              <w:keepLines w:val="0"/>
              <w:pageBreakBefore w:val="0"/>
              <w:widowControl/>
              <w:numPr>
                <w:ilvl w:val="0"/>
                <w:numId w:val="7"/>
              </w:numP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项目实施方案中有组织验收流程及资料整理、与项目有关的其他注意事项，内容流程清晰，完善且具有针对性，符合项目特点及需求的得4分；内容不完善，只有框架性承诺无具体实质性响应内容的得2分；未提供或明显套用其他项目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7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4"/>
                <w:szCs w:val="24"/>
                <w:lang w:val="en-US" w:eastAsia="zh-CN"/>
              </w:rPr>
            </w:pPr>
          </w:p>
        </w:tc>
        <w:tc>
          <w:tcPr>
            <w:tcW w:w="549"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质保期</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（6分）</w:t>
            </w:r>
          </w:p>
        </w:tc>
        <w:tc>
          <w:tcPr>
            <w:tcW w:w="37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0-6</w:t>
            </w:r>
          </w:p>
        </w:tc>
        <w:tc>
          <w:tcPr>
            <w:tcW w:w="3603" w:type="pct"/>
            <w:noWrap w:val="0"/>
            <w:vAlign w:val="center"/>
          </w:tcPr>
          <w:p>
            <w:pPr>
              <w:pStyle w:val="8"/>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提供产品质保期承诺，满足采购文件要求的质保期的前提下，每延长1年得3分，最高得6分。未提供或明显套用其他项目内容的不得分。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7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kern w:val="0"/>
                <w:sz w:val="24"/>
                <w:szCs w:val="24"/>
                <w:lang w:val="en-US" w:eastAsia="zh-CN" w:bidi="ar-SA"/>
              </w:rPr>
            </w:pPr>
          </w:p>
        </w:tc>
        <w:tc>
          <w:tcPr>
            <w:tcW w:w="549"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color w:val="auto"/>
                <w:kern w:val="0"/>
                <w:sz w:val="24"/>
                <w:szCs w:val="24"/>
                <w:lang w:val="en-US" w:eastAsia="zh-CN"/>
              </w:rPr>
              <w:t>相关资质（6分）</w:t>
            </w:r>
          </w:p>
        </w:tc>
        <w:tc>
          <w:tcPr>
            <w:tcW w:w="37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color w:val="auto"/>
                <w:kern w:val="0"/>
                <w:sz w:val="24"/>
                <w:szCs w:val="24"/>
                <w:lang w:val="en-US" w:eastAsia="zh-CN"/>
              </w:rPr>
              <w:t>0-6</w:t>
            </w:r>
          </w:p>
        </w:tc>
        <w:tc>
          <w:tcPr>
            <w:tcW w:w="3603" w:type="pct"/>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投标企业或制造厂家提供有车辆相关认证证书：质量管理体系认证证书，环境管理体系认证证书，职业健康安全管理体系认证证书；每提供一项2分，不提供不得分，满分 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7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kern w:val="0"/>
                <w:sz w:val="24"/>
                <w:szCs w:val="24"/>
                <w:lang w:val="en-US" w:eastAsia="zh-CN" w:bidi="ar-SA"/>
              </w:rPr>
            </w:pPr>
          </w:p>
        </w:tc>
        <w:tc>
          <w:tcPr>
            <w:tcW w:w="549"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售后服务承诺</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sz w:val="24"/>
                <w:szCs w:val="24"/>
                <w:lang w:val="en-US" w:eastAsia="zh-CN"/>
              </w:rPr>
              <w:t>分</w:t>
            </w:r>
            <w:r>
              <w:rPr>
                <w:rFonts w:hint="eastAsia" w:ascii="仿宋" w:hAnsi="仿宋" w:eastAsia="仿宋" w:cs="仿宋"/>
                <w:color w:val="auto"/>
                <w:kern w:val="0"/>
                <w:sz w:val="24"/>
                <w:szCs w:val="24"/>
                <w:lang w:eastAsia="zh-CN"/>
              </w:rPr>
              <w:t>）</w:t>
            </w:r>
          </w:p>
        </w:tc>
        <w:tc>
          <w:tcPr>
            <w:tcW w:w="37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color w:val="auto"/>
                <w:sz w:val="24"/>
                <w:szCs w:val="24"/>
                <w:lang w:val="en-US" w:eastAsia="zh-CN"/>
              </w:rPr>
              <w:t>0-8</w:t>
            </w:r>
          </w:p>
        </w:tc>
        <w:tc>
          <w:tcPr>
            <w:tcW w:w="3603" w:type="pct"/>
            <w:noWrap w:val="0"/>
            <w:vAlign w:val="center"/>
          </w:tcPr>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根据供应商针对本项目的售后服务方案及承诺、售后服务体系和故障快速解决方案及流程、售后服务沟通渠道及沟通团队等（包含但不限于）内容。</w:t>
            </w:r>
          </w:p>
          <w:p>
            <w:pPr>
              <w:pStyle w:val="8"/>
              <w:keepNext w:val="0"/>
              <w:keepLines w:val="0"/>
              <w:pageBreakBefore w:val="0"/>
              <w:widowControl/>
              <w:numPr>
                <w:ilvl w:val="0"/>
                <w:numId w:val="8"/>
              </w:numPr>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有售后服务方案及承诺、售后服务体系和故障快速解决方案，内容详细、完整、合理有效、可行性高、内容叙述条理清晰符合项目特点及需求、人员调配充足的得4分；有售后服务方案及承诺，但内容粗略，缺乏针对性、可行性低、人员调配不足的得2分；未提供或明显套用其他项目内容不得分。</w:t>
            </w:r>
          </w:p>
          <w:p>
            <w:pPr>
              <w:pStyle w:val="8"/>
              <w:keepNext w:val="0"/>
              <w:keepLines w:val="0"/>
              <w:pageBreakBefore w:val="0"/>
              <w:widowControl/>
              <w:numPr>
                <w:ilvl w:val="0"/>
                <w:numId w:val="8"/>
              </w:numPr>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有完整的故障快速解决方案及流程、售后服务沟通渠道及沟通团队,与项目有关的其他注意事项内容，内容详细、完整、合理有效、可行性高、内容叙述条理清晰符合项目特点及需求、能够贴合项目特点快速解决预想故障的得4分；有故障快速解决方案及流程、售后服务沟通渠道及沟通团队等内容，但内容粗略，缺乏针对性、可行性低、无法快速解决预想故障的得2分，未提供或明显套用其他项目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4529" w:type="pct"/>
          <w:trHeight w:val="391" w:hRule="atLeast"/>
          <w:jc w:val="center"/>
        </w:trPr>
        <w:tc>
          <w:tcPr>
            <w:tcW w:w="47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7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4"/>
                <w:szCs w:val="24"/>
                <w:lang w:val="en-US" w:eastAsia="zh-CN"/>
              </w:rPr>
            </w:pPr>
          </w:p>
        </w:tc>
        <w:tc>
          <w:tcPr>
            <w:tcW w:w="549"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响应报价</w:t>
            </w:r>
          </w:p>
        </w:tc>
        <w:tc>
          <w:tcPr>
            <w:tcW w:w="37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3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投标报价采用综合评分法计算，即满足磋商文件要求且响应价格最低的响应报价为评标基准价，其价格分为满分。其他供应商的价格分统一按照下列公式计算：响应报价得分=(</w:t>
            </w:r>
            <w:r>
              <w:rPr>
                <w:rFonts w:hint="eastAsia" w:ascii="仿宋" w:hAnsi="仿宋" w:eastAsia="仿宋" w:cs="仿宋"/>
                <w:color w:val="auto"/>
                <w:kern w:val="0"/>
                <w:sz w:val="24"/>
                <w:szCs w:val="24"/>
                <w:lang w:val="en-US" w:eastAsia="zh-CN"/>
              </w:rPr>
              <w:t>评标基准价／响应报价)</w:t>
            </w:r>
            <w:r>
              <w:rPr>
                <w:rFonts w:hint="eastAsia" w:ascii="仿宋" w:hAnsi="仿宋" w:eastAsia="仿宋" w:cs="仿宋"/>
                <w:color w:val="auto"/>
                <w:sz w:val="24"/>
                <w:szCs w:val="24"/>
                <w:lang w:val="en-US" w:eastAsia="zh-CN"/>
              </w:rPr>
              <w:t>×价格权值×100。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合计得分</w:t>
            </w:r>
          </w:p>
        </w:tc>
      </w:tr>
    </w:tbl>
    <w:p>
      <w:pPr>
        <w:pStyle w:val="14"/>
        <w:ind w:left="0" w:leftChars="0" w:firstLine="0" w:firstLineChars="0"/>
        <w:rPr>
          <w:rFonts w:hint="eastAsia" w:ascii="仿宋" w:hAnsi="仿宋" w:eastAsia="仿宋" w:cs="仿宋"/>
          <w:color w:val="auto"/>
          <w:lang w:val="en-US" w:eastAsia="zh-CN"/>
        </w:rPr>
        <w:sectPr>
          <w:pgSz w:w="16838" w:h="11906" w:orient="landscape"/>
          <w:pgMar w:top="1803" w:right="1440" w:bottom="1803" w:left="1440" w:header="850" w:footer="992" w:gutter="0"/>
          <w:pgNumType w:fmt="decimal"/>
          <w:cols w:space="720" w:num="1"/>
          <w:rtlGutter w:val="0"/>
          <w:docGrid w:type="lines" w:linePitch="312" w:charSpace="0"/>
        </w:sectPr>
      </w:pPr>
    </w:p>
    <w:p>
      <w:pPr>
        <w:pStyle w:val="7"/>
        <w:pageBreakBefore w:val="0"/>
        <w:widowControl w:val="0"/>
        <w:kinsoku/>
        <w:wordWrap/>
        <w:overflowPunct/>
        <w:topLinePunct w:val="0"/>
        <w:autoSpaceDE/>
        <w:autoSpaceDN/>
        <w:bidi w:val="0"/>
        <w:adjustRightInd/>
        <w:snapToGrid/>
        <w:spacing w:before="0" w:after="0" w:line="440" w:lineRule="exact"/>
        <w:jc w:val="both"/>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方法及流程</w:t>
      </w:r>
    </w:p>
    <w:p>
      <w:pPr>
        <w:pStyle w:val="8"/>
        <w:pageBreakBefore w:val="0"/>
        <w:widowControl w:val="0"/>
        <w:numPr>
          <w:ilvl w:val="0"/>
          <w:numId w:val="0"/>
        </w:numPr>
        <w:kinsoku/>
        <w:wordWrap/>
        <w:overflowPunct/>
        <w:topLinePunct w:val="0"/>
        <w:autoSpaceDE/>
        <w:autoSpaceDN/>
        <w:bidi w:val="0"/>
        <w:adjustRightInd/>
        <w:snapToGrid/>
        <w:spacing w:line="440" w:lineRule="exact"/>
        <w:ind w:leftChars="0" w:firstLine="240" w:firstLineChars="100"/>
        <w:textAlignment w:val="auto"/>
        <w:rPr>
          <w:rFonts w:hint="eastAsia" w:ascii="仿宋" w:hAnsi="仿宋" w:eastAsia="仿宋" w:cs="仿宋"/>
          <w:b w:val="0"/>
          <w:bCs/>
          <w:color w:val="auto"/>
          <w:sz w:val="24"/>
        </w:rPr>
      </w:pPr>
      <w:bookmarkStart w:id="135" w:name="_Toc153615346"/>
      <w:bookmarkStart w:id="136" w:name="_Toc272350672"/>
      <w:bookmarkStart w:id="137" w:name="_Toc277758556"/>
      <w:bookmarkStart w:id="138" w:name="_Toc130697240"/>
      <w:bookmarkStart w:id="139" w:name="_Toc226966748"/>
      <w:bookmarkStart w:id="140" w:name="_Toc15012"/>
      <w:bookmarkStart w:id="141" w:name="_Toc191353076"/>
      <w:bookmarkStart w:id="142" w:name="_Toc209258336"/>
      <w:bookmarkStart w:id="143" w:name="_Toc243743417"/>
      <w:bookmarkStart w:id="144" w:name="_Toc130695648"/>
      <w:bookmarkStart w:id="145" w:name="_Toc243923431"/>
      <w:bookmarkStart w:id="146" w:name="_Toc245203945"/>
      <w:bookmarkStart w:id="147" w:name="_Toc271105740"/>
      <w:bookmarkStart w:id="148" w:name="_Toc279046927"/>
      <w:bookmarkStart w:id="149" w:name="_Toc226521760"/>
      <w:bookmarkStart w:id="150" w:name="_Toc278958220"/>
      <w:bookmarkStart w:id="151" w:name="_Toc185747638"/>
      <w:r>
        <w:rPr>
          <w:rFonts w:hint="eastAsia" w:ascii="仿宋" w:hAnsi="仿宋" w:eastAsia="仿宋" w:cs="仿宋"/>
          <w:b w:val="0"/>
          <w:bCs/>
          <w:color w:val="auto"/>
          <w:sz w:val="24"/>
          <w:lang w:val="en-US" w:eastAsia="zh-CN"/>
        </w:rPr>
        <w:t>2.1</w:t>
      </w:r>
      <w:r>
        <w:rPr>
          <w:rFonts w:hint="eastAsia" w:ascii="仿宋" w:hAnsi="仿宋" w:eastAsia="仿宋" w:cs="仿宋"/>
          <w:b w:val="0"/>
          <w:bCs/>
          <w:color w:val="auto"/>
          <w:sz w:val="24"/>
          <w:lang w:eastAsia="zh-CN"/>
        </w:rPr>
        <w:t>评审</w:t>
      </w:r>
      <w:r>
        <w:rPr>
          <w:rFonts w:hint="eastAsia" w:ascii="仿宋" w:hAnsi="仿宋" w:eastAsia="仿宋" w:cs="仿宋"/>
          <w:b w:val="0"/>
          <w:bCs/>
          <w:color w:val="auto"/>
          <w:sz w:val="24"/>
        </w:rPr>
        <w:t>方法</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color w:val="auto"/>
          <w:sz w:val="24"/>
        </w:rPr>
      </w:pPr>
      <w:r>
        <w:rPr>
          <w:rFonts w:hint="eastAsia" w:ascii="仿宋" w:hAnsi="仿宋" w:eastAsia="仿宋" w:cs="仿宋"/>
          <w:b w:val="0"/>
          <w:bCs/>
          <w:color w:val="auto"/>
          <w:sz w:val="24"/>
          <w:highlight w:val="none"/>
        </w:rPr>
        <w:t>经磋商确定最终采购需求和提交最后报价的供应商后，由磋商小组采用综合评分法对提交最后报价的供应商的响应文件和最后报价进行综合评分。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rPr>
      </w:pPr>
      <w:r>
        <w:rPr>
          <w:rFonts w:hint="eastAsia" w:ascii="仿宋" w:hAnsi="仿宋" w:eastAsia="仿宋" w:cs="仿宋"/>
          <w:b w:val="0"/>
          <w:bCs/>
          <w:color w:val="auto"/>
          <w:sz w:val="24"/>
        </w:rPr>
        <w:t>综合评分法</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highlight w:val="none"/>
        </w:rPr>
        <w:t>是指响应文件满足磋商文件全部实质性要求且按评审因素的量化指标</w:t>
      </w:r>
      <w:r>
        <w:rPr>
          <w:rFonts w:hint="eastAsia" w:ascii="仿宋" w:hAnsi="仿宋" w:eastAsia="仿宋" w:cs="仿宋"/>
          <w:color w:val="auto"/>
          <w:sz w:val="24"/>
          <w:highlight w:val="none"/>
        </w:rPr>
        <w:t>评审得分最高的供应商为成交候选供应商的评审方法。</w:t>
      </w:r>
    </w:p>
    <w:p>
      <w:pPr>
        <w:pStyle w:val="8"/>
        <w:pageBreakBefore w:val="0"/>
        <w:widowControl w:val="0"/>
        <w:numPr>
          <w:ilvl w:val="0"/>
          <w:numId w:val="0"/>
        </w:numPr>
        <w:kinsoku/>
        <w:wordWrap/>
        <w:overflowPunct/>
        <w:topLinePunct w:val="0"/>
        <w:autoSpaceDE/>
        <w:autoSpaceDN/>
        <w:bidi w:val="0"/>
        <w:adjustRightInd/>
        <w:snapToGrid/>
        <w:spacing w:line="440" w:lineRule="exact"/>
        <w:ind w:leftChars="0" w:firstLine="240" w:firstLineChars="100"/>
        <w:textAlignment w:val="auto"/>
        <w:rPr>
          <w:rFonts w:hint="eastAsia" w:ascii="仿宋" w:hAnsi="仿宋" w:eastAsia="仿宋" w:cs="仿宋"/>
          <w:b w:val="0"/>
          <w:bCs/>
          <w:color w:val="auto"/>
          <w:sz w:val="24"/>
        </w:rPr>
      </w:pPr>
      <w:bookmarkStart w:id="152" w:name="_Toc10660"/>
      <w:bookmarkStart w:id="153" w:name="_Toc277758557"/>
      <w:bookmarkStart w:id="154" w:name="_Toc278958221"/>
      <w:bookmarkStart w:id="155" w:name="_Toc272350673"/>
      <w:bookmarkStart w:id="156" w:name="_Toc243743418"/>
      <w:bookmarkStart w:id="157" w:name="_Toc271105741"/>
      <w:bookmarkStart w:id="158" w:name="_Toc226521761"/>
      <w:bookmarkStart w:id="159" w:name="_Toc243923432"/>
      <w:bookmarkStart w:id="160" w:name="_Toc279046928"/>
      <w:bookmarkStart w:id="161" w:name="_Toc245203946"/>
      <w:bookmarkStart w:id="162" w:name="_Toc153615347"/>
      <w:bookmarkStart w:id="163" w:name="_Toc130695649"/>
      <w:bookmarkStart w:id="164" w:name="_Toc185747639"/>
      <w:bookmarkStart w:id="165" w:name="_Toc226966749"/>
      <w:bookmarkStart w:id="166" w:name="_Toc130697241"/>
      <w:bookmarkStart w:id="167" w:name="_Toc209258337"/>
      <w:bookmarkStart w:id="168" w:name="_Toc191353077"/>
      <w:r>
        <w:rPr>
          <w:rFonts w:hint="eastAsia" w:ascii="仿宋" w:hAnsi="仿宋" w:eastAsia="仿宋" w:cs="仿宋"/>
          <w:b w:val="0"/>
          <w:bCs/>
          <w:color w:val="auto"/>
          <w:sz w:val="24"/>
          <w:lang w:val="en-US" w:eastAsia="zh-CN"/>
        </w:rPr>
        <w:t>2.2</w:t>
      </w:r>
      <w:r>
        <w:rPr>
          <w:rFonts w:hint="eastAsia" w:ascii="仿宋" w:hAnsi="仿宋" w:eastAsia="仿宋" w:cs="仿宋"/>
          <w:b w:val="0"/>
          <w:bCs/>
          <w:color w:val="auto"/>
          <w:sz w:val="24"/>
          <w:lang w:eastAsia="zh-CN"/>
        </w:rPr>
        <w:t>评审</w:t>
      </w:r>
      <w:r>
        <w:rPr>
          <w:rFonts w:hint="eastAsia" w:ascii="仿宋" w:hAnsi="仿宋" w:eastAsia="仿宋" w:cs="仿宋"/>
          <w:b w:val="0"/>
          <w:bCs/>
          <w:color w:val="auto"/>
          <w:sz w:val="24"/>
        </w:rPr>
        <w:t>流程</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eastAsia="zh-CN"/>
        </w:rPr>
        <w:t>评审</w:t>
      </w:r>
      <w:r>
        <w:rPr>
          <w:rFonts w:hint="eastAsia" w:ascii="仿宋" w:hAnsi="仿宋" w:eastAsia="仿宋" w:cs="仿宋"/>
          <w:bCs/>
          <w:color w:val="auto"/>
          <w:sz w:val="24"/>
        </w:rPr>
        <w:t>分两个阶段进行：</w:t>
      </w:r>
      <w:r>
        <w:rPr>
          <w:rFonts w:hint="eastAsia" w:ascii="仿宋" w:hAnsi="仿宋" w:eastAsia="仿宋" w:cs="仿宋"/>
          <w:bCs/>
          <w:color w:val="auto"/>
          <w:sz w:val="24"/>
          <w:lang w:eastAsia="zh-CN"/>
        </w:rPr>
        <w:t>响应</w:t>
      </w:r>
      <w:r>
        <w:rPr>
          <w:rFonts w:hint="eastAsia" w:ascii="仿宋" w:hAnsi="仿宋" w:eastAsia="仿宋" w:cs="仿宋"/>
          <w:bCs/>
          <w:color w:val="auto"/>
          <w:sz w:val="24"/>
        </w:rPr>
        <w:t>文件符合性审查和</w:t>
      </w:r>
      <w:r>
        <w:rPr>
          <w:rFonts w:hint="eastAsia" w:ascii="仿宋" w:hAnsi="仿宋" w:eastAsia="仿宋" w:cs="仿宋"/>
          <w:bCs/>
          <w:color w:val="auto"/>
          <w:sz w:val="24"/>
          <w:lang w:eastAsia="zh-CN"/>
        </w:rPr>
        <w:t>响应</w:t>
      </w:r>
      <w:r>
        <w:rPr>
          <w:rFonts w:hint="eastAsia" w:ascii="仿宋" w:hAnsi="仿宋" w:eastAsia="仿宋" w:cs="仿宋"/>
          <w:bCs/>
          <w:color w:val="auto"/>
          <w:sz w:val="24"/>
        </w:rPr>
        <w:t>文件详细评审。具体方法及流程如下：</w:t>
      </w:r>
    </w:p>
    <w:p>
      <w:pPr>
        <w:pageBreakBefore w:val="0"/>
        <w:widowControl w:val="0"/>
        <w:numPr>
          <w:ilvl w:val="0"/>
          <w:numId w:val="9"/>
        </w:numPr>
        <w:kinsoku/>
        <w:wordWrap/>
        <w:overflowPunct/>
        <w:topLinePunct w:val="0"/>
        <w:autoSpaceDE/>
        <w:autoSpaceDN/>
        <w:bidi w:val="0"/>
        <w:adjustRightInd/>
        <w:snapToGrid/>
        <w:spacing w:line="440" w:lineRule="exact"/>
        <w:ind w:left="454" w:leftChars="0" w:hanging="171" w:firstLineChars="0"/>
        <w:textAlignment w:val="auto"/>
        <w:rPr>
          <w:rFonts w:hint="eastAsia" w:ascii="仿宋" w:hAnsi="仿宋" w:eastAsia="仿宋" w:cs="仿宋"/>
          <w:bCs/>
          <w:color w:val="auto"/>
          <w:sz w:val="24"/>
        </w:rPr>
      </w:pPr>
      <w:r>
        <w:rPr>
          <w:rFonts w:hint="eastAsia" w:ascii="仿宋" w:hAnsi="仿宋" w:eastAsia="仿宋" w:cs="仿宋"/>
          <w:bCs/>
          <w:color w:val="auto"/>
          <w:sz w:val="24"/>
          <w:lang w:eastAsia="zh-CN"/>
        </w:rPr>
        <w:t>响应</w:t>
      </w:r>
      <w:r>
        <w:rPr>
          <w:rFonts w:hint="eastAsia" w:ascii="仿宋" w:hAnsi="仿宋" w:eastAsia="仿宋" w:cs="仿宋"/>
          <w:bCs/>
          <w:color w:val="auto"/>
          <w:sz w:val="24"/>
        </w:rPr>
        <w:t>文件符合性审查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rPr>
        <w:t>各评委对各</w:t>
      </w:r>
      <w:r>
        <w:rPr>
          <w:rFonts w:hint="eastAsia" w:ascii="仿宋" w:hAnsi="仿宋" w:eastAsia="仿宋" w:cs="仿宋"/>
          <w:bCs/>
          <w:color w:val="auto"/>
          <w:sz w:val="24"/>
          <w:lang w:eastAsia="zh-CN"/>
        </w:rPr>
        <w:t>响应</w:t>
      </w:r>
      <w:r>
        <w:rPr>
          <w:rFonts w:hint="eastAsia" w:ascii="仿宋" w:hAnsi="仿宋" w:eastAsia="仿宋" w:cs="仿宋"/>
          <w:bCs/>
          <w:color w:val="auto"/>
          <w:sz w:val="24"/>
        </w:rPr>
        <w:t>文件按照</w:t>
      </w:r>
      <w:r>
        <w:rPr>
          <w:rFonts w:hint="eastAsia" w:ascii="仿宋" w:hAnsi="仿宋" w:eastAsia="仿宋" w:cs="仿宋"/>
          <w:bCs/>
          <w:color w:val="auto"/>
          <w:sz w:val="24"/>
          <w:lang w:eastAsia="zh-CN"/>
        </w:rPr>
        <w:t>采购</w:t>
      </w:r>
      <w:r>
        <w:rPr>
          <w:rFonts w:hint="eastAsia" w:ascii="仿宋" w:hAnsi="仿宋" w:eastAsia="仿宋" w:cs="仿宋"/>
          <w:bCs/>
          <w:color w:val="auto"/>
          <w:sz w:val="24"/>
        </w:rPr>
        <w:t>文件要求的响应情况进行符合性审查。符合性审查必须根据</w:t>
      </w:r>
      <w:r>
        <w:rPr>
          <w:rFonts w:hint="eastAsia" w:ascii="仿宋" w:hAnsi="仿宋" w:eastAsia="仿宋" w:cs="仿宋"/>
          <w:bCs/>
          <w:color w:val="auto"/>
          <w:sz w:val="24"/>
          <w:lang w:eastAsia="zh-CN"/>
        </w:rPr>
        <w:t>采购</w:t>
      </w:r>
      <w:r>
        <w:rPr>
          <w:rFonts w:hint="eastAsia" w:ascii="仿宋" w:hAnsi="仿宋" w:eastAsia="仿宋" w:cs="仿宋"/>
          <w:bCs/>
          <w:color w:val="auto"/>
          <w:sz w:val="24"/>
        </w:rPr>
        <w:t>文件中对</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的要求和</w:t>
      </w:r>
      <w:r>
        <w:rPr>
          <w:rFonts w:hint="eastAsia" w:ascii="仿宋" w:hAnsi="仿宋" w:eastAsia="仿宋" w:cs="仿宋"/>
          <w:bCs/>
          <w:color w:val="auto"/>
          <w:sz w:val="24"/>
          <w:lang w:eastAsia="zh-CN"/>
        </w:rPr>
        <w:t>响应</w:t>
      </w:r>
      <w:r>
        <w:rPr>
          <w:rFonts w:hint="eastAsia" w:ascii="仿宋" w:hAnsi="仿宋" w:eastAsia="仿宋" w:cs="仿宋"/>
          <w:bCs/>
          <w:color w:val="auto"/>
          <w:sz w:val="24"/>
        </w:rPr>
        <w:t>文件中的响应进行。</w:t>
      </w:r>
    </w:p>
    <w:p>
      <w:pPr>
        <w:pageBreakBefore w:val="0"/>
        <w:widowControl w:val="0"/>
        <w:kinsoku/>
        <w:wordWrap/>
        <w:overflowPunct/>
        <w:topLinePunct w:val="0"/>
        <w:autoSpaceDE/>
        <w:autoSpaceDN/>
        <w:bidi w:val="0"/>
        <w:adjustRightInd/>
        <w:snapToGrid/>
        <w:spacing w:line="440" w:lineRule="exact"/>
        <w:ind w:left="-2" w:leftChars="-1" w:firstLine="480" w:firstLineChars="200"/>
        <w:jc w:val="left"/>
        <w:textAlignment w:val="auto"/>
        <w:rPr>
          <w:rFonts w:hint="eastAsia" w:ascii="仿宋" w:hAnsi="仿宋" w:eastAsia="仿宋" w:cs="仿宋"/>
          <w:bCs/>
          <w:color w:val="auto"/>
          <w:sz w:val="24"/>
        </w:rPr>
      </w:pPr>
      <w:r>
        <w:rPr>
          <w:rFonts w:hint="eastAsia" w:ascii="仿宋" w:hAnsi="仿宋" w:eastAsia="仿宋" w:cs="仿宋"/>
          <w:bCs/>
          <w:color w:val="auto"/>
          <w:sz w:val="24"/>
          <w:lang w:eastAsia="zh-CN"/>
        </w:rPr>
        <w:t>评审</w:t>
      </w:r>
      <w:r>
        <w:rPr>
          <w:rFonts w:hint="eastAsia" w:ascii="仿宋" w:hAnsi="仿宋" w:eastAsia="仿宋" w:cs="仿宋"/>
          <w:bCs/>
          <w:color w:val="auto"/>
          <w:sz w:val="24"/>
        </w:rPr>
        <w:t>委员会可以书面方式要求</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对</w:t>
      </w:r>
      <w:r>
        <w:rPr>
          <w:rFonts w:hint="eastAsia" w:ascii="仿宋" w:hAnsi="仿宋" w:eastAsia="仿宋" w:cs="仿宋"/>
          <w:bCs/>
          <w:color w:val="auto"/>
          <w:sz w:val="24"/>
          <w:lang w:eastAsia="zh-CN"/>
        </w:rPr>
        <w:t>响应</w:t>
      </w:r>
      <w:r>
        <w:rPr>
          <w:rFonts w:hint="eastAsia" w:ascii="仿宋" w:hAnsi="仿宋" w:eastAsia="仿宋" w:cs="仿宋"/>
          <w:bCs/>
          <w:color w:val="auto"/>
          <w:sz w:val="24"/>
        </w:rPr>
        <w:t>文件中含义不明确、对同类问题表述不一致或者有明显文字和计算错误的内容作必要的澄清与说明。澄清与说明应以书面方式进行并不得超出</w:t>
      </w:r>
      <w:r>
        <w:rPr>
          <w:rFonts w:hint="eastAsia" w:ascii="仿宋" w:hAnsi="仿宋" w:eastAsia="仿宋" w:cs="仿宋"/>
          <w:bCs/>
          <w:color w:val="auto"/>
          <w:sz w:val="24"/>
          <w:lang w:eastAsia="zh-CN"/>
        </w:rPr>
        <w:t>响应</w:t>
      </w:r>
      <w:r>
        <w:rPr>
          <w:rFonts w:hint="eastAsia" w:ascii="仿宋" w:hAnsi="仿宋" w:eastAsia="仿宋" w:cs="仿宋"/>
          <w:bCs/>
          <w:color w:val="auto"/>
          <w:sz w:val="24"/>
        </w:rPr>
        <w:t>文件的范围或者改变</w:t>
      </w:r>
      <w:r>
        <w:rPr>
          <w:rFonts w:hint="eastAsia" w:ascii="仿宋" w:hAnsi="仿宋" w:eastAsia="仿宋" w:cs="仿宋"/>
          <w:bCs/>
          <w:color w:val="auto"/>
          <w:sz w:val="24"/>
          <w:lang w:eastAsia="zh-CN"/>
        </w:rPr>
        <w:t>响应</w:t>
      </w:r>
      <w:r>
        <w:rPr>
          <w:rFonts w:hint="eastAsia" w:ascii="仿宋" w:hAnsi="仿宋" w:eastAsia="仿宋" w:cs="仿宋"/>
          <w:bCs/>
          <w:color w:val="auto"/>
          <w:sz w:val="24"/>
        </w:rPr>
        <w:t>文件的实质性内容。</w:t>
      </w:r>
    </w:p>
    <w:p>
      <w:pPr>
        <w:pageBreakBefore w:val="0"/>
        <w:widowControl w:val="0"/>
        <w:kinsoku/>
        <w:wordWrap/>
        <w:overflowPunct/>
        <w:topLinePunct w:val="0"/>
        <w:autoSpaceDE/>
        <w:autoSpaceDN/>
        <w:bidi w:val="0"/>
        <w:adjustRightInd/>
        <w:snapToGrid/>
        <w:spacing w:line="440" w:lineRule="exact"/>
        <w:ind w:left="-2" w:leftChars="-1" w:firstLine="480" w:firstLineChars="200"/>
        <w:jc w:val="left"/>
        <w:textAlignment w:val="auto"/>
        <w:rPr>
          <w:rFonts w:hint="eastAsia" w:ascii="仿宋" w:hAnsi="仿宋" w:eastAsia="仿宋" w:cs="仿宋"/>
          <w:bCs/>
          <w:color w:val="auto"/>
          <w:sz w:val="24"/>
        </w:rPr>
      </w:pPr>
      <w:r>
        <w:rPr>
          <w:rFonts w:hint="eastAsia" w:ascii="仿宋" w:hAnsi="仿宋" w:eastAsia="仿宋" w:cs="仿宋"/>
          <w:bCs/>
          <w:color w:val="auto"/>
          <w:sz w:val="24"/>
        </w:rPr>
        <w:t>在评审中发现关键指标/参数/货物/功能等未能达到</w:t>
      </w:r>
      <w:r>
        <w:rPr>
          <w:rFonts w:hint="eastAsia" w:ascii="仿宋" w:hAnsi="仿宋" w:eastAsia="仿宋" w:cs="仿宋"/>
          <w:bCs/>
          <w:color w:val="auto"/>
          <w:sz w:val="24"/>
          <w:lang w:eastAsia="zh-CN"/>
        </w:rPr>
        <w:t>采购</w:t>
      </w:r>
      <w:r>
        <w:rPr>
          <w:rFonts w:hint="eastAsia" w:ascii="仿宋" w:hAnsi="仿宋" w:eastAsia="仿宋" w:cs="仿宋"/>
          <w:bCs/>
          <w:color w:val="auto"/>
          <w:sz w:val="24"/>
        </w:rPr>
        <w:t>文件中的规定或有虚假情况时，</w:t>
      </w:r>
      <w:r>
        <w:rPr>
          <w:rFonts w:hint="eastAsia" w:ascii="仿宋" w:hAnsi="仿宋" w:eastAsia="仿宋" w:cs="仿宋"/>
          <w:bCs/>
          <w:color w:val="auto"/>
          <w:sz w:val="24"/>
          <w:lang w:eastAsia="zh-CN"/>
        </w:rPr>
        <w:t>评审</w:t>
      </w:r>
      <w:r>
        <w:rPr>
          <w:rFonts w:hint="eastAsia" w:ascii="仿宋" w:hAnsi="仿宋" w:eastAsia="仿宋" w:cs="仿宋"/>
          <w:bCs/>
          <w:color w:val="auto"/>
          <w:sz w:val="24"/>
        </w:rPr>
        <w:t>委员会有权取消其</w:t>
      </w:r>
      <w:r>
        <w:rPr>
          <w:rFonts w:hint="eastAsia" w:ascii="仿宋" w:hAnsi="仿宋" w:eastAsia="仿宋" w:cs="仿宋"/>
          <w:bCs/>
          <w:color w:val="auto"/>
          <w:sz w:val="24"/>
          <w:lang w:eastAsia="zh-CN"/>
        </w:rPr>
        <w:t>响应</w:t>
      </w:r>
      <w:r>
        <w:rPr>
          <w:rFonts w:hint="eastAsia" w:ascii="仿宋" w:hAnsi="仿宋" w:eastAsia="仿宋" w:cs="仿宋"/>
          <w:bCs/>
          <w:color w:val="auto"/>
          <w:sz w:val="24"/>
        </w:rPr>
        <w:t>资格。</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只有完全通过符合性审查，才能进入下一阶段的详细评审，否则视为无效</w:t>
      </w:r>
      <w:r>
        <w:rPr>
          <w:rFonts w:hint="eastAsia" w:ascii="仿宋" w:hAnsi="仿宋" w:eastAsia="仿宋" w:cs="仿宋"/>
          <w:bCs/>
          <w:color w:val="auto"/>
          <w:sz w:val="24"/>
          <w:lang w:eastAsia="zh-CN"/>
        </w:rPr>
        <w:t>响应</w:t>
      </w:r>
      <w:r>
        <w:rPr>
          <w:rFonts w:hint="eastAsia" w:ascii="仿宋" w:hAnsi="仿宋" w:eastAsia="仿宋" w:cs="仿宋"/>
          <w:bCs/>
          <w:color w:val="auto"/>
          <w:sz w:val="24"/>
        </w:rPr>
        <w:t>。</w:t>
      </w:r>
    </w:p>
    <w:p>
      <w:pPr>
        <w:pageBreakBefore w:val="0"/>
        <w:widowControl w:val="0"/>
        <w:numPr>
          <w:ilvl w:val="0"/>
          <w:numId w:val="9"/>
        </w:numPr>
        <w:kinsoku/>
        <w:wordWrap/>
        <w:overflowPunct/>
        <w:topLinePunct w:val="0"/>
        <w:autoSpaceDE/>
        <w:autoSpaceDN/>
        <w:bidi w:val="0"/>
        <w:adjustRightInd/>
        <w:snapToGrid/>
        <w:spacing w:line="440" w:lineRule="exact"/>
        <w:ind w:left="454" w:leftChars="0" w:hanging="171" w:firstLineChars="0"/>
        <w:textAlignment w:val="auto"/>
        <w:rPr>
          <w:rFonts w:hint="eastAsia" w:ascii="仿宋" w:hAnsi="仿宋" w:eastAsia="仿宋" w:cs="仿宋"/>
          <w:bCs/>
          <w:color w:val="auto"/>
          <w:sz w:val="24"/>
        </w:rPr>
      </w:pPr>
      <w:r>
        <w:rPr>
          <w:rFonts w:hint="eastAsia" w:ascii="仿宋" w:hAnsi="仿宋" w:eastAsia="仿宋" w:cs="仿宋"/>
          <w:bCs/>
          <w:color w:val="auto"/>
          <w:sz w:val="24"/>
          <w:lang w:eastAsia="zh-CN"/>
        </w:rPr>
        <w:t>响应</w:t>
      </w:r>
      <w:r>
        <w:rPr>
          <w:rFonts w:hint="eastAsia" w:ascii="仿宋" w:hAnsi="仿宋" w:eastAsia="仿宋" w:cs="仿宋"/>
          <w:bCs/>
          <w:color w:val="auto"/>
          <w:sz w:val="24"/>
        </w:rPr>
        <w:t>文件详细评审</w:t>
      </w:r>
    </w:p>
    <w:p>
      <w:pPr>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仿宋" w:hAnsi="仿宋" w:eastAsia="仿宋" w:cs="仿宋"/>
          <w:bCs/>
          <w:color w:val="auto"/>
          <w:sz w:val="24"/>
          <w:szCs w:val="22"/>
        </w:rPr>
      </w:pPr>
      <w:r>
        <w:rPr>
          <w:rFonts w:hint="eastAsia" w:ascii="仿宋" w:hAnsi="仿宋" w:eastAsia="仿宋" w:cs="仿宋"/>
          <w:bCs/>
          <w:color w:val="auto"/>
          <w:sz w:val="24"/>
          <w:szCs w:val="22"/>
        </w:rPr>
        <w:t>2.</w:t>
      </w:r>
      <w:r>
        <w:rPr>
          <w:rFonts w:hint="eastAsia" w:ascii="仿宋" w:hAnsi="仿宋" w:eastAsia="仿宋" w:cs="仿宋"/>
          <w:bCs/>
          <w:color w:val="auto"/>
          <w:sz w:val="24"/>
          <w:szCs w:val="22"/>
          <w:lang w:val="en-US" w:eastAsia="zh-CN"/>
        </w:rPr>
        <w:t>3</w:t>
      </w:r>
      <w:r>
        <w:rPr>
          <w:rFonts w:hint="eastAsia" w:ascii="仿宋" w:hAnsi="仿宋" w:eastAsia="仿宋" w:cs="仿宋"/>
          <w:bCs/>
          <w:color w:val="auto"/>
          <w:sz w:val="24"/>
          <w:szCs w:val="22"/>
        </w:rPr>
        <w:t>详细评审</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auto"/>
          <w:sz w:val="24"/>
          <w:szCs w:val="22"/>
        </w:rPr>
      </w:pPr>
      <w:r>
        <w:rPr>
          <w:rFonts w:hint="eastAsia" w:ascii="仿宋" w:hAnsi="仿宋" w:eastAsia="仿宋" w:cs="仿宋"/>
          <w:bCs/>
          <w:color w:val="auto"/>
          <w:sz w:val="24"/>
          <w:szCs w:val="22"/>
        </w:rPr>
        <w:t>2.</w:t>
      </w:r>
      <w:r>
        <w:rPr>
          <w:rFonts w:hint="eastAsia" w:ascii="仿宋" w:hAnsi="仿宋" w:eastAsia="仿宋" w:cs="仿宋"/>
          <w:bCs/>
          <w:color w:val="auto"/>
          <w:sz w:val="24"/>
          <w:szCs w:val="22"/>
          <w:lang w:val="en-US" w:eastAsia="zh-CN"/>
        </w:rPr>
        <w:t>3</w:t>
      </w:r>
      <w:r>
        <w:rPr>
          <w:rFonts w:hint="eastAsia" w:ascii="仿宋" w:hAnsi="仿宋" w:eastAsia="仿宋" w:cs="仿宋"/>
          <w:bCs/>
          <w:color w:val="auto"/>
          <w:sz w:val="24"/>
          <w:szCs w:val="22"/>
        </w:rPr>
        <w:t>.1</w:t>
      </w:r>
      <w:r>
        <w:rPr>
          <w:rFonts w:hint="eastAsia" w:ascii="仿宋" w:hAnsi="仿宋" w:eastAsia="仿宋" w:cs="仿宋"/>
          <w:bCs/>
          <w:color w:val="auto"/>
          <w:sz w:val="24"/>
          <w:szCs w:val="22"/>
          <w:lang w:eastAsia="zh-CN"/>
        </w:rPr>
        <w:t>评审</w:t>
      </w:r>
      <w:r>
        <w:rPr>
          <w:rFonts w:hint="eastAsia" w:ascii="仿宋" w:hAnsi="仿宋" w:eastAsia="仿宋" w:cs="仿宋"/>
          <w:bCs/>
          <w:color w:val="auto"/>
          <w:sz w:val="24"/>
          <w:szCs w:val="22"/>
        </w:rPr>
        <w:t>委员会对符合性审查合格的</w:t>
      </w:r>
      <w:r>
        <w:rPr>
          <w:rFonts w:hint="eastAsia" w:ascii="仿宋" w:hAnsi="仿宋" w:eastAsia="仿宋" w:cs="仿宋"/>
          <w:bCs/>
          <w:color w:val="auto"/>
          <w:sz w:val="24"/>
          <w:szCs w:val="22"/>
          <w:lang w:eastAsia="zh-CN"/>
        </w:rPr>
        <w:t>响应</w:t>
      </w:r>
      <w:r>
        <w:rPr>
          <w:rFonts w:hint="eastAsia" w:ascii="仿宋" w:hAnsi="仿宋" w:eastAsia="仿宋" w:cs="仿宋"/>
          <w:bCs/>
          <w:color w:val="auto"/>
          <w:sz w:val="24"/>
          <w:szCs w:val="22"/>
        </w:rPr>
        <w:t>文件进行商务和技术评审。以</w:t>
      </w:r>
      <w:r>
        <w:rPr>
          <w:rFonts w:hint="eastAsia" w:ascii="仿宋" w:hAnsi="仿宋" w:eastAsia="仿宋" w:cs="仿宋"/>
          <w:bCs/>
          <w:color w:val="auto"/>
          <w:sz w:val="24"/>
          <w:szCs w:val="22"/>
          <w:lang w:eastAsia="zh-CN"/>
        </w:rPr>
        <w:t>响应</w:t>
      </w:r>
      <w:r>
        <w:rPr>
          <w:rFonts w:hint="eastAsia" w:ascii="仿宋" w:hAnsi="仿宋" w:eastAsia="仿宋" w:cs="仿宋"/>
          <w:bCs/>
          <w:color w:val="auto"/>
          <w:sz w:val="24"/>
          <w:szCs w:val="22"/>
        </w:rPr>
        <w:t>文件能最大限度地满足</w:t>
      </w:r>
      <w:r>
        <w:rPr>
          <w:rFonts w:hint="eastAsia" w:ascii="仿宋" w:hAnsi="仿宋" w:eastAsia="仿宋" w:cs="仿宋"/>
          <w:bCs/>
          <w:color w:val="auto"/>
          <w:sz w:val="24"/>
          <w:szCs w:val="22"/>
          <w:lang w:eastAsia="zh-CN"/>
        </w:rPr>
        <w:t>采购</w:t>
      </w:r>
      <w:r>
        <w:rPr>
          <w:rFonts w:hint="eastAsia" w:ascii="仿宋" w:hAnsi="仿宋" w:eastAsia="仿宋" w:cs="仿宋"/>
          <w:bCs/>
          <w:color w:val="auto"/>
          <w:sz w:val="24"/>
          <w:szCs w:val="22"/>
        </w:rPr>
        <w:t>文件中规定的各项评价标准为依据，独立地对各</w:t>
      </w:r>
      <w:r>
        <w:rPr>
          <w:rFonts w:hint="eastAsia" w:ascii="仿宋" w:hAnsi="仿宋" w:eastAsia="仿宋" w:cs="仿宋"/>
          <w:bCs/>
          <w:color w:val="auto"/>
          <w:sz w:val="24"/>
          <w:szCs w:val="22"/>
          <w:lang w:eastAsia="zh-CN"/>
        </w:rPr>
        <w:t>响应</w:t>
      </w:r>
      <w:r>
        <w:rPr>
          <w:rFonts w:hint="eastAsia" w:ascii="仿宋" w:hAnsi="仿宋" w:eastAsia="仿宋" w:cs="仿宋"/>
          <w:bCs/>
          <w:color w:val="auto"/>
          <w:sz w:val="24"/>
          <w:szCs w:val="22"/>
        </w:rPr>
        <w:t>文件进行评审和打分。</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auto"/>
          <w:sz w:val="24"/>
          <w:szCs w:val="22"/>
        </w:rPr>
      </w:pPr>
      <w:r>
        <w:rPr>
          <w:rFonts w:hint="eastAsia" w:ascii="仿宋" w:hAnsi="仿宋" w:eastAsia="仿宋" w:cs="仿宋"/>
          <w:bCs/>
          <w:color w:val="auto"/>
          <w:sz w:val="24"/>
          <w:szCs w:val="22"/>
        </w:rPr>
        <w:t>2.</w:t>
      </w:r>
      <w:r>
        <w:rPr>
          <w:rFonts w:hint="eastAsia" w:ascii="仿宋" w:hAnsi="仿宋" w:eastAsia="仿宋" w:cs="仿宋"/>
          <w:bCs/>
          <w:color w:val="auto"/>
          <w:sz w:val="24"/>
          <w:szCs w:val="22"/>
          <w:lang w:val="en-US" w:eastAsia="zh-CN"/>
        </w:rPr>
        <w:t>3</w:t>
      </w:r>
      <w:r>
        <w:rPr>
          <w:rFonts w:hint="eastAsia" w:ascii="仿宋" w:hAnsi="仿宋" w:eastAsia="仿宋" w:cs="仿宋"/>
          <w:bCs/>
          <w:color w:val="auto"/>
          <w:sz w:val="24"/>
          <w:szCs w:val="22"/>
        </w:rPr>
        <w:t>.2</w:t>
      </w:r>
      <w:r>
        <w:rPr>
          <w:rFonts w:hint="eastAsia" w:ascii="仿宋" w:hAnsi="仿宋" w:eastAsia="仿宋" w:cs="仿宋"/>
          <w:bCs/>
          <w:color w:val="auto"/>
          <w:sz w:val="24"/>
          <w:szCs w:val="22"/>
          <w:lang w:eastAsia="zh-CN"/>
        </w:rPr>
        <w:t>评审</w:t>
      </w:r>
      <w:r>
        <w:rPr>
          <w:rFonts w:hint="eastAsia" w:ascii="仿宋" w:hAnsi="仿宋" w:eastAsia="仿宋" w:cs="仿宋"/>
          <w:bCs/>
          <w:color w:val="auto"/>
          <w:sz w:val="24"/>
          <w:szCs w:val="22"/>
        </w:rPr>
        <w:t>委员会将对下述评审因素进行量化，并根据评委会每个成员对</w:t>
      </w:r>
      <w:r>
        <w:rPr>
          <w:rFonts w:hint="eastAsia" w:ascii="仿宋" w:hAnsi="仿宋" w:eastAsia="仿宋" w:cs="仿宋"/>
          <w:bCs/>
          <w:color w:val="auto"/>
          <w:sz w:val="24"/>
          <w:szCs w:val="22"/>
          <w:lang w:eastAsia="zh-CN"/>
        </w:rPr>
        <w:t>响应</w:t>
      </w:r>
      <w:r>
        <w:rPr>
          <w:rFonts w:hint="eastAsia" w:ascii="仿宋" w:hAnsi="仿宋" w:eastAsia="仿宋" w:cs="仿宋"/>
          <w:bCs/>
          <w:color w:val="auto"/>
          <w:sz w:val="24"/>
          <w:szCs w:val="22"/>
        </w:rPr>
        <w:t>文件的评审进行打分，满分为100分。价格满分为</w:t>
      </w:r>
      <w:r>
        <w:rPr>
          <w:rFonts w:hint="eastAsia" w:ascii="仿宋" w:hAnsi="仿宋" w:eastAsia="仿宋" w:cs="仿宋"/>
          <w:bCs/>
          <w:color w:val="auto"/>
          <w:sz w:val="24"/>
          <w:szCs w:val="22"/>
          <w:lang w:val="en-US" w:eastAsia="zh-CN"/>
        </w:rPr>
        <w:t>30</w:t>
      </w:r>
      <w:r>
        <w:rPr>
          <w:rFonts w:hint="eastAsia" w:ascii="仿宋" w:hAnsi="仿宋" w:eastAsia="仿宋" w:cs="仿宋"/>
          <w:bCs/>
          <w:color w:val="auto"/>
          <w:sz w:val="24"/>
          <w:szCs w:val="22"/>
        </w:rPr>
        <w:t>分，商务</w:t>
      </w:r>
      <w:r>
        <w:rPr>
          <w:rFonts w:hint="eastAsia" w:ascii="仿宋" w:hAnsi="仿宋" w:eastAsia="仿宋" w:cs="仿宋"/>
          <w:bCs/>
          <w:color w:val="auto"/>
          <w:sz w:val="24"/>
          <w:szCs w:val="22"/>
          <w:lang w:eastAsia="zh-CN"/>
        </w:rPr>
        <w:t>部分</w:t>
      </w:r>
      <w:r>
        <w:rPr>
          <w:rFonts w:hint="eastAsia" w:ascii="仿宋" w:hAnsi="仿宋" w:eastAsia="仿宋" w:cs="仿宋"/>
          <w:bCs/>
          <w:color w:val="auto"/>
          <w:sz w:val="24"/>
          <w:szCs w:val="22"/>
        </w:rPr>
        <w:t>、技术部分权重占</w:t>
      </w:r>
      <w:r>
        <w:rPr>
          <w:rFonts w:hint="eastAsia" w:ascii="仿宋" w:hAnsi="仿宋" w:eastAsia="仿宋" w:cs="仿宋"/>
          <w:bCs/>
          <w:color w:val="auto"/>
          <w:sz w:val="24"/>
          <w:szCs w:val="22"/>
          <w:lang w:val="en-US" w:eastAsia="zh-CN"/>
        </w:rPr>
        <w:t>70</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两部分的分值相加，即为该</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的综合评估分</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办法前附表</w:t>
      </w:r>
      <w:r>
        <w:rPr>
          <w:rFonts w:hint="eastAsia" w:ascii="仿宋" w:hAnsi="仿宋" w:eastAsia="仿宋" w:cs="仿宋"/>
          <w:bCs/>
          <w:color w:val="auto"/>
          <w:sz w:val="24"/>
          <w:szCs w:val="22"/>
        </w:rPr>
        <w:t>。</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auto"/>
          <w:sz w:val="24"/>
          <w:szCs w:val="22"/>
        </w:rPr>
      </w:pPr>
      <w:r>
        <w:rPr>
          <w:rFonts w:hint="eastAsia" w:ascii="仿宋" w:hAnsi="仿宋" w:eastAsia="仿宋" w:cs="仿宋"/>
          <w:bCs/>
          <w:color w:val="auto"/>
          <w:sz w:val="24"/>
          <w:szCs w:val="22"/>
        </w:rPr>
        <w:t>2.</w:t>
      </w:r>
      <w:r>
        <w:rPr>
          <w:rFonts w:hint="eastAsia" w:ascii="仿宋" w:hAnsi="仿宋" w:eastAsia="仿宋" w:cs="仿宋"/>
          <w:bCs/>
          <w:color w:val="auto"/>
          <w:sz w:val="24"/>
          <w:szCs w:val="22"/>
          <w:lang w:val="en-US" w:eastAsia="zh-CN"/>
        </w:rPr>
        <w:t>3</w:t>
      </w:r>
      <w:r>
        <w:rPr>
          <w:rFonts w:hint="eastAsia" w:ascii="仿宋" w:hAnsi="仿宋" w:eastAsia="仿宋" w:cs="仿宋"/>
          <w:bCs/>
          <w:color w:val="auto"/>
          <w:sz w:val="24"/>
          <w:szCs w:val="22"/>
        </w:rPr>
        <w:t>.3</w:t>
      </w:r>
      <w:r>
        <w:rPr>
          <w:rFonts w:hint="eastAsia" w:ascii="仿宋" w:hAnsi="仿宋" w:eastAsia="仿宋" w:cs="仿宋"/>
          <w:bCs/>
          <w:color w:val="auto"/>
          <w:sz w:val="24"/>
          <w:szCs w:val="22"/>
        </w:rPr>
        <w:t>在价格评审中，</w:t>
      </w:r>
      <w:r>
        <w:rPr>
          <w:rFonts w:hint="eastAsia" w:ascii="仿宋" w:hAnsi="仿宋" w:eastAsia="仿宋" w:cs="仿宋"/>
          <w:bCs/>
          <w:color w:val="auto"/>
          <w:sz w:val="24"/>
          <w:szCs w:val="22"/>
          <w:lang w:eastAsia="zh-CN"/>
        </w:rPr>
        <w:t>评审</w:t>
      </w:r>
      <w:r>
        <w:rPr>
          <w:rFonts w:hint="eastAsia" w:ascii="仿宋" w:hAnsi="仿宋" w:eastAsia="仿宋" w:cs="仿宋"/>
          <w:bCs/>
          <w:color w:val="auto"/>
          <w:sz w:val="24"/>
          <w:szCs w:val="22"/>
        </w:rPr>
        <w:t>委员会认为</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的报价</w:t>
      </w:r>
      <w:r>
        <w:rPr>
          <w:rFonts w:hint="eastAsia" w:ascii="仿宋" w:hAnsi="仿宋" w:eastAsia="仿宋" w:cs="仿宋"/>
          <w:bCs/>
          <w:color w:val="auto"/>
          <w:sz w:val="24"/>
          <w:szCs w:val="22"/>
          <w:lang w:eastAsia="zh-CN"/>
        </w:rPr>
        <w:t>下浮率</w:t>
      </w:r>
      <w:r>
        <w:rPr>
          <w:rFonts w:hint="eastAsia" w:ascii="仿宋" w:hAnsi="仿宋" w:eastAsia="仿宋" w:cs="仿宋"/>
          <w:bCs/>
          <w:color w:val="auto"/>
          <w:sz w:val="24"/>
          <w:szCs w:val="22"/>
        </w:rPr>
        <w:t>明显</w:t>
      </w:r>
      <w:r>
        <w:rPr>
          <w:rFonts w:hint="eastAsia" w:ascii="仿宋" w:hAnsi="仿宋" w:eastAsia="仿宋" w:cs="仿宋"/>
          <w:bCs/>
          <w:color w:val="auto"/>
          <w:sz w:val="24"/>
          <w:szCs w:val="22"/>
          <w:lang w:eastAsia="zh-CN"/>
        </w:rPr>
        <w:t>高</w:t>
      </w:r>
      <w:r>
        <w:rPr>
          <w:rFonts w:hint="eastAsia" w:ascii="仿宋" w:hAnsi="仿宋" w:eastAsia="仿宋" w:cs="仿宋"/>
          <w:bCs/>
          <w:color w:val="auto"/>
          <w:sz w:val="24"/>
          <w:szCs w:val="22"/>
        </w:rPr>
        <w:t>于其他通过符合性审查</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的报价，有可能影响产品质量或者不能诚信履约的，应当要求其在</w:t>
      </w:r>
      <w:r>
        <w:rPr>
          <w:rFonts w:hint="eastAsia" w:ascii="仿宋" w:hAnsi="仿宋" w:eastAsia="仿宋" w:cs="仿宋"/>
          <w:bCs/>
          <w:color w:val="auto"/>
          <w:sz w:val="24"/>
          <w:szCs w:val="22"/>
          <w:lang w:eastAsia="zh-CN"/>
        </w:rPr>
        <w:t>评审</w:t>
      </w:r>
      <w:r>
        <w:rPr>
          <w:rFonts w:hint="eastAsia" w:ascii="仿宋" w:hAnsi="仿宋" w:eastAsia="仿宋" w:cs="仿宋"/>
          <w:bCs/>
          <w:color w:val="auto"/>
          <w:sz w:val="24"/>
          <w:szCs w:val="22"/>
        </w:rPr>
        <w:t>现场合理的时间内提供书面说明，必要时提交相关证明材料，</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不能证明其报价合理性的，</w:t>
      </w:r>
      <w:r>
        <w:rPr>
          <w:rFonts w:hint="eastAsia" w:ascii="仿宋" w:hAnsi="仿宋" w:eastAsia="仿宋" w:cs="仿宋"/>
          <w:bCs/>
          <w:color w:val="auto"/>
          <w:sz w:val="24"/>
          <w:szCs w:val="22"/>
          <w:lang w:eastAsia="zh-CN"/>
        </w:rPr>
        <w:t>评审</w:t>
      </w:r>
      <w:r>
        <w:rPr>
          <w:rFonts w:hint="eastAsia" w:ascii="仿宋" w:hAnsi="仿宋" w:eastAsia="仿宋" w:cs="仿宋"/>
          <w:bCs/>
          <w:color w:val="auto"/>
          <w:sz w:val="24"/>
          <w:szCs w:val="22"/>
        </w:rPr>
        <w:t>委员会应当将其作为无效</w:t>
      </w:r>
      <w:r>
        <w:rPr>
          <w:rFonts w:hint="eastAsia" w:ascii="仿宋" w:hAnsi="仿宋" w:eastAsia="仿宋" w:cs="仿宋"/>
          <w:bCs/>
          <w:color w:val="auto"/>
          <w:sz w:val="24"/>
          <w:szCs w:val="22"/>
          <w:lang w:eastAsia="zh-CN"/>
        </w:rPr>
        <w:t>响应</w:t>
      </w:r>
      <w:r>
        <w:rPr>
          <w:rFonts w:hint="eastAsia" w:ascii="仿宋" w:hAnsi="仿宋" w:eastAsia="仿宋" w:cs="仿宋"/>
          <w:bCs/>
          <w:color w:val="auto"/>
          <w:sz w:val="24"/>
          <w:szCs w:val="22"/>
        </w:rPr>
        <w:t>处理。</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auto"/>
          <w:sz w:val="24"/>
          <w:szCs w:val="22"/>
        </w:rPr>
      </w:pPr>
      <w:r>
        <w:rPr>
          <w:rFonts w:hint="eastAsia" w:ascii="仿宋" w:hAnsi="仿宋" w:eastAsia="仿宋" w:cs="仿宋"/>
          <w:bCs/>
          <w:color w:val="auto"/>
          <w:sz w:val="24"/>
          <w:szCs w:val="22"/>
        </w:rPr>
        <w:t>根据《政府采购服务和货物招标投标管理办法》（财政部87号令）的规定，当</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的报价过低时，有可能影响产品质量或者不能诚信履约的，评</w:t>
      </w:r>
      <w:r>
        <w:rPr>
          <w:rFonts w:hint="eastAsia" w:ascii="仿宋" w:hAnsi="仿宋" w:eastAsia="仿宋" w:cs="仿宋"/>
          <w:bCs/>
          <w:color w:val="auto"/>
          <w:sz w:val="24"/>
          <w:szCs w:val="22"/>
          <w:lang w:eastAsia="zh-CN"/>
        </w:rPr>
        <w:t>审</w:t>
      </w:r>
      <w:r>
        <w:rPr>
          <w:rFonts w:hint="eastAsia" w:ascii="仿宋" w:hAnsi="仿宋" w:eastAsia="仿宋" w:cs="仿宋"/>
          <w:bCs/>
          <w:color w:val="auto"/>
          <w:sz w:val="24"/>
          <w:szCs w:val="22"/>
        </w:rPr>
        <w:t>委员会应当要求其该</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应在评</w:t>
      </w:r>
      <w:r>
        <w:rPr>
          <w:rFonts w:hint="eastAsia" w:ascii="仿宋" w:hAnsi="仿宋" w:eastAsia="仿宋" w:cs="仿宋"/>
          <w:bCs/>
          <w:color w:val="auto"/>
          <w:sz w:val="24"/>
          <w:szCs w:val="22"/>
          <w:lang w:eastAsia="zh-CN"/>
        </w:rPr>
        <w:t>审</w:t>
      </w:r>
      <w:r>
        <w:rPr>
          <w:rFonts w:hint="eastAsia" w:ascii="仿宋" w:hAnsi="仿宋" w:eastAsia="仿宋" w:cs="仿宋"/>
          <w:bCs/>
          <w:color w:val="auto"/>
          <w:sz w:val="24"/>
          <w:szCs w:val="22"/>
        </w:rPr>
        <w:t>现场合理时间内提供书面说明，并提交相关证明材料。</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auto"/>
          <w:sz w:val="24"/>
          <w:szCs w:val="22"/>
        </w:rPr>
      </w:pP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书面说明应当按照国家财务会计制度的规定要求，逐项就</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提供的货物、工程和服务的主营业务成本（应根据</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企业类型予以区别）、税金及附加、销售费用、管理费用、财务费用等成本构成事项详细陈述。</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auto"/>
          <w:sz w:val="24"/>
          <w:szCs w:val="22"/>
        </w:rPr>
      </w:pPr>
      <w:r>
        <w:rPr>
          <w:rFonts w:hint="eastAsia" w:ascii="仿宋" w:hAnsi="仿宋" w:eastAsia="仿宋" w:cs="仿宋"/>
          <w:bCs/>
          <w:color w:val="auto"/>
          <w:sz w:val="24"/>
          <w:szCs w:val="22"/>
        </w:rPr>
        <w:t>备注：若</w:t>
      </w:r>
      <w:r>
        <w:rPr>
          <w:rFonts w:hint="eastAsia" w:ascii="仿宋" w:hAnsi="仿宋" w:eastAsia="仿宋" w:cs="仿宋"/>
          <w:bCs/>
          <w:color w:val="auto"/>
          <w:sz w:val="24"/>
          <w:szCs w:val="22"/>
          <w:lang w:eastAsia="zh-CN"/>
        </w:rPr>
        <w:t>供应商响应</w:t>
      </w:r>
      <w:r>
        <w:rPr>
          <w:rFonts w:hint="eastAsia" w:ascii="仿宋" w:hAnsi="仿宋" w:eastAsia="仿宋" w:cs="仿宋"/>
          <w:bCs/>
          <w:color w:val="auto"/>
          <w:sz w:val="24"/>
          <w:szCs w:val="22"/>
        </w:rPr>
        <w:t>价格超过采购预算，做</w:t>
      </w:r>
      <w:r>
        <w:rPr>
          <w:rFonts w:hint="eastAsia" w:ascii="仿宋" w:hAnsi="仿宋" w:eastAsia="仿宋" w:cs="仿宋"/>
          <w:bCs/>
          <w:color w:val="auto"/>
          <w:sz w:val="24"/>
          <w:szCs w:val="22"/>
          <w:lang w:eastAsia="zh-CN"/>
        </w:rPr>
        <w:t>无效响应</w:t>
      </w:r>
      <w:r>
        <w:rPr>
          <w:rFonts w:hint="eastAsia" w:ascii="仿宋" w:hAnsi="仿宋" w:eastAsia="仿宋" w:cs="仿宋"/>
          <w:bCs/>
          <w:color w:val="auto"/>
          <w:sz w:val="24"/>
          <w:szCs w:val="22"/>
        </w:rPr>
        <w:t>处理。</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auto"/>
          <w:sz w:val="24"/>
          <w:szCs w:val="22"/>
        </w:rPr>
      </w:pPr>
      <w:r>
        <w:rPr>
          <w:rFonts w:hint="eastAsia" w:ascii="仿宋" w:hAnsi="仿宋" w:eastAsia="仿宋" w:cs="仿宋"/>
          <w:bCs/>
          <w:color w:val="auto"/>
          <w:sz w:val="24"/>
          <w:szCs w:val="22"/>
        </w:rPr>
        <w:t>2.</w:t>
      </w:r>
      <w:r>
        <w:rPr>
          <w:rFonts w:hint="eastAsia" w:ascii="仿宋" w:hAnsi="仿宋" w:eastAsia="仿宋" w:cs="仿宋"/>
          <w:bCs/>
          <w:color w:val="auto"/>
          <w:sz w:val="24"/>
          <w:szCs w:val="22"/>
          <w:lang w:val="en-US" w:eastAsia="zh-CN"/>
        </w:rPr>
        <w:t>3</w:t>
      </w:r>
      <w:r>
        <w:rPr>
          <w:rFonts w:hint="eastAsia" w:ascii="仿宋" w:hAnsi="仿宋" w:eastAsia="仿宋" w:cs="仿宋"/>
          <w:bCs/>
          <w:color w:val="auto"/>
          <w:sz w:val="24"/>
          <w:szCs w:val="22"/>
        </w:rPr>
        <w:t>.4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近三年的类似销售业绩，以确定</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类似项目的</w:t>
      </w:r>
      <w:r>
        <w:rPr>
          <w:rFonts w:hint="eastAsia" w:ascii="仿宋" w:hAnsi="仿宋" w:eastAsia="仿宋" w:cs="仿宋"/>
          <w:bCs/>
          <w:color w:val="auto"/>
          <w:sz w:val="24"/>
          <w:szCs w:val="22"/>
          <w:lang w:eastAsia="zh-CN"/>
        </w:rPr>
        <w:t>服务</w:t>
      </w:r>
      <w:r>
        <w:rPr>
          <w:rFonts w:hint="eastAsia" w:ascii="仿宋" w:hAnsi="仿宋" w:eastAsia="仿宋" w:cs="仿宋"/>
          <w:bCs/>
          <w:color w:val="auto"/>
          <w:sz w:val="24"/>
          <w:szCs w:val="22"/>
        </w:rPr>
        <w:t>经验及组织管理能力等。</w:t>
      </w:r>
    </w:p>
    <w:p>
      <w:pPr>
        <w:pStyle w:val="14"/>
        <w:keepNext w:val="0"/>
        <w:keepLines w:val="0"/>
        <w:pageBreakBefore w:val="0"/>
        <w:widowControl w:val="0"/>
        <w:kinsoku/>
        <w:wordWrap/>
        <w:overflowPunct/>
        <w:topLinePunct w:val="0"/>
        <w:autoSpaceDE w:val="0"/>
        <w:autoSpaceDN w:val="0"/>
        <w:bidi w:val="0"/>
        <w:adjustRightInd w:val="0"/>
        <w:snapToGrid/>
        <w:spacing w:before="0" w:after="0" w:line="440" w:lineRule="exact"/>
        <w:ind w:firstLine="357"/>
        <w:textAlignment w:val="baseline"/>
        <w:rPr>
          <w:rFonts w:hint="eastAsia" w:ascii="仿宋" w:hAnsi="仿宋" w:eastAsia="仿宋" w:cs="仿宋"/>
          <w:bCs/>
          <w:color w:val="auto"/>
          <w:kern w:val="2"/>
          <w:sz w:val="24"/>
          <w:szCs w:val="22"/>
          <w:lang w:val="en-US" w:eastAsia="zh-CN" w:bidi="ar-SA"/>
        </w:rPr>
      </w:pPr>
      <w:r>
        <w:rPr>
          <w:rFonts w:hint="eastAsia" w:ascii="仿宋" w:hAnsi="仿宋" w:eastAsia="仿宋" w:cs="仿宋"/>
          <w:bCs/>
          <w:color w:val="auto"/>
          <w:kern w:val="2"/>
          <w:sz w:val="24"/>
          <w:szCs w:val="22"/>
          <w:lang w:val="en-US" w:eastAsia="zh-CN" w:bidi="ar-SA"/>
        </w:rPr>
        <w:t>2.3.5 评审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下浮率由高到低的顺序推荐。评审得分且最后报价相同的，按照技术指标优劣顺序推荐。</w:t>
      </w:r>
    </w:p>
    <w:bookmarkEnd w:id="134"/>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8"/>
          <w:szCs w:val="28"/>
          <w:u w:val="single"/>
          <w:lang w:val="en-US" w:eastAsia="zh-CN" w:bidi="ar-SA"/>
        </w:rPr>
        <w:t>另:政府采购政策功能落实</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1、小微型企业价格扣除</w:t>
      </w:r>
    </w:p>
    <w:p>
      <w:pPr>
        <w:pStyle w:val="23"/>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737" w:firstLineChars="0"/>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超过200万元的货物和服务采购项目、超过400万元的工程采购项目中适宜由中小企业提供的，预留该部分采购项目预算总额的40%以上专门面向中小企业采购，其中预留给小微企业的比例不低于60%。</w:t>
      </w:r>
    </w:p>
    <w:p>
      <w:pPr>
        <w:pStyle w:val="23"/>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737" w:firstLineChars="0"/>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对于未预留份额专门面向中小企业的采购项目，以及预留份额项目中的非预留部分采购包，采购人、采购代理机构应当对符合规定的小微企业报价给予10%（工程项目为6%）的扣除，用扣除后的价格参加评审。适用招标投标法的政府采购工程建设项目，采用综合评估法但未采用低价优先法计算价格分的，评标时应当在采用原报价进行评分的基础上增加其价格得分的6%作为其价格分。</w:t>
      </w:r>
    </w:p>
    <w:p>
      <w:pPr>
        <w:pStyle w:val="23"/>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737" w:firstLineChars="0"/>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工程项目为2%）的扣除，用扣除后的价格参加评审。适用招标投标法的政府采购工程建设项目，采用综合评估法但未采用低价优先法计算价格分的，评标时应当在采用原报价进行评分的基础上增加其价格得分的2%作为其价格分。</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2、残疾人福利单位价格扣除</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（1）本项目对残疾人福利性单位视同小型、微型企业，给予10%的价格扣除，用扣除后的价格参与评审。</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（2）残疾人福利单位需按照招标文件的要求提供《残疾人福利性单位声明函》。</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（3）残疾人福利单位标准请参照《关于促进残疾人就业政府采购政策的通知》（财库（2017）141号）,</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3、监狱和戒毒企业价格扣除</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（1）本项目对监狱和戒毒企业(简称监狱企业)视同小型、微型企业，给予10%的价格扣除，用扣除后的价格参与评审。</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（2）监狱企业参加政府采购活动时，需提供由省级以上监狱管理局、戒毒管理局（含新疆生产建设兵团）出具的属于监狱企业的证明文件。供应商如不提供上述证明文件，价格将不做相应扣除。</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（3）监狱企业标准请参照《关于政府采购支持监狱企业发展有关问题的通知》（财库[2014]68号）。</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4、残疾人福利单位、监狱企业属于小型、微型企业的，不重复享受政策。</w:t>
      </w:r>
    </w:p>
    <w:p>
      <w:pPr>
        <w:spacing w:line="400" w:lineRule="exact"/>
        <w:ind w:firstLine="480" w:firstLineChars="200"/>
        <w:rPr>
          <w:rFonts w:hint="eastAsia" w:ascii="仿宋" w:hAnsi="仿宋" w:eastAsia="仿宋" w:cs="仿宋"/>
          <w:color w:val="auto"/>
          <w:sz w:val="24"/>
          <w:szCs w:val="24"/>
        </w:rPr>
      </w:pPr>
      <w:bookmarkStart w:id="169" w:name="_Toc7692"/>
      <w:bookmarkStart w:id="170" w:name="_Toc24199"/>
      <w:bookmarkStart w:id="171" w:name="_Toc7987"/>
      <w:r>
        <w:rPr>
          <w:rFonts w:hint="eastAsia" w:ascii="仿宋" w:hAnsi="仿宋" w:eastAsia="仿宋" w:cs="仿宋"/>
          <w:color w:val="auto"/>
          <w:sz w:val="24"/>
          <w:szCs w:val="24"/>
          <w:lang w:val="en-US" w:eastAsia="zh-CN"/>
        </w:rPr>
        <w:t>3.</w:t>
      </w:r>
      <w:bookmarkEnd w:id="169"/>
      <w:bookmarkEnd w:id="170"/>
      <w:bookmarkEnd w:id="171"/>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有以下情形之一的，其</w:t>
      </w:r>
      <w:r>
        <w:rPr>
          <w:rFonts w:hint="eastAsia" w:ascii="仿宋" w:hAnsi="仿宋" w:eastAsia="仿宋" w:cs="仿宋"/>
          <w:color w:val="auto"/>
          <w:sz w:val="24"/>
          <w:szCs w:val="24"/>
          <w:lang w:eastAsia="zh-CN"/>
        </w:rPr>
        <w:t>采购响应</w:t>
      </w:r>
      <w:r>
        <w:rPr>
          <w:rFonts w:hint="eastAsia" w:ascii="仿宋" w:hAnsi="仿宋" w:eastAsia="仿宋" w:cs="仿宋"/>
          <w:color w:val="auto"/>
          <w:sz w:val="24"/>
          <w:szCs w:val="24"/>
        </w:rPr>
        <w:t>作废标处理：</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（1）串通</w:t>
      </w:r>
      <w:r>
        <w:rPr>
          <w:rFonts w:hint="eastAsia" w:ascii="仿宋" w:hAnsi="仿宋" w:eastAsia="仿宋" w:cs="仿宋"/>
          <w:color w:val="auto"/>
          <w:sz w:val="24"/>
          <w:szCs w:val="24"/>
          <w:lang w:eastAsia="zh-CN"/>
        </w:rPr>
        <w:t>采购响应</w:t>
      </w:r>
      <w:r>
        <w:rPr>
          <w:rFonts w:hint="eastAsia" w:ascii="仿宋" w:hAnsi="仿宋" w:eastAsia="仿宋" w:cs="仿宋"/>
          <w:color w:val="auto"/>
          <w:sz w:val="24"/>
          <w:szCs w:val="24"/>
        </w:rPr>
        <w:t>或弄虚作假或有其他违法行为的；</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（2）不按</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要求澄清、说明或补正的。</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函中</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报价与</w:t>
      </w:r>
      <w:r>
        <w:rPr>
          <w:rFonts w:hint="eastAsia" w:ascii="仿宋" w:hAnsi="仿宋" w:eastAsia="仿宋" w:cs="仿宋"/>
          <w:color w:val="auto"/>
          <w:sz w:val="24"/>
          <w:szCs w:val="24"/>
          <w:lang w:eastAsia="zh-CN"/>
        </w:rPr>
        <w:t>采购内容</w:t>
      </w:r>
      <w:r>
        <w:rPr>
          <w:rFonts w:hint="eastAsia" w:ascii="仿宋" w:hAnsi="仿宋" w:eastAsia="仿宋" w:cs="仿宋"/>
          <w:color w:val="auto"/>
          <w:sz w:val="24"/>
          <w:szCs w:val="24"/>
        </w:rPr>
        <w:t>量汇总价不一致时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作废标处理。</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（4）提供虚假资料的其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作废标处理。</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在开标时资格审查时递交的法人授权委托书公证件原件，其内容应与资格预审、</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的内容一致，其中委托代理人均为同一人，不一致作废标处理。</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认定</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以低于成本报价竞标的。</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附有</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不能接受的条件。</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偏离</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文件实质性要求和条件的。</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（9）一个</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递交两份或多分内容不同的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，或在一份</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中对同一</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项目有两个或多个报价，且未声明哪一个报价有效的。</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报价有算术错误的，</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按以下原则对</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报价进行修正，修正的价格经</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书面确认后具有约束力。</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不接受修正价格的，其</w:t>
      </w:r>
      <w:r>
        <w:rPr>
          <w:rFonts w:hint="eastAsia" w:ascii="仿宋" w:hAnsi="仿宋" w:eastAsia="仿宋" w:cs="仿宋"/>
          <w:color w:val="auto"/>
          <w:sz w:val="24"/>
          <w:szCs w:val="24"/>
          <w:lang w:eastAsia="zh-CN"/>
        </w:rPr>
        <w:t>采购响应</w:t>
      </w:r>
      <w:r>
        <w:rPr>
          <w:rFonts w:hint="eastAsia" w:ascii="仿宋" w:hAnsi="仿宋" w:eastAsia="仿宋" w:cs="仿宋"/>
          <w:color w:val="auto"/>
          <w:sz w:val="24"/>
          <w:szCs w:val="24"/>
        </w:rPr>
        <w:t>作废标处理。</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中的大写金额与小写金额不一致的，以大写金额为准；</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（2）总价金额与依据单价计算出的结果不一致的，以单价金额为准修正总价，但单价金额小数点有明显错误的除外。</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结束，主持人公布</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结果。</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中的注意事项：</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时由</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小组所有成员集中与单一供应商分别进行</w:t>
      </w:r>
      <w:r>
        <w:rPr>
          <w:rFonts w:hint="eastAsia" w:ascii="仿宋" w:hAnsi="仿宋" w:eastAsia="仿宋" w:cs="仿宋"/>
          <w:color w:val="auto"/>
          <w:sz w:val="24"/>
          <w:szCs w:val="24"/>
          <w:lang w:eastAsia="zh-CN"/>
        </w:rPr>
        <w:t>在线磋商</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中，</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的任何一方不得透露与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有关的其他供应商的技术资料、价格和其他信息；</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文件有实质性变动的，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小组应当以书面形式通知参加</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的供应商。</w:t>
      </w:r>
    </w:p>
    <w:p>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确定成交供应商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1采购代理机构应当在评审结束后2个工作日内将评审报告送采购人确认。</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7.</w:t>
      </w:r>
      <w:r>
        <w:rPr>
          <w:rFonts w:hint="eastAsia" w:ascii="仿宋" w:hAnsi="仿宋" w:eastAsia="仿宋" w:cs="仿宋"/>
          <w:color w:val="auto"/>
          <w:sz w:val="24"/>
          <w:szCs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after="156" w:afterLines="50"/>
        <w:jc w:val="center"/>
        <w:outlineLvl w:val="0"/>
        <w:rPr>
          <w:rFonts w:hint="eastAsia" w:ascii="仿宋" w:hAnsi="仿宋" w:eastAsia="仿宋" w:cs="仿宋"/>
          <w:b/>
          <w:bCs/>
          <w:color w:val="auto"/>
          <w:sz w:val="36"/>
          <w:szCs w:val="36"/>
          <w:lang w:eastAsia="zh-CN"/>
        </w:rPr>
      </w:pPr>
      <w:r>
        <w:rPr>
          <w:rFonts w:hint="eastAsia" w:ascii="仿宋" w:hAnsi="仿宋" w:eastAsia="仿宋" w:cs="仿宋"/>
          <w:color w:val="auto"/>
          <w:sz w:val="24"/>
          <w:szCs w:val="24"/>
        </w:rPr>
        <w:br w:type="page"/>
      </w:r>
      <w:bookmarkStart w:id="172" w:name="_Toc4058"/>
      <w:bookmarkStart w:id="173" w:name="_Toc464831170"/>
      <w:bookmarkStart w:id="174" w:name="_Toc12181"/>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eastAsia="zh-CN"/>
        </w:rPr>
        <w:t>五</w:t>
      </w:r>
      <w:r>
        <w:rPr>
          <w:rFonts w:hint="eastAsia" w:ascii="仿宋" w:hAnsi="仿宋" w:eastAsia="仿宋" w:cs="仿宋"/>
          <w:b/>
          <w:bCs/>
          <w:color w:val="auto"/>
          <w:sz w:val="36"/>
          <w:szCs w:val="36"/>
        </w:rPr>
        <w:t>章  签订合同、合同主要条款</w:t>
      </w:r>
      <w:bookmarkEnd w:id="172"/>
      <w:bookmarkEnd w:id="173"/>
      <w:r>
        <w:rPr>
          <w:rFonts w:hint="eastAsia" w:ascii="仿宋" w:hAnsi="仿宋" w:eastAsia="仿宋" w:cs="仿宋"/>
          <w:b/>
          <w:bCs/>
          <w:color w:val="auto"/>
          <w:sz w:val="36"/>
          <w:szCs w:val="36"/>
          <w:lang w:eastAsia="zh-CN"/>
        </w:rPr>
        <w:t>（仅供参考）</w:t>
      </w:r>
      <w:bookmarkEnd w:id="174"/>
    </w:p>
    <w:p>
      <w:pPr>
        <w:jc w:val="center"/>
        <w:rPr>
          <w:rFonts w:hint="eastAsia" w:ascii="仿宋" w:hAnsi="仿宋" w:eastAsia="仿宋" w:cs="仿宋"/>
          <w:b/>
          <w:color w:val="auto"/>
          <w:sz w:val="28"/>
          <w:szCs w:val="28"/>
          <w:highlight w:val="none"/>
        </w:rPr>
      </w:pPr>
      <w:bookmarkStart w:id="175" w:name="_Toc16118_WPSOffice_Level1"/>
      <w:bookmarkStart w:id="176" w:name="_Toc464831175"/>
      <w:bookmarkStart w:id="177" w:name="_Toc427823747"/>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政 府 采 购 买 卖 合  同</w:t>
      </w:r>
      <w:bookmarkEnd w:id="175"/>
    </w:p>
    <w:p>
      <w:pPr>
        <w:jc w:val="center"/>
        <w:rPr>
          <w:rFonts w:hint="eastAsia" w:ascii="仿宋" w:hAnsi="仿宋" w:eastAsia="仿宋" w:cs="仿宋"/>
          <w:b/>
          <w:color w:val="auto"/>
          <w:sz w:val="32"/>
          <w:szCs w:val="32"/>
          <w:highlight w:val="none"/>
        </w:rPr>
      </w:pPr>
      <w:bookmarkStart w:id="178" w:name="_Toc14161_WPSOffice_Level1"/>
      <w:r>
        <w:rPr>
          <w:rFonts w:hint="eastAsia" w:ascii="仿宋" w:hAnsi="仿宋" w:eastAsia="仿宋" w:cs="仿宋"/>
          <w:b/>
          <w:color w:val="auto"/>
          <w:sz w:val="32"/>
          <w:szCs w:val="32"/>
          <w:highlight w:val="none"/>
        </w:rPr>
        <w:t>（工程类、货物类、服务类）</w:t>
      </w:r>
      <w:bookmarkEnd w:id="178"/>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出卖人：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签订地点：</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买受人：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签订时间：</w:t>
      </w:r>
      <w:r>
        <w:rPr>
          <w:rFonts w:hint="eastAsia" w:ascii="仿宋" w:hAnsi="仿宋" w:eastAsia="仿宋" w:cs="仿宋"/>
          <w:color w:val="auto"/>
          <w:sz w:val="24"/>
          <w:szCs w:val="24"/>
          <w:highlight w:val="none"/>
          <w:u w:val="single"/>
        </w:rPr>
        <w:t xml:space="preserve">                        </w:t>
      </w:r>
    </w:p>
    <w:p>
      <w:pPr>
        <w:numPr>
          <w:ilvl w:val="0"/>
          <w:numId w:val="0"/>
        </w:numPr>
        <w:adjustRightInd/>
        <w:spacing w:line="400" w:lineRule="exact"/>
        <w:ind w:leftChars="0"/>
        <w:jc w:val="both"/>
        <w:textAlignment w:val="auto"/>
        <w:rPr>
          <w:rFonts w:hint="eastAsia" w:ascii="仿宋" w:hAnsi="仿宋" w:eastAsia="仿宋" w:cs="仿宋"/>
          <w:color w:val="auto"/>
          <w:sz w:val="24"/>
          <w:szCs w:val="24"/>
          <w:highlight w:val="none"/>
        </w:rPr>
      </w:pPr>
    </w:p>
    <w:p>
      <w:pPr>
        <w:numPr>
          <w:ilvl w:val="0"/>
          <w:numId w:val="11"/>
        </w:numPr>
        <w:adjustRightIn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采购项目、数量、单价及金额</w:t>
      </w:r>
    </w:p>
    <w:tbl>
      <w:tblPr>
        <w:tblStyle w:val="2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386"/>
        <w:gridCol w:w="854"/>
        <w:gridCol w:w="840"/>
        <w:gridCol w:w="1586"/>
        <w:gridCol w:w="1667"/>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采购项目</w:t>
            </w:r>
          </w:p>
        </w:tc>
        <w:tc>
          <w:tcPr>
            <w:tcW w:w="1386" w:type="dxa"/>
            <w:noWrap w:val="0"/>
            <w:vAlign w:val="center"/>
          </w:tcPr>
          <w:p>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规格要求</w:t>
            </w:r>
          </w:p>
        </w:tc>
        <w:tc>
          <w:tcPr>
            <w:tcW w:w="854" w:type="dxa"/>
            <w:noWrap w:val="0"/>
            <w:vAlign w:val="center"/>
          </w:tcPr>
          <w:p>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840" w:type="dxa"/>
            <w:noWrap w:val="0"/>
            <w:vAlign w:val="center"/>
          </w:tcPr>
          <w:p>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1586" w:type="dxa"/>
            <w:noWrap w:val="0"/>
            <w:vAlign w:val="center"/>
          </w:tcPr>
          <w:p>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单价</w:t>
            </w:r>
          </w:p>
        </w:tc>
        <w:tc>
          <w:tcPr>
            <w:tcW w:w="1667" w:type="dxa"/>
            <w:noWrap w:val="0"/>
            <w:vAlign w:val="center"/>
          </w:tcPr>
          <w:p>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金额</w:t>
            </w:r>
          </w:p>
        </w:tc>
        <w:tc>
          <w:tcPr>
            <w:tcW w:w="920" w:type="dxa"/>
            <w:noWrap w:val="0"/>
            <w:vAlign w:val="center"/>
          </w:tcPr>
          <w:p>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top"/>
          </w:tcPr>
          <w:p>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合计</w:t>
            </w:r>
          </w:p>
        </w:tc>
        <w:tc>
          <w:tcPr>
            <w:tcW w:w="4666" w:type="dxa"/>
            <w:gridSpan w:val="4"/>
            <w:noWrap w:val="0"/>
            <w:vAlign w:val="top"/>
          </w:tcPr>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2587" w:type="dxa"/>
            <w:gridSpan w:val="2"/>
            <w:noWrap w:val="0"/>
            <w:vAlign w:val="top"/>
          </w:tcPr>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bl>
    <w:p>
      <w:pPr>
        <w:numPr>
          <w:ilvl w:val="0"/>
          <w:numId w:val="11"/>
        </w:numPr>
        <w:adjustRightIn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第三条 </w:t>
      </w:r>
      <w:r>
        <w:rPr>
          <w:rFonts w:hint="eastAsia" w:ascii="仿宋" w:hAnsi="仿宋" w:eastAsia="仿宋" w:cs="仿宋"/>
          <w:color w:val="auto"/>
          <w:sz w:val="24"/>
          <w:szCs w:val="24"/>
          <w:highlight w:val="none"/>
        </w:rPr>
        <w:t>出卖人对质量负责的条件及期限：</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第四条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质量</w:t>
      </w:r>
      <w:r>
        <w:rPr>
          <w:rFonts w:hint="eastAsia" w:ascii="仿宋" w:hAnsi="仿宋" w:eastAsia="仿宋" w:cs="仿宋"/>
          <w:color w:val="auto"/>
          <w:sz w:val="24"/>
          <w:szCs w:val="24"/>
          <w:highlight w:val="none"/>
        </w:rPr>
        <w:t>标准的供应与回收：</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第五条 </w:t>
      </w:r>
      <w:r>
        <w:rPr>
          <w:rFonts w:hint="eastAsia" w:ascii="仿宋" w:hAnsi="仿宋" w:eastAsia="仿宋" w:cs="仿宋"/>
          <w:color w:val="auto"/>
          <w:sz w:val="24"/>
          <w:szCs w:val="24"/>
          <w:highlight w:val="none"/>
        </w:rPr>
        <w:t>采购项目的附（配）件、工具数量及供应办法：</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第六条 </w:t>
      </w:r>
      <w:r>
        <w:rPr>
          <w:rFonts w:hint="eastAsia" w:ascii="仿宋" w:hAnsi="仿宋" w:eastAsia="仿宋" w:cs="仿宋"/>
          <w:color w:val="auto"/>
          <w:sz w:val="24"/>
          <w:szCs w:val="24"/>
          <w:highlight w:val="none"/>
        </w:rPr>
        <w:t>合理损耗标准及计算方法：</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第七条 </w:t>
      </w:r>
      <w:r>
        <w:rPr>
          <w:rFonts w:hint="eastAsia" w:ascii="仿宋" w:hAnsi="仿宋" w:eastAsia="仿宋" w:cs="仿宋"/>
          <w:color w:val="auto"/>
          <w:sz w:val="24"/>
          <w:szCs w:val="24"/>
          <w:highlight w:val="none"/>
        </w:rPr>
        <w:t>采购项目所有权自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时起转移，但买受人未履行支付价款义务的，采购项目属于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所有。</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第八条 </w:t>
      </w:r>
      <w:r>
        <w:rPr>
          <w:rFonts w:hint="eastAsia" w:ascii="仿宋" w:hAnsi="仿宋" w:eastAsia="仿宋" w:cs="仿宋"/>
          <w:color w:val="auto"/>
          <w:sz w:val="24"/>
          <w:szCs w:val="24"/>
          <w:highlight w:val="none"/>
        </w:rPr>
        <w:t>提供采购项目的方式、地点、时间：</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第九条 </w:t>
      </w:r>
      <w:r>
        <w:rPr>
          <w:rFonts w:hint="eastAsia" w:ascii="仿宋" w:hAnsi="仿宋" w:eastAsia="仿宋" w:cs="仿宋"/>
          <w:color w:val="auto"/>
          <w:sz w:val="24"/>
          <w:szCs w:val="24"/>
          <w:highlight w:val="none"/>
        </w:rPr>
        <w:t>运输方式及到达地和费用负担：</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第十条 </w:t>
      </w:r>
      <w:r>
        <w:rPr>
          <w:rFonts w:hint="eastAsia" w:ascii="仿宋" w:hAnsi="仿宋" w:eastAsia="仿宋" w:cs="仿宋"/>
          <w:color w:val="auto"/>
          <w:sz w:val="24"/>
          <w:szCs w:val="24"/>
          <w:highlight w:val="none"/>
        </w:rPr>
        <w:t>检验标准、方法、地点及期限：</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第十一条 </w:t>
      </w:r>
      <w:r>
        <w:rPr>
          <w:rFonts w:hint="eastAsia" w:ascii="仿宋" w:hAnsi="仿宋" w:eastAsia="仿宋" w:cs="仿宋"/>
          <w:color w:val="auto"/>
          <w:sz w:val="24"/>
          <w:szCs w:val="24"/>
          <w:highlight w:val="none"/>
        </w:rPr>
        <w:t>采购项目的</w:t>
      </w:r>
      <w:r>
        <w:rPr>
          <w:rFonts w:hint="eastAsia" w:ascii="仿宋" w:hAnsi="仿宋" w:eastAsia="仿宋" w:cs="仿宋"/>
          <w:color w:val="auto"/>
          <w:sz w:val="24"/>
          <w:szCs w:val="24"/>
          <w:highlight w:val="none"/>
          <w:lang w:eastAsia="zh-CN"/>
        </w:rPr>
        <w:t>成果交付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第十二条 </w:t>
      </w:r>
      <w:r>
        <w:rPr>
          <w:rFonts w:hint="eastAsia" w:ascii="仿宋" w:hAnsi="仿宋" w:eastAsia="仿宋" w:cs="仿宋"/>
          <w:color w:val="auto"/>
          <w:sz w:val="24"/>
          <w:szCs w:val="24"/>
          <w:highlight w:val="none"/>
        </w:rPr>
        <w:t>结算方式、时间及地点：</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第十三条 </w:t>
      </w:r>
      <w:r>
        <w:rPr>
          <w:rFonts w:hint="eastAsia" w:ascii="仿宋" w:hAnsi="仿宋" w:eastAsia="仿宋" w:cs="仿宋"/>
          <w:color w:val="auto"/>
          <w:sz w:val="24"/>
          <w:szCs w:val="24"/>
          <w:highlight w:val="none"/>
        </w:rPr>
        <w:t>担保方式（可另立担保合同）：</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第十四条 </w:t>
      </w:r>
      <w:r>
        <w:rPr>
          <w:rFonts w:hint="eastAsia" w:ascii="仿宋" w:hAnsi="仿宋" w:eastAsia="仿宋" w:cs="仿宋"/>
          <w:color w:val="auto"/>
          <w:sz w:val="24"/>
          <w:szCs w:val="24"/>
          <w:highlight w:val="none"/>
        </w:rPr>
        <w:t>本合同解除的条件：</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第十五条</w:t>
      </w:r>
      <w:r>
        <w:rPr>
          <w:rFonts w:hint="eastAsia" w:ascii="仿宋" w:hAnsi="仿宋" w:eastAsia="仿宋" w:cs="仿宋"/>
          <w:color w:val="auto"/>
          <w:sz w:val="24"/>
          <w:szCs w:val="24"/>
          <w:highlight w:val="none"/>
        </w:rPr>
        <w:t xml:space="preserve"> 违约责任：</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第十六条 </w:t>
      </w:r>
      <w:r>
        <w:rPr>
          <w:rFonts w:hint="eastAsia" w:ascii="仿宋" w:hAnsi="仿宋" w:eastAsia="仿宋" w:cs="仿宋"/>
          <w:color w:val="auto"/>
          <w:sz w:val="24"/>
          <w:szCs w:val="24"/>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种方式解决。</w:t>
      </w:r>
    </w:p>
    <w:p>
      <w:pPr>
        <w:spacing w:line="400" w:lineRule="exact"/>
        <w:rPr>
          <w:rFonts w:hint="eastAsia" w:ascii="仿宋" w:hAnsi="仿宋" w:eastAsia="仿宋" w:cs="仿宋"/>
          <w:color w:val="auto"/>
          <w:sz w:val="24"/>
          <w:szCs w:val="24"/>
          <w:highlight w:val="none"/>
        </w:rPr>
      </w:pPr>
      <w:bookmarkStart w:id="179" w:name="_Toc2908_WPSOffice_Level1"/>
      <w:r>
        <w:rPr>
          <w:rFonts w:hint="eastAsia" w:ascii="仿宋" w:hAnsi="仿宋" w:eastAsia="仿宋" w:cs="仿宋"/>
          <w:color w:val="auto"/>
          <w:sz w:val="24"/>
          <w:szCs w:val="24"/>
          <w:highlight w:val="none"/>
        </w:rPr>
        <w:t>（一）提交</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bookmarkEnd w:id="179"/>
    </w:p>
    <w:p>
      <w:pPr>
        <w:spacing w:line="400" w:lineRule="exact"/>
        <w:rPr>
          <w:rFonts w:hint="eastAsia" w:ascii="仿宋" w:hAnsi="仿宋" w:eastAsia="仿宋" w:cs="仿宋"/>
          <w:color w:val="auto"/>
          <w:sz w:val="24"/>
          <w:szCs w:val="24"/>
          <w:highlight w:val="none"/>
        </w:rPr>
      </w:pPr>
      <w:bookmarkStart w:id="180" w:name="_Toc1686_WPSOffice_Level1"/>
      <w:r>
        <w:rPr>
          <w:rFonts w:hint="eastAsia" w:ascii="仿宋" w:hAnsi="仿宋" w:eastAsia="仿宋" w:cs="仿宋"/>
          <w:color w:val="auto"/>
          <w:sz w:val="24"/>
          <w:szCs w:val="24"/>
          <w:highlight w:val="none"/>
        </w:rPr>
        <w:t>（二）依法向人民法院起诉。</w:t>
      </w:r>
      <w:bookmarkEnd w:id="180"/>
    </w:p>
    <w:p>
      <w:pPr>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第十七条 </w:t>
      </w: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起生效。</w:t>
      </w:r>
    </w:p>
    <w:p>
      <w:pPr>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第十八条 </w:t>
      </w:r>
      <w:r>
        <w:rPr>
          <w:rFonts w:hint="eastAsia" w:ascii="仿宋" w:hAnsi="仿宋" w:eastAsia="仿宋" w:cs="仿宋"/>
          <w:color w:val="auto"/>
          <w:sz w:val="24"/>
          <w:szCs w:val="24"/>
          <w:highlight w:val="none"/>
        </w:rPr>
        <w:t>其他约定事项：</w:t>
      </w:r>
      <w:r>
        <w:rPr>
          <w:rFonts w:hint="eastAsia" w:ascii="仿宋" w:hAnsi="仿宋" w:eastAsia="仿宋" w:cs="仿宋"/>
          <w:color w:val="auto"/>
          <w:sz w:val="24"/>
          <w:szCs w:val="24"/>
          <w:highlight w:val="none"/>
          <w:u w:val="single"/>
        </w:rPr>
        <w:t xml:space="preserve">                                              </w:t>
      </w:r>
    </w:p>
    <w:tbl>
      <w:tblPr>
        <w:tblStyle w:val="26"/>
        <w:tblpPr w:leftFromText="180" w:rightFromText="180" w:vertAnchor="text" w:horzAnchor="page" w:tblpX="2042" w:tblpY="643"/>
        <w:tblOverlap w:val="never"/>
        <w:tblW w:w="8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240" w:type="dxa"/>
            <w:noWrap w:val="0"/>
            <w:vAlign w:val="top"/>
          </w:tcPr>
          <w:p>
            <w:pPr>
              <w:spacing w:line="540" w:lineRule="exact"/>
              <w:ind w:firstLine="1320" w:firstLineChars="5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出卖人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出卖人（章）：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住所：</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户名：</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pPr>
              <w:rPr>
                <w:rFonts w:hint="eastAsia" w:ascii="仿宋" w:hAnsi="仿宋" w:eastAsia="仿宋" w:cs="仿宋"/>
                <w:color w:val="auto"/>
                <w:sz w:val="24"/>
                <w:szCs w:val="24"/>
                <w:highlight w:val="none"/>
              </w:rPr>
            </w:pPr>
          </w:p>
        </w:tc>
        <w:tc>
          <w:tcPr>
            <w:tcW w:w="3813" w:type="dxa"/>
            <w:noWrap w:val="0"/>
            <w:vAlign w:val="top"/>
          </w:tcPr>
          <w:p>
            <w:pPr>
              <w:spacing w:line="540" w:lineRule="exact"/>
              <w:ind w:firstLine="1560" w:firstLineChars="6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买受人</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买受人（章）：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住所：</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pPr>
              <w:spacing w:line="540" w:lineRule="exact"/>
              <w:rPr>
                <w:rFonts w:hint="eastAsia" w:ascii="仿宋" w:hAnsi="仿宋" w:eastAsia="仿宋" w:cs="仿宋"/>
                <w:color w:val="auto"/>
                <w:sz w:val="24"/>
                <w:szCs w:val="24"/>
                <w:highlight w:val="none"/>
              </w:rPr>
            </w:pPr>
          </w:p>
        </w:tc>
      </w:tr>
    </w:tbl>
    <w:p>
      <w:pPr>
        <w:pStyle w:val="4"/>
        <w:spacing w:line="360" w:lineRule="auto"/>
        <w:ind w:right="560" w:firstLine="480" w:firstLineChars="200"/>
        <w:rPr>
          <w:rFonts w:hint="eastAsia" w:ascii="仿宋" w:hAnsi="仿宋" w:eastAsia="仿宋" w:cs="仿宋"/>
          <w:bCs/>
          <w:color w:val="auto"/>
          <w:sz w:val="24"/>
          <w:szCs w:val="24"/>
        </w:rPr>
        <w:sectPr>
          <w:headerReference r:id="rId7" w:type="default"/>
          <w:pgSz w:w="11906" w:h="16838"/>
          <w:pgMar w:top="2098" w:right="1440" w:bottom="1440" w:left="1440" w:header="851" w:footer="992" w:gutter="0"/>
          <w:cols w:space="720" w:num="1"/>
          <w:docGrid w:linePitch="312" w:charSpace="0"/>
        </w:sectPr>
      </w:pPr>
      <w:r>
        <w:rPr>
          <w:rFonts w:hint="eastAsia" w:ascii="仿宋" w:hAnsi="仿宋" w:eastAsia="仿宋" w:cs="仿宋"/>
          <w:color w:val="auto"/>
          <w:sz w:val="24"/>
          <w:szCs w:val="24"/>
        </w:rPr>
        <w:t xml:space="preserve">                              </w:t>
      </w:r>
    </w:p>
    <w:p>
      <w:pPr>
        <w:pStyle w:val="135"/>
        <w:rPr>
          <w:rFonts w:hint="eastAsia" w:ascii="仿宋" w:hAnsi="仿宋" w:eastAsia="仿宋" w:cs="仿宋"/>
          <w:color w:val="auto"/>
          <w:sz w:val="24"/>
          <w:szCs w:val="24"/>
          <w:lang w:val="zh-CN"/>
        </w:rPr>
      </w:pPr>
    </w:p>
    <w:p>
      <w:pPr>
        <w:spacing w:after="156" w:afterLines="50"/>
        <w:jc w:val="center"/>
        <w:outlineLvl w:val="0"/>
        <w:rPr>
          <w:rFonts w:hint="eastAsia" w:ascii="仿宋" w:hAnsi="仿宋" w:eastAsia="仿宋" w:cs="仿宋"/>
          <w:b/>
          <w:bCs/>
          <w:color w:val="auto"/>
          <w:sz w:val="36"/>
          <w:szCs w:val="36"/>
        </w:rPr>
      </w:pPr>
      <w:bookmarkStart w:id="181" w:name="_Toc3541"/>
      <w:bookmarkStart w:id="182" w:name="_Toc31460"/>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eastAsia="zh-CN"/>
        </w:rPr>
        <w:t>六</w:t>
      </w:r>
      <w:r>
        <w:rPr>
          <w:rFonts w:hint="eastAsia" w:ascii="仿宋" w:hAnsi="仿宋" w:eastAsia="仿宋" w:cs="仿宋"/>
          <w:b/>
          <w:bCs/>
          <w:color w:val="auto"/>
          <w:sz w:val="36"/>
          <w:szCs w:val="36"/>
        </w:rPr>
        <w:t>章  响应文件格式</w:t>
      </w:r>
      <w:bookmarkEnd w:id="176"/>
      <w:bookmarkEnd w:id="177"/>
      <w:bookmarkEnd w:id="181"/>
      <w:bookmarkEnd w:id="182"/>
    </w:p>
    <w:p>
      <w:pPr>
        <w:widowControl/>
        <w:autoSpaceDE w:val="0"/>
        <w:autoSpaceDN w:val="0"/>
        <w:adjustRightInd w:val="0"/>
        <w:ind w:right="-481"/>
        <w:jc w:val="center"/>
        <w:outlineLvl w:val="0"/>
        <w:rPr>
          <w:rFonts w:hint="eastAsia" w:ascii="仿宋" w:hAnsi="仿宋" w:eastAsia="仿宋" w:cs="仿宋"/>
          <w:color w:val="auto"/>
          <w:sz w:val="28"/>
          <w:szCs w:val="28"/>
        </w:rPr>
      </w:pPr>
      <w:bookmarkStart w:id="183" w:name="_Toc19811"/>
      <w:bookmarkStart w:id="184" w:name="_Toc23525"/>
      <w:r>
        <w:rPr>
          <w:rFonts w:hint="eastAsia" w:ascii="仿宋" w:hAnsi="仿宋" w:eastAsia="仿宋" w:cs="仿宋"/>
          <w:color w:val="auto"/>
          <w:sz w:val="28"/>
          <w:szCs w:val="28"/>
        </w:rPr>
        <w:t>密封档案袋封面格式：</w:t>
      </w:r>
      <w:bookmarkEnd w:id="183"/>
      <w:bookmarkEnd w:id="184"/>
    </w:p>
    <w:p>
      <w:pPr>
        <w:pStyle w:val="14"/>
        <w:rPr>
          <w:rFonts w:hint="eastAsia"/>
          <w:color w:val="auto"/>
        </w:rPr>
      </w:pPr>
    </w:p>
    <w:p>
      <w:pPr>
        <w:spacing w:line="360" w:lineRule="auto"/>
        <w:jc w:val="center"/>
        <w:rPr>
          <w:rFonts w:hint="eastAsia" w:ascii="仿宋" w:hAnsi="仿宋" w:eastAsia="仿宋" w:cs="仿宋"/>
          <w:color w:val="auto"/>
        </w:rPr>
      </w:pPr>
      <w:r>
        <w:rPr>
          <w:rFonts w:hint="eastAsia" w:ascii="仿宋" w:hAnsi="仿宋" w:eastAsia="仿宋" w:cs="仿宋"/>
          <w:b/>
          <w:bCs/>
          <w:color w:val="auto"/>
          <w:sz w:val="52"/>
          <w:szCs w:val="52"/>
          <w:u w:val="single"/>
        </w:rPr>
        <w:t xml:space="preserve">****          </w:t>
      </w:r>
      <w:r>
        <w:rPr>
          <w:rFonts w:hint="eastAsia" w:ascii="仿宋" w:hAnsi="仿宋" w:eastAsia="仿宋" w:cs="仿宋"/>
          <w:b/>
          <w:bCs/>
          <w:color w:val="auto"/>
          <w:sz w:val="52"/>
          <w:szCs w:val="52"/>
        </w:rPr>
        <w:t>项目</w:t>
      </w:r>
    </w:p>
    <w:p>
      <w:pPr>
        <w:spacing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项目编号：</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jc w:val="center"/>
        <w:rPr>
          <w:rFonts w:hint="eastAsia" w:ascii="仿宋" w:hAnsi="仿宋" w:eastAsia="仿宋" w:cs="仿宋"/>
          <w:b/>
          <w:bCs/>
          <w:color w:val="auto"/>
          <w:sz w:val="72"/>
          <w:szCs w:val="144"/>
        </w:rPr>
      </w:pPr>
      <w:r>
        <w:rPr>
          <w:rFonts w:hint="eastAsia" w:ascii="仿宋" w:hAnsi="仿宋" w:eastAsia="仿宋" w:cs="仿宋"/>
          <w:b/>
          <w:bCs/>
          <w:color w:val="auto"/>
          <w:sz w:val="72"/>
          <w:szCs w:val="144"/>
        </w:rPr>
        <w:t>响 应 文 件</w:t>
      </w:r>
    </w:p>
    <w:p>
      <w:pPr>
        <w:spacing w:line="360" w:lineRule="auto"/>
        <w:jc w:val="center"/>
        <w:rPr>
          <w:rFonts w:hint="eastAsia" w:ascii="仿宋" w:hAnsi="仿宋" w:eastAsia="仿宋" w:cs="仿宋"/>
          <w:color w:val="auto"/>
          <w:sz w:val="44"/>
          <w:szCs w:val="52"/>
        </w:rPr>
      </w:pPr>
    </w:p>
    <w:p>
      <w:pPr>
        <w:spacing w:line="360" w:lineRule="auto"/>
        <w:jc w:val="center"/>
        <w:rPr>
          <w:rFonts w:hint="eastAsia" w:ascii="仿宋" w:hAnsi="仿宋" w:eastAsia="仿宋" w:cs="仿宋"/>
          <w:color w:val="auto"/>
          <w:sz w:val="72"/>
          <w:szCs w:val="144"/>
        </w:rPr>
      </w:pPr>
    </w:p>
    <w:p>
      <w:pPr>
        <w:spacing w:line="360" w:lineRule="auto"/>
        <w:jc w:val="center"/>
        <w:rPr>
          <w:rFonts w:hint="eastAsia" w:ascii="仿宋" w:hAnsi="仿宋" w:eastAsia="仿宋" w:cs="仿宋"/>
          <w:color w:val="auto"/>
          <w:sz w:val="72"/>
          <w:szCs w:val="144"/>
        </w:rPr>
      </w:pPr>
    </w:p>
    <w:p>
      <w:pPr>
        <w:spacing w:line="360" w:lineRule="auto"/>
        <w:rPr>
          <w:rFonts w:hint="eastAsia" w:ascii="仿宋" w:hAnsi="仿宋" w:eastAsia="仿宋" w:cs="仿宋"/>
          <w:color w:val="auto"/>
          <w:sz w:val="28"/>
          <w:szCs w:val="28"/>
        </w:rPr>
      </w:pPr>
      <w:bookmarkStart w:id="185" w:name="_Toc32738"/>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bookmarkEnd w:id="185"/>
    </w:p>
    <w:p>
      <w:pPr>
        <w:spacing w:line="360" w:lineRule="auto"/>
        <w:rPr>
          <w:rFonts w:hint="eastAsia" w:ascii="仿宋" w:hAnsi="仿宋" w:eastAsia="仿宋" w:cs="仿宋"/>
          <w:color w:val="auto"/>
          <w:sz w:val="28"/>
          <w:szCs w:val="28"/>
        </w:rPr>
      </w:pPr>
      <w:bookmarkStart w:id="186" w:name="_Toc6652"/>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（签字或盖章）</w:t>
      </w:r>
      <w:bookmarkEnd w:id="186"/>
    </w:p>
    <w:p>
      <w:pPr>
        <w:spacing w:line="360" w:lineRule="auto"/>
        <w:rPr>
          <w:rFonts w:hint="eastAsia" w:ascii="仿宋" w:hAnsi="仿宋" w:eastAsia="仿宋" w:cs="仿宋"/>
          <w:color w:val="auto"/>
          <w:sz w:val="28"/>
          <w:szCs w:val="28"/>
          <w:u w:val="single"/>
        </w:rPr>
      </w:pPr>
      <w:bookmarkStart w:id="187" w:name="_Toc3693"/>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地址：</w:t>
      </w:r>
      <w:bookmarkEnd w:id="187"/>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rPr>
      </w:pPr>
      <w:bookmarkStart w:id="188" w:name="_Toc10765"/>
      <w:r>
        <w:rPr>
          <w:rFonts w:hint="eastAsia" w:ascii="仿宋" w:hAnsi="仿宋" w:eastAsia="仿宋" w:cs="仿宋"/>
          <w:color w:val="auto"/>
          <w:sz w:val="28"/>
          <w:szCs w:val="28"/>
        </w:rPr>
        <w:t>联  系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联系电话：</w:t>
      </w:r>
      <w:bookmarkEnd w:id="188"/>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rPr>
      </w:pPr>
      <w:bookmarkStart w:id="189" w:name="_Toc26817"/>
      <w:r>
        <w:rPr>
          <w:rFonts w:hint="eastAsia" w:ascii="仿宋" w:hAnsi="仿宋" w:eastAsia="仿宋" w:cs="仿宋"/>
          <w:color w:val="auto"/>
          <w:sz w:val="28"/>
          <w:szCs w:val="28"/>
        </w:rPr>
        <w:t>年   月    日</w:t>
      </w:r>
      <w:bookmarkEnd w:id="189"/>
    </w:p>
    <w:p>
      <w:pPr>
        <w:spacing w:line="360" w:lineRule="auto"/>
        <w:rPr>
          <w:rFonts w:hint="eastAsia" w:ascii="仿宋" w:hAnsi="仿宋" w:eastAsia="仿宋" w:cs="仿宋"/>
          <w:color w:val="auto"/>
          <w:sz w:val="28"/>
          <w:szCs w:val="28"/>
        </w:rPr>
      </w:pPr>
    </w:p>
    <w:p>
      <w:pPr>
        <w:widowControl/>
        <w:autoSpaceDE w:val="0"/>
        <w:autoSpaceDN w:val="0"/>
        <w:adjustRightInd w:val="0"/>
        <w:spacing w:before="260" w:after="260" w:line="408" w:lineRule="auto"/>
        <w:ind w:right="-481"/>
        <w:jc w:val="center"/>
        <w:outlineLvl w:val="0"/>
        <w:rPr>
          <w:rFonts w:hint="eastAsia" w:ascii="仿宋" w:hAnsi="仿宋" w:eastAsia="仿宋" w:cs="仿宋"/>
          <w:b/>
          <w:bCs/>
          <w:color w:val="auto"/>
          <w:kern w:val="1"/>
          <w:sz w:val="36"/>
          <w:szCs w:val="36"/>
        </w:rPr>
      </w:pPr>
      <w:bookmarkStart w:id="190" w:name="_Toc29459"/>
      <w:r>
        <w:rPr>
          <w:rFonts w:hint="eastAsia" w:ascii="仿宋" w:hAnsi="仿宋" w:eastAsia="仿宋" w:cs="仿宋"/>
          <w:color w:val="auto"/>
          <w:sz w:val="28"/>
          <w:szCs w:val="28"/>
        </w:rPr>
        <w:t>在  年  月  日  时  分之前不得启封</w:t>
      </w:r>
      <w:r>
        <w:rPr>
          <w:rFonts w:hint="eastAsia" w:ascii="仿宋" w:hAnsi="仿宋" w:eastAsia="仿宋" w:cs="仿宋"/>
          <w:color w:val="auto"/>
        </w:rPr>
        <w:br w:type="page"/>
      </w:r>
      <w:r>
        <w:rPr>
          <w:rFonts w:hint="eastAsia" w:ascii="仿宋" w:hAnsi="仿宋" w:eastAsia="仿宋" w:cs="仿宋"/>
          <w:b/>
          <w:bCs/>
          <w:color w:val="auto"/>
          <w:kern w:val="1"/>
          <w:sz w:val="36"/>
          <w:szCs w:val="36"/>
        </w:rPr>
        <w:t>目</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录</w:t>
      </w:r>
      <w:bookmarkEnd w:id="190"/>
    </w:p>
    <w:p>
      <w:pPr>
        <w:spacing w:line="360" w:lineRule="auto"/>
        <w:outlineLvl w:val="0"/>
        <w:rPr>
          <w:rFonts w:hint="eastAsia" w:ascii="仿宋" w:hAnsi="仿宋" w:eastAsia="仿宋" w:cs="仿宋"/>
          <w:b/>
          <w:bCs/>
          <w:color w:val="auto"/>
          <w:sz w:val="28"/>
          <w:szCs w:val="32"/>
          <w:lang w:eastAsia="zh-CN"/>
        </w:rPr>
      </w:pPr>
      <w:bookmarkStart w:id="191" w:name="_Toc15149"/>
      <w:r>
        <w:rPr>
          <w:rFonts w:hint="eastAsia" w:ascii="仿宋" w:hAnsi="仿宋" w:eastAsia="仿宋" w:cs="仿宋"/>
          <w:b/>
          <w:bCs/>
          <w:color w:val="auto"/>
          <w:sz w:val="28"/>
          <w:szCs w:val="32"/>
          <w:lang w:eastAsia="zh-CN"/>
        </w:rPr>
        <w:t>一、商务文件：</w:t>
      </w:r>
      <w:bookmarkEnd w:id="191"/>
    </w:p>
    <w:p>
      <w:pPr>
        <w:spacing w:line="360" w:lineRule="auto"/>
        <w:rPr>
          <w:rFonts w:hint="eastAsia" w:ascii="仿宋" w:hAnsi="仿宋" w:eastAsia="仿宋" w:cs="仿宋"/>
          <w:b/>
          <w:bCs/>
          <w:color w:val="auto"/>
          <w:sz w:val="24"/>
          <w:szCs w:val="28"/>
          <w:lang w:eastAsia="zh-CN"/>
        </w:rPr>
      </w:pPr>
      <w:r>
        <w:rPr>
          <w:rFonts w:hint="eastAsia" w:ascii="仿宋" w:hAnsi="仿宋" w:eastAsia="仿宋" w:cs="仿宋"/>
          <w:b/>
          <w:bCs/>
          <w:color w:val="auto"/>
          <w:sz w:val="24"/>
          <w:szCs w:val="28"/>
          <w:lang w:val="en-US" w:eastAsia="zh-CN"/>
        </w:rPr>
        <w:t>1</w:t>
      </w:r>
      <w:r>
        <w:rPr>
          <w:rFonts w:hint="eastAsia" w:ascii="仿宋" w:hAnsi="仿宋" w:eastAsia="仿宋" w:cs="仿宋"/>
          <w:b/>
          <w:bCs/>
          <w:color w:val="auto"/>
          <w:sz w:val="24"/>
          <w:szCs w:val="28"/>
          <w:lang w:eastAsia="zh-CN"/>
        </w:rPr>
        <w:t>、报价函</w:t>
      </w:r>
    </w:p>
    <w:p>
      <w:pPr>
        <w:spacing w:line="360" w:lineRule="auto"/>
        <w:rPr>
          <w:rFonts w:hint="eastAsia" w:ascii="仿宋" w:hAnsi="仿宋" w:eastAsia="仿宋" w:cs="仿宋"/>
          <w:b/>
          <w:bCs/>
          <w:color w:val="auto"/>
          <w:sz w:val="24"/>
          <w:szCs w:val="28"/>
          <w:lang w:eastAsia="zh-CN"/>
        </w:rPr>
      </w:pPr>
      <w:r>
        <w:rPr>
          <w:rFonts w:hint="eastAsia" w:ascii="仿宋" w:hAnsi="仿宋" w:eastAsia="仿宋" w:cs="仿宋"/>
          <w:b/>
          <w:bCs/>
          <w:color w:val="auto"/>
          <w:sz w:val="24"/>
          <w:szCs w:val="28"/>
          <w:lang w:val="en-US" w:eastAsia="zh-CN"/>
        </w:rPr>
        <w:t>2</w:t>
      </w:r>
      <w:r>
        <w:rPr>
          <w:rFonts w:hint="eastAsia" w:ascii="仿宋" w:hAnsi="仿宋" w:eastAsia="仿宋" w:cs="仿宋"/>
          <w:b/>
          <w:bCs/>
          <w:color w:val="auto"/>
          <w:sz w:val="24"/>
          <w:szCs w:val="28"/>
          <w:lang w:eastAsia="zh-CN"/>
        </w:rPr>
        <w:t>、报价一览表</w:t>
      </w:r>
    </w:p>
    <w:p>
      <w:pPr>
        <w:spacing w:line="360" w:lineRule="auto"/>
        <w:rPr>
          <w:rFonts w:hint="eastAsia" w:ascii="仿宋" w:hAnsi="仿宋" w:eastAsia="仿宋" w:cs="仿宋"/>
          <w:b/>
          <w:bCs/>
          <w:color w:val="auto"/>
          <w:sz w:val="24"/>
          <w:szCs w:val="28"/>
          <w:lang w:val="zh-CN" w:eastAsia="zh-CN"/>
        </w:rPr>
      </w:pPr>
      <w:r>
        <w:rPr>
          <w:rFonts w:hint="eastAsia" w:ascii="仿宋" w:hAnsi="仿宋" w:eastAsia="仿宋" w:cs="仿宋"/>
          <w:b/>
          <w:bCs/>
          <w:color w:val="auto"/>
          <w:sz w:val="24"/>
          <w:szCs w:val="28"/>
          <w:lang w:val="en-US" w:eastAsia="zh-CN"/>
        </w:rPr>
        <w:t>3</w:t>
      </w:r>
      <w:r>
        <w:rPr>
          <w:rFonts w:hint="eastAsia" w:ascii="仿宋" w:hAnsi="仿宋" w:eastAsia="仿宋" w:cs="仿宋"/>
          <w:b/>
          <w:bCs/>
          <w:color w:val="auto"/>
          <w:sz w:val="24"/>
          <w:szCs w:val="28"/>
          <w:lang w:val="zh-CN" w:eastAsia="zh-CN"/>
        </w:rPr>
        <w:t>、分项报价明细表（采购内容类附项目预算书）</w:t>
      </w:r>
    </w:p>
    <w:p>
      <w:pPr>
        <w:spacing w:line="360" w:lineRule="auto"/>
        <w:rPr>
          <w:rFonts w:hint="eastAsia" w:ascii="仿宋" w:hAnsi="仿宋" w:eastAsia="仿宋" w:cs="仿宋"/>
          <w:b/>
          <w:bCs/>
          <w:color w:val="auto"/>
          <w:sz w:val="24"/>
          <w:szCs w:val="28"/>
          <w:lang w:eastAsia="zh-CN"/>
        </w:rPr>
      </w:pPr>
      <w:r>
        <w:rPr>
          <w:rFonts w:hint="eastAsia" w:ascii="仿宋" w:hAnsi="仿宋" w:eastAsia="仿宋" w:cs="仿宋"/>
          <w:b/>
          <w:bCs/>
          <w:color w:val="auto"/>
          <w:sz w:val="24"/>
          <w:szCs w:val="28"/>
          <w:lang w:val="en-US" w:eastAsia="zh-CN"/>
        </w:rPr>
        <w:t>4、</w:t>
      </w:r>
      <w:r>
        <w:rPr>
          <w:rFonts w:hint="eastAsia" w:ascii="仿宋" w:hAnsi="仿宋" w:eastAsia="仿宋" w:cs="仿宋"/>
          <w:b/>
          <w:bCs/>
          <w:color w:val="auto"/>
          <w:sz w:val="24"/>
          <w:szCs w:val="28"/>
          <w:lang w:eastAsia="zh-CN"/>
        </w:rPr>
        <w:t>商务偏离表</w:t>
      </w:r>
    </w:p>
    <w:p>
      <w:pPr>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4"/>
          <w:szCs w:val="28"/>
          <w:lang w:val="en-US" w:eastAsia="zh-CN"/>
        </w:rPr>
        <w:t>5、</w:t>
      </w:r>
      <w:r>
        <w:rPr>
          <w:rFonts w:hint="eastAsia" w:ascii="仿宋" w:hAnsi="仿宋" w:eastAsia="仿宋" w:cs="仿宋"/>
          <w:b/>
          <w:bCs/>
          <w:color w:val="auto"/>
          <w:sz w:val="24"/>
          <w:szCs w:val="28"/>
          <w:lang w:eastAsia="zh-CN"/>
        </w:rPr>
        <w:t>中小企业声明函</w:t>
      </w:r>
    </w:p>
    <w:p>
      <w:pPr>
        <w:spacing w:line="360" w:lineRule="auto"/>
        <w:rPr>
          <w:rFonts w:hint="eastAsia" w:ascii="仿宋" w:hAnsi="仿宋" w:eastAsia="仿宋" w:cs="仿宋"/>
          <w:b/>
          <w:bCs/>
          <w:color w:val="auto"/>
          <w:sz w:val="28"/>
          <w:szCs w:val="32"/>
          <w:lang w:val="en-US" w:eastAsia="zh-CN"/>
        </w:rPr>
      </w:pPr>
    </w:p>
    <w:p>
      <w:pPr>
        <w:spacing w:line="360" w:lineRule="auto"/>
        <w:outlineLvl w:val="0"/>
        <w:rPr>
          <w:rFonts w:hint="eastAsia" w:ascii="仿宋" w:hAnsi="仿宋" w:eastAsia="仿宋" w:cs="仿宋"/>
          <w:b/>
          <w:bCs/>
          <w:color w:val="auto"/>
          <w:sz w:val="28"/>
          <w:szCs w:val="32"/>
          <w:lang w:val="en-US" w:eastAsia="zh-CN"/>
        </w:rPr>
      </w:pPr>
      <w:bookmarkStart w:id="192" w:name="_Toc17744"/>
      <w:r>
        <w:rPr>
          <w:rFonts w:hint="eastAsia" w:ascii="仿宋" w:hAnsi="仿宋" w:eastAsia="仿宋" w:cs="仿宋"/>
          <w:b/>
          <w:bCs/>
          <w:color w:val="auto"/>
          <w:sz w:val="28"/>
          <w:szCs w:val="32"/>
          <w:lang w:val="en-US" w:eastAsia="zh-CN"/>
        </w:rPr>
        <w:t>二、技术文件：</w:t>
      </w:r>
      <w:bookmarkEnd w:id="192"/>
    </w:p>
    <w:p>
      <w:pPr>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4"/>
          <w:szCs w:val="28"/>
          <w:lang w:val="en-US" w:eastAsia="zh-CN"/>
        </w:rPr>
        <w:t>1</w:t>
      </w:r>
      <w:r>
        <w:rPr>
          <w:rFonts w:hint="eastAsia" w:ascii="仿宋" w:hAnsi="仿宋" w:eastAsia="仿宋" w:cs="仿宋"/>
          <w:b/>
          <w:bCs/>
          <w:color w:val="auto"/>
          <w:sz w:val="24"/>
          <w:szCs w:val="28"/>
          <w:lang w:eastAsia="zh-CN"/>
        </w:rPr>
        <w:t>、联合投标协议书（本次不接受联合体投标）</w:t>
      </w:r>
    </w:p>
    <w:p>
      <w:pPr>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4"/>
          <w:szCs w:val="28"/>
          <w:lang w:val="en-US" w:eastAsia="zh-CN"/>
        </w:rPr>
        <w:t>2</w:t>
      </w:r>
      <w:r>
        <w:rPr>
          <w:rFonts w:hint="eastAsia" w:ascii="仿宋" w:hAnsi="仿宋" w:eastAsia="仿宋" w:cs="仿宋"/>
          <w:b/>
          <w:bCs/>
          <w:color w:val="auto"/>
          <w:sz w:val="24"/>
          <w:szCs w:val="28"/>
          <w:lang w:eastAsia="zh-CN"/>
        </w:rPr>
        <w:t>、法定代表人身份证明（或法定代表人授权委托书</w:t>
      </w:r>
      <w:r>
        <w:rPr>
          <w:rFonts w:hint="eastAsia" w:ascii="仿宋" w:hAnsi="仿宋" w:eastAsia="仿宋" w:cs="仿宋"/>
          <w:b/>
          <w:bCs/>
          <w:color w:val="auto"/>
          <w:sz w:val="24"/>
          <w:szCs w:val="28"/>
          <w:lang w:val="en-US" w:eastAsia="zh-CN"/>
        </w:rPr>
        <w:t>)</w:t>
      </w:r>
    </w:p>
    <w:p>
      <w:pPr>
        <w:spacing w:line="360" w:lineRule="auto"/>
        <w:rPr>
          <w:rFonts w:hint="eastAsia"/>
          <w:color w:val="auto"/>
          <w:lang w:eastAsia="zh-CN"/>
        </w:rPr>
      </w:pPr>
      <w:r>
        <w:rPr>
          <w:rFonts w:hint="eastAsia" w:ascii="仿宋" w:hAnsi="仿宋" w:eastAsia="仿宋" w:cs="仿宋"/>
          <w:b/>
          <w:bCs/>
          <w:color w:val="auto"/>
          <w:sz w:val="24"/>
          <w:szCs w:val="28"/>
          <w:lang w:val="en-US" w:eastAsia="zh-CN"/>
        </w:rPr>
        <w:t>3、</w:t>
      </w:r>
      <w:r>
        <w:rPr>
          <w:rFonts w:hint="eastAsia" w:ascii="仿宋" w:hAnsi="仿宋" w:eastAsia="仿宋" w:cs="仿宋"/>
          <w:b/>
          <w:bCs/>
          <w:color w:val="auto"/>
          <w:sz w:val="24"/>
          <w:szCs w:val="28"/>
          <w:lang w:eastAsia="zh-CN"/>
        </w:rPr>
        <w:t>信用中国、中国政府采购网查询报告复印件</w:t>
      </w:r>
    </w:p>
    <w:p>
      <w:pPr>
        <w:spacing w:line="360" w:lineRule="auto"/>
        <w:rPr>
          <w:rFonts w:hint="eastAsia" w:ascii="仿宋" w:hAnsi="仿宋" w:eastAsia="仿宋" w:cs="仿宋"/>
          <w:b/>
          <w:bCs/>
          <w:color w:val="auto"/>
          <w:sz w:val="24"/>
          <w:szCs w:val="28"/>
          <w:lang w:eastAsia="zh-CN"/>
        </w:rPr>
      </w:pPr>
      <w:r>
        <w:rPr>
          <w:rFonts w:hint="eastAsia" w:ascii="仿宋" w:hAnsi="仿宋" w:eastAsia="仿宋" w:cs="仿宋"/>
          <w:b/>
          <w:bCs/>
          <w:color w:val="auto"/>
          <w:sz w:val="24"/>
          <w:szCs w:val="28"/>
          <w:lang w:val="en-US" w:eastAsia="zh-CN"/>
        </w:rPr>
        <w:t>4</w:t>
      </w:r>
      <w:r>
        <w:rPr>
          <w:rFonts w:hint="eastAsia" w:ascii="仿宋" w:hAnsi="仿宋" w:eastAsia="仿宋" w:cs="仿宋"/>
          <w:b/>
          <w:bCs/>
          <w:color w:val="auto"/>
          <w:sz w:val="24"/>
          <w:szCs w:val="28"/>
          <w:lang w:eastAsia="zh-CN"/>
        </w:rPr>
        <w:t>、技术偏离表</w:t>
      </w:r>
    </w:p>
    <w:p>
      <w:pPr>
        <w:spacing w:line="360" w:lineRule="auto"/>
        <w:rPr>
          <w:rFonts w:hint="eastAsia" w:ascii="仿宋" w:hAnsi="仿宋" w:eastAsia="仿宋" w:cs="仿宋"/>
          <w:b/>
          <w:bCs/>
          <w:color w:val="auto"/>
          <w:sz w:val="24"/>
          <w:szCs w:val="28"/>
          <w:lang w:eastAsia="zh-CN"/>
        </w:rPr>
      </w:pPr>
      <w:r>
        <w:rPr>
          <w:rFonts w:hint="eastAsia" w:ascii="仿宋" w:hAnsi="仿宋" w:eastAsia="仿宋" w:cs="仿宋"/>
          <w:b/>
          <w:bCs/>
          <w:color w:val="auto"/>
          <w:sz w:val="24"/>
          <w:szCs w:val="28"/>
          <w:lang w:val="en-US" w:eastAsia="zh-CN"/>
        </w:rPr>
        <w:t>5、响应服务技术参数</w:t>
      </w:r>
    </w:p>
    <w:p>
      <w:pPr>
        <w:spacing w:line="360" w:lineRule="auto"/>
        <w:rPr>
          <w:rFonts w:hint="eastAsia" w:ascii="仿宋" w:hAnsi="仿宋" w:eastAsia="仿宋" w:cs="仿宋"/>
          <w:b/>
          <w:bCs/>
          <w:color w:val="auto"/>
          <w:sz w:val="24"/>
          <w:szCs w:val="28"/>
          <w:lang w:eastAsia="zh-CN"/>
        </w:rPr>
      </w:pPr>
      <w:r>
        <w:rPr>
          <w:rFonts w:hint="eastAsia" w:ascii="仿宋" w:hAnsi="仿宋" w:eastAsia="仿宋" w:cs="仿宋"/>
          <w:b/>
          <w:bCs/>
          <w:color w:val="auto"/>
          <w:sz w:val="24"/>
          <w:szCs w:val="28"/>
          <w:lang w:val="en-US" w:eastAsia="zh-CN"/>
        </w:rPr>
        <w:t>6、</w:t>
      </w:r>
      <w:r>
        <w:rPr>
          <w:rFonts w:hint="eastAsia" w:ascii="仿宋" w:hAnsi="仿宋" w:eastAsia="仿宋" w:cs="仿宋"/>
          <w:b/>
          <w:bCs/>
          <w:color w:val="auto"/>
          <w:sz w:val="24"/>
          <w:szCs w:val="28"/>
          <w:lang w:eastAsia="zh-CN"/>
        </w:rPr>
        <w:t>供应商基本情况表（附营业执照等）</w:t>
      </w:r>
    </w:p>
    <w:p>
      <w:pPr>
        <w:spacing w:line="360" w:lineRule="auto"/>
        <w:rPr>
          <w:rFonts w:hint="eastAsia" w:ascii="仿宋" w:hAnsi="仿宋" w:eastAsia="仿宋" w:cs="仿宋"/>
          <w:b/>
          <w:bCs/>
          <w:color w:val="auto"/>
          <w:sz w:val="24"/>
          <w:szCs w:val="28"/>
          <w:lang w:eastAsia="zh-CN"/>
        </w:rPr>
      </w:pPr>
      <w:r>
        <w:rPr>
          <w:rFonts w:hint="eastAsia" w:ascii="仿宋" w:hAnsi="仿宋" w:eastAsia="仿宋" w:cs="仿宋"/>
          <w:b/>
          <w:bCs/>
          <w:color w:val="auto"/>
          <w:sz w:val="24"/>
          <w:szCs w:val="28"/>
          <w:lang w:val="en-US" w:eastAsia="zh-CN"/>
        </w:rPr>
        <w:t>7</w:t>
      </w:r>
      <w:r>
        <w:rPr>
          <w:rFonts w:hint="eastAsia" w:ascii="仿宋" w:hAnsi="仿宋" w:eastAsia="仿宋" w:cs="仿宋"/>
          <w:b/>
          <w:bCs/>
          <w:color w:val="auto"/>
          <w:sz w:val="24"/>
          <w:szCs w:val="28"/>
          <w:lang w:eastAsia="zh-CN"/>
        </w:rPr>
        <w:t>、无重大违法记录的书面声明</w:t>
      </w:r>
    </w:p>
    <w:p>
      <w:pPr>
        <w:spacing w:line="360" w:lineRule="auto"/>
        <w:rPr>
          <w:rFonts w:hint="eastAsia" w:ascii="仿宋" w:hAnsi="仿宋" w:eastAsia="仿宋" w:cs="仿宋"/>
          <w:b/>
          <w:bCs/>
          <w:color w:val="auto"/>
          <w:sz w:val="24"/>
          <w:szCs w:val="28"/>
          <w:lang w:eastAsia="zh-CN"/>
        </w:rPr>
      </w:pPr>
      <w:r>
        <w:rPr>
          <w:rFonts w:hint="eastAsia" w:ascii="仿宋" w:hAnsi="仿宋" w:eastAsia="仿宋" w:cs="仿宋"/>
          <w:b/>
          <w:bCs/>
          <w:color w:val="auto"/>
          <w:sz w:val="24"/>
          <w:szCs w:val="28"/>
          <w:lang w:val="en-US" w:eastAsia="zh-CN"/>
        </w:rPr>
        <w:t>8</w:t>
      </w:r>
      <w:r>
        <w:rPr>
          <w:rFonts w:hint="eastAsia" w:ascii="仿宋" w:hAnsi="仿宋" w:eastAsia="仿宋" w:cs="仿宋"/>
          <w:b/>
          <w:bCs/>
          <w:color w:val="auto"/>
          <w:sz w:val="24"/>
          <w:szCs w:val="28"/>
          <w:lang w:eastAsia="zh-CN"/>
        </w:rPr>
        <w:t>、反商业贿赂承诺书</w:t>
      </w:r>
    </w:p>
    <w:p>
      <w:pPr>
        <w:spacing w:line="360" w:lineRule="auto"/>
        <w:rPr>
          <w:rFonts w:hint="eastAsia" w:ascii="仿宋" w:hAnsi="仿宋" w:eastAsia="仿宋" w:cs="仿宋"/>
          <w:b/>
          <w:bCs/>
          <w:color w:val="auto"/>
          <w:sz w:val="24"/>
          <w:szCs w:val="28"/>
          <w:lang w:eastAsia="zh-CN"/>
        </w:rPr>
      </w:pPr>
      <w:r>
        <w:rPr>
          <w:rFonts w:hint="eastAsia" w:ascii="仿宋" w:hAnsi="仿宋" w:eastAsia="仿宋" w:cs="仿宋"/>
          <w:b/>
          <w:bCs/>
          <w:color w:val="auto"/>
          <w:sz w:val="24"/>
          <w:szCs w:val="28"/>
          <w:lang w:val="en-US" w:eastAsia="zh-CN"/>
        </w:rPr>
        <w:t>9</w:t>
      </w:r>
      <w:r>
        <w:rPr>
          <w:rFonts w:hint="eastAsia" w:ascii="仿宋" w:hAnsi="仿宋" w:eastAsia="仿宋" w:cs="仿宋"/>
          <w:b/>
          <w:bCs/>
          <w:color w:val="auto"/>
          <w:sz w:val="24"/>
          <w:szCs w:val="28"/>
          <w:lang w:eastAsia="zh-CN"/>
        </w:rPr>
        <w:t>、政府采购诚信承诺书</w:t>
      </w:r>
    </w:p>
    <w:p>
      <w:pPr>
        <w:spacing w:line="360" w:lineRule="auto"/>
        <w:rPr>
          <w:rFonts w:hint="eastAsia" w:ascii="仿宋" w:hAnsi="仿宋" w:eastAsia="仿宋" w:cs="仿宋"/>
          <w:b/>
          <w:bCs/>
          <w:color w:val="auto"/>
          <w:sz w:val="24"/>
          <w:szCs w:val="28"/>
          <w:lang w:eastAsia="zh-CN"/>
        </w:rPr>
      </w:pPr>
      <w:r>
        <w:rPr>
          <w:rFonts w:hint="eastAsia" w:ascii="仿宋" w:hAnsi="仿宋" w:eastAsia="仿宋" w:cs="仿宋"/>
          <w:b/>
          <w:bCs/>
          <w:color w:val="auto"/>
          <w:sz w:val="24"/>
          <w:szCs w:val="28"/>
          <w:lang w:val="en-US" w:eastAsia="zh-CN"/>
        </w:rPr>
        <w:t>10</w:t>
      </w:r>
      <w:r>
        <w:rPr>
          <w:rFonts w:hint="eastAsia" w:ascii="仿宋" w:hAnsi="仿宋" w:eastAsia="仿宋" w:cs="仿宋"/>
          <w:b/>
          <w:bCs/>
          <w:color w:val="auto"/>
          <w:sz w:val="24"/>
          <w:szCs w:val="28"/>
          <w:lang w:eastAsia="zh-CN"/>
        </w:rPr>
        <w:t>、其他资料</w:t>
      </w:r>
    </w:p>
    <w:p>
      <w:pPr>
        <w:widowControl/>
        <w:autoSpaceDE w:val="0"/>
        <w:autoSpaceDN w:val="0"/>
        <w:adjustRightInd w:val="0"/>
        <w:spacing w:before="120" w:after="120" w:line="300" w:lineRule="auto"/>
        <w:ind w:right="-481"/>
        <w:jc w:val="center"/>
        <w:rPr>
          <w:rFonts w:hint="eastAsia" w:ascii="仿宋" w:hAnsi="仿宋" w:eastAsia="仿宋" w:cs="仿宋"/>
          <w:color w:val="auto"/>
          <w:kern w:val="1"/>
          <w:sz w:val="28"/>
          <w:szCs w:val="28"/>
        </w:rPr>
      </w:pPr>
      <w:r>
        <w:rPr>
          <w:rFonts w:hint="eastAsia" w:ascii="仿宋" w:hAnsi="仿宋" w:eastAsia="仿宋" w:cs="仿宋"/>
          <w:color w:val="auto"/>
          <w:kern w:val="1"/>
          <w:sz w:val="30"/>
          <w:szCs w:val="30"/>
        </w:rPr>
        <w:br w:type="page"/>
      </w:r>
      <w:r>
        <w:rPr>
          <w:rFonts w:hint="eastAsia" w:ascii="仿宋" w:hAnsi="仿宋" w:eastAsia="仿宋" w:cs="仿宋"/>
          <w:color w:val="auto"/>
          <w:kern w:val="1"/>
          <w:sz w:val="30"/>
          <w:szCs w:val="30"/>
          <w:lang w:eastAsia="zh-CN"/>
        </w:rPr>
        <w:t>一、</w:t>
      </w:r>
      <w:r>
        <w:rPr>
          <w:rFonts w:hint="eastAsia" w:ascii="仿宋" w:hAnsi="仿宋" w:eastAsia="仿宋" w:cs="仿宋"/>
          <w:color w:val="auto"/>
          <w:kern w:val="1"/>
          <w:sz w:val="28"/>
          <w:szCs w:val="28"/>
        </w:rPr>
        <w:t>报价函</w:t>
      </w:r>
    </w:p>
    <w:p>
      <w:pPr>
        <w:widowControl/>
        <w:autoSpaceDE w:val="0"/>
        <w:autoSpaceDN w:val="0"/>
        <w:adjustRightInd w:val="0"/>
        <w:spacing w:line="380" w:lineRule="exact"/>
        <w:ind w:right="-481"/>
        <w:rPr>
          <w:rFonts w:hint="eastAsia" w:ascii="仿宋" w:hAnsi="仿宋" w:eastAsia="仿宋" w:cs="仿宋"/>
          <w:color w:val="auto"/>
          <w:kern w:val="1"/>
          <w:sz w:val="24"/>
          <w:szCs w:val="24"/>
          <w:u w:val="single"/>
        </w:rPr>
      </w:pPr>
    </w:p>
    <w:p>
      <w:pPr>
        <w:widowControl/>
        <w:autoSpaceDE w:val="0"/>
        <w:autoSpaceDN w:val="0"/>
        <w:adjustRightInd w:val="0"/>
        <w:spacing w:line="380" w:lineRule="exact"/>
        <w:rPr>
          <w:rFonts w:hint="eastAsia" w:ascii="仿宋" w:hAnsi="仿宋" w:eastAsia="仿宋" w:cs="仿宋"/>
          <w:color w:val="auto"/>
          <w:kern w:val="1"/>
          <w:sz w:val="24"/>
          <w:szCs w:val="24"/>
        </w:rPr>
      </w:pPr>
      <w:r>
        <w:rPr>
          <w:rFonts w:hint="eastAsia" w:ascii="仿宋" w:hAnsi="仿宋" w:eastAsia="仿宋" w:cs="仿宋"/>
          <w:color w:val="auto"/>
          <w:kern w:val="1"/>
          <w:sz w:val="24"/>
          <w:szCs w:val="24"/>
          <w:u w:val="single"/>
        </w:rPr>
        <w:t>（采购机构）</w:t>
      </w:r>
      <w:r>
        <w:rPr>
          <w:rStyle w:val="94"/>
          <w:rFonts w:hint="eastAsia" w:ascii="仿宋" w:hAnsi="仿宋" w:eastAsia="仿宋" w:cs="仿宋"/>
          <w:color w:val="auto"/>
          <w:sz w:val="24"/>
          <w:szCs w:val="24"/>
        </w:rPr>
        <w:t>：</w:t>
      </w:r>
    </w:p>
    <w:p>
      <w:pPr>
        <w:widowControl/>
        <w:autoSpaceDE w:val="0"/>
        <w:autoSpaceDN w:val="0"/>
        <w:adjustRightInd w:val="0"/>
        <w:spacing w:line="480" w:lineRule="exact"/>
        <w:rPr>
          <w:rFonts w:hint="eastAsia" w:ascii="仿宋" w:hAnsi="仿宋" w:eastAsia="仿宋" w:cs="仿宋"/>
          <w:color w:val="auto"/>
          <w:kern w:val="1"/>
          <w:sz w:val="24"/>
          <w:szCs w:val="24"/>
        </w:rPr>
      </w:pPr>
    </w:p>
    <w:p>
      <w:pPr>
        <w:widowControl/>
        <w:autoSpaceDE w:val="0"/>
        <w:autoSpaceDN w:val="0"/>
        <w:adjustRightInd w:val="0"/>
        <w:spacing w:line="460" w:lineRule="exact"/>
        <w:ind w:firstLine="480"/>
        <w:rPr>
          <w:rFonts w:hint="eastAsia" w:ascii="仿宋" w:hAnsi="仿宋" w:eastAsia="仿宋" w:cs="仿宋"/>
          <w:color w:val="auto"/>
          <w:kern w:val="1"/>
          <w:sz w:val="24"/>
          <w:szCs w:val="24"/>
        </w:rPr>
      </w:pPr>
      <w:r>
        <w:rPr>
          <w:rFonts w:hint="eastAsia" w:ascii="仿宋" w:hAnsi="仿宋" w:eastAsia="仿宋" w:cs="仿宋"/>
          <w:color w:val="auto"/>
          <w:kern w:val="1"/>
          <w:sz w:val="24"/>
          <w:szCs w:val="24"/>
          <w:u w:val="single"/>
        </w:rPr>
        <w:t>（供应商名称）</w:t>
      </w:r>
      <w:r>
        <w:rPr>
          <w:rStyle w:val="94"/>
          <w:rFonts w:hint="eastAsia" w:ascii="仿宋" w:hAnsi="仿宋" w:eastAsia="仿宋" w:cs="仿宋"/>
          <w:color w:val="auto"/>
          <w:sz w:val="24"/>
          <w:szCs w:val="24"/>
        </w:rPr>
        <w:t>系中华人民共和国合法企业，经营地址</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w:t>
      </w:r>
    </w:p>
    <w:p>
      <w:pPr>
        <w:widowControl/>
        <w:autoSpaceDE w:val="0"/>
        <w:autoSpaceDN w:val="0"/>
        <w:adjustRightInd w:val="0"/>
        <w:spacing w:line="460" w:lineRule="exact"/>
        <w:ind w:firstLine="480"/>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我</w:t>
      </w:r>
      <w:r>
        <w:rPr>
          <w:rFonts w:hint="eastAsia" w:ascii="仿宋" w:hAnsi="仿宋" w:eastAsia="仿宋" w:cs="仿宋"/>
          <w:color w:val="auto"/>
          <w:kern w:val="1"/>
          <w:sz w:val="24"/>
          <w:szCs w:val="24"/>
          <w:u w:val="single"/>
        </w:rPr>
        <w:t>（姓名）</w:t>
      </w:r>
      <w:r>
        <w:rPr>
          <w:rStyle w:val="94"/>
          <w:rFonts w:hint="eastAsia" w:ascii="仿宋" w:hAnsi="仿宋" w:eastAsia="仿宋" w:cs="仿宋"/>
          <w:color w:val="auto"/>
          <w:sz w:val="24"/>
          <w:szCs w:val="24"/>
        </w:rPr>
        <w:t>系</w:t>
      </w:r>
      <w:r>
        <w:rPr>
          <w:rFonts w:hint="eastAsia" w:ascii="仿宋" w:hAnsi="仿宋" w:eastAsia="仿宋" w:cs="仿宋"/>
          <w:color w:val="auto"/>
          <w:kern w:val="1"/>
          <w:sz w:val="24"/>
          <w:szCs w:val="24"/>
          <w:u w:val="single"/>
        </w:rPr>
        <w:t>（供应商名称）</w:t>
      </w:r>
      <w:r>
        <w:rPr>
          <w:rStyle w:val="94"/>
          <w:rFonts w:hint="eastAsia" w:ascii="仿宋" w:hAnsi="仿宋" w:eastAsia="仿宋" w:cs="仿宋"/>
          <w:color w:val="auto"/>
          <w:sz w:val="24"/>
          <w:szCs w:val="24"/>
        </w:rPr>
        <w:t>的法定代表人，我方愿意参加贵方组织的</w:t>
      </w:r>
      <w:r>
        <w:rPr>
          <w:rFonts w:hint="eastAsia" w:ascii="仿宋" w:hAnsi="仿宋" w:eastAsia="仿宋" w:cs="仿宋"/>
          <w:color w:val="auto"/>
          <w:kern w:val="1"/>
          <w:sz w:val="24"/>
          <w:szCs w:val="24"/>
          <w:u w:val="single"/>
        </w:rPr>
        <w:t>（项目名称）（编号为              ）</w:t>
      </w:r>
      <w:r>
        <w:rPr>
          <w:rStyle w:val="94"/>
          <w:rFonts w:hint="eastAsia" w:ascii="仿宋" w:hAnsi="仿宋" w:eastAsia="仿宋" w:cs="仿宋"/>
          <w:color w:val="auto"/>
          <w:sz w:val="24"/>
          <w:szCs w:val="24"/>
        </w:rPr>
        <w:t>的报价，为此，我方就本次报价有关事项郑重声明如下：</w:t>
      </w:r>
    </w:p>
    <w:p>
      <w:pPr>
        <w:widowControl/>
        <w:autoSpaceDE w:val="0"/>
        <w:autoSpaceDN w:val="0"/>
        <w:adjustRightInd w:val="0"/>
        <w:spacing w:line="460" w:lineRule="exact"/>
        <w:ind w:firstLine="48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1、我方已详细审查全部采购文件，同意采购文件的各项要求。</w:t>
      </w:r>
    </w:p>
    <w:p>
      <w:pPr>
        <w:widowControl/>
        <w:autoSpaceDE w:val="0"/>
        <w:autoSpaceDN w:val="0"/>
        <w:adjustRightInd w:val="0"/>
        <w:spacing w:line="460" w:lineRule="exact"/>
        <w:ind w:firstLine="48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2、我方向贵方提交的所有响应文件、资料都是准确的和真实的。</w:t>
      </w:r>
    </w:p>
    <w:p>
      <w:pPr>
        <w:widowControl/>
        <w:autoSpaceDE w:val="0"/>
        <w:autoSpaceDN w:val="0"/>
        <w:adjustRightInd w:val="0"/>
        <w:spacing w:line="460" w:lineRule="exact"/>
        <w:ind w:firstLine="48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3、若</w:t>
      </w:r>
      <w:r>
        <w:rPr>
          <w:rStyle w:val="94"/>
          <w:rFonts w:hint="eastAsia" w:ascii="仿宋" w:hAnsi="仿宋" w:eastAsia="仿宋" w:cs="仿宋"/>
          <w:color w:val="auto"/>
          <w:sz w:val="24"/>
          <w:szCs w:val="24"/>
          <w:lang w:eastAsia="zh-CN"/>
        </w:rPr>
        <w:t>成交</w:t>
      </w:r>
      <w:r>
        <w:rPr>
          <w:rStyle w:val="94"/>
          <w:rFonts w:hint="eastAsia" w:ascii="仿宋" w:hAnsi="仿宋" w:eastAsia="仿宋" w:cs="仿宋"/>
          <w:color w:val="auto"/>
          <w:sz w:val="24"/>
          <w:szCs w:val="24"/>
        </w:rPr>
        <w:t>，我方将按照采购文件规定履行合同责任和义务。</w:t>
      </w:r>
    </w:p>
    <w:p>
      <w:pPr>
        <w:widowControl/>
        <w:autoSpaceDE w:val="0"/>
        <w:autoSpaceDN w:val="0"/>
        <w:adjustRightInd w:val="0"/>
        <w:spacing w:line="460" w:lineRule="exact"/>
        <w:ind w:firstLine="48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4、我方不是采购人的附属机构；在获知本项目采购信息后，与采购人聘请的为此项目提供咨询服务的公司以及其附属机构没有任何联系。</w:t>
      </w:r>
    </w:p>
    <w:p>
      <w:pPr>
        <w:widowControl/>
        <w:autoSpaceDE w:val="0"/>
        <w:autoSpaceDN w:val="0"/>
        <w:adjustRightInd w:val="0"/>
        <w:spacing w:line="460" w:lineRule="exact"/>
        <w:ind w:firstLine="480"/>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5、响应文件自开标日起有效期为</w:t>
      </w:r>
      <w:r>
        <w:rPr>
          <w:rStyle w:val="94"/>
          <w:rFonts w:hint="eastAsia" w:ascii="仿宋" w:hAnsi="仿宋" w:eastAsia="仿宋" w:cs="仿宋"/>
          <w:color w:val="auto"/>
          <w:sz w:val="24"/>
          <w:szCs w:val="24"/>
          <w:lang w:val="en-US" w:eastAsia="zh-CN"/>
        </w:rPr>
        <w:t>60</w:t>
      </w:r>
      <w:r>
        <w:rPr>
          <w:rStyle w:val="94"/>
          <w:rFonts w:hint="eastAsia" w:ascii="仿宋" w:hAnsi="仿宋" w:eastAsia="仿宋" w:cs="仿宋"/>
          <w:color w:val="auto"/>
          <w:sz w:val="24"/>
          <w:szCs w:val="24"/>
        </w:rPr>
        <w:t>日历日。</w:t>
      </w:r>
    </w:p>
    <w:p>
      <w:pPr>
        <w:widowControl/>
        <w:autoSpaceDE w:val="0"/>
        <w:autoSpaceDN w:val="0"/>
        <w:adjustRightInd w:val="0"/>
        <w:spacing w:line="460" w:lineRule="exact"/>
        <w:ind w:firstLine="48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6.以上事项如有虚假或者隐瞒，我方愿意承担一切后果。</w:t>
      </w:r>
    </w:p>
    <w:p>
      <w:pPr>
        <w:widowControl/>
        <w:tabs>
          <w:tab w:val="left" w:pos="939"/>
        </w:tabs>
        <w:autoSpaceDE w:val="0"/>
        <w:autoSpaceDN w:val="0"/>
        <w:adjustRightInd w:val="0"/>
        <w:spacing w:line="460" w:lineRule="exact"/>
        <w:ind w:left="773" w:right="-481" w:hanging="458"/>
        <w:rPr>
          <w:rFonts w:hint="eastAsia" w:ascii="仿宋" w:hAnsi="仿宋" w:eastAsia="仿宋" w:cs="仿宋"/>
          <w:color w:val="auto"/>
          <w:kern w:val="1"/>
          <w:sz w:val="24"/>
          <w:szCs w:val="24"/>
        </w:rPr>
      </w:pPr>
    </w:p>
    <w:p>
      <w:pPr>
        <w:widowControl/>
        <w:tabs>
          <w:tab w:val="left" w:pos="939"/>
        </w:tabs>
        <w:autoSpaceDE w:val="0"/>
        <w:autoSpaceDN w:val="0"/>
        <w:adjustRightInd w:val="0"/>
        <w:spacing w:line="460" w:lineRule="exact"/>
        <w:ind w:left="773" w:right="-481" w:hanging="458"/>
        <w:rPr>
          <w:rFonts w:hint="eastAsia" w:ascii="仿宋" w:hAnsi="仿宋" w:eastAsia="仿宋" w:cs="仿宋"/>
          <w:color w:val="auto"/>
          <w:kern w:val="1"/>
          <w:sz w:val="24"/>
          <w:szCs w:val="24"/>
        </w:rPr>
      </w:pPr>
    </w:p>
    <w:p>
      <w:pPr>
        <w:widowControl/>
        <w:tabs>
          <w:tab w:val="left" w:pos="939"/>
        </w:tabs>
        <w:autoSpaceDE w:val="0"/>
        <w:autoSpaceDN w:val="0"/>
        <w:adjustRightInd w:val="0"/>
        <w:spacing w:line="460" w:lineRule="exact"/>
        <w:ind w:left="773" w:right="-481" w:hanging="458"/>
        <w:rPr>
          <w:rFonts w:hint="eastAsia" w:ascii="仿宋" w:hAnsi="仿宋" w:eastAsia="仿宋" w:cs="仿宋"/>
          <w:color w:val="auto"/>
          <w:kern w:val="1"/>
          <w:sz w:val="24"/>
          <w:szCs w:val="24"/>
        </w:rPr>
      </w:pPr>
    </w:p>
    <w:p>
      <w:pPr>
        <w:widowControl/>
        <w:autoSpaceDE w:val="0"/>
        <w:autoSpaceDN w:val="0"/>
        <w:adjustRightInd w:val="0"/>
        <w:spacing w:before="120" w:line="460" w:lineRule="exact"/>
        <w:ind w:right="-481" w:firstLine="3676" w:firstLineChars="1532"/>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 xml:space="preserve">供应商全称（公章）：               </w:t>
      </w:r>
    </w:p>
    <w:p>
      <w:pPr>
        <w:widowControl/>
        <w:autoSpaceDE w:val="0"/>
        <w:autoSpaceDN w:val="0"/>
        <w:adjustRightInd w:val="0"/>
        <w:spacing w:before="120" w:after="50" w:line="460" w:lineRule="exact"/>
        <w:ind w:right="119" w:firstLine="372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 xml:space="preserve">法定代表人（签字）：               </w:t>
      </w:r>
    </w:p>
    <w:p>
      <w:pPr>
        <w:widowControl/>
        <w:autoSpaceDE w:val="0"/>
        <w:autoSpaceDN w:val="0"/>
        <w:adjustRightInd w:val="0"/>
        <w:spacing w:line="480" w:lineRule="auto"/>
        <w:ind w:right="-481" w:firstLine="3600" w:firstLineChars="1500"/>
        <w:jc w:val="center"/>
        <w:rPr>
          <w:rFonts w:hint="eastAsia" w:ascii="仿宋" w:hAnsi="仿宋" w:eastAsia="仿宋" w:cs="仿宋"/>
          <w:color w:val="auto"/>
          <w:sz w:val="28"/>
          <w:szCs w:val="28"/>
          <w:lang w:val="zh-CN"/>
        </w:rPr>
      </w:pPr>
      <w:r>
        <w:rPr>
          <w:rStyle w:val="94"/>
          <w:rFonts w:hint="eastAsia" w:ascii="仿宋" w:hAnsi="仿宋" w:eastAsia="仿宋" w:cs="仿宋"/>
          <w:color w:val="auto"/>
          <w:sz w:val="24"/>
          <w:szCs w:val="24"/>
        </w:rPr>
        <w:t>日 期：</w:t>
      </w:r>
      <w:r>
        <w:rPr>
          <w:rFonts w:hint="eastAsia" w:ascii="仿宋" w:hAnsi="仿宋" w:eastAsia="仿宋" w:cs="仿宋"/>
          <w:color w:val="auto"/>
          <w:kern w:val="1"/>
          <w:sz w:val="24"/>
          <w:szCs w:val="24"/>
          <w:u w:val="single"/>
        </w:rPr>
        <w:t xml:space="preserve">              </w:t>
      </w:r>
      <w:r>
        <w:rPr>
          <w:rFonts w:hint="eastAsia" w:ascii="仿宋" w:hAnsi="仿宋" w:eastAsia="仿宋" w:cs="仿宋"/>
          <w:color w:val="auto"/>
          <w:kern w:val="1"/>
          <w:sz w:val="30"/>
          <w:szCs w:val="30"/>
        </w:rPr>
        <w:br w:type="page"/>
      </w:r>
      <w:r>
        <w:rPr>
          <w:rFonts w:hint="eastAsia" w:ascii="仿宋" w:hAnsi="仿宋" w:eastAsia="仿宋" w:cs="仿宋"/>
          <w:color w:val="auto"/>
          <w:kern w:val="1"/>
          <w:sz w:val="30"/>
          <w:szCs w:val="30"/>
          <w:lang w:eastAsia="zh-CN"/>
        </w:rPr>
        <w:t>二、</w:t>
      </w:r>
      <w:r>
        <w:rPr>
          <w:rFonts w:hint="eastAsia" w:ascii="仿宋" w:hAnsi="仿宋" w:eastAsia="仿宋" w:cs="仿宋"/>
          <w:color w:val="auto"/>
          <w:kern w:val="1"/>
          <w:sz w:val="28"/>
          <w:szCs w:val="28"/>
        </w:rPr>
        <w:t>报价</w:t>
      </w:r>
      <w:r>
        <w:rPr>
          <w:rFonts w:hint="eastAsia" w:ascii="仿宋" w:hAnsi="仿宋" w:eastAsia="仿宋" w:cs="仿宋"/>
          <w:color w:val="auto"/>
          <w:sz w:val="28"/>
          <w:szCs w:val="28"/>
          <w:lang w:val="zh-CN"/>
        </w:rPr>
        <w:t>一览表</w:t>
      </w:r>
    </w:p>
    <w:tbl>
      <w:tblPr>
        <w:tblStyle w:val="26"/>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600" w:type="dxa"/>
            <w:noWrap w:val="0"/>
            <w:vAlign w:val="center"/>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编号</w:t>
            </w:r>
          </w:p>
        </w:tc>
        <w:tc>
          <w:tcPr>
            <w:tcW w:w="7600" w:type="dxa"/>
            <w:noWrap w:val="0"/>
            <w:vAlign w:val="top"/>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采购内容</w:t>
            </w:r>
          </w:p>
        </w:tc>
        <w:tc>
          <w:tcPr>
            <w:tcW w:w="7600" w:type="dxa"/>
            <w:noWrap w:val="0"/>
            <w:vAlign w:val="top"/>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供货期</w:t>
            </w:r>
          </w:p>
        </w:tc>
        <w:tc>
          <w:tcPr>
            <w:tcW w:w="7600" w:type="dxa"/>
            <w:noWrap w:val="0"/>
            <w:vAlign w:val="center"/>
          </w:tcPr>
          <w:p>
            <w:pPr>
              <w:spacing w:line="440" w:lineRule="exact"/>
              <w:rPr>
                <w:rFonts w:hint="eastAsia" w:ascii="仿宋" w:hAnsi="仿宋" w:eastAsia="仿宋" w:cs="仿宋"/>
                <w:color w:val="auto"/>
                <w:sz w:val="24"/>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质量目标</w:t>
            </w:r>
          </w:p>
        </w:tc>
        <w:tc>
          <w:tcPr>
            <w:tcW w:w="7600" w:type="dxa"/>
            <w:noWrap w:val="0"/>
            <w:vAlign w:val="center"/>
          </w:tcPr>
          <w:p>
            <w:pPr>
              <w:spacing w:line="440" w:lineRule="exact"/>
              <w:jc w:val="both"/>
              <w:rPr>
                <w:rFonts w:hint="eastAsia"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响应报价</w:t>
            </w:r>
          </w:p>
          <w:p>
            <w:pPr>
              <w:spacing w:line="44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（元）</w:t>
            </w:r>
          </w:p>
        </w:tc>
        <w:tc>
          <w:tcPr>
            <w:tcW w:w="7600" w:type="dxa"/>
            <w:noWrap w:val="0"/>
            <w:vAlign w:val="center"/>
          </w:tcPr>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小写：</w:t>
            </w:r>
            <w:r>
              <w:rPr>
                <w:rFonts w:hint="eastAsia" w:ascii="仿宋" w:hAnsi="仿宋" w:eastAsia="仿宋" w:cs="仿宋"/>
                <w:color w:val="auto"/>
                <w:sz w:val="24"/>
                <w:szCs w:val="24"/>
                <w:u w:val="single"/>
                <w:lang w:val="en-US" w:eastAsia="zh-CN"/>
              </w:rPr>
              <w:t xml:space="preserve">                     </w:t>
            </w:r>
          </w:p>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大写：</w:t>
            </w:r>
            <w:r>
              <w:rPr>
                <w:rFonts w:hint="eastAsia" w:ascii="仿宋" w:hAnsi="仿宋" w:eastAsia="仿宋" w:cs="仿宋"/>
                <w:color w:val="auto"/>
                <w:sz w:val="24"/>
                <w:szCs w:val="24"/>
                <w:u w:val="single"/>
                <w:lang w:val="en-US" w:eastAsia="zh-CN"/>
              </w:rPr>
              <w:t xml:space="preserve">                     </w:t>
            </w:r>
          </w:p>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注：该报价含</w:t>
            </w:r>
            <w:r>
              <w:rPr>
                <w:rFonts w:hint="eastAsia" w:ascii="仿宋" w:hAnsi="仿宋" w:eastAsia="仿宋" w:cs="仿宋"/>
                <w:color w:val="auto"/>
                <w:sz w:val="24"/>
                <w:szCs w:val="24"/>
                <w:lang w:val="zh-CN"/>
              </w:rPr>
              <w:t>采购内容的采购供应、运输装卸</w:t>
            </w:r>
            <w:r>
              <w:rPr>
                <w:rFonts w:hint="eastAsia" w:ascii="仿宋" w:hAnsi="仿宋" w:eastAsia="仿宋" w:cs="仿宋"/>
                <w:color w:val="auto"/>
                <w:sz w:val="24"/>
                <w:szCs w:val="24"/>
                <w:lang w:val="zh-CN" w:eastAsia="zh-CN"/>
              </w:rPr>
              <w:t>等</w:t>
            </w:r>
            <w:r>
              <w:rPr>
                <w:rFonts w:hint="eastAsia" w:ascii="仿宋" w:hAnsi="仿宋" w:eastAsia="仿宋" w:cs="仿宋"/>
                <w:color w:val="auto"/>
                <w:sz w:val="24"/>
                <w:szCs w:val="24"/>
                <w:lang w:val="zh-CN"/>
              </w:rPr>
              <w:t>相关服务</w:t>
            </w:r>
            <w:r>
              <w:rPr>
                <w:rFonts w:hint="eastAsia" w:ascii="仿宋" w:hAnsi="仿宋" w:eastAsia="仿宋" w:cs="仿宋"/>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600" w:type="dxa"/>
            <w:noWrap w:val="0"/>
            <w:vAlign w:val="top"/>
          </w:tcPr>
          <w:p>
            <w:pPr>
              <w:spacing w:line="440" w:lineRule="exact"/>
              <w:jc w:val="center"/>
              <w:rPr>
                <w:rFonts w:hint="eastAsia" w:ascii="仿宋" w:hAnsi="仿宋" w:eastAsia="仿宋" w:cs="仿宋"/>
                <w:color w:val="auto"/>
                <w:sz w:val="24"/>
                <w:szCs w:val="24"/>
              </w:rPr>
            </w:pPr>
          </w:p>
        </w:tc>
      </w:tr>
    </w:tbl>
    <w:p>
      <w:pPr>
        <w:pStyle w:val="151"/>
        <w:rPr>
          <w:rFonts w:hint="eastAsia" w:ascii="仿宋" w:hAnsi="仿宋" w:eastAsia="仿宋" w:cs="仿宋"/>
          <w:color w:val="auto"/>
          <w:szCs w:val="24"/>
        </w:rPr>
      </w:pPr>
    </w:p>
    <w:p>
      <w:pPr>
        <w:pStyle w:val="151"/>
        <w:rPr>
          <w:rFonts w:hint="eastAsia" w:ascii="仿宋" w:hAnsi="仿宋" w:eastAsia="仿宋" w:cs="仿宋"/>
          <w:color w:val="auto"/>
          <w:szCs w:val="24"/>
        </w:rPr>
      </w:pPr>
    </w:p>
    <w:p>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spacing w:line="360" w:lineRule="auto"/>
        <w:ind w:firstLine="5760" w:firstLineChars="2400"/>
        <w:jc w:val="left"/>
        <w:rPr>
          <w:rFonts w:hint="eastAsia" w:ascii="仿宋" w:hAnsi="仿宋" w:eastAsia="仿宋" w:cs="仿宋"/>
          <w:color w:val="auto"/>
          <w:sz w:val="24"/>
          <w:szCs w:val="24"/>
        </w:rPr>
      </w:pPr>
      <w:r>
        <w:rPr>
          <w:rFonts w:hint="eastAsia" w:ascii="仿宋" w:hAnsi="仿宋" w:eastAsia="仿宋" w:cs="仿宋"/>
          <w:color w:val="auto"/>
          <w:sz w:val="24"/>
          <w:szCs w:val="24"/>
        </w:rPr>
        <w:t>手 机：</w:t>
      </w:r>
      <w:r>
        <w:rPr>
          <w:rFonts w:hint="eastAsia" w:ascii="仿宋" w:hAnsi="仿宋" w:eastAsia="仿宋" w:cs="仿宋"/>
          <w:color w:val="auto"/>
          <w:sz w:val="24"/>
          <w:szCs w:val="24"/>
          <w:u w:val="single"/>
        </w:rPr>
        <w:t xml:space="preserve">                    </w:t>
      </w:r>
    </w:p>
    <w:p>
      <w:pPr>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p>
    <w:p>
      <w:pPr>
        <w:spacing w:line="420" w:lineRule="exact"/>
        <w:ind w:firstLine="6000" w:firstLineChars="2500"/>
        <w:rPr>
          <w:rFonts w:hint="eastAsia" w:ascii="仿宋" w:hAnsi="仿宋" w:eastAsia="仿宋" w:cs="仿宋"/>
          <w:color w:val="auto"/>
          <w:sz w:val="24"/>
          <w:szCs w:val="24"/>
        </w:rPr>
        <w:sectPr>
          <w:pgSz w:w="11906" w:h="16838"/>
          <w:pgMar w:top="1440" w:right="1803" w:bottom="1440" w:left="1803" w:header="850" w:footer="992" w:gutter="0"/>
          <w:pgNumType w:fmt="decimal"/>
          <w:cols w:space="720" w:num="1"/>
          <w:rtlGutter w:val="0"/>
          <w:docGrid w:type="lines" w:linePitch="312" w:charSpace="0"/>
        </w:sectPr>
      </w:pPr>
      <w:r>
        <w:rPr>
          <w:rFonts w:hint="eastAsia" w:ascii="仿宋" w:hAnsi="仿宋" w:eastAsia="仿宋" w:cs="仿宋"/>
          <w:color w:val="auto"/>
          <w:sz w:val="24"/>
          <w:szCs w:val="24"/>
        </w:rPr>
        <w:t>年    月    日</w:t>
      </w:r>
    </w:p>
    <w:p>
      <w:pPr>
        <w:pStyle w:val="25"/>
        <w:numPr>
          <w:ilvl w:val="0"/>
          <w:numId w:val="12"/>
        </w:numPr>
        <w:jc w:val="center"/>
        <w:outlineLvl w:val="0"/>
        <w:rPr>
          <w:rFonts w:hint="eastAsia" w:ascii="仿宋" w:hAnsi="仿宋" w:eastAsia="仿宋" w:cs="仿宋"/>
          <w:color w:val="auto"/>
          <w:kern w:val="1"/>
          <w:sz w:val="24"/>
          <w:szCs w:val="24"/>
          <w:lang w:val="zh-CN" w:eastAsia="zh-CN" w:bidi="ar-SA"/>
        </w:rPr>
      </w:pPr>
      <w:bookmarkStart w:id="193" w:name="_Toc5574"/>
      <w:r>
        <w:rPr>
          <w:rFonts w:hint="eastAsia" w:ascii="仿宋" w:hAnsi="仿宋" w:eastAsia="仿宋" w:cs="仿宋"/>
          <w:color w:val="auto"/>
          <w:kern w:val="1"/>
          <w:sz w:val="24"/>
          <w:szCs w:val="24"/>
          <w:lang w:val="zh-CN" w:eastAsia="zh-CN" w:bidi="ar-SA"/>
        </w:rPr>
        <w:t>分项报价明细表</w:t>
      </w:r>
      <w:r>
        <w:rPr>
          <w:rFonts w:hint="eastAsia" w:ascii="仿宋" w:hAnsi="仿宋" w:eastAsia="仿宋" w:cs="仿宋"/>
          <w:color w:val="auto"/>
          <w:sz w:val="22"/>
          <w:szCs w:val="24"/>
          <w:lang w:val="zh-CN"/>
        </w:rPr>
        <w:t>（工程类附项目预算书）</w:t>
      </w:r>
      <w:bookmarkEnd w:id="193"/>
    </w:p>
    <w:p>
      <w:pPr>
        <w:spacing w:line="360" w:lineRule="auto"/>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szCs w:val="24"/>
          <w:lang w:val="en-US" w:eastAsia="zh-CN" w:bidi="ar-SA"/>
        </w:rPr>
        <w:t>项目名称：</w:t>
      </w:r>
    </w:p>
    <w:p>
      <w:pPr>
        <w:pStyle w:val="25"/>
        <w:ind w:left="0" w:leftChars="0" w:firstLine="0" w:firstLineChars="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szCs w:val="24"/>
          <w:lang w:val="en-US" w:eastAsia="zh-CN" w:bidi="ar-SA"/>
        </w:rPr>
        <w:t>项目编号：</w:t>
      </w:r>
    </w:p>
    <w:tbl>
      <w:tblPr>
        <w:tblStyle w:val="26"/>
        <w:tblW w:w="14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03"/>
        <w:gridCol w:w="1298"/>
        <w:gridCol w:w="1109"/>
        <w:gridCol w:w="686"/>
        <w:gridCol w:w="839"/>
        <w:gridCol w:w="920"/>
        <w:gridCol w:w="810"/>
        <w:gridCol w:w="1019"/>
        <w:gridCol w:w="1298"/>
        <w:gridCol w:w="1369"/>
        <w:gridCol w:w="1325"/>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序号</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响应产品全称</w:t>
            </w:r>
          </w:p>
        </w:tc>
        <w:tc>
          <w:tcPr>
            <w:tcW w:w="2407" w:type="dxa"/>
            <w:gridSpan w:val="2"/>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品牌、型号、规格</w:t>
            </w:r>
          </w:p>
        </w:tc>
        <w:tc>
          <w:tcPr>
            <w:tcW w:w="686"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数量</w:t>
            </w:r>
          </w:p>
        </w:tc>
        <w:tc>
          <w:tcPr>
            <w:tcW w:w="839"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市场</w:t>
            </w:r>
          </w:p>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售价</w:t>
            </w:r>
          </w:p>
        </w:tc>
        <w:tc>
          <w:tcPr>
            <w:tcW w:w="920"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产品单价</w:t>
            </w:r>
          </w:p>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（元）</w:t>
            </w: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金额小计</w:t>
            </w:r>
          </w:p>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（元）</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免费质保期</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质保期外</w:t>
            </w:r>
          </w:p>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服务年限</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交货（完工）日期</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响应产品有无偏离</w:t>
            </w:r>
          </w:p>
        </w:tc>
        <w:tc>
          <w:tcPr>
            <w:tcW w:w="1772" w:type="dxa"/>
            <w:tcBorders>
              <w:top w:val="single" w:color="auto" w:sz="4" w:space="0"/>
              <w:left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2407" w:type="dxa"/>
            <w:gridSpan w:val="2"/>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2407" w:type="dxa"/>
            <w:gridSpan w:val="2"/>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2407" w:type="dxa"/>
            <w:gridSpan w:val="2"/>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3186" w:type="dxa"/>
            <w:gridSpan w:val="3"/>
            <w:tcBorders>
              <w:top w:val="single" w:color="auto" w:sz="4" w:space="0"/>
              <w:left w:val="single" w:color="auto" w:sz="4" w:space="0"/>
              <w:bottom w:val="single" w:color="auto" w:sz="4" w:space="0"/>
              <w:right w:val="single" w:color="auto" w:sz="4" w:space="0"/>
            </w:tcBorders>
            <w:noWrap w:val="0"/>
            <w:vAlign w:val="center"/>
          </w:tcPr>
          <w:p>
            <w:pPr>
              <w:pStyle w:val="25"/>
              <w:ind w:left="0" w:leftChars="0" w:firstLine="0" w:firstLine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总报价（元）</w:t>
            </w:r>
          </w:p>
        </w:tc>
        <w:tc>
          <w:tcPr>
            <w:tcW w:w="11147" w:type="dxa"/>
            <w:gridSpan w:val="10"/>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（大写）：</w:t>
            </w:r>
          </w:p>
          <w:p>
            <w:pPr>
              <w:pStyle w:val="25"/>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（小写）：</w:t>
            </w:r>
          </w:p>
        </w:tc>
      </w:tr>
    </w:tbl>
    <w:p>
      <w:pPr>
        <w:pStyle w:val="25"/>
        <w:ind w:left="0" w:leftChars="0" w:firstLine="0" w:firstLineChars="0"/>
        <w:rPr>
          <w:rFonts w:hint="eastAsia" w:ascii="仿宋" w:hAnsi="仿宋" w:eastAsia="仿宋" w:cs="仿宋"/>
          <w:color w:val="auto"/>
          <w:kern w:val="1"/>
          <w:sz w:val="24"/>
          <w:szCs w:val="24"/>
          <w:lang w:val="en-US" w:eastAsia="zh-CN" w:bidi="ar-SA"/>
        </w:rPr>
      </w:pPr>
    </w:p>
    <w:p>
      <w:pPr>
        <w:spacing w:line="440" w:lineRule="exact"/>
        <w:ind w:firstLine="7440" w:firstLineChars="3100"/>
        <w:rPr>
          <w:rFonts w:hint="eastAsia" w:ascii="仿宋" w:hAnsi="仿宋" w:eastAsia="仿宋" w:cs="仿宋"/>
          <w:color w:val="auto"/>
          <w:kern w:val="1"/>
          <w:sz w:val="24"/>
          <w:szCs w:val="24"/>
          <w:lang w:val="en-US" w:eastAsia="zh-CN" w:bidi="ar-SA"/>
        </w:rPr>
      </w:pPr>
    </w:p>
    <w:p>
      <w:pPr>
        <w:spacing w:line="440" w:lineRule="exact"/>
        <w:ind w:firstLine="7440" w:firstLineChars="310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szCs w:val="24"/>
          <w:lang w:val="en-US" w:eastAsia="zh-CN" w:bidi="ar-SA"/>
        </w:rPr>
        <w:t>供应商：                （单位盖章）</w:t>
      </w:r>
    </w:p>
    <w:p>
      <w:pPr>
        <w:spacing w:line="440" w:lineRule="exact"/>
        <w:ind w:firstLine="6480" w:firstLineChars="270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szCs w:val="24"/>
          <w:lang w:val="en-US" w:eastAsia="zh-CN" w:bidi="ar-SA"/>
        </w:rPr>
        <w:t>法定代表人或代理人：           （签字或盖章）</w:t>
      </w:r>
    </w:p>
    <w:p>
      <w:pPr>
        <w:pStyle w:val="25"/>
        <w:ind w:firstLine="9360" w:firstLineChars="3900"/>
        <w:jc w:val="left"/>
        <w:rPr>
          <w:rFonts w:hint="eastAsia" w:ascii="仿宋" w:hAnsi="仿宋" w:eastAsia="仿宋" w:cs="仿宋"/>
          <w:color w:val="auto"/>
          <w:kern w:val="1"/>
          <w:sz w:val="24"/>
          <w:szCs w:val="24"/>
          <w:lang w:val="en-US" w:eastAsia="zh-CN" w:bidi="ar-SA"/>
        </w:rPr>
        <w:sectPr>
          <w:pgSz w:w="16838" w:h="11906" w:orient="landscape"/>
          <w:pgMar w:top="1803" w:right="1440" w:bottom="1803" w:left="1440" w:header="850" w:footer="992" w:gutter="0"/>
          <w:pgNumType w:fmt="decimal"/>
          <w:cols w:space="720" w:num="1"/>
          <w:rtlGutter w:val="0"/>
          <w:docGrid w:type="lines" w:linePitch="312" w:charSpace="0"/>
        </w:sectPr>
      </w:pPr>
      <w:r>
        <w:rPr>
          <w:rFonts w:hint="eastAsia" w:ascii="仿宋" w:hAnsi="仿宋" w:eastAsia="仿宋" w:cs="仿宋"/>
          <w:color w:val="auto"/>
          <w:kern w:val="1"/>
          <w:sz w:val="24"/>
          <w:szCs w:val="24"/>
          <w:lang w:val="en-US" w:eastAsia="zh-CN" w:bidi="ar-SA"/>
        </w:rPr>
        <w:t>年  月  日</w:t>
      </w:r>
    </w:p>
    <w:p>
      <w:pPr>
        <w:widowControl/>
        <w:autoSpaceDE w:val="0"/>
        <w:autoSpaceDN w:val="0"/>
        <w:adjustRightInd w:val="0"/>
        <w:spacing w:line="300" w:lineRule="auto"/>
        <w:jc w:val="center"/>
        <w:rPr>
          <w:rFonts w:hint="eastAsia" w:ascii="仿宋" w:hAnsi="仿宋" w:eastAsia="仿宋" w:cs="仿宋"/>
          <w:color w:val="auto"/>
          <w:szCs w:val="21"/>
          <w:lang w:val="zh-CN"/>
        </w:rPr>
      </w:pPr>
    </w:p>
    <w:p>
      <w:pPr>
        <w:widowControl/>
        <w:autoSpaceDE w:val="0"/>
        <w:autoSpaceDN w:val="0"/>
        <w:adjustRightInd w:val="0"/>
        <w:spacing w:line="300" w:lineRule="auto"/>
        <w:jc w:val="center"/>
        <w:outlineLvl w:val="0"/>
        <w:rPr>
          <w:rFonts w:hint="eastAsia" w:ascii="仿宋" w:hAnsi="仿宋" w:eastAsia="仿宋" w:cs="仿宋"/>
          <w:color w:val="auto"/>
          <w:kern w:val="1"/>
          <w:sz w:val="28"/>
          <w:szCs w:val="28"/>
        </w:rPr>
      </w:pPr>
      <w:bookmarkStart w:id="194" w:name="_Toc21811"/>
      <w:r>
        <w:rPr>
          <w:rFonts w:hint="eastAsia" w:ascii="仿宋" w:hAnsi="仿宋" w:eastAsia="仿宋" w:cs="仿宋"/>
          <w:color w:val="auto"/>
          <w:kern w:val="1"/>
          <w:sz w:val="28"/>
          <w:szCs w:val="28"/>
          <w:lang w:val="zh-CN"/>
        </w:rPr>
        <w:t>四、</w:t>
      </w:r>
      <w:r>
        <w:rPr>
          <w:rFonts w:hint="eastAsia" w:ascii="仿宋" w:hAnsi="仿宋" w:eastAsia="仿宋" w:cs="仿宋"/>
          <w:color w:val="auto"/>
          <w:kern w:val="1"/>
          <w:sz w:val="28"/>
          <w:szCs w:val="28"/>
        </w:rPr>
        <w:t>联合投标协议书(</w:t>
      </w:r>
      <w:r>
        <w:rPr>
          <w:rFonts w:hint="eastAsia" w:ascii="仿宋" w:hAnsi="仿宋" w:eastAsia="仿宋" w:cs="仿宋"/>
          <w:color w:val="auto"/>
          <w:kern w:val="1"/>
          <w:sz w:val="28"/>
          <w:szCs w:val="28"/>
          <w:lang w:eastAsia="zh-CN"/>
        </w:rPr>
        <w:t>本项目不接受联合体</w:t>
      </w:r>
      <w:r>
        <w:rPr>
          <w:rFonts w:hint="eastAsia" w:ascii="仿宋" w:hAnsi="仿宋" w:eastAsia="仿宋" w:cs="仿宋"/>
          <w:color w:val="auto"/>
          <w:kern w:val="1"/>
          <w:sz w:val="28"/>
          <w:szCs w:val="28"/>
        </w:rPr>
        <w:t>)</w:t>
      </w:r>
      <w:bookmarkEnd w:id="194"/>
    </w:p>
    <w:p>
      <w:pPr>
        <w:widowControl/>
        <w:autoSpaceDE w:val="0"/>
        <w:autoSpaceDN w:val="0"/>
        <w:adjustRightInd w:val="0"/>
        <w:spacing w:line="360" w:lineRule="auto"/>
        <w:ind w:firstLine="514"/>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甲方：</w:t>
      </w:r>
    </w:p>
    <w:p>
      <w:pPr>
        <w:widowControl/>
        <w:autoSpaceDE w:val="0"/>
        <w:autoSpaceDN w:val="0"/>
        <w:adjustRightInd w:val="0"/>
        <w:spacing w:line="360" w:lineRule="auto"/>
        <w:ind w:firstLine="514"/>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乙方：</w:t>
      </w:r>
    </w:p>
    <w:p>
      <w:pPr>
        <w:widowControl/>
        <w:autoSpaceDE w:val="0"/>
        <w:autoSpaceDN w:val="0"/>
        <w:adjustRightInd w:val="0"/>
        <w:spacing w:line="360" w:lineRule="auto"/>
        <w:ind w:firstLine="514"/>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（如果有的话，可按照甲、乙、丙、丁…序列增加）</w:t>
      </w:r>
    </w:p>
    <w:p>
      <w:pPr>
        <w:widowControl/>
        <w:autoSpaceDE w:val="0"/>
        <w:autoSpaceDN w:val="0"/>
        <w:adjustRightInd w:val="0"/>
        <w:spacing w:line="360" w:lineRule="auto"/>
        <w:ind w:firstLine="514"/>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 xml:space="preserve">联合体各方经协商，就响应 </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组织实施的编号为</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号的采购活动联合进行投标之事宜，达成如下协议：</w:t>
      </w:r>
    </w:p>
    <w:p>
      <w:pPr>
        <w:widowControl/>
        <w:autoSpaceDE w:val="0"/>
        <w:autoSpaceDN w:val="0"/>
        <w:adjustRightInd w:val="0"/>
        <w:spacing w:line="360" w:lineRule="auto"/>
        <w:ind w:firstLine="514"/>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 xml:space="preserve">一、联合体各方一致决定，以 </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 xml:space="preserve"> 为主办人进行投标，并按照采购文件的规定分别提交资格文件。</w:t>
      </w:r>
    </w:p>
    <w:p>
      <w:pPr>
        <w:widowControl/>
        <w:autoSpaceDE w:val="0"/>
        <w:autoSpaceDN w:val="0"/>
        <w:adjustRightInd w:val="0"/>
        <w:spacing w:line="360" w:lineRule="auto"/>
        <w:ind w:firstLine="514"/>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二、在本次投标过程中，主办人的法定代表人或者授权代理人根据采购文件规定以及投标内容对采购人所作的任何合法承诺，包括书面澄清以及响应等对联合体各方均有约束力。如果</w:t>
      </w:r>
      <w:r>
        <w:rPr>
          <w:rStyle w:val="94"/>
          <w:rFonts w:hint="eastAsia" w:ascii="仿宋" w:hAnsi="仿宋" w:eastAsia="仿宋" w:cs="仿宋"/>
          <w:color w:val="auto"/>
          <w:sz w:val="24"/>
          <w:szCs w:val="24"/>
          <w:lang w:eastAsia="zh-CN"/>
        </w:rPr>
        <w:t>成交</w:t>
      </w:r>
      <w:r>
        <w:rPr>
          <w:rStyle w:val="94"/>
          <w:rFonts w:hint="eastAsia" w:ascii="仿宋" w:hAnsi="仿宋" w:eastAsia="仿宋" w:cs="仿宋"/>
          <w:color w:val="auto"/>
          <w:sz w:val="24"/>
          <w:szCs w:val="24"/>
        </w:rPr>
        <w:t>并签订合同，则联合体各方将共同履行对采购人或者采购代理机构所负有的全部义务，并就采购合同约定的事项对采购人承担连带责任。</w:t>
      </w:r>
    </w:p>
    <w:p>
      <w:pPr>
        <w:widowControl/>
        <w:autoSpaceDE w:val="0"/>
        <w:autoSpaceDN w:val="0"/>
        <w:adjustRightInd w:val="0"/>
        <w:spacing w:line="360" w:lineRule="auto"/>
        <w:ind w:firstLine="514"/>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三、联合体各方保证对主办人为响应本次采购而提供的产品和服务提供全部质量保证以及售后服务支持。</w:t>
      </w:r>
    </w:p>
    <w:p>
      <w:pPr>
        <w:widowControl/>
        <w:autoSpaceDE w:val="0"/>
        <w:autoSpaceDN w:val="0"/>
        <w:adjustRightInd w:val="0"/>
        <w:spacing w:line="360" w:lineRule="auto"/>
        <w:ind w:firstLine="514"/>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四、本次联合投标中，联合体各方承担的工作和义务：</w:t>
      </w:r>
    </w:p>
    <w:p>
      <w:pPr>
        <w:widowControl/>
        <w:autoSpaceDE w:val="0"/>
        <w:autoSpaceDN w:val="0"/>
        <w:adjustRightInd w:val="0"/>
        <w:spacing w:line="360" w:lineRule="auto"/>
        <w:ind w:firstLine="514"/>
        <w:rPr>
          <w:rFonts w:hint="eastAsia" w:ascii="仿宋" w:hAnsi="仿宋" w:eastAsia="仿宋" w:cs="仿宋"/>
          <w:color w:val="auto"/>
          <w:kern w:val="1"/>
          <w:sz w:val="24"/>
          <w:szCs w:val="24"/>
          <w:u w:val="single"/>
        </w:rPr>
      </w:pPr>
      <w:r>
        <w:rPr>
          <w:rFonts w:hint="eastAsia" w:ascii="仿宋" w:hAnsi="仿宋" w:eastAsia="仿宋" w:cs="仿宋"/>
          <w:color w:val="auto"/>
          <w:kern w:val="1"/>
          <w:sz w:val="24"/>
          <w:szCs w:val="24"/>
        </w:rPr>
        <w:t>甲方承担的工作和义务为：</w:t>
      </w:r>
    </w:p>
    <w:p>
      <w:pPr>
        <w:widowControl/>
        <w:autoSpaceDE w:val="0"/>
        <w:autoSpaceDN w:val="0"/>
        <w:adjustRightInd w:val="0"/>
        <w:spacing w:line="360" w:lineRule="auto"/>
        <w:ind w:firstLine="514"/>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乙方承担的工作和义务为：</w:t>
      </w:r>
    </w:p>
    <w:p>
      <w:pPr>
        <w:widowControl/>
        <w:autoSpaceDE w:val="0"/>
        <w:autoSpaceDN w:val="0"/>
        <w:adjustRightInd w:val="0"/>
        <w:spacing w:line="360" w:lineRule="auto"/>
        <w:ind w:firstLine="514"/>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五、有关本次联合投标的其他事宜：</w:t>
      </w:r>
    </w:p>
    <w:p>
      <w:pPr>
        <w:widowControl/>
        <w:autoSpaceDE w:val="0"/>
        <w:autoSpaceDN w:val="0"/>
        <w:adjustRightInd w:val="0"/>
        <w:spacing w:line="360" w:lineRule="auto"/>
        <w:ind w:firstLine="514"/>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六、本协议提交采购人或者采购代理机构后，联合体各方不得以任何形式对上述实质内容进行修改或者撤销。</w:t>
      </w:r>
    </w:p>
    <w:p>
      <w:pPr>
        <w:widowControl/>
        <w:autoSpaceDE w:val="0"/>
        <w:autoSpaceDN w:val="0"/>
        <w:adjustRightInd w:val="0"/>
        <w:spacing w:line="360" w:lineRule="auto"/>
        <w:ind w:firstLine="514"/>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七、本协议共</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份，联合体各方各持一份，并作为响应文件的一部分。</w:t>
      </w:r>
    </w:p>
    <w:p>
      <w:pPr>
        <w:widowControl/>
        <w:autoSpaceDE w:val="0"/>
        <w:autoSpaceDN w:val="0"/>
        <w:adjustRightInd w:val="0"/>
        <w:spacing w:line="360" w:lineRule="auto"/>
        <w:ind w:firstLine="514"/>
        <w:rPr>
          <w:rFonts w:hint="eastAsia" w:ascii="仿宋" w:hAnsi="仿宋" w:eastAsia="仿宋" w:cs="仿宋"/>
          <w:color w:val="auto"/>
          <w:kern w:val="1"/>
          <w:sz w:val="24"/>
          <w:szCs w:val="24"/>
        </w:rPr>
      </w:pPr>
    </w:p>
    <w:p>
      <w:pPr>
        <w:widowControl/>
        <w:autoSpaceDE w:val="0"/>
        <w:autoSpaceDN w:val="0"/>
        <w:adjustRightInd w:val="0"/>
        <w:spacing w:line="360" w:lineRule="auto"/>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甲方单位：       （公章）                    乙方单位：       （公章）</w:t>
      </w:r>
    </w:p>
    <w:p>
      <w:pPr>
        <w:widowControl/>
        <w:autoSpaceDE w:val="0"/>
        <w:autoSpaceDN w:val="0"/>
        <w:adjustRightInd w:val="0"/>
        <w:spacing w:line="360" w:lineRule="auto"/>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法定代表人：     （签章）                    法定代表人：     （签章）</w:t>
      </w:r>
    </w:p>
    <w:p>
      <w:pPr>
        <w:widowControl/>
        <w:autoSpaceDE w:val="0"/>
        <w:autoSpaceDN w:val="0"/>
        <w:adjustRightInd w:val="0"/>
        <w:spacing w:line="360" w:lineRule="auto"/>
        <w:ind w:firstLine="480"/>
        <w:rPr>
          <w:rFonts w:hint="eastAsia" w:ascii="仿宋" w:hAnsi="仿宋" w:eastAsia="仿宋" w:cs="仿宋"/>
          <w:color w:val="auto"/>
          <w:kern w:val="1"/>
          <w:sz w:val="24"/>
          <w:szCs w:val="24"/>
        </w:rPr>
      </w:pPr>
    </w:p>
    <w:p>
      <w:pPr>
        <w:widowControl/>
        <w:autoSpaceDE w:val="0"/>
        <w:autoSpaceDN w:val="0"/>
        <w:adjustRightInd w:val="0"/>
        <w:ind w:right="-481"/>
        <w:jc w:val="left"/>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日期：  年  月   日                          日期：  年  月   日</w:t>
      </w:r>
    </w:p>
    <w:p>
      <w:pPr>
        <w:widowControl/>
        <w:autoSpaceDE w:val="0"/>
        <w:autoSpaceDN w:val="0"/>
        <w:adjustRightInd w:val="0"/>
        <w:spacing w:line="460" w:lineRule="exact"/>
        <w:ind w:firstLine="5160" w:firstLineChars="2150"/>
        <w:rPr>
          <w:rFonts w:hint="eastAsia" w:ascii="仿宋" w:hAnsi="仿宋" w:eastAsia="仿宋" w:cs="仿宋"/>
          <w:color w:val="auto"/>
          <w:kern w:val="1"/>
          <w:sz w:val="24"/>
          <w:szCs w:val="24"/>
          <w:u w:val="single"/>
        </w:rPr>
      </w:pPr>
    </w:p>
    <w:p>
      <w:pPr>
        <w:spacing w:line="440" w:lineRule="exact"/>
        <w:jc w:val="center"/>
        <w:outlineLvl w:val="0"/>
        <w:rPr>
          <w:rFonts w:hint="eastAsia" w:ascii="仿宋" w:hAnsi="仿宋" w:eastAsia="仿宋" w:cs="仿宋"/>
          <w:color w:val="auto"/>
          <w:sz w:val="28"/>
          <w:szCs w:val="28"/>
        </w:rPr>
      </w:pPr>
      <w:r>
        <w:rPr>
          <w:rFonts w:hint="eastAsia" w:ascii="仿宋" w:hAnsi="仿宋" w:eastAsia="仿宋" w:cs="仿宋"/>
          <w:color w:val="auto"/>
          <w:kern w:val="1"/>
          <w:sz w:val="24"/>
          <w:szCs w:val="24"/>
          <w:u w:val="single"/>
        </w:rPr>
        <w:br w:type="page"/>
      </w:r>
      <w:bookmarkStart w:id="195" w:name="_Toc19505"/>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法定代表人身份证明</w:t>
      </w:r>
      <w:bookmarkEnd w:id="195"/>
    </w:p>
    <w:p>
      <w:pPr>
        <w:spacing w:line="440" w:lineRule="exact"/>
        <w:rPr>
          <w:rFonts w:hint="eastAsia" w:ascii="仿宋" w:hAnsi="仿宋" w:eastAsia="仿宋" w:cs="仿宋"/>
          <w:color w:val="auto"/>
          <w:sz w:val="20"/>
        </w:rPr>
      </w:pP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（供应商名称）的法定代表人。</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p>
    <w:p>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注：1、法定代表人参加本次</w:t>
      </w:r>
      <w:r>
        <w:rPr>
          <w:rFonts w:hint="eastAsia" w:ascii="仿宋" w:hAnsi="仿宋" w:eastAsia="仿宋" w:cs="仿宋"/>
          <w:b/>
          <w:bCs/>
          <w:color w:val="auto"/>
          <w:szCs w:val="21"/>
          <w:lang w:eastAsia="zh-CN"/>
        </w:rPr>
        <w:t>采购响应</w:t>
      </w:r>
      <w:r>
        <w:rPr>
          <w:rFonts w:hint="eastAsia" w:ascii="仿宋" w:hAnsi="仿宋" w:eastAsia="仿宋" w:cs="仿宋"/>
          <w:b/>
          <w:bCs/>
          <w:color w:val="auto"/>
          <w:szCs w:val="21"/>
        </w:rPr>
        <w:t>的应签署本文件并附本人身份证复印件；</w:t>
      </w:r>
    </w:p>
    <w:p>
      <w:pPr>
        <w:spacing w:line="440" w:lineRule="exact"/>
        <w:rPr>
          <w:rFonts w:hint="eastAsia" w:ascii="仿宋" w:hAnsi="仿宋" w:eastAsia="仿宋" w:cs="仿宋"/>
          <w:color w:val="auto"/>
          <w:sz w:val="24"/>
          <w:szCs w:val="24"/>
        </w:rPr>
      </w:pPr>
      <w:r>
        <w:rPr>
          <w:rFonts w:hint="eastAsia" w:ascii="仿宋" w:hAnsi="仿宋" w:eastAsia="仿宋" w:cs="仿宋"/>
          <w:b/>
          <w:bCs/>
          <w:color w:val="auto"/>
          <w:szCs w:val="21"/>
        </w:rPr>
        <w:t>2、如法定代表人不参加本次</w:t>
      </w:r>
      <w:r>
        <w:rPr>
          <w:rFonts w:hint="eastAsia" w:ascii="仿宋" w:hAnsi="仿宋" w:eastAsia="仿宋" w:cs="仿宋"/>
          <w:b/>
          <w:bCs/>
          <w:color w:val="auto"/>
          <w:szCs w:val="21"/>
          <w:lang w:eastAsia="zh-CN"/>
        </w:rPr>
        <w:t>采购响应</w:t>
      </w:r>
      <w:r>
        <w:rPr>
          <w:rFonts w:hint="eastAsia" w:ascii="仿宋" w:hAnsi="仿宋" w:eastAsia="仿宋" w:cs="仿宋"/>
          <w:b/>
          <w:bCs/>
          <w:color w:val="auto"/>
          <w:szCs w:val="21"/>
        </w:rPr>
        <w:t>，应签署《法定代表人授权委托书》。</w:t>
      </w: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（公章）</w:t>
      </w:r>
    </w:p>
    <w:p>
      <w:pPr>
        <w:widowControl/>
        <w:autoSpaceDE w:val="0"/>
        <w:autoSpaceDN w:val="0"/>
        <w:adjustRightInd w:val="0"/>
        <w:spacing w:line="460" w:lineRule="exact"/>
        <w:rPr>
          <w:rFonts w:hint="eastAsia" w:ascii="仿宋" w:hAnsi="仿宋" w:eastAsia="仿宋" w:cs="仿宋"/>
          <w:color w:val="auto"/>
          <w:kern w:val="1"/>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pPr>
        <w:widowControl/>
        <w:autoSpaceDE w:val="0"/>
        <w:autoSpaceDN w:val="0"/>
        <w:adjustRightInd w:val="0"/>
        <w:spacing w:line="460" w:lineRule="exact"/>
        <w:rPr>
          <w:rFonts w:hint="eastAsia" w:ascii="仿宋" w:hAnsi="仿宋" w:eastAsia="仿宋" w:cs="仿宋"/>
          <w:color w:val="auto"/>
          <w:kern w:val="1"/>
          <w:sz w:val="24"/>
          <w:szCs w:val="24"/>
        </w:rPr>
      </w:pPr>
    </w:p>
    <w:p>
      <w:pPr>
        <w:widowControl/>
        <w:autoSpaceDE w:val="0"/>
        <w:autoSpaceDN w:val="0"/>
        <w:adjustRightInd w:val="0"/>
        <w:spacing w:line="460" w:lineRule="exact"/>
        <w:jc w:val="center"/>
        <w:outlineLvl w:val="0"/>
        <w:rPr>
          <w:rFonts w:hint="eastAsia" w:ascii="仿宋" w:hAnsi="仿宋" w:eastAsia="仿宋" w:cs="仿宋"/>
          <w:color w:val="auto"/>
          <w:kern w:val="1"/>
          <w:sz w:val="28"/>
          <w:szCs w:val="28"/>
        </w:rPr>
      </w:pPr>
      <w:r>
        <w:rPr>
          <w:rStyle w:val="94"/>
          <w:rFonts w:hint="eastAsia" w:ascii="仿宋" w:hAnsi="仿宋" w:eastAsia="仿宋" w:cs="仿宋"/>
          <w:color w:val="auto"/>
          <w:sz w:val="24"/>
          <w:szCs w:val="24"/>
        </w:rPr>
        <w:br w:type="page"/>
      </w:r>
      <w:bookmarkStart w:id="196" w:name="_Toc12375"/>
      <w:r>
        <w:rPr>
          <w:rFonts w:hint="eastAsia" w:ascii="仿宋" w:hAnsi="仿宋" w:eastAsia="仿宋" w:cs="仿宋"/>
          <w:color w:val="auto"/>
          <w:kern w:val="1"/>
          <w:sz w:val="28"/>
          <w:szCs w:val="28"/>
        </w:rPr>
        <w:t>法定代表人授权委托书</w:t>
      </w:r>
      <w:bookmarkEnd w:id="196"/>
    </w:p>
    <w:p>
      <w:pPr>
        <w:widowControl/>
        <w:autoSpaceDE w:val="0"/>
        <w:autoSpaceDN w:val="0"/>
        <w:adjustRightInd w:val="0"/>
        <w:spacing w:line="360" w:lineRule="auto"/>
        <w:rPr>
          <w:rFonts w:hint="eastAsia" w:ascii="仿宋" w:hAnsi="仿宋" w:eastAsia="仿宋" w:cs="仿宋"/>
          <w:color w:val="auto"/>
          <w:kern w:val="1"/>
          <w:sz w:val="24"/>
          <w:szCs w:val="24"/>
        </w:rPr>
      </w:pPr>
    </w:p>
    <w:p>
      <w:pPr>
        <w:widowControl/>
        <w:autoSpaceDE w:val="0"/>
        <w:autoSpaceDN w:val="0"/>
        <w:adjustRightInd w:val="0"/>
        <w:spacing w:line="480" w:lineRule="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u w:val="single"/>
        </w:rPr>
        <w:t xml:space="preserve">   （采购机构）  </w:t>
      </w:r>
      <w:r>
        <w:rPr>
          <w:rStyle w:val="94"/>
          <w:rFonts w:hint="eastAsia" w:ascii="仿宋" w:hAnsi="仿宋" w:eastAsia="仿宋" w:cs="仿宋"/>
          <w:color w:val="auto"/>
          <w:sz w:val="24"/>
          <w:szCs w:val="24"/>
        </w:rPr>
        <w:t>：</w:t>
      </w:r>
    </w:p>
    <w:p>
      <w:pPr>
        <w:widowControl/>
        <w:autoSpaceDE w:val="0"/>
        <w:autoSpaceDN w:val="0"/>
        <w:adjustRightInd w:val="0"/>
        <w:spacing w:line="480" w:lineRule="auto"/>
        <w:ind w:firstLine="480"/>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我</w:t>
      </w:r>
      <w:r>
        <w:rPr>
          <w:rFonts w:hint="eastAsia" w:ascii="仿宋" w:hAnsi="仿宋" w:eastAsia="仿宋" w:cs="仿宋"/>
          <w:color w:val="auto"/>
          <w:kern w:val="1"/>
          <w:sz w:val="24"/>
          <w:szCs w:val="24"/>
          <w:u w:val="single"/>
        </w:rPr>
        <w:t xml:space="preserve">   （姓名） </w:t>
      </w:r>
      <w:r>
        <w:rPr>
          <w:rStyle w:val="94"/>
          <w:rFonts w:hint="eastAsia" w:ascii="仿宋" w:hAnsi="仿宋" w:eastAsia="仿宋" w:cs="仿宋"/>
          <w:color w:val="auto"/>
          <w:sz w:val="24"/>
          <w:szCs w:val="24"/>
        </w:rPr>
        <w:t>系</w:t>
      </w:r>
      <w:r>
        <w:rPr>
          <w:rFonts w:hint="eastAsia" w:ascii="仿宋" w:hAnsi="仿宋" w:eastAsia="仿宋" w:cs="仿宋"/>
          <w:color w:val="auto"/>
          <w:kern w:val="1"/>
          <w:sz w:val="24"/>
          <w:szCs w:val="24"/>
          <w:u w:val="single"/>
        </w:rPr>
        <w:t xml:space="preserve">    （供应商名称）</w:t>
      </w:r>
      <w:r>
        <w:rPr>
          <w:rStyle w:val="94"/>
          <w:rFonts w:hint="eastAsia" w:ascii="仿宋" w:hAnsi="仿宋" w:eastAsia="仿宋" w:cs="仿宋"/>
          <w:color w:val="auto"/>
          <w:sz w:val="24"/>
          <w:szCs w:val="24"/>
        </w:rPr>
        <w:t>法定代表人，现授权委托我公司的</w:t>
      </w:r>
      <w:r>
        <w:rPr>
          <w:rFonts w:hint="eastAsia" w:ascii="仿宋" w:hAnsi="仿宋" w:eastAsia="仿宋" w:cs="仿宋"/>
          <w:color w:val="auto"/>
          <w:kern w:val="1"/>
          <w:sz w:val="24"/>
          <w:szCs w:val="24"/>
          <w:u w:val="single"/>
        </w:rPr>
        <w:t xml:space="preserve">  （姓名、职务或者职称）</w:t>
      </w:r>
      <w:r>
        <w:rPr>
          <w:rStyle w:val="94"/>
          <w:rFonts w:hint="eastAsia" w:ascii="仿宋" w:hAnsi="仿宋" w:eastAsia="仿宋" w:cs="仿宋"/>
          <w:color w:val="auto"/>
          <w:sz w:val="24"/>
          <w:szCs w:val="24"/>
        </w:rPr>
        <w:t>为我公司本次</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项目的授权代表，代表我方办理本次报价、签约等相关事宜，签署全部有关的文件、协议、合同并具有法律效力。</w:t>
      </w:r>
    </w:p>
    <w:p>
      <w:pPr>
        <w:widowControl/>
        <w:autoSpaceDE w:val="0"/>
        <w:autoSpaceDN w:val="0"/>
        <w:adjustRightInd w:val="0"/>
        <w:spacing w:line="480" w:lineRule="auto"/>
        <w:ind w:firstLine="48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80" w:lineRule="auto"/>
        <w:ind w:firstLine="48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被授权代表无权转让委托权。特此授权。</w:t>
      </w:r>
    </w:p>
    <w:p>
      <w:pPr>
        <w:widowControl/>
        <w:autoSpaceDE w:val="0"/>
        <w:autoSpaceDN w:val="0"/>
        <w:adjustRightInd w:val="0"/>
        <w:spacing w:line="480" w:lineRule="auto"/>
        <w:ind w:firstLine="480"/>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本授权委托书于</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年</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月</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日签字生效,特此声明。</w:t>
      </w:r>
    </w:p>
    <w:p>
      <w:pPr>
        <w:widowControl/>
        <w:autoSpaceDE w:val="0"/>
        <w:autoSpaceDN w:val="0"/>
        <w:adjustRightInd w:val="0"/>
        <w:spacing w:line="360" w:lineRule="auto"/>
        <w:rPr>
          <w:rFonts w:hint="eastAsia" w:ascii="仿宋" w:hAnsi="仿宋" w:eastAsia="仿宋" w:cs="仿宋"/>
          <w:color w:val="auto"/>
          <w:kern w:val="1"/>
          <w:sz w:val="24"/>
          <w:szCs w:val="24"/>
        </w:rPr>
      </w:pPr>
    </w:p>
    <w:p>
      <w:pPr>
        <w:widowControl/>
        <w:autoSpaceDE w:val="0"/>
        <w:autoSpaceDN w:val="0"/>
        <w:adjustRightInd w:val="0"/>
        <w:spacing w:line="360" w:lineRule="auto"/>
        <w:ind w:right="-481"/>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(附法人代表身份证以及被授权代表身份证复印件)</w:t>
      </w:r>
    </w:p>
    <w:p>
      <w:pPr>
        <w:widowControl/>
        <w:autoSpaceDE w:val="0"/>
        <w:autoSpaceDN w:val="0"/>
        <w:adjustRightInd w:val="0"/>
        <w:spacing w:line="360" w:lineRule="auto"/>
        <w:ind w:right="-481"/>
        <w:jc w:val="center"/>
        <w:rPr>
          <w:rFonts w:hint="eastAsia" w:ascii="仿宋" w:hAnsi="仿宋" w:eastAsia="仿宋" w:cs="仿宋"/>
          <w:color w:val="auto"/>
          <w:kern w:val="1"/>
          <w:sz w:val="24"/>
          <w:szCs w:val="24"/>
        </w:rPr>
      </w:pPr>
    </w:p>
    <w:p>
      <w:pPr>
        <w:widowControl/>
        <w:autoSpaceDE w:val="0"/>
        <w:autoSpaceDN w:val="0"/>
        <w:adjustRightInd w:val="0"/>
        <w:spacing w:line="360" w:lineRule="auto"/>
        <w:ind w:right="-481"/>
        <w:jc w:val="center"/>
        <w:rPr>
          <w:rFonts w:hint="eastAsia" w:ascii="仿宋" w:hAnsi="仿宋" w:eastAsia="仿宋" w:cs="仿宋"/>
          <w:color w:val="auto"/>
          <w:kern w:val="1"/>
          <w:sz w:val="24"/>
          <w:szCs w:val="24"/>
        </w:rPr>
      </w:pPr>
    </w:p>
    <w:p>
      <w:pPr>
        <w:widowControl/>
        <w:autoSpaceDE w:val="0"/>
        <w:autoSpaceDN w:val="0"/>
        <w:adjustRightInd w:val="0"/>
        <w:spacing w:line="360" w:lineRule="auto"/>
        <w:ind w:right="-481"/>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被授权代表姓名：             性 别：              年 龄：</w:t>
      </w:r>
    </w:p>
    <w:p>
      <w:pPr>
        <w:widowControl/>
        <w:autoSpaceDE w:val="0"/>
        <w:autoSpaceDN w:val="0"/>
        <w:adjustRightInd w:val="0"/>
        <w:spacing w:line="360" w:lineRule="auto"/>
        <w:ind w:right="-481"/>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单  位：                     部 门：              职 务：</w:t>
      </w:r>
    </w:p>
    <w:p>
      <w:pPr>
        <w:widowControl/>
        <w:autoSpaceDE w:val="0"/>
        <w:autoSpaceDN w:val="0"/>
        <w:adjustRightInd w:val="0"/>
        <w:spacing w:line="360" w:lineRule="auto"/>
        <w:ind w:right="-481"/>
        <w:rPr>
          <w:rFonts w:hint="eastAsia" w:ascii="仿宋" w:hAnsi="仿宋" w:eastAsia="仿宋" w:cs="仿宋"/>
          <w:color w:val="auto"/>
          <w:kern w:val="1"/>
          <w:sz w:val="24"/>
          <w:szCs w:val="24"/>
        </w:rPr>
      </w:pPr>
    </w:p>
    <w:p>
      <w:pPr>
        <w:widowControl/>
        <w:autoSpaceDE w:val="0"/>
        <w:autoSpaceDN w:val="0"/>
        <w:adjustRightInd w:val="0"/>
        <w:spacing w:line="360" w:lineRule="auto"/>
        <w:ind w:right="-481" w:firstLine="432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供应商（公章）：</w:t>
      </w:r>
    </w:p>
    <w:p>
      <w:pPr>
        <w:widowControl/>
        <w:autoSpaceDE w:val="0"/>
        <w:autoSpaceDN w:val="0"/>
        <w:adjustRightInd w:val="0"/>
        <w:spacing w:line="360" w:lineRule="auto"/>
        <w:ind w:right="-481" w:firstLine="432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法定代表人（签字）：</w:t>
      </w:r>
    </w:p>
    <w:p>
      <w:pPr>
        <w:pStyle w:val="14"/>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日 期：      年   月   日</w:t>
      </w:r>
    </w:p>
    <w:p>
      <w:pPr>
        <w:pStyle w:val="14"/>
        <w:rPr>
          <w:rStyle w:val="94"/>
          <w:rFonts w:hint="eastAsia" w:ascii="仿宋" w:hAnsi="仿宋" w:eastAsia="仿宋" w:cs="仿宋"/>
          <w:color w:val="auto"/>
          <w:sz w:val="24"/>
          <w:szCs w:val="24"/>
        </w:rPr>
      </w:pPr>
    </w:p>
    <w:p>
      <w:pPr>
        <w:pStyle w:val="14"/>
        <w:rPr>
          <w:rStyle w:val="94"/>
          <w:rFonts w:hint="eastAsia" w:ascii="仿宋" w:hAnsi="仿宋" w:eastAsia="仿宋" w:cs="仿宋"/>
          <w:color w:val="auto"/>
          <w:sz w:val="24"/>
          <w:szCs w:val="24"/>
        </w:rPr>
      </w:pPr>
    </w:p>
    <w:p>
      <w:pPr>
        <w:pStyle w:val="14"/>
        <w:rPr>
          <w:rStyle w:val="94"/>
          <w:rFonts w:hint="eastAsia" w:ascii="仿宋" w:hAnsi="仿宋" w:eastAsia="仿宋" w:cs="仿宋"/>
          <w:color w:val="auto"/>
          <w:sz w:val="24"/>
          <w:szCs w:val="24"/>
        </w:rPr>
      </w:pPr>
    </w:p>
    <w:p>
      <w:pPr>
        <w:pStyle w:val="14"/>
        <w:rPr>
          <w:rStyle w:val="94"/>
          <w:rFonts w:hint="eastAsia" w:ascii="仿宋" w:hAnsi="仿宋" w:eastAsia="仿宋" w:cs="仿宋"/>
          <w:color w:val="auto"/>
          <w:sz w:val="24"/>
          <w:szCs w:val="24"/>
        </w:rPr>
      </w:pPr>
    </w:p>
    <w:p>
      <w:pPr>
        <w:pStyle w:val="14"/>
        <w:rPr>
          <w:rStyle w:val="94"/>
          <w:rFonts w:hint="eastAsia" w:ascii="仿宋" w:hAnsi="仿宋" w:eastAsia="仿宋" w:cs="仿宋"/>
          <w:color w:val="auto"/>
          <w:sz w:val="24"/>
          <w:szCs w:val="24"/>
        </w:rPr>
      </w:pPr>
    </w:p>
    <w:p>
      <w:pPr>
        <w:pStyle w:val="14"/>
        <w:ind w:left="0" w:leftChars="0" w:firstLine="0" w:firstLineChars="0"/>
        <w:rPr>
          <w:rStyle w:val="94"/>
          <w:rFonts w:hint="eastAsia" w:ascii="仿宋" w:hAnsi="仿宋" w:eastAsia="仿宋" w:cs="仿宋"/>
          <w:color w:val="auto"/>
          <w:sz w:val="24"/>
          <w:szCs w:val="24"/>
        </w:rPr>
      </w:pPr>
    </w:p>
    <w:p>
      <w:pPr>
        <w:pStyle w:val="14"/>
        <w:ind w:left="0" w:leftChars="0" w:firstLine="0" w:firstLineChars="0"/>
        <w:rPr>
          <w:rStyle w:val="94"/>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0"/>
        <w:rPr>
          <w:rFonts w:hint="eastAsia" w:ascii="仿宋" w:hAnsi="仿宋" w:eastAsia="仿宋" w:cs="仿宋"/>
          <w:b/>
          <w:bCs/>
          <w:color w:val="auto"/>
          <w:sz w:val="24"/>
          <w:szCs w:val="24"/>
          <w:lang w:eastAsia="zh-CN"/>
        </w:rPr>
      </w:pPr>
      <w:bookmarkStart w:id="197" w:name="_Toc11702"/>
      <w:r>
        <w:rPr>
          <w:rFonts w:hint="eastAsia" w:ascii="仿宋" w:hAnsi="仿宋" w:eastAsia="仿宋" w:cs="仿宋"/>
          <w:b w:val="0"/>
          <w:bCs w:val="0"/>
          <w:color w:val="auto"/>
          <w:sz w:val="28"/>
          <w:szCs w:val="28"/>
          <w:lang w:val="en-US" w:eastAsia="zh-CN"/>
        </w:rPr>
        <w:t>六、信用中国、中国政府采购网查询截图</w:t>
      </w:r>
      <w:r>
        <w:rPr>
          <w:rFonts w:hint="eastAsia" w:ascii="仿宋" w:hAnsi="仿宋" w:eastAsia="仿宋" w:cs="仿宋"/>
          <w:color w:val="auto"/>
          <w:kern w:val="1"/>
          <w:sz w:val="24"/>
          <w:szCs w:val="24"/>
          <w:u w:val="single"/>
        </w:rPr>
        <w:br w:type="page"/>
      </w:r>
      <w:r>
        <w:rPr>
          <w:rFonts w:hint="eastAsia" w:ascii="仿宋" w:hAnsi="仿宋" w:eastAsia="仿宋" w:cs="仿宋"/>
          <w:b w:val="0"/>
          <w:bCs w:val="0"/>
          <w:color w:val="auto"/>
          <w:sz w:val="28"/>
          <w:szCs w:val="28"/>
          <w:lang w:val="en-US" w:eastAsia="zh-CN"/>
        </w:rPr>
        <w:t>七</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商务</w:t>
      </w:r>
      <w:r>
        <w:rPr>
          <w:rFonts w:hint="eastAsia" w:ascii="仿宋" w:hAnsi="仿宋" w:eastAsia="仿宋" w:cs="仿宋"/>
          <w:b w:val="0"/>
          <w:bCs w:val="0"/>
          <w:color w:val="auto"/>
          <w:sz w:val="28"/>
          <w:szCs w:val="28"/>
          <w:lang w:eastAsia="zh-CN"/>
        </w:rPr>
        <w:t>偏离表</w:t>
      </w:r>
      <w:bookmarkEnd w:id="197"/>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162"/>
        <w:gridCol w:w="3005"/>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62"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章节及条款号</w:t>
            </w:r>
          </w:p>
        </w:tc>
        <w:tc>
          <w:tcPr>
            <w:tcW w:w="3005"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章节及条款号</w:t>
            </w:r>
          </w:p>
        </w:tc>
        <w:tc>
          <w:tcPr>
            <w:tcW w:w="1959" w:type="dxa"/>
            <w:noWrap w:val="0"/>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62" w:type="dxa"/>
            <w:noWrap w:val="0"/>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noWrap w:val="0"/>
            <w:vAlign w:val="center"/>
          </w:tcPr>
          <w:p>
            <w:pPr>
              <w:spacing w:line="360" w:lineRule="auto"/>
              <w:jc w:val="center"/>
              <w:rPr>
                <w:rFonts w:hint="eastAsia" w:ascii="仿宋" w:hAnsi="仿宋" w:eastAsia="仿宋" w:cs="仿宋"/>
                <w:color w:val="auto"/>
                <w:sz w:val="24"/>
                <w:szCs w:val="24"/>
              </w:rPr>
            </w:pPr>
          </w:p>
        </w:tc>
        <w:tc>
          <w:tcPr>
            <w:tcW w:w="1959" w:type="dxa"/>
            <w:noWrap w:val="0"/>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p>
        </w:tc>
        <w:tc>
          <w:tcPr>
            <w:tcW w:w="3162" w:type="dxa"/>
            <w:noWrap w:val="0"/>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noWrap w:val="0"/>
            <w:vAlign w:val="center"/>
          </w:tcPr>
          <w:p>
            <w:pPr>
              <w:spacing w:line="360" w:lineRule="auto"/>
              <w:jc w:val="center"/>
              <w:rPr>
                <w:rFonts w:hint="eastAsia" w:ascii="仿宋" w:hAnsi="仿宋" w:eastAsia="仿宋" w:cs="仿宋"/>
                <w:color w:val="auto"/>
                <w:sz w:val="24"/>
                <w:szCs w:val="24"/>
              </w:rPr>
            </w:pPr>
          </w:p>
        </w:tc>
        <w:tc>
          <w:tcPr>
            <w:tcW w:w="1959" w:type="dxa"/>
            <w:noWrap w:val="0"/>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162" w:type="dxa"/>
            <w:noWrap w:val="0"/>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noWrap w:val="0"/>
            <w:vAlign w:val="center"/>
          </w:tcPr>
          <w:p>
            <w:pPr>
              <w:spacing w:line="360" w:lineRule="auto"/>
              <w:jc w:val="center"/>
              <w:rPr>
                <w:rFonts w:hint="eastAsia" w:ascii="仿宋" w:hAnsi="仿宋" w:eastAsia="仿宋" w:cs="仿宋"/>
                <w:color w:val="auto"/>
                <w:sz w:val="24"/>
                <w:szCs w:val="24"/>
              </w:rPr>
            </w:pPr>
          </w:p>
        </w:tc>
        <w:tc>
          <w:tcPr>
            <w:tcW w:w="1959" w:type="dxa"/>
            <w:noWrap w:val="0"/>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162" w:type="dxa"/>
            <w:noWrap w:val="0"/>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noWrap w:val="0"/>
            <w:vAlign w:val="center"/>
          </w:tcPr>
          <w:p>
            <w:pPr>
              <w:spacing w:line="360" w:lineRule="auto"/>
              <w:jc w:val="center"/>
              <w:rPr>
                <w:rFonts w:hint="eastAsia" w:ascii="仿宋" w:hAnsi="仿宋" w:eastAsia="仿宋" w:cs="仿宋"/>
                <w:color w:val="auto"/>
                <w:sz w:val="24"/>
                <w:szCs w:val="24"/>
              </w:rPr>
            </w:pPr>
          </w:p>
        </w:tc>
        <w:tc>
          <w:tcPr>
            <w:tcW w:w="1959" w:type="dxa"/>
            <w:noWrap w:val="0"/>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162" w:type="dxa"/>
            <w:noWrap w:val="0"/>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noWrap w:val="0"/>
            <w:vAlign w:val="center"/>
          </w:tcPr>
          <w:p>
            <w:pPr>
              <w:spacing w:line="360" w:lineRule="auto"/>
              <w:jc w:val="center"/>
              <w:rPr>
                <w:rFonts w:hint="eastAsia" w:ascii="仿宋" w:hAnsi="仿宋" w:eastAsia="仿宋" w:cs="仿宋"/>
                <w:color w:val="auto"/>
                <w:sz w:val="24"/>
                <w:szCs w:val="24"/>
              </w:rPr>
            </w:pPr>
          </w:p>
        </w:tc>
        <w:tc>
          <w:tcPr>
            <w:tcW w:w="1959" w:type="dxa"/>
            <w:noWrap w:val="0"/>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162" w:type="dxa"/>
            <w:noWrap w:val="0"/>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noWrap w:val="0"/>
            <w:vAlign w:val="top"/>
          </w:tcPr>
          <w:p>
            <w:pPr>
              <w:spacing w:line="360" w:lineRule="auto"/>
              <w:jc w:val="center"/>
              <w:rPr>
                <w:rFonts w:hint="eastAsia" w:ascii="仿宋" w:hAnsi="仿宋" w:eastAsia="仿宋" w:cs="仿宋"/>
                <w:color w:val="auto"/>
                <w:sz w:val="24"/>
                <w:szCs w:val="24"/>
              </w:rPr>
            </w:pPr>
          </w:p>
        </w:tc>
        <w:tc>
          <w:tcPr>
            <w:tcW w:w="1959"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pPr>
              <w:spacing w:line="360" w:lineRule="auto"/>
              <w:jc w:val="center"/>
              <w:rPr>
                <w:rFonts w:hint="eastAsia" w:ascii="仿宋" w:hAnsi="仿宋" w:eastAsia="仿宋" w:cs="仿宋"/>
                <w:color w:val="auto"/>
                <w:sz w:val="24"/>
                <w:szCs w:val="24"/>
              </w:rPr>
            </w:pPr>
          </w:p>
        </w:tc>
        <w:tc>
          <w:tcPr>
            <w:tcW w:w="3162" w:type="dxa"/>
            <w:noWrap w:val="0"/>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noWrap w:val="0"/>
            <w:vAlign w:val="top"/>
          </w:tcPr>
          <w:p>
            <w:pPr>
              <w:spacing w:line="360" w:lineRule="auto"/>
              <w:jc w:val="center"/>
              <w:rPr>
                <w:rFonts w:hint="eastAsia" w:ascii="仿宋" w:hAnsi="仿宋" w:eastAsia="仿宋" w:cs="仿宋"/>
                <w:color w:val="auto"/>
                <w:sz w:val="24"/>
                <w:szCs w:val="24"/>
              </w:rPr>
            </w:pPr>
          </w:p>
        </w:tc>
        <w:tc>
          <w:tcPr>
            <w:tcW w:w="1959"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pPr>
              <w:spacing w:line="360" w:lineRule="auto"/>
              <w:jc w:val="center"/>
              <w:rPr>
                <w:rFonts w:hint="eastAsia" w:ascii="仿宋" w:hAnsi="仿宋" w:eastAsia="仿宋" w:cs="仿宋"/>
                <w:color w:val="auto"/>
                <w:sz w:val="24"/>
                <w:szCs w:val="24"/>
              </w:rPr>
            </w:pPr>
          </w:p>
        </w:tc>
        <w:tc>
          <w:tcPr>
            <w:tcW w:w="3162" w:type="dxa"/>
            <w:noWrap w:val="0"/>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noWrap w:val="0"/>
            <w:vAlign w:val="top"/>
          </w:tcPr>
          <w:p>
            <w:pPr>
              <w:spacing w:line="360" w:lineRule="auto"/>
              <w:jc w:val="center"/>
              <w:rPr>
                <w:rFonts w:hint="eastAsia" w:ascii="仿宋" w:hAnsi="仿宋" w:eastAsia="仿宋" w:cs="仿宋"/>
                <w:color w:val="auto"/>
                <w:sz w:val="24"/>
                <w:szCs w:val="24"/>
              </w:rPr>
            </w:pPr>
          </w:p>
        </w:tc>
        <w:tc>
          <w:tcPr>
            <w:tcW w:w="1959"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94" w:type="dxa"/>
            <w:noWrap w:val="0"/>
            <w:vAlign w:val="top"/>
          </w:tcPr>
          <w:p>
            <w:pPr>
              <w:spacing w:line="360" w:lineRule="auto"/>
              <w:jc w:val="center"/>
              <w:rPr>
                <w:rFonts w:hint="eastAsia" w:ascii="仿宋" w:hAnsi="仿宋" w:eastAsia="仿宋" w:cs="仿宋"/>
                <w:color w:val="auto"/>
                <w:sz w:val="24"/>
                <w:szCs w:val="24"/>
              </w:rPr>
            </w:pPr>
          </w:p>
        </w:tc>
        <w:tc>
          <w:tcPr>
            <w:tcW w:w="3162" w:type="dxa"/>
            <w:noWrap w:val="0"/>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noWrap w:val="0"/>
            <w:vAlign w:val="top"/>
          </w:tcPr>
          <w:p>
            <w:pPr>
              <w:spacing w:line="360" w:lineRule="auto"/>
              <w:jc w:val="center"/>
              <w:rPr>
                <w:rFonts w:hint="eastAsia" w:ascii="仿宋" w:hAnsi="仿宋" w:eastAsia="仿宋" w:cs="仿宋"/>
                <w:color w:val="auto"/>
                <w:sz w:val="24"/>
                <w:szCs w:val="24"/>
              </w:rPr>
            </w:pPr>
          </w:p>
        </w:tc>
        <w:tc>
          <w:tcPr>
            <w:tcW w:w="1959" w:type="dxa"/>
            <w:noWrap w:val="0"/>
            <w:vAlign w:val="top"/>
          </w:tcPr>
          <w:p>
            <w:pPr>
              <w:spacing w:line="360" w:lineRule="auto"/>
              <w:jc w:val="center"/>
              <w:rPr>
                <w:rFonts w:hint="eastAsia" w:ascii="仿宋" w:hAnsi="仿宋" w:eastAsia="仿宋" w:cs="仿宋"/>
                <w:color w:val="auto"/>
                <w:sz w:val="24"/>
                <w:szCs w:val="24"/>
              </w:rPr>
            </w:pPr>
          </w:p>
        </w:tc>
      </w:tr>
    </w:tbl>
    <w:p>
      <w:pPr>
        <w:spacing w:before="100" w:beforeAutospacing="1" w:after="100" w:afterAutospacing="1"/>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注：偏离情况填写为正偏离、负偏离、无偏离</w:t>
      </w:r>
      <w:r>
        <w:rPr>
          <w:rFonts w:hint="eastAsia" w:ascii="仿宋" w:hAnsi="仿宋" w:eastAsia="仿宋" w:cs="仿宋"/>
          <w:color w:val="auto"/>
          <w:sz w:val="24"/>
          <w:szCs w:val="24"/>
        </w:rPr>
        <w:t>。</w:t>
      </w:r>
    </w:p>
    <w:p>
      <w:pPr>
        <w:jc w:val="center"/>
        <w:rPr>
          <w:rFonts w:hint="eastAsia" w:ascii="仿宋" w:hAnsi="仿宋" w:eastAsia="仿宋" w:cs="仿宋"/>
          <w:color w:val="auto"/>
          <w:sz w:val="28"/>
          <w:szCs w:val="28"/>
        </w:rPr>
      </w:pPr>
    </w:p>
    <w:p>
      <w:pPr>
        <w:spacing w:line="42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应</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商</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（盖单位公章）</w:t>
      </w:r>
    </w:p>
    <w:p>
      <w:pPr>
        <w:spacing w:line="42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pPr>
        <w:spacing w:line="42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4"/>
        <w:rPr>
          <w:rFonts w:hint="eastAsia"/>
          <w:color w:val="auto"/>
        </w:rPr>
        <w:sectPr>
          <w:pgSz w:w="11906" w:h="16838"/>
          <w:pgMar w:top="1440" w:right="1803" w:bottom="1440" w:left="1803" w:header="850" w:footer="992" w:gutter="0"/>
          <w:pgNumType w:fmt="decimal"/>
          <w:cols w:space="720" w:num="1"/>
          <w:rtlGutter w:val="0"/>
          <w:docGrid w:type="lines" w:linePitch="312" w:charSpace="0"/>
        </w:sectPr>
      </w:pPr>
    </w:p>
    <w:p>
      <w:pPr>
        <w:pStyle w:val="5"/>
        <w:numPr>
          <w:ilvl w:val="0"/>
          <w:numId w:val="0"/>
        </w:numPr>
        <w:jc w:val="center"/>
        <w:rPr>
          <w:rFonts w:hint="eastAsia" w:ascii="仿宋" w:hAnsi="仿宋" w:eastAsia="仿宋" w:cs="仿宋"/>
          <w:b w:val="0"/>
          <w:bCs w:val="0"/>
          <w:color w:val="auto"/>
          <w:kern w:val="1"/>
          <w:sz w:val="28"/>
          <w:szCs w:val="28"/>
          <w:u w:val="none"/>
          <w:lang w:val="en-US" w:eastAsia="zh-CN"/>
        </w:rPr>
      </w:pPr>
      <w:r>
        <w:rPr>
          <w:rFonts w:hint="eastAsia" w:ascii="仿宋" w:hAnsi="仿宋" w:eastAsia="仿宋" w:cs="仿宋"/>
          <w:b w:val="0"/>
          <w:bCs w:val="0"/>
          <w:color w:val="auto"/>
          <w:kern w:val="1"/>
          <w:sz w:val="28"/>
          <w:szCs w:val="28"/>
          <w:u w:val="none"/>
          <w:lang w:val="en-US" w:eastAsia="zh-CN"/>
        </w:rPr>
        <w:t>八、技术偏离表</w:t>
      </w:r>
    </w:p>
    <w:tbl>
      <w:tblPr>
        <w:tblStyle w:val="26"/>
        <w:tblpPr w:leftFromText="180" w:rightFromText="180" w:vertAnchor="text" w:horzAnchor="page" w:tblpX="1228" w:tblpY="1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7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33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响应货物要求</w:t>
            </w:r>
          </w:p>
        </w:tc>
        <w:tc>
          <w:tcPr>
            <w:tcW w:w="34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响应货物状况</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响应货物符合程度</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27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29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trPr>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27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2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符合要求</w:t>
            </w:r>
          </w:p>
        </w:tc>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高于要求</w:t>
            </w:r>
          </w:p>
        </w:tc>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低于要求</w:t>
            </w:r>
          </w:p>
        </w:tc>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2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2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注：偏离情况填写为正偏离、负偏离、无偏离（本项目不允许负偏离）。</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1、供应商应根据采购内容的性能指标、对照采购文件技术指标要求，如实逐条一一对应填写响应情况，如有未响应技术指标，评审委员会有权视其为负偏离；</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2、请供应商在“偏离情况”一栏详细描述存在正偏离或负偏离技术指标，并标明偏离情况；</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3、采购文件技术指标未做要求的，不视为正偏离。</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w:t>
      </w:r>
      <w:r>
        <w:rPr>
          <w:rFonts w:hint="eastAsia" w:ascii="仿宋" w:hAnsi="仿宋" w:eastAsia="仿宋" w:cs="仿宋"/>
          <w:color w:val="auto"/>
          <w:sz w:val="24"/>
          <w:szCs w:val="24"/>
          <w:lang w:eastAsia="zh-CN"/>
        </w:rPr>
        <w:t>鲜红公</w:t>
      </w:r>
      <w:r>
        <w:rPr>
          <w:rFonts w:hint="eastAsia" w:ascii="仿宋" w:hAnsi="仿宋" w:eastAsia="仿宋" w:cs="仿宋"/>
          <w:color w:val="auto"/>
          <w:sz w:val="24"/>
          <w:szCs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法定代表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委托代理人: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lang w:val="en-US" w:eastAsia="zh-CN"/>
        </w:rPr>
        <w:t>（签字）.</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right"/>
        <w:textAlignment w:val="auto"/>
        <w:outlineLvl w:val="9"/>
        <w:rPr>
          <w:rFonts w:hint="eastAsia" w:ascii="仿宋" w:hAnsi="仿宋" w:eastAsia="仿宋" w:cs="仿宋"/>
          <w:color w:val="auto"/>
          <w:sz w:val="24"/>
          <w:szCs w:val="24"/>
        </w:rPr>
      </w:pPr>
    </w:p>
    <w:p>
      <w:pPr>
        <w:numPr>
          <w:ilvl w:val="0"/>
          <w:numId w:val="0"/>
        </w:numPr>
        <w:spacing w:line="440" w:lineRule="exact"/>
        <w:jc w:val="right"/>
        <w:rPr>
          <w:rFonts w:hint="eastAsia" w:ascii="仿宋" w:hAnsi="仿宋" w:eastAsia="仿宋" w:cs="仿宋"/>
          <w:b/>
          <w:color w:val="auto"/>
          <w:sz w:val="24"/>
          <w:szCs w:val="24"/>
          <w:lang w:val="en-US" w:eastAsia="zh-CN"/>
        </w:rPr>
        <w:sectPr>
          <w:pgSz w:w="16838" w:h="11906" w:orient="landscape"/>
          <w:pgMar w:top="1803" w:right="1134" w:bottom="1803" w:left="1134" w:header="850" w:footer="992" w:gutter="0"/>
          <w:pgNumType w:fmt="decimal"/>
          <w:cols w:space="720" w:num="1"/>
          <w:rtlGutter w:val="0"/>
          <w:docGrid w:linePitch="312" w:charSpace="0"/>
        </w:sect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25"/>
        <w:jc w:val="center"/>
        <w:rPr>
          <w:rFonts w:hint="eastAsia" w:ascii="仿宋" w:hAnsi="仿宋" w:eastAsia="仿宋" w:cs="仿宋"/>
          <w:color w:val="auto"/>
        </w:rPr>
      </w:pPr>
      <w:r>
        <w:rPr>
          <w:rFonts w:hint="eastAsia" w:ascii="仿宋" w:hAnsi="仿宋" w:eastAsia="仿宋" w:cs="仿宋"/>
          <w:b w:val="0"/>
          <w:bCs w:val="0"/>
          <w:color w:val="auto"/>
          <w:kern w:val="1"/>
          <w:sz w:val="28"/>
          <w:szCs w:val="28"/>
          <w:u w:val="none"/>
          <w:lang w:val="en-US" w:eastAsia="zh-CN"/>
        </w:rPr>
        <w:t>九、采购响应服务技术参数</w:t>
      </w:r>
    </w:p>
    <w:p>
      <w:pPr>
        <w:spacing w:after="240" w:afterLines="100"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8"/>
          <w:szCs w:val="28"/>
        </w:rPr>
        <w:br w:type="page"/>
      </w:r>
      <w:r>
        <w:rPr>
          <w:rFonts w:hint="eastAsia" w:ascii="仿宋" w:hAnsi="仿宋" w:eastAsia="仿宋" w:cs="仿宋"/>
          <w:b w:val="0"/>
          <w:bCs w:val="0"/>
          <w:color w:val="auto"/>
          <w:kern w:val="1"/>
          <w:sz w:val="28"/>
          <w:szCs w:val="28"/>
          <w:u w:val="none"/>
          <w:lang w:val="en-US" w:eastAsia="zh-CN"/>
        </w:rPr>
        <w:t>十、</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基本情况表</w:t>
      </w:r>
      <w:r>
        <w:rPr>
          <w:rFonts w:hint="eastAsia" w:ascii="仿宋" w:hAnsi="仿宋" w:eastAsia="仿宋" w:cs="仿宋"/>
          <w:b w:val="0"/>
          <w:bCs w:val="0"/>
          <w:color w:val="auto"/>
          <w:sz w:val="28"/>
          <w:szCs w:val="28"/>
          <w:lang w:eastAsia="zh-CN"/>
        </w:rPr>
        <w:t>（附营业执照等）</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350"/>
        <w:gridCol w:w="1137"/>
        <w:gridCol w:w="1"/>
        <w:gridCol w:w="1405"/>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tc>
        <w:tc>
          <w:tcPr>
            <w:tcW w:w="7946" w:type="dxa"/>
            <w:gridSpan w:val="7"/>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注册地址</w:t>
            </w:r>
          </w:p>
        </w:tc>
        <w:tc>
          <w:tcPr>
            <w:tcW w:w="3893" w:type="dxa"/>
            <w:gridSpan w:val="4"/>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restar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联系方式</w:t>
            </w:r>
          </w:p>
        </w:tc>
        <w:tc>
          <w:tcPr>
            <w:tcW w:w="135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w:t>
            </w:r>
          </w:p>
        </w:tc>
        <w:tc>
          <w:tcPr>
            <w:tcW w:w="2543" w:type="dxa"/>
            <w:gridSpan w:val="3"/>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  话</w:t>
            </w: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continue"/>
            <w:noWrap w:val="0"/>
            <w:vAlign w:val="center"/>
          </w:tcPr>
          <w:p>
            <w:pPr>
              <w:jc w:val="center"/>
              <w:rPr>
                <w:rFonts w:hint="eastAsia" w:ascii="仿宋" w:hAnsi="仿宋" w:eastAsia="仿宋" w:cs="仿宋"/>
                <w:color w:val="auto"/>
                <w:sz w:val="24"/>
                <w:szCs w:val="24"/>
              </w:rPr>
            </w:pPr>
          </w:p>
        </w:tc>
        <w:tc>
          <w:tcPr>
            <w:tcW w:w="135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传  真</w:t>
            </w:r>
          </w:p>
        </w:tc>
        <w:tc>
          <w:tcPr>
            <w:tcW w:w="2543" w:type="dxa"/>
            <w:gridSpan w:val="3"/>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网  址</w:t>
            </w: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135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137" w:type="dxa"/>
            <w:noWrap w:val="0"/>
            <w:vAlign w:val="center"/>
          </w:tcPr>
          <w:p>
            <w:pPr>
              <w:jc w:val="center"/>
              <w:rPr>
                <w:rFonts w:hint="eastAsia" w:ascii="仿宋" w:hAnsi="仿宋" w:eastAsia="仿宋" w:cs="仿宋"/>
                <w:color w:val="auto"/>
                <w:sz w:val="24"/>
                <w:szCs w:val="24"/>
              </w:rPr>
            </w:pPr>
          </w:p>
        </w:tc>
        <w:tc>
          <w:tcPr>
            <w:tcW w:w="1406"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技术职称</w:t>
            </w:r>
          </w:p>
        </w:tc>
        <w:tc>
          <w:tcPr>
            <w:tcW w:w="1426" w:type="dxa"/>
            <w:noWrap w:val="0"/>
            <w:vAlign w:val="center"/>
          </w:tcPr>
          <w:p>
            <w:pPr>
              <w:jc w:val="center"/>
              <w:rPr>
                <w:rFonts w:hint="eastAsia" w:ascii="仿宋" w:hAnsi="仿宋" w:eastAsia="仿宋" w:cs="仿宋"/>
                <w:color w:val="auto"/>
                <w:sz w:val="24"/>
                <w:szCs w:val="24"/>
              </w:rPr>
            </w:pPr>
          </w:p>
        </w:tc>
        <w:tc>
          <w:tcPr>
            <w:tcW w:w="1059"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1568"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7946" w:type="dxa"/>
            <w:gridSpan w:val="7"/>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营业执照号</w:t>
            </w:r>
          </w:p>
        </w:tc>
        <w:tc>
          <w:tcPr>
            <w:tcW w:w="2488" w:type="dxa"/>
            <w:gridSpan w:val="3"/>
            <w:noWrap w:val="0"/>
            <w:vAlign w:val="center"/>
          </w:tcPr>
          <w:p>
            <w:pPr>
              <w:jc w:val="center"/>
              <w:rPr>
                <w:rFonts w:hint="eastAsia" w:ascii="仿宋" w:hAnsi="仿宋" w:eastAsia="仿宋" w:cs="仿宋"/>
                <w:color w:val="auto"/>
                <w:sz w:val="24"/>
                <w:szCs w:val="24"/>
              </w:rPr>
            </w:pPr>
          </w:p>
        </w:tc>
        <w:tc>
          <w:tcPr>
            <w:tcW w:w="1405" w:type="dxa"/>
            <w:vMerge w:val="restar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企业人员</w:t>
            </w:r>
          </w:p>
        </w:tc>
        <w:tc>
          <w:tcPr>
            <w:tcW w:w="1426" w:type="dxa"/>
            <w:noWrap w:val="0"/>
            <w:vAlign w:val="center"/>
          </w:tcPr>
          <w:p>
            <w:pPr>
              <w:jc w:val="center"/>
              <w:rPr>
                <w:rFonts w:hint="eastAsia" w:ascii="仿宋" w:hAnsi="仿宋" w:eastAsia="仿宋" w:cs="仿宋"/>
                <w:color w:val="auto"/>
                <w:sz w:val="24"/>
                <w:szCs w:val="24"/>
              </w:rPr>
            </w:pP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2488" w:type="dxa"/>
            <w:gridSpan w:val="3"/>
            <w:noWrap w:val="0"/>
            <w:vAlign w:val="center"/>
          </w:tcPr>
          <w:p>
            <w:pPr>
              <w:jc w:val="center"/>
              <w:rPr>
                <w:rFonts w:hint="eastAsia" w:ascii="仿宋" w:hAnsi="仿宋" w:eastAsia="仿宋" w:cs="仿宋"/>
                <w:color w:val="auto"/>
                <w:sz w:val="24"/>
                <w:szCs w:val="24"/>
              </w:rPr>
            </w:pPr>
          </w:p>
        </w:tc>
        <w:tc>
          <w:tcPr>
            <w:tcW w:w="1405" w:type="dxa"/>
            <w:vMerge w:val="continue"/>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2488" w:type="dxa"/>
            <w:gridSpan w:val="3"/>
            <w:noWrap w:val="0"/>
            <w:vAlign w:val="center"/>
          </w:tcPr>
          <w:p>
            <w:pPr>
              <w:jc w:val="center"/>
              <w:rPr>
                <w:rFonts w:hint="eastAsia" w:ascii="仿宋" w:hAnsi="仿宋" w:eastAsia="仿宋" w:cs="仿宋"/>
                <w:color w:val="auto"/>
                <w:sz w:val="24"/>
                <w:szCs w:val="24"/>
              </w:rPr>
            </w:pPr>
          </w:p>
        </w:tc>
        <w:tc>
          <w:tcPr>
            <w:tcW w:w="1405" w:type="dxa"/>
            <w:vMerge w:val="continue"/>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c>
          <w:tcPr>
            <w:tcW w:w="2488" w:type="dxa"/>
            <w:gridSpan w:val="3"/>
            <w:noWrap w:val="0"/>
            <w:vAlign w:val="center"/>
          </w:tcPr>
          <w:p>
            <w:pPr>
              <w:jc w:val="center"/>
              <w:rPr>
                <w:rFonts w:hint="eastAsia" w:ascii="仿宋" w:hAnsi="仿宋" w:eastAsia="仿宋" w:cs="仿宋"/>
                <w:color w:val="auto"/>
                <w:sz w:val="24"/>
                <w:szCs w:val="24"/>
              </w:rPr>
            </w:pPr>
          </w:p>
        </w:tc>
        <w:tc>
          <w:tcPr>
            <w:tcW w:w="1405" w:type="dxa"/>
            <w:vMerge w:val="continue"/>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7946" w:type="dxa"/>
            <w:gridSpan w:val="7"/>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   注</w:t>
            </w:r>
          </w:p>
        </w:tc>
        <w:tc>
          <w:tcPr>
            <w:tcW w:w="7946" w:type="dxa"/>
            <w:gridSpan w:val="7"/>
            <w:noWrap w:val="0"/>
            <w:vAlign w:val="center"/>
          </w:tcPr>
          <w:p>
            <w:pPr>
              <w:rPr>
                <w:rFonts w:hint="eastAsia" w:ascii="仿宋" w:hAnsi="仿宋" w:eastAsia="仿宋" w:cs="仿宋"/>
                <w:color w:val="auto"/>
                <w:sz w:val="24"/>
                <w:szCs w:val="24"/>
              </w:rPr>
            </w:pPr>
          </w:p>
        </w:tc>
      </w:tr>
    </w:tbl>
    <w:p>
      <w:pPr>
        <w:spacing w:before="100" w:beforeAutospacing="1" w:after="100" w:afterAutospacing="1"/>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注：本表后应附企业法人营业执照、组织机构代码证、税务登记证、开户许可证等相关材料的复印件。（</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可根据本表自行编制）</w:t>
      </w:r>
    </w:p>
    <w:p>
      <w:pPr>
        <w:spacing w:before="100" w:beforeAutospacing="1" w:after="100" w:afterAutospacing="1"/>
        <w:jc w:val="center"/>
        <w:rPr>
          <w:rFonts w:hint="eastAsia" w:ascii="仿宋" w:hAnsi="仿宋" w:eastAsia="仿宋" w:cs="仿宋"/>
          <w:b/>
          <w:bCs/>
          <w:color w:val="auto"/>
          <w:sz w:val="24"/>
          <w:szCs w:val="24"/>
        </w:rPr>
        <w:sectPr>
          <w:pgSz w:w="11906" w:h="16838"/>
          <w:pgMar w:top="1440" w:right="1803" w:bottom="1440" w:left="1803" w:header="850" w:footer="992" w:gutter="0"/>
          <w:pgNumType w:fmt="decimal"/>
          <w:cols w:space="720" w:num="1"/>
          <w:rtlGutter w:val="0"/>
          <w:docGrid w:type="lines" w:linePitch="312" w:charSpace="0"/>
        </w:sectPr>
      </w:pPr>
    </w:p>
    <w:p>
      <w:pPr>
        <w:spacing w:before="100" w:beforeAutospacing="1" w:after="100" w:afterAutospacing="1"/>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十一、</w:t>
      </w:r>
      <w:r>
        <w:rPr>
          <w:rFonts w:hint="eastAsia" w:ascii="仿宋" w:hAnsi="仿宋" w:eastAsia="仿宋" w:cs="仿宋"/>
          <w:color w:val="auto"/>
          <w:sz w:val="28"/>
          <w:szCs w:val="28"/>
        </w:rPr>
        <w:t>在经营活动中没有重大违法记录的书面声明</w:t>
      </w:r>
    </w:p>
    <w:p>
      <w:pPr>
        <w:jc w:val="center"/>
        <w:rPr>
          <w:rFonts w:hint="eastAsia" w:ascii="仿宋" w:hAnsi="仿宋" w:eastAsia="仿宋" w:cs="仿宋"/>
          <w:color w:val="auto"/>
          <w:sz w:val="24"/>
          <w:szCs w:val="24"/>
        </w:rPr>
      </w:pP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我方在参加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（项目名称）政府采购活动前3年内，我方被公开披露或查处的违法违规行为有：</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，但在经营活动中没有重大违法记录（重大违法记录指</w:t>
      </w:r>
      <w:r>
        <w:rPr>
          <w:rFonts w:hint="eastAsia" w:ascii="仿宋" w:hAnsi="仿宋" w:eastAsia="仿宋" w:cs="仿宋"/>
          <w:color w:val="auto"/>
          <w:kern w:val="0"/>
          <w:sz w:val="24"/>
          <w:szCs w:val="24"/>
        </w:rPr>
        <w:t>供应商因违法经营受到刑事处罚或者责令停产停业、吊销许可证或者执照、较大数额罚款等行政处罚）</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42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应</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商</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（盖单位公章）</w:t>
      </w:r>
    </w:p>
    <w:p>
      <w:pPr>
        <w:spacing w:line="42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pPr>
        <w:spacing w:line="42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备注：供应商没有被公开披露或查处违法违规行为的，注明“无”即可。</w:t>
      </w:r>
    </w:p>
    <w:p>
      <w:pPr>
        <w:wordWrap w:val="0"/>
        <w:spacing w:line="360" w:lineRule="auto"/>
        <w:ind w:firstLine="480" w:firstLineChars="200"/>
        <w:jc w:val="center"/>
        <w:rPr>
          <w:rFonts w:hint="eastAsia" w:ascii="仿宋" w:hAnsi="仿宋" w:eastAsia="仿宋" w:cs="仿宋"/>
          <w:color w:val="auto"/>
          <w:sz w:val="28"/>
          <w:szCs w:val="28"/>
          <w:lang w:eastAsia="zh-CN"/>
        </w:rPr>
      </w:pPr>
      <w:r>
        <w:rPr>
          <w:rFonts w:hint="eastAsia" w:ascii="仿宋" w:hAnsi="仿宋" w:eastAsia="仿宋" w:cs="仿宋"/>
          <w:color w:val="auto"/>
          <w:kern w:val="1"/>
          <w:sz w:val="24"/>
          <w:szCs w:val="24"/>
        </w:rPr>
        <w:br w:type="page"/>
      </w:r>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反商业贿赂承诺书</w:t>
      </w:r>
    </w:p>
    <w:p>
      <w:pPr>
        <w:wordWrap w:val="0"/>
        <w:spacing w:line="360" w:lineRule="auto"/>
        <w:ind w:firstLine="480" w:firstLineChars="200"/>
        <w:rPr>
          <w:rFonts w:hint="eastAsia" w:ascii="仿宋" w:hAnsi="仿宋" w:eastAsia="仿宋" w:cs="仿宋"/>
          <w:color w:val="auto"/>
          <w:sz w:val="24"/>
          <w:szCs w:val="24"/>
        </w:rPr>
      </w:pPr>
    </w:p>
    <w:p>
      <w:pPr>
        <w:wordWrap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致：</w:t>
      </w:r>
      <w:r>
        <w:rPr>
          <w:rFonts w:hint="eastAsia" w:ascii="仿宋" w:hAnsi="仿宋" w:eastAsia="仿宋" w:cs="仿宋"/>
          <w:color w:val="auto"/>
          <w:sz w:val="24"/>
          <w:szCs w:val="24"/>
          <w:lang w:eastAsia="zh-CN"/>
        </w:rPr>
        <w:t>（代理单位）</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为了进一步营造公平竞争的市场环境，维护市场秩序，我方在政府采购活动中郑重承诺：</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一、依法参与政府采购活动，遵纪守法，诚信经营，公平竞争。</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二、不向采购单位、集中采购机构和政府采购评审专家提供任何形式的商业贿赂；对索取或接受商业贿赂的单位和个人，及时向财政部门或纪检监察机关举报。</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三、坚决做到不提供虚假资质文件和虚假材料谋取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四、不采取不正当手段诋毁、排挤其他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，与其他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保持公平的竞争关系。</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五、不与采购单位、集中采购机构和政府采购评审专家串通，自觉维护政府采购公平竞争的市场秩序。</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六、不与其他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串通采取围标、陪标等商业欺诈手段谋取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，积极维护国家利益、社会公共利益和采购单位的合法权益。</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七、严格履行政府采购合同约定的责任和义务，保质保量地完成采购合同规定的任务，准确兑现售后服务承诺。</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八、自觉接受并积极配合财政部门和纪检监察机关依法实施的监督检查，如实反映情况，及时提供有关证明材料。</w:t>
      </w:r>
    </w:p>
    <w:p>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wordWrap w:val="0"/>
        <w:spacing w:line="360" w:lineRule="auto"/>
        <w:ind w:firstLine="480" w:firstLineChars="200"/>
        <w:rPr>
          <w:rFonts w:hint="eastAsia" w:ascii="仿宋" w:hAnsi="仿宋" w:eastAsia="仿宋" w:cs="仿宋"/>
          <w:color w:val="auto"/>
          <w:sz w:val="24"/>
          <w:szCs w:val="24"/>
        </w:rPr>
      </w:pPr>
    </w:p>
    <w:p>
      <w:pPr>
        <w:wordWrap w:val="0"/>
        <w:spacing w:line="360" w:lineRule="auto"/>
        <w:ind w:firstLine="4800" w:firstLineChars="20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 xml:space="preserve">单位全称：                      </w:t>
      </w:r>
    </w:p>
    <w:p>
      <w:pPr>
        <w:wordWrap w:val="0"/>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sz w:val="24"/>
          <w:szCs w:val="24"/>
        </w:rPr>
        <w:t>（加盖单位公章）</w:t>
      </w:r>
    </w:p>
    <w:p>
      <w:pPr>
        <w:wordWrap w:val="0"/>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4"/>
          <w:szCs w:val="24"/>
        </w:rPr>
        <w:t>签署日期：      年     月     日</w:t>
      </w:r>
    </w:p>
    <w:p>
      <w:pPr>
        <w:widowControl/>
        <w:autoSpaceDE w:val="0"/>
        <w:autoSpaceDN w:val="0"/>
        <w:adjustRightInd w:val="0"/>
        <w:spacing w:line="360" w:lineRule="auto"/>
        <w:jc w:val="center"/>
        <w:rPr>
          <w:rFonts w:hint="eastAsia" w:ascii="仿宋" w:hAnsi="仿宋" w:eastAsia="仿宋" w:cs="仿宋"/>
          <w:color w:val="auto"/>
          <w:kern w:val="1"/>
          <w:sz w:val="24"/>
          <w:szCs w:val="24"/>
          <w:lang w:val="en-US" w:eastAsia="zh-CN"/>
        </w:rPr>
        <w:sectPr>
          <w:pgSz w:w="11906" w:h="16838"/>
          <w:pgMar w:top="1440" w:right="1803" w:bottom="1440" w:left="1803" w:header="850" w:footer="992" w:gutter="0"/>
          <w:pgNumType w:fmt="decimal"/>
          <w:cols w:space="720" w:num="1"/>
          <w:rtlGutter w:val="0"/>
          <w:docGrid w:type="lines" w:linePitch="312" w:charSpace="0"/>
        </w:sectPr>
      </w:pPr>
    </w:p>
    <w:p>
      <w:pPr>
        <w:widowControl/>
        <w:autoSpaceDE w:val="0"/>
        <w:autoSpaceDN w:val="0"/>
        <w:adjustRightInd w:val="0"/>
        <w:spacing w:line="360" w:lineRule="auto"/>
        <w:jc w:val="center"/>
        <w:rPr>
          <w:rFonts w:hint="eastAsia" w:ascii="仿宋" w:hAnsi="仿宋" w:eastAsia="仿宋" w:cs="仿宋"/>
          <w:color w:val="auto"/>
          <w:kern w:val="1"/>
          <w:sz w:val="28"/>
          <w:szCs w:val="28"/>
        </w:rPr>
      </w:pPr>
      <w:r>
        <w:rPr>
          <w:rFonts w:hint="eastAsia" w:ascii="仿宋" w:hAnsi="仿宋" w:eastAsia="仿宋" w:cs="仿宋"/>
          <w:color w:val="auto"/>
          <w:kern w:val="1"/>
          <w:sz w:val="24"/>
          <w:szCs w:val="24"/>
          <w:lang w:eastAsia="zh-CN"/>
        </w:rPr>
        <w:t>十三、</w:t>
      </w:r>
      <w:r>
        <w:rPr>
          <w:rFonts w:hint="eastAsia" w:ascii="仿宋" w:hAnsi="仿宋" w:eastAsia="仿宋" w:cs="仿宋"/>
          <w:color w:val="auto"/>
          <w:kern w:val="1"/>
          <w:sz w:val="28"/>
          <w:szCs w:val="28"/>
        </w:rPr>
        <w:t>政府采购诚信承诺书</w:t>
      </w:r>
    </w:p>
    <w:p>
      <w:pPr>
        <w:widowControl/>
        <w:autoSpaceDE w:val="0"/>
        <w:autoSpaceDN w:val="0"/>
        <w:adjustRightInd w:val="0"/>
        <w:spacing w:line="360" w:lineRule="auto"/>
        <w:rPr>
          <w:rFonts w:hint="eastAsia" w:ascii="仿宋" w:hAnsi="仿宋" w:eastAsia="仿宋" w:cs="仿宋"/>
          <w:b/>
          <w:bCs/>
          <w:color w:val="auto"/>
          <w:kern w:val="1"/>
          <w:sz w:val="24"/>
          <w:szCs w:val="24"/>
        </w:rPr>
      </w:pPr>
    </w:p>
    <w:p>
      <w:pPr>
        <w:widowControl/>
        <w:autoSpaceDE w:val="0"/>
        <w:autoSpaceDN w:val="0"/>
        <w:adjustRightInd w:val="0"/>
        <w:spacing w:line="360" w:lineRule="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u w:val="single"/>
        </w:rPr>
        <w:t xml:space="preserve"> （采购人） </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u w:val="single"/>
        </w:rPr>
        <w:t xml:space="preserve"> （采购代理机构） </w:t>
      </w:r>
      <w:r>
        <w:rPr>
          <w:rFonts w:hint="eastAsia" w:ascii="仿宋" w:hAnsi="仿宋" w:eastAsia="仿宋" w:cs="仿宋"/>
          <w:color w:val="auto"/>
          <w:kern w:val="1"/>
          <w:sz w:val="24"/>
          <w:szCs w:val="24"/>
        </w:rPr>
        <w:t>：</w:t>
      </w:r>
    </w:p>
    <w:p>
      <w:pPr>
        <w:widowControl/>
        <w:autoSpaceDE w:val="0"/>
        <w:autoSpaceDN w:val="0"/>
        <w:adjustRightInd w:val="0"/>
        <w:spacing w:line="360" w:lineRule="auto"/>
        <w:ind w:firstLine="480"/>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我公司</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（供应商名称）已详细阅读了</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项目（项目编号：</w:t>
      </w:r>
      <w:r>
        <w:rPr>
          <w:rFonts w:hint="eastAsia" w:ascii="仿宋" w:hAnsi="仿宋" w:eastAsia="仿宋" w:cs="仿宋"/>
          <w:color w:val="auto"/>
          <w:kern w:val="1"/>
          <w:sz w:val="24"/>
          <w:szCs w:val="24"/>
          <w:u w:val="single"/>
        </w:rPr>
        <w:t xml:space="preserve">          </w:t>
      </w:r>
      <w:r>
        <w:rPr>
          <w:rStyle w:val="94"/>
          <w:rFonts w:hint="eastAsia" w:ascii="仿宋" w:hAnsi="仿宋" w:eastAsia="仿宋" w:cs="仿宋"/>
          <w:color w:val="auto"/>
          <w:sz w:val="24"/>
          <w:szCs w:val="24"/>
        </w:rPr>
        <w:t>）采购文件，自愿参加本次报价，现就有关事项做出郑重承诺如下：</w:t>
      </w:r>
    </w:p>
    <w:p>
      <w:pPr>
        <w:widowControl/>
        <w:autoSpaceDE w:val="0"/>
        <w:autoSpaceDN w:val="0"/>
        <w:adjustRightInd w:val="0"/>
        <w:spacing w:line="360" w:lineRule="auto"/>
        <w:ind w:firstLine="48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一、诚信报价，材料真实。我公司保证所提供的全部材料、报价内容均真实、合法、有效，保证不出借或者借用其他企业资质，不以他人名义报价，不弄虚作假；</w:t>
      </w:r>
    </w:p>
    <w:p>
      <w:pPr>
        <w:widowControl/>
        <w:autoSpaceDE w:val="0"/>
        <w:autoSpaceDN w:val="0"/>
        <w:adjustRightInd w:val="0"/>
        <w:spacing w:line="360" w:lineRule="auto"/>
        <w:ind w:firstLine="480"/>
        <w:rPr>
          <w:rFonts w:hint="eastAsia" w:ascii="仿宋" w:hAnsi="仿宋" w:eastAsia="仿宋" w:cs="仿宋"/>
          <w:color w:val="auto"/>
          <w:kern w:val="1"/>
          <w:sz w:val="24"/>
          <w:szCs w:val="24"/>
        </w:rPr>
      </w:pPr>
      <w:r>
        <w:rPr>
          <w:rStyle w:val="94"/>
          <w:rFonts w:hint="eastAsia" w:ascii="仿宋" w:hAnsi="仿宋" w:eastAsia="仿宋" w:cs="仿宋"/>
          <w:color w:val="auto"/>
          <w:sz w:val="24"/>
          <w:szCs w:val="24"/>
        </w:rPr>
        <w:t>二、遵纪守法，公平竞争。不与其他供应商相互串通、</w:t>
      </w:r>
      <w:r>
        <w:rPr>
          <w:rFonts w:hint="eastAsia" w:ascii="仿宋" w:hAnsi="仿宋" w:eastAsia="仿宋" w:cs="仿宋"/>
          <w:color w:val="auto"/>
          <w:kern w:val="0"/>
          <w:sz w:val="24"/>
          <w:szCs w:val="24"/>
        </w:rPr>
        <w:t>哄抬价格，</w:t>
      </w:r>
      <w:r>
        <w:rPr>
          <w:rStyle w:val="94"/>
          <w:rFonts w:hint="eastAsia" w:ascii="仿宋" w:hAnsi="仿宋" w:eastAsia="仿宋" w:cs="仿宋"/>
          <w:color w:val="auto"/>
          <w:sz w:val="24"/>
          <w:szCs w:val="24"/>
        </w:rPr>
        <w:t>不排挤其他供应商，不损害采购人的合法权益；不向</w:t>
      </w:r>
      <w:r>
        <w:rPr>
          <w:rStyle w:val="94"/>
          <w:rFonts w:hint="eastAsia" w:ascii="仿宋" w:hAnsi="仿宋" w:eastAsia="仿宋" w:cs="仿宋"/>
          <w:color w:val="auto"/>
          <w:sz w:val="24"/>
          <w:szCs w:val="24"/>
          <w:lang w:eastAsia="zh-CN"/>
        </w:rPr>
        <w:t>磋商</w:t>
      </w:r>
      <w:r>
        <w:rPr>
          <w:rStyle w:val="94"/>
          <w:rFonts w:hint="eastAsia" w:ascii="仿宋" w:hAnsi="仿宋" w:eastAsia="仿宋" w:cs="仿宋"/>
          <w:color w:val="auto"/>
          <w:sz w:val="24"/>
          <w:szCs w:val="24"/>
        </w:rPr>
        <w:t>小组、采购人提供利益以牟取</w:t>
      </w:r>
      <w:r>
        <w:rPr>
          <w:rStyle w:val="94"/>
          <w:rFonts w:hint="eastAsia" w:ascii="仿宋" w:hAnsi="仿宋" w:eastAsia="仿宋" w:cs="仿宋"/>
          <w:color w:val="auto"/>
          <w:sz w:val="24"/>
          <w:szCs w:val="24"/>
          <w:lang w:eastAsia="zh-CN"/>
        </w:rPr>
        <w:t>成交</w:t>
      </w:r>
      <w:r>
        <w:rPr>
          <w:rStyle w:val="94"/>
          <w:rFonts w:hint="eastAsia" w:ascii="仿宋" w:hAnsi="仿宋" w:eastAsia="仿宋" w:cs="仿宋"/>
          <w:color w:val="auto"/>
          <w:sz w:val="24"/>
          <w:szCs w:val="24"/>
        </w:rPr>
        <w:t>。</w:t>
      </w:r>
    </w:p>
    <w:p>
      <w:pPr>
        <w:widowControl/>
        <w:autoSpaceDE w:val="0"/>
        <w:autoSpaceDN w:val="0"/>
        <w:adjustRightInd w:val="0"/>
        <w:spacing w:line="360" w:lineRule="auto"/>
        <w:ind w:firstLine="480"/>
        <w:rPr>
          <w:rFonts w:hint="eastAsia" w:ascii="仿宋" w:hAnsi="仿宋" w:eastAsia="仿宋" w:cs="仿宋"/>
          <w:color w:val="auto"/>
          <w:kern w:val="1"/>
          <w:sz w:val="24"/>
          <w:szCs w:val="24"/>
        </w:rPr>
      </w:pPr>
      <w:r>
        <w:rPr>
          <w:rFonts w:hint="eastAsia" w:ascii="仿宋" w:hAnsi="仿宋" w:eastAsia="仿宋" w:cs="仿宋"/>
          <w:color w:val="auto"/>
          <w:kern w:val="0"/>
          <w:sz w:val="24"/>
          <w:szCs w:val="24"/>
        </w:rPr>
        <w:t>三、若</w:t>
      </w:r>
      <w:r>
        <w:rPr>
          <w:rFonts w:hint="eastAsia" w:ascii="仿宋" w:hAnsi="仿宋" w:eastAsia="仿宋" w:cs="仿宋"/>
          <w:color w:val="auto"/>
          <w:kern w:val="0"/>
          <w:sz w:val="24"/>
          <w:szCs w:val="24"/>
          <w:lang w:eastAsia="zh-CN"/>
        </w:rPr>
        <w:t>成交</w:t>
      </w:r>
      <w:r>
        <w:rPr>
          <w:rFonts w:hint="eastAsia" w:ascii="仿宋" w:hAnsi="仿宋" w:eastAsia="仿宋" w:cs="仿宋"/>
          <w:color w:val="auto"/>
          <w:kern w:val="0"/>
          <w:sz w:val="24"/>
          <w:szCs w:val="24"/>
        </w:rPr>
        <w:t>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360" w:lineRule="auto"/>
        <w:ind w:firstLine="480"/>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若有违反以上承诺内容的行为，我公司自愿接受取消报价资格、记入信用档案、媒体通报、1-3年内禁止参与政府采购等处罚；如已</w:t>
      </w:r>
      <w:r>
        <w:rPr>
          <w:rStyle w:val="94"/>
          <w:rFonts w:hint="eastAsia" w:ascii="仿宋" w:hAnsi="仿宋" w:eastAsia="仿宋" w:cs="仿宋"/>
          <w:color w:val="auto"/>
          <w:sz w:val="24"/>
          <w:szCs w:val="24"/>
          <w:lang w:eastAsia="zh-CN"/>
        </w:rPr>
        <w:t>成交</w:t>
      </w:r>
      <w:r>
        <w:rPr>
          <w:rStyle w:val="94"/>
          <w:rFonts w:hint="eastAsia" w:ascii="仿宋" w:hAnsi="仿宋" w:eastAsia="仿宋" w:cs="仿宋"/>
          <w:color w:val="auto"/>
          <w:sz w:val="24"/>
          <w:szCs w:val="24"/>
        </w:rPr>
        <w:t>的，自动放弃</w:t>
      </w:r>
      <w:r>
        <w:rPr>
          <w:rStyle w:val="94"/>
          <w:rFonts w:hint="eastAsia" w:ascii="仿宋" w:hAnsi="仿宋" w:eastAsia="仿宋" w:cs="仿宋"/>
          <w:color w:val="auto"/>
          <w:sz w:val="24"/>
          <w:szCs w:val="24"/>
          <w:lang w:eastAsia="zh-CN"/>
        </w:rPr>
        <w:t>成交</w:t>
      </w:r>
      <w:r>
        <w:rPr>
          <w:rStyle w:val="94"/>
          <w:rFonts w:hint="eastAsia" w:ascii="仿宋" w:hAnsi="仿宋" w:eastAsia="仿宋" w:cs="仿宋"/>
          <w:color w:val="auto"/>
          <w:sz w:val="24"/>
          <w:szCs w:val="24"/>
        </w:rPr>
        <w:t>资格，并承担全部法律责任；给采购人造成损失的，依法承担赔偿责任。</w:t>
      </w:r>
    </w:p>
    <w:p>
      <w:pPr>
        <w:widowControl/>
        <w:autoSpaceDE w:val="0"/>
        <w:autoSpaceDN w:val="0"/>
        <w:adjustRightInd w:val="0"/>
        <w:spacing w:line="360" w:lineRule="auto"/>
        <w:ind w:right="-481" w:firstLine="420"/>
        <w:rPr>
          <w:rFonts w:hint="eastAsia" w:ascii="仿宋" w:hAnsi="仿宋" w:eastAsia="仿宋" w:cs="仿宋"/>
          <w:color w:val="auto"/>
          <w:kern w:val="1"/>
          <w:sz w:val="24"/>
          <w:szCs w:val="24"/>
        </w:rPr>
      </w:pPr>
    </w:p>
    <w:p>
      <w:pPr>
        <w:widowControl/>
        <w:autoSpaceDE w:val="0"/>
        <w:autoSpaceDN w:val="0"/>
        <w:adjustRightInd w:val="0"/>
        <w:spacing w:line="360" w:lineRule="auto"/>
        <w:ind w:right="-481"/>
        <w:rPr>
          <w:rFonts w:hint="eastAsia" w:ascii="仿宋" w:hAnsi="仿宋" w:eastAsia="仿宋" w:cs="仿宋"/>
          <w:color w:val="auto"/>
          <w:kern w:val="1"/>
          <w:sz w:val="24"/>
          <w:szCs w:val="24"/>
        </w:rPr>
      </w:pPr>
    </w:p>
    <w:p>
      <w:pPr>
        <w:widowControl/>
        <w:autoSpaceDE w:val="0"/>
        <w:autoSpaceDN w:val="0"/>
        <w:adjustRightInd w:val="0"/>
        <w:spacing w:line="360" w:lineRule="auto"/>
        <w:ind w:right="-481"/>
        <w:rPr>
          <w:rFonts w:hint="eastAsia" w:ascii="仿宋" w:hAnsi="仿宋" w:eastAsia="仿宋" w:cs="仿宋"/>
          <w:color w:val="auto"/>
          <w:kern w:val="1"/>
          <w:sz w:val="24"/>
          <w:szCs w:val="24"/>
        </w:rPr>
      </w:pPr>
    </w:p>
    <w:p>
      <w:pPr>
        <w:widowControl/>
        <w:autoSpaceDE w:val="0"/>
        <w:autoSpaceDN w:val="0"/>
        <w:adjustRightInd w:val="0"/>
        <w:spacing w:line="360" w:lineRule="auto"/>
        <w:ind w:right="-481"/>
        <w:rPr>
          <w:rFonts w:hint="eastAsia" w:ascii="仿宋" w:hAnsi="仿宋" w:eastAsia="仿宋" w:cs="仿宋"/>
          <w:color w:val="auto"/>
          <w:kern w:val="1"/>
          <w:sz w:val="24"/>
          <w:szCs w:val="24"/>
        </w:rPr>
      </w:pPr>
    </w:p>
    <w:p>
      <w:pPr>
        <w:widowControl/>
        <w:autoSpaceDE w:val="0"/>
        <w:autoSpaceDN w:val="0"/>
        <w:adjustRightInd w:val="0"/>
        <w:spacing w:line="360" w:lineRule="auto"/>
        <w:ind w:right="-481"/>
        <w:jc w:val="center"/>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 xml:space="preserve">                       供应商名称(盖公章)：</w:t>
      </w:r>
    </w:p>
    <w:p>
      <w:pPr>
        <w:widowControl/>
        <w:autoSpaceDE w:val="0"/>
        <w:autoSpaceDN w:val="0"/>
        <w:adjustRightInd w:val="0"/>
        <w:spacing w:line="360" w:lineRule="auto"/>
        <w:ind w:right="-481"/>
        <w:jc w:val="center"/>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 xml:space="preserve">                       法定代表人（签字）：</w:t>
      </w:r>
    </w:p>
    <w:p>
      <w:pPr>
        <w:widowControl/>
        <w:autoSpaceDE w:val="0"/>
        <w:autoSpaceDN w:val="0"/>
        <w:adjustRightInd w:val="0"/>
        <w:spacing w:line="360" w:lineRule="auto"/>
        <w:ind w:right="-481" w:firstLine="720"/>
        <w:jc w:val="center"/>
        <w:rPr>
          <w:rStyle w:val="94"/>
          <w:rFonts w:hint="eastAsia" w:ascii="仿宋" w:hAnsi="仿宋" w:eastAsia="仿宋" w:cs="仿宋"/>
          <w:color w:val="auto"/>
          <w:sz w:val="24"/>
          <w:szCs w:val="24"/>
        </w:rPr>
      </w:pPr>
      <w:r>
        <w:rPr>
          <w:rStyle w:val="94"/>
          <w:rFonts w:hint="eastAsia" w:ascii="仿宋" w:hAnsi="仿宋" w:eastAsia="仿宋" w:cs="仿宋"/>
          <w:color w:val="auto"/>
          <w:sz w:val="24"/>
          <w:szCs w:val="24"/>
        </w:rPr>
        <w:t xml:space="preserve">                 年   月   日</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center"/>
        <w:textAlignment w:val="auto"/>
        <w:rPr>
          <w:rFonts w:hint="eastAsia" w:ascii="仿宋" w:hAnsi="仿宋" w:eastAsia="仿宋" w:cs="仿宋"/>
          <w:color w:val="auto"/>
          <w:kern w:val="1"/>
          <w:sz w:val="28"/>
          <w:szCs w:val="28"/>
          <w:lang w:val="en-US" w:eastAsia="zh-CN" w:bidi="ar-SA"/>
        </w:rPr>
      </w:pPr>
      <w:r>
        <w:rPr>
          <w:rFonts w:hint="eastAsia" w:ascii="仿宋" w:hAnsi="仿宋" w:eastAsia="仿宋" w:cs="仿宋"/>
          <w:color w:val="auto"/>
          <w:kern w:val="1"/>
          <w:sz w:val="24"/>
          <w:szCs w:val="24"/>
        </w:rPr>
        <w:br w:type="page"/>
      </w:r>
      <w:r>
        <w:rPr>
          <w:rFonts w:hint="eastAsia" w:ascii="仿宋" w:hAnsi="仿宋" w:eastAsia="仿宋" w:cs="仿宋"/>
          <w:color w:val="auto"/>
          <w:kern w:val="1"/>
          <w:sz w:val="28"/>
          <w:szCs w:val="28"/>
          <w:lang w:val="en-US" w:eastAsia="zh-CN" w:bidi="ar-SA"/>
        </w:rPr>
        <w:t>十四、中小企业声明函</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center"/>
        <w:textAlignment w:val="auto"/>
        <w:rPr>
          <w:rFonts w:hint="eastAsia" w:ascii="仿宋" w:hAnsi="仿宋" w:eastAsia="仿宋" w:cs="仿宋"/>
          <w:color w:val="auto"/>
          <w:kern w:val="1"/>
          <w:sz w:val="28"/>
          <w:szCs w:val="28"/>
          <w:lang w:val="en-US" w:eastAsia="zh-CN" w:bidi="ar-SA"/>
        </w:rPr>
      </w:pPr>
      <w:r>
        <w:rPr>
          <w:rFonts w:hint="eastAsia" w:ascii="仿宋" w:hAnsi="仿宋" w:eastAsia="仿宋" w:cs="仿宋"/>
          <w:color w:val="auto"/>
          <w:kern w:val="1"/>
          <w:sz w:val="28"/>
          <w:szCs w:val="28"/>
          <w:lang w:val="en-US" w:eastAsia="zh-CN" w:bidi="ar-SA"/>
        </w:rPr>
        <w:t>（提供中小微企业库查询截图）</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color w:val="auto"/>
          <w:kern w:val="1"/>
          <w:sz w:val="28"/>
          <w:szCs w:val="28"/>
          <w:lang w:val="en-US" w:eastAsia="zh-CN" w:bidi="ar-SA"/>
        </w:rPr>
      </w:pPr>
      <w:r>
        <w:rPr>
          <w:rFonts w:hint="eastAsia" w:ascii="仿宋" w:hAnsi="仿宋" w:eastAsia="仿宋" w:cs="仿宋"/>
          <w:color w:val="auto"/>
          <w:kern w:val="1"/>
          <w:sz w:val="28"/>
          <w:szCs w:val="28"/>
          <w:lang w:val="en-US" w:eastAsia="zh-CN" w:bidi="ar-SA"/>
        </w:rPr>
        <w:t>本公司（联合体）郑重声明，根据《政府采购促进中小企业发展管理办法》（财库﹝2020﹞46 号）的规定，本公司 （联合体）参加</w:t>
      </w:r>
      <w:r>
        <w:rPr>
          <w:rFonts w:hint="eastAsia" w:ascii="仿宋" w:hAnsi="仿宋" w:eastAsia="仿宋" w:cs="仿宋"/>
          <w:color w:val="auto"/>
          <w:kern w:val="1"/>
          <w:sz w:val="28"/>
          <w:szCs w:val="28"/>
          <w:u w:val="single"/>
          <w:lang w:val="en-US" w:eastAsia="zh-CN" w:bidi="ar-SA"/>
        </w:rPr>
        <w:t>（单位名称）</w:t>
      </w:r>
      <w:r>
        <w:rPr>
          <w:rFonts w:hint="eastAsia" w:ascii="仿宋" w:hAnsi="仿宋" w:eastAsia="仿宋" w:cs="仿宋"/>
          <w:color w:val="auto"/>
          <w:kern w:val="1"/>
          <w:sz w:val="28"/>
          <w:szCs w:val="28"/>
          <w:lang w:val="en-US" w:eastAsia="zh-CN" w:bidi="ar-SA"/>
        </w:rPr>
        <w:t>的</w:t>
      </w:r>
      <w:r>
        <w:rPr>
          <w:rFonts w:hint="eastAsia" w:ascii="仿宋" w:hAnsi="仿宋" w:eastAsia="仿宋" w:cs="仿宋"/>
          <w:color w:val="auto"/>
          <w:kern w:val="1"/>
          <w:sz w:val="28"/>
          <w:szCs w:val="28"/>
          <w:u w:val="single"/>
          <w:lang w:val="en-US" w:eastAsia="zh-CN" w:bidi="ar-SA"/>
        </w:rPr>
        <w:t>（项目名称）</w:t>
      </w:r>
      <w:r>
        <w:rPr>
          <w:rFonts w:hint="eastAsia" w:ascii="仿宋" w:hAnsi="仿宋" w:eastAsia="仿宋" w:cs="仿宋"/>
          <w:color w:val="auto"/>
          <w:kern w:val="1"/>
          <w:sz w:val="28"/>
          <w:szCs w:val="28"/>
          <w:lang w:val="en-US" w:eastAsia="zh-CN" w:bidi="ar-SA"/>
        </w:rPr>
        <w:t>采购活动，提供的货物全部由符合政策要求的中小企业制造。相关企业 （含联合体中的中小企业、签订分包意向协议的中小企业）的具体情况如下：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color w:val="auto"/>
          <w:kern w:val="1"/>
          <w:sz w:val="28"/>
          <w:szCs w:val="28"/>
          <w:lang w:val="en-US" w:eastAsia="zh-CN" w:bidi="ar-SA"/>
        </w:rPr>
      </w:pPr>
      <w:r>
        <w:rPr>
          <w:rFonts w:hint="eastAsia" w:ascii="仿宋" w:hAnsi="仿宋" w:eastAsia="仿宋" w:cs="仿宋"/>
          <w:color w:val="auto"/>
          <w:kern w:val="1"/>
          <w:sz w:val="28"/>
          <w:szCs w:val="28"/>
          <w:lang w:val="en-US" w:eastAsia="zh-CN" w:bidi="ar-SA"/>
        </w:rPr>
        <w:t xml:space="preserve">1. </w:t>
      </w:r>
      <w:r>
        <w:rPr>
          <w:rFonts w:hint="eastAsia" w:ascii="仿宋" w:hAnsi="仿宋" w:eastAsia="仿宋" w:cs="仿宋"/>
          <w:color w:val="auto"/>
          <w:kern w:val="1"/>
          <w:sz w:val="28"/>
          <w:szCs w:val="28"/>
          <w:u w:val="single"/>
          <w:lang w:val="en-US" w:eastAsia="zh-CN" w:bidi="ar-SA"/>
        </w:rPr>
        <w:t xml:space="preserve">（标的名称） </w:t>
      </w:r>
      <w:r>
        <w:rPr>
          <w:rFonts w:hint="eastAsia" w:ascii="仿宋" w:hAnsi="仿宋" w:eastAsia="仿宋" w:cs="仿宋"/>
          <w:color w:val="auto"/>
          <w:kern w:val="1"/>
          <w:sz w:val="28"/>
          <w:szCs w:val="28"/>
          <w:lang w:val="en-US" w:eastAsia="zh-CN" w:bidi="ar-SA"/>
        </w:rPr>
        <w:t>，属于</w:t>
      </w:r>
      <w:r>
        <w:rPr>
          <w:rFonts w:hint="eastAsia" w:ascii="仿宋" w:hAnsi="仿宋" w:eastAsia="仿宋" w:cs="仿宋"/>
          <w:color w:val="auto"/>
          <w:kern w:val="1"/>
          <w:sz w:val="28"/>
          <w:szCs w:val="28"/>
          <w:u w:val="single"/>
          <w:lang w:val="en-US" w:eastAsia="zh-CN" w:bidi="ar-SA"/>
        </w:rPr>
        <w:t xml:space="preserve"> </w:t>
      </w:r>
      <w:r>
        <w:rPr>
          <w:rFonts w:hint="eastAsia" w:ascii="仿宋" w:hAnsi="仿宋" w:eastAsia="仿宋" w:cs="仿宋"/>
          <w:color w:val="auto"/>
          <w:kern w:val="1"/>
          <w:sz w:val="28"/>
          <w:szCs w:val="28"/>
          <w:u w:val="single"/>
          <w:lang w:val="en-US" w:eastAsia="zh-CN" w:bidi="ar-SA"/>
        </w:rPr>
        <w:t>环卫车</w:t>
      </w:r>
      <w:r>
        <w:rPr>
          <w:rFonts w:hint="eastAsia" w:ascii="仿宋" w:hAnsi="仿宋" w:eastAsia="仿宋" w:cs="仿宋"/>
          <w:color w:val="auto"/>
          <w:kern w:val="1"/>
          <w:sz w:val="28"/>
          <w:szCs w:val="28"/>
          <w:u w:val="single"/>
          <w:lang w:val="en-US" w:eastAsia="zh-CN" w:bidi="ar-SA"/>
        </w:rPr>
        <w:t xml:space="preserve"> </w:t>
      </w:r>
      <w:r>
        <w:rPr>
          <w:rFonts w:hint="eastAsia" w:ascii="仿宋" w:hAnsi="仿宋" w:eastAsia="仿宋" w:cs="仿宋"/>
          <w:color w:val="auto"/>
          <w:kern w:val="1"/>
          <w:sz w:val="28"/>
          <w:szCs w:val="28"/>
          <w:lang w:val="en-US" w:eastAsia="zh-CN" w:bidi="ar-SA"/>
        </w:rPr>
        <w:t>行业；制造商为</w:t>
      </w:r>
      <w:r>
        <w:rPr>
          <w:rFonts w:hint="eastAsia" w:ascii="仿宋" w:hAnsi="仿宋" w:eastAsia="仿宋" w:cs="仿宋"/>
          <w:color w:val="auto"/>
          <w:kern w:val="1"/>
          <w:sz w:val="28"/>
          <w:szCs w:val="28"/>
          <w:u w:val="single"/>
          <w:lang w:val="en-US" w:eastAsia="zh-CN" w:bidi="ar-SA"/>
        </w:rPr>
        <w:t>（企业名称）</w:t>
      </w:r>
      <w:r>
        <w:rPr>
          <w:rFonts w:hint="eastAsia" w:ascii="仿宋" w:hAnsi="仿宋" w:eastAsia="仿宋" w:cs="仿宋"/>
          <w:color w:val="auto"/>
          <w:kern w:val="1"/>
          <w:sz w:val="28"/>
          <w:szCs w:val="28"/>
          <w:lang w:val="en-US" w:eastAsia="zh-CN" w:bidi="ar-SA"/>
        </w:rPr>
        <w:t>，从业人员</w:t>
      </w:r>
      <w:r>
        <w:rPr>
          <w:rFonts w:hint="eastAsia" w:ascii="仿宋" w:hAnsi="仿宋" w:eastAsia="仿宋" w:cs="仿宋"/>
          <w:color w:val="auto"/>
          <w:kern w:val="1"/>
          <w:sz w:val="28"/>
          <w:szCs w:val="28"/>
          <w:u w:val="single"/>
          <w:lang w:val="en-US" w:eastAsia="zh-CN" w:bidi="ar-SA"/>
        </w:rPr>
        <w:t xml:space="preserve">    </w:t>
      </w:r>
      <w:r>
        <w:rPr>
          <w:rFonts w:hint="eastAsia" w:ascii="仿宋" w:hAnsi="仿宋" w:eastAsia="仿宋" w:cs="仿宋"/>
          <w:color w:val="auto"/>
          <w:kern w:val="1"/>
          <w:sz w:val="28"/>
          <w:szCs w:val="28"/>
          <w:lang w:val="en-US" w:eastAsia="zh-CN" w:bidi="ar-SA"/>
        </w:rPr>
        <w:t>人，营业收入为</w:t>
      </w:r>
      <w:r>
        <w:rPr>
          <w:rFonts w:hint="eastAsia" w:ascii="仿宋" w:hAnsi="仿宋" w:eastAsia="仿宋" w:cs="仿宋"/>
          <w:color w:val="auto"/>
          <w:kern w:val="1"/>
          <w:sz w:val="28"/>
          <w:szCs w:val="28"/>
          <w:u w:val="single"/>
          <w:lang w:val="en-US" w:eastAsia="zh-CN" w:bidi="ar-SA"/>
        </w:rPr>
        <w:t xml:space="preserve">   </w:t>
      </w:r>
      <w:r>
        <w:rPr>
          <w:rFonts w:hint="eastAsia" w:ascii="仿宋" w:hAnsi="仿宋" w:eastAsia="仿宋" w:cs="仿宋"/>
          <w:color w:val="auto"/>
          <w:kern w:val="1"/>
          <w:sz w:val="28"/>
          <w:szCs w:val="28"/>
          <w:lang w:val="en-US" w:eastAsia="zh-CN" w:bidi="ar-SA"/>
        </w:rPr>
        <w:t>万元，资产总额为</w:t>
      </w:r>
      <w:r>
        <w:rPr>
          <w:rFonts w:hint="eastAsia" w:ascii="仿宋" w:hAnsi="仿宋" w:eastAsia="仿宋" w:cs="仿宋"/>
          <w:color w:val="auto"/>
          <w:kern w:val="1"/>
          <w:sz w:val="28"/>
          <w:szCs w:val="28"/>
          <w:u w:val="single"/>
          <w:lang w:val="en-US" w:eastAsia="zh-CN" w:bidi="ar-SA"/>
        </w:rPr>
        <w:t xml:space="preserve">   </w:t>
      </w:r>
      <w:r>
        <w:rPr>
          <w:rFonts w:hint="eastAsia" w:ascii="仿宋" w:hAnsi="仿宋" w:eastAsia="仿宋" w:cs="仿宋"/>
          <w:color w:val="auto"/>
          <w:kern w:val="1"/>
          <w:sz w:val="28"/>
          <w:szCs w:val="28"/>
          <w:lang w:val="en-US" w:eastAsia="zh-CN" w:bidi="ar-SA"/>
        </w:rPr>
        <w:t>万元¹，属于（</w:t>
      </w:r>
      <w:r>
        <w:rPr>
          <w:rFonts w:hint="eastAsia" w:ascii="仿宋" w:hAnsi="仿宋" w:eastAsia="仿宋" w:cs="仿宋"/>
          <w:color w:val="auto"/>
          <w:kern w:val="1"/>
          <w:sz w:val="28"/>
          <w:szCs w:val="28"/>
          <w:u w:val="single"/>
          <w:lang w:val="en-US" w:eastAsia="zh-CN" w:bidi="ar-SA"/>
        </w:rPr>
        <w:t>中型企业、小型企业、微型企业</w:t>
      </w:r>
      <w:r>
        <w:rPr>
          <w:rFonts w:hint="eastAsia" w:ascii="仿宋" w:hAnsi="仿宋" w:eastAsia="仿宋" w:cs="仿宋"/>
          <w:color w:val="auto"/>
          <w:kern w:val="1"/>
          <w:sz w:val="28"/>
          <w:szCs w:val="28"/>
          <w:lang w:val="en-US" w:eastAsia="zh-CN" w:bidi="ar-SA"/>
        </w:rPr>
        <w:t>）；</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color w:val="auto"/>
          <w:kern w:val="1"/>
          <w:sz w:val="28"/>
          <w:szCs w:val="28"/>
          <w:lang w:val="en-US" w:eastAsia="zh-CN" w:bidi="ar-SA"/>
        </w:rPr>
      </w:pPr>
      <w:r>
        <w:rPr>
          <w:rFonts w:hint="eastAsia" w:ascii="仿宋" w:hAnsi="仿宋" w:eastAsia="仿宋" w:cs="仿宋"/>
          <w:color w:val="auto"/>
          <w:kern w:val="1"/>
          <w:sz w:val="28"/>
          <w:szCs w:val="28"/>
          <w:lang w:val="en-US" w:eastAsia="zh-CN" w:bidi="ar-SA"/>
        </w:rPr>
        <w:t xml:space="preserve">2. </w:t>
      </w:r>
      <w:r>
        <w:rPr>
          <w:rFonts w:hint="eastAsia" w:ascii="仿宋" w:hAnsi="仿宋" w:eastAsia="仿宋" w:cs="仿宋"/>
          <w:color w:val="auto"/>
          <w:kern w:val="1"/>
          <w:sz w:val="28"/>
          <w:szCs w:val="28"/>
          <w:u w:val="single"/>
          <w:lang w:val="en-US" w:eastAsia="zh-CN" w:bidi="ar-SA"/>
        </w:rPr>
        <w:t xml:space="preserve">（标的名称） </w:t>
      </w:r>
      <w:r>
        <w:rPr>
          <w:rFonts w:hint="eastAsia" w:ascii="仿宋" w:hAnsi="仿宋" w:eastAsia="仿宋" w:cs="仿宋"/>
          <w:color w:val="auto"/>
          <w:kern w:val="1"/>
          <w:sz w:val="28"/>
          <w:szCs w:val="28"/>
          <w:lang w:val="en-US" w:eastAsia="zh-CN" w:bidi="ar-SA"/>
        </w:rPr>
        <w:t>，属于</w:t>
      </w:r>
      <w:r>
        <w:rPr>
          <w:rFonts w:hint="eastAsia" w:ascii="仿宋" w:hAnsi="仿宋" w:eastAsia="仿宋" w:cs="仿宋"/>
          <w:color w:val="auto"/>
          <w:kern w:val="1"/>
          <w:sz w:val="28"/>
          <w:szCs w:val="28"/>
          <w:u w:val="single"/>
          <w:lang w:val="en-US" w:eastAsia="zh-CN" w:bidi="ar-SA"/>
        </w:rPr>
        <w:t>（采购文件中明确的所属行业）</w:t>
      </w:r>
      <w:r>
        <w:rPr>
          <w:rFonts w:hint="eastAsia" w:ascii="仿宋" w:hAnsi="仿宋" w:eastAsia="仿宋" w:cs="仿宋"/>
          <w:color w:val="auto"/>
          <w:kern w:val="1"/>
          <w:sz w:val="28"/>
          <w:szCs w:val="28"/>
          <w:lang w:val="en-US" w:eastAsia="zh-CN" w:bidi="ar-SA"/>
        </w:rPr>
        <w:t>行业；制造商为</w:t>
      </w:r>
      <w:r>
        <w:rPr>
          <w:rFonts w:hint="eastAsia" w:ascii="仿宋" w:hAnsi="仿宋" w:eastAsia="仿宋" w:cs="仿宋"/>
          <w:color w:val="auto"/>
          <w:kern w:val="1"/>
          <w:sz w:val="28"/>
          <w:szCs w:val="28"/>
          <w:u w:val="single"/>
          <w:lang w:val="en-US" w:eastAsia="zh-CN" w:bidi="ar-SA"/>
        </w:rPr>
        <w:t>（企业名称）</w:t>
      </w:r>
      <w:r>
        <w:rPr>
          <w:rFonts w:hint="eastAsia" w:ascii="仿宋" w:hAnsi="仿宋" w:eastAsia="仿宋" w:cs="仿宋"/>
          <w:color w:val="auto"/>
          <w:kern w:val="1"/>
          <w:sz w:val="28"/>
          <w:szCs w:val="28"/>
          <w:lang w:val="en-US" w:eastAsia="zh-CN" w:bidi="ar-SA"/>
        </w:rPr>
        <w:t>，从业人员</w:t>
      </w:r>
      <w:r>
        <w:rPr>
          <w:rFonts w:hint="eastAsia" w:ascii="仿宋" w:hAnsi="仿宋" w:eastAsia="仿宋" w:cs="仿宋"/>
          <w:color w:val="auto"/>
          <w:kern w:val="1"/>
          <w:sz w:val="28"/>
          <w:szCs w:val="28"/>
          <w:u w:val="single"/>
          <w:lang w:val="en-US" w:eastAsia="zh-CN" w:bidi="ar-SA"/>
        </w:rPr>
        <w:t xml:space="preserve">    </w:t>
      </w:r>
      <w:r>
        <w:rPr>
          <w:rFonts w:hint="eastAsia" w:ascii="仿宋" w:hAnsi="仿宋" w:eastAsia="仿宋" w:cs="仿宋"/>
          <w:color w:val="auto"/>
          <w:kern w:val="1"/>
          <w:sz w:val="28"/>
          <w:szCs w:val="28"/>
          <w:lang w:val="en-US" w:eastAsia="zh-CN" w:bidi="ar-SA"/>
        </w:rPr>
        <w:t>人，营业收入为</w:t>
      </w:r>
      <w:r>
        <w:rPr>
          <w:rFonts w:hint="eastAsia" w:ascii="仿宋" w:hAnsi="仿宋" w:eastAsia="仿宋" w:cs="仿宋"/>
          <w:color w:val="auto"/>
          <w:kern w:val="1"/>
          <w:sz w:val="28"/>
          <w:szCs w:val="28"/>
          <w:u w:val="single"/>
          <w:lang w:val="en-US" w:eastAsia="zh-CN" w:bidi="ar-SA"/>
        </w:rPr>
        <w:t xml:space="preserve">   </w:t>
      </w:r>
      <w:r>
        <w:rPr>
          <w:rFonts w:hint="eastAsia" w:ascii="仿宋" w:hAnsi="仿宋" w:eastAsia="仿宋" w:cs="仿宋"/>
          <w:color w:val="auto"/>
          <w:kern w:val="1"/>
          <w:sz w:val="28"/>
          <w:szCs w:val="28"/>
          <w:lang w:val="en-US" w:eastAsia="zh-CN" w:bidi="ar-SA"/>
        </w:rPr>
        <w:t>万元，资产总额为</w:t>
      </w:r>
      <w:r>
        <w:rPr>
          <w:rFonts w:hint="eastAsia" w:ascii="仿宋" w:hAnsi="仿宋" w:eastAsia="仿宋" w:cs="仿宋"/>
          <w:color w:val="auto"/>
          <w:kern w:val="1"/>
          <w:sz w:val="28"/>
          <w:szCs w:val="28"/>
          <w:u w:val="single"/>
          <w:lang w:val="en-US" w:eastAsia="zh-CN" w:bidi="ar-SA"/>
        </w:rPr>
        <w:t xml:space="preserve">   </w:t>
      </w:r>
      <w:r>
        <w:rPr>
          <w:rFonts w:hint="eastAsia" w:ascii="仿宋" w:hAnsi="仿宋" w:eastAsia="仿宋" w:cs="仿宋"/>
          <w:color w:val="auto"/>
          <w:kern w:val="1"/>
          <w:sz w:val="28"/>
          <w:szCs w:val="28"/>
          <w:lang w:val="en-US" w:eastAsia="zh-CN" w:bidi="ar-SA"/>
        </w:rPr>
        <w:t>万元¹，属于（</w:t>
      </w:r>
      <w:r>
        <w:rPr>
          <w:rFonts w:hint="eastAsia" w:ascii="仿宋" w:hAnsi="仿宋" w:eastAsia="仿宋" w:cs="仿宋"/>
          <w:color w:val="auto"/>
          <w:kern w:val="1"/>
          <w:sz w:val="28"/>
          <w:szCs w:val="28"/>
          <w:u w:val="single"/>
          <w:lang w:val="en-US" w:eastAsia="zh-CN" w:bidi="ar-SA"/>
        </w:rPr>
        <w:t>中型企业、小型企业、微型企业</w:t>
      </w:r>
      <w:r>
        <w:rPr>
          <w:rFonts w:hint="eastAsia" w:ascii="仿宋" w:hAnsi="仿宋" w:eastAsia="仿宋" w:cs="仿宋"/>
          <w:color w:val="auto"/>
          <w:kern w:val="1"/>
          <w:sz w:val="28"/>
          <w:szCs w:val="28"/>
          <w:lang w:val="en-US" w:eastAsia="zh-CN" w:bidi="ar-SA"/>
        </w:rPr>
        <w:t>）；</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color w:val="auto"/>
          <w:kern w:val="1"/>
          <w:sz w:val="28"/>
          <w:szCs w:val="28"/>
          <w:lang w:val="en-US" w:eastAsia="zh-CN" w:bidi="ar-SA"/>
        </w:rPr>
      </w:pPr>
      <w:r>
        <w:rPr>
          <w:rFonts w:hint="eastAsia" w:ascii="仿宋" w:hAnsi="仿宋" w:eastAsia="仿宋" w:cs="仿宋"/>
          <w:color w:val="auto"/>
          <w:kern w:val="1"/>
          <w:sz w:val="28"/>
          <w:szCs w:val="28"/>
          <w:lang w:val="en-US" w:eastAsia="zh-CN" w:bidi="ar-SA"/>
        </w:rPr>
        <w:t>……</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color w:val="auto"/>
          <w:kern w:val="1"/>
          <w:sz w:val="28"/>
          <w:szCs w:val="28"/>
          <w:lang w:val="en-US" w:eastAsia="zh-CN" w:bidi="ar-SA"/>
        </w:rPr>
      </w:pPr>
      <w:r>
        <w:rPr>
          <w:rFonts w:hint="eastAsia" w:ascii="仿宋" w:hAnsi="仿宋" w:eastAsia="仿宋" w:cs="仿宋"/>
          <w:color w:val="auto"/>
          <w:kern w:val="1"/>
          <w:sz w:val="28"/>
          <w:szCs w:val="28"/>
          <w:lang w:val="en-US" w:eastAsia="zh-CN" w:bidi="ar-SA"/>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8"/>
          <w:szCs w:val="28"/>
          <w:lang w:val="en-US" w:eastAsia="zh-CN" w:bidi="ar-SA"/>
        </w:rPr>
        <w:t>本企业对上述声明内容的真实性负责。如有虚假，将依法承担相应责任。</w:t>
      </w:r>
    </w:p>
    <w:p>
      <w:pPr>
        <w:pStyle w:val="25"/>
        <w:jc w:val="both"/>
        <w:rPr>
          <w:rFonts w:hint="eastAsia" w:ascii="仿宋" w:hAnsi="仿宋" w:eastAsia="仿宋" w:cs="仿宋"/>
          <w:color w:val="auto"/>
          <w:kern w:val="1"/>
          <w:sz w:val="24"/>
          <w:szCs w:val="24"/>
          <w:lang w:val="en-US" w:eastAsia="zh-CN"/>
        </w:rPr>
      </w:pPr>
    </w:p>
    <w:p>
      <w:pPr>
        <w:pStyle w:val="25"/>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 xml:space="preserve">企业名称（盖章）： </w:t>
      </w:r>
    </w:p>
    <w:p>
      <w:pPr>
        <w:pStyle w:val="25"/>
        <w:jc w:val="center"/>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 xml:space="preserve">                                 日 期： </w:t>
      </w:r>
    </w:p>
    <w:p>
      <w:pPr>
        <w:pStyle w:val="25"/>
        <w:jc w:val="left"/>
        <w:rPr>
          <w:rFonts w:hint="eastAsia" w:ascii="仿宋" w:hAnsi="仿宋" w:eastAsia="仿宋" w:cs="仿宋"/>
          <w:color w:val="auto"/>
          <w:kern w:val="1"/>
          <w:sz w:val="24"/>
          <w:szCs w:val="24"/>
          <w:lang w:val="en-US" w:eastAsia="zh-CN"/>
        </w:rPr>
      </w:pPr>
    </w:p>
    <w:p>
      <w:pPr>
        <w:pStyle w:val="25"/>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备注:供应商如不提供此声明函，价格将不做相应扣除。</w:t>
      </w:r>
    </w:p>
    <w:p>
      <w:pPr>
        <w:pStyle w:val="25"/>
        <w:ind w:left="0" w:leftChars="0" w:firstLine="0" w:firstLineChars="0"/>
        <w:jc w:val="both"/>
        <w:rPr>
          <w:rFonts w:hint="eastAsia" w:ascii="仿宋" w:hAnsi="仿宋" w:eastAsia="仿宋" w:cs="仿宋"/>
          <w:color w:val="auto"/>
          <w:kern w:val="1"/>
          <w:sz w:val="24"/>
          <w:szCs w:val="24"/>
          <w:lang w:val="en-US" w:eastAsia="zh-CN"/>
        </w:rPr>
      </w:pPr>
    </w:p>
    <w:p>
      <w:pPr>
        <w:pStyle w:val="25"/>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en-US" w:eastAsia="zh-CN"/>
        </w:rPr>
        <w:t>¹从业人员、营业收入、资产总额填报上一年度数据，无上一年度数据的新成立的企业可不填报。</w:t>
      </w:r>
    </w:p>
    <w:p>
      <w:pPr>
        <w:pStyle w:val="25"/>
        <w:jc w:val="center"/>
        <w:rPr>
          <w:rFonts w:hint="eastAsia" w:ascii="仿宋" w:hAnsi="仿宋" w:eastAsia="仿宋" w:cs="仿宋"/>
          <w:color w:val="auto"/>
          <w:kern w:val="1"/>
          <w:sz w:val="24"/>
          <w:szCs w:val="24"/>
        </w:rPr>
        <w:sectPr>
          <w:footerReference r:id="rId8" w:type="default"/>
          <w:pgSz w:w="11906" w:h="16838"/>
          <w:pgMar w:top="1440" w:right="1803" w:bottom="1440" w:left="1803" w:header="850" w:footer="992" w:gutter="0"/>
          <w:pgNumType w:fmt="decimal"/>
          <w:cols w:space="720" w:num="1"/>
          <w:rtlGutter w:val="0"/>
          <w:docGrid w:type="lines" w:linePitch="312" w:charSpace="0"/>
        </w:sectPr>
      </w:pPr>
    </w:p>
    <w:p>
      <w:pPr>
        <w:pStyle w:val="10"/>
        <w:spacing w:line="360" w:lineRule="auto"/>
        <w:ind w:left="0" w:leftChars="0" w:firstLine="0" w:firstLineChars="0"/>
        <w:jc w:val="center"/>
        <w:rPr>
          <w:rFonts w:hint="eastAsia" w:ascii="仿宋" w:hAnsi="仿宋" w:eastAsia="仿宋" w:cs="仿宋"/>
          <w:b/>
          <w:color w:val="auto"/>
          <w:kern w:val="0"/>
          <w:sz w:val="36"/>
          <w:szCs w:val="36"/>
          <w:lang w:val="en-US" w:eastAsia="zh-CN" w:bidi="ar"/>
        </w:rPr>
      </w:pPr>
      <w:r>
        <w:rPr>
          <w:rFonts w:hint="eastAsia" w:ascii="仿宋" w:hAnsi="仿宋" w:eastAsia="仿宋" w:cs="仿宋"/>
          <w:b/>
          <w:color w:val="auto"/>
          <w:kern w:val="0"/>
          <w:sz w:val="36"/>
          <w:szCs w:val="36"/>
          <w:lang w:val="en-US" w:eastAsia="zh-CN" w:bidi="ar"/>
        </w:rPr>
        <w:t xml:space="preserve"> </w:t>
      </w:r>
      <w:r>
        <w:rPr>
          <w:rFonts w:hint="eastAsia" w:ascii="仿宋" w:hAnsi="仿宋" w:eastAsia="仿宋" w:cs="仿宋"/>
          <w:color w:val="auto"/>
          <w:kern w:val="1"/>
          <w:sz w:val="28"/>
          <w:szCs w:val="28"/>
          <w:lang w:val="en-US" w:eastAsia="zh-CN" w:bidi="ar-SA"/>
        </w:rPr>
        <w:t>十五、残疾人福利性单位声明函（若有）</w:t>
      </w:r>
    </w:p>
    <w:p>
      <w:pPr>
        <w:pStyle w:val="10"/>
        <w:spacing w:line="360" w:lineRule="auto"/>
        <w:ind w:left="0" w:leftChars="0" w:firstLine="480" w:firstLineChars="200"/>
        <w:rPr>
          <w:rFonts w:hint="eastAsia" w:ascii="仿宋" w:hAnsi="仿宋" w:eastAsia="仿宋" w:cs="仿宋"/>
          <w:color w:val="auto"/>
          <w:sz w:val="24"/>
          <w:szCs w:val="24"/>
          <w:lang w:val="en-US" w:eastAsia="zh-CN"/>
        </w:rPr>
      </w:pPr>
    </w:p>
    <w:p>
      <w:pPr>
        <w:pStyle w:val="10"/>
        <w:spacing w:line="360" w:lineRule="auto"/>
        <w:ind w:left="0" w:leftChars="0" w:firstLine="480" w:firstLineChars="200"/>
        <w:rPr>
          <w:rStyle w:val="94"/>
          <w:rFonts w:hint="eastAsia" w:ascii="仿宋" w:hAnsi="仿宋" w:eastAsia="仿宋" w:cs="仿宋"/>
          <w:color w:val="auto"/>
          <w:sz w:val="24"/>
          <w:szCs w:val="24"/>
          <w:lang w:val="en-US" w:eastAsia="zh-CN" w:bidi="ar-SA"/>
        </w:rPr>
      </w:pPr>
      <w:r>
        <w:rPr>
          <w:rStyle w:val="94"/>
          <w:rFonts w:hint="eastAsia" w:ascii="仿宋" w:hAnsi="仿宋" w:eastAsia="仿宋" w:cs="仿宋"/>
          <w:color w:val="auto"/>
          <w:sz w:val="24"/>
          <w:szCs w:val="24"/>
          <w:lang w:val="en-US" w:eastAsia="zh-CN" w:bidi="ar-SA"/>
        </w:rPr>
        <w:t>本单位郑重声明，根据《财政部民政部中国残疾人联合会关于促进残疾人就业政府采购政策的通知》（财库〔2017)141号）的规定，本单位为符合条件的残疾人福利性单位，且本单位参加________单位的采购文件编号为________的项目采购活动提供本单位制造的服务或产品（由本单位承担采购内容/提供服务），或者提供其他残疾人福利性单位制造的服务或产品(不包括使用非残疾人福利性单位注册商标的服务或产品）。</w:t>
      </w:r>
    </w:p>
    <w:p>
      <w:pPr>
        <w:pStyle w:val="10"/>
        <w:spacing w:line="360" w:lineRule="auto"/>
        <w:rPr>
          <w:rStyle w:val="94"/>
          <w:rFonts w:hint="eastAsia" w:ascii="仿宋" w:hAnsi="仿宋" w:eastAsia="仿宋" w:cs="仿宋"/>
          <w:color w:val="auto"/>
          <w:sz w:val="24"/>
          <w:szCs w:val="24"/>
          <w:lang w:val="en-US" w:eastAsia="zh-CN" w:bidi="ar-SA"/>
        </w:rPr>
      </w:pPr>
      <w:r>
        <w:rPr>
          <w:rStyle w:val="94"/>
          <w:rFonts w:hint="eastAsia" w:ascii="仿宋" w:hAnsi="仿宋" w:eastAsia="仿宋" w:cs="仿宋"/>
          <w:color w:val="auto"/>
          <w:sz w:val="24"/>
          <w:szCs w:val="24"/>
          <w:lang w:val="en-US" w:eastAsia="zh-CN" w:bidi="ar-SA"/>
        </w:rPr>
        <w:t>本单位在本次政府采购活动中提供的残疾人福利单位产品报价合计为人民币（大写）____________（小写:_________)。</w:t>
      </w:r>
    </w:p>
    <w:p>
      <w:pPr>
        <w:pStyle w:val="10"/>
        <w:spacing w:line="360" w:lineRule="auto"/>
        <w:rPr>
          <w:rStyle w:val="94"/>
          <w:rFonts w:hint="eastAsia" w:ascii="仿宋" w:hAnsi="仿宋" w:eastAsia="仿宋" w:cs="仿宋"/>
          <w:color w:val="auto"/>
          <w:sz w:val="24"/>
          <w:szCs w:val="24"/>
          <w:lang w:val="en-US" w:eastAsia="zh-CN" w:bidi="ar-SA"/>
        </w:rPr>
      </w:pPr>
      <w:r>
        <w:rPr>
          <w:rStyle w:val="94"/>
          <w:rFonts w:hint="eastAsia" w:ascii="仿宋" w:hAnsi="仿宋" w:eastAsia="仿宋" w:cs="仿宋"/>
          <w:color w:val="auto"/>
          <w:sz w:val="24"/>
          <w:szCs w:val="24"/>
          <w:lang w:val="en-US" w:eastAsia="zh-CN" w:bidi="ar-SA"/>
        </w:rPr>
        <w:t>本单位对上述声明的真实性负责。如有虚假，将依法承担相应责任。</w:t>
      </w:r>
    </w:p>
    <w:p>
      <w:pPr>
        <w:pStyle w:val="10"/>
        <w:spacing w:line="360" w:lineRule="auto"/>
        <w:rPr>
          <w:rStyle w:val="94"/>
          <w:rFonts w:hint="eastAsia" w:ascii="仿宋" w:hAnsi="仿宋" w:eastAsia="仿宋" w:cs="仿宋"/>
          <w:color w:val="auto"/>
          <w:sz w:val="24"/>
          <w:szCs w:val="24"/>
          <w:lang w:val="en-US" w:eastAsia="zh-CN" w:bidi="ar-SA"/>
        </w:rPr>
      </w:pPr>
    </w:p>
    <w:p>
      <w:pPr>
        <w:pStyle w:val="10"/>
        <w:spacing w:line="360" w:lineRule="auto"/>
        <w:rPr>
          <w:rStyle w:val="94"/>
          <w:rFonts w:hint="eastAsia" w:ascii="仿宋" w:hAnsi="仿宋" w:eastAsia="仿宋" w:cs="仿宋"/>
          <w:color w:val="auto"/>
          <w:sz w:val="24"/>
          <w:szCs w:val="24"/>
          <w:lang w:val="en-US" w:eastAsia="zh-CN" w:bidi="ar-SA"/>
        </w:rPr>
      </w:pPr>
    </w:p>
    <w:p>
      <w:pPr>
        <w:pStyle w:val="10"/>
        <w:spacing w:line="360" w:lineRule="auto"/>
        <w:ind w:firstLine="4080" w:firstLineChars="1700"/>
        <w:rPr>
          <w:rStyle w:val="94"/>
          <w:rFonts w:hint="eastAsia" w:ascii="仿宋" w:hAnsi="仿宋" w:eastAsia="仿宋" w:cs="仿宋"/>
          <w:color w:val="auto"/>
          <w:sz w:val="24"/>
          <w:szCs w:val="24"/>
          <w:lang w:val="en-US" w:eastAsia="zh-CN" w:bidi="ar-SA"/>
        </w:rPr>
      </w:pPr>
      <w:r>
        <w:rPr>
          <w:rStyle w:val="94"/>
          <w:rFonts w:hint="eastAsia" w:ascii="仿宋" w:hAnsi="仿宋" w:eastAsia="仿宋" w:cs="仿宋"/>
          <w:color w:val="auto"/>
          <w:sz w:val="24"/>
          <w:szCs w:val="24"/>
          <w:lang w:val="en-US" w:eastAsia="zh-CN" w:bidi="ar-SA"/>
        </w:rPr>
        <w:t>企业名称（公章）:</w:t>
      </w:r>
    </w:p>
    <w:p>
      <w:pPr>
        <w:pStyle w:val="10"/>
        <w:spacing w:line="360" w:lineRule="auto"/>
        <w:ind w:firstLine="5520" w:firstLineChars="2300"/>
        <w:rPr>
          <w:rStyle w:val="94"/>
          <w:rFonts w:hint="eastAsia" w:ascii="仿宋" w:hAnsi="仿宋" w:eastAsia="仿宋" w:cs="仿宋"/>
          <w:color w:val="auto"/>
          <w:sz w:val="24"/>
          <w:szCs w:val="24"/>
          <w:lang w:val="en-US" w:eastAsia="zh-CN" w:bidi="ar-SA"/>
        </w:rPr>
      </w:pPr>
      <w:r>
        <w:rPr>
          <w:rStyle w:val="94"/>
          <w:rFonts w:hint="eastAsia" w:ascii="仿宋" w:hAnsi="仿宋" w:eastAsia="仿宋" w:cs="仿宋"/>
          <w:color w:val="auto"/>
          <w:sz w:val="24"/>
          <w:szCs w:val="24"/>
          <w:lang w:val="en-US" w:eastAsia="zh-CN" w:bidi="ar-SA"/>
        </w:rPr>
        <w:t>日期:</w:t>
      </w:r>
    </w:p>
    <w:p>
      <w:pPr>
        <w:pStyle w:val="10"/>
        <w:spacing w:line="360" w:lineRule="auto"/>
        <w:rPr>
          <w:rStyle w:val="94"/>
          <w:rFonts w:hint="eastAsia" w:ascii="仿宋" w:hAnsi="仿宋" w:eastAsia="仿宋" w:cs="仿宋"/>
          <w:color w:val="auto"/>
          <w:sz w:val="24"/>
          <w:szCs w:val="24"/>
          <w:lang w:val="en-US" w:eastAsia="zh-CN" w:bidi="ar-SA"/>
        </w:rPr>
      </w:pPr>
    </w:p>
    <w:p>
      <w:pPr>
        <w:rPr>
          <w:rStyle w:val="94"/>
          <w:rFonts w:hint="eastAsia" w:ascii="仿宋" w:hAnsi="仿宋" w:eastAsia="仿宋" w:cs="仿宋"/>
          <w:color w:val="auto"/>
          <w:sz w:val="24"/>
          <w:szCs w:val="24"/>
          <w:lang w:val="en-US" w:eastAsia="zh-CN" w:bidi="ar-SA"/>
        </w:rPr>
      </w:pPr>
    </w:p>
    <w:p>
      <w:pPr>
        <w:pStyle w:val="8"/>
        <w:outlineLvl w:val="9"/>
        <w:rPr>
          <w:rStyle w:val="94"/>
          <w:rFonts w:hint="eastAsia" w:ascii="仿宋" w:hAnsi="仿宋" w:eastAsia="仿宋" w:cs="仿宋"/>
          <w:color w:val="auto"/>
          <w:sz w:val="24"/>
          <w:szCs w:val="24"/>
          <w:lang w:val="en-US" w:eastAsia="zh-CN" w:bidi="ar-SA"/>
        </w:rPr>
      </w:pPr>
    </w:p>
    <w:p>
      <w:pPr>
        <w:rPr>
          <w:rStyle w:val="94"/>
          <w:rFonts w:hint="eastAsia" w:ascii="仿宋" w:hAnsi="仿宋" w:eastAsia="仿宋" w:cs="仿宋"/>
          <w:color w:val="auto"/>
          <w:sz w:val="24"/>
          <w:szCs w:val="24"/>
          <w:lang w:val="en-US" w:eastAsia="zh-CN" w:bidi="ar-SA"/>
        </w:rPr>
      </w:pPr>
    </w:p>
    <w:p>
      <w:pPr>
        <w:pStyle w:val="8"/>
        <w:outlineLvl w:val="9"/>
        <w:rPr>
          <w:rStyle w:val="94"/>
          <w:rFonts w:hint="eastAsia" w:ascii="仿宋" w:hAnsi="仿宋" w:eastAsia="仿宋" w:cs="仿宋"/>
          <w:color w:val="auto"/>
          <w:sz w:val="24"/>
          <w:szCs w:val="24"/>
          <w:lang w:val="en-US" w:eastAsia="zh-CN" w:bidi="ar-SA"/>
        </w:rPr>
      </w:pPr>
    </w:p>
    <w:p>
      <w:pPr>
        <w:rPr>
          <w:rStyle w:val="94"/>
          <w:rFonts w:hint="eastAsia" w:ascii="仿宋" w:hAnsi="仿宋" w:eastAsia="仿宋" w:cs="仿宋"/>
          <w:color w:val="auto"/>
          <w:sz w:val="24"/>
          <w:szCs w:val="24"/>
          <w:lang w:val="en-US" w:eastAsia="zh-CN" w:bidi="ar-SA"/>
        </w:rPr>
      </w:pPr>
    </w:p>
    <w:p>
      <w:pPr>
        <w:pStyle w:val="8"/>
        <w:outlineLvl w:val="9"/>
        <w:rPr>
          <w:rStyle w:val="94"/>
          <w:rFonts w:hint="eastAsia" w:ascii="仿宋" w:hAnsi="仿宋" w:eastAsia="仿宋" w:cs="仿宋"/>
          <w:color w:val="auto"/>
          <w:sz w:val="24"/>
          <w:szCs w:val="24"/>
          <w:lang w:val="en-US" w:eastAsia="zh-CN" w:bidi="ar-SA"/>
        </w:rPr>
      </w:pPr>
    </w:p>
    <w:p>
      <w:pPr>
        <w:rPr>
          <w:rStyle w:val="94"/>
          <w:rFonts w:hint="eastAsia" w:ascii="仿宋" w:hAnsi="仿宋" w:eastAsia="仿宋" w:cs="仿宋"/>
          <w:color w:val="auto"/>
          <w:sz w:val="24"/>
          <w:szCs w:val="24"/>
          <w:lang w:val="en-US" w:eastAsia="zh-CN" w:bidi="ar-SA"/>
        </w:rPr>
      </w:pPr>
    </w:p>
    <w:p>
      <w:pPr>
        <w:pStyle w:val="8"/>
        <w:outlineLvl w:val="9"/>
        <w:rPr>
          <w:rStyle w:val="94"/>
          <w:rFonts w:hint="eastAsia" w:ascii="仿宋" w:hAnsi="仿宋" w:eastAsia="仿宋" w:cs="仿宋"/>
          <w:color w:val="auto"/>
          <w:sz w:val="24"/>
          <w:szCs w:val="24"/>
          <w:lang w:val="en-US" w:eastAsia="zh-CN" w:bidi="ar-SA"/>
        </w:rPr>
      </w:pPr>
    </w:p>
    <w:p>
      <w:pPr>
        <w:rPr>
          <w:rStyle w:val="94"/>
          <w:rFonts w:hint="eastAsia" w:ascii="仿宋" w:hAnsi="仿宋" w:eastAsia="仿宋" w:cs="仿宋"/>
          <w:color w:val="auto"/>
          <w:sz w:val="24"/>
          <w:szCs w:val="24"/>
          <w:lang w:val="en-US" w:eastAsia="zh-CN" w:bidi="ar-SA"/>
        </w:rPr>
      </w:pPr>
    </w:p>
    <w:p>
      <w:pPr>
        <w:pStyle w:val="10"/>
        <w:spacing w:line="360" w:lineRule="auto"/>
        <w:ind w:left="0" w:leftChars="0" w:firstLine="0" w:firstLineChars="0"/>
        <w:jc w:val="left"/>
        <w:rPr>
          <w:rStyle w:val="94"/>
          <w:rFonts w:hint="eastAsia" w:ascii="仿宋" w:hAnsi="仿宋" w:eastAsia="仿宋" w:cs="仿宋"/>
          <w:color w:val="auto"/>
          <w:sz w:val="24"/>
          <w:szCs w:val="24"/>
          <w:lang w:val="en-US" w:eastAsia="zh-CN" w:bidi="ar-SA"/>
        </w:rPr>
      </w:pPr>
      <w:r>
        <w:rPr>
          <w:rStyle w:val="94"/>
          <w:rFonts w:hint="eastAsia" w:ascii="仿宋" w:hAnsi="仿宋" w:eastAsia="仿宋" w:cs="仿宋"/>
          <w:color w:val="auto"/>
          <w:sz w:val="24"/>
          <w:szCs w:val="24"/>
          <w:lang w:val="en-US" w:eastAsia="zh-CN" w:bidi="ar-SA"/>
        </w:rPr>
        <w:t>备注:1、供应商如不提供此声明函，价格将不做相应扣除；</w:t>
      </w:r>
    </w:p>
    <w:p>
      <w:pPr>
        <w:pStyle w:val="25"/>
        <w:ind w:firstLine="480" w:firstLineChars="200"/>
        <w:jc w:val="left"/>
        <w:rPr>
          <w:rStyle w:val="94"/>
          <w:rFonts w:hint="eastAsia" w:ascii="仿宋" w:hAnsi="仿宋" w:eastAsia="仿宋" w:cs="仿宋"/>
          <w:color w:val="auto"/>
          <w:sz w:val="24"/>
          <w:szCs w:val="24"/>
          <w:lang w:val="zh-CN" w:eastAsia="zh-CN" w:bidi="ar-SA"/>
        </w:rPr>
      </w:pPr>
      <w:r>
        <w:rPr>
          <w:rStyle w:val="94"/>
          <w:rFonts w:hint="eastAsia" w:ascii="仿宋" w:hAnsi="仿宋" w:eastAsia="仿宋" w:cs="仿宋"/>
          <w:color w:val="auto"/>
          <w:sz w:val="24"/>
          <w:szCs w:val="24"/>
          <w:lang w:val="en-US" w:eastAsia="zh-CN" w:bidi="ar-SA"/>
        </w:rPr>
        <w:t>2、成交供应商为残疾人福利单位的，此声明函将随成交结果同时公告，接受社会监督。</w:t>
      </w:r>
    </w:p>
    <w:p>
      <w:pPr>
        <w:pStyle w:val="25"/>
        <w:jc w:val="center"/>
        <w:rPr>
          <w:rFonts w:hint="eastAsia" w:ascii="仿宋" w:hAnsi="仿宋" w:eastAsia="仿宋" w:cs="仿宋"/>
          <w:color w:val="auto"/>
          <w:kern w:val="1"/>
          <w:sz w:val="28"/>
          <w:szCs w:val="28"/>
          <w:lang w:val="zh-CN" w:eastAsia="zh-CN" w:bidi="ar-SA"/>
        </w:rPr>
      </w:pPr>
    </w:p>
    <w:p>
      <w:pPr>
        <w:pStyle w:val="25"/>
        <w:jc w:val="center"/>
        <w:rPr>
          <w:rFonts w:hint="eastAsia" w:ascii="仿宋" w:hAnsi="仿宋" w:eastAsia="仿宋" w:cs="仿宋"/>
          <w:color w:val="auto"/>
          <w:kern w:val="1"/>
          <w:sz w:val="28"/>
          <w:szCs w:val="28"/>
          <w:lang w:val="zh-CN" w:eastAsia="zh-CN" w:bidi="ar-SA"/>
        </w:rPr>
      </w:pPr>
    </w:p>
    <w:p>
      <w:pPr>
        <w:pStyle w:val="25"/>
        <w:numPr>
          <w:ilvl w:val="0"/>
          <w:numId w:val="0"/>
        </w:numPr>
        <w:ind w:leftChars="0"/>
        <w:rPr>
          <w:rFonts w:hint="eastAsia" w:ascii="仿宋" w:hAnsi="仿宋" w:eastAsia="仿宋" w:cs="仿宋"/>
          <w:color w:val="auto"/>
          <w:kern w:val="1"/>
          <w:sz w:val="28"/>
          <w:szCs w:val="28"/>
          <w:lang w:val="en-US" w:eastAsia="zh-CN" w:bidi="ar-SA"/>
        </w:rPr>
      </w:pPr>
    </w:p>
    <w:p>
      <w:pPr>
        <w:pStyle w:val="25"/>
        <w:ind w:left="0" w:leftChars="0" w:firstLine="0" w:firstLineChars="0"/>
        <w:jc w:val="both"/>
        <w:rPr>
          <w:rFonts w:hint="eastAsia" w:ascii="仿宋" w:hAnsi="仿宋" w:eastAsia="仿宋" w:cs="仿宋"/>
          <w:color w:val="auto"/>
          <w:kern w:val="1"/>
          <w:sz w:val="28"/>
          <w:szCs w:val="28"/>
          <w:lang w:val="zh-CN"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r>
        <w:rPr>
          <w:rFonts w:hint="eastAsia" w:ascii="仿宋" w:hAnsi="仿宋" w:eastAsia="仿宋" w:cs="仿宋"/>
          <w:color w:val="auto"/>
          <w:kern w:val="1"/>
          <w:sz w:val="28"/>
          <w:szCs w:val="28"/>
          <w:lang w:val="en-US" w:eastAsia="zh-CN" w:bidi="ar-SA"/>
        </w:rPr>
        <w:t>十六、其他资料（供应商可自拟格式）</w:t>
      </w: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numPr>
          <w:ilvl w:val="0"/>
          <w:numId w:val="0"/>
        </w:numPr>
        <w:ind w:leftChars="900"/>
        <w:jc w:val="both"/>
        <w:rPr>
          <w:rFonts w:hint="eastAsia" w:ascii="仿宋" w:hAnsi="仿宋" w:eastAsia="仿宋" w:cs="仿宋"/>
          <w:color w:val="auto"/>
          <w:kern w:val="1"/>
          <w:sz w:val="28"/>
          <w:szCs w:val="28"/>
          <w:lang w:val="en-US" w:eastAsia="zh-CN" w:bidi="ar-SA"/>
        </w:rPr>
      </w:pPr>
    </w:p>
    <w:p>
      <w:pPr>
        <w:pStyle w:val="25"/>
        <w:widowControl w:val="0"/>
        <w:numPr>
          <w:ilvl w:val="0"/>
          <w:numId w:val="0"/>
        </w:numPr>
        <w:autoSpaceDE w:val="0"/>
        <w:autoSpaceDN w:val="0"/>
        <w:adjustRightInd w:val="0"/>
        <w:spacing w:before="0" w:after="120" w:line="312" w:lineRule="atLeast"/>
        <w:jc w:val="both"/>
        <w:textAlignment w:val="baseline"/>
        <w:rPr>
          <w:rFonts w:hint="eastAsia" w:ascii="仿宋" w:hAnsi="仿宋" w:eastAsia="仿宋" w:cs="仿宋"/>
          <w:color w:val="auto"/>
          <w:kern w:val="1"/>
          <w:sz w:val="28"/>
          <w:szCs w:val="28"/>
          <w:lang w:val="en-US" w:eastAsia="zh-CN" w:bidi="ar-SA"/>
        </w:rPr>
      </w:pPr>
    </w:p>
    <w:sectPr>
      <w:footerReference r:id="rId9" w:type="default"/>
      <w:pgSz w:w="11906" w:h="16838"/>
      <w:pgMar w:top="1440" w:right="1803" w:bottom="1440" w:left="1803" w:header="850"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1979AA-F5A3-4DA7-A764-4B9D1D0DE0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楷体">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2" w:fontKey="{A95547CE-1858-49AA-8605-CEC3B936CCCB}"/>
  </w:font>
  <w:font w:name="TT5E43CC23tCID">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embedRegular r:id="rId3" w:fontKey="{B935E15F-E9AE-4B15-8AED-3DDBF2FA5410}"/>
  </w:font>
  <w:font w:name="仿宋_GB2312">
    <w:altName w:val="仿宋"/>
    <w:panose1 w:val="02010609030101010101"/>
    <w:charset w:val="86"/>
    <w:family w:val="modern"/>
    <w:pitch w:val="default"/>
    <w:sig w:usb0="00000000" w:usb1="00000000" w:usb2="00000000" w:usb3="00000000" w:csb0="00040000" w:csb1="00000000"/>
    <w:embedRegular r:id="rId4" w:fontKey="{D400BCFD-51EA-49B2-BA27-710C069F01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clear" w:pos="4153"/>
      </w:tabs>
      <w:rPr>
        <w:rFonts w:hint="default" w:ascii="宋体" w:hAnsi="宋体"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default" w:eastAsia="宋体"/>
                              <w:lang w:val="en-US" w:eastAsia="zh-CN"/>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pPr>
                      <w:pStyle w:val="18"/>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clear" w:pos="4153"/>
      </w:tabs>
      <w:rPr>
        <w:rFonts w:hint="default" w:ascii="宋体" w:hAnsi="宋体"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mRvt8BAAC/AwAADgAAAGRycy9lMm9Eb2MueG1srVPBjtMwEL0j8Q+W&#10;7zRpJ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fmRvt8BAAC/AwAADgAAAAAA&#10;AAABACAAAAAeAQAAZHJzL2Uyb0RvYy54bWxQSwUGAAAAAAYABgBZAQAAbwUAAAAA&#10;">
              <v:fill on="f" focussize="0,0"/>
              <v:stroke on="f"/>
              <v:imagedata o:title=""/>
              <o:lock v:ext="edit" aspectratio="f"/>
              <v:textbox inset="0mm,0mm,0mm,0mm" style="mso-fit-shape-to-text:t;">
                <w:txbxContent>
                  <w:p>
                    <w:pPr>
                      <w:pStyle w:val="18"/>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default" w:eastAsia="宋体"/>
                              <w:sz w:val="32"/>
                              <w:szCs w:val="32"/>
                              <w:lang w:val="en-US"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8"/>
                      <w:rPr>
                        <w:rFonts w:hint="default" w:eastAsia="宋体"/>
                        <w:sz w:val="32"/>
                        <w:szCs w:val="32"/>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0"/>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4GWcPdAQAAvwMAAA4AAAAAAAAA&#10;AQAgAAAAHgEAAGRycy9lMm9Eb2MueG1sUEsFBgAAAAAGAAYAWQEAAG0FA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D4t4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pW&#10;y6RPH6CitLtAiTi88gNtzewHcibaQxtt+hMhRnFS93xVVw3IZLq0Xq3XJYUkxeYD4Rf310MEfKO8&#10;ZcmoeaTxZVXF6R3gmDqnpGrO32pj8giN+8tBmMlTpN7HHpOFw36YCO19cyY+9A6oTufjF8562oKa&#10;O1p6zsxbRyKnhZmNOBv72RBO0sWaI2ej+RrHxTqGqA9dXrXUFIS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5WYPi3gEAAL8DAAAOAAAAAAAA&#10;AAEAIAAAAB4BAABkcnMvZTJvRG9jLnhtbFBLBQYAAAAABgAGAFkBAABuBQ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s>
      <w:jc w:val="left"/>
      <w:rPr>
        <w:rFonts w:hint="eastAsia" w:ascii="仿宋" w:hAnsi="仿宋" w:eastAsia="仿宋" w:cs="仿宋"/>
        <w:i/>
        <w:iCs/>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s>
      <w:jc w:val="left"/>
    </w:pPr>
    <w:r>
      <w:rPr>
        <w:rFonts w:hint="eastAsia" w:ascii="仿宋" w:hAnsi="仿宋" w:eastAsia="仿宋"/>
        <w:color w:val="auto"/>
        <w:sz w:val="24"/>
        <w:szCs w:val="24"/>
        <w:lang w:val="zh-CN" w:eastAsia="zh-CN"/>
      </w:rPr>
      <w:t>新疆瀚哲项目管理有限公司</w:t>
    </w:r>
  </w:p>
  <w:p>
    <w:pPr>
      <w:pStyle w:val="1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2975"/>
    <w:multiLevelType w:val="singleLevel"/>
    <w:tmpl w:val="885D2975"/>
    <w:lvl w:ilvl="0" w:tentative="0">
      <w:start w:val="1"/>
      <w:numFmt w:val="decimal"/>
      <w:lvlText w:val="%1."/>
      <w:lvlJc w:val="left"/>
      <w:pPr>
        <w:tabs>
          <w:tab w:val="left" w:pos="0"/>
        </w:tabs>
        <w:ind w:left="0" w:leftChars="0" w:firstLine="0" w:firstLineChars="0"/>
      </w:pPr>
      <w:rPr>
        <w:rFonts w:hint="default"/>
      </w:rPr>
    </w:lvl>
  </w:abstractNum>
  <w:abstractNum w:abstractNumId="1">
    <w:nsid w:val="A5AD6AD4"/>
    <w:multiLevelType w:val="singleLevel"/>
    <w:tmpl w:val="A5AD6AD4"/>
    <w:lvl w:ilvl="0" w:tentative="0">
      <w:start w:val="3"/>
      <w:numFmt w:val="chineseCounting"/>
      <w:suff w:val="nothing"/>
      <w:lvlText w:val="%1、"/>
      <w:lvlJc w:val="left"/>
      <w:rPr>
        <w:rFonts w:hint="eastAsia"/>
      </w:rPr>
    </w:lvl>
  </w:abstractNum>
  <w:abstractNum w:abstractNumId="2">
    <w:nsid w:val="FC8865F2"/>
    <w:multiLevelType w:val="singleLevel"/>
    <w:tmpl w:val="FC8865F2"/>
    <w:lvl w:ilvl="0" w:tentative="0">
      <w:start w:val="1"/>
      <w:numFmt w:val="decimal"/>
      <w:pStyle w:val="5"/>
      <w:lvlText w:val="%1."/>
      <w:lvlJc w:val="left"/>
      <w:pPr>
        <w:tabs>
          <w:tab w:val="left" w:pos="2040"/>
        </w:tabs>
        <w:ind w:left="2040" w:hanging="360"/>
      </w:pPr>
    </w:lvl>
  </w:abstractNum>
  <w:abstractNum w:abstractNumId="3">
    <w:nsid w:val="FFFFFFFB"/>
    <w:multiLevelType w:val="multilevel"/>
    <w:tmpl w:val="FFFFFFFB"/>
    <w:lvl w:ilvl="0" w:tentative="0">
      <w:start w:val="0"/>
      <w:numFmt w:val="none"/>
      <w:lvlText w:val=""/>
      <w:lvlJc w:val="left"/>
    </w:lvl>
    <w:lvl w:ilvl="1" w:tentative="0">
      <w:start w:val="0"/>
      <w:numFmt w:val="decimal"/>
      <w:lvlText w:val="%2"/>
      <w:legacy w:legacy="1" w:legacySpace="0" w:legacyIndent="0"/>
      <w:lvlJc w:val="left"/>
      <w:rPr>
        <w:rFonts w:hint="default" w:ascii="Tms Rmn" w:hAnsi="Tms Rmn"/>
      </w:rPr>
    </w:lvl>
    <w:lvl w:ilvl="2" w:tentative="0">
      <w:start w:val="0"/>
      <w:numFmt w:val="decimal"/>
      <w:lvlText w:val="%3"/>
      <w:legacy w:legacy="1" w:legacySpace="0" w:legacyIndent="0"/>
      <w:lvlJc w:val="left"/>
      <w:rPr>
        <w:rFonts w:hint="default" w:ascii="Tms Rmn" w:hAnsi="Tms Rmn"/>
      </w:rPr>
    </w:lvl>
    <w:lvl w:ilvl="3" w:tentative="0">
      <w:start w:val="0"/>
      <w:numFmt w:val="decimal"/>
      <w:pStyle w:val="9"/>
      <w:lvlText w:val="%4"/>
      <w:legacy w:legacy="1" w:legacySpace="0" w:legacyIndent="0"/>
      <w:lvlJc w:val="left"/>
      <w:rPr>
        <w:rFonts w:hint="default" w:ascii="Tms Rmn" w:hAnsi="Tms Rmn"/>
      </w:rPr>
    </w:lvl>
    <w:lvl w:ilvl="4" w:tentative="0">
      <w:start w:val="0"/>
      <w:numFmt w:val="decimal"/>
      <w:lvlText w:val="%5"/>
      <w:legacy w:legacy="1" w:legacySpace="0" w:legacyIndent="0"/>
      <w:lvlJc w:val="left"/>
      <w:rPr>
        <w:rFonts w:hint="default" w:ascii="Tms Rmn" w:hAnsi="Tms Rmn"/>
      </w:rPr>
    </w:lvl>
    <w:lvl w:ilvl="5" w:tentative="0">
      <w:start w:val="0"/>
      <w:numFmt w:val="decimal"/>
      <w:lvlText w:val="%6"/>
      <w:legacy w:legacy="1" w:legacySpace="0" w:legacyIndent="0"/>
      <w:lvlJc w:val="left"/>
      <w:rPr>
        <w:rFonts w:hint="default" w:ascii="Tms Rmn" w:hAnsi="Tms Rmn"/>
      </w:rPr>
    </w:lvl>
    <w:lvl w:ilvl="6" w:tentative="0">
      <w:start w:val="0"/>
      <w:numFmt w:val="decimal"/>
      <w:lvlText w:val="%7"/>
      <w:legacy w:legacy="1" w:legacySpace="0" w:legacyIndent="0"/>
      <w:lvlJc w:val="left"/>
      <w:rPr>
        <w:rFonts w:hint="default" w:ascii="Tms Rmn" w:hAnsi="Tms Rmn"/>
      </w:rPr>
    </w:lvl>
    <w:lvl w:ilvl="7" w:tentative="0">
      <w:start w:val="0"/>
      <w:numFmt w:val="decimal"/>
      <w:lvlText w:val="%8"/>
      <w:legacy w:legacy="1" w:legacySpace="0" w:legacyIndent="0"/>
      <w:lvlJc w:val="left"/>
      <w:rPr>
        <w:rFonts w:hint="default" w:ascii="Tms Rmn" w:hAnsi="Tms Rmn"/>
      </w:rPr>
    </w:lvl>
    <w:lvl w:ilvl="8" w:tentative="0">
      <w:start w:val="0"/>
      <w:numFmt w:val="decimal"/>
      <w:lvlText w:val="%9"/>
      <w:legacy w:legacy="1" w:legacySpace="0" w:legacyIndent="0"/>
      <w:lvlJc w:val="left"/>
      <w:rPr>
        <w:rFonts w:hint="default" w:ascii="Tms Rmn" w:hAnsi="Tms Rmn"/>
      </w:rPr>
    </w:lvl>
  </w:abstractNum>
  <w:abstractNum w:abstractNumId="4">
    <w:nsid w:val="09FACBB6"/>
    <w:multiLevelType w:val="singleLevel"/>
    <w:tmpl w:val="09FACBB6"/>
    <w:lvl w:ilvl="0" w:tentative="0">
      <w:start w:val="1"/>
      <w:numFmt w:val="chineseCounting"/>
      <w:suff w:val="space"/>
      <w:lvlText w:val="第%1章"/>
      <w:lvlJc w:val="left"/>
      <w:rPr>
        <w:rFonts w:hint="eastAsia"/>
      </w:rPr>
    </w:lvl>
  </w:abstractNum>
  <w:abstractNum w:abstractNumId="5">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08B9DE5"/>
    <w:multiLevelType w:val="singleLevel"/>
    <w:tmpl w:val="308B9DE5"/>
    <w:lvl w:ilvl="0" w:tentative="0">
      <w:start w:val="1"/>
      <w:numFmt w:val="decimal"/>
      <w:lvlText w:val="(%1)"/>
      <w:lvlJc w:val="left"/>
      <w:pPr>
        <w:tabs>
          <w:tab w:val="left" w:pos="964"/>
        </w:tabs>
        <w:ind w:left="454" w:hanging="171"/>
      </w:pPr>
      <w:rPr>
        <w:rFonts w:hint="default"/>
      </w:rPr>
    </w:lvl>
  </w:abstractNum>
  <w:abstractNum w:abstractNumId="7">
    <w:nsid w:val="3E469E7F"/>
    <w:multiLevelType w:val="singleLevel"/>
    <w:tmpl w:val="3E469E7F"/>
    <w:lvl w:ilvl="0" w:tentative="0">
      <w:start w:val="1"/>
      <w:numFmt w:val="decimal"/>
      <w:suff w:val="nothing"/>
      <w:lvlText w:val="%1、"/>
      <w:lvlJc w:val="left"/>
    </w:lvl>
  </w:abstractNum>
  <w:abstractNum w:abstractNumId="8">
    <w:nsid w:val="4A50215C"/>
    <w:multiLevelType w:val="singleLevel"/>
    <w:tmpl w:val="4A50215C"/>
    <w:lvl w:ilvl="0" w:tentative="0">
      <w:start w:val="1"/>
      <w:numFmt w:val="decimal"/>
      <w:lvlText w:val="(%1)"/>
      <w:lvlJc w:val="left"/>
      <w:pPr>
        <w:tabs>
          <w:tab w:val="left" w:pos="0"/>
        </w:tabs>
        <w:ind w:left="0" w:leftChars="0" w:firstLine="737" w:firstLineChars="0"/>
      </w:pPr>
      <w:rPr>
        <w:rFonts w:hint="default"/>
      </w:rPr>
    </w:lvl>
  </w:abstractNum>
  <w:abstractNum w:abstractNumId="9">
    <w:nsid w:val="52F6C6BC"/>
    <w:multiLevelType w:val="singleLevel"/>
    <w:tmpl w:val="52F6C6BC"/>
    <w:lvl w:ilvl="0" w:tentative="0">
      <w:start w:val="1"/>
      <w:numFmt w:val="decimal"/>
      <w:lvlText w:val="%1."/>
      <w:lvlJc w:val="left"/>
      <w:pPr>
        <w:tabs>
          <w:tab w:val="left" w:pos="0"/>
        </w:tabs>
        <w:ind w:left="0" w:leftChars="0" w:firstLine="0" w:firstLineChars="0"/>
      </w:pPr>
      <w:rPr>
        <w:rFonts w:hint="default"/>
      </w:rPr>
    </w:lvl>
  </w:abstractNum>
  <w:abstractNum w:abstractNumId="10">
    <w:nsid w:val="5BA7E63F"/>
    <w:multiLevelType w:val="singleLevel"/>
    <w:tmpl w:val="5BA7E63F"/>
    <w:lvl w:ilvl="0" w:tentative="0">
      <w:start w:val="1"/>
      <w:numFmt w:val="decimal"/>
      <w:suff w:val="nothing"/>
      <w:lvlText w:val="%1、"/>
      <w:lvlJc w:val="left"/>
    </w:lvl>
  </w:abstractNum>
  <w:abstractNum w:abstractNumId="11">
    <w:nsid w:val="739C137F"/>
    <w:multiLevelType w:val="singleLevel"/>
    <w:tmpl w:val="739C137F"/>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9"/>
  </w:num>
  <w:num w:numId="6">
    <w:abstractNumId w:val="7"/>
  </w:num>
  <w:num w:numId="7">
    <w:abstractNumId w:val="11"/>
  </w:num>
  <w:num w:numId="8">
    <w:abstractNumId w:val="10"/>
  </w:num>
  <w:num w:numId="9">
    <w:abstractNumId w:val="6"/>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ZmZjYTQ3ZjIxZjVmODUwMjY1MDQ5NzY1M2YzODYifQ=="/>
  </w:docVars>
  <w:rsids>
    <w:rsidRoot w:val="00B41B93"/>
    <w:rsid w:val="000006C9"/>
    <w:rsid w:val="00000DDF"/>
    <w:rsid w:val="000023CA"/>
    <w:rsid w:val="0000325A"/>
    <w:rsid w:val="00006556"/>
    <w:rsid w:val="00011E3B"/>
    <w:rsid w:val="00012CE1"/>
    <w:rsid w:val="00013661"/>
    <w:rsid w:val="00017AA7"/>
    <w:rsid w:val="00017D32"/>
    <w:rsid w:val="00020EA7"/>
    <w:rsid w:val="00025913"/>
    <w:rsid w:val="00027A9E"/>
    <w:rsid w:val="00032614"/>
    <w:rsid w:val="00035517"/>
    <w:rsid w:val="0003574A"/>
    <w:rsid w:val="000407B8"/>
    <w:rsid w:val="00044E68"/>
    <w:rsid w:val="00047CB7"/>
    <w:rsid w:val="0005066B"/>
    <w:rsid w:val="000519B0"/>
    <w:rsid w:val="00053381"/>
    <w:rsid w:val="00055434"/>
    <w:rsid w:val="000577C6"/>
    <w:rsid w:val="00057D48"/>
    <w:rsid w:val="0006589B"/>
    <w:rsid w:val="00077C7B"/>
    <w:rsid w:val="000801FA"/>
    <w:rsid w:val="000808A0"/>
    <w:rsid w:val="00080CE6"/>
    <w:rsid w:val="00081084"/>
    <w:rsid w:val="0008195B"/>
    <w:rsid w:val="000821DF"/>
    <w:rsid w:val="000854E3"/>
    <w:rsid w:val="00087759"/>
    <w:rsid w:val="0009100E"/>
    <w:rsid w:val="00091FF1"/>
    <w:rsid w:val="0009531B"/>
    <w:rsid w:val="000954C2"/>
    <w:rsid w:val="00096725"/>
    <w:rsid w:val="000A3198"/>
    <w:rsid w:val="000A4315"/>
    <w:rsid w:val="000A4E91"/>
    <w:rsid w:val="000A628C"/>
    <w:rsid w:val="000B21B5"/>
    <w:rsid w:val="000B4953"/>
    <w:rsid w:val="000B756B"/>
    <w:rsid w:val="000C13C4"/>
    <w:rsid w:val="000C6240"/>
    <w:rsid w:val="000D0373"/>
    <w:rsid w:val="000D069C"/>
    <w:rsid w:val="000D14AC"/>
    <w:rsid w:val="000D2D7B"/>
    <w:rsid w:val="000D3E6A"/>
    <w:rsid w:val="000D7342"/>
    <w:rsid w:val="000E1270"/>
    <w:rsid w:val="000E31FE"/>
    <w:rsid w:val="000E6138"/>
    <w:rsid w:val="000E69DD"/>
    <w:rsid w:val="000F00D8"/>
    <w:rsid w:val="000F11DE"/>
    <w:rsid w:val="000F411E"/>
    <w:rsid w:val="000F51A7"/>
    <w:rsid w:val="000F5A57"/>
    <w:rsid w:val="00100136"/>
    <w:rsid w:val="00101650"/>
    <w:rsid w:val="00101BB2"/>
    <w:rsid w:val="00107A87"/>
    <w:rsid w:val="00110F15"/>
    <w:rsid w:val="00114E14"/>
    <w:rsid w:val="001150B2"/>
    <w:rsid w:val="00115C96"/>
    <w:rsid w:val="00122185"/>
    <w:rsid w:val="001238EA"/>
    <w:rsid w:val="001278EF"/>
    <w:rsid w:val="0013127B"/>
    <w:rsid w:val="0013280F"/>
    <w:rsid w:val="00133F33"/>
    <w:rsid w:val="0013575E"/>
    <w:rsid w:val="00140A30"/>
    <w:rsid w:val="0014511F"/>
    <w:rsid w:val="00145608"/>
    <w:rsid w:val="00146594"/>
    <w:rsid w:val="00152DE9"/>
    <w:rsid w:val="00154F35"/>
    <w:rsid w:val="0016228A"/>
    <w:rsid w:val="001629EA"/>
    <w:rsid w:val="001673AE"/>
    <w:rsid w:val="00167494"/>
    <w:rsid w:val="00176294"/>
    <w:rsid w:val="0017798E"/>
    <w:rsid w:val="00181853"/>
    <w:rsid w:val="00182575"/>
    <w:rsid w:val="00185B6A"/>
    <w:rsid w:val="0018625F"/>
    <w:rsid w:val="00192286"/>
    <w:rsid w:val="00193EFB"/>
    <w:rsid w:val="001A0960"/>
    <w:rsid w:val="001A26F6"/>
    <w:rsid w:val="001A4308"/>
    <w:rsid w:val="001A64A2"/>
    <w:rsid w:val="001A6EB6"/>
    <w:rsid w:val="001B0DB8"/>
    <w:rsid w:val="001B1383"/>
    <w:rsid w:val="001B1961"/>
    <w:rsid w:val="001B332E"/>
    <w:rsid w:val="001C175F"/>
    <w:rsid w:val="001C5663"/>
    <w:rsid w:val="001D3121"/>
    <w:rsid w:val="001D3B13"/>
    <w:rsid w:val="001D5906"/>
    <w:rsid w:val="001D5D31"/>
    <w:rsid w:val="001D723C"/>
    <w:rsid w:val="001E381F"/>
    <w:rsid w:val="001E79D6"/>
    <w:rsid w:val="001E7BFA"/>
    <w:rsid w:val="001F18B7"/>
    <w:rsid w:val="001F2EA1"/>
    <w:rsid w:val="001F306A"/>
    <w:rsid w:val="001F3550"/>
    <w:rsid w:val="001F6213"/>
    <w:rsid w:val="002065ED"/>
    <w:rsid w:val="002071E2"/>
    <w:rsid w:val="00211D32"/>
    <w:rsid w:val="00214063"/>
    <w:rsid w:val="00222C3D"/>
    <w:rsid w:val="0022552F"/>
    <w:rsid w:val="00230E4D"/>
    <w:rsid w:val="0023130B"/>
    <w:rsid w:val="0023230D"/>
    <w:rsid w:val="00232E92"/>
    <w:rsid w:val="002348E0"/>
    <w:rsid w:val="00236A88"/>
    <w:rsid w:val="00236B6C"/>
    <w:rsid w:val="00240ECE"/>
    <w:rsid w:val="00240F3F"/>
    <w:rsid w:val="002413DE"/>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D09"/>
    <w:rsid w:val="002772F9"/>
    <w:rsid w:val="00277825"/>
    <w:rsid w:val="00277863"/>
    <w:rsid w:val="0028345B"/>
    <w:rsid w:val="00287F4F"/>
    <w:rsid w:val="00290AF4"/>
    <w:rsid w:val="00291C37"/>
    <w:rsid w:val="0029625A"/>
    <w:rsid w:val="002A4458"/>
    <w:rsid w:val="002A5560"/>
    <w:rsid w:val="002B0589"/>
    <w:rsid w:val="002B1CC5"/>
    <w:rsid w:val="002B200F"/>
    <w:rsid w:val="002B21A7"/>
    <w:rsid w:val="002B3385"/>
    <w:rsid w:val="002B3FA9"/>
    <w:rsid w:val="002B52D9"/>
    <w:rsid w:val="002B74E2"/>
    <w:rsid w:val="002C114A"/>
    <w:rsid w:val="002C14A0"/>
    <w:rsid w:val="002C2451"/>
    <w:rsid w:val="002C290E"/>
    <w:rsid w:val="002C2DCB"/>
    <w:rsid w:val="002C4E73"/>
    <w:rsid w:val="002D1A2F"/>
    <w:rsid w:val="002D4220"/>
    <w:rsid w:val="002D529E"/>
    <w:rsid w:val="002D609D"/>
    <w:rsid w:val="002E13F8"/>
    <w:rsid w:val="002E29D3"/>
    <w:rsid w:val="002E530C"/>
    <w:rsid w:val="002F34F6"/>
    <w:rsid w:val="002F3773"/>
    <w:rsid w:val="002F5FCD"/>
    <w:rsid w:val="003002C3"/>
    <w:rsid w:val="00302999"/>
    <w:rsid w:val="003037CA"/>
    <w:rsid w:val="00303A17"/>
    <w:rsid w:val="00304475"/>
    <w:rsid w:val="0031145B"/>
    <w:rsid w:val="00320D41"/>
    <w:rsid w:val="00322960"/>
    <w:rsid w:val="003229DF"/>
    <w:rsid w:val="0032593C"/>
    <w:rsid w:val="00326008"/>
    <w:rsid w:val="0032660B"/>
    <w:rsid w:val="00326D04"/>
    <w:rsid w:val="003277FA"/>
    <w:rsid w:val="0033007D"/>
    <w:rsid w:val="00331AEF"/>
    <w:rsid w:val="0033237C"/>
    <w:rsid w:val="00335D8D"/>
    <w:rsid w:val="00335F7B"/>
    <w:rsid w:val="00340F80"/>
    <w:rsid w:val="0034121A"/>
    <w:rsid w:val="00342844"/>
    <w:rsid w:val="00343691"/>
    <w:rsid w:val="00343E60"/>
    <w:rsid w:val="00343EFB"/>
    <w:rsid w:val="00344309"/>
    <w:rsid w:val="0035259C"/>
    <w:rsid w:val="0035390B"/>
    <w:rsid w:val="00354F36"/>
    <w:rsid w:val="003559D3"/>
    <w:rsid w:val="0035618D"/>
    <w:rsid w:val="003566B9"/>
    <w:rsid w:val="00356917"/>
    <w:rsid w:val="00362997"/>
    <w:rsid w:val="00364A15"/>
    <w:rsid w:val="00371398"/>
    <w:rsid w:val="003738BF"/>
    <w:rsid w:val="00373ABC"/>
    <w:rsid w:val="003757DB"/>
    <w:rsid w:val="00376B86"/>
    <w:rsid w:val="00376FA5"/>
    <w:rsid w:val="003802CA"/>
    <w:rsid w:val="00382C48"/>
    <w:rsid w:val="00383C7B"/>
    <w:rsid w:val="00391BC6"/>
    <w:rsid w:val="00392E16"/>
    <w:rsid w:val="0039304F"/>
    <w:rsid w:val="003931E1"/>
    <w:rsid w:val="00393850"/>
    <w:rsid w:val="00393B48"/>
    <w:rsid w:val="00396235"/>
    <w:rsid w:val="003A13E3"/>
    <w:rsid w:val="003A226A"/>
    <w:rsid w:val="003A2C59"/>
    <w:rsid w:val="003A4A03"/>
    <w:rsid w:val="003A4A2C"/>
    <w:rsid w:val="003A6F65"/>
    <w:rsid w:val="003B1CB4"/>
    <w:rsid w:val="003C22B5"/>
    <w:rsid w:val="003C2A1B"/>
    <w:rsid w:val="003C2D86"/>
    <w:rsid w:val="003C33F9"/>
    <w:rsid w:val="003C4B53"/>
    <w:rsid w:val="003D198B"/>
    <w:rsid w:val="003D19B1"/>
    <w:rsid w:val="003D20E0"/>
    <w:rsid w:val="003D4F03"/>
    <w:rsid w:val="003E0011"/>
    <w:rsid w:val="003E180C"/>
    <w:rsid w:val="003E270F"/>
    <w:rsid w:val="003E65A0"/>
    <w:rsid w:val="003E72C7"/>
    <w:rsid w:val="003F46BB"/>
    <w:rsid w:val="003F4E35"/>
    <w:rsid w:val="003F57CE"/>
    <w:rsid w:val="003F63BF"/>
    <w:rsid w:val="0040206B"/>
    <w:rsid w:val="004024C2"/>
    <w:rsid w:val="00402522"/>
    <w:rsid w:val="00403C49"/>
    <w:rsid w:val="00406575"/>
    <w:rsid w:val="00406882"/>
    <w:rsid w:val="00407CB2"/>
    <w:rsid w:val="00413082"/>
    <w:rsid w:val="004173C5"/>
    <w:rsid w:val="00422127"/>
    <w:rsid w:val="00422BB7"/>
    <w:rsid w:val="00423DFB"/>
    <w:rsid w:val="004249D7"/>
    <w:rsid w:val="00426F26"/>
    <w:rsid w:val="00426F67"/>
    <w:rsid w:val="00427AB0"/>
    <w:rsid w:val="00427B65"/>
    <w:rsid w:val="00427FAC"/>
    <w:rsid w:val="00434CEC"/>
    <w:rsid w:val="00435637"/>
    <w:rsid w:val="0043649A"/>
    <w:rsid w:val="004401FC"/>
    <w:rsid w:val="00441351"/>
    <w:rsid w:val="00447B18"/>
    <w:rsid w:val="00450D4C"/>
    <w:rsid w:val="004560B3"/>
    <w:rsid w:val="004570CF"/>
    <w:rsid w:val="00457A80"/>
    <w:rsid w:val="0046347C"/>
    <w:rsid w:val="004643B5"/>
    <w:rsid w:val="00464530"/>
    <w:rsid w:val="00464BA4"/>
    <w:rsid w:val="0046638E"/>
    <w:rsid w:val="00466815"/>
    <w:rsid w:val="00466EE0"/>
    <w:rsid w:val="004706F6"/>
    <w:rsid w:val="004713DE"/>
    <w:rsid w:val="00473059"/>
    <w:rsid w:val="00475051"/>
    <w:rsid w:val="004750D1"/>
    <w:rsid w:val="004756F2"/>
    <w:rsid w:val="00476F8B"/>
    <w:rsid w:val="0048076C"/>
    <w:rsid w:val="00481ED5"/>
    <w:rsid w:val="00484C14"/>
    <w:rsid w:val="00491F4F"/>
    <w:rsid w:val="00494905"/>
    <w:rsid w:val="0049502B"/>
    <w:rsid w:val="004A2258"/>
    <w:rsid w:val="004A5CE9"/>
    <w:rsid w:val="004A618E"/>
    <w:rsid w:val="004B24B8"/>
    <w:rsid w:val="004B64FB"/>
    <w:rsid w:val="004B792B"/>
    <w:rsid w:val="004C0D45"/>
    <w:rsid w:val="004C1F41"/>
    <w:rsid w:val="004C26EC"/>
    <w:rsid w:val="004C3433"/>
    <w:rsid w:val="004C3743"/>
    <w:rsid w:val="004C5D57"/>
    <w:rsid w:val="004D1D2A"/>
    <w:rsid w:val="004D33A5"/>
    <w:rsid w:val="004D67BF"/>
    <w:rsid w:val="004E3720"/>
    <w:rsid w:val="004E5AEB"/>
    <w:rsid w:val="004E74AE"/>
    <w:rsid w:val="004F26AE"/>
    <w:rsid w:val="004F444B"/>
    <w:rsid w:val="005016FC"/>
    <w:rsid w:val="005045E8"/>
    <w:rsid w:val="00506E56"/>
    <w:rsid w:val="005106A3"/>
    <w:rsid w:val="005148E6"/>
    <w:rsid w:val="00515DEE"/>
    <w:rsid w:val="00520F98"/>
    <w:rsid w:val="0052277E"/>
    <w:rsid w:val="00524E7F"/>
    <w:rsid w:val="0052769E"/>
    <w:rsid w:val="005319CF"/>
    <w:rsid w:val="00533A86"/>
    <w:rsid w:val="00534746"/>
    <w:rsid w:val="00534837"/>
    <w:rsid w:val="005372D4"/>
    <w:rsid w:val="005403CF"/>
    <w:rsid w:val="005405F4"/>
    <w:rsid w:val="00541A96"/>
    <w:rsid w:val="00541D83"/>
    <w:rsid w:val="00544D72"/>
    <w:rsid w:val="0054618D"/>
    <w:rsid w:val="005466E2"/>
    <w:rsid w:val="00546A8A"/>
    <w:rsid w:val="00551043"/>
    <w:rsid w:val="005510C4"/>
    <w:rsid w:val="005518FF"/>
    <w:rsid w:val="0055473F"/>
    <w:rsid w:val="00560656"/>
    <w:rsid w:val="00560A22"/>
    <w:rsid w:val="00564025"/>
    <w:rsid w:val="005701A5"/>
    <w:rsid w:val="0057149C"/>
    <w:rsid w:val="005748C6"/>
    <w:rsid w:val="00576783"/>
    <w:rsid w:val="00580FB7"/>
    <w:rsid w:val="00583D52"/>
    <w:rsid w:val="00587753"/>
    <w:rsid w:val="00590583"/>
    <w:rsid w:val="00592C10"/>
    <w:rsid w:val="00592DA6"/>
    <w:rsid w:val="005945DF"/>
    <w:rsid w:val="00595F79"/>
    <w:rsid w:val="00597AD8"/>
    <w:rsid w:val="005A063B"/>
    <w:rsid w:val="005A21F9"/>
    <w:rsid w:val="005A2720"/>
    <w:rsid w:val="005A2DCB"/>
    <w:rsid w:val="005A5F27"/>
    <w:rsid w:val="005B0688"/>
    <w:rsid w:val="005B3C75"/>
    <w:rsid w:val="005B4D13"/>
    <w:rsid w:val="005C0662"/>
    <w:rsid w:val="005C414F"/>
    <w:rsid w:val="005C4D25"/>
    <w:rsid w:val="005C5230"/>
    <w:rsid w:val="005C6A68"/>
    <w:rsid w:val="005D2854"/>
    <w:rsid w:val="005D2B01"/>
    <w:rsid w:val="005D4F5D"/>
    <w:rsid w:val="005D66D7"/>
    <w:rsid w:val="005E0669"/>
    <w:rsid w:val="005E785A"/>
    <w:rsid w:val="005E7D96"/>
    <w:rsid w:val="005F2794"/>
    <w:rsid w:val="005F4225"/>
    <w:rsid w:val="005F61A0"/>
    <w:rsid w:val="005F7393"/>
    <w:rsid w:val="00600579"/>
    <w:rsid w:val="00602266"/>
    <w:rsid w:val="00603030"/>
    <w:rsid w:val="00603CC3"/>
    <w:rsid w:val="006047EE"/>
    <w:rsid w:val="006058A2"/>
    <w:rsid w:val="00605FB4"/>
    <w:rsid w:val="00606B98"/>
    <w:rsid w:val="00613613"/>
    <w:rsid w:val="00613665"/>
    <w:rsid w:val="00617601"/>
    <w:rsid w:val="006179E3"/>
    <w:rsid w:val="006208D2"/>
    <w:rsid w:val="00621A79"/>
    <w:rsid w:val="00622FC9"/>
    <w:rsid w:val="00625F28"/>
    <w:rsid w:val="006308D2"/>
    <w:rsid w:val="00632D49"/>
    <w:rsid w:val="006332E1"/>
    <w:rsid w:val="00635C3B"/>
    <w:rsid w:val="00636305"/>
    <w:rsid w:val="006404D8"/>
    <w:rsid w:val="0064149C"/>
    <w:rsid w:val="0064316D"/>
    <w:rsid w:val="00644259"/>
    <w:rsid w:val="006449F6"/>
    <w:rsid w:val="006527DA"/>
    <w:rsid w:val="00652E8B"/>
    <w:rsid w:val="00653EDB"/>
    <w:rsid w:val="00656BE6"/>
    <w:rsid w:val="00656DF0"/>
    <w:rsid w:val="00657DC0"/>
    <w:rsid w:val="006638FC"/>
    <w:rsid w:val="00664F74"/>
    <w:rsid w:val="006652B9"/>
    <w:rsid w:val="006755C2"/>
    <w:rsid w:val="00682872"/>
    <w:rsid w:val="00684BBD"/>
    <w:rsid w:val="006866B4"/>
    <w:rsid w:val="006871E3"/>
    <w:rsid w:val="00690046"/>
    <w:rsid w:val="00690F39"/>
    <w:rsid w:val="006933A5"/>
    <w:rsid w:val="0069363E"/>
    <w:rsid w:val="00693D47"/>
    <w:rsid w:val="00697ACB"/>
    <w:rsid w:val="00697BAD"/>
    <w:rsid w:val="006A02FA"/>
    <w:rsid w:val="006A1773"/>
    <w:rsid w:val="006A2EF8"/>
    <w:rsid w:val="006A3026"/>
    <w:rsid w:val="006B18A6"/>
    <w:rsid w:val="006B226B"/>
    <w:rsid w:val="006B34EB"/>
    <w:rsid w:val="006B4728"/>
    <w:rsid w:val="006B489A"/>
    <w:rsid w:val="006C02FD"/>
    <w:rsid w:val="006C603F"/>
    <w:rsid w:val="006C6E9A"/>
    <w:rsid w:val="006D05BD"/>
    <w:rsid w:val="006D21FC"/>
    <w:rsid w:val="006D3A03"/>
    <w:rsid w:val="006D430E"/>
    <w:rsid w:val="006D69B3"/>
    <w:rsid w:val="006D728E"/>
    <w:rsid w:val="006E0759"/>
    <w:rsid w:val="006E107A"/>
    <w:rsid w:val="006E1139"/>
    <w:rsid w:val="006E2053"/>
    <w:rsid w:val="006E242E"/>
    <w:rsid w:val="006E4942"/>
    <w:rsid w:val="006E703B"/>
    <w:rsid w:val="006E7EA7"/>
    <w:rsid w:val="006F529D"/>
    <w:rsid w:val="006F583B"/>
    <w:rsid w:val="007034C2"/>
    <w:rsid w:val="00703A34"/>
    <w:rsid w:val="00705960"/>
    <w:rsid w:val="0070620F"/>
    <w:rsid w:val="0070738D"/>
    <w:rsid w:val="00711C4B"/>
    <w:rsid w:val="00712802"/>
    <w:rsid w:val="00713430"/>
    <w:rsid w:val="007146A4"/>
    <w:rsid w:val="00715711"/>
    <w:rsid w:val="007173E4"/>
    <w:rsid w:val="0072223E"/>
    <w:rsid w:val="00723B95"/>
    <w:rsid w:val="00724693"/>
    <w:rsid w:val="00724706"/>
    <w:rsid w:val="007279AC"/>
    <w:rsid w:val="00730F20"/>
    <w:rsid w:val="007314E9"/>
    <w:rsid w:val="00732788"/>
    <w:rsid w:val="00732C2E"/>
    <w:rsid w:val="007334D8"/>
    <w:rsid w:val="00734183"/>
    <w:rsid w:val="00736115"/>
    <w:rsid w:val="00736C1D"/>
    <w:rsid w:val="007373AA"/>
    <w:rsid w:val="00737828"/>
    <w:rsid w:val="00737877"/>
    <w:rsid w:val="00740437"/>
    <w:rsid w:val="00756243"/>
    <w:rsid w:val="00757306"/>
    <w:rsid w:val="00763FE6"/>
    <w:rsid w:val="0076406B"/>
    <w:rsid w:val="00766BBA"/>
    <w:rsid w:val="00771FA3"/>
    <w:rsid w:val="007740F8"/>
    <w:rsid w:val="00774A28"/>
    <w:rsid w:val="007755C9"/>
    <w:rsid w:val="00780998"/>
    <w:rsid w:val="00781EF4"/>
    <w:rsid w:val="00784104"/>
    <w:rsid w:val="00785044"/>
    <w:rsid w:val="0078708B"/>
    <w:rsid w:val="007876A9"/>
    <w:rsid w:val="0079385F"/>
    <w:rsid w:val="00795F52"/>
    <w:rsid w:val="00797129"/>
    <w:rsid w:val="007A2FF1"/>
    <w:rsid w:val="007B323A"/>
    <w:rsid w:val="007B3CD8"/>
    <w:rsid w:val="007B7601"/>
    <w:rsid w:val="007C13E9"/>
    <w:rsid w:val="007C3396"/>
    <w:rsid w:val="007C344F"/>
    <w:rsid w:val="007C4E91"/>
    <w:rsid w:val="007D05BD"/>
    <w:rsid w:val="007D50D1"/>
    <w:rsid w:val="007E0CB1"/>
    <w:rsid w:val="007E2FC4"/>
    <w:rsid w:val="007E5D60"/>
    <w:rsid w:val="007E5FAA"/>
    <w:rsid w:val="007E6E9E"/>
    <w:rsid w:val="007E782F"/>
    <w:rsid w:val="007E7D2B"/>
    <w:rsid w:val="007F08CF"/>
    <w:rsid w:val="007F2926"/>
    <w:rsid w:val="007F32E2"/>
    <w:rsid w:val="007F333E"/>
    <w:rsid w:val="007F3A51"/>
    <w:rsid w:val="007F5575"/>
    <w:rsid w:val="00803172"/>
    <w:rsid w:val="008042DE"/>
    <w:rsid w:val="00805F35"/>
    <w:rsid w:val="00807332"/>
    <w:rsid w:val="0080743D"/>
    <w:rsid w:val="00811FD1"/>
    <w:rsid w:val="008128AF"/>
    <w:rsid w:val="008138F5"/>
    <w:rsid w:val="00817D3A"/>
    <w:rsid w:val="00820117"/>
    <w:rsid w:val="00822458"/>
    <w:rsid w:val="00823CF5"/>
    <w:rsid w:val="00825875"/>
    <w:rsid w:val="00826B5E"/>
    <w:rsid w:val="00826CB9"/>
    <w:rsid w:val="00827994"/>
    <w:rsid w:val="00830410"/>
    <w:rsid w:val="00830CAA"/>
    <w:rsid w:val="0083163D"/>
    <w:rsid w:val="00834650"/>
    <w:rsid w:val="00836A74"/>
    <w:rsid w:val="00840D93"/>
    <w:rsid w:val="00842759"/>
    <w:rsid w:val="008433F1"/>
    <w:rsid w:val="00843442"/>
    <w:rsid w:val="00850890"/>
    <w:rsid w:val="00850C27"/>
    <w:rsid w:val="008566BC"/>
    <w:rsid w:val="0085702D"/>
    <w:rsid w:val="00866709"/>
    <w:rsid w:val="008673DC"/>
    <w:rsid w:val="00870A78"/>
    <w:rsid w:val="0088224B"/>
    <w:rsid w:val="00886021"/>
    <w:rsid w:val="00887659"/>
    <w:rsid w:val="008913A5"/>
    <w:rsid w:val="0089390F"/>
    <w:rsid w:val="00896EAC"/>
    <w:rsid w:val="008A26EC"/>
    <w:rsid w:val="008A3070"/>
    <w:rsid w:val="008A3E20"/>
    <w:rsid w:val="008A5BBF"/>
    <w:rsid w:val="008A61EC"/>
    <w:rsid w:val="008A6368"/>
    <w:rsid w:val="008A6BAD"/>
    <w:rsid w:val="008B2E70"/>
    <w:rsid w:val="008B33A7"/>
    <w:rsid w:val="008B411F"/>
    <w:rsid w:val="008B5A87"/>
    <w:rsid w:val="008B750D"/>
    <w:rsid w:val="008C0F5D"/>
    <w:rsid w:val="008C179A"/>
    <w:rsid w:val="008C17FC"/>
    <w:rsid w:val="008C252C"/>
    <w:rsid w:val="008C3271"/>
    <w:rsid w:val="008C3F6A"/>
    <w:rsid w:val="008C4A3F"/>
    <w:rsid w:val="008C4BCA"/>
    <w:rsid w:val="008C4C9A"/>
    <w:rsid w:val="008C5FB7"/>
    <w:rsid w:val="008D3866"/>
    <w:rsid w:val="008D4265"/>
    <w:rsid w:val="008D5079"/>
    <w:rsid w:val="008E39BE"/>
    <w:rsid w:val="008E4366"/>
    <w:rsid w:val="008E61EA"/>
    <w:rsid w:val="008E6B05"/>
    <w:rsid w:val="008E7106"/>
    <w:rsid w:val="008F100A"/>
    <w:rsid w:val="008F30D6"/>
    <w:rsid w:val="009008F1"/>
    <w:rsid w:val="00901DFB"/>
    <w:rsid w:val="0090291B"/>
    <w:rsid w:val="009059EB"/>
    <w:rsid w:val="00910165"/>
    <w:rsid w:val="00911413"/>
    <w:rsid w:val="00911AA7"/>
    <w:rsid w:val="00912099"/>
    <w:rsid w:val="00912131"/>
    <w:rsid w:val="00912F0F"/>
    <w:rsid w:val="00914039"/>
    <w:rsid w:val="00915320"/>
    <w:rsid w:val="009177F0"/>
    <w:rsid w:val="00926C61"/>
    <w:rsid w:val="00926DA4"/>
    <w:rsid w:val="0092779A"/>
    <w:rsid w:val="009304BA"/>
    <w:rsid w:val="0093265F"/>
    <w:rsid w:val="00932799"/>
    <w:rsid w:val="00935882"/>
    <w:rsid w:val="00936B57"/>
    <w:rsid w:val="00936BAF"/>
    <w:rsid w:val="009415C6"/>
    <w:rsid w:val="009426CD"/>
    <w:rsid w:val="009432D5"/>
    <w:rsid w:val="00943556"/>
    <w:rsid w:val="0094569D"/>
    <w:rsid w:val="00952B97"/>
    <w:rsid w:val="00953D8B"/>
    <w:rsid w:val="00953E76"/>
    <w:rsid w:val="00954256"/>
    <w:rsid w:val="009626D7"/>
    <w:rsid w:val="009631AA"/>
    <w:rsid w:val="00965A75"/>
    <w:rsid w:val="0097020F"/>
    <w:rsid w:val="00971B13"/>
    <w:rsid w:val="00971C39"/>
    <w:rsid w:val="00972555"/>
    <w:rsid w:val="00975387"/>
    <w:rsid w:val="00982D29"/>
    <w:rsid w:val="00983052"/>
    <w:rsid w:val="00984B3B"/>
    <w:rsid w:val="00985E07"/>
    <w:rsid w:val="0099251D"/>
    <w:rsid w:val="009957C9"/>
    <w:rsid w:val="009A0566"/>
    <w:rsid w:val="009A549C"/>
    <w:rsid w:val="009A576F"/>
    <w:rsid w:val="009A5FC1"/>
    <w:rsid w:val="009A767D"/>
    <w:rsid w:val="009B29F1"/>
    <w:rsid w:val="009B4292"/>
    <w:rsid w:val="009B5238"/>
    <w:rsid w:val="009C0359"/>
    <w:rsid w:val="009C217A"/>
    <w:rsid w:val="009C7E6B"/>
    <w:rsid w:val="009D0FCE"/>
    <w:rsid w:val="009D311E"/>
    <w:rsid w:val="009D32C0"/>
    <w:rsid w:val="009E1F8F"/>
    <w:rsid w:val="009E2305"/>
    <w:rsid w:val="009E2B5B"/>
    <w:rsid w:val="009E2D1F"/>
    <w:rsid w:val="009E376D"/>
    <w:rsid w:val="009E4005"/>
    <w:rsid w:val="009E40F6"/>
    <w:rsid w:val="009E6D56"/>
    <w:rsid w:val="009F0049"/>
    <w:rsid w:val="009F0FE0"/>
    <w:rsid w:val="009F1863"/>
    <w:rsid w:val="009F1F61"/>
    <w:rsid w:val="009F386B"/>
    <w:rsid w:val="009F4518"/>
    <w:rsid w:val="009F47F7"/>
    <w:rsid w:val="009F491D"/>
    <w:rsid w:val="009F5B72"/>
    <w:rsid w:val="009F5F94"/>
    <w:rsid w:val="009F6238"/>
    <w:rsid w:val="009F6A4D"/>
    <w:rsid w:val="00A010F0"/>
    <w:rsid w:val="00A01E21"/>
    <w:rsid w:val="00A04E85"/>
    <w:rsid w:val="00A05201"/>
    <w:rsid w:val="00A05A39"/>
    <w:rsid w:val="00A06899"/>
    <w:rsid w:val="00A07CE4"/>
    <w:rsid w:val="00A10737"/>
    <w:rsid w:val="00A1382B"/>
    <w:rsid w:val="00A16063"/>
    <w:rsid w:val="00A16AC9"/>
    <w:rsid w:val="00A172AD"/>
    <w:rsid w:val="00A21D4A"/>
    <w:rsid w:val="00A253E6"/>
    <w:rsid w:val="00A324D8"/>
    <w:rsid w:val="00A340A1"/>
    <w:rsid w:val="00A343E7"/>
    <w:rsid w:val="00A354B9"/>
    <w:rsid w:val="00A4103D"/>
    <w:rsid w:val="00A4188C"/>
    <w:rsid w:val="00A44DE2"/>
    <w:rsid w:val="00A4510A"/>
    <w:rsid w:val="00A464E6"/>
    <w:rsid w:val="00A46A0C"/>
    <w:rsid w:val="00A476CA"/>
    <w:rsid w:val="00A50886"/>
    <w:rsid w:val="00A50CD5"/>
    <w:rsid w:val="00A528AB"/>
    <w:rsid w:val="00A54AB0"/>
    <w:rsid w:val="00A57196"/>
    <w:rsid w:val="00A61526"/>
    <w:rsid w:val="00A62C9C"/>
    <w:rsid w:val="00A66F46"/>
    <w:rsid w:val="00A703BC"/>
    <w:rsid w:val="00A71872"/>
    <w:rsid w:val="00A72635"/>
    <w:rsid w:val="00A72B60"/>
    <w:rsid w:val="00A76A4C"/>
    <w:rsid w:val="00A807F7"/>
    <w:rsid w:val="00A82757"/>
    <w:rsid w:val="00A82A92"/>
    <w:rsid w:val="00A82C6F"/>
    <w:rsid w:val="00A844A3"/>
    <w:rsid w:val="00A86533"/>
    <w:rsid w:val="00A865BD"/>
    <w:rsid w:val="00A969D9"/>
    <w:rsid w:val="00A97895"/>
    <w:rsid w:val="00A978AD"/>
    <w:rsid w:val="00AA0750"/>
    <w:rsid w:val="00AA2BCF"/>
    <w:rsid w:val="00AA42EB"/>
    <w:rsid w:val="00AA471F"/>
    <w:rsid w:val="00AA4CD6"/>
    <w:rsid w:val="00AA5F48"/>
    <w:rsid w:val="00AA6AA7"/>
    <w:rsid w:val="00AB0C22"/>
    <w:rsid w:val="00AB15D0"/>
    <w:rsid w:val="00AB3F4D"/>
    <w:rsid w:val="00AB40FF"/>
    <w:rsid w:val="00AB5AA1"/>
    <w:rsid w:val="00AB7695"/>
    <w:rsid w:val="00AC08CB"/>
    <w:rsid w:val="00AC4D4B"/>
    <w:rsid w:val="00AC6318"/>
    <w:rsid w:val="00AC65D1"/>
    <w:rsid w:val="00AD33B8"/>
    <w:rsid w:val="00AD3410"/>
    <w:rsid w:val="00AD5119"/>
    <w:rsid w:val="00AD696A"/>
    <w:rsid w:val="00AD7A54"/>
    <w:rsid w:val="00AE04DA"/>
    <w:rsid w:val="00AE113E"/>
    <w:rsid w:val="00AE157B"/>
    <w:rsid w:val="00AE2ABB"/>
    <w:rsid w:val="00AE3588"/>
    <w:rsid w:val="00AE406E"/>
    <w:rsid w:val="00AE4C07"/>
    <w:rsid w:val="00AE6473"/>
    <w:rsid w:val="00AE7E12"/>
    <w:rsid w:val="00AF35CD"/>
    <w:rsid w:val="00B01706"/>
    <w:rsid w:val="00B02AEB"/>
    <w:rsid w:val="00B02EB5"/>
    <w:rsid w:val="00B04463"/>
    <w:rsid w:val="00B045C4"/>
    <w:rsid w:val="00B11569"/>
    <w:rsid w:val="00B145AD"/>
    <w:rsid w:val="00B16537"/>
    <w:rsid w:val="00B20512"/>
    <w:rsid w:val="00B20768"/>
    <w:rsid w:val="00B2095D"/>
    <w:rsid w:val="00B2197B"/>
    <w:rsid w:val="00B244E7"/>
    <w:rsid w:val="00B31306"/>
    <w:rsid w:val="00B366C7"/>
    <w:rsid w:val="00B36A82"/>
    <w:rsid w:val="00B36FD4"/>
    <w:rsid w:val="00B3761A"/>
    <w:rsid w:val="00B40DE3"/>
    <w:rsid w:val="00B41B44"/>
    <w:rsid w:val="00B41B93"/>
    <w:rsid w:val="00B43AC0"/>
    <w:rsid w:val="00B46A1B"/>
    <w:rsid w:val="00B47C52"/>
    <w:rsid w:val="00B5283F"/>
    <w:rsid w:val="00B536BB"/>
    <w:rsid w:val="00B54217"/>
    <w:rsid w:val="00B55F87"/>
    <w:rsid w:val="00B57598"/>
    <w:rsid w:val="00B61927"/>
    <w:rsid w:val="00B62CB0"/>
    <w:rsid w:val="00B67E83"/>
    <w:rsid w:val="00B71514"/>
    <w:rsid w:val="00B72322"/>
    <w:rsid w:val="00B74E61"/>
    <w:rsid w:val="00B7539B"/>
    <w:rsid w:val="00B76131"/>
    <w:rsid w:val="00B80F67"/>
    <w:rsid w:val="00B81156"/>
    <w:rsid w:val="00B82E62"/>
    <w:rsid w:val="00B86B9E"/>
    <w:rsid w:val="00B879C6"/>
    <w:rsid w:val="00B90B19"/>
    <w:rsid w:val="00B90F51"/>
    <w:rsid w:val="00B91E3C"/>
    <w:rsid w:val="00B93DB3"/>
    <w:rsid w:val="00B96624"/>
    <w:rsid w:val="00B96B94"/>
    <w:rsid w:val="00BA0E2B"/>
    <w:rsid w:val="00BA5428"/>
    <w:rsid w:val="00BA5789"/>
    <w:rsid w:val="00BA62B7"/>
    <w:rsid w:val="00BA66D6"/>
    <w:rsid w:val="00BB07AA"/>
    <w:rsid w:val="00BB2670"/>
    <w:rsid w:val="00BB272D"/>
    <w:rsid w:val="00BB4544"/>
    <w:rsid w:val="00BB505D"/>
    <w:rsid w:val="00BB5103"/>
    <w:rsid w:val="00BB551D"/>
    <w:rsid w:val="00BB7F0F"/>
    <w:rsid w:val="00BC129B"/>
    <w:rsid w:val="00BC1F3C"/>
    <w:rsid w:val="00BC7429"/>
    <w:rsid w:val="00BD08CF"/>
    <w:rsid w:val="00BD1182"/>
    <w:rsid w:val="00BE590E"/>
    <w:rsid w:val="00BE6A92"/>
    <w:rsid w:val="00BF0CCC"/>
    <w:rsid w:val="00BF0DB6"/>
    <w:rsid w:val="00BF0F74"/>
    <w:rsid w:val="00BF101B"/>
    <w:rsid w:val="00BF33A9"/>
    <w:rsid w:val="00BF4ACC"/>
    <w:rsid w:val="00BF5430"/>
    <w:rsid w:val="00C02C21"/>
    <w:rsid w:val="00C13868"/>
    <w:rsid w:val="00C15E6D"/>
    <w:rsid w:val="00C164B0"/>
    <w:rsid w:val="00C16ECE"/>
    <w:rsid w:val="00C24CEB"/>
    <w:rsid w:val="00C251B1"/>
    <w:rsid w:val="00C25DB5"/>
    <w:rsid w:val="00C27322"/>
    <w:rsid w:val="00C317F4"/>
    <w:rsid w:val="00C33857"/>
    <w:rsid w:val="00C34524"/>
    <w:rsid w:val="00C37B9E"/>
    <w:rsid w:val="00C42660"/>
    <w:rsid w:val="00C42D4B"/>
    <w:rsid w:val="00C440C5"/>
    <w:rsid w:val="00C4538D"/>
    <w:rsid w:val="00C4660A"/>
    <w:rsid w:val="00C47C9D"/>
    <w:rsid w:val="00C500D4"/>
    <w:rsid w:val="00C50BF6"/>
    <w:rsid w:val="00C51984"/>
    <w:rsid w:val="00C530C5"/>
    <w:rsid w:val="00C56033"/>
    <w:rsid w:val="00C56503"/>
    <w:rsid w:val="00C60F13"/>
    <w:rsid w:val="00C612F6"/>
    <w:rsid w:val="00C61AE7"/>
    <w:rsid w:val="00C62936"/>
    <w:rsid w:val="00C64DD8"/>
    <w:rsid w:val="00C65F6D"/>
    <w:rsid w:val="00C67EEF"/>
    <w:rsid w:val="00C7006F"/>
    <w:rsid w:val="00C70D23"/>
    <w:rsid w:val="00C70F2C"/>
    <w:rsid w:val="00C7162C"/>
    <w:rsid w:val="00C82777"/>
    <w:rsid w:val="00C82C71"/>
    <w:rsid w:val="00C92C44"/>
    <w:rsid w:val="00C95AB5"/>
    <w:rsid w:val="00CA1EEF"/>
    <w:rsid w:val="00CA208C"/>
    <w:rsid w:val="00CA7BBE"/>
    <w:rsid w:val="00CB0750"/>
    <w:rsid w:val="00CB0C1A"/>
    <w:rsid w:val="00CB1406"/>
    <w:rsid w:val="00CB1682"/>
    <w:rsid w:val="00CB3731"/>
    <w:rsid w:val="00CB7CED"/>
    <w:rsid w:val="00CB7F26"/>
    <w:rsid w:val="00CC52B5"/>
    <w:rsid w:val="00CC5709"/>
    <w:rsid w:val="00CD03E2"/>
    <w:rsid w:val="00CD22A8"/>
    <w:rsid w:val="00CD30C1"/>
    <w:rsid w:val="00CD32C8"/>
    <w:rsid w:val="00CD4D63"/>
    <w:rsid w:val="00CD564F"/>
    <w:rsid w:val="00CD576A"/>
    <w:rsid w:val="00CD5B92"/>
    <w:rsid w:val="00CE5A27"/>
    <w:rsid w:val="00CF1131"/>
    <w:rsid w:val="00CF1862"/>
    <w:rsid w:val="00CF2BD8"/>
    <w:rsid w:val="00CF52F9"/>
    <w:rsid w:val="00CF61EA"/>
    <w:rsid w:val="00D004E9"/>
    <w:rsid w:val="00D03729"/>
    <w:rsid w:val="00D039CA"/>
    <w:rsid w:val="00D07C73"/>
    <w:rsid w:val="00D12808"/>
    <w:rsid w:val="00D13EF5"/>
    <w:rsid w:val="00D142C3"/>
    <w:rsid w:val="00D15D38"/>
    <w:rsid w:val="00D166A3"/>
    <w:rsid w:val="00D16BB0"/>
    <w:rsid w:val="00D21520"/>
    <w:rsid w:val="00D24C43"/>
    <w:rsid w:val="00D26C33"/>
    <w:rsid w:val="00D27B0C"/>
    <w:rsid w:val="00D316D8"/>
    <w:rsid w:val="00D37CB7"/>
    <w:rsid w:val="00D42025"/>
    <w:rsid w:val="00D43207"/>
    <w:rsid w:val="00D5197A"/>
    <w:rsid w:val="00D53CC0"/>
    <w:rsid w:val="00D55D69"/>
    <w:rsid w:val="00D574BD"/>
    <w:rsid w:val="00D57DD9"/>
    <w:rsid w:val="00D66233"/>
    <w:rsid w:val="00D66C4C"/>
    <w:rsid w:val="00D70804"/>
    <w:rsid w:val="00D72FE1"/>
    <w:rsid w:val="00D77411"/>
    <w:rsid w:val="00D77FCE"/>
    <w:rsid w:val="00D80615"/>
    <w:rsid w:val="00D8121B"/>
    <w:rsid w:val="00D85071"/>
    <w:rsid w:val="00D91927"/>
    <w:rsid w:val="00D93B5C"/>
    <w:rsid w:val="00D93C3B"/>
    <w:rsid w:val="00DA19D8"/>
    <w:rsid w:val="00DA4CB7"/>
    <w:rsid w:val="00DA5C92"/>
    <w:rsid w:val="00DA66CF"/>
    <w:rsid w:val="00DA6745"/>
    <w:rsid w:val="00DA6F9C"/>
    <w:rsid w:val="00DB0F0A"/>
    <w:rsid w:val="00DB237A"/>
    <w:rsid w:val="00DB429B"/>
    <w:rsid w:val="00DB552B"/>
    <w:rsid w:val="00DB5D22"/>
    <w:rsid w:val="00DC400A"/>
    <w:rsid w:val="00DC5878"/>
    <w:rsid w:val="00DC7E63"/>
    <w:rsid w:val="00DD026A"/>
    <w:rsid w:val="00DD5413"/>
    <w:rsid w:val="00DD6C0E"/>
    <w:rsid w:val="00DE0399"/>
    <w:rsid w:val="00DE0B92"/>
    <w:rsid w:val="00DE2842"/>
    <w:rsid w:val="00DE3651"/>
    <w:rsid w:val="00DE4E86"/>
    <w:rsid w:val="00DE67AB"/>
    <w:rsid w:val="00DE755E"/>
    <w:rsid w:val="00DE75DA"/>
    <w:rsid w:val="00DF3970"/>
    <w:rsid w:val="00DF3BD6"/>
    <w:rsid w:val="00DF50F6"/>
    <w:rsid w:val="00DF702E"/>
    <w:rsid w:val="00E03BAD"/>
    <w:rsid w:val="00E0452D"/>
    <w:rsid w:val="00E048EA"/>
    <w:rsid w:val="00E05548"/>
    <w:rsid w:val="00E1267B"/>
    <w:rsid w:val="00E138DA"/>
    <w:rsid w:val="00E15629"/>
    <w:rsid w:val="00E15A65"/>
    <w:rsid w:val="00E227EA"/>
    <w:rsid w:val="00E22E9D"/>
    <w:rsid w:val="00E262F1"/>
    <w:rsid w:val="00E26E27"/>
    <w:rsid w:val="00E312E0"/>
    <w:rsid w:val="00E329C1"/>
    <w:rsid w:val="00E406F4"/>
    <w:rsid w:val="00E40F9C"/>
    <w:rsid w:val="00E42A1E"/>
    <w:rsid w:val="00E42F09"/>
    <w:rsid w:val="00E43BBA"/>
    <w:rsid w:val="00E44708"/>
    <w:rsid w:val="00E4687B"/>
    <w:rsid w:val="00E47A0C"/>
    <w:rsid w:val="00E50246"/>
    <w:rsid w:val="00E5073D"/>
    <w:rsid w:val="00E54203"/>
    <w:rsid w:val="00E558ED"/>
    <w:rsid w:val="00E62D4C"/>
    <w:rsid w:val="00E647FE"/>
    <w:rsid w:val="00E65B23"/>
    <w:rsid w:val="00E66B6E"/>
    <w:rsid w:val="00E67282"/>
    <w:rsid w:val="00E70DD7"/>
    <w:rsid w:val="00E72BA2"/>
    <w:rsid w:val="00E76C13"/>
    <w:rsid w:val="00E803B7"/>
    <w:rsid w:val="00E82237"/>
    <w:rsid w:val="00E84307"/>
    <w:rsid w:val="00E84918"/>
    <w:rsid w:val="00E84E31"/>
    <w:rsid w:val="00E864B6"/>
    <w:rsid w:val="00E8694B"/>
    <w:rsid w:val="00E90199"/>
    <w:rsid w:val="00E90875"/>
    <w:rsid w:val="00E9391C"/>
    <w:rsid w:val="00E94494"/>
    <w:rsid w:val="00E95DA5"/>
    <w:rsid w:val="00E96061"/>
    <w:rsid w:val="00E96181"/>
    <w:rsid w:val="00E975E1"/>
    <w:rsid w:val="00EA266C"/>
    <w:rsid w:val="00EA390C"/>
    <w:rsid w:val="00EA580F"/>
    <w:rsid w:val="00EA7401"/>
    <w:rsid w:val="00EA7A2F"/>
    <w:rsid w:val="00EB3697"/>
    <w:rsid w:val="00EB425D"/>
    <w:rsid w:val="00EC0080"/>
    <w:rsid w:val="00EC2528"/>
    <w:rsid w:val="00EC51D4"/>
    <w:rsid w:val="00EC77B8"/>
    <w:rsid w:val="00ED21C2"/>
    <w:rsid w:val="00ED391D"/>
    <w:rsid w:val="00ED6DB8"/>
    <w:rsid w:val="00ED7FC2"/>
    <w:rsid w:val="00EE02E3"/>
    <w:rsid w:val="00EE103C"/>
    <w:rsid w:val="00EE1FF8"/>
    <w:rsid w:val="00EE3558"/>
    <w:rsid w:val="00EE5048"/>
    <w:rsid w:val="00F01801"/>
    <w:rsid w:val="00F04B96"/>
    <w:rsid w:val="00F05665"/>
    <w:rsid w:val="00F064DA"/>
    <w:rsid w:val="00F074CC"/>
    <w:rsid w:val="00F170DC"/>
    <w:rsid w:val="00F21190"/>
    <w:rsid w:val="00F2166B"/>
    <w:rsid w:val="00F2228A"/>
    <w:rsid w:val="00F2303E"/>
    <w:rsid w:val="00F2360B"/>
    <w:rsid w:val="00F2572C"/>
    <w:rsid w:val="00F279B1"/>
    <w:rsid w:val="00F335E2"/>
    <w:rsid w:val="00F369C2"/>
    <w:rsid w:val="00F41CCF"/>
    <w:rsid w:val="00F46751"/>
    <w:rsid w:val="00F47205"/>
    <w:rsid w:val="00F50533"/>
    <w:rsid w:val="00F51C79"/>
    <w:rsid w:val="00F52A95"/>
    <w:rsid w:val="00F5417F"/>
    <w:rsid w:val="00F544FC"/>
    <w:rsid w:val="00F5538C"/>
    <w:rsid w:val="00F57742"/>
    <w:rsid w:val="00F61968"/>
    <w:rsid w:val="00F61CD8"/>
    <w:rsid w:val="00F62F00"/>
    <w:rsid w:val="00F6496F"/>
    <w:rsid w:val="00F67ECE"/>
    <w:rsid w:val="00F70230"/>
    <w:rsid w:val="00F71E34"/>
    <w:rsid w:val="00F73D68"/>
    <w:rsid w:val="00F8164E"/>
    <w:rsid w:val="00F8232B"/>
    <w:rsid w:val="00F82E73"/>
    <w:rsid w:val="00F861A0"/>
    <w:rsid w:val="00F875B5"/>
    <w:rsid w:val="00F877E0"/>
    <w:rsid w:val="00F879C1"/>
    <w:rsid w:val="00F93646"/>
    <w:rsid w:val="00F94C85"/>
    <w:rsid w:val="00F966E9"/>
    <w:rsid w:val="00FA0842"/>
    <w:rsid w:val="00FA13F8"/>
    <w:rsid w:val="00FA44DA"/>
    <w:rsid w:val="00FA5352"/>
    <w:rsid w:val="00FA6B4A"/>
    <w:rsid w:val="00FB15F6"/>
    <w:rsid w:val="00FB4CAB"/>
    <w:rsid w:val="00FC0127"/>
    <w:rsid w:val="00FC0AF4"/>
    <w:rsid w:val="00FC1217"/>
    <w:rsid w:val="00FC1601"/>
    <w:rsid w:val="00FC20A1"/>
    <w:rsid w:val="00FC32B3"/>
    <w:rsid w:val="00FC35B3"/>
    <w:rsid w:val="00FC5D01"/>
    <w:rsid w:val="00FC6C4E"/>
    <w:rsid w:val="00FC73C0"/>
    <w:rsid w:val="00FC7B20"/>
    <w:rsid w:val="00FD59EA"/>
    <w:rsid w:val="00FD77DC"/>
    <w:rsid w:val="00FE1188"/>
    <w:rsid w:val="00FE6A35"/>
    <w:rsid w:val="00FF0579"/>
    <w:rsid w:val="00FF0AD6"/>
    <w:rsid w:val="00FF0DDD"/>
    <w:rsid w:val="00FF0E75"/>
    <w:rsid w:val="00FF34A6"/>
    <w:rsid w:val="00FF3532"/>
    <w:rsid w:val="00FF4A46"/>
    <w:rsid w:val="00FF4A84"/>
    <w:rsid w:val="01011432"/>
    <w:rsid w:val="012445AC"/>
    <w:rsid w:val="017E6F26"/>
    <w:rsid w:val="019B724F"/>
    <w:rsid w:val="021724B6"/>
    <w:rsid w:val="021B4731"/>
    <w:rsid w:val="02550E7C"/>
    <w:rsid w:val="02D04BCE"/>
    <w:rsid w:val="02D818C8"/>
    <w:rsid w:val="02E4100B"/>
    <w:rsid w:val="031D5CF3"/>
    <w:rsid w:val="035F37FF"/>
    <w:rsid w:val="03771175"/>
    <w:rsid w:val="03CB2606"/>
    <w:rsid w:val="03D70A97"/>
    <w:rsid w:val="0412767E"/>
    <w:rsid w:val="04241BD3"/>
    <w:rsid w:val="045C7A86"/>
    <w:rsid w:val="04D41E1D"/>
    <w:rsid w:val="04D54C4A"/>
    <w:rsid w:val="04DB2970"/>
    <w:rsid w:val="04F01AAE"/>
    <w:rsid w:val="04F676B8"/>
    <w:rsid w:val="05265A02"/>
    <w:rsid w:val="05356213"/>
    <w:rsid w:val="05826347"/>
    <w:rsid w:val="05C23A6D"/>
    <w:rsid w:val="05E55D46"/>
    <w:rsid w:val="06596181"/>
    <w:rsid w:val="066A0126"/>
    <w:rsid w:val="06734B80"/>
    <w:rsid w:val="0678163E"/>
    <w:rsid w:val="06E57C09"/>
    <w:rsid w:val="06F45E33"/>
    <w:rsid w:val="06F721DC"/>
    <w:rsid w:val="06FF62ED"/>
    <w:rsid w:val="072F5FC9"/>
    <w:rsid w:val="0730666A"/>
    <w:rsid w:val="075E2710"/>
    <w:rsid w:val="07B2792A"/>
    <w:rsid w:val="07C80EFB"/>
    <w:rsid w:val="07CB66C8"/>
    <w:rsid w:val="07DA1D60"/>
    <w:rsid w:val="08121180"/>
    <w:rsid w:val="083C3413"/>
    <w:rsid w:val="08451156"/>
    <w:rsid w:val="085F4894"/>
    <w:rsid w:val="08717B51"/>
    <w:rsid w:val="087613A8"/>
    <w:rsid w:val="08861B7B"/>
    <w:rsid w:val="08923D33"/>
    <w:rsid w:val="08987651"/>
    <w:rsid w:val="08AC6127"/>
    <w:rsid w:val="08CA5CEF"/>
    <w:rsid w:val="08CB44AD"/>
    <w:rsid w:val="08F37BF2"/>
    <w:rsid w:val="092762A1"/>
    <w:rsid w:val="098B5461"/>
    <w:rsid w:val="09AA03F3"/>
    <w:rsid w:val="09B47989"/>
    <w:rsid w:val="09CD7BF8"/>
    <w:rsid w:val="0A0E7DFB"/>
    <w:rsid w:val="0A1028A3"/>
    <w:rsid w:val="0A3A7786"/>
    <w:rsid w:val="0A4A2FC6"/>
    <w:rsid w:val="0A8176AE"/>
    <w:rsid w:val="0AA03D69"/>
    <w:rsid w:val="0AE02795"/>
    <w:rsid w:val="0AF017BD"/>
    <w:rsid w:val="0AF43663"/>
    <w:rsid w:val="0B101F81"/>
    <w:rsid w:val="0B573604"/>
    <w:rsid w:val="0B8B55E6"/>
    <w:rsid w:val="0B9F01C5"/>
    <w:rsid w:val="0BA8565F"/>
    <w:rsid w:val="0BBE7138"/>
    <w:rsid w:val="0BC40004"/>
    <w:rsid w:val="0BE512EC"/>
    <w:rsid w:val="0BFB1F26"/>
    <w:rsid w:val="0C212DC3"/>
    <w:rsid w:val="0C565D69"/>
    <w:rsid w:val="0C9B7858"/>
    <w:rsid w:val="0C9E24A6"/>
    <w:rsid w:val="0CBA69BF"/>
    <w:rsid w:val="0D1F4310"/>
    <w:rsid w:val="0D335791"/>
    <w:rsid w:val="0D896215"/>
    <w:rsid w:val="0DA2542E"/>
    <w:rsid w:val="0DA27334"/>
    <w:rsid w:val="0DA616BD"/>
    <w:rsid w:val="0DA649BA"/>
    <w:rsid w:val="0E022231"/>
    <w:rsid w:val="0E1261D7"/>
    <w:rsid w:val="0E322BBE"/>
    <w:rsid w:val="0E335291"/>
    <w:rsid w:val="0E4A1CCC"/>
    <w:rsid w:val="0E7B041A"/>
    <w:rsid w:val="0EA5371F"/>
    <w:rsid w:val="0EB51178"/>
    <w:rsid w:val="0ED3005B"/>
    <w:rsid w:val="0F753717"/>
    <w:rsid w:val="0F87169C"/>
    <w:rsid w:val="0F892F0A"/>
    <w:rsid w:val="0F9B57F0"/>
    <w:rsid w:val="0FA12218"/>
    <w:rsid w:val="0FD71A8B"/>
    <w:rsid w:val="10165C9A"/>
    <w:rsid w:val="102E1925"/>
    <w:rsid w:val="103F63DB"/>
    <w:rsid w:val="105C6685"/>
    <w:rsid w:val="108830CA"/>
    <w:rsid w:val="10EC7A09"/>
    <w:rsid w:val="11127192"/>
    <w:rsid w:val="111E4936"/>
    <w:rsid w:val="115D67E5"/>
    <w:rsid w:val="11CE7039"/>
    <w:rsid w:val="11D16BFE"/>
    <w:rsid w:val="11FA0AD0"/>
    <w:rsid w:val="122005D1"/>
    <w:rsid w:val="122619F6"/>
    <w:rsid w:val="122B2605"/>
    <w:rsid w:val="122E2875"/>
    <w:rsid w:val="127952CC"/>
    <w:rsid w:val="12855824"/>
    <w:rsid w:val="12952536"/>
    <w:rsid w:val="12987245"/>
    <w:rsid w:val="12BB1B1C"/>
    <w:rsid w:val="12C26C88"/>
    <w:rsid w:val="12C448A2"/>
    <w:rsid w:val="12E90170"/>
    <w:rsid w:val="130E479D"/>
    <w:rsid w:val="1319260B"/>
    <w:rsid w:val="1360032C"/>
    <w:rsid w:val="136E4A24"/>
    <w:rsid w:val="13AD56F3"/>
    <w:rsid w:val="13C81F5B"/>
    <w:rsid w:val="13E7516F"/>
    <w:rsid w:val="13E86DB5"/>
    <w:rsid w:val="143B1652"/>
    <w:rsid w:val="144E5149"/>
    <w:rsid w:val="14513741"/>
    <w:rsid w:val="14930823"/>
    <w:rsid w:val="149E53BE"/>
    <w:rsid w:val="14A071D9"/>
    <w:rsid w:val="14AB1989"/>
    <w:rsid w:val="14B30C1E"/>
    <w:rsid w:val="14D57E65"/>
    <w:rsid w:val="14F2514F"/>
    <w:rsid w:val="150F1354"/>
    <w:rsid w:val="15170E97"/>
    <w:rsid w:val="15391C68"/>
    <w:rsid w:val="15406575"/>
    <w:rsid w:val="15575881"/>
    <w:rsid w:val="15A52151"/>
    <w:rsid w:val="15A76A47"/>
    <w:rsid w:val="15C43AF9"/>
    <w:rsid w:val="15D1541F"/>
    <w:rsid w:val="15D87D38"/>
    <w:rsid w:val="15F00275"/>
    <w:rsid w:val="15F223FA"/>
    <w:rsid w:val="16066C7F"/>
    <w:rsid w:val="1637336A"/>
    <w:rsid w:val="16445249"/>
    <w:rsid w:val="16754391"/>
    <w:rsid w:val="168B76D2"/>
    <w:rsid w:val="16B36CDC"/>
    <w:rsid w:val="16D9778D"/>
    <w:rsid w:val="16DF67A5"/>
    <w:rsid w:val="16E16878"/>
    <w:rsid w:val="170E2AE3"/>
    <w:rsid w:val="17997924"/>
    <w:rsid w:val="17C02F4D"/>
    <w:rsid w:val="17D549F7"/>
    <w:rsid w:val="17D87838"/>
    <w:rsid w:val="17E201BD"/>
    <w:rsid w:val="180975B0"/>
    <w:rsid w:val="180C5F75"/>
    <w:rsid w:val="18221F62"/>
    <w:rsid w:val="18B578D0"/>
    <w:rsid w:val="18BB169F"/>
    <w:rsid w:val="18F169BC"/>
    <w:rsid w:val="1901601B"/>
    <w:rsid w:val="19055FA5"/>
    <w:rsid w:val="190D096B"/>
    <w:rsid w:val="1913637C"/>
    <w:rsid w:val="193A7C93"/>
    <w:rsid w:val="193E6A84"/>
    <w:rsid w:val="19412E5C"/>
    <w:rsid w:val="194B7158"/>
    <w:rsid w:val="194E5E3F"/>
    <w:rsid w:val="19564273"/>
    <w:rsid w:val="19877384"/>
    <w:rsid w:val="19981EC3"/>
    <w:rsid w:val="19A7032B"/>
    <w:rsid w:val="1A014888"/>
    <w:rsid w:val="1A1E542C"/>
    <w:rsid w:val="1A425581"/>
    <w:rsid w:val="1A6427B8"/>
    <w:rsid w:val="1A895719"/>
    <w:rsid w:val="1AC373EA"/>
    <w:rsid w:val="1B100279"/>
    <w:rsid w:val="1B4125B8"/>
    <w:rsid w:val="1B4C6EC1"/>
    <w:rsid w:val="1B60580C"/>
    <w:rsid w:val="1B8F0B37"/>
    <w:rsid w:val="1BEB440E"/>
    <w:rsid w:val="1C1260EB"/>
    <w:rsid w:val="1C13053F"/>
    <w:rsid w:val="1C136A1E"/>
    <w:rsid w:val="1C1D3410"/>
    <w:rsid w:val="1C36276E"/>
    <w:rsid w:val="1C387229"/>
    <w:rsid w:val="1C6157A9"/>
    <w:rsid w:val="1C6E5865"/>
    <w:rsid w:val="1C8925AF"/>
    <w:rsid w:val="1C8D6CD2"/>
    <w:rsid w:val="1CAF47F4"/>
    <w:rsid w:val="1CBF3F1C"/>
    <w:rsid w:val="1CCA3BE5"/>
    <w:rsid w:val="1CDC6E23"/>
    <w:rsid w:val="1D2175E7"/>
    <w:rsid w:val="1D78389E"/>
    <w:rsid w:val="1DD463CB"/>
    <w:rsid w:val="1DF91353"/>
    <w:rsid w:val="1DFE46A3"/>
    <w:rsid w:val="1E5D33B2"/>
    <w:rsid w:val="1E6D7CAF"/>
    <w:rsid w:val="1E7F67EF"/>
    <w:rsid w:val="1E8A24B5"/>
    <w:rsid w:val="1E9A7BF0"/>
    <w:rsid w:val="1E9E1EBA"/>
    <w:rsid w:val="1EA51A19"/>
    <w:rsid w:val="1EB16D81"/>
    <w:rsid w:val="1EBA7398"/>
    <w:rsid w:val="1EEE7449"/>
    <w:rsid w:val="1EF629CA"/>
    <w:rsid w:val="1F0C0624"/>
    <w:rsid w:val="1F152395"/>
    <w:rsid w:val="1F2F07A1"/>
    <w:rsid w:val="1F7733AF"/>
    <w:rsid w:val="1F845B16"/>
    <w:rsid w:val="1F854CDF"/>
    <w:rsid w:val="1F947BE9"/>
    <w:rsid w:val="1FBC6C8F"/>
    <w:rsid w:val="1FCA72C3"/>
    <w:rsid w:val="1FDC333E"/>
    <w:rsid w:val="1FDD49A5"/>
    <w:rsid w:val="1FED1F47"/>
    <w:rsid w:val="201D046C"/>
    <w:rsid w:val="2056415C"/>
    <w:rsid w:val="205B6118"/>
    <w:rsid w:val="2084555D"/>
    <w:rsid w:val="208B3FDF"/>
    <w:rsid w:val="209D1540"/>
    <w:rsid w:val="20AE7502"/>
    <w:rsid w:val="20EC4BCC"/>
    <w:rsid w:val="20FF4B0A"/>
    <w:rsid w:val="21001A14"/>
    <w:rsid w:val="21444969"/>
    <w:rsid w:val="21492567"/>
    <w:rsid w:val="21A712E7"/>
    <w:rsid w:val="21B54881"/>
    <w:rsid w:val="21D2233A"/>
    <w:rsid w:val="21E1326A"/>
    <w:rsid w:val="22031056"/>
    <w:rsid w:val="22071B94"/>
    <w:rsid w:val="2214765E"/>
    <w:rsid w:val="22393D67"/>
    <w:rsid w:val="223A525C"/>
    <w:rsid w:val="2254311A"/>
    <w:rsid w:val="22645B7F"/>
    <w:rsid w:val="22994C0C"/>
    <w:rsid w:val="22A46395"/>
    <w:rsid w:val="22B14323"/>
    <w:rsid w:val="22CD30DD"/>
    <w:rsid w:val="234D21F4"/>
    <w:rsid w:val="23612B98"/>
    <w:rsid w:val="242608BB"/>
    <w:rsid w:val="244734E8"/>
    <w:rsid w:val="245313F7"/>
    <w:rsid w:val="248024EA"/>
    <w:rsid w:val="24834FC2"/>
    <w:rsid w:val="248D7514"/>
    <w:rsid w:val="2491337C"/>
    <w:rsid w:val="24FD7DDC"/>
    <w:rsid w:val="25134AB8"/>
    <w:rsid w:val="251E7DB4"/>
    <w:rsid w:val="25857B02"/>
    <w:rsid w:val="25923F5C"/>
    <w:rsid w:val="25A64611"/>
    <w:rsid w:val="25A8175A"/>
    <w:rsid w:val="25A85E45"/>
    <w:rsid w:val="25C9383D"/>
    <w:rsid w:val="25DF3B63"/>
    <w:rsid w:val="25F91275"/>
    <w:rsid w:val="25FD279C"/>
    <w:rsid w:val="260743B6"/>
    <w:rsid w:val="260A3A50"/>
    <w:rsid w:val="260B4DF9"/>
    <w:rsid w:val="261145C1"/>
    <w:rsid w:val="264019A3"/>
    <w:rsid w:val="26442C56"/>
    <w:rsid w:val="26670D5A"/>
    <w:rsid w:val="26866A11"/>
    <w:rsid w:val="269E759F"/>
    <w:rsid w:val="26D641BC"/>
    <w:rsid w:val="26EB3E67"/>
    <w:rsid w:val="26F96584"/>
    <w:rsid w:val="27361C32"/>
    <w:rsid w:val="274A6598"/>
    <w:rsid w:val="27622F42"/>
    <w:rsid w:val="277D59DB"/>
    <w:rsid w:val="27934F9E"/>
    <w:rsid w:val="27BF5D17"/>
    <w:rsid w:val="28175647"/>
    <w:rsid w:val="28A201D6"/>
    <w:rsid w:val="28B20C62"/>
    <w:rsid w:val="28C02080"/>
    <w:rsid w:val="28D74B97"/>
    <w:rsid w:val="28F25980"/>
    <w:rsid w:val="291F18EA"/>
    <w:rsid w:val="29205CE4"/>
    <w:rsid w:val="29263ECB"/>
    <w:rsid w:val="29575210"/>
    <w:rsid w:val="2974117F"/>
    <w:rsid w:val="2980156F"/>
    <w:rsid w:val="298D7377"/>
    <w:rsid w:val="299248F3"/>
    <w:rsid w:val="29AB51B8"/>
    <w:rsid w:val="29B7199E"/>
    <w:rsid w:val="29CC1552"/>
    <w:rsid w:val="29EB6C0A"/>
    <w:rsid w:val="2A720133"/>
    <w:rsid w:val="2AA416ED"/>
    <w:rsid w:val="2AAB228B"/>
    <w:rsid w:val="2AC1385C"/>
    <w:rsid w:val="2B220A0F"/>
    <w:rsid w:val="2B556291"/>
    <w:rsid w:val="2B63756A"/>
    <w:rsid w:val="2B8C49C7"/>
    <w:rsid w:val="2B983032"/>
    <w:rsid w:val="2BDE0DEB"/>
    <w:rsid w:val="2C0600FC"/>
    <w:rsid w:val="2C216EEB"/>
    <w:rsid w:val="2C4A2AFC"/>
    <w:rsid w:val="2C7A33A6"/>
    <w:rsid w:val="2C8611AC"/>
    <w:rsid w:val="2C870A93"/>
    <w:rsid w:val="2C9F79CA"/>
    <w:rsid w:val="2CA86A82"/>
    <w:rsid w:val="2CB06F17"/>
    <w:rsid w:val="2CB3272E"/>
    <w:rsid w:val="2CD639AE"/>
    <w:rsid w:val="2CDC64C1"/>
    <w:rsid w:val="2CE10801"/>
    <w:rsid w:val="2D1D0733"/>
    <w:rsid w:val="2D2B6840"/>
    <w:rsid w:val="2D3C66A6"/>
    <w:rsid w:val="2D4949E6"/>
    <w:rsid w:val="2D555A9F"/>
    <w:rsid w:val="2D580446"/>
    <w:rsid w:val="2D5C786C"/>
    <w:rsid w:val="2D9259F9"/>
    <w:rsid w:val="2DAD006D"/>
    <w:rsid w:val="2DB735A8"/>
    <w:rsid w:val="2DCC49F2"/>
    <w:rsid w:val="2DE02DA5"/>
    <w:rsid w:val="2DFC4953"/>
    <w:rsid w:val="2E020530"/>
    <w:rsid w:val="2E2B7C33"/>
    <w:rsid w:val="2E2F65A9"/>
    <w:rsid w:val="2E513135"/>
    <w:rsid w:val="2E6C7F1A"/>
    <w:rsid w:val="2E7470C0"/>
    <w:rsid w:val="2E771DB2"/>
    <w:rsid w:val="2E96214E"/>
    <w:rsid w:val="2ED10E9E"/>
    <w:rsid w:val="2EF2140A"/>
    <w:rsid w:val="2F002F5F"/>
    <w:rsid w:val="2F0352C2"/>
    <w:rsid w:val="2F0479F8"/>
    <w:rsid w:val="2F384FCB"/>
    <w:rsid w:val="2F5E784F"/>
    <w:rsid w:val="2F6E3B5A"/>
    <w:rsid w:val="2F74021E"/>
    <w:rsid w:val="2F9A75F9"/>
    <w:rsid w:val="306B06EF"/>
    <w:rsid w:val="309976D7"/>
    <w:rsid w:val="30B332A3"/>
    <w:rsid w:val="313A1EA7"/>
    <w:rsid w:val="319E474E"/>
    <w:rsid w:val="31B5579D"/>
    <w:rsid w:val="31C13759"/>
    <w:rsid w:val="31CA797C"/>
    <w:rsid w:val="31F7117C"/>
    <w:rsid w:val="320C0313"/>
    <w:rsid w:val="32155665"/>
    <w:rsid w:val="3216448E"/>
    <w:rsid w:val="32261197"/>
    <w:rsid w:val="323D0F6A"/>
    <w:rsid w:val="3247112A"/>
    <w:rsid w:val="32714AF3"/>
    <w:rsid w:val="328B73EB"/>
    <w:rsid w:val="32991011"/>
    <w:rsid w:val="32A23F73"/>
    <w:rsid w:val="32CC7242"/>
    <w:rsid w:val="32F47512"/>
    <w:rsid w:val="33283044"/>
    <w:rsid w:val="33284067"/>
    <w:rsid w:val="334E2FB5"/>
    <w:rsid w:val="335365EB"/>
    <w:rsid w:val="339E0DDD"/>
    <w:rsid w:val="33A7323E"/>
    <w:rsid w:val="33AC25F0"/>
    <w:rsid w:val="33C03AA5"/>
    <w:rsid w:val="33DF185F"/>
    <w:rsid w:val="33F10253"/>
    <w:rsid w:val="33FA6877"/>
    <w:rsid w:val="34107AE4"/>
    <w:rsid w:val="34125E6B"/>
    <w:rsid w:val="342E4699"/>
    <w:rsid w:val="343C710B"/>
    <w:rsid w:val="3443482E"/>
    <w:rsid w:val="34C473E6"/>
    <w:rsid w:val="34D019F0"/>
    <w:rsid w:val="34E92CF2"/>
    <w:rsid w:val="34F124A0"/>
    <w:rsid w:val="3507060C"/>
    <w:rsid w:val="354F04B5"/>
    <w:rsid w:val="3581357E"/>
    <w:rsid w:val="35937921"/>
    <w:rsid w:val="35AC14D9"/>
    <w:rsid w:val="35E95D29"/>
    <w:rsid w:val="360436AC"/>
    <w:rsid w:val="360F5314"/>
    <w:rsid w:val="361E27E7"/>
    <w:rsid w:val="362A4C03"/>
    <w:rsid w:val="36987B67"/>
    <w:rsid w:val="36D16BEE"/>
    <w:rsid w:val="36D17C08"/>
    <w:rsid w:val="36D5538C"/>
    <w:rsid w:val="37166949"/>
    <w:rsid w:val="372456B7"/>
    <w:rsid w:val="37A86BDE"/>
    <w:rsid w:val="37AB5CEF"/>
    <w:rsid w:val="37BF5EF6"/>
    <w:rsid w:val="3815625D"/>
    <w:rsid w:val="381E39FA"/>
    <w:rsid w:val="38224B20"/>
    <w:rsid w:val="382B26AB"/>
    <w:rsid w:val="3857122B"/>
    <w:rsid w:val="386B200C"/>
    <w:rsid w:val="38B81AAB"/>
    <w:rsid w:val="38C67654"/>
    <w:rsid w:val="38D17360"/>
    <w:rsid w:val="38DA0FF1"/>
    <w:rsid w:val="38FC1A65"/>
    <w:rsid w:val="39161217"/>
    <w:rsid w:val="3919095E"/>
    <w:rsid w:val="39303A4A"/>
    <w:rsid w:val="393A24FE"/>
    <w:rsid w:val="39884017"/>
    <w:rsid w:val="39FC1454"/>
    <w:rsid w:val="3A093203"/>
    <w:rsid w:val="3A0F6392"/>
    <w:rsid w:val="3A143C7A"/>
    <w:rsid w:val="3A1C67A6"/>
    <w:rsid w:val="3A332483"/>
    <w:rsid w:val="3A362139"/>
    <w:rsid w:val="3A69514E"/>
    <w:rsid w:val="3A9535F9"/>
    <w:rsid w:val="3AA0549B"/>
    <w:rsid w:val="3AAA346F"/>
    <w:rsid w:val="3AAF2559"/>
    <w:rsid w:val="3AC04DDB"/>
    <w:rsid w:val="3AF5602E"/>
    <w:rsid w:val="3B406A9F"/>
    <w:rsid w:val="3B6224F2"/>
    <w:rsid w:val="3B6700A5"/>
    <w:rsid w:val="3B8E71A6"/>
    <w:rsid w:val="3BA370D4"/>
    <w:rsid w:val="3BAD163F"/>
    <w:rsid w:val="3BB8330B"/>
    <w:rsid w:val="3BD15DBF"/>
    <w:rsid w:val="3BF1154D"/>
    <w:rsid w:val="3BF33A92"/>
    <w:rsid w:val="3BFB2EB2"/>
    <w:rsid w:val="3C146D6D"/>
    <w:rsid w:val="3C1A30F8"/>
    <w:rsid w:val="3C1D3710"/>
    <w:rsid w:val="3C1E1C70"/>
    <w:rsid w:val="3C465360"/>
    <w:rsid w:val="3C6F0EA0"/>
    <w:rsid w:val="3C722026"/>
    <w:rsid w:val="3C913018"/>
    <w:rsid w:val="3CD067FF"/>
    <w:rsid w:val="3CE02AB5"/>
    <w:rsid w:val="3CFD79DC"/>
    <w:rsid w:val="3D0800C4"/>
    <w:rsid w:val="3D3E53CE"/>
    <w:rsid w:val="3D63746D"/>
    <w:rsid w:val="3D725321"/>
    <w:rsid w:val="3DF6216D"/>
    <w:rsid w:val="3E1B119A"/>
    <w:rsid w:val="3E8575E6"/>
    <w:rsid w:val="3EAE2B07"/>
    <w:rsid w:val="3EE76CA5"/>
    <w:rsid w:val="3EEB1367"/>
    <w:rsid w:val="3F014F92"/>
    <w:rsid w:val="3F20482D"/>
    <w:rsid w:val="3F3714E2"/>
    <w:rsid w:val="3F3B5F2C"/>
    <w:rsid w:val="3F4F646B"/>
    <w:rsid w:val="3FA51B75"/>
    <w:rsid w:val="3FFD010C"/>
    <w:rsid w:val="402D6F6D"/>
    <w:rsid w:val="404D089B"/>
    <w:rsid w:val="40686305"/>
    <w:rsid w:val="40693B9E"/>
    <w:rsid w:val="40896772"/>
    <w:rsid w:val="40A84E4B"/>
    <w:rsid w:val="40DA2614"/>
    <w:rsid w:val="412E3E18"/>
    <w:rsid w:val="41391F47"/>
    <w:rsid w:val="415D4EE6"/>
    <w:rsid w:val="418629FE"/>
    <w:rsid w:val="418E188F"/>
    <w:rsid w:val="41DD18DE"/>
    <w:rsid w:val="41DF7F14"/>
    <w:rsid w:val="41FB544E"/>
    <w:rsid w:val="42415557"/>
    <w:rsid w:val="42835043"/>
    <w:rsid w:val="42946631"/>
    <w:rsid w:val="42B645DB"/>
    <w:rsid w:val="42D541FA"/>
    <w:rsid w:val="42E32F6F"/>
    <w:rsid w:val="431E7646"/>
    <w:rsid w:val="432474F3"/>
    <w:rsid w:val="433D0851"/>
    <w:rsid w:val="43680AF9"/>
    <w:rsid w:val="43E11433"/>
    <w:rsid w:val="446B23F8"/>
    <w:rsid w:val="447A399A"/>
    <w:rsid w:val="44D13134"/>
    <w:rsid w:val="44D15617"/>
    <w:rsid w:val="44E00F28"/>
    <w:rsid w:val="44F60517"/>
    <w:rsid w:val="45050D03"/>
    <w:rsid w:val="45050DC8"/>
    <w:rsid w:val="452A10A2"/>
    <w:rsid w:val="453E4CCD"/>
    <w:rsid w:val="45595BF7"/>
    <w:rsid w:val="4577680F"/>
    <w:rsid w:val="45B1654F"/>
    <w:rsid w:val="45BA3B3B"/>
    <w:rsid w:val="45BE666B"/>
    <w:rsid w:val="45C8674C"/>
    <w:rsid w:val="45F82E9D"/>
    <w:rsid w:val="46261CAF"/>
    <w:rsid w:val="464753C8"/>
    <w:rsid w:val="464E4400"/>
    <w:rsid w:val="465509EF"/>
    <w:rsid w:val="466B2BA2"/>
    <w:rsid w:val="4670479A"/>
    <w:rsid w:val="4689217B"/>
    <w:rsid w:val="46EF02CC"/>
    <w:rsid w:val="472F3D54"/>
    <w:rsid w:val="474A74A9"/>
    <w:rsid w:val="476C7B76"/>
    <w:rsid w:val="478A098B"/>
    <w:rsid w:val="479C33BB"/>
    <w:rsid w:val="47B12C02"/>
    <w:rsid w:val="47D14C87"/>
    <w:rsid w:val="47FD3CCE"/>
    <w:rsid w:val="482D6BA1"/>
    <w:rsid w:val="48311BC9"/>
    <w:rsid w:val="48673140"/>
    <w:rsid w:val="486F04BB"/>
    <w:rsid w:val="4891740D"/>
    <w:rsid w:val="489A0C3D"/>
    <w:rsid w:val="489A63C4"/>
    <w:rsid w:val="48BD655F"/>
    <w:rsid w:val="48D60E16"/>
    <w:rsid w:val="49224537"/>
    <w:rsid w:val="492422C9"/>
    <w:rsid w:val="498007E5"/>
    <w:rsid w:val="49D64E98"/>
    <w:rsid w:val="49DB7BF1"/>
    <w:rsid w:val="49F278EF"/>
    <w:rsid w:val="4A195349"/>
    <w:rsid w:val="4A930421"/>
    <w:rsid w:val="4AA16DD4"/>
    <w:rsid w:val="4AC97E97"/>
    <w:rsid w:val="4B146B76"/>
    <w:rsid w:val="4B1E0812"/>
    <w:rsid w:val="4B4439C2"/>
    <w:rsid w:val="4B77515A"/>
    <w:rsid w:val="4B7B1B6A"/>
    <w:rsid w:val="4C057E6D"/>
    <w:rsid w:val="4C1001BF"/>
    <w:rsid w:val="4C136DB7"/>
    <w:rsid w:val="4C716A38"/>
    <w:rsid w:val="4C993E74"/>
    <w:rsid w:val="4CBE16BB"/>
    <w:rsid w:val="4D281547"/>
    <w:rsid w:val="4D500A7B"/>
    <w:rsid w:val="4D5305DC"/>
    <w:rsid w:val="4DA80682"/>
    <w:rsid w:val="4DCE5139"/>
    <w:rsid w:val="4E2A1FE4"/>
    <w:rsid w:val="4E7A6A66"/>
    <w:rsid w:val="4E7B3CFC"/>
    <w:rsid w:val="4ED314A0"/>
    <w:rsid w:val="4EDF04B0"/>
    <w:rsid w:val="4EED1EEE"/>
    <w:rsid w:val="4EEF7A49"/>
    <w:rsid w:val="4F22362A"/>
    <w:rsid w:val="4F245FE4"/>
    <w:rsid w:val="4FA65B4A"/>
    <w:rsid w:val="4FBC621D"/>
    <w:rsid w:val="4FC1444E"/>
    <w:rsid w:val="4FF7137B"/>
    <w:rsid w:val="4FFD7DC3"/>
    <w:rsid w:val="500167DC"/>
    <w:rsid w:val="50104D82"/>
    <w:rsid w:val="50731090"/>
    <w:rsid w:val="507E7AD2"/>
    <w:rsid w:val="50924871"/>
    <w:rsid w:val="50A17994"/>
    <w:rsid w:val="50AE1641"/>
    <w:rsid w:val="50D048A4"/>
    <w:rsid w:val="50E45DE8"/>
    <w:rsid w:val="5115458F"/>
    <w:rsid w:val="514B5E06"/>
    <w:rsid w:val="516F314B"/>
    <w:rsid w:val="517A4017"/>
    <w:rsid w:val="51802D4A"/>
    <w:rsid w:val="518F3164"/>
    <w:rsid w:val="51904173"/>
    <w:rsid w:val="51B63A8B"/>
    <w:rsid w:val="51C46897"/>
    <w:rsid w:val="52100785"/>
    <w:rsid w:val="52360C34"/>
    <w:rsid w:val="52365202"/>
    <w:rsid w:val="529E7A19"/>
    <w:rsid w:val="52BB71FC"/>
    <w:rsid w:val="52C617DF"/>
    <w:rsid w:val="52CB7712"/>
    <w:rsid w:val="52EC0C56"/>
    <w:rsid w:val="533C6AF0"/>
    <w:rsid w:val="53B56E0B"/>
    <w:rsid w:val="53B802F2"/>
    <w:rsid w:val="53D311F2"/>
    <w:rsid w:val="53E622F1"/>
    <w:rsid w:val="5402266C"/>
    <w:rsid w:val="541008E5"/>
    <w:rsid w:val="54534C76"/>
    <w:rsid w:val="548E476E"/>
    <w:rsid w:val="54C00DE0"/>
    <w:rsid w:val="54DA01DA"/>
    <w:rsid w:val="54DE3568"/>
    <w:rsid w:val="55216B22"/>
    <w:rsid w:val="55357FD0"/>
    <w:rsid w:val="553700F3"/>
    <w:rsid w:val="555C3899"/>
    <w:rsid w:val="55E274E4"/>
    <w:rsid w:val="55E419F5"/>
    <w:rsid w:val="55F304BE"/>
    <w:rsid w:val="561D553B"/>
    <w:rsid w:val="561E0601"/>
    <w:rsid w:val="566D61BF"/>
    <w:rsid w:val="569F5D05"/>
    <w:rsid w:val="56A4329A"/>
    <w:rsid w:val="56D4668B"/>
    <w:rsid w:val="56E147BB"/>
    <w:rsid w:val="56F644CC"/>
    <w:rsid w:val="57102366"/>
    <w:rsid w:val="572870A3"/>
    <w:rsid w:val="57287F16"/>
    <w:rsid w:val="572D04B9"/>
    <w:rsid w:val="57461B10"/>
    <w:rsid w:val="576403D1"/>
    <w:rsid w:val="5786289F"/>
    <w:rsid w:val="57C87FED"/>
    <w:rsid w:val="582B13C9"/>
    <w:rsid w:val="58365EC6"/>
    <w:rsid w:val="58580DAF"/>
    <w:rsid w:val="588A355D"/>
    <w:rsid w:val="589977B9"/>
    <w:rsid w:val="58BD2A75"/>
    <w:rsid w:val="58F061C6"/>
    <w:rsid w:val="5915699E"/>
    <w:rsid w:val="591647B6"/>
    <w:rsid w:val="592E2C8D"/>
    <w:rsid w:val="593225D5"/>
    <w:rsid w:val="59325B56"/>
    <w:rsid w:val="595306F4"/>
    <w:rsid w:val="59BF5FAE"/>
    <w:rsid w:val="59E63BE8"/>
    <w:rsid w:val="59F67210"/>
    <w:rsid w:val="59F94E68"/>
    <w:rsid w:val="5A031FA4"/>
    <w:rsid w:val="5A6666E6"/>
    <w:rsid w:val="5AA21D49"/>
    <w:rsid w:val="5AAC6911"/>
    <w:rsid w:val="5AC01228"/>
    <w:rsid w:val="5AEA0EFF"/>
    <w:rsid w:val="5B3524F6"/>
    <w:rsid w:val="5B5B2F72"/>
    <w:rsid w:val="5B9547D3"/>
    <w:rsid w:val="5BBF652F"/>
    <w:rsid w:val="5BC356A7"/>
    <w:rsid w:val="5BED0F3C"/>
    <w:rsid w:val="5C5E698B"/>
    <w:rsid w:val="5C8F140B"/>
    <w:rsid w:val="5CD226D1"/>
    <w:rsid w:val="5D0B14FC"/>
    <w:rsid w:val="5D0B7765"/>
    <w:rsid w:val="5D3C28FA"/>
    <w:rsid w:val="5DB21E52"/>
    <w:rsid w:val="5DD25585"/>
    <w:rsid w:val="5DE1705F"/>
    <w:rsid w:val="5E1D479D"/>
    <w:rsid w:val="5E71262C"/>
    <w:rsid w:val="5E8A7DFE"/>
    <w:rsid w:val="5E993BCD"/>
    <w:rsid w:val="5EA64339"/>
    <w:rsid w:val="5EB43861"/>
    <w:rsid w:val="5EC0796E"/>
    <w:rsid w:val="5F2F0120"/>
    <w:rsid w:val="5F300817"/>
    <w:rsid w:val="5F797F26"/>
    <w:rsid w:val="5F7B2C24"/>
    <w:rsid w:val="5F951488"/>
    <w:rsid w:val="5F9730E2"/>
    <w:rsid w:val="5FA20BDD"/>
    <w:rsid w:val="5FBE4B60"/>
    <w:rsid w:val="5FE52B4B"/>
    <w:rsid w:val="600F690F"/>
    <w:rsid w:val="60252BAF"/>
    <w:rsid w:val="60310D87"/>
    <w:rsid w:val="60610761"/>
    <w:rsid w:val="607C195B"/>
    <w:rsid w:val="608767CE"/>
    <w:rsid w:val="608F6D31"/>
    <w:rsid w:val="60A74C94"/>
    <w:rsid w:val="60D235C8"/>
    <w:rsid w:val="61207578"/>
    <w:rsid w:val="615A0C67"/>
    <w:rsid w:val="61691F7C"/>
    <w:rsid w:val="61D64553"/>
    <w:rsid w:val="61E10E2B"/>
    <w:rsid w:val="61F20241"/>
    <w:rsid w:val="620D2908"/>
    <w:rsid w:val="624251AD"/>
    <w:rsid w:val="62451FAE"/>
    <w:rsid w:val="626C0877"/>
    <w:rsid w:val="62817005"/>
    <w:rsid w:val="628409AD"/>
    <w:rsid w:val="62C13B68"/>
    <w:rsid w:val="62CA4120"/>
    <w:rsid w:val="62F54E13"/>
    <w:rsid w:val="631D00B8"/>
    <w:rsid w:val="63353D1E"/>
    <w:rsid w:val="634B193A"/>
    <w:rsid w:val="63583F7E"/>
    <w:rsid w:val="63625644"/>
    <w:rsid w:val="636C4090"/>
    <w:rsid w:val="63855F04"/>
    <w:rsid w:val="638A2C55"/>
    <w:rsid w:val="638C7AC1"/>
    <w:rsid w:val="63B52C78"/>
    <w:rsid w:val="63DF5E7E"/>
    <w:rsid w:val="63E636A7"/>
    <w:rsid w:val="63F218D1"/>
    <w:rsid w:val="63F253E1"/>
    <w:rsid w:val="6438087D"/>
    <w:rsid w:val="6461027F"/>
    <w:rsid w:val="647E12A6"/>
    <w:rsid w:val="64E82A7F"/>
    <w:rsid w:val="65205B61"/>
    <w:rsid w:val="652C5D27"/>
    <w:rsid w:val="658A426F"/>
    <w:rsid w:val="659475F3"/>
    <w:rsid w:val="65981D1C"/>
    <w:rsid w:val="65A45B5D"/>
    <w:rsid w:val="65C64BE7"/>
    <w:rsid w:val="65EC5638"/>
    <w:rsid w:val="65EE0656"/>
    <w:rsid w:val="65F067EC"/>
    <w:rsid w:val="661C136B"/>
    <w:rsid w:val="664D4C8A"/>
    <w:rsid w:val="665A602F"/>
    <w:rsid w:val="665C3D93"/>
    <w:rsid w:val="66D30ABB"/>
    <w:rsid w:val="66E006B7"/>
    <w:rsid w:val="66E52B31"/>
    <w:rsid w:val="671C6C01"/>
    <w:rsid w:val="67560942"/>
    <w:rsid w:val="675A1D8C"/>
    <w:rsid w:val="67997589"/>
    <w:rsid w:val="67A14CFB"/>
    <w:rsid w:val="67BA418D"/>
    <w:rsid w:val="67DD3924"/>
    <w:rsid w:val="67E82A24"/>
    <w:rsid w:val="68060AF0"/>
    <w:rsid w:val="681316EB"/>
    <w:rsid w:val="68212866"/>
    <w:rsid w:val="682D71BE"/>
    <w:rsid w:val="683D2785"/>
    <w:rsid w:val="683F4AAB"/>
    <w:rsid w:val="6869205B"/>
    <w:rsid w:val="686E7F72"/>
    <w:rsid w:val="68732EF9"/>
    <w:rsid w:val="688B7C0C"/>
    <w:rsid w:val="68CA50AF"/>
    <w:rsid w:val="68E63EB3"/>
    <w:rsid w:val="68F257FB"/>
    <w:rsid w:val="68F53F4B"/>
    <w:rsid w:val="69521A45"/>
    <w:rsid w:val="69722FFB"/>
    <w:rsid w:val="698B13C0"/>
    <w:rsid w:val="69A611AF"/>
    <w:rsid w:val="69C77130"/>
    <w:rsid w:val="69FA3317"/>
    <w:rsid w:val="6A0865D9"/>
    <w:rsid w:val="6A4640ED"/>
    <w:rsid w:val="6A8B598C"/>
    <w:rsid w:val="6AAC2D43"/>
    <w:rsid w:val="6AC058F8"/>
    <w:rsid w:val="6AC30B94"/>
    <w:rsid w:val="6AC80C6F"/>
    <w:rsid w:val="6AD06BC8"/>
    <w:rsid w:val="6AE53E77"/>
    <w:rsid w:val="6AFF0859"/>
    <w:rsid w:val="6B0610CD"/>
    <w:rsid w:val="6B087C30"/>
    <w:rsid w:val="6B160EDD"/>
    <w:rsid w:val="6B2000D1"/>
    <w:rsid w:val="6B591683"/>
    <w:rsid w:val="6B862DFA"/>
    <w:rsid w:val="6B8E2D0B"/>
    <w:rsid w:val="6BB91FE3"/>
    <w:rsid w:val="6BD54E26"/>
    <w:rsid w:val="6BDC4029"/>
    <w:rsid w:val="6C1B7B8D"/>
    <w:rsid w:val="6C304399"/>
    <w:rsid w:val="6C677AD6"/>
    <w:rsid w:val="6C9A121E"/>
    <w:rsid w:val="6C9B02E1"/>
    <w:rsid w:val="6C9C075E"/>
    <w:rsid w:val="6CA40E94"/>
    <w:rsid w:val="6D907461"/>
    <w:rsid w:val="6DA56060"/>
    <w:rsid w:val="6DE835A0"/>
    <w:rsid w:val="6DE910FC"/>
    <w:rsid w:val="6DFE5D2E"/>
    <w:rsid w:val="6E116386"/>
    <w:rsid w:val="6E137533"/>
    <w:rsid w:val="6E1D123B"/>
    <w:rsid w:val="6E1D4C12"/>
    <w:rsid w:val="6EB12880"/>
    <w:rsid w:val="6EF20D31"/>
    <w:rsid w:val="6F075889"/>
    <w:rsid w:val="6F190AD7"/>
    <w:rsid w:val="6F955435"/>
    <w:rsid w:val="6FF738BB"/>
    <w:rsid w:val="700157C7"/>
    <w:rsid w:val="70147557"/>
    <w:rsid w:val="70343755"/>
    <w:rsid w:val="703E2583"/>
    <w:rsid w:val="707165AD"/>
    <w:rsid w:val="709A7A5C"/>
    <w:rsid w:val="70BB5D78"/>
    <w:rsid w:val="70BC10A1"/>
    <w:rsid w:val="70DA56A6"/>
    <w:rsid w:val="70FA011D"/>
    <w:rsid w:val="71396A32"/>
    <w:rsid w:val="715D7CCE"/>
    <w:rsid w:val="71725765"/>
    <w:rsid w:val="71866E6F"/>
    <w:rsid w:val="71C15170"/>
    <w:rsid w:val="71C23FD3"/>
    <w:rsid w:val="71CE3F0E"/>
    <w:rsid w:val="71D30AC4"/>
    <w:rsid w:val="71E54151"/>
    <w:rsid w:val="72341527"/>
    <w:rsid w:val="723F4D5F"/>
    <w:rsid w:val="725D6F93"/>
    <w:rsid w:val="7274296F"/>
    <w:rsid w:val="727B6062"/>
    <w:rsid w:val="72907369"/>
    <w:rsid w:val="72AB454A"/>
    <w:rsid w:val="72B915FC"/>
    <w:rsid w:val="72CE0B01"/>
    <w:rsid w:val="72CF66E2"/>
    <w:rsid w:val="7307523F"/>
    <w:rsid w:val="73296DEF"/>
    <w:rsid w:val="737E0028"/>
    <w:rsid w:val="739164BF"/>
    <w:rsid w:val="73E33F2D"/>
    <w:rsid w:val="7410184B"/>
    <w:rsid w:val="744D3642"/>
    <w:rsid w:val="74561553"/>
    <w:rsid w:val="74A2131F"/>
    <w:rsid w:val="74C701BF"/>
    <w:rsid w:val="74F047CF"/>
    <w:rsid w:val="752A36A1"/>
    <w:rsid w:val="754650B9"/>
    <w:rsid w:val="757B36B9"/>
    <w:rsid w:val="75A279BF"/>
    <w:rsid w:val="75A8424D"/>
    <w:rsid w:val="75C80BEB"/>
    <w:rsid w:val="75EF43A6"/>
    <w:rsid w:val="76316068"/>
    <w:rsid w:val="76382839"/>
    <w:rsid w:val="7676493E"/>
    <w:rsid w:val="768337FB"/>
    <w:rsid w:val="76C54D65"/>
    <w:rsid w:val="76D240DB"/>
    <w:rsid w:val="76E94DF6"/>
    <w:rsid w:val="77144946"/>
    <w:rsid w:val="77156146"/>
    <w:rsid w:val="771A18F7"/>
    <w:rsid w:val="774B1728"/>
    <w:rsid w:val="777A47D7"/>
    <w:rsid w:val="77970658"/>
    <w:rsid w:val="77D575CC"/>
    <w:rsid w:val="7851685F"/>
    <w:rsid w:val="786055C7"/>
    <w:rsid w:val="78786125"/>
    <w:rsid w:val="787F35D1"/>
    <w:rsid w:val="78935506"/>
    <w:rsid w:val="78EC2B98"/>
    <w:rsid w:val="79056158"/>
    <w:rsid w:val="792A3948"/>
    <w:rsid w:val="793B5BCE"/>
    <w:rsid w:val="794A6A15"/>
    <w:rsid w:val="79FF668B"/>
    <w:rsid w:val="7A5B20E4"/>
    <w:rsid w:val="7A68750D"/>
    <w:rsid w:val="7A765096"/>
    <w:rsid w:val="7B1F4D94"/>
    <w:rsid w:val="7B596F15"/>
    <w:rsid w:val="7B863DF3"/>
    <w:rsid w:val="7B9C52BF"/>
    <w:rsid w:val="7BB26A86"/>
    <w:rsid w:val="7BD029FC"/>
    <w:rsid w:val="7BD70EE4"/>
    <w:rsid w:val="7BE02371"/>
    <w:rsid w:val="7BFF27A7"/>
    <w:rsid w:val="7C1D7D20"/>
    <w:rsid w:val="7C3021C8"/>
    <w:rsid w:val="7C527921"/>
    <w:rsid w:val="7C774D6C"/>
    <w:rsid w:val="7C834A87"/>
    <w:rsid w:val="7CB53AA6"/>
    <w:rsid w:val="7CDF4F60"/>
    <w:rsid w:val="7D535BC6"/>
    <w:rsid w:val="7D615494"/>
    <w:rsid w:val="7DB73477"/>
    <w:rsid w:val="7DBD5ADF"/>
    <w:rsid w:val="7DE61A41"/>
    <w:rsid w:val="7DF83B66"/>
    <w:rsid w:val="7E592088"/>
    <w:rsid w:val="7F016A98"/>
    <w:rsid w:val="7F1B5318"/>
    <w:rsid w:val="7F2A0D27"/>
    <w:rsid w:val="7F6A0F42"/>
    <w:rsid w:val="7F6C4CBA"/>
    <w:rsid w:val="7F814F77"/>
    <w:rsid w:val="7F891D41"/>
    <w:rsid w:val="7FA67419"/>
    <w:rsid w:val="7FAB59F0"/>
    <w:rsid w:val="7FB96FF7"/>
    <w:rsid w:val="7FDF28FB"/>
    <w:rsid w:val="7FE256C7"/>
    <w:rsid w:val="7FFC20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8">
    <w:name w:val="heading 3"/>
    <w:basedOn w:val="1"/>
    <w:next w:val="1"/>
    <w:unhideWhenUsed/>
    <w:qFormat/>
    <w:uiPriority w:val="0"/>
    <w:pPr>
      <w:keepNext/>
      <w:keepLines/>
      <w:jc w:val="left"/>
      <w:outlineLvl w:val="2"/>
    </w:pPr>
    <w:rPr>
      <w:b/>
      <w:bCs/>
      <w:szCs w:val="32"/>
    </w:rPr>
  </w:style>
  <w:style w:type="paragraph" w:styleId="9">
    <w:name w:val="heading 4"/>
    <w:basedOn w:val="1"/>
    <w:next w:val="1"/>
    <w:qFormat/>
    <w:uiPriority w:val="0"/>
    <w:pPr>
      <w:keepNext/>
      <w:widowControl/>
      <w:numPr>
        <w:ilvl w:val="3"/>
        <w:numId w:val="1"/>
      </w:numPr>
      <w:overflowPunct w:val="0"/>
      <w:autoSpaceDE w:val="0"/>
      <w:autoSpaceDN w:val="0"/>
      <w:adjustRightInd w:val="0"/>
      <w:spacing w:before="240" w:after="60"/>
      <w:jc w:val="left"/>
      <w:textAlignment w:val="baseline"/>
      <w:outlineLvl w:val="3"/>
    </w:pPr>
    <w:rPr>
      <w:b/>
      <w:i/>
      <w:kern w:val="0"/>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kern w:val="2"/>
      <w:szCs w:val="20"/>
    </w:rPr>
  </w:style>
  <w:style w:type="paragraph" w:styleId="3">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4">
    <w:name w:val="Plain Text"/>
    <w:basedOn w:val="1"/>
    <w:next w:val="5"/>
    <w:qFormat/>
    <w:uiPriority w:val="0"/>
    <w:rPr>
      <w:rFonts w:ascii="宋体" w:hAnsi="Courier New"/>
    </w:rPr>
  </w:style>
  <w:style w:type="paragraph" w:styleId="5">
    <w:name w:val="List Number 5"/>
    <w:basedOn w:val="1"/>
    <w:semiHidden/>
    <w:unhideWhenUsed/>
    <w:qFormat/>
    <w:uiPriority w:val="99"/>
    <w:pPr>
      <w:numPr>
        <w:ilvl w:val="0"/>
        <w:numId w:val="2"/>
      </w:numPr>
    </w:pPr>
  </w:style>
  <w:style w:type="paragraph" w:styleId="10">
    <w:name w:val="Normal Indent"/>
    <w:basedOn w:val="1"/>
    <w:next w:val="1"/>
    <w:qFormat/>
    <w:uiPriority w:val="99"/>
    <w:pPr>
      <w:autoSpaceDE w:val="0"/>
      <w:autoSpaceDN w:val="0"/>
      <w:adjustRightInd w:val="0"/>
      <w:ind w:firstLine="420"/>
      <w:jc w:val="left"/>
    </w:pPr>
    <w:rPr>
      <w:rFonts w:ascii="宋体"/>
      <w:kern w:val="0"/>
      <w:sz w:val="24"/>
    </w:rPr>
  </w:style>
  <w:style w:type="paragraph" w:styleId="11">
    <w:name w:val="Document Map"/>
    <w:basedOn w:val="1"/>
    <w:qFormat/>
    <w:uiPriority w:val="0"/>
    <w:pPr>
      <w:shd w:val="clear" w:color="auto" w:fill="000080"/>
    </w:pPr>
    <w:rPr>
      <w:rFonts w:ascii="Cambria" w:hAnsi="Cambria"/>
      <w:sz w:val="24"/>
      <w:szCs w:val="24"/>
    </w:rPr>
  </w:style>
  <w:style w:type="paragraph" w:styleId="12">
    <w:name w:val="toa heading"/>
    <w:basedOn w:val="1"/>
    <w:next w:val="1"/>
    <w:semiHidden/>
    <w:qFormat/>
    <w:uiPriority w:val="0"/>
    <w:pPr>
      <w:spacing w:before="120"/>
    </w:pPr>
    <w:rPr>
      <w:rFonts w:ascii="Arial" w:hAnsi="Arial" w:cs="Arial"/>
      <w:sz w:val="24"/>
      <w:szCs w:val="24"/>
    </w:rPr>
  </w:style>
  <w:style w:type="paragraph" w:styleId="13">
    <w:name w:val="annotation text"/>
    <w:basedOn w:val="1"/>
    <w:link w:val="76"/>
    <w:unhideWhenUsed/>
    <w:qFormat/>
    <w:uiPriority w:val="99"/>
    <w:pPr>
      <w:jc w:val="left"/>
    </w:pPr>
  </w:style>
  <w:style w:type="paragraph" w:styleId="14">
    <w:name w:val="Body Text"/>
    <w:basedOn w:val="1"/>
    <w:next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15">
    <w:name w:val="toc 3"/>
    <w:basedOn w:val="1"/>
    <w:next w:val="1"/>
    <w:unhideWhenUsed/>
    <w:qFormat/>
    <w:uiPriority w:val="39"/>
    <w:pPr>
      <w:spacing w:line="380" w:lineRule="exact"/>
      <w:ind w:left="400" w:leftChars="400"/>
      <w:jc w:val="distribute"/>
    </w:pPr>
  </w:style>
  <w:style w:type="paragraph" w:styleId="16">
    <w:name w:val="Date"/>
    <w:basedOn w:val="1"/>
    <w:next w:val="1"/>
    <w:link w:val="77"/>
    <w:unhideWhenUsed/>
    <w:qFormat/>
    <w:uiPriority w:val="99"/>
    <w:pPr>
      <w:ind w:left="100" w:leftChars="2500"/>
    </w:pPr>
  </w:style>
  <w:style w:type="paragraph" w:styleId="17">
    <w:name w:val="Balloon Text"/>
    <w:basedOn w:val="1"/>
    <w:link w:val="73"/>
    <w:unhideWhenUsed/>
    <w:qFormat/>
    <w:uiPriority w:val="99"/>
    <w:rPr>
      <w:sz w:val="18"/>
      <w:szCs w:val="18"/>
    </w:rPr>
  </w:style>
  <w:style w:type="paragraph" w:styleId="18">
    <w:name w:val="footer"/>
    <w:basedOn w:val="1"/>
    <w:next w:val="1"/>
    <w:link w:val="46"/>
    <w:unhideWhenUsed/>
    <w:qFormat/>
    <w:uiPriority w:val="99"/>
    <w:pPr>
      <w:tabs>
        <w:tab w:val="center" w:pos="4153"/>
        <w:tab w:val="right" w:pos="8306"/>
      </w:tabs>
      <w:snapToGrid w:val="0"/>
      <w:jc w:val="left"/>
    </w:pPr>
    <w:rPr>
      <w:sz w:val="18"/>
      <w:szCs w:val="18"/>
    </w:rPr>
  </w:style>
  <w:style w:type="paragraph" w:styleId="19">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line="380" w:lineRule="exact"/>
      <w:jc w:val="distribute"/>
    </w:pPr>
    <w:rPr>
      <w:rFonts w:eastAsia="黑体"/>
    </w:rPr>
  </w:style>
  <w:style w:type="paragraph" w:styleId="21">
    <w:name w:val="toc 2"/>
    <w:basedOn w:val="1"/>
    <w:next w:val="1"/>
    <w:unhideWhenUsed/>
    <w:qFormat/>
    <w:uiPriority w:val="39"/>
    <w:pPr>
      <w:spacing w:line="380" w:lineRule="exact"/>
      <w:ind w:left="200" w:leftChars="200"/>
      <w:jc w:val="distribute"/>
    </w:pPr>
  </w:style>
  <w:style w:type="paragraph" w:styleId="22">
    <w:name w:val="Body Text 2"/>
    <w:basedOn w:val="1"/>
    <w:qFormat/>
    <w:uiPriority w:val="0"/>
    <w:pPr>
      <w:jc w:val="center"/>
    </w:pPr>
    <w:rPr>
      <w:rFonts w:eastAsia="黑体"/>
      <w:bCs/>
      <w:sz w:val="72"/>
    </w:rPr>
  </w:style>
  <w:style w:type="paragraph" w:styleId="23">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24">
    <w:name w:val="annotation subject"/>
    <w:basedOn w:val="13"/>
    <w:next w:val="13"/>
    <w:link w:val="79"/>
    <w:unhideWhenUsed/>
    <w:qFormat/>
    <w:uiPriority w:val="99"/>
    <w:rPr>
      <w:b/>
      <w:bCs/>
    </w:rPr>
  </w:style>
  <w:style w:type="paragraph" w:styleId="25">
    <w:name w:val="Body Text First Indent"/>
    <w:basedOn w:val="14"/>
    <w:unhideWhenUsed/>
    <w:qFormat/>
    <w:uiPriority w:val="0"/>
    <w:pPr>
      <w:spacing w:before="0" w:after="120" w:line="312" w:lineRule="atLeast"/>
      <w:ind w:firstLine="420" w:firstLineChars="100"/>
    </w:pPr>
    <w:rPr>
      <w:sz w:val="21"/>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page number"/>
    <w:basedOn w:val="28"/>
    <w:unhideWhenUsed/>
    <w:qFormat/>
    <w:uiPriority w:val="0"/>
    <w:rPr>
      <w:rFonts w:cs="Times New Roman"/>
    </w:rPr>
  </w:style>
  <w:style w:type="character" w:styleId="31">
    <w:name w:val="FollowedHyperlink"/>
    <w:basedOn w:val="28"/>
    <w:qFormat/>
    <w:uiPriority w:val="0"/>
    <w:rPr>
      <w:color w:val="2687D0"/>
      <w:u w:val="single"/>
    </w:rPr>
  </w:style>
  <w:style w:type="character" w:styleId="32">
    <w:name w:val="HTML Definition"/>
    <w:basedOn w:val="28"/>
    <w:unhideWhenUsed/>
    <w:qFormat/>
    <w:uiPriority w:val="99"/>
  </w:style>
  <w:style w:type="character" w:styleId="33">
    <w:name w:val="HTML Typewriter"/>
    <w:basedOn w:val="28"/>
    <w:unhideWhenUsed/>
    <w:qFormat/>
    <w:uiPriority w:val="99"/>
    <w:rPr>
      <w:rFonts w:hint="default" w:ascii="monospace" w:hAnsi="monospace" w:eastAsia="monospace" w:cs="monospace"/>
      <w:sz w:val="20"/>
    </w:rPr>
  </w:style>
  <w:style w:type="character" w:styleId="34">
    <w:name w:val="HTML Acronym"/>
    <w:basedOn w:val="28"/>
    <w:unhideWhenUsed/>
    <w:qFormat/>
    <w:uiPriority w:val="99"/>
  </w:style>
  <w:style w:type="character" w:styleId="35">
    <w:name w:val="HTML Variable"/>
    <w:basedOn w:val="28"/>
    <w:unhideWhenUsed/>
    <w:qFormat/>
    <w:uiPriority w:val="99"/>
  </w:style>
  <w:style w:type="character" w:styleId="36">
    <w:name w:val="Hyperlink"/>
    <w:basedOn w:val="28"/>
    <w:unhideWhenUsed/>
    <w:qFormat/>
    <w:uiPriority w:val="99"/>
    <w:rPr>
      <w:color w:val="0563C1"/>
      <w:u w:val="single"/>
    </w:rPr>
  </w:style>
  <w:style w:type="character" w:styleId="37">
    <w:name w:val="HTML Code"/>
    <w:basedOn w:val="28"/>
    <w:unhideWhenUsed/>
    <w:qFormat/>
    <w:uiPriority w:val="99"/>
    <w:rPr>
      <w:rFonts w:hint="default" w:ascii="Consolas" w:hAnsi="Consolas" w:eastAsia="Consolas" w:cs="Consolas"/>
      <w:sz w:val="21"/>
      <w:szCs w:val="21"/>
    </w:rPr>
  </w:style>
  <w:style w:type="character" w:styleId="38">
    <w:name w:val="annotation reference"/>
    <w:unhideWhenUsed/>
    <w:qFormat/>
    <w:uiPriority w:val="99"/>
    <w:rPr>
      <w:sz w:val="21"/>
      <w:szCs w:val="21"/>
    </w:rPr>
  </w:style>
  <w:style w:type="character" w:styleId="39">
    <w:name w:val="HTML Cite"/>
    <w:basedOn w:val="28"/>
    <w:unhideWhenUsed/>
    <w:qFormat/>
    <w:uiPriority w:val="99"/>
  </w:style>
  <w:style w:type="character" w:styleId="40">
    <w:name w:val="HTML Keyboard"/>
    <w:basedOn w:val="28"/>
    <w:unhideWhenUsed/>
    <w:qFormat/>
    <w:uiPriority w:val="99"/>
    <w:rPr>
      <w:rFonts w:hint="default" w:ascii="Consolas" w:hAnsi="Consolas" w:eastAsia="Consolas" w:cs="Consolas"/>
      <w:sz w:val="21"/>
      <w:szCs w:val="21"/>
    </w:rPr>
  </w:style>
  <w:style w:type="character" w:styleId="41">
    <w:name w:val="HTML Sample"/>
    <w:basedOn w:val="28"/>
    <w:unhideWhenUsed/>
    <w:qFormat/>
    <w:uiPriority w:val="99"/>
    <w:rPr>
      <w:rFonts w:ascii="Consolas" w:hAnsi="Consolas" w:eastAsia="Consolas" w:cs="Consolas"/>
      <w:sz w:val="21"/>
      <w:szCs w:val="21"/>
    </w:rPr>
  </w:style>
  <w:style w:type="character" w:customStyle="1" w:styleId="42">
    <w:name w:val="current6"/>
    <w:basedOn w:val="28"/>
    <w:qFormat/>
    <w:uiPriority w:val="0"/>
    <w:rPr>
      <w:color w:val="FFFFFF"/>
      <w:shd w:val="clear" w:color="auto" w:fill="5BA0FF"/>
    </w:rPr>
  </w:style>
  <w:style w:type="character" w:customStyle="1" w:styleId="43">
    <w:name w:val="icon_bj7"/>
    <w:basedOn w:val="28"/>
    <w:qFormat/>
    <w:uiPriority w:val="0"/>
    <w:rPr>
      <w:color w:val="FFFFFF"/>
      <w:sz w:val="18"/>
      <w:szCs w:val="18"/>
      <w:shd w:val="clear" w:color="auto" w:fill="4A90E2"/>
    </w:rPr>
  </w:style>
  <w:style w:type="character" w:customStyle="1" w:styleId="44">
    <w:name w:val="tuih1"/>
    <w:basedOn w:val="28"/>
    <w:qFormat/>
    <w:uiPriority w:val="0"/>
    <w:rPr>
      <w:color w:val="57607A"/>
      <w:bdr w:val="single" w:color="CDCCCC" w:sz="6" w:space="0"/>
    </w:rPr>
  </w:style>
  <w:style w:type="character" w:customStyle="1" w:styleId="45">
    <w:name w:val="current2"/>
    <w:basedOn w:val="28"/>
    <w:qFormat/>
    <w:uiPriority w:val="0"/>
    <w:rPr>
      <w:color w:val="197AFF"/>
      <w:shd w:val="clear" w:color="auto" w:fill="EBECF0"/>
    </w:rPr>
  </w:style>
  <w:style w:type="character" w:customStyle="1" w:styleId="46">
    <w:name w:val=" Char Char4"/>
    <w:link w:val="18"/>
    <w:qFormat/>
    <w:uiPriority w:val="99"/>
    <w:rPr>
      <w:kern w:val="2"/>
      <w:sz w:val="18"/>
      <w:szCs w:val="18"/>
    </w:rPr>
  </w:style>
  <w:style w:type="character" w:customStyle="1" w:styleId="47">
    <w:name w:val="heighthight"/>
    <w:basedOn w:val="28"/>
    <w:qFormat/>
    <w:uiPriority w:val="0"/>
    <w:rPr>
      <w:color w:val="FAAE14"/>
    </w:rPr>
  </w:style>
  <w:style w:type="character" w:customStyle="1" w:styleId="48">
    <w:name w:val="gotoset1"/>
    <w:basedOn w:val="28"/>
    <w:qFormat/>
    <w:uiPriority w:val="0"/>
    <w:rPr>
      <w:color w:val="999999"/>
    </w:rPr>
  </w:style>
  <w:style w:type="character" w:customStyle="1" w:styleId="49">
    <w:name w:val="current3"/>
    <w:basedOn w:val="28"/>
    <w:qFormat/>
    <w:uiPriority w:val="0"/>
  </w:style>
  <w:style w:type="character" w:customStyle="1" w:styleId="50">
    <w:name w:val="current1"/>
    <w:basedOn w:val="28"/>
    <w:qFormat/>
    <w:uiPriority w:val="0"/>
    <w:rPr>
      <w:color w:val="FFFFFF"/>
      <w:bdr w:val="single" w:color="197AFF" w:sz="6" w:space="0"/>
      <w:shd w:val="clear" w:color="auto" w:fill="197AFF"/>
    </w:rPr>
  </w:style>
  <w:style w:type="character" w:customStyle="1" w:styleId="51">
    <w:name w:val="gotoset4"/>
    <w:basedOn w:val="28"/>
    <w:qFormat/>
    <w:uiPriority w:val="0"/>
    <w:rPr>
      <w:color w:val="999999"/>
    </w:rPr>
  </w:style>
  <w:style w:type="character" w:customStyle="1" w:styleId="52">
    <w:name w:val="current5"/>
    <w:basedOn w:val="28"/>
    <w:qFormat/>
    <w:uiPriority w:val="0"/>
    <w:rPr>
      <w:color w:val="FFFFFF"/>
      <w:shd w:val="clear" w:color="auto" w:fill="5BA0FF"/>
    </w:rPr>
  </w:style>
  <w:style w:type="character" w:customStyle="1" w:styleId="53">
    <w:name w:val="search1"/>
    <w:basedOn w:val="28"/>
    <w:qFormat/>
    <w:uiPriority w:val="0"/>
  </w:style>
  <w:style w:type="character" w:customStyle="1" w:styleId="54">
    <w:name w:val="selected1"/>
    <w:basedOn w:val="28"/>
    <w:qFormat/>
    <w:uiPriority w:val="0"/>
    <w:rPr>
      <w:color w:val="1B78FF"/>
      <w:bdr w:val="single" w:color="3177FD" w:sz="6" w:space="0"/>
    </w:rPr>
  </w:style>
  <w:style w:type="character" w:customStyle="1" w:styleId="55">
    <w:name w:val="date-title"/>
    <w:basedOn w:val="28"/>
    <w:qFormat/>
    <w:uiPriority w:val="0"/>
    <w:rPr>
      <w:color w:val="24344E"/>
      <w:sz w:val="27"/>
      <w:szCs w:val="27"/>
    </w:rPr>
  </w:style>
  <w:style w:type="character" w:customStyle="1" w:styleId="56">
    <w:name w:val="tuih12"/>
    <w:basedOn w:val="28"/>
    <w:qFormat/>
    <w:uiPriority w:val="0"/>
    <w:rPr>
      <w:color w:val="57607A"/>
      <w:bdr w:val="single" w:color="CDCCCC" w:sz="6" w:space="0"/>
    </w:rPr>
  </w:style>
  <w:style w:type="character" w:customStyle="1" w:styleId="57">
    <w:name w:val="search"/>
    <w:basedOn w:val="28"/>
    <w:qFormat/>
    <w:uiPriority w:val="0"/>
  </w:style>
  <w:style w:type="character" w:customStyle="1" w:styleId="58">
    <w:name w:val="error"/>
    <w:basedOn w:val="28"/>
    <w:qFormat/>
    <w:uiPriority w:val="0"/>
    <w:rPr>
      <w:color w:val="FF625C"/>
    </w:rPr>
  </w:style>
  <w:style w:type="character" w:customStyle="1" w:styleId="59">
    <w:name w:val="select"/>
    <w:basedOn w:val="28"/>
    <w:qFormat/>
    <w:uiPriority w:val="0"/>
    <w:rPr>
      <w:color w:val="FFFFFF"/>
      <w:shd w:val="clear" w:color="auto" w:fill="3595F8"/>
    </w:rPr>
  </w:style>
  <w:style w:type="character" w:customStyle="1" w:styleId="60">
    <w:name w:val="tuih5"/>
    <w:basedOn w:val="28"/>
    <w:qFormat/>
    <w:uiPriority w:val="0"/>
    <w:rPr>
      <w:color w:val="57607A"/>
      <w:bdr w:val="single" w:color="CDCCCC" w:sz="6" w:space="0"/>
    </w:rPr>
  </w:style>
  <w:style w:type="character" w:customStyle="1" w:styleId="61">
    <w:name w:val=" Char Char5"/>
    <w:link w:val="19"/>
    <w:qFormat/>
    <w:uiPriority w:val="99"/>
    <w:rPr>
      <w:kern w:val="2"/>
      <w:sz w:val="18"/>
      <w:szCs w:val="18"/>
    </w:rPr>
  </w:style>
  <w:style w:type="character" w:customStyle="1" w:styleId="62">
    <w:name w:val="font121"/>
    <w:basedOn w:val="28"/>
    <w:qFormat/>
    <w:uiPriority w:val="0"/>
    <w:rPr>
      <w:rFonts w:hint="eastAsia" w:ascii="宋体" w:hAnsi="宋体" w:eastAsia="宋体" w:cs="宋体"/>
      <w:b/>
      <w:color w:val="000000"/>
      <w:sz w:val="21"/>
      <w:szCs w:val="21"/>
      <w:u w:val="none"/>
    </w:rPr>
  </w:style>
  <w:style w:type="character" w:customStyle="1" w:styleId="63">
    <w:name w:val="skip1"/>
    <w:basedOn w:val="28"/>
    <w:qFormat/>
    <w:uiPriority w:val="0"/>
  </w:style>
  <w:style w:type="character" w:customStyle="1" w:styleId="64">
    <w:name w:val="tuih8"/>
    <w:basedOn w:val="28"/>
    <w:qFormat/>
    <w:uiPriority w:val="0"/>
    <w:rPr>
      <w:color w:val="57607A"/>
      <w:bdr w:val="single" w:color="CDCCCC" w:sz="6" w:space="0"/>
    </w:rPr>
  </w:style>
  <w:style w:type="character" w:customStyle="1" w:styleId="65">
    <w:name w:val="date-title1"/>
    <w:basedOn w:val="28"/>
    <w:qFormat/>
    <w:uiPriority w:val="0"/>
    <w:rPr>
      <w:color w:val="24344E"/>
      <w:sz w:val="27"/>
      <w:szCs w:val="27"/>
    </w:rPr>
  </w:style>
  <w:style w:type="character" w:customStyle="1" w:styleId="66">
    <w:name w:val="redline1"/>
    <w:basedOn w:val="28"/>
    <w:qFormat/>
    <w:uiPriority w:val="0"/>
    <w:rPr>
      <w:color w:val="FF0000"/>
    </w:rPr>
  </w:style>
  <w:style w:type="character" w:customStyle="1" w:styleId="67">
    <w:name w:val="pagetitle1"/>
    <w:basedOn w:val="28"/>
    <w:qFormat/>
    <w:uiPriority w:val="0"/>
    <w:rPr>
      <w:color w:val="24344E"/>
      <w:sz w:val="27"/>
      <w:szCs w:val="27"/>
    </w:rPr>
  </w:style>
  <w:style w:type="character" w:customStyle="1" w:styleId="68">
    <w:name w:val="star-info"/>
    <w:basedOn w:val="28"/>
    <w:qFormat/>
    <w:uiPriority w:val="0"/>
    <w:rPr>
      <w:color w:val="FD7B24"/>
      <w:sz w:val="24"/>
      <w:szCs w:val="24"/>
    </w:rPr>
  </w:style>
  <w:style w:type="character" w:customStyle="1" w:styleId="69">
    <w:name w:val="正文文本缩进 Char1"/>
    <w:qFormat/>
    <w:uiPriority w:val="0"/>
    <w:rPr>
      <w:rFonts w:ascii="Cambria" w:hAnsi="Cambria"/>
      <w:kern w:val="2"/>
      <w:sz w:val="24"/>
      <w:szCs w:val="24"/>
    </w:rPr>
  </w:style>
  <w:style w:type="character" w:customStyle="1" w:styleId="70">
    <w:name w:val="tuih"/>
    <w:basedOn w:val="28"/>
    <w:qFormat/>
    <w:uiPriority w:val="0"/>
    <w:rPr>
      <w:color w:val="57607A"/>
      <w:bdr w:val="single" w:color="CDCCCC" w:sz="6" w:space="0"/>
    </w:rPr>
  </w:style>
  <w:style w:type="character" w:customStyle="1" w:styleId="71">
    <w:name w:val="font101"/>
    <w:basedOn w:val="28"/>
    <w:qFormat/>
    <w:uiPriority w:val="0"/>
    <w:rPr>
      <w:rFonts w:hint="default" w:ascii="Calibri" w:hAnsi="Calibri" w:cs="Calibri"/>
      <w:color w:val="000000"/>
      <w:sz w:val="20"/>
      <w:szCs w:val="20"/>
      <w:u w:val="none"/>
    </w:rPr>
  </w:style>
  <w:style w:type="character" w:customStyle="1" w:styleId="72">
    <w:name w:val="zige"/>
    <w:basedOn w:val="28"/>
    <w:qFormat/>
    <w:uiPriority w:val="0"/>
  </w:style>
  <w:style w:type="character" w:customStyle="1" w:styleId="73">
    <w:name w:val=" Char Char"/>
    <w:link w:val="17"/>
    <w:semiHidden/>
    <w:qFormat/>
    <w:uiPriority w:val="99"/>
    <w:rPr>
      <w:kern w:val="2"/>
      <w:sz w:val="18"/>
      <w:szCs w:val="18"/>
    </w:rPr>
  </w:style>
  <w:style w:type="character" w:customStyle="1" w:styleId="74">
    <w:name w:val="danger"/>
    <w:basedOn w:val="28"/>
    <w:qFormat/>
    <w:uiPriority w:val="0"/>
    <w:rPr>
      <w:color w:val="FF2200"/>
    </w:rPr>
  </w:style>
  <w:style w:type="character" w:customStyle="1" w:styleId="75">
    <w:name w:val="楷体 (中文) 楷体"/>
    <w:qFormat/>
    <w:uiPriority w:val="0"/>
    <w:rPr>
      <w:rFonts w:ascii="楷体" w:hAnsi="楷体" w:eastAsia="楷体"/>
      <w:kern w:val="1"/>
      <w:sz w:val="28"/>
    </w:rPr>
  </w:style>
  <w:style w:type="character" w:customStyle="1" w:styleId="76">
    <w:name w:val=" Char Char2"/>
    <w:link w:val="13"/>
    <w:semiHidden/>
    <w:qFormat/>
    <w:uiPriority w:val="99"/>
    <w:rPr>
      <w:kern w:val="2"/>
      <w:sz w:val="21"/>
      <w:szCs w:val="22"/>
    </w:rPr>
  </w:style>
  <w:style w:type="character" w:customStyle="1" w:styleId="77">
    <w:name w:val=" Char Char3"/>
    <w:link w:val="16"/>
    <w:semiHidden/>
    <w:qFormat/>
    <w:uiPriority w:val="99"/>
    <w:rPr>
      <w:kern w:val="2"/>
      <w:sz w:val="21"/>
      <w:szCs w:val="22"/>
    </w:rPr>
  </w:style>
  <w:style w:type="character" w:customStyle="1" w:styleId="78">
    <w:name w:val="tuih9"/>
    <w:basedOn w:val="28"/>
    <w:qFormat/>
    <w:uiPriority w:val="0"/>
    <w:rPr>
      <w:color w:val="57607A"/>
      <w:bdr w:val="single" w:color="CDCCCC" w:sz="6" w:space="0"/>
    </w:rPr>
  </w:style>
  <w:style w:type="character" w:customStyle="1" w:styleId="79">
    <w:name w:val=" Char Char1"/>
    <w:link w:val="24"/>
    <w:semiHidden/>
    <w:qFormat/>
    <w:uiPriority w:val="99"/>
    <w:rPr>
      <w:b/>
      <w:bCs/>
      <w:kern w:val="2"/>
      <w:sz w:val="21"/>
      <w:szCs w:val="22"/>
    </w:rPr>
  </w:style>
  <w:style w:type="character" w:customStyle="1" w:styleId="80">
    <w:name w:val="icon_bj2"/>
    <w:basedOn w:val="28"/>
    <w:qFormat/>
    <w:uiPriority w:val="0"/>
    <w:rPr>
      <w:color w:val="FFFFFF"/>
      <w:sz w:val="18"/>
      <w:szCs w:val="18"/>
      <w:shd w:val="clear" w:color="auto" w:fill="4A90E2"/>
    </w:rPr>
  </w:style>
  <w:style w:type="character" w:customStyle="1" w:styleId="81">
    <w:name w:val="tuih10"/>
    <w:basedOn w:val="28"/>
    <w:qFormat/>
    <w:uiPriority w:val="0"/>
    <w:rPr>
      <w:color w:val="57607A"/>
      <w:bdr w:val="single" w:color="CDCCCC" w:sz="6" w:space="0"/>
    </w:rPr>
  </w:style>
  <w:style w:type="character" w:customStyle="1" w:styleId="82">
    <w:name w:val="pagetitle"/>
    <w:basedOn w:val="28"/>
    <w:qFormat/>
    <w:uiPriority w:val="0"/>
    <w:rPr>
      <w:color w:val="24344E"/>
      <w:sz w:val="27"/>
      <w:szCs w:val="27"/>
    </w:rPr>
  </w:style>
  <w:style w:type="character" w:customStyle="1" w:styleId="83">
    <w:name w:val="heighthight5"/>
    <w:basedOn w:val="28"/>
    <w:qFormat/>
    <w:uiPriority w:val="0"/>
    <w:rPr>
      <w:color w:val="FAAE14"/>
    </w:rPr>
  </w:style>
  <w:style w:type="character" w:customStyle="1" w:styleId="84">
    <w:name w:val="font151"/>
    <w:basedOn w:val="28"/>
    <w:qFormat/>
    <w:uiPriority w:val="0"/>
    <w:rPr>
      <w:rFonts w:hint="default" w:ascii="MingLiU" w:hAnsi="MingLiU" w:eastAsia="MingLiU" w:cs="MingLiU"/>
      <w:color w:val="000000"/>
      <w:sz w:val="21"/>
      <w:szCs w:val="21"/>
      <w:u w:val="none"/>
    </w:rPr>
  </w:style>
  <w:style w:type="character" w:customStyle="1" w:styleId="85">
    <w:name w:val="font61"/>
    <w:basedOn w:val="28"/>
    <w:qFormat/>
    <w:uiPriority w:val="0"/>
    <w:rPr>
      <w:rFonts w:hint="eastAsia" w:ascii="宋体" w:hAnsi="宋体" w:eastAsia="宋体" w:cs="宋体"/>
      <w:color w:val="000000"/>
      <w:sz w:val="20"/>
      <w:szCs w:val="20"/>
      <w:u w:val="none"/>
    </w:rPr>
  </w:style>
  <w:style w:type="character" w:customStyle="1" w:styleId="86">
    <w:name w:val="heighthight1"/>
    <w:basedOn w:val="28"/>
    <w:qFormat/>
    <w:uiPriority w:val="0"/>
    <w:rPr>
      <w:color w:val="FAAE14"/>
    </w:rPr>
  </w:style>
  <w:style w:type="character" w:customStyle="1" w:styleId="87">
    <w:name w:val="today1"/>
    <w:basedOn w:val="28"/>
    <w:qFormat/>
    <w:uiPriority w:val="0"/>
    <w:rPr>
      <w:color w:val="606060"/>
      <w:shd w:val="clear" w:color="auto" w:fill="F5F6FA"/>
    </w:rPr>
  </w:style>
  <w:style w:type="character" w:customStyle="1" w:styleId="88">
    <w:name w:val="gotoset3"/>
    <w:basedOn w:val="28"/>
    <w:qFormat/>
    <w:uiPriority w:val="0"/>
    <w:rPr>
      <w:color w:val="999999"/>
    </w:rPr>
  </w:style>
  <w:style w:type="character" w:customStyle="1" w:styleId="89">
    <w:name w:val="tuih3"/>
    <w:basedOn w:val="28"/>
    <w:qFormat/>
    <w:uiPriority w:val="0"/>
    <w:rPr>
      <w:color w:val="57607A"/>
      <w:bdr w:val="single" w:color="CDCCCC" w:sz="6" w:space="0"/>
    </w:rPr>
  </w:style>
  <w:style w:type="character" w:customStyle="1" w:styleId="90">
    <w:name w:val="tuih6"/>
    <w:basedOn w:val="28"/>
    <w:qFormat/>
    <w:uiPriority w:val="0"/>
    <w:rPr>
      <w:color w:val="57607A"/>
      <w:bdr w:val="single" w:color="CDCCCC" w:sz="6" w:space="0"/>
    </w:rPr>
  </w:style>
  <w:style w:type="character" w:customStyle="1" w:styleId="91">
    <w:name w:val="font91"/>
    <w:basedOn w:val="28"/>
    <w:qFormat/>
    <w:uiPriority w:val="0"/>
    <w:rPr>
      <w:rFonts w:ascii="MingLiU" w:hAnsi="MingLiU" w:eastAsia="MingLiU" w:cs="MingLiU"/>
      <w:color w:val="000000"/>
      <w:sz w:val="21"/>
      <w:szCs w:val="21"/>
      <w:u w:val="none"/>
    </w:rPr>
  </w:style>
  <w:style w:type="character" w:customStyle="1" w:styleId="92">
    <w:name w:val="selected"/>
    <w:basedOn w:val="28"/>
    <w:qFormat/>
    <w:uiPriority w:val="0"/>
    <w:rPr>
      <w:color w:val="1B78FF"/>
      <w:bdr w:val="single" w:color="3177FD" w:sz="6" w:space="0"/>
    </w:rPr>
  </w:style>
  <w:style w:type="character" w:customStyle="1" w:styleId="93">
    <w:name w:val="heighthight3"/>
    <w:basedOn w:val="28"/>
    <w:qFormat/>
    <w:uiPriority w:val="0"/>
    <w:rPr>
      <w:color w:val="FAAE14"/>
    </w:rPr>
  </w:style>
  <w:style w:type="character" w:customStyle="1" w:styleId="94">
    <w:name w:val="样式 仿宋"/>
    <w:qFormat/>
    <w:uiPriority w:val="0"/>
    <w:rPr>
      <w:rFonts w:ascii="仿宋" w:hAnsi="仿宋" w:eastAsia="仿宋"/>
      <w:kern w:val="1"/>
    </w:rPr>
  </w:style>
  <w:style w:type="character" w:customStyle="1" w:styleId="95">
    <w:name w:val="heighthight2"/>
    <w:basedOn w:val="28"/>
    <w:qFormat/>
    <w:uiPriority w:val="0"/>
    <w:rPr>
      <w:color w:val="FAAE14"/>
    </w:rPr>
  </w:style>
  <w:style w:type="character" w:customStyle="1" w:styleId="96">
    <w:name w:val="tuih4"/>
    <w:basedOn w:val="28"/>
    <w:qFormat/>
    <w:uiPriority w:val="0"/>
    <w:rPr>
      <w:color w:val="57607A"/>
      <w:bdr w:val="single" w:color="CDCCCC" w:sz="6" w:space="0"/>
    </w:rPr>
  </w:style>
  <w:style w:type="character" w:customStyle="1" w:styleId="97">
    <w:name w:val="icon_bj"/>
    <w:basedOn w:val="28"/>
    <w:qFormat/>
    <w:uiPriority w:val="0"/>
    <w:rPr>
      <w:color w:val="FFFFFF"/>
      <w:sz w:val="18"/>
      <w:szCs w:val="18"/>
      <w:shd w:val="clear" w:color="auto" w:fill="4A90E2"/>
    </w:rPr>
  </w:style>
  <w:style w:type="character" w:customStyle="1" w:styleId="98">
    <w:name w:val="font51"/>
    <w:basedOn w:val="28"/>
    <w:qFormat/>
    <w:uiPriority w:val="0"/>
    <w:rPr>
      <w:rFonts w:hint="eastAsia" w:ascii="宋体" w:hAnsi="宋体" w:eastAsia="宋体" w:cs="宋体"/>
      <w:color w:val="000000"/>
      <w:sz w:val="21"/>
      <w:szCs w:val="21"/>
      <w:u w:val="none"/>
      <w:vertAlign w:val="superscript"/>
    </w:rPr>
  </w:style>
  <w:style w:type="character" w:customStyle="1" w:styleId="99">
    <w:name w:val="redline"/>
    <w:basedOn w:val="28"/>
    <w:qFormat/>
    <w:uiPriority w:val="0"/>
    <w:rPr>
      <w:color w:val="FF0000"/>
    </w:rPr>
  </w:style>
  <w:style w:type="character" w:customStyle="1" w:styleId="100">
    <w:name w:val="tuih11"/>
    <w:basedOn w:val="28"/>
    <w:qFormat/>
    <w:uiPriority w:val="0"/>
    <w:rPr>
      <w:color w:val="57607A"/>
      <w:bdr w:val="single" w:color="CDCCCC" w:sz="6" w:space="0"/>
    </w:rPr>
  </w:style>
  <w:style w:type="character" w:customStyle="1" w:styleId="101">
    <w:name w:val="font141"/>
    <w:basedOn w:val="28"/>
    <w:qFormat/>
    <w:uiPriority w:val="0"/>
    <w:rPr>
      <w:rFonts w:hint="eastAsia" w:ascii="宋体" w:hAnsi="宋体" w:eastAsia="宋体" w:cs="宋体"/>
      <w:color w:val="000000"/>
      <w:sz w:val="21"/>
      <w:szCs w:val="21"/>
      <w:u w:val="none"/>
    </w:rPr>
  </w:style>
  <w:style w:type="character" w:customStyle="1" w:styleId="102">
    <w:name w:val="current4"/>
    <w:basedOn w:val="28"/>
    <w:qFormat/>
    <w:uiPriority w:val="0"/>
    <w:rPr>
      <w:color w:val="FFFFFF"/>
      <w:shd w:val="clear" w:color="auto" w:fill="5BA0FF"/>
    </w:rPr>
  </w:style>
  <w:style w:type="character" w:customStyle="1" w:styleId="103">
    <w:name w:val="font21"/>
    <w:basedOn w:val="28"/>
    <w:qFormat/>
    <w:uiPriority w:val="0"/>
    <w:rPr>
      <w:rFonts w:hint="eastAsia" w:ascii="宋体" w:hAnsi="宋体" w:eastAsia="宋体" w:cs="宋体"/>
      <w:color w:val="000000"/>
      <w:sz w:val="24"/>
      <w:szCs w:val="24"/>
      <w:u w:val="none"/>
    </w:rPr>
  </w:style>
  <w:style w:type="character" w:customStyle="1" w:styleId="104">
    <w:name w:val="gotoset5"/>
    <w:basedOn w:val="28"/>
    <w:qFormat/>
    <w:uiPriority w:val="0"/>
    <w:rPr>
      <w:color w:val="999999"/>
    </w:rPr>
  </w:style>
  <w:style w:type="character" w:customStyle="1" w:styleId="105">
    <w:name w:val="icon_bj1"/>
    <w:basedOn w:val="28"/>
    <w:qFormat/>
    <w:uiPriority w:val="0"/>
    <w:rPr>
      <w:color w:val="FFFFFF"/>
      <w:sz w:val="18"/>
      <w:szCs w:val="18"/>
      <w:shd w:val="clear" w:color="auto" w:fill="4A90E2"/>
    </w:rPr>
  </w:style>
  <w:style w:type="character" w:customStyle="1" w:styleId="106">
    <w:name w:val="icon_bj8"/>
    <w:basedOn w:val="28"/>
    <w:qFormat/>
    <w:uiPriority w:val="0"/>
    <w:rPr>
      <w:color w:val="FFFFFF"/>
      <w:sz w:val="18"/>
      <w:szCs w:val="18"/>
      <w:shd w:val="clear" w:color="auto" w:fill="4A90E2"/>
    </w:rPr>
  </w:style>
  <w:style w:type="character" w:customStyle="1" w:styleId="107">
    <w:name w:val="tuih7"/>
    <w:basedOn w:val="28"/>
    <w:qFormat/>
    <w:uiPriority w:val="0"/>
    <w:rPr>
      <w:color w:val="57607A"/>
      <w:bdr w:val="single" w:color="CDCCCC" w:sz="6" w:space="0"/>
    </w:rPr>
  </w:style>
  <w:style w:type="character" w:customStyle="1" w:styleId="108">
    <w:name w:val="current"/>
    <w:basedOn w:val="28"/>
    <w:qFormat/>
    <w:uiPriority w:val="0"/>
    <w:rPr>
      <w:color w:val="FFFFFF"/>
      <w:bdr w:val="single" w:color="1C7FD1" w:sz="6" w:space="0"/>
      <w:shd w:val="clear" w:color="auto" w:fill="1C7FD1"/>
    </w:rPr>
  </w:style>
  <w:style w:type="character" w:customStyle="1" w:styleId="109">
    <w:name w:val="icon_bj5"/>
    <w:basedOn w:val="28"/>
    <w:qFormat/>
    <w:uiPriority w:val="0"/>
    <w:rPr>
      <w:color w:val="FFFFFF"/>
      <w:sz w:val="18"/>
      <w:szCs w:val="18"/>
      <w:shd w:val="clear" w:color="auto" w:fill="4A90E2"/>
    </w:rPr>
  </w:style>
  <w:style w:type="character" w:customStyle="1" w:styleId="110">
    <w:name w:val="font11"/>
    <w:basedOn w:val="28"/>
    <w:qFormat/>
    <w:uiPriority w:val="0"/>
    <w:rPr>
      <w:rFonts w:hint="eastAsia" w:ascii="宋体" w:hAnsi="宋体" w:eastAsia="宋体" w:cs="宋体"/>
      <w:b/>
      <w:color w:val="000000"/>
      <w:sz w:val="22"/>
      <w:szCs w:val="22"/>
      <w:u w:val="none"/>
    </w:rPr>
  </w:style>
  <w:style w:type="character" w:customStyle="1" w:styleId="111">
    <w:name w:val="tuih2"/>
    <w:basedOn w:val="28"/>
    <w:qFormat/>
    <w:uiPriority w:val="0"/>
    <w:rPr>
      <w:color w:val="57607A"/>
      <w:bdr w:val="single" w:color="CDCCCC" w:sz="6" w:space="0"/>
    </w:rPr>
  </w:style>
  <w:style w:type="character" w:customStyle="1" w:styleId="112">
    <w:name w:val="icon_bj3"/>
    <w:basedOn w:val="28"/>
    <w:qFormat/>
    <w:uiPriority w:val="0"/>
    <w:rPr>
      <w:color w:val="FFFFFF"/>
      <w:sz w:val="18"/>
      <w:szCs w:val="18"/>
      <w:shd w:val="clear" w:color="auto" w:fill="4A90E2"/>
    </w:rPr>
  </w:style>
  <w:style w:type="character" w:customStyle="1" w:styleId="113">
    <w:name w:val="font131"/>
    <w:basedOn w:val="28"/>
    <w:qFormat/>
    <w:uiPriority w:val="0"/>
    <w:rPr>
      <w:rFonts w:hint="default" w:ascii="Calibri" w:hAnsi="Calibri" w:cs="Calibri"/>
      <w:color w:val="000000"/>
      <w:sz w:val="21"/>
      <w:szCs w:val="21"/>
      <w:u w:val="none"/>
    </w:rPr>
  </w:style>
  <w:style w:type="character" w:customStyle="1" w:styleId="114">
    <w:name w:val="skip"/>
    <w:basedOn w:val="28"/>
    <w:qFormat/>
    <w:uiPriority w:val="0"/>
  </w:style>
  <w:style w:type="character" w:customStyle="1" w:styleId="115">
    <w:name w:val="error1"/>
    <w:basedOn w:val="28"/>
    <w:qFormat/>
    <w:uiPriority w:val="0"/>
    <w:rPr>
      <w:color w:val="FF625C"/>
    </w:rPr>
  </w:style>
  <w:style w:type="character" w:customStyle="1" w:styleId="116">
    <w:name w:val="last-child"/>
    <w:basedOn w:val="28"/>
    <w:qFormat/>
    <w:uiPriority w:val="0"/>
  </w:style>
  <w:style w:type="character" w:customStyle="1" w:styleId="117">
    <w:name w:val="font112"/>
    <w:basedOn w:val="28"/>
    <w:qFormat/>
    <w:uiPriority w:val="0"/>
    <w:rPr>
      <w:rFonts w:hint="default" w:ascii="Calibri" w:hAnsi="Calibri" w:cs="Calibri"/>
      <w:color w:val="000000"/>
      <w:sz w:val="21"/>
      <w:szCs w:val="21"/>
      <w:u w:val="none"/>
    </w:rPr>
  </w:style>
  <w:style w:type="character" w:customStyle="1" w:styleId="118">
    <w:name w:val="caret4"/>
    <w:basedOn w:val="28"/>
    <w:qFormat/>
    <w:uiPriority w:val="0"/>
  </w:style>
  <w:style w:type="character" w:customStyle="1" w:styleId="119">
    <w:name w:val="gotoset"/>
    <w:basedOn w:val="28"/>
    <w:qFormat/>
    <w:uiPriority w:val="0"/>
    <w:rPr>
      <w:color w:val="999999"/>
    </w:rPr>
  </w:style>
  <w:style w:type="character" w:customStyle="1" w:styleId="120">
    <w:name w:val="icon_bj6"/>
    <w:basedOn w:val="28"/>
    <w:qFormat/>
    <w:uiPriority w:val="0"/>
    <w:rPr>
      <w:color w:val="FFFFFF"/>
      <w:sz w:val="18"/>
      <w:szCs w:val="18"/>
      <w:shd w:val="clear" w:color="auto" w:fill="4A90E2"/>
    </w:rPr>
  </w:style>
  <w:style w:type="character" w:customStyle="1" w:styleId="121">
    <w:name w:val="shenhezhong"/>
    <w:basedOn w:val="28"/>
    <w:qFormat/>
    <w:uiPriority w:val="0"/>
    <w:rPr>
      <w:color w:val="FFFFFF"/>
      <w:sz w:val="18"/>
      <w:szCs w:val="18"/>
      <w:shd w:val="clear" w:color="auto" w:fill="28B928"/>
    </w:rPr>
  </w:style>
  <w:style w:type="character" w:customStyle="1" w:styleId="122">
    <w:name w:val="today"/>
    <w:basedOn w:val="28"/>
    <w:qFormat/>
    <w:uiPriority w:val="0"/>
    <w:rPr>
      <w:color w:val="606060"/>
      <w:shd w:val="clear" w:color="auto" w:fill="F5F6FA"/>
    </w:rPr>
  </w:style>
  <w:style w:type="character" w:customStyle="1" w:styleId="123">
    <w:name w:val="fl"/>
    <w:basedOn w:val="28"/>
    <w:qFormat/>
    <w:uiPriority w:val="0"/>
    <w:rPr>
      <w:sz w:val="21"/>
      <w:szCs w:val="21"/>
    </w:rPr>
  </w:style>
  <w:style w:type="character" w:customStyle="1" w:styleId="124">
    <w:name w:val="heighthight6"/>
    <w:basedOn w:val="28"/>
    <w:qFormat/>
    <w:uiPriority w:val="0"/>
    <w:rPr>
      <w:color w:val="FAAE14"/>
    </w:rPr>
  </w:style>
  <w:style w:type="character" w:customStyle="1" w:styleId="125">
    <w:name w:val="gotoset2"/>
    <w:basedOn w:val="28"/>
    <w:qFormat/>
    <w:uiPriority w:val="0"/>
    <w:rPr>
      <w:color w:val="999999"/>
    </w:rPr>
  </w:style>
  <w:style w:type="character" w:customStyle="1" w:styleId="126">
    <w:name w:val="tuih13"/>
    <w:basedOn w:val="28"/>
    <w:qFormat/>
    <w:uiPriority w:val="0"/>
    <w:rPr>
      <w:color w:val="57607A"/>
      <w:bdr w:val="single" w:color="CDCCCC" w:sz="6" w:space="0"/>
    </w:rPr>
  </w:style>
  <w:style w:type="character" w:customStyle="1" w:styleId="127">
    <w:name w:val="heighthight4"/>
    <w:basedOn w:val="28"/>
    <w:qFormat/>
    <w:uiPriority w:val="0"/>
    <w:rPr>
      <w:color w:val="FAAE14"/>
    </w:rPr>
  </w:style>
  <w:style w:type="character" w:customStyle="1" w:styleId="128">
    <w:name w:val="icon_bj4"/>
    <w:basedOn w:val="28"/>
    <w:qFormat/>
    <w:uiPriority w:val="0"/>
    <w:rPr>
      <w:color w:val="FFFFFF"/>
      <w:sz w:val="18"/>
      <w:szCs w:val="18"/>
      <w:shd w:val="clear" w:color="auto" w:fill="4A90E2"/>
    </w:rPr>
  </w:style>
  <w:style w:type="character" w:customStyle="1" w:styleId="129">
    <w:name w:val="success"/>
    <w:basedOn w:val="28"/>
    <w:qFormat/>
    <w:uiPriority w:val="0"/>
    <w:rPr>
      <w:color w:val="2DC12D"/>
    </w:rPr>
  </w:style>
  <w:style w:type="character" w:customStyle="1" w:styleId="130">
    <w:name w:val="font01"/>
    <w:basedOn w:val="28"/>
    <w:qFormat/>
    <w:uiPriority w:val="0"/>
    <w:rPr>
      <w:rFonts w:hint="eastAsia" w:ascii="宋体" w:hAnsi="宋体" w:eastAsia="宋体" w:cs="宋体"/>
      <w:color w:val="000000"/>
      <w:sz w:val="20"/>
      <w:szCs w:val="20"/>
      <w:u w:val="none"/>
    </w:rPr>
  </w:style>
  <w:style w:type="character" w:customStyle="1" w:styleId="131">
    <w:name w:val="sl"/>
    <w:basedOn w:val="28"/>
    <w:qFormat/>
    <w:uiPriority w:val="0"/>
    <w:rPr>
      <w:sz w:val="18"/>
      <w:szCs w:val="18"/>
    </w:rPr>
  </w:style>
  <w:style w:type="paragraph" w:customStyle="1" w:styleId="1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3">
    <w:name w:val="Char Char Char Char"/>
    <w:basedOn w:val="1"/>
    <w:qFormat/>
    <w:uiPriority w:val="0"/>
    <w:rPr>
      <w:rFonts w:ascii="Times New Roman" w:hAnsi="Times New Roman"/>
      <w:szCs w:val="20"/>
    </w:rPr>
  </w:style>
  <w:style w:type="paragraph" w:customStyle="1" w:styleId="134">
    <w:name w:val="Table Paragraph"/>
    <w:basedOn w:val="1"/>
    <w:qFormat/>
    <w:uiPriority w:val="1"/>
    <w:rPr>
      <w:rFonts w:ascii="宋体" w:hAnsi="宋体" w:eastAsia="宋体" w:cs="宋体"/>
      <w:lang w:val="zh-CN" w:eastAsia="zh-CN" w:bidi="zh-CN"/>
    </w:rPr>
  </w:style>
  <w:style w:type="paragraph" w:styleId="135">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36">
    <w:name w:val="_Style 2"/>
    <w:basedOn w:val="1"/>
    <w:next w:val="1"/>
    <w:qFormat/>
    <w:uiPriority w:val="0"/>
    <w:pPr>
      <w:pBdr>
        <w:top w:val="single" w:color="auto" w:sz="6" w:space="1"/>
      </w:pBdr>
      <w:jc w:val="center"/>
    </w:pPr>
    <w:rPr>
      <w:rFonts w:ascii="Arial" w:eastAsia="宋体"/>
      <w:vanish/>
      <w:sz w:val="16"/>
    </w:rPr>
  </w:style>
  <w:style w:type="paragraph" w:customStyle="1" w:styleId="137">
    <w:name w:val="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138">
    <w:name w:val="正文文本1"/>
    <w:basedOn w:val="1"/>
    <w:qFormat/>
    <w:uiPriority w:val="0"/>
    <w:pPr>
      <w:widowControl w:val="0"/>
      <w:shd w:val="clear" w:color="auto" w:fill="FFFFFF"/>
      <w:spacing w:line="360" w:lineRule="auto"/>
      <w:ind w:firstLine="400"/>
    </w:pPr>
    <w:rPr>
      <w:rFonts w:ascii="MingLiU" w:hAnsi="MingLiU" w:eastAsia="MingLiU" w:cs="MingLiU"/>
      <w:sz w:val="22"/>
      <w:szCs w:val="22"/>
      <w:u w:val="none"/>
      <w:lang w:val="zh-CN" w:eastAsia="zh-CN" w:bidi="zh-CN"/>
    </w:rPr>
  </w:style>
  <w:style w:type="paragraph" w:customStyle="1" w:styleId="139">
    <w:name w:val="样式3"/>
    <w:basedOn w:val="6"/>
    <w:qFormat/>
    <w:uiPriority w:val="0"/>
    <w:rPr>
      <w:kern w:val="1"/>
      <w:sz w:val="30"/>
    </w:rPr>
  </w:style>
  <w:style w:type="paragraph" w:customStyle="1" w:styleId="140">
    <w:name w:val="样式 样式 标题 1 + (西文) 黑体 (中文) 黑体 小三 蓝色 + 非加粗 居中"/>
    <w:basedOn w:val="141"/>
    <w:qFormat/>
    <w:uiPriority w:val="0"/>
    <w:pPr>
      <w:jc w:val="center"/>
    </w:pPr>
    <w:rPr>
      <w:rFonts w:cs="宋体"/>
      <w:b w:val="0"/>
      <w:bCs w:val="0"/>
      <w:szCs w:val="20"/>
    </w:rPr>
  </w:style>
  <w:style w:type="paragraph" w:customStyle="1" w:styleId="141">
    <w:name w:val="样式 标题 1 + (西文) 黑体 (中文) 黑体 小三 蓝色"/>
    <w:basedOn w:val="6"/>
    <w:qFormat/>
    <w:uiPriority w:val="0"/>
    <w:rPr>
      <w:rFonts w:ascii="黑体" w:hAnsi="黑体" w:eastAsia="黑体"/>
      <w:sz w:val="30"/>
      <w:u w:val="none" w:color="0000FF"/>
    </w:rPr>
  </w:style>
  <w:style w:type="paragraph" w:customStyle="1" w:styleId="142">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14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_Style 1"/>
    <w:basedOn w:val="1"/>
    <w:next w:val="1"/>
    <w:qFormat/>
    <w:uiPriority w:val="0"/>
    <w:pPr>
      <w:pBdr>
        <w:bottom w:val="single" w:color="auto" w:sz="6" w:space="1"/>
      </w:pBdr>
      <w:jc w:val="center"/>
    </w:pPr>
    <w:rPr>
      <w:rFonts w:ascii="Arial" w:eastAsia="宋体"/>
      <w:vanish/>
      <w:sz w:val="16"/>
    </w:rPr>
  </w:style>
  <w:style w:type="paragraph" w:customStyle="1" w:styleId="145">
    <w:name w:val="Normal Indent"/>
    <w:basedOn w:val="1"/>
    <w:qFormat/>
    <w:uiPriority w:val="0"/>
    <w:pPr>
      <w:adjustRightInd w:val="0"/>
      <w:spacing w:line="360" w:lineRule="atLeast"/>
      <w:ind w:firstLine="420"/>
      <w:textAlignment w:val="baseline"/>
    </w:pPr>
    <w:rPr>
      <w:szCs w:val="20"/>
    </w:rPr>
  </w:style>
  <w:style w:type="paragraph" w:customStyle="1" w:styleId="146">
    <w:name w:val="标题 #6"/>
    <w:basedOn w:val="1"/>
    <w:qFormat/>
    <w:uiPriority w:val="0"/>
    <w:pPr>
      <w:widowControl w:val="0"/>
      <w:shd w:val="clear" w:color="auto" w:fill="FFFFFF"/>
      <w:spacing w:after="960"/>
      <w:jc w:val="center"/>
      <w:outlineLvl w:val="5"/>
    </w:pPr>
    <w:rPr>
      <w:rFonts w:ascii="MingLiU" w:hAnsi="MingLiU" w:eastAsia="MingLiU" w:cs="MingLiU"/>
      <w:sz w:val="28"/>
      <w:szCs w:val="28"/>
      <w:u w:val="none"/>
      <w:lang w:val="zh-CN" w:eastAsia="zh-CN" w:bidi="zh-CN"/>
    </w:rPr>
  </w:style>
  <w:style w:type="paragraph" w:customStyle="1" w:styleId="147">
    <w:name w:val="样式１"/>
    <w:basedOn w:val="6"/>
    <w:qFormat/>
    <w:uiPriority w:val="0"/>
    <w:pPr>
      <w:jc w:val="center"/>
    </w:pPr>
    <w:rPr>
      <w:kern w:val="1"/>
      <w:sz w:val="30"/>
    </w:rPr>
  </w:style>
  <w:style w:type="paragraph" w:customStyle="1" w:styleId="148">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149">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150">
    <w:name w:val="页脚2"/>
    <w:basedOn w:val="1"/>
    <w:qFormat/>
    <w:uiPriority w:val="0"/>
    <w:pPr>
      <w:widowControl/>
      <w:pBdr>
        <w:top w:val="single" w:color="auto" w:sz="6" w:space="0"/>
      </w:pBdr>
      <w:jc w:val="right"/>
      <w:textAlignment w:val="center"/>
    </w:pPr>
    <w:rPr>
      <w:rFonts w:ascii="宋体" w:hAnsi="宋体"/>
      <w:sz w:val="18"/>
      <w:szCs w:val="18"/>
    </w:rPr>
  </w:style>
  <w:style w:type="paragraph" w:customStyle="1" w:styleId="151">
    <w:name w:val="样式 仿宋 行距: 1.5 倍行距"/>
    <w:basedOn w:val="1"/>
    <w:qFormat/>
    <w:uiPriority w:val="0"/>
    <w:pPr>
      <w:spacing w:line="360" w:lineRule="auto"/>
    </w:pPr>
    <w:rPr>
      <w:rFonts w:ascii="仿宋" w:hAnsi="仿宋" w:eastAsia="仿宋" w:cs="宋体"/>
      <w:sz w:val="24"/>
      <w:szCs w:val="20"/>
    </w:rPr>
  </w:style>
  <w:style w:type="paragraph" w:customStyle="1" w:styleId="152">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153">
    <w:name w:val="样式1"/>
    <w:basedOn w:val="1"/>
    <w:qFormat/>
    <w:uiPriority w:val="0"/>
    <w:pPr>
      <w:widowControl/>
      <w:autoSpaceDE w:val="0"/>
      <w:autoSpaceDN w:val="0"/>
      <w:adjustRightInd w:val="0"/>
      <w:spacing w:line="360" w:lineRule="auto"/>
      <w:jc w:val="center"/>
    </w:pPr>
    <w:rPr>
      <w:rFonts w:ascii="黑体" w:hAnsi="Times New Roman" w:eastAsia="黑体" w:cs="黑体"/>
      <w:kern w:val="0"/>
      <w:sz w:val="30"/>
      <w:szCs w:val="30"/>
      <w:u w:val="none" w:color="0000FF"/>
    </w:rPr>
  </w:style>
  <w:style w:type="paragraph" w:customStyle="1" w:styleId="154">
    <w:name w:val="列出段落"/>
    <w:basedOn w:val="1"/>
    <w:qFormat/>
    <w:uiPriority w:val="0"/>
    <w:pPr>
      <w:ind w:firstLine="420" w:firstLineChars="200"/>
    </w:pPr>
    <w:rPr>
      <w:rFonts w:ascii="Times New Roman" w:hAnsi="Times New Roman"/>
      <w:szCs w:val="21"/>
    </w:rPr>
  </w:style>
  <w:style w:type="paragraph" w:customStyle="1" w:styleId="155">
    <w:name w:val="Body Text 2"/>
    <w:basedOn w:val="1"/>
    <w:qFormat/>
    <w:uiPriority w:val="0"/>
    <w:pPr>
      <w:widowControl/>
      <w:tabs>
        <w:tab w:val="left" w:pos="0"/>
        <w:tab w:val="left" w:pos="564"/>
        <w:tab w:val="left" w:pos="1129"/>
        <w:tab w:val="left" w:pos="1695"/>
        <w:tab w:val="left" w:pos="2262"/>
        <w:tab w:val="left" w:pos="2827"/>
        <w:tab w:val="left" w:pos="3393"/>
        <w:tab w:val="left" w:pos="3960"/>
        <w:tab w:val="left" w:pos="4525"/>
        <w:tab w:val="left" w:pos="5091"/>
        <w:tab w:val="left" w:pos="5658"/>
        <w:tab w:val="left" w:pos="6223"/>
        <w:tab w:val="left" w:pos="6789"/>
        <w:tab w:val="left" w:pos="7356"/>
        <w:tab w:val="left" w:pos="7921"/>
        <w:tab w:val="left" w:pos="8487"/>
      </w:tabs>
      <w:suppressAutoHyphens/>
      <w:overflowPunct w:val="0"/>
      <w:autoSpaceDE w:val="0"/>
      <w:autoSpaceDN w:val="0"/>
      <w:adjustRightInd w:val="0"/>
      <w:textAlignment w:val="baseline"/>
    </w:pPr>
    <w:rPr>
      <w:rFonts w:ascii="Arial" w:hAnsi="Arial"/>
      <w:color w:val="000000"/>
      <w:spacing w:val="-3"/>
      <w:kern w:val="0"/>
      <w:lang w:val="en-GB"/>
    </w:rPr>
  </w:style>
  <w:style w:type="paragraph" w:customStyle="1" w:styleId="156">
    <w:name w:val="Body Text Indent 2"/>
    <w:basedOn w:val="1"/>
    <w:qFormat/>
    <w:uiPriority w:val="0"/>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overflowPunct w:val="0"/>
      <w:autoSpaceDE w:val="0"/>
      <w:autoSpaceDN w:val="0"/>
      <w:adjustRightInd w:val="0"/>
      <w:ind w:left="567" w:hanging="567"/>
      <w:textAlignment w:val="baseline"/>
    </w:pPr>
    <w:rPr>
      <w:rFonts w:ascii="Arial" w:hAnsi="Arial"/>
      <w:kern w:val="0"/>
      <w:lang w:val="it-IT" w:eastAsia="it-IT"/>
    </w:rPr>
  </w:style>
  <w:style w:type="paragraph" w:customStyle="1" w:styleId="157">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158">
    <w:name w:val="WPSOffice手动目录 1"/>
    <w:qFormat/>
    <w:uiPriority w:val="0"/>
    <w:pPr>
      <w:ind w:leftChars="0"/>
    </w:pPr>
    <w:rPr>
      <w:rFonts w:ascii="Times New Roman" w:hAnsi="Times New Roman" w:eastAsia="宋体" w:cs="Times New Roman"/>
      <w:sz w:val="20"/>
      <w:szCs w:val="20"/>
    </w:rPr>
  </w:style>
  <w:style w:type="character" w:customStyle="1" w:styleId="159">
    <w:name w:val="font81"/>
    <w:basedOn w:val="28"/>
    <w:qFormat/>
    <w:uiPriority w:val="0"/>
    <w:rPr>
      <w:rFonts w:hint="eastAsia" w:ascii="宋体" w:hAnsi="宋体" w:eastAsia="宋体" w:cs="宋体"/>
      <w:color w:val="000000"/>
      <w:sz w:val="24"/>
      <w:szCs w:val="24"/>
      <w:u w:val="none"/>
    </w:rPr>
  </w:style>
  <w:style w:type="character" w:customStyle="1" w:styleId="160">
    <w:name w:val="font142"/>
    <w:basedOn w:val="28"/>
    <w:qFormat/>
    <w:uiPriority w:val="0"/>
    <w:rPr>
      <w:rFonts w:ascii="TT5E43CC23tCID" w:hAnsi="TT5E43CC23tCID" w:eastAsia="TT5E43CC23tCID" w:cs="TT5E43CC23tCID"/>
      <w:color w:val="000000"/>
      <w:sz w:val="24"/>
      <w:szCs w:val="24"/>
      <w:u w:val="none"/>
    </w:rPr>
  </w:style>
  <w:style w:type="paragraph" w:customStyle="1" w:styleId="161">
    <w:name w:val="Other|1"/>
    <w:basedOn w:val="1"/>
    <w:qFormat/>
    <w:uiPriority w:val="0"/>
    <w:pPr>
      <w:spacing w:line="389" w:lineRule="auto"/>
      <w:ind w:firstLine="400"/>
      <w:jc w:val="left"/>
    </w:pPr>
    <w:rPr>
      <w:rFonts w:ascii="宋体" w:hAnsi="宋体" w:eastAsia="宋体" w:cs="宋体"/>
      <w:kern w:val="0"/>
      <w:sz w:val="32"/>
      <w:szCs w:val="32"/>
      <w:lang w:val="zh-TW" w:eastAsia="zh-TW" w:bidi="zh-TW"/>
    </w:rPr>
  </w:style>
  <w:style w:type="paragraph" w:styleId="16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30524</Words>
  <Characters>32560</Characters>
  <Lines>60</Lines>
  <Paragraphs>17</Paragraphs>
  <TotalTime>1</TotalTime>
  <ScaleCrop>false</ScaleCrop>
  <LinksUpToDate>false</LinksUpToDate>
  <CharactersWithSpaces>34981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2015-11-06T13:00:00Z</dcterms:created>
  <dc:creator>市政务服务办</dc:creator>
  <cp:lastModifiedBy>人心難懂i</cp:lastModifiedBy>
  <cp:lastPrinted>2022-03-30T08:27:00Z</cp:lastPrinted>
  <dcterms:modified xsi:type="dcterms:W3CDTF">2022-11-14T15:38:39Z</dcterms:modified>
  <dc:subject>青岛市政府采购采购文件范本</dc:subject>
  <dc:title>青岛市政府采购采购文件范本</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04CCA78924B6473698E36C4F1775B025</vt:lpwstr>
  </property>
</Properties>
</file>