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insoku w:val="0"/>
        <w:overflowPunct w:val="0"/>
        <w:spacing w:before="0" w:line="580" w:lineRule="exact"/>
        <w:ind w:left="74" w:right="-58"/>
        <w:rPr>
          <w:rFonts w:hint="eastAsia" w:ascii="宋体" w:hAnsi="宋体" w:eastAsia="宋体" w:cs="宋体"/>
          <w:b/>
          <w:bCs/>
          <w:sz w:val="32"/>
          <w:szCs w:val="32"/>
          <w:highlight w:val="none"/>
        </w:rPr>
      </w:pPr>
    </w:p>
    <w:p>
      <w:pPr>
        <w:pStyle w:val="8"/>
        <w:kinsoku w:val="0"/>
        <w:overflowPunct w:val="0"/>
        <w:spacing w:before="0" w:line="580" w:lineRule="exact"/>
        <w:ind w:left="0" w:right="-58"/>
        <w:rPr>
          <w:rFonts w:hint="eastAsia" w:ascii="宋体" w:hAnsi="宋体" w:eastAsia="宋体" w:cs="宋体"/>
          <w:b/>
          <w:bCs/>
          <w:sz w:val="32"/>
          <w:szCs w:val="32"/>
          <w:highlight w:val="none"/>
        </w:rPr>
      </w:pPr>
    </w:p>
    <w:p>
      <w:pPr>
        <w:pStyle w:val="20"/>
        <w:ind w:left="0" w:leftChars="0" w:firstLine="0" w:firstLineChars="0"/>
        <w:jc w:val="center"/>
        <w:rPr>
          <w:rFonts w:hint="eastAsia" w:asciiTheme="majorEastAsia" w:hAnsiTheme="majorEastAsia" w:eastAsiaTheme="majorEastAsia" w:cstheme="majorEastAsia"/>
          <w:b/>
          <w:bCs/>
          <w:sz w:val="56"/>
          <w:szCs w:val="56"/>
          <w:highlight w:val="none"/>
        </w:rPr>
      </w:pPr>
      <w:r>
        <w:rPr>
          <w:rFonts w:hint="eastAsia" w:asciiTheme="majorEastAsia" w:hAnsiTheme="majorEastAsia" w:eastAsiaTheme="majorEastAsia" w:cstheme="majorEastAsia"/>
          <w:b/>
          <w:bCs/>
          <w:sz w:val="52"/>
          <w:szCs w:val="52"/>
          <w:highlight w:val="none"/>
          <w:lang w:eastAsia="zh-CN"/>
        </w:rPr>
        <w:t>自治区文化和旅游互联网自主监管与服务系统项目</w:t>
      </w:r>
    </w:p>
    <w:p>
      <w:pPr>
        <w:pStyle w:val="20"/>
        <w:ind w:left="0" w:leftChars="0" w:firstLine="0" w:firstLineChars="0"/>
        <w:rPr>
          <w:rFonts w:hint="eastAsia" w:asciiTheme="majorEastAsia" w:hAnsiTheme="majorEastAsia" w:eastAsiaTheme="majorEastAsia" w:cstheme="majorEastAsia"/>
          <w:b/>
          <w:bCs/>
          <w:sz w:val="56"/>
          <w:szCs w:val="56"/>
          <w:highlight w:val="none"/>
          <w:lang w:eastAsia="zh-CN"/>
        </w:rPr>
      </w:pPr>
    </w:p>
    <w:p>
      <w:pPr>
        <w:pStyle w:val="20"/>
        <w:rPr>
          <w:rFonts w:hint="eastAsia" w:asciiTheme="majorEastAsia" w:hAnsiTheme="majorEastAsia" w:eastAsiaTheme="majorEastAsia" w:cstheme="majorEastAsia"/>
          <w:b/>
          <w:bCs/>
          <w:sz w:val="56"/>
          <w:szCs w:val="56"/>
          <w:highlight w:val="none"/>
          <w:lang w:eastAsia="zh-CN"/>
        </w:rPr>
      </w:pPr>
    </w:p>
    <w:p>
      <w:pPr>
        <w:jc w:val="center"/>
        <w:rPr>
          <w:rFonts w:hint="eastAsia"/>
          <w:b/>
          <w:bCs/>
          <w:sz w:val="72"/>
          <w:szCs w:val="72"/>
          <w:highlight w:val="none"/>
        </w:rPr>
      </w:pPr>
      <w:r>
        <w:rPr>
          <w:rFonts w:hint="eastAsia"/>
          <w:b/>
          <w:bCs/>
          <w:sz w:val="72"/>
          <w:szCs w:val="72"/>
          <w:highlight w:val="none"/>
          <w:lang w:eastAsia="zh-CN"/>
        </w:rPr>
        <w:t>竞争性磋商</w:t>
      </w:r>
      <w:r>
        <w:rPr>
          <w:rFonts w:hint="eastAsia"/>
          <w:b/>
          <w:bCs/>
          <w:sz w:val="72"/>
          <w:szCs w:val="72"/>
          <w:highlight w:val="none"/>
        </w:rPr>
        <w:t>文件</w:t>
      </w:r>
    </w:p>
    <w:p>
      <w:pPr>
        <w:pStyle w:val="7"/>
        <w:ind w:left="0" w:leftChars="0" w:firstLine="0" w:firstLineChars="0"/>
        <w:jc w:val="center"/>
        <w:rPr>
          <w:rFonts w:hint="eastAsia" w:ascii="宋体" w:hAnsi="宋体" w:eastAsia="宋体" w:cs="宋体"/>
          <w:highlight w:val="yellow"/>
          <w:lang w:eastAsia="zh-CN"/>
        </w:rPr>
      </w:pPr>
      <w:r>
        <w:rPr>
          <w:rFonts w:hint="eastAsia"/>
          <w:sz w:val="28"/>
          <w:szCs w:val="28"/>
          <w:highlight w:val="none"/>
        </w:rPr>
        <w:t>项目编号：</w:t>
      </w:r>
      <w:r>
        <w:rPr>
          <w:rFonts w:hint="eastAsia"/>
          <w:sz w:val="28"/>
          <w:szCs w:val="28"/>
          <w:highlight w:val="yellow"/>
          <w:lang w:eastAsia="zh-CN"/>
        </w:rPr>
        <w:t>XJTZY2022-1-C0060</w:t>
      </w:r>
    </w:p>
    <w:p>
      <w:pPr>
        <w:pStyle w:val="6"/>
        <w:spacing w:line="360" w:lineRule="auto"/>
        <w:ind w:left="638" w:leftChars="304" w:firstLine="0" w:firstLineChars="0"/>
        <w:rPr>
          <w:rFonts w:hint="eastAsia" w:ascii="宋体" w:hAnsi="宋体" w:eastAsia="宋体" w:cs="宋体"/>
          <w:b/>
          <w:bCs/>
          <w:sz w:val="32"/>
          <w:szCs w:val="32"/>
          <w:highlight w:val="none"/>
          <w:lang w:eastAsia="zh-CN"/>
        </w:rPr>
      </w:pPr>
    </w:p>
    <w:p>
      <w:pPr>
        <w:pStyle w:val="6"/>
        <w:spacing w:line="360" w:lineRule="auto"/>
        <w:ind w:left="638" w:leftChars="304" w:firstLine="0" w:firstLineChars="0"/>
        <w:rPr>
          <w:rFonts w:hint="eastAsia" w:ascii="宋体" w:hAnsi="宋体" w:eastAsia="宋体" w:cs="宋体"/>
          <w:b/>
          <w:bCs/>
          <w:sz w:val="32"/>
          <w:szCs w:val="32"/>
          <w:highlight w:val="none"/>
          <w:lang w:eastAsia="zh-CN"/>
        </w:rPr>
      </w:pPr>
    </w:p>
    <w:p>
      <w:pPr>
        <w:pStyle w:val="6"/>
        <w:spacing w:line="360" w:lineRule="auto"/>
        <w:ind w:left="638" w:leftChars="304" w:firstLine="0" w:firstLineChars="0"/>
        <w:rPr>
          <w:rFonts w:hint="eastAsia" w:ascii="宋体" w:hAnsi="宋体" w:eastAsia="宋体" w:cs="宋体"/>
          <w:b/>
          <w:bCs/>
          <w:sz w:val="32"/>
          <w:szCs w:val="32"/>
          <w:highlight w:val="none"/>
          <w:lang w:eastAsia="zh-CN"/>
        </w:rPr>
      </w:pPr>
    </w:p>
    <w:p>
      <w:pPr>
        <w:pStyle w:val="6"/>
        <w:spacing w:line="360" w:lineRule="auto"/>
        <w:ind w:left="638" w:leftChars="304" w:firstLine="0" w:firstLineChars="0"/>
        <w:rPr>
          <w:rFonts w:hint="eastAsia" w:ascii="宋体" w:hAnsi="宋体" w:eastAsia="宋体" w:cs="宋体"/>
          <w:b/>
          <w:bCs/>
          <w:sz w:val="32"/>
          <w:szCs w:val="32"/>
          <w:highlight w:val="none"/>
          <w:lang w:eastAsia="zh-CN"/>
        </w:rPr>
      </w:pPr>
    </w:p>
    <w:p>
      <w:pPr>
        <w:pStyle w:val="6"/>
        <w:spacing w:line="360" w:lineRule="auto"/>
        <w:ind w:left="1056" w:leftChars="503" w:firstLine="0" w:firstLineChars="0"/>
        <w:rPr>
          <w:rFonts w:hint="eastAsia" w:ascii="宋体" w:hAnsi="宋体" w:eastAsia="宋体" w:cs="宋体"/>
          <w:b/>
          <w:bCs/>
          <w:sz w:val="28"/>
          <w:szCs w:val="28"/>
          <w:highlight w:val="none"/>
          <w:u w:val="none"/>
          <w:lang w:val="en-US" w:eastAsia="zh-CN"/>
        </w:rPr>
      </w:pPr>
      <w:r>
        <w:rPr>
          <w:rFonts w:hint="eastAsia" w:ascii="宋体" w:hAnsi="宋体" w:eastAsia="宋体" w:cs="宋体"/>
          <w:b/>
          <w:bCs/>
          <w:sz w:val="28"/>
          <w:szCs w:val="28"/>
          <w:highlight w:val="none"/>
          <w:lang w:eastAsia="zh-CN"/>
        </w:rPr>
        <w:t>采</w:t>
      </w:r>
      <w:r>
        <w:rPr>
          <w:rFonts w:hint="eastAsia" w:ascii="宋体" w:hAnsi="宋体" w:eastAsia="宋体" w:cs="宋体"/>
          <w:b/>
          <w:bCs/>
          <w:sz w:val="28"/>
          <w:szCs w:val="28"/>
          <w:highlight w:val="none"/>
          <w:lang w:val="en-US" w:eastAsia="zh-CN"/>
        </w:rPr>
        <w:t xml:space="preserve">   </w:t>
      </w:r>
      <w:r>
        <w:rPr>
          <w:rFonts w:hint="eastAsia" w:ascii="宋体" w:hAnsi="宋体" w:eastAsia="宋体" w:cs="宋体"/>
          <w:b/>
          <w:bCs/>
          <w:sz w:val="28"/>
          <w:szCs w:val="28"/>
          <w:highlight w:val="none"/>
          <w:lang w:eastAsia="zh-CN"/>
        </w:rPr>
        <w:t>购</w:t>
      </w:r>
      <w:r>
        <w:rPr>
          <w:rFonts w:hint="eastAsia" w:ascii="宋体" w:hAnsi="宋体" w:eastAsia="宋体" w:cs="宋体"/>
          <w:b/>
          <w:bCs/>
          <w:sz w:val="28"/>
          <w:szCs w:val="28"/>
          <w:highlight w:val="none"/>
          <w:lang w:val="en-US" w:eastAsia="zh-CN"/>
        </w:rPr>
        <w:t xml:space="preserve">   </w:t>
      </w:r>
      <w:r>
        <w:rPr>
          <w:rFonts w:hint="eastAsia" w:ascii="宋体" w:hAnsi="宋体" w:eastAsia="宋体" w:cs="宋体"/>
          <w:b/>
          <w:bCs/>
          <w:sz w:val="28"/>
          <w:szCs w:val="28"/>
          <w:highlight w:val="none"/>
          <w:lang w:eastAsia="zh-CN"/>
        </w:rPr>
        <w:t>人</w:t>
      </w:r>
      <w:r>
        <w:rPr>
          <w:rFonts w:hint="eastAsia" w:ascii="宋体" w:hAnsi="宋体" w:eastAsia="宋体" w:cs="宋体"/>
          <w:b/>
          <w:bCs/>
          <w:sz w:val="28"/>
          <w:szCs w:val="28"/>
          <w:highlight w:val="none"/>
        </w:rPr>
        <w:t xml:space="preserve">：新疆维吾尔自治区文化和旅游厅  </w:t>
      </w:r>
      <w:r>
        <w:rPr>
          <w:rFonts w:hint="eastAsia" w:ascii="宋体" w:hAnsi="宋体" w:eastAsia="宋体" w:cs="宋体"/>
          <w:b/>
          <w:bCs/>
          <w:sz w:val="28"/>
          <w:szCs w:val="28"/>
          <w:highlight w:val="none"/>
          <w:u w:val="none"/>
          <w:lang w:val="en-US" w:eastAsia="zh-CN"/>
        </w:rPr>
        <w:t xml:space="preserve"> </w:t>
      </w:r>
    </w:p>
    <w:p>
      <w:pPr>
        <w:pStyle w:val="7"/>
        <w:ind w:left="1056" w:leftChars="503" w:firstLine="0" w:firstLineChars="0"/>
        <w:rPr>
          <w:rFonts w:hint="eastAsia" w:ascii="宋体" w:hAnsi="宋体" w:cs="宋体"/>
          <w:b/>
          <w:bCs/>
          <w:sz w:val="28"/>
          <w:szCs w:val="28"/>
          <w:highlight w:val="none"/>
          <w:u w:val="none"/>
          <w:lang w:val="en-US" w:eastAsia="zh-CN"/>
        </w:rPr>
      </w:pPr>
      <w:r>
        <w:rPr>
          <w:rFonts w:hint="eastAsia" w:ascii="宋体" w:hAnsi="宋体" w:cs="宋体"/>
          <w:b/>
          <w:bCs/>
          <w:sz w:val="28"/>
          <w:szCs w:val="28"/>
          <w:highlight w:val="none"/>
          <w:u w:val="none"/>
          <w:lang w:val="en-US" w:eastAsia="zh-CN"/>
        </w:rPr>
        <w:t>联   系   人：何老师</w:t>
      </w:r>
    </w:p>
    <w:p>
      <w:pPr>
        <w:rPr>
          <w:rFonts w:hint="default"/>
          <w:lang w:val="en-US" w:eastAsia="zh-CN"/>
        </w:rPr>
      </w:pPr>
    </w:p>
    <w:p>
      <w:pPr>
        <w:ind w:left="1056" w:leftChars="503" w:firstLine="0" w:firstLineChars="0"/>
        <w:outlineLvl w:val="9"/>
        <w:rPr>
          <w:rFonts w:hint="eastAsia" w:ascii="宋体" w:hAnsi="宋体" w:cs="宋体"/>
          <w:b/>
          <w:bCs/>
          <w:sz w:val="28"/>
          <w:szCs w:val="28"/>
          <w:highlight w:val="none"/>
          <w:u w:val="none"/>
          <w:lang w:val="en-US" w:eastAsia="zh-CN"/>
        </w:rPr>
      </w:pPr>
      <w:r>
        <w:rPr>
          <w:rFonts w:hint="eastAsia" w:ascii="宋体" w:hAnsi="宋体" w:cs="宋体"/>
          <w:b/>
          <w:bCs/>
          <w:sz w:val="28"/>
          <w:szCs w:val="28"/>
          <w:highlight w:val="none"/>
          <w:u w:val="none"/>
          <w:lang w:val="en-US" w:eastAsia="zh-CN"/>
        </w:rPr>
        <w:t>地        址：乌鲁木齐市金银路143号</w:t>
      </w:r>
    </w:p>
    <w:p>
      <w:pPr>
        <w:ind w:left="1056" w:leftChars="503" w:firstLine="0" w:firstLineChars="0"/>
        <w:outlineLvl w:val="9"/>
        <w:rPr>
          <w:rFonts w:hint="default"/>
          <w:sz w:val="20"/>
          <w:szCs w:val="21"/>
          <w:lang w:val="en-US" w:eastAsia="zh-CN"/>
        </w:rPr>
      </w:pPr>
    </w:p>
    <w:p>
      <w:pPr>
        <w:outlineLvl w:val="9"/>
        <w:rPr>
          <w:rFonts w:hint="default"/>
          <w:lang w:val="en-US" w:eastAsia="zh-CN"/>
        </w:rPr>
      </w:pPr>
    </w:p>
    <w:p>
      <w:pPr>
        <w:spacing w:line="360" w:lineRule="auto"/>
        <w:ind w:left="1056" w:leftChars="503" w:firstLine="0" w:firstLineChars="0"/>
        <w:rPr>
          <w:rFonts w:hint="eastAsia" w:ascii="宋体" w:hAnsi="宋体" w:eastAsia="宋体" w:cs="宋体"/>
          <w:b/>
          <w:bCs/>
          <w:sz w:val="28"/>
          <w:szCs w:val="28"/>
          <w:highlight w:val="none"/>
          <w:u w:val="none"/>
        </w:rPr>
      </w:pPr>
      <w:r>
        <w:rPr>
          <w:rFonts w:hint="eastAsia" w:ascii="宋体" w:hAnsi="宋体" w:eastAsia="宋体" w:cs="宋体"/>
          <w:b/>
          <w:bCs/>
          <w:sz w:val="28"/>
          <w:szCs w:val="28"/>
          <w:highlight w:val="none"/>
          <w:u w:val="none"/>
          <w:lang w:eastAsia="zh-CN"/>
        </w:rPr>
        <w:t>采购</w:t>
      </w:r>
      <w:r>
        <w:rPr>
          <w:rFonts w:hint="eastAsia" w:ascii="宋体" w:hAnsi="宋体" w:eastAsia="宋体" w:cs="宋体"/>
          <w:b/>
          <w:bCs/>
          <w:sz w:val="28"/>
          <w:szCs w:val="28"/>
          <w:highlight w:val="none"/>
          <w:u w:val="none"/>
        </w:rPr>
        <w:t>代理机构：</w:t>
      </w:r>
      <w:r>
        <w:rPr>
          <w:rFonts w:hint="eastAsia" w:ascii="宋体" w:hAnsi="宋体" w:cs="宋体"/>
          <w:b/>
          <w:bCs/>
          <w:sz w:val="28"/>
          <w:szCs w:val="28"/>
          <w:highlight w:val="none"/>
          <w:u w:val="none"/>
          <w:lang w:eastAsia="zh-CN"/>
        </w:rPr>
        <w:t>新疆天之源项目管理集团有限公司</w:t>
      </w:r>
      <w:r>
        <w:rPr>
          <w:rFonts w:hint="eastAsia" w:ascii="宋体" w:hAnsi="宋体" w:eastAsia="宋体" w:cs="宋体"/>
          <w:b/>
          <w:bCs/>
          <w:sz w:val="28"/>
          <w:szCs w:val="28"/>
          <w:highlight w:val="none"/>
          <w:u w:val="none"/>
        </w:rPr>
        <w:t xml:space="preserve">  </w:t>
      </w:r>
    </w:p>
    <w:p>
      <w:pPr>
        <w:pStyle w:val="7"/>
        <w:ind w:left="1056" w:leftChars="503" w:firstLine="0" w:firstLineChars="0"/>
        <w:rPr>
          <w:rFonts w:hint="eastAsia" w:ascii="宋体" w:hAnsi="宋体" w:cs="宋体"/>
          <w:b/>
          <w:bCs/>
          <w:sz w:val="28"/>
          <w:szCs w:val="28"/>
          <w:highlight w:val="none"/>
          <w:u w:val="none"/>
          <w:lang w:val="en-US" w:eastAsia="zh-CN"/>
        </w:rPr>
      </w:pPr>
      <w:r>
        <w:rPr>
          <w:rFonts w:hint="eastAsia" w:ascii="宋体" w:hAnsi="宋体" w:cs="宋体"/>
          <w:b/>
          <w:bCs/>
          <w:sz w:val="28"/>
          <w:szCs w:val="28"/>
          <w:highlight w:val="none"/>
          <w:u w:val="none"/>
          <w:lang w:val="en-US" w:eastAsia="zh-CN"/>
        </w:rPr>
        <w:t>联   系   人：李飞</w:t>
      </w:r>
    </w:p>
    <w:p>
      <w:pPr>
        <w:rPr>
          <w:rFonts w:hint="eastAsia"/>
          <w:lang w:val="en-US" w:eastAsia="zh-CN"/>
        </w:rPr>
      </w:pPr>
    </w:p>
    <w:p>
      <w:pPr>
        <w:ind w:left="1056" w:leftChars="503" w:firstLine="0" w:firstLineChars="0"/>
        <w:outlineLvl w:val="9"/>
        <w:rPr>
          <w:rFonts w:hint="eastAsia"/>
          <w:sz w:val="20"/>
          <w:szCs w:val="21"/>
        </w:rPr>
      </w:pPr>
      <w:r>
        <w:rPr>
          <w:rFonts w:hint="eastAsia" w:ascii="宋体" w:hAnsi="宋体" w:cs="宋体"/>
          <w:b/>
          <w:bCs/>
          <w:sz w:val="28"/>
          <w:szCs w:val="28"/>
          <w:highlight w:val="none"/>
          <w:u w:val="none"/>
          <w:lang w:val="en-US" w:eastAsia="zh-CN"/>
        </w:rPr>
        <w:t>地        址：乌鲁木齐市水磨沟区龙盛街2799号浙商大厦11楼</w:t>
      </w:r>
    </w:p>
    <w:p>
      <w:pPr>
        <w:spacing w:line="360" w:lineRule="auto"/>
        <w:ind w:left="1056" w:leftChars="503" w:firstLine="0" w:firstLineChars="0"/>
        <w:jc w:val="center"/>
        <w:rPr>
          <w:rFonts w:hint="eastAsia" w:ascii="宋体" w:hAnsi="宋体" w:eastAsia="宋体" w:cs="宋体"/>
          <w:b/>
          <w:bCs/>
          <w:sz w:val="28"/>
          <w:szCs w:val="28"/>
          <w:highlight w:val="none"/>
          <w:u w:val="none"/>
          <w:lang w:val="en-US" w:eastAsia="zh-CN"/>
        </w:rPr>
      </w:pPr>
    </w:p>
    <w:p>
      <w:pPr>
        <w:spacing w:line="360" w:lineRule="auto"/>
        <w:ind w:left="1056" w:leftChars="503" w:firstLine="0" w:firstLineChars="0"/>
        <w:jc w:val="center"/>
        <w:rPr>
          <w:rFonts w:hint="eastAsia" w:ascii="宋体" w:hAnsi="宋体" w:eastAsia="宋体" w:cs="宋体"/>
          <w:szCs w:val="21"/>
          <w:highlight w:val="none"/>
          <w:u w:val="none"/>
        </w:rPr>
      </w:pPr>
      <w:r>
        <w:rPr>
          <w:rFonts w:hint="eastAsia" w:ascii="宋体" w:hAnsi="宋体" w:eastAsia="宋体" w:cs="宋体"/>
          <w:b/>
          <w:bCs/>
          <w:sz w:val="28"/>
          <w:szCs w:val="28"/>
          <w:highlight w:val="none"/>
          <w:u w:val="none"/>
          <w:lang w:val="en-US" w:eastAsia="zh-CN"/>
        </w:rPr>
        <w:t>202</w:t>
      </w:r>
      <w:r>
        <w:rPr>
          <w:rFonts w:hint="eastAsia" w:ascii="宋体" w:hAnsi="宋体" w:cs="宋体"/>
          <w:b/>
          <w:bCs/>
          <w:sz w:val="28"/>
          <w:szCs w:val="28"/>
          <w:highlight w:val="none"/>
          <w:u w:val="none"/>
          <w:lang w:val="en-US" w:eastAsia="zh-CN"/>
        </w:rPr>
        <w:t>2</w:t>
      </w:r>
      <w:r>
        <w:rPr>
          <w:rFonts w:hint="eastAsia" w:ascii="宋体" w:hAnsi="宋体" w:eastAsia="宋体" w:cs="宋体"/>
          <w:b/>
          <w:bCs/>
          <w:sz w:val="28"/>
          <w:szCs w:val="28"/>
          <w:highlight w:val="none"/>
          <w:u w:val="none"/>
          <w:lang w:val="en-US" w:eastAsia="zh-CN"/>
        </w:rPr>
        <w:t>年</w:t>
      </w:r>
      <w:r>
        <w:rPr>
          <w:rFonts w:hint="eastAsia" w:ascii="宋体" w:hAnsi="宋体" w:cs="宋体"/>
          <w:b/>
          <w:bCs/>
          <w:sz w:val="28"/>
          <w:szCs w:val="28"/>
          <w:highlight w:val="none"/>
          <w:u w:val="none"/>
          <w:lang w:val="en-US" w:eastAsia="zh-CN"/>
        </w:rPr>
        <w:t>10</w:t>
      </w:r>
      <w:r>
        <w:rPr>
          <w:rFonts w:hint="eastAsia" w:ascii="宋体" w:hAnsi="宋体" w:eastAsia="宋体" w:cs="宋体"/>
          <w:b/>
          <w:bCs/>
          <w:sz w:val="28"/>
          <w:szCs w:val="28"/>
          <w:highlight w:val="none"/>
          <w:u w:val="none"/>
          <w:lang w:val="en-US" w:eastAsia="zh-CN"/>
        </w:rPr>
        <w:t>月</w:t>
      </w:r>
      <w:bookmarkStart w:id="0" w:name="_Toc363119275"/>
      <w:bookmarkStart w:id="1" w:name="_Toc179632527"/>
    </w:p>
    <w:bookmarkEnd w:id="0"/>
    <w:bookmarkEnd w:id="1"/>
    <w:p>
      <w:pPr>
        <w:pStyle w:val="8"/>
        <w:kinsoku w:val="0"/>
        <w:overflowPunct w:val="0"/>
        <w:spacing w:before="0"/>
        <w:ind w:left="0"/>
        <w:rPr>
          <w:rFonts w:hint="eastAsia" w:ascii="宋体" w:hAnsi="宋体" w:eastAsia="宋体" w:cs="宋体"/>
          <w:b/>
          <w:bCs/>
          <w:sz w:val="20"/>
          <w:szCs w:val="20"/>
          <w:highlight w:val="none"/>
        </w:rPr>
      </w:pPr>
    </w:p>
    <w:p>
      <w:pPr>
        <w:pStyle w:val="8"/>
        <w:kinsoku w:val="0"/>
        <w:overflowPunct w:val="0"/>
        <w:spacing w:before="0"/>
        <w:ind w:left="0"/>
        <w:rPr>
          <w:rFonts w:hint="eastAsia" w:ascii="宋体" w:hAnsi="宋体" w:eastAsia="宋体" w:cs="宋体"/>
          <w:b/>
          <w:bCs/>
          <w:sz w:val="20"/>
          <w:szCs w:val="20"/>
          <w:highlight w:val="none"/>
        </w:rPr>
      </w:pPr>
    </w:p>
    <w:p>
      <w:pPr>
        <w:pStyle w:val="8"/>
        <w:kinsoku w:val="0"/>
        <w:overflowPunct w:val="0"/>
        <w:spacing w:before="0"/>
        <w:ind w:left="0"/>
        <w:rPr>
          <w:rFonts w:hint="eastAsia" w:ascii="宋体" w:hAnsi="宋体" w:eastAsia="宋体" w:cs="宋体"/>
          <w:b/>
          <w:bCs/>
          <w:sz w:val="20"/>
          <w:szCs w:val="20"/>
          <w:highlight w:val="none"/>
        </w:rPr>
      </w:pPr>
    </w:p>
    <w:p>
      <w:pPr>
        <w:pStyle w:val="8"/>
        <w:tabs>
          <w:tab w:val="left" w:pos="1204"/>
        </w:tabs>
        <w:kinsoku w:val="0"/>
        <w:overflowPunct w:val="0"/>
        <w:spacing w:before="0" w:line="501" w:lineRule="exact"/>
        <w:ind w:left="1"/>
        <w:jc w:val="center"/>
        <w:rPr>
          <w:rFonts w:hint="eastAsia" w:ascii="宋体" w:hAnsi="宋体" w:eastAsia="宋体" w:cs="宋体"/>
          <w:b/>
          <w:bCs/>
          <w:w w:val="95"/>
          <w:sz w:val="36"/>
          <w:szCs w:val="36"/>
          <w:highlight w:val="none"/>
        </w:rPr>
        <w:sectPr>
          <w:footerReference r:id="rId5" w:type="first"/>
          <w:headerReference r:id="rId3" w:type="default"/>
          <w:footerReference r:id="rId4" w:type="default"/>
          <w:pgSz w:w="11910" w:h="16840"/>
          <w:pgMar w:top="1040" w:right="1137" w:bottom="960" w:left="1080" w:header="763" w:footer="766" w:gutter="0"/>
          <w:pgBorders>
            <w:top w:val="none" w:sz="0" w:space="0"/>
            <w:left w:val="none" w:sz="0" w:space="0"/>
            <w:bottom w:val="none" w:sz="0" w:space="0"/>
            <w:right w:val="none" w:sz="0" w:space="0"/>
          </w:pgBorders>
          <w:pgNumType w:fmt="numberInDash" w:start="0"/>
          <w:cols w:space="720" w:num="1"/>
          <w:titlePg/>
          <w:docGrid w:linePitch="286" w:charSpace="0"/>
        </w:sectPr>
      </w:pPr>
    </w:p>
    <w:p>
      <w:pPr>
        <w:pStyle w:val="8"/>
        <w:tabs>
          <w:tab w:val="left" w:pos="1204"/>
        </w:tabs>
        <w:kinsoku w:val="0"/>
        <w:overflowPunct w:val="0"/>
        <w:spacing w:before="0" w:line="501" w:lineRule="exact"/>
        <w:ind w:left="1"/>
        <w:jc w:val="center"/>
        <w:rPr>
          <w:rFonts w:hint="eastAsia" w:ascii="宋体" w:hAnsi="宋体" w:eastAsia="宋体" w:cs="宋体"/>
          <w:sz w:val="36"/>
          <w:szCs w:val="36"/>
          <w:highlight w:val="none"/>
        </w:rPr>
      </w:pPr>
      <w:r>
        <w:rPr>
          <w:rFonts w:hint="eastAsia" w:ascii="宋体" w:hAnsi="宋体" w:eastAsia="宋体" w:cs="宋体"/>
          <w:b/>
          <w:bCs/>
          <w:w w:val="95"/>
          <w:sz w:val="36"/>
          <w:szCs w:val="36"/>
          <w:highlight w:val="none"/>
        </w:rPr>
        <w:t>目</w:t>
      </w:r>
      <w:r>
        <w:rPr>
          <w:rFonts w:hint="eastAsia" w:ascii="宋体" w:hAnsi="宋体" w:eastAsia="宋体" w:cs="宋体"/>
          <w:b/>
          <w:bCs/>
          <w:w w:val="95"/>
          <w:sz w:val="36"/>
          <w:szCs w:val="36"/>
          <w:highlight w:val="none"/>
        </w:rPr>
        <w:tab/>
      </w:r>
      <w:r>
        <w:rPr>
          <w:rFonts w:hint="eastAsia" w:ascii="宋体" w:hAnsi="宋体" w:eastAsia="宋体" w:cs="宋体"/>
          <w:b/>
          <w:bCs/>
          <w:sz w:val="36"/>
          <w:szCs w:val="36"/>
          <w:highlight w:val="none"/>
        </w:rPr>
        <w:t>录</w:t>
      </w:r>
    </w:p>
    <w:p>
      <w:pPr>
        <w:pStyle w:val="13"/>
        <w:tabs>
          <w:tab w:val="right" w:leader="dot" w:pos="9541"/>
          <w:tab w:val="clear" w:pos="9400"/>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TOC \o "1-3" \h \z </w:instrText>
      </w:r>
      <w:r>
        <w:rPr>
          <w:rFonts w:hint="eastAsia" w:ascii="宋体" w:hAnsi="宋体" w:eastAsia="宋体" w:cs="宋体"/>
          <w:highlight w:val="none"/>
        </w:rPr>
        <w:fldChar w:fldCharType="separate"/>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_Toc6155 </w:instrText>
      </w:r>
      <w:r>
        <w:rPr>
          <w:rFonts w:hint="eastAsia" w:ascii="宋体" w:hAnsi="宋体" w:eastAsia="宋体" w:cs="宋体"/>
          <w:highlight w:val="none"/>
        </w:rPr>
        <w:fldChar w:fldCharType="separate"/>
      </w:r>
      <w:r>
        <w:rPr>
          <w:rFonts w:hint="eastAsia" w:ascii="宋体" w:hAnsi="宋体" w:eastAsia="宋体" w:cs="宋体"/>
          <w:w w:val="95"/>
          <w:highlight w:val="none"/>
        </w:rPr>
        <w:t>第一章</w:t>
      </w:r>
      <w:r>
        <w:rPr>
          <w:rFonts w:hint="eastAsia" w:ascii="宋体" w:hAnsi="宋体" w:cs="宋体"/>
          <w:w w:val="95"/>
          <w:highlight w:val="none"/>
          <w:lang w:val="en-US" w:eastAsia="zh-CN"/>
        </w:rPr>
        <w:t xml:space="preserve"> </w:t>
      </w:r>
      <w:r>
        <w:rPr>
          <w:rFonts w:hint="eastAsia" w:ascii="宋体" w:hAnsi="宋体" w:eastAsia="宋体" w:cs="宋体"/>
          <w:highlight w:val="none"/>
        </w:rPr>
        <w:t>投标邀请书</w:t>
      </w:r>
      <w:r>
        <w:rPr>
          <w:highlight w:val="none"/>
        </w:rPr>
        <w:tab/>
      </w:r>
      <w:r>
        <w:rPr>
          <w:highlight w:val="none"/>
        </w:rPr>
        <w:fldChar w:fldCharType="begin"/>
      </w:r>
      <w:r>
        <w:rPr>
          <w:highlight w:val="none"/>
        </w:rPr>
        <w:instrText xml:space="preserve"> PAGEREF _Toc6155 </w:instrText>
      </w:r>
      <w:r>
        <w:rPr>
          <w:highlight w:val="none"/>
        </w:rPr>
        <w:fldChar w:fldCharType="separate"/>
      </w:r>
      <w:r>
        <w:rPr>
          <w:highlight w:val="none"/>
        </w:rPr>
        <w:t>2</w:t>
      </w:r>
      <w:r>
        <w:rPr>
          <w:highlight w:val="none"/>
        </w:rPr>
        <w:fldChar w:fldCharType="end"/>
      </w:r>
      <w:r>
        <w:rPr>
          <w:rFonts w:hint="eastAsia" w:ascii="宋体" w:hAnsi="宋体" w:eastAsia="宋体" w:cs="宋体"/>
          <w:highlight w:val="none"/>
        </w:rPr>
        <w:fldChar w:fldCharType="end"/>
      </w:r>
    </w:p>
    <w:p>
      <w:pPr>
        <w:pStyle w:val="13"/>
        <w:tabs>
          <w:tab w:val="right" w:leader="dot" w:pos="9541"/>
          <w:tab w:val="clear" w:pos="9400"/>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_Toc15730 </w:instrText>
      </w:r>
      <w:r>
        <w:rPr>
          <w:rFonts w:hint="eastAsia" w:ascii="宋体" w:hAnsi="宋体" w:eastAsia="宋体" w:cs="宋体"/>
          <w:highlight w:val="none"/>
        </w:rPr>
        <w:fldChar w:fldCharType="separate"/>
      </w:r>
      <w:r>
        <w:rPr>
          <w:rFonts w:hint="eastAsia" w:ascii="华文中宋" w:hAnsi="华文中宋" w:eastAsia="华文中宋"/>
          <w:highlight w:val="none"/>
        </w:rPr>
        <w:t>竞争性磋商公告</w:t>
      </w:r>
      <w:r>
        <w:rPr>
          <w:highlight w:val="none"/>
        </w:rPr>
        <w:tab/>
      </w:r>
      <w:r>
        <w:rPr>
          <w:highlight w:val="none"/>
        </w:rPr>
        <w:fldChar w:fldCharType="begin"/>
      </w:r>
      <w:r>
        <w:rPr>
          <w:highlight w:val="none"/>
        </w:rPr>
        <w:instrText xml:space="preserve"> PAGEREF _Toc15730 </w:instrText>
      </w:r>
      <w:r>
        <w:rPr>
          <w:highlight w:val="none"/>
        </w:rPr>
        <w:fldChar w:fldCharType="separate"/>
      </w:r>
      <w:r>
        <w:rPr>
          <w:highlight w:val="none"/>
        </w:rPr>
        <w:t>2</w:t>
      </w:r>
      <w:r>
        <w:rPr>
          <w:highlight w:val="none"/>
        </w:rPr>
        <w:fldChar w:fldCharType="end"/>
      </w:r>
      <w:r>
        <w:rPr>
          <w:rFonts w:hint="eastAsia" w:ascii="宋体" w:hAnsi="宋体" w:eastAsia="宋体" w:cs="宋体"/>
          <w:highlight w:val="none"/>
        </w:rPr>
        <w:fldChar w:fldCharType="end"/>
      </w:r>
    </w:p>
    <w:p>
      <w:pPr>
        <w:pStyle w:val="13"/>
        <w:tabs>
          <w:tab w:val="right" w:pos="2400"/>
          <w:tab w:val="right" w:leader="dot" w:pos="9541"/>
          <w:tab w:val="clear" w:pos="9400"/>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_Toc25669 </w:instrText>
      </w:r>
      <w:r>
        <w:rPr>
          <w:rFonts w:hint="eastAsia" w:ascii="宋体" w:hAnsi="宋体" w:eastAsia="宋体" w:cs="宋体"/>
          <w:highlight w:val="none"/>
        </w:rPr>
        <w:fldChar w:fldCharType="separate"/>
      </w:r>
      <w:r>
        <w:rPr>
          <w:rFonts w:hint="eastAsia" w:ascii="宋体" w:hAnsi="宋体" w:eastAsia="宋体" w:cs="宋体"/>
          <w:w w:val="95"/>
          <w:highlight w:val="none"/>
        </w:rPr>
        <w:t>第二章</w:t>
      </w:r>
      <w:r>
        <w:rPr>
          <w:rFonts w:hint="eastAsia" w:ascii="宋体" w:hAnsi="宋体" w:eastAsia="宋体" w:cs="宋体"/>
          <w:w w:val="95"/>
          <w:highlight w:val="none"/>
        </w:rPr>
        <w:tab/>
      </w:r>
      <w:r>
        <w:rPr>
          <w:rFonts w:hint="eastAsia" w:ascii="宋体" w:hAnsi="宋体" w:cs="宋体"/>
          <w:w w:val="95"/>
          <w:highlight w:val="none"/>
          <w:lang w:val="en-US" w:eastAsia="zh-CN"/>
        </w:rPr>
        <w:t xml:space="preserve"> </w:t>
      </w:r>
      <w:r>
        <w:rPr>
          <w:rFonts w:hint="eastAsia" w:ascii="宋体" w:hAnsi="宋体" w:eastAsia="宋体" w:cs="宋体"/>
          <w:highlight w:val="none"/>
        </w:rPr>
        <w:t>供应商须知及前附表</w:t>
      </w:r>
      <w:r>
        <w:rPr>
          <w:highlight w:val="none"/>
        </w:rPr>
        <w:tab/>
      </w:r>
      <w:r>
        <w:rPr>
          <w:highlight w:val="none"/>
        </w:rPr>
        <w:fldChar w:fldCharType="begin"/>
      </w:r>
      <w:r>
        <w:rPr>
          <w:highlight w:val="none"/>
        </w:rPr>
        <w:instrText xml:space="preserve"> PAGEREF _Toc25669 </w:instrText>
      </w:r>
      <w:r>
        <w:rPr>
          <w:highlight w:val="none"/>
        </w:rPr>
        <w:fldChar w:fldCharType="separate"/>
      </w:r>
      <w:r>
        <w:rPr>
          <w:highlight w:val="none"/>
        </w:rPr>
        <w:t>6</w:t>
      </w:r>
      <w:r>
        <w:rPr>
          <w:highlight w:val="none"/>
        </w:rPr>
        <w:fldChar w:fldCharType="end"/>
      </w:r>
      <w:r>
        <w:rPr>
          <w:rFonts w:hint="eastAsia" w:ascii="宋体" w:hAnsi="宋体" w:eastAsia="宋体" w:cs="宋体"/>
          <w:highlight w:val="none"/>
        </w:rPr>
        <w:fldChar w:fldCharType="end"/>
      </w:r>
    </w:p>
    <w:p>
      <w:pPr>
        <w:pStyle w:val="15"/>
        <w:tabs>
          <w:tab w:val="right" w:leader="dot" w:pos="9541"/>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_Toc7077 </w:instrText>
      </w:r>
      <w:r>
        <w:rPr>
          <w:rFonts w:hint="eastAsia" w:ascii="宋体" w:hAnsi="宋体" w:eastAsia="宋体" w:cs="宋体"/>
          <w:highlight w:val="none"/>
        </w:rPr>
        <w:fldChar w:fldCharType="separate"/>
      </w:r>
      <w:r>
        <w:rPr>
          <w:rFonts w:hint="eastAsia" w:ascii="宋体" w:hAnsi="宋体" w:eastAsia="宋体" w:cs="宋体"/>
          <w:highlight w:val="none"/>
        </w:rPr>
        <w:t>（一）供应商须知前附表</w:t>
      </w:r>
      <w:r>
        <w:rPr>
          <w:highlight w:val="none"/>
        </w:rPr>
        <w:tab/>
      </w:r>
      <w:r>
        <w:rPr>
          <w:highlight w:val="none"/>
        </w:rPr>
        <w:fldChar w:fldCharType="begin"/>
      </w:r>
      <w:r>
        <w:rPr>
          <w:highlight w:val="none"/>
        </w:rPr>
        <w:instrText xml:space="preserve"> PAGEREF _Toc7077 </w:instrText>
      </w:r>
      <w:r>
        <w:rPr>
          <w:highlight w:val="none"/>
        </w:rPr>
        <w:fldChar w:fldCharType="separate"/>
      </w:r>
      <w:r>
        <w:rPr>
          <w:highlight w:val="none"/>
        </w:rPr>
        <w:t>6</w:t>
      </w:r>
      <w:r>
        <w:rPr>
          <w:highlight w:val="none"/>
        </w:rPr>
        <w:fldChar w:fldCharType="end"/>
      </w:r>
      <w:r>
        <w:rPr>
          <w:rFonts w:hint="eastAsia" w:ascii="宋体" w:hAnsi="宋体" w:eastAsia="宋体" w:cs="宋体"/>
          <w:highlight w:val="none"/>
        </w:rPr>
        <w:fldChar w:fldCharType="end"/>
      </w:r>
    </w:p>
    <w:p>
      <w:pPr>
        <w:pStyle w:val="15"/>
        <w:tabs>
          <w:tab w:val="right" w:leader="dot" w:pos="9541"/>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_Toc24361 </w:instrText>
      </w:r>
      <w:r>
        <w:rPr>
          <w:rFonts w:hint="eastAsia" w:ascii="宋体" w:hAnsi="宋体" w:eastAsia="宋体" w:cs="宋体"/>
          <w:highlight w:val="none"/>
        </w:rPr>
        <w:fldChar w:fldCharType="separate"/>
      </w:r>
      <w:r>
        <w:rPr>
          <w:rFonts w:hint="eastAsia" w:ascii="宋体" w:hAnsi="宋体" w:eastAsia="宋体" w:cs="宋体"/>
          <w:highlight w:val="none"/>
        </w:rPr>
        <w:t>（二）供应商须知</w:t>
      </w:r>
      <w:r>
        <w:rPr>
          <w:highlight w:val="none"/>
        </w:rPr>
        <w:tab/>
      </w:r>
      <w:r>
        <w:rPr>
          <w:highlight w:val="none"/>
        </w:rPr>
        <w:fldChar w:fldCharType="begin"/>
      </w:r>
      <w:r>
        <w:rPr>
          <w:highlight w:val="none"/>
        </w:rPr>
        <w:instrText xml:space="preserve"> PAGEREF _Toc24361 </w:instrText>
      </w:r>
      <w:r>
        <w:rPr>
          <w:highlight w:val="none"/>
        </w:rPr>
        <w:fldChar w:fldCharType="separate"/>
      </w:r>
      <w:r>
        <w:rPr>
          <w:highlight w:val="none"/>
        </w:rPr>
        <w:t>11</w:t>
      </w:r>
      <w:r>
        <w:rPr>
          <w:highlight w:val="none"/>
        </w:rPr>
        <w:fldChar w:fldCharType="end"/>
      </w:r>
      <w:r>
        <w:rPr>
          <w:rFonts w:hint="eastAsia" w:ascii="宋体" w:hAnsi="宋体" w:eastAsia="宋体" w:cs="宋体"/>
          <w:highlight w:val="none"/>
        </w:rPr>
        <w:fldChar w:fldCharType="end"/>
      </w:r>
    </w:p>
    <w:p>
      <w:pPr>
        <w:pStyle w:val="15"/>
        <w:tabs>
          <w:tab w:val="right" w:leader="dot" w:pos="9541"/>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_Toc20516 </w:instrText>
      </w:r>
      <w:r>
        <w:rPr>
          <w:rFonts w:hint="eastAsia" w:ascii="宋体" w:hAnsi="宋体" w:eastAsia="宋体" w:cs="宋体"/>
          <w:highlight w:val="none"/>
        </w:rPr>
        <w:fldChar w:fldCharType="separate"/>
      </w:r>
      <w:r>
        <w:rPr>
          <w:rFonts w:hint="eastAsia" w:ascii="宋体" w:hAnsi="宋体" w:eastAsia="宋体" w:cs="宋体"/>
          <w:highlight w:val="none"/>
        </w:rPr>
        <w:t>（三）《竞争性磋商文件》</w:t>
      </w:r>
      <w:r>
        <w:rPr>
          <w:highlight w:val="none"/>
        </w:rPr>
        <w:tab/>
      </w:r>
      <w:r>
        <w:rPr>
          <w:highlight w:val="none"/>
        </w:rPr>
        <w:fldChar w:fldCharType="begin"/>
      </w:r>
      <w:r>
        <w:rPr>
          <w:highlight w:val="none"/>
        </w:rPr>
        <w:instrText xml:space="preserve"> PAGEREF _Toc20516 </w:instrText>
      </w:r>
      <w:r>
        <w:rPr>
          <w:highlight w:val="none"/>
        </w:rPr>
        <w:fldChar w:fldCharType="separate"/>
      </w:r>
      <w:r>
        <w:rPr>
          <w:highlight w:val="none"/>
        </w:rPr>
        <w:t>13</w:t>
      </w:r>
      <w:r>
        <w:rPr>
          <w:highlight w:val="none"/>
        </w:rPr>
        <w:fldChar w:fldCharType="end"/>
      </w:r>
      <w:r>
        <w:rPr>
          <w:rFonts w:hint="eastAsia" w:ascii="宋体" w:hAnsi="宋体" w:eastAsia="宋体" w:cs="宋体"/>
          <w:highlight w:val="none"/>
        </w:rPr>
        <w:fldChar w:fldCharType="end"/>
      </w:r>
    </w:p>
    <w:p>
      <w:pPr>
        <w:pStyle w:val="15"/>
        <w:tabs>
          <w:tab w:val="right" w:leader="dot" w:pos="9541"/>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_Toc8528 </w:instrText>
      </w:r>
      <w:r>
        <w:rPr>
          <w:rFonts w:hint="eastAsia" w:ascii="宋体" w:hAnsi="宋体" w:eastAsia="宋体" w:cs="宋体"/>
          <w:highlight w:val="none"/>
        </w:rPr>
        <w:fldChar w:fldCharType="separate"/>
      </w:r>
      <w:r>
        <w:rPr>
          <w:rFonts w:hint="eastAsia" w:ascii="宋体" w:hAnsi="宋体" w:eastAsia="宋体" w:cs="宋体"/>
          <w:highlight w:val="none"/>
        </w:rPr>
        <w:t>（四）《磋商响应性文件》的编制</w:t>
      </w:r>
      <w:r>
        <w:rPr>
          <w:highlight w:val="none"/>
        </w:rPr>
        <w:tab/>
      </w:r>
      <w:r>
        <w:rPr>
          <w:highlight w:val="none"/>
        </w:rPr>
        <w:fldChar w:fldCharType="begin"/>
      </w:r>
      <w:r>
        <w:rPr>
          <w:highlight w:val="none"/>
        </w:rPr>
        <w:instrText xml:space="preserve"> PAGEREF _Toc8528 </w:instrText>
      </w:r>
      <w:r>
        <w:rPr>
          <w:highlight w:val="none"/>
        </w:rPr>
        <w:fldChar w:fldCharType="separate"/>
      </w:r>
      <w:r>
        <w:rPr>
          <w:highlight w:val="none"/>
        </w:rPr>
        <w:t>14</w:t>
      </w:r>
      <w:r>
        <w:rPr>
          <w:highlight w:val="none"/>
        </w:rPr>
        <w:fldChar w:fldCharType="end"/>
      </w:r>
      <w:r>
        <w:rPr>
          <w:rFonts w:hint="eastAsia" w:ascii="宋体" w:hAnsi="宋体" w:eastAsia="宋体" w:cs="宋体"/>
          <w:highlight w:val="none"/>
        </w:rPr>
        <w:fldChar w:fldCharType="end"/>
      </w:r>
    </w:p>
    <w:p>
      <w:pPr>
        <w:pStyle w:val="15"/>
        <w:tabs>
          <w:tab w:val="right" w:leader="dot" w:pos="9541"/>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_Toc32099 </w:instrText>
      </w:r>
      <w:r>
        <w:rPr>
          <w:rFonts w:hint="eastAsia" w:ascii="宋体" w:hAnsi="宋体" w:eastAsia="宋体" w:cs="宋体"/>
          <w:highlight w:val="none"/>
        </w:rPr>
        <w:fldChar w:fldCharType="separate"/>
      </w:r>
      <w:r>
        <w:rPr>
          <w:rFonts w:hint="eastAsia" w:ascii="宋体" w:hAnsi="宋体" w:eastAsia="宋体" w:cs="宋体"/>
          <w:highlight w:val="none"/>
        </w:rPr>
        <w:t>（五）磋商响应性文件的提交及相关事项</w:t>
      </w:r>
      <w:r>
        <w:rPr>
          <w:highlight w:val="none"/>
        </w:rPr>
        <w:tab/>
      </w:r>
      <w:r>
        <w:rPr>
          <w:highlight w:val="none"/>
        </w:rPr>
        <w:fldChar w:fldCharType="begin"/>
      </w:r>
      <w:r>
        <w:rPr>
          <w:highlight w:val="none"/>
        </w:rPr>
        <w:instrText xml:space="preserve"> PAGEREF _Toc32099 </w:instrText>
      </w:r>
      <w:r>
        <w:rPr>
          <w:highlight w:val="none"/>
        </w:rPr>
        <w:fldChar w:fldCharType="separate"/>
      </w:r>
      <w:r>
        <w:rPr>
          <w:highlight w:val="none"/>
        </w:rPr>
        <w:t>19</w:t>
      </w:r>
      <w:r>
        <w:rPr>
          <w:highlight w:val="none"/>
        </w:rPr>
        <w:fldChar w:fldCharType="end"/>
      </w:r>
      <w:r>
        <w:rPr>
          <w:rFonts w:hint="eastAsia" w:ascii="宋体" w:hAnsi="宋体" w:eastAsia="宋体" w:cs="宋体"/>
          <w:highlight w:val="none"/>
        </w:rPr>
        <w:fldChar w:fldCharType="end"/>
      </w:r>
    </w:p>
    <w:p>
      <w:pPr>
        <w:pStyle w:val="15"/>
        <w:tabs>
          <w:tab w:val="right" w:leader="dot" w:pos="9541"/>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_Toc1690 </w:instrText>
      </w:r>
      <w:r>
        <w:rPr>
          <w:rFonts w:hint="eastAsia" w:ascii="宋体" w:hAnsi="宋体" w:eastAsia="宋体" w:cs="宋体"/>
          <w:highlight w:val="none"/>
        </w:rPr>
        <w:fldChar w:fldCharType="separate"/>
      </w:r>
      <w:r>
        <w:rPr>
          <w:rFonts w:hint="eastAsia" w:ascii="宋体" w:hAnsi="宋体" w:eastAsia="宋体" w:cs="宋体"/>
          <w:highlight w:val="none"/>
        </w:rPr>
        <w:t>（</w:t>
      </w:r>
      <w:r>
        <w:rPr>
          <w:rFonts w:hint="eastAsia" w:ascii="宋体" w:hAnsi="宋体" w:eastAsia="宋体" w:cs="宋体"/>
          <w:highlight w:val="none"/>
          <w:lang w:eastAsia="zh-CN"/>
        </w:rPr>
        <w:t>六</w:t>
      </w:r>
      <w:r>
        <w:rPr>
          <w:rFonts w:hint="eastAsia" w:ascii="宋体" w:hAnsi="宋体" w:eastAsia="宋体" w:cs="宋体"/>
          <w:highlight w:val="none"/>
        </w:rPr>
        <w:t>）</w:t>
      </w:r>
      <w:r>
        <w:rPr>
          <w:rFonts w:hint="eastAsia" w:ascii="宋体" w:hAnsi="宋体" w:eastAsia="宋体" w:cs="宋体"/>
          <w:highlight w:val="none"/>
          <w:lang w:eastAsia="zh-CN"/>
        </w:rPr>
        <w:t>磋商</w:t>
      </w:r>
      <w:r>
        <w:rPr>
          <w:highlight w:val="none"/>
        </w:rPr>
        <w:tab/>
      </w:r>
      <w:r>
        <w:rPr>
          <w:highlight w:val="none"/>
        </w:rPr>
        <w:fldChar w:fldCharType="begin"/>
      </w:r>
      <w:r>
        <w:rPr>
          <w:highlight w:val="none"/>
        </w:rPr>
        <w:instrText xml:space="preserve"> PAGEREF _Toc1690 </w:instrText>
      </w:r>
      <w:r>
        <w:rPr>
          <w:highlight w:val="none"/>
        </w:rPr>
        <w:fldChar w:fldCharType="separate"/>
      </w:r>
      <w:r>
        <w:rPr>
          <w:highlight w:val="none"/>
        </w:rPr>
        <w:t>21</w:t>
      </w:r>
      <w:r>
        <w:rPr>
          <w:highlight w:val="none"/>
        </w:rPr>
        <w:fldChar w:fldCharType="end"/>
      </w:r>
      <w:r>
        <w:rPr>
          <w:rFonts w:hint="eastAsia" w:ascii="宋体" w:hAnsi="宋体" w:eastAsia="宋体" w:cs="宋体"/>
          <w:highlight w:val="none"/>
        </w:rPr>
        <w:fldChar w:fldCharType="end"/>
      </w:r>
    </w:p>
    <w:p>
      <w:pPr>
        <w:pStyle w:val="15"/>
        <w:tabs>
          <w:tab w:val="right" w:leader="dot" w:pos="9541"/>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_Toc11796 </w:instrText>
      </w:r>
      <w:r>
        <w:rPr>
          <w:rFonts w:hint="eastAsia" w:ascii="宋体" w:hAnsi="宋体" w:eastAsia="宋体" w:cs="宋体"/>
          <w:highlight w:val="none"/>
        </w:rPr>
        <w:fldChar w:fldCharType="separate"/>
      </w:r>
      <w:r>
        <w:rPr>
          <w:rFonts w:hint="eastAsia" w:ascii="宋体" w:hAnsi="宋体" w:eastAsia="宋体" w:cs="宋体"/>
          <w:highlight w:val="none"/>
        </w:rPr>
        <w:t>（</w:t>
      </w:r>
      <w:r>
        <w:rPr>
          <w:rFonts w:hint="eastAsia" w:ascii="宋体" w:hAnsi="宋体" w:eastAsia="宋体" w:cs="宋体"/>
          <w:highlight w:val="none"/>
          <w:lang w:eastAsia="zh-CN"/>
        </w:rPr>
        <w:t>七</w:t>
      </w:r>
      <w:r>
        <w:rPr>
          <w:rFonts w:hint="eastAsia" w:ascii="宋体" w:hAnsi="宋体" w:eastAsia="宋体" w:cs="宋体"/>
          <w:highlight w:val="none"/>
        </w:rPr>
        <w:t>）定标</w:t>
      </w:r>
      <w:r>
        <w:rPr>
          <w:highlight w:val="none"/>
        </w:rPr>
        <w:tab/>
      </w:r>
      <w:r>
        <w:rPr>
          <w:highlight w:val="none"/>
        </w:rPr>
        <w:fldChar w:fldCharType="begin"/>
      </w:r>
      <w:r>
        <w:rPr>
          <w:highlight w:val="none"/>
        </w:rPr>
        <w:instrText xml:space="preserve"> PAGEREF _Toc11796 </w:instrText>
      </w:r>
      <w:r>
        <w:rPr>
          <w:highlight w:val="none"/>
        </w:rPr>
        <w:fldChar w:fldCharType="separate"/>
      </w:r>
      <w:r>
        <w:rPr>
          <w:highlight w:val="none"/>
        </w:rPr>
        <w:t>22</w:t>
      </w:r>
      <w:r>
        <w:rPr>
          <w:highlight w:val="none"/>
        </w:rPr>
        <w:fldChar w:fldCharType="end"/>
      </w:r>
      <w:r>
        <w:rPr>
          <w:rFonts w:hint="eastAsia" w:ascii="宋体" w:hAnsi="宋体" w:eastAsia="宋体" w:cs="宋体"/>
          <w:highlight w:val="none"/>
        </w:rPr>
        <w:fldChar w:fldCharType="end"/>
      </w:r>
    </w:p>
    <w:p>
      <w:pPr>
        <w:pStyle w:val="15"/>
        <w:tabs>
          <w:tab w:val="right" w:leader="dot" w:pos="9541"/>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_Toc23542 </w:instrText>
      </w:r>
      <w:r>
        <w:rPr>
          <w:rFonts w:hint="eastAsia" w:ascii="宋体" w:hAnsi="宋体" w:eastAsia="宋体" w:cs="宋体"/>
          <w:highlight w:val="none"/>
        </w:rPr>
        <w:fldChar w:fldCharType="separate"/>
      </w:r>
      <w:r>
        <w:rPr>
          <w:rFonts w:hint="eastAsia" w:ascii="宋体" w:hAnsi="宋体" w:eastAsia="宋体" w:cs="宋体"/>
          <w:highlight w:val="none"/>
        </w:rPr>
        <w:t>（</w:t>
      </w:r>
      <w:r>
        <w:rPr>
          <w:rFonts w:hint="eastAsia" w:ascii="宋体" w:hAnsi="宋体" w:eastAsia="宋体" w:cs="宋体"/>
          <w:highlight w:val="none"/>
          <w:lang w:eastAsia="zh-CN"/>
        </w:rPr>
        <w:t>八</w:t>
      </w:r>
      <w:r>
        <w:rPr>
          <w:rFonts w:hint="eastAsia" w:ascii="宋体" w:hAnsi="宋体" w:eastAsia="宋体" w:cs="宋体"/>
          <w:highlight w:val="none"/>
        </w:rPr>
        <w:t>）合同签订及履行</w:t>
      </w:r>
      <w:r>
        <w:rPr>
          <w:highlight w:val="none"/>
        </w:rPr>
        <w:tab/>
      </w:r>
      <w:r>
        <w:rPr>
          <w:highlight w:val="none"/>
        </w:rPr>
        <w:fldChar w:fldCharType="begin"/>
      </w:r>
      <w:r>
        <w:rPr>
          <w:highlight w:val="none"/>
        </w:rPr>
        <w:instrText xml:space="preserve"> PAGEREF _Toc23542 </w:instrText>
      </w:r>
      <w:r>
        <w:rPr>
          <w:highlight w:val="none"/>
        </w:rPr>
        <w:fldChar w:fldCharType="separate"/>
      </w:r>
      <w:r>
        <w:rPr>
          <w:highlight w:val="none"/>
        </w:rPr>
        <w:t>23</w:t>
      </w:r>
      <w:r>
        <w:rPr>
          <w:highlight w:val="none"/>
        </w:rPr>
        <w:fldChar w:fldCharType="end"/>
      </w:r>
      <w:r>
        <w:rPr>
          <w:rFonts w:hint="eastAsia" w:ascii="宋体" w:hAnsi="宋体" w:eastAsia="宋体" w:cs="宋体"/>
          <w:highlight w:val="none"/>
        </w:rPr>
        <w:fldChar w:fldCharType="end"/>
      </w:r>
    </w:p>
    <w:p>
      <w:pPr>
        <w:pStyle w:val="15"/>
        <w:tabs>
          <w:tab w:val="right" w:leader="dot" w:pos="9541"/>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_Toc23631 </w:instrText>
      </w:r>
      <w:r>
        <w:rPr>
          <w:rFonts w:hint="eastAsia" w:ascii="宋体" w:hAnsi="宋体" w:eastAsia="宋体" w:cs="宋体"/>
          <w:highlight w:val="none"/>
        </w:rPr>
        <w:fldChar w:fldCharType="separate"/>
      </w:r>
      <w:r>
        <w:rPr>
          <w:rFonts w:hint="eastAsia" w:ascii="宋体" w:hAnsi="宋体" w:eastAsia="宋体" w:cs="宋体"/>
          <w:highlight w:val="none"/>
        </w:rPr>
        <w:t>（</w:t>
      </w:r>
      <w:r>
        <w:rPr>
          <w:rFonts w:hint="eastAsia" w:ascii="宋体" w:hAnsi="宋体" w:eastAsia="宋体" w:cs="宋体"/>
          <w:highlight w:val="none"/>
          <w:lang w:eastAsia="zh-CN"/>
        </w:rPr>
        <w:t>九</w:t>
      </w:r>
      <w:r>
        <w:rPr>
          <w:rFonts w:hint="eastAsia" w:ascii="宋体" w:hAnsi="宋体" w:eastAsia="宋体" w:cs="宋体"/>
          <w:highlight w:val="none"/>
        </w:rPr>
        <w:t>）重新招标和不再招标</w:t>
      </w:r>
      <w:r>
        <w:rPr>
          <w:highlight w:val="none"/>
        </w:rPr>
        <w:tab/>
      </w:r>
      <w:r>
        <w:rPr>
          <w:highlight w:val="none"/>
        </w:rPr>
        <w:fldChar w:fldCharType="begin"/>
      </w:r>
      <w:r>
        <w:rPr>
          <w:highlight w:val="none"/>
        </w:rPr>
        <w:instrText xml:space="preserve"> PAGEREF _Toc23631 </w:instrText>
      </w:r>
      <w:r>
        <w:rPr>
          <w:highlight w:val="none"/>
        </w:rPr>
        <w:fldChar w:fldCharType="separate"/>
      </w:r>
      <w:r>
        <w:rPr>
          <w:highlight w:val="none"/>
        </w:rPr>
        <w:t>24</w:t>
      </w:r>
      <w:r>
        <w:rPr>
          <w:highlight w:val="none"/>
        </w:rPr>
        <w:fldChar w:fldCharType="end"/>
      </w:r>
      <w:r>
        <w:rPr>
          <w:rFonts w:hint="eastAsia" w:ascii="宋体" w:hAnsi="宋体" w:eastAsia="宋体" w:cs="宋体"/>
          <w:highlight w:val="none"/>
        </w:rPr>
        <w:fldChar w:fldCharType="end"/>
      </w:r>
    </w:p>
    <w:p>
      <w:pPr>
        <w:pStyle w:val="15"/>
        <w:tabs>
          <w:tab w:val="right" w:leader="dot" w:pos="9541"/>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_Toc6269 </w:instrText>
      </w:r>
      <w:r>
        <w:rPr>
          <w:rFonts w:hint="eastAsia" w:ascii="宋体" w:hAnsi="宋体" w:eastAsia="宋体" w:cs="宋体"/>
          <w:highlight w:val="none"/>
        </w:rPr>
        <w:fldChar w:fldCharType="separate"/>
      </w:r>
      <w:r>
        <w:rPr>
          <w:rFonts w:hint="eastAsia" w:ascii="宋体" w:hAnsi="宋体" w:eastAsia="宋体" w:cs="宋体"/>
          <w:highlight w:val="none"/>
        </w:rPr>
        <w:t>（十）纪律和监督</w:t>
      </w:r>
      <w:r>
        <w:rPr>
          <w:highlight w:val="none"/>
        </w:rPr>
        <w:tab/>
      </w:r>
      <w:r>
        <w:rPr>
          <w:highlight w:val="none"/>
        </w:rPr>
        <w:fldChar w:fldCharType="begin"/>
      </w:r>
      <w:r>
        <w:rPr>
          <w:highlight w:val="none"/>
        </w:rPr>
        <w:instrText xml:space="preserve"> PAGEREF _Toc6269 </w:instrText>
      </w:r>
      <w:r>
        <w:rPr>
          <w:highlight w:val="none"/>
        </w:rPr>
        <w:fldChar w:fldCharType="separate"/>
      </w:r>
      <w:r>
        <w:rPr>
          <w:highlight w:val="none"/>
        </w:rPr>
        <w:t>25</w:t>
      </w:r>
      <w:r>
        <w:rPr>
          <w:highlight w:val="none"/>
        </w:rPr>
        <w:fldChar w:fldCharType="end"/>
      </w:r>
      <w:r>
        <w:rPr>
          <w:rFonts w:hint="eastAsia" w:ascii="宋体" w:hAnsi="宋体" w:eastAsia="宋体" w:cs="宋体"/>
          <w:highlight w:val="none"/>
        </w:rPr>
        <w:fldChar w:fldCharType="end"/>
      </w:r>
    </w:p>
    <w:p>
      <w:pPr>
        <w:pStyle w:val="15"/>
        <w:tabs>
          <w:tab w:val="right" w:leader="dot" w:pos="9541"/>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_Toc23224 </w:instrText>
      </w:r>
      <w:r>
        <w:rPr>
          <w:rFonts w:hint="eastAsia" w:ascii="宋体" w:hAnsi="宋体" w:eastAsia="宋体" w:cs="宋体"/>
          <w:highlight w:val="none"/>
        </w:rPr>
        <w:fldChar w:fldCharType="separate"/>
      </w:r>
      <w:r>
        <w:rPr>
          <w:rFonts w:hint="eastAsia" w:ascii="宋体" w:hAnsi="宋体" w:eastAsia="宋体" w:cs="宋体"/>
          <w:highlight w:val="none"/>
        </w:rPr>
        <w:t>（十</w:t>
      </w:r>
      <w:r>
        <w:rPr>
          <w:rFonts w:hint="eastAsia" w:ascii="宋体" w:hAnsi="宋体" w:eastAsia="宋体" w:cs="宋体"/>
          <w:highlight w:val="none"/>
          <w:lang w:eastAsia="zh-CN"/>
        </w:rPr>
        <w:t>一</w:t>
      </w:r>
      <w:r>
        <w:rPr>
          <w:rFonts w:hint="eastAsia" w:ascii="宋体" w:hAnsi="宋体" w:eastAsia="宋体" w:cs="宋体"/>
          <w:highlight w:val="none"/>
        </w:rPr>
        <w:t>）无效投标</w:t>
      </w:r>
      <w:r>
        <w:rPr>
          <w:highlight w:val="none"/>
        </w:rPr>
        <w:tab/>
      </w:r>
      <w:r>
        <w:rPr>
          <w:highlight w:val="none"/>
        </w:rPr>
        <w:fldChar w:fldCharType="begin"/>
      </w:r>
      <w:r>
        <w:rPr>
          <w:highlight w:val="none"/>
        </w:rPr>
        <w:instrText xml:space="preserve"> PAGEREF _Toc23224 </w:instrText>
      </w:r>
      <w:r>
        <w:rPr>
          <w:highlight w:val="none"/>
        </w:rPr>
        <w:fldChar w:fldCharType="separate"/>
      </w:r>
      <w:r>
        <w:rPr>
          <w:highlight w:val="none"/>
        </w:rPr>
        <w:t>27</w:t>
      </w:r>
      <w:r>
        <w:rPr>
          <w:highlight w:val="none"/>
        </w:rPr>
        <w:fldChar w:fldCharType="end"/>
      </w:r>
      <w:r>
        <w:rPr>
          <w:rFonts w:hint="eastAsia" w:ascii="宋体" w:hAnsi="宋体" w:eastAsia="宋体" w:cs="宋体"/>
          <w:highlight w:val="none"/>
        </w:rPr>
        <w:fldChar w:fldCharType="end"/>
      </w:r>
    </w:p>
    <w:p>
      <w:pPr>
        <w:pStyle w:val="15"/>
        <w:tabs>
          <w:tab w:val="right" w:leader="dot" w:pos="9541"/>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_Toc25703 </w:instrText>
      </w:r>
      <w:r>
        <w:rPr>
          <w:rFonts w:hint="eastAsia" w:ascii="宋体" w:hAnsi="宋体" w:eastAsia="宋体" w:cs="宋体"/>
          <w:highlight w:val="none"/>
        </w:rPr>
        <w:fldChar w:fldCharType="separate"/>
      </w:r>
      <w:r>
        <w:rPr>
          <w:rFonts w:hint="eastAsia" w:ascii="宋体" w:hAnsi="宋体" w:eastAsia="宋体" w:cs="宋体"/>
          <w:highlight w:val="none"/>
        </w:rPr>
        <w:t>（十</w:t>
      </w:r>
      <w:r>
        <w:rPr>
          <w:rFonts w:hint="eastAsia" w:ascii="宋体" w:hAnsi="宋体" w:eastAsia="宋体" w:cs="宋体"/>
          <w:highlight w:val="none"/>
          <w:lang w:eastAsia="zh-CN"/>
        </w:rPr>
        <w:t>二</w:t>
      </w:r>
      <w:r>
        <w:rPr>
          <w:rFonts w:hint="eastAsia" w:ascii="宋体" w:hAnsi="宋体" w:eastAsia="宋体" w:cs="宋体"/>
          <w:highlight w:val="none"/>
        </w:rPr>
        <w:t>）废标</w:t>
      </w:r>
      <w:r>
        <w:rPr>
          <w:highlight w:val="none"/>
        </w:rPr>
        <w:tab/>
      </w:r>
      <w:r>
        <w:rPr>
          <w:highlight w:val="none"/>
        </w:rPr>
        <w:fldChar w:fldCharType="begin"/>
      </w:r>
      <w:r>
        <w:rPr>
          <w:highlight w:val="none"/>
        </w:rPr>
        <w:instrText xml:space="preserve"> PAGEREF _Toc25703 </w:instrText>
      </w:r>
      <w:r>
        <w:rPr>
          <w:highlight w:val="none"/>
        </w:rPr>
        <w:fldChar w:fldCharType="separate"/>
      </w:r>
      <w:r>
        <w:rPr>
          <w:highlight w:val="none"/>
        </w:rPr>
        <w:t>28</w:t>
      </w:r>
      <w:r>
        <w:rPr>
          <w:highlight w:val="none"/>
        </w:rPr>
        <w:fldChar w:fldCharType="end"/>
      </w:r>
      <w:r>
        <w:rPr>
          <w:rFonts w:hint="eastAsia" w:ascii="宋体" w:hAnsi="宋体" w:eastAsia="宋体" w:cs="宋体"/>
          <w:highlight w:val="none"/>
        </w:rPr>
        <w:fldChar w:fldCharType="end"/>
      </w:r>
    </w:p>
    <w:p>
      <w:pPr>
        <w:pStyle w:val="15"/>
        <w:tabs>
          <w:tab w:val="right" w:leader="dot" w:pos="9541"/>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_Toc30761 </w:instrText>
      </w:r>
      <w:r>
        <w:rPr>
          <w:rFonts w:hint="eastAsia" w:ascii="宋体" w:hAnsi="宋体" w:eastAsia="宋体" w:cs="宋体"/>
          <w:highlight w:val="none"/>
        </w:rPr>
        <w:fldChar w:fldCharType="separate"/>
      </w:r>
      <w:r>
        <w:rPr>
          <w:rFonts w:hint="eastAsia" w:ascii="宋体" w:hAnsi="宋体" w:eastAsia="宋体" w:cs="宋体"/>
          <w:highlight w:val="none"/>
        </w:rPr>
        <w:t>（十</w:t>
      </w:r>
      <w:r>
        <w:rPr>
          <w:rFonts w:hint="eastAsia" w:ascii="宋体" w:hAnsi="宋体" w:eastAsia="宋体" w:cs="宋体"/>
          <w:highlight w:val="none"/>
          <w:lang w:eastAsia="zh-CN"/>
        </w:rPr>
        <w:t>三</w:t>
      </w:r>
      <w:r>
        <w:rPr>
          <w:rFonts w:hint="eastAsia" w:ascii="宋体" w:hAnsi="宋体" w:eastAsia="宋体" w:cs="宋体"/>
          <w:highlight w:val="none"/>
        </w:rPr>
        <w:t>）质疑和投诉</w:t>
      </w:r>
      <w:r>
        <w:rPr>
          <w:highlight w:val="none"/>
        </w:rPr>
        <w:tab/>
      </w:r>
      <w:r>
        <w:rPr>
          <w:highlight w:val="none"/>
        </w:rPr>
        <w:fldChar w:fldCharType="begin"/>
      </w:r>
      <w:r>
        <w:rPr>
          <w:highlight w:val="none"/>
        </w:rPr>
        <w:instrText xml:space="preserve"> PAGEREF _Toc30761 </w:instrText>
      </w:r>
      <w:r>
        <w:rPr>
          <w:highlight w:val="none"/>
        </w:rPr>
        <w:fldChar w:fldCharType="separate"/>
      </w:r>
      <w:r>
        <w:rPr>
          <w:highlight w:val="none"/>
        </w:rPr>
        <w:t>28</w:t>
      </w:r>
      <w:r>
        <w:rPr>
          <w:highlight w:val="none"/>
        </w:rPr>
        <w:fldChar w:fldCharType="end"/>
      </w:r>
      <w:r>
        <w:rPr>
          <w:rFonts w:hint="eastAsia" w:ascii="宋体" w:hAnsi="宋体" w:eastAsia="宋体" w:cs="宋体"/>
          <w:highlight w:val="none"/>
        </w:rPr>
        <w:fldChar w:fldCharType="end"/>
      </w:r>
    </w:p>
    <w:p>
      <w:pPr>
        <w:pStyle w:val="13"/>
        <w:tabs>
          <w:tab w:val="right" w:leader="dot" w:pos="9541"/>
          <w:tab w:val="clear" w:pos="9400"/>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_Toc1184 </w:instrText>
      </w:r>
      <w:r>
        <w:rPr>
          <w:rFonts w:hint="eastAsia" w:ascii="宋体" w:hAnsi="宋体" w:eastAsia="宋体" w:cs="宋体"/>
          <w:highlight w:val="none"/>
        </w:rPr>
        <w:fldChar w:fldCharType="separate"/>
      </w:r>
      <w:r>
        <w:rPr>
          <w:rFonts w:hint="eastAsia" w:ascii="宋体" w:hAnsi="宋体" w:eastAsia="宋体" w:cs="宋体"/>
          <w:w w:val="95"/>
          <w:highlight w:val="none"/>
        </w:rPr>
        <w:t>第三章</w:t>
      </w:r>
      <w:r>
        <w:rPr>
          <w:rFonts w:hint="eastAsia" w:ascii="宋体" w:hAnsi="宋体" w:cs="宋体"/>
          <w:w w:val="95"/>
          <w:highlight w:val="none"/>
          <w:lang w:val="en-US" w:eastAsia="zh-CN"/>
        </w:rPr>
        <w:t xml:space="preserve"> </w:t>
      </w:r>
      <w:r>
        <w:rPr>
          <w:rFonts w:hint="eastAsia" w:ascii="宋体" w:hAnsi="宋体" w:eastAsia="宋体" w:cs="宋体"/>
          <w:spacing w:val="1"/>
          <w:highlight w:val="none"/>
        </w:rPr>
        <w:t>评标办法</w:t>
      </w:r>
      <w:r>
        <w:rPr>
          <w:highlight w:val="none"/>
        </w:rPr>
        <w:tab/>
      </w:r>
      <w:r>
        <w:rPr>
          <w:highlight w:val="none"/>
        </w:rPr>
        <w:fldChar w:fldCharType="begin"/>
      </w:r>
      <w:r>
        <w:rPr>
          <w:highlight w:val="none"/>
        </w:rPr>
        <w:instrText xml:space="preserve"> PAGEREF _Toc1184 </w:instrText>
      </w:r>
      <w:r>
        <w:rPr>
          <w:highlight w:val="none"/>
        </w:rPr>
        <w:fldChar w:fldCharType="separate"/>
      </w:r>
      <w:r>
        <w:rPr>
          <w:highlight w:val="none"/>
        </w:rPr>
        <w:t>31</w:t>
      </w:r>
      <w:r>
        <w:rPr>
          <w:highlight w:val="none"/>
        </w:rPr>
        <w:fldChar w:fldCharType="end"/>
      </w:r>
      <w:r>
        <w:rPr>
          <w:rFonts w:hint="eastAsia" w:ascii="宋体" w:hAnsi="宋体" w:eastAsia="宋体" w:cs="宋体"/>
          <w:highlight w:val="none"/>
        </w:rPr>
        <w:fldChar w:fldCharType="end"/>
      </w:r>
    </w:p>
    <w:p>
      <w:pPr>
        <w:pStyle w:val="13"/>
        <w:tabs>
          <w:tab w:val="right" w:leader="dot" w:pos="9541"/>
          <w:tab w:val="clear" w:pos="9400"/>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_Toc14707 </w:instrText>
      </w:r>
      <w:r>
        <w:rPr>
          <w:rFonts w:hint="eastAsia" w:ascii="宋体" w:hAnsi="宋体" w:eastAsia="宋体" w:cs="宋体"/>
          <w:highlight w:val="none"/>
        </w:rPr>
        <w:fldChar w:fldCharType="separate"/>
      </w:r>
      <w:r>
        <w:rPr>
          <w:rFonts w:hint="eastAsia" w:ascii="宋体" w:hAnsi="宋体" w:eastAsia="宋体" w:cs="宋体"/>
          <w:spacing w:val="1"/>
          <w:highlight w:val="none"/>
        </w:rPr>
        <w:t>第四章 磋商内容</w:t>
      </w:r>
      <w:r>
        <w:rPr>
          <w:highlight w:val="none"/>
        </w:rPr>
        <w:tab/>
      </w:r>
      <w:r>
        <w:rPr>
          <w:highlight w:val="none"/>
        </w:rPr>
        <w:fldChar w:fldCharType="begin"/>
      </w:r>
      <w:r>
        <w:rPr>
          <w:highlight w:val="none"/>
        </w:rPr>
        <w:instrText xml:space="preserve"> PAGEREF _Toc14707 </w:instrText>
      </w:r>
      <w:r>
        <w:rPr>
          <w:highlight w:val="none"/>
        </w:rPr>
        <w:fldChar w:fldCharType="separate"/>
      </w:r>
      <w:r>
        <w:rPr>
          <w:highlight w:val="none"/>
        </w:rPr>
        <w:t>42</w:t>
      </w:r>
      <w:r>
        <w:rPr>
          <w:highlight w:val="none"/>
        </w:rPr>
        <w:fldChar w:fldCharType="end"/>
      </w:r>
      <w:r>
        <w:rPr>
          <w:rFonts w:hint="eastAsia" w:ascii="宋体" w:hAnsi="宋体" w:eastAsia="宋体" w:cs="宋体"/>
          <w:highlight w:val="none"/>
        </w:rPr>
        <w:fldChar w:fldCharType="end"/>
      </w:r>
    </w:p>
    <w:p>
      <w:pPr>
        <w:pStyle w:val="13"/>
        <w:tabs>
          <w:tab w:val="right" w:pos="2400"/>
          <w:tab w:val="right" w:leader="dot" w:pos="9541"/>
          <w:tab w:val="clear" w:pos="9400"/>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_Toc14342 </w:instrText>
      </w:r>
      <w:r>
        <w:rPr>
          <w:rFonts w:hint="eastAsia" w:ascii="宋体" w:hAnsi="宋体" w:eastAsia="宋体" w:cs="宋体"/>
          <w:highlight w:val="none"/>
        </w:rPr>
        <w:fldChar w:fldCharType="separate"/>
      </w:r>
      <w:r>
        <w:rPr>
          <w:rFonts w:hint="eastAsia" w:ascii="宋体" w:hAnsi="宋体" w:eastAsia="宋体" w:cs="宋体"/>
          <w:highlight w:val="none"/>
        </w:rPr>
        <w:t>第五章</w:t>
      </w:r>
      <w:r>
        <w:rPr>
          <w:rFonts w:hint="eastAsia" w:ascii="宋体" w:hAnsi="宋体" w:cs="宋体"/>
          <w:highlight w:val="none"/>
          <w:lang w:val="en-US" w:eastAsia="zh-CN"/>
        </w:rPr>
        <w:t xml:space="preserve"> </w:t>
      </w:r>
      <w:r>
        <w:rPr>
          <w:rFonts w:hint="eastAsia" w:ascii="宋体" w:hAnsi="宋体" w:eastAsia="宋体" w:cs="宋体"/>
          <w:highlight w:val="none"/>
        </w:rPr>
        <w:tab/>
      </w:r>
      <w:r>
        <w:rPr>
          <w:rFonts w:hint="eastAsia" w:ascii="宋体" w:hAnsi="宋体" w:eastAsia="宋体" w:cs="宋体"/>
          <w:highlight w:val="none"/>
        </w:rPr>
        <w:t>合同条款及合同格式</w:t>
      </w:r>
      <w:r>
        <w:rPr>
          <w:highlight w:val="none"/>
        </w:rPr>
        <w:tab/>
      </w:r>
      <w:r>
        <w:rPr>
          <w:highlight w:val="none"/>
        </w:rPr>
        <w:fldChar w:fldCharType="begin"/>
      </w:r>
      <w:r>
        <w:rPr>
          <w:highlight w:val="none"/>
        </w:rPr>
        <w:instrText xml:space="preserve"> PAGEREF _Toc14342 </w:instrText>
      </w:r>
      <w:r>
        <w:rPr>
          <w:highlight w:val="none"/>
        </w:rPr>
        <w:fldChar w:fldCharType="separate"/>
      </w:r>
      <w:r>
        <w:rPr>
          <w:highlight w:val="none"/>
        </w:rPr>
        <w:t>53</w:t>
      </w:r>
      <w:r>
        <w:rPr>
          <w:highlight w:val="none"/>
        </w:rPr>
        <w:fldChar w:fldCharType="end"/>
      </w:r>
      <w:r>
        <w:rPr>
          <w:rFonts w:hint="eastAsia" w:ascii="宋体" w:hAnsi="宋体" w:eastAsia="宋体" w:cs="宋体"/>
          <w:highlight w:val="none"/>
        </w:rPr>
        <w:fldChar w:fldCharType="end"/>
      </w:r>
    </w:p>
    <w:p>
      <w:pPr>
        <w:pStyle w:val="13"/>
        <w:tabs>
          <w:tab w:val="right" w:pos="2400"/>
          <w:tab w:val="right" w:leader="dot" w:pos="9541"/>
          <w:tab w:val="clear" w:pos="9400"/>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_Toc8733 </w:instrText>
      </w:r>
      <w:r>
        <w:rPr>
          <w:rFonts w:hint="eastAsia" w:ascii="宋体" w:hAnsi="宋体" w:eastAsia="宋体" w:cs="宋体"/>
          <w:highlight w:val="none"/>
        </w:rPr>
        <w:fldChar w:fldCharType="separate"/>
      </w:r>
      <w:r>
        <w:rPr>
          <w:rFonts w:hint="eastAsia" w:ascii="宋体" w:hAnsi="宋体" w:eastAsia="宋体" w:cs="宋体"/>
          <w:w w:val="95"/>
          <w:highlight w:val="none"/>
        </w:rPr>
        <w:t>第六章</w:t>
      </w:r>
      <w:r>
        <w:rPr>
          <w:rFonts w:hint="eastAsia" w:ascii="宋体" w:hAnsi="宋体" w:eastAsia="宋体" w:cs="宋体"/>
          <w:w w:val="95"/>
          <w:highlight w:val="none"/>
        </w:rPr>
        <w:tab/>
      </w:r>
      <w:r>
        <w:rPr>
          <w:rFonts w:hint="eastAsia" w:ascii="宋体" w:hAnsi="宋体" w:cs="宋体"/>
          <w:w w:val="95"/>
          <w:highlight w:val="none"/>
          <w:lang w:val="en-US" w:eastAsia="zh-CN"/>
        </w:rPr>
        <w:t xml:space="preserve"> </w:t>
      </w:r>
      <w:r>
        <w:rPr>
          <w:rFonts w:hint="eastAsia" w:ascii="宋体" w:hAnsi="宋体" w:eastAsia="宋体" w:cs="宋体"/>
          <w:highlight w:val="none"/>
        </w:rPr>
        <w:t>磋商响应性文件格式</w:t>
      </w:r>
      <w:r>
        <w:rPr>
          <w:highlight w:val="none"/>
        </w:rPr>
        <w:tab/>
      </w:r>
      <w:r>
        <w:rPr>
          <w:highlight w:val="none"/>
        </w:rPr>
        <w:fldChar w:fldCharType="begin"/>
      </w:r>
      <w:r>
        <w:rPr>
          <w:highlight w:val="none"/>
        </w:rPr>
        <w:instrText xml:space="preserve"> PAGEREF _Toc8733 </w:instrText>
      </w:r>
      <w:r>
        <w:rPr>
          <w:highlight w:val="none"/>
        </w:rPr>
        <w:fldChar w:fldCharType="separate"/>
      </w:r>
      <w:r>
        <w:rPr>
          <w:highlight w:val="none"/>
        </w:rPr>
        <w:t>57</w:t>
      </w:r>
      <w:r>
        <w:rPr>
          <w:highlight w:val="none"/>
        </w:rPr>
        <w:fldChar w:fldCharType="end"/>
      </w:r>
      <w:r>
        <w:rPr>
          <w:rFonts w:hint="eastAsia" w:ascii="宋体" w:hAnsi="宋体" w:eastAsia="宋体" w:cs="宋体"/>
          <w:highlight w:val="none"/>
        </w:rPr>
        <w:fldChar w:fldCharType="end"/>
      </w:r>
    </w:p>
    <w:p>
      <w:pPr>
        <w:pStyle w:val="3"/>
        <w:rPr>
          <w:rFonts w:hint="eastAsia" w:ascii="宋体" w:hAnsi="宋体" w:eastAsia="宋体" w:cs="宋体"/>
          <w:highlight w:val="none"/>
        </w:rPr>
      </w:pPr>
      <w:r>
        <w:rPr>
          <w:rFonts w:hint="eastAsia" w:ascii="宋体" w:hAnsi="宋体" w:eastAsia="宋体" w:cs="宋体"/>
          <w:highlight w:val="none"/>
        </w:rPr>
        <w:fldChar w:fldCharType="end"/>
      </w:r>
      <w:bookmarkStart w:id="2" w:name="_Toc6155"/>
      <w:r>
        <w:rPr>
          <w:rFonts w:hint="eastAsia" w:ascii="宋体" w:hAnsi="宋体" w:eastAsia="宋体" w:cs="宋体"/>
          <w:highlight w:val="none"/>
        </w:rPr>
        <w:br w:type="page"/>
      </w:r>
      <w:r>
        <w:rPr>
          <w:rFonts w:hint="eastAsia" w:ascii="宋体" w:hAnsi="宋体" w:eastAsia="宋体" w:cs="宋体"/>
          <w:highlight w:val="none"/>
        </w:rPr>
        <w:t xml:space="preserve"> </w:t>
      </w:r>
      <w:r>
        <w:rPr>
          <w:rFonts w:hint="eastAsia" w:ascii="宋体" w:hAnsi="宋体" w:eastAsia="宋体" w:cs="宋体"/>
          <w:w w:val="95"/>
          <w:highlight w:val="none"/>
        </w:rPr>
        <w:t>第一章</w:t>
      </w:r>
      <w:r>
        <w:rPr>
          <w:rFonts w:hint="eastAsia" w:ascii="宋体" w:hAnsi="宋体" w:eastAsia="宋体" w:cs="宋体"/>
          <w:w w:val="95"/>
          <w:highlight w:val="none"/>
          <w:lang w:val="en-US" w:eastAsia="zh-CN"/>
        </w:rPr>
        <w:t xml:space="preserve"> </w:t>
      </w:r>
      <w:r>
        <w:rPr>
          <w:rFonts w:hint="eastAsia" w:ascii="宋体" w:hAnsi="宋体" w:eastAsia="宋体" w:cs="宋体"/>
          <w:highlight w:val="none"/>
        </w:rPr>
        <w:t>投标邀请书</w:t>
      </w:r>
      <w:bookmarkEnd w:id="2"/>
    </w:p>
    <w:p>
      <w:pPr>
        <w:pStyle w:val="3"/>
        <w:tabs>
          <w:tab w:val="left" w:pos="0"/>
        </w:tabs>
        <w:autoSpaceDE w:val="0"/>
        <w:autoSpaceDN w:val="0"/>
        <w:adjustRightInd w:val="0"/>
        <w:spacing w:before="0" w:after="0" w:line="360" w:lineRule="auto"/>
        <w:jc w:val="center"/>
        <w:rPr>
          <w:rFonts w:ascii="华文中宋" w:hAnsi="华文中宋" w:eastAsia="华文中宋"/>
          <w:highlight w:val="none"/>
        </w:rPr>
      </w:pPr>
      <w:bookmarkStart w:id="3" w:name="_Toc15730"/>
      <w:bookmarkStart w:id="4" w:name="_Toc28359011"/>
      <w:bookmarkStart w:id="5" w:name="_Toc35393797"/>
      <w:r>
        <w:rPr>
          <w:rFonts w:hint="eastAsia" w:ascii="华文中宋" w:hAnsi="华文中宋" w:eastAsia="华文中宋"/>
          <w:highlight w:val="none"/>
        </w:rPr>
        <w:t>竞争性磋商公告</w:t>
      </w:r>
      <w:bookmarkEnd w:id="3"/>
      <w:bookmarkEnd w:id="4"/>
      <w:bookmarkEnd w:id="5"/>
    </w:p>
    <w:p>
      <w:pPr>
        <w:rPr>
          <w:highlight w:val="none"/>
        </w:rPr>
      </w:pPr>
    </w:p>
    <w:p>
      <w:pPr>
        <w:pBdr>
          <w:top w:val="single" w:color="auto" w:sz="4" w:space="1"/>
          <w:left w:val="single" w:color="auto" w:sz="4" w:space="4"/>
          <w:bottom w:val="single" w:color="auto" w:sz="4" w:space="1"/>
          <w:right w:val="single" w:color="auto" w:sz="4" w:space="4"/>
        </w:pBdr>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项目概况</w:t>
      </w:r>
    </w:p>
    <w:p>
      <w:pPr>
        <w:pBdr>
          <w:top w:val="single" w:color="auto" w:sz="4" w:space="1"/>
          <w:left w:val="single" w:color="auto" w:sz="4" w:space="4"/>
          <w:bottom w:val="single" w:color="auto" w:sz="4" w:space="1"/>
          <w:right w:val="single" w:color="auto" w:sz="4" w:space="4"/>
        </w:pBdr>
        <w:ind w:firstLine="560" w:firstLineChars="200"/>
        <w:rPr>
          <w:rFonts w:hint="eastAsia" w:ascii="宋体" w:hAnsi="宋体" w:eastAsia="宋体" w:cs="宋体"/>
          <w:sz w:val="28"/>
          <w:szCs w:val="28"/>
          <w:highlight w:val="none"/>
        </w:rPr>
      </w:pPr>
      <w:r>
        <w:rPr>
          <w:rFonts w:hint="eastAsia" w:ascii="宋体" w:hAnsi="宋体" w:cs="宋体"/>
          <w:sz w:val="28"/>
          <w:szCs w:val="28"/>
          <w:highlight w:val="none"/>
          <w:u w:val="single"/>
          <w:lang w:eastAsia="zh-CN"/>
        </w:rPr>
        <w:t>自治区文化和旅游互联网自主监管与服务系统项目</w:t>
      </w:r>
      <w:r>
        <w:rPr>
          <w:rFonts w:hint="eastAsia" w:ascii="宋体" w:hAnsi="宋体" w:eastAsia="宋体" w:cs="宋体"/>
          <w:sz w:val="28"/>
          <w:szCs w:val="28"/>
          <w:highlight w:val="none"/>
        </w:rPr>
        <w:t>采购项目的潜在供应商应在（</w:t>
      </w:r>
      <w:r>
        <w:rPr>
          <w:rFonts w:hint="eastAsia" w:ascii="宋体" w:hAnsi="宋体" w:eastAsia="宋体" w:cs="宋体"/>
          <w:sz w:val="28"/>
          <w:szCs w:val="28"/>
          <w:highlight w:val="none"/>
          <w:lang w:eastAsia="zh-CN"/>
        </w:rPr>
        <w:t>乌鲁木齐市水磨沟区龙盛街2799号浙商大厦11楼</w:t>
      </w:r>
      <w:r>
        <w:rPr>
          <w:rFonts w:hint="eastAsia" w:ascii="宋体" w:hAnsi="宋体" w:eastAsia="宋体" w:cs="宋体"/>
          <w:sz w:val="28"/>
          <w:szCs w:val="28"/>
          <w:highlight w:val="none"/>
          <w:lang w:val="en-US" w:eastAsia="zh-CN"/>
        </w:rPr>
        <w:t>招标一部</w:t>
      </w:r>
      <w:r>
        <w:rPr>
          <w:rFonts w:hint="eastAsia" w:ascii="宋体" w:hAnsi="宋体" w:eastAsia="宋体" w:cs="宋体"/>
          <w:sz w:val="28"/>
          <w:szCs w:val="28"/>
          <w:highlight w:val="none"/>
        </w:rPr>
        <w:t>）获取采购文件，并于</w:t>
      </w:r>
      <w:r>
        <w:rPr>
          <w:rFonts w:hint="eastAsia" w:ascii="宋体" w:hAnsi="宋体" w:eastAsia="宋体" w:cs="宋体"/>
          <w:i w:val="0"/>
          <w:iCs w:val="0"/>
          <w:sz w:val="24"/>
          <w:szCs w:val="24"/>
          <w:highlight w:val="none"/>
          <w:u w:val="single"/>
          <w:lang w:val="en-US" w:eastAsia="zh-CN"/>
        </w:rPr>
        <w:t>202</w:t>
      </w:r>
      <w:r>
        <w:rPr>
          <w:rFonts w:hint="eastAsia" w:ascii="宋体" w:hAnsi="宋体" w:cs="宋体"/>
          <w:i w:val="0"/>
          <w:iCs w:val="0"/>
          <w:sz w:val="24"/>
          <w:szCs w:val="24"/>
          <w:highlight w:val="none"/>
          <w:u w:val="single"/>
          <w:lang w:val="en-US" w:eastAsia="zh-CN"/>
        </w:rPr>
        <w:t>2</w:t>
      </w:r>
      <w:r>
        <w:rPr>
          <w:rFonts w:hint="eastAsia" w:ascii="宋体" w:hAnsi="宋体" w:eastAsia="宋体" w:cs="宋体"/>
          <w:bCs/>
          <w:i w:val="0"/>
          <w:iCs w:val="0"/>
          <w:sz w:val="24"/>
          <w:szCs w:val="24"/>
          <w:highlight w:val="none"/>
          <w:u w:val="single"/>
        </w:rPr>
        <w:t>年</w:t>
      </w:r>
      <w:r>
        <w:rPr>
          <w:rFonts w:hint="eastAsia" w:ascii="宋体" w:hAnsi="宋体" w:cs="宋体"/>
          <w:bCs/>
          <w:i w:val="0"/>
          <w:iCs w:val="0"/>
          <w:sz w:val="24"/>
          <w:szCs w:val="24"/>
          <w:highlight w:val="none"/>
          <w:u w:val="single"/>
          <w:lang w:val="en-US" w:eastAsia="zh-CN"/>
        </w:rPr>
        <w:t>11月</w:t>
      </w:r>
      <w:r>
        <w:rPr>
          <w:rFonts w:hint="eastAsia" w:ascii="宋体" w:hAnsi="宋体" w:cs="宋体"/>
          <w:bCs/>
          <w:i w:val="0"/>
          <w:iCs w:val="0"/>
          <w:sz w:val="24"/>
          <w:szCs w:val="24"/>
          <w:highlight w:val="yellow"/>
          <w:u w:val="single"/>
          <w:lang w:val="en-US" w:eastAsia="zh-CN"/>
        </w:rPr>
        <w:t>01</w:t>
      </w:r>
      <w:r>
        <w:rPr>
          <w:rFonts w:hint="eastAsia" w:ascii="宋体" w:hAnsi="宋体" w:eastAsia="宋体" w:cs="宋体"/>
          <w:bCs/>
          <w:i w:val="0"/>
          <w:iCs w:val="0"/>
          <w:sz w:val="24"/>
          <w:szCs w:val="24"/>
          <w:highlight w:val="none"/>
          <w:u w:val="single"/>
        </w:rPr>
        <w:t>日</w:t>
      </w:r>
      <w:r>
        <w:rPr>
          <w:rFonts w:hint="eastAsia" w:ascii="宋体" w:hAnsi="宋体" w:eastAsia="宋体" w:cs="宋体"/>
          <w:bCs/>
          <w:i w:val="0"/>
          <w:iCs w:val="0"/>
          <w:sz w:val="24"/>
          <w:szCs w:val="24"/>
          <w:highlight w:val="yellow"/>
          <w:u w:val="single"/>
          <w:lang w:val="en-US" w:eastAsia="zh-CN"/>
        </w:rPr>
        <w:t>1</w:t>
      </w:r>
      <w:r>
        <w:rPr>
          <w:rFonts w:hint="eastAsia" w:ascii="宋体" w:hAnsi="宋体" w:cs="宋体"/>
          <w:bCs/>
          <w:i w:val="0"/>
          <w:iCs w:val="0"/>
          <w:sz w:val="24"/>
          <w:szCs w:val="24"/>
          <w:highlight w:val="yellow"/>
          <w:u w:val="single"/>
          <w:lang w:val="en-US" w:eastAsia="zh-CN"/>
        </w:rPr>
        <w:t>6</w:t>
      </w:r>
      <w:r>
        <w:rPr>
          <w:rFonts w:hint="eastAsia" w:ascii="宋体" w:hAnsi="宋体" w:eastAsia="宋体" w:cs="宋体"/>
          <w:bCs/>
          <w:i w:val="0"/>
          <w:iCs w:val="0"/>
          <w:sz w:val="24"/>
          <w:szCs w:val="24"/>
          <w:highlight w:val="yellow"/>
          <w:u w:val="single"/>
        </w:rPr>
        <w:t>点</w:t>
      </w:r>
      <w:r>
        <w:rPr>
          <w:rFonts w:hint="eastAsia" w:ascii="宋体" w:hAnsi="宋体" w:cs="宋体"/>
          <w:bCs/>
          <w:i w:val="0"/>
          <w:iCs w:val="0"/>
          <w:sz w:val="24"/>
          <w:szCs w:val="24"/>
          <w:highlight w:val="yellow"/>
          <w:u w:val="single"/>
          <w:lang w:val="en-US" w:eastAsia="zh-CN"/>
        </w:rPr>
        <w:t>0</w:t>
      </w:r>
      <w:r>
        <w:rPr>
          <w:rFonts w:hint="eastAsia" w:ascii="宋体" w:hAnsi="宋体" w:eastAsia="宋体" w:cs="宋体"/>
          <w:bCs/>
          <w:i w:val="0"/>
          <w:iCs w:val="0"/>
          <w:sz w:val="24"/>
          <w:szCs w:val="24"/>
          <w:highlight w:val="yellow"/>
          <w:u w:val="single"/>
          <w:lang w:val="en-US" w:eastAsia="zh-CN"/>
        </w:rPr>
        <w:t>0</w:t>
      </w:r>
      <w:r>
        <w:rPr>
          <w:rFonts w:hint="eastAsia" w:ascii="宋体" w:hAnsi="宋体" w:eastAsia="宋体" w:cs="宋体"/>
          <w:bCs/>
          <w:i w:val="0"/>
          <w:iCs w:val="0"/>
          <w:sz w:val="24"/>
          <w:szCs w:val="24"/>
          <w:highlight w:val="yellow"/>
          <w:u w:val="single"/>
        </w:rPr>
        <w:t>分</w:t>
      </w:r>
      <w:r>
        <w:rPr>
          <w:rFonts w:hint="eastAsia" w:ascii="宋体" w:hAnsi="宋体" w:eastAsia="宋体" w:cs="宋体"/>
          <w:bCs/>
          <w:sz w:val="28"/>
          <w:szCs w:val="28"/>
          <w:highlight w:val="none"/>
        </w:rPr>
        <w:t>（北京时间）前提交响应文件</w:t>
      </w:r>
      <w:r>
        <w:rPr>
          <w:rFonts w:hint="eastAsia" w:ascii="宋体" w:hAnsi="宋体" w:eastAsia="宋体" w:cs="宋体"/>
          <w:sz w:val="28"/>
          <w:szCs w:val="28"/>
          <w:highlight w:val="none"/>
        </w:rPr>
        <w:t>。</w:t>
      </w:r>
    </w:p>
    <w:p>
      <w:pPr>
        <w:rPr>
          <w:highlight w:val="none"/>
        </w:rPr>
      </w:pPr>
    </w:p>
    <w:p>
      <w:pPr>
        <w:spacing w:line="360" w:lineRule="auto"/>
        <w:jc w:val="left"/>
        <w:outlineLvl w:val="9"/>
        <w:rPr>
          <w:rFonts w:ascii="黑体" w:hAnsi="黑体" w:cs="宋体"/>
          <w:b/>
          <w:bCs w:val="0"/>
          <w:sz w:val="28"/>
          <w:szCs w:val="28"/>
          <w:highlight w:val="none"/>
        </w:rPr>
      </w:pPr>
      <w:bookmarkStart w:id="6" w:name="_Toc28359012"/>
      <w:bookmarkStart w:id="7" w:name="_Toc35393798"/>
      <w:bookmarkStart w:id="8" w:name="_Toc28359089"/>
      <w:bookmarkStart w:id="9" w:name="_Toc35393629"/>
      <w:r>
        <w:rPr>
          <w:rFonts w:hint="eastAsia" w:ascii="黑体" w:hAnsi="黑体" w:cs="宋体"/>
          <w:b/>
          <w:bCs w:val="0"/>
          <w:sz w:val="28"/>
          <w:szCs w:val="28"/>
          <w:highlight w:val="none"/>
        </w:rPr>
        <w:t>一、项目基本情况</w:t>
      </w:r>
      <w:bookmarkEnd w:id="6"/>
      <w:bookmarkEnd w:id="7"/>
      <w:bookmarkEnd w:id="8"/>
      <w:bookmarkEnd w:id="9"/>
    </w:p>
    <w:p>
      <w:pPr>
        <w:pageBreakBefore w:val="0"/>
        <w:widowControl w:val="0"/>
        <w:kinsoku/>
        <w:wordWrap/>
        <w:overflowPunct/>
        <w:topLinePunct w:val="0"/>
        <w:bidi w:val="0"/>
        <w:snapToGrid/>
        <w:spacing w:line="360" w:lineRule="auto"/>
        <w:ind w:left="0" w:leftChars="0" w:firstLine="482" w:firstLineChars="200"/>
        <w:textAlignment w:val="auto"/>
        <w:rPr>
          <w:rFonts w:hint="default" w:ascii="宋体" w:hAnsi="宋体" w:eastAsia="宋体" w:cs="宋体"/>
          <w:b w:val="0"/>
          <w:bCs w:val="0"/>
          <w:i w:val="0"/>
          <w:iCs w:val="0"/>
          <w:sz w:val="24"/>
          <w:szCs w:val="24"/>
          <w:highlight w:val="yellow"/>
          <w:lang w:val="en-US" w:eastAsia="zh-CN"/>
        </w:rPr>
      </w:pPr>
      <w:r>
        <w:rPr>
          <w:rFonts w:hint="eastAsia" w:ascii="宋体" w:hAnsi="宋体" w:eastAsia="宋体" w:cs="宋体"/>
          <w:b/>
          <w:bCs/>
          <w:i w:val="0"/>
          <w:iCs w:val="0"/>
          <w:sz w:val="24"/>
          <w:szCs w:val="24"/>
          <w:highlight w:val="none"/>
          <w:lang w:val="en-US" w:eastAsia="zh-CN"/>
        </w:rPr>
        <w:t>项目编号：</w:t>
      </w:r>
      <w:r>
        <w:rPr>
          <w:rFonts w:hint="eastAsia" w:ascii="宋体" w:hAnsi="宋体" w:cs="宋体"/>
          <w:b w:val="0"/>
          <w:bCs w:val="0"/>
          <w:i w:val="0"/>
          <w:iCs w:val="0"/>
          <w:sz w:val="24"/>
          <w:szCs w:val="24"/>
          <w:highlight w:val="yellow"/>
          <w:lang w:val="en-US" w:eastAsia="zh-CN"/>
        </w:rPr>
        <w:t>XJTZY2022-1-C0060</w:t>
      </w:r>
    </w:p>
    <w:p>
      <w:pPr>
        <w:pageBreakBefore w:val="0"/>
        <w:widowControl w:val="0"/>
        <w:kinsoku/>
        <w:wordWrap/>
        <w:overflowPunct/>
        <w:topLinePunct w:val="0"/>
        <w:bidi w:val="0"/>
        <w:snapToGrid/>
        <w:spacing w:line="360" w:lineRule="auto"/>
        <w:ind w:left="0" w:leftChars="0" w:firstLine="482" w:firstLineChars="200"/>
        <w:textAlignment w:val="auto"/>
        <w:rPr>
          <w:rFonts w:hint="eastAsia" w:ascii="宋体" w:hAnsi="宋体" w:cs="宋体"/>
          <w:b w:val="0"/>
          <w:bCs w:val="0"/>
          <w:i w:val="0"/>
          <w:iCs w:val="0"/>
          <w:sz w:val="24"/>
          <w:szCs w:val="24"/>
          <w:highlight w:val="none"/>
          <w:lang w:val="en-US" w:eastAsia="zh-CN"/>
        </w:rPr>
      </w:pPr>
      <w:r>
        <w:rPr>
          <w:rFonts w:hint="eastAsia" w:ascii="宋体" w:hAnsi="宋体" w:eastAsia="宋体" w:cs="宋体"/>
          <w:b/>
          <w:bCs/>
          <w:i w:val="0"/>
          <w:iCs w:val="0"/>
          <w:sz w:val="24"/>
          <w:szCs w:val="24"/>
          <w:highlight w:val="none"/>
          <w:lang w:val="en-US" w:eastAsia="zh-CN"/>
        </w:rPr>
        <w:t>项目名称：</w:t>
      </w:r>
      <w:r>
        <w:rPr>
          <w:rFonts w:hint="eastAsia" w:ascii="宋体" w:hAnsi="宋体" w:cs="宋体"/>
          <w:b w:val="0"/>
          <w:bCs w:val="0"/>
          <w:i w:val="0"/>
          <w:iCs w:val="0"/>
          <w:sz w:val="24"/>
          <w:szCs w:val="24"/>
          <w:highlight w:val="none"/>
          <w:lang w:val="en-US" w:eastAsia="zh-CN"/>
        </w:rPr>
        <w:t>自治区文化和旅游互联网自主监管与服务系统项目</w:t>
      </w:r>
    </w:p>
    <w:p>
      <w:pPr>
        <w:pageBreakBefore w:val="0"/>
        <w:widowControl w:val="0"/>
        <w:kinsoku/>
        <w:wordWrap/>
        <w:overflowPunct/>
        <w:topLinePunct w:val="0"/>
        <w:bidi w:val="0"/>
        <w:snapToGrid/>
        <w:spacing w:line="360" w:lineRule="auto"/>
        <w:ind w:left="0" w:leftChars="0" w:firstLine="482" w:firstLineChars="200"/>
        <w:textAlignment w:val="auto"/>
        <w:rPr>
          <w:rFonts w:hint="eastAsia" w:ascii="宋体" w:hAnsi="宋体" w:eastAsia="宋体" w:cs="宋体"/>
          <w:b w:val="0"/>
          <w:bCs w:val="0"/>
          <w:i w:val="0"/>
          <w:iCs w:val="0"/>
          <w:sz w:val="24"/>
          <w:szCs w:val="24"/>
          <w:highlight w:val="none"/>
          <w:lang w:val="en-US" w:eastAsia="zh-CN"/>
        </w:rPr>
      </w:pPr>
      <w:r>
        <w:rPr>
          <w:rFonts w:hint="eastAsia" w:ascii="宋体" w:hAnsi="宋体" w:eastAsia="宋体" w:cs="宋体"/>
          <w:b/>
          <w:bCs/>
          <w:i w:val="0"/>
          <w:iCs w:val="0"/>
          <w:sz w:val="24"/>
          <w:szCs w:val="24"/>
          <w:highlight w:val="none"/>
          <w:lang w:val="en-US" w:eastAsia="zh-CN"/>
        </w:rPr>
        <w:t>采购方式：</w:t>
      </w:r>
      <w:r>
        <w:rPr>
          <w:rFonts w:hint="eastAsia" w:ascii="宋体" w:hAnsi="宋体" w:eastAsia="宋体" w:cs="宋体"/>
          <w:b w:val="0"/>
          <w:bCs w:val="0"/>
          <w:i w:val="0"/>
          <w:iCs w:val="0"/>
          <w:sz w:val="24"/>
          <w:szCs w:val="24"/>
          <w:highlight w:val="none"/>
          <w:lang w:val="en-US" w:eastAsia="zh-CN"/>
        </w:rPr>
        <w:t>竞争性磋商</w:t>
      </w:r>
    </w:p>
    <w:p>
      <w:pPr>
        <w:pageBreakBefore w:val="0"/>
        <w:widowControl w:val="0"/>
        <w:kinsoku/>
        <w:wordWrap/>
        <w:overflowPunct/>
        <w:topLinePunct w:val="0"/>
        <w:bidi w:val="0"/>
        <w:snapToGrid/>
        <w:spacing w:line="360" w:lineRule="auto"/>
        <w:ind w:left="0" w:leftChars="0" w:firstLine="482" w:firstLineChars="200"/>
        <w:textAlignment w:val="auto"/>
        <w:rPr>
          <w:rFonts w:hint="default" w:ascii="宋体" w:hAnsi="宋体" w:eastAsia="宋体" w:cs="宋体"/>
          <w:b/>
          <w:bCs/>
          <w:i w:val="0"/>
          <w:iCs w:val="0"/>
          <w:sz w:val="24"/>
          <w:szCs w:val="24"/>
          <w:highlight w:val="none"/>
          <w:lang w:val="en-US" w:eastAsia="zh-CN"/>
        </w:rPr>
      </w:pPr>
      <w:r>
        <w:rPr>
          <w:rFonts w:hint="eastAsia" w:ascii="宋体" w:hAnsi="宋体" w:eastAsia="宋体" w:cs="宋体"/>
          <w:b/>
          <w:bCs/>
          <w:i w:val="0"/>
          <w:iCs w:val="0"/>
          <w:sz w:val="24"/>
          <w:szCs w:val="24"/>
          <w:highlight w:val="none"/>
          <w:lang w:val="en-US" w:eastAsia="zh-CN"/>
        </w:rPr>
        <w:t>预算金额：</w:t>
      </w:r>
      <w:r>
        <w:rPr>
          <w:rFonts w:hint="eastAsia" w:ascii="宋体" w:hAnsi="宋体" w:cs="宋体"/>
          <w:b w:val="0"/>
          <w:bCs w:val="0"/>
          <w:i w:val="0"/>
          <w:iCs w:val="0"/>
          <w:sz w:val="24"/>
          <w:szCs w:val="24"/>
          <w:highlight w:val="none"/>
          <w:lang w:val="en-US" w:eastAsia="zh-CN"/>
        </w:rPr>
        <w:t>30万元</w:t>
      </w:r>
    </w:p>
    <w:p>
      <w:pPr>
        <w:pageBreakBefore w:val="0"/>
        <w:widowControl w:val="0"/>
        <w:kinsoku/>
        <w:wordWrap/>
        <w:overflowPunct/>
        <w:topLinePunct w:val="0"/>
        <w:bidi w:val="0"/>
        <w:snapToGrid/>
        <w:spacing w:line="360" w:lineRule="auto"/>
        <w:ind w:left="0" w:leftChars="0" w:firstLine="482" w:firstLineChars="200"/>
        <w:textAlignment w:val="auto"/>
        <w:rPr>
          <w:rFonts w:hint="eastAsia" w:ascii="宋体" w:hAnsi="宋体" w:eastAsia="宋体" w:cs="宋体"/>
          <w:b w:val="0"/>
          <w:bCs w:val="0"/>
          <w:i w:val="0"/>
          <w:iCs w:val="0"/>
          <w:sz w:val="24"/>
          <w:szCs w:val="24"/>
          <w:highlight w:val="none"/>
          <w:lang w:val="en-US" w:eastAsia="zh-CN"/>
        </w:rPr>
      </w:pPr>
      <w:r>
        <w:rPr>
          <w:rFonts w:hint="eastAsia" w:ascii="宋体" w:hAnsi="宋体" w:eastAsia="宋体" w:cs="宋体"/>
          <w:b/>
          <w:bCs/>
          <w:i w:val="0"/>
          <w:iCs w:val="0"/>
          <w:sz w:val="24"/>
          <w:szCs w:val="24"/>
          <w:highlight w:val="none"/>
          <w:lang w:val="en-US" w:eastAsia="zh-CN"/>
        </w:rPr>
        <w:t>采购需求：</w:t>
      </w:r>
      <w:r>
        <w:rPr>
          <w:rFonts w:hint="eastAsia" w:ascii="宋体" w:hAnsi="宋体" w:eastAsia="宋体" w:cs="宋体"/>
          <w:b w:val="0"/>
          <w:bCs w:val="0"/>
          <w:i w:val="0"/>
          <w:iCs w:val="0"/>
          <w:sz w:val="24"/>
          <w:szCs w:val="24"/>
          <w:highlight w:val="none"/>
          <w:lang w:val="en-US" w:eastAsia="zh-CN"/>
        </w:rPr>
        <w:t>依托我厅“新疆文旅投诉”平台整体架构打造互联网文旅自主监管与服务系统，构建大数据监管体系，开启主动监管、精准监管、创新监管和高质量监管的新局面。通过建设互联网文旅自主监管与服务系统，承载互联网文旅市场基础数据以及互联网文旅领域的涉嫌违法违规行为线索。同时，通过大数据分析、人工智能等信息化手段进行建库搜索、建模分析、以及数据流转等操作，实现互联网文旅领域的事中事后监管及事前预警分析,具体内容详细说明见磋商文件。</w:t>
      </w:r>
    </w:p>
    <w:p>
      <w:pPr>
        <w:pageBreakBefore w:val="0"/>
        <w:widowControl w:val="0"/>
        <w:kinsoku/>
        <w:wordWrap/>
        <w:overflowPunct/>
        <w:topLinePunct w:val="0"/>
        <w:bidi w:val="0"/>
        <w:snapToGrid/>
        <w:spacing w:line="360" w:lineRule="auto"/>
        <w:ind w:left="0" w:leftChars="0" w:firstLine="482" w:firstLineChars="200"/>
        <w:textAlignment w:val="auto"/>
        <w:rPr>
          <w:rFonts w:hint="default" w:ascii="宋体" w:hAnsi="宋体" w:eastAsia="宋体" w:cs="宋体"/>
          <w:b/>
          <w:bCs/>
          <w:i w:val="0"/>
          <w:iCs w:val="0"/>
          <w:sz w:val="24"/>
          <w:szCs w:val="24"/>
          <w:highlight w:val="none"/>
          <w:lang w:val="en-US" w:eastAsia="zh-CN"/>
        </w:rPr>
      </w:pPr>
      <w:r>
        <w:rPr>
          <w:rFonts w:hint="eastAsia" w:ascii="宋体" w:hAnsi="宋体" w:cs="宋体"/>
          <w:b/>
          <w:bCs/>
          <w:i w:val="0"/>
          <w:iCs w:val="0"/>
          <w:sz w:val="24"/>
          <w:szCs w:val="24"/>
          <w:highlight w:val="none"/>
          <w:lang w:val="en-US" w:eastAsia="zh-CN"/>
        </w:rPr>
        <w:t>项目服务</w:t>
      </w:r>
      <w:r>
        <w:rPr>
          <w:rFonts w:hint="eastAsia" w:ascii="宋体" w:hAnsi="宋体" w:eastAsia="宋体" w:cs="宋体"/>
          <w:b/>
          <w:bCs/>
          <w:i w:val="0"/>
          <w:iCs w:val="0"/>
          <w:sz w:val="24"/>
          <w:szCs w:val="24"/>
          <w:highlight w:val="none"/>
          <w:lang w:val="en-US" w:eastAsia="zh-CN"/>
        </w:rPr>
        <w:t>期</w:t>
      </w:r>
      <w:r>
        <w:rPr>
          <w:rFonts w:hint="eastAsia" w:ascii="宋体" w:hAnsi="宋体" w:cs="宋体"/>
          <w:b/>
          <w:bCs/>
          <w:i w:val="0"/>
          <w:iCs w:val="0"/>
          <w:sz w:val="24"/>
          <w:szCs w:val="24"/>
          <w:highlight w:val="none"/>
          <w:lang w:val="en-US" w:eastAsia="zh-CN"/>
        </w:rPr>
        <w:t>：</w:t>
      </w:r>
      <w:r>
        <w:rPr>
          <w:rFonts w:hint="eastAsia" w:ascii="宋体" w:hAnsi="宋体" w:cs="宋体"/>
          <w:b w:val="0"/>
          <w:bCs w:val="0"/>
          <w:i w:val="0"/>
          <w:iCs w:val="0"/>
          <w:sz w:val="24"/>
          <w:szCs w:val="24"/>
          <w:highlight w:val="none"/>
          <w:lang w:val="en-US" w:eastAsia="zh-CN"/>
        </w:rPr>
        <w:t>自合同签订之日起3个月内完成系统开发并上线运行。</w:t>
      </w:r>
      <w:r>
        <w:rPr>
          <w:rFonts w:hint="eastAsia" w:ascii="宋体" w:hAnsi="宋体" w:cs="宋体"/>
          <w:b/>
          <w:bCs/>
          <w:i w:val="0"/>
          <w:iCs w:val="0"/>
          <w:sz w:val="24"/>
          <w:szCs w:val="24"/>
          <w:highlight w:val="none"/>
          <w:lang w:val="en-US" w:eastAsia="zh-CN"/>
        </w:rPr>
        <w:t xml:space="preserve"> </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sz w:val="24"/>
          <w:szCs w:val="24"/>
          <w:highlight w:val="none"/>
          <w:lang w:val="en-US" w:eastAsia="zh-CN"/>
        </w:rPr>
      </w:pPr>
      <w:r>
        <w:rPr>
          <w:rFonts w:hint="eastAsia" w:ascii="宋体" w:hAnsi="宋体" w:eastAsia="宋体" w:cs="宋体"/>
          <w:b w:val="0"/>
          <w:bCs w:val="0"/>
          <w:i w:val="0"/>
          <w:iCs w:val="0"/>
          <w:sz w:val="24"/>
          <w:szCs w:val="24"/>
          <w:highlight w:val="none"/>
          <w:lang w:val="en-US" w:eastAsia="zh-CN"/>
        </w:rPr>
        <w:t>本项目不接受联合体。</w:t>
      </w:r>
    </w:p>
    <w:p>
      <w:pPr>
        <w:spacing w:line="360" w:lineRule="auto"/>
        <w:jc w:val="both"/>
        <w:outlineLvl w:val="9"/>
        <w:rPr>
          <w:rFonts w:ascii="黑体" w:hAnsi="黑体" w:cs="宋体"/>
          <w:b/>
          <w:bCs w:val="0"/>
          <w:sz w:val="28"/>
          <w:szCs w:val="28"/>
          <w:highlight w:val="none"/>
        </w:rPr>
      </w:pPr>
      <w:bookmarkStart w:id="10" w:name="_Toc35393630"/>
      <w:bookmarkStart w:id="11" w:name="_Toc35393799"/>
      <w:bookmarkStart w:id="12" w:name="_Toc28359090"/>
      <w:bookmarkStart w:id="13" w:name="_Toc28359013"/>
      <w:r>
        <w:rPr>
          <w:rFonts w:hint="eastAsia" w:ascii="黑体" w:hAnsi="黑体" w:cs="宋体"/>
          <w:b/>
          <w:bCs w:val="0"/>
          <w:sz w:val="28"/>
          <w:szCs w:val="28"/>
          <w:highlight w:val="none"/>
        </w:rPr>
        <w:t>二、申请人的资格要求：</w:t>
      </w:r>
      <w:bookmarkEnd w:id="10"/>
      <w:bookmarkEnd w:id="11"/>
      <w:bookmarkEnd w:id="12"/>
      <w:bookmarkEnd w:id="13"/>
    </w:p>
    <w:p>
      <w:pPr>
        <w:pageBreakBefore w:val="0"/>
        <w:widowControl w:val="0"/>
        <w:kinsoku/>
        <w:wordWrap/>
        <w:overflowPunct/>
        <w:topLinePunct w:val="0"/>
        <w:bidi w:val="0"/>
        <w:snapToGrid/>
        <w:spacing w:line="360" w:lineRule="auto"/>
        <w:ind w:left="0" w:leftChars="0" w:firstLine="482" w:firstLineChars="200"/>
        <w:textAlignment w:val="auto"/>
        <w:rPr>
          <w:rFonts w:hint="eastAsia" w:ascii="宋体" w:hAnsi="宋体" w:cs="宋体"/>
          <w:b/>
          <w:bCs/>
          <w:i w:val="0"/>
          <w:iCs w:val="0"/>
          <w:sz w:val="24"/>
          <w:szCs w:val="24"/>
          <w:highlight w:val="none"/>
          <w:lang w:eastAsia="zh-CN"/>
        </w:rPr>
      </w:pPr>
      <w:bookmarkStart w:id="14" w:name="_Toc35393800"/>
      <w:bookmarkStart w:id="15" w:name="_Toc35393631"/>
      <w:bookmarkStart w:id="16" w:name="_Toc28359091"/>
      <w:bookmarkStart w:id="17" w:name="_Toc28359014"/>
      <w:r>
        <w:rPr>
          <w:rFonts w:hint="eastAsia" w:ascii="宋体" w:hAnsi="宋体" w:eastAsia="宋体" w:cs="宋体"/>
          <w:b/>
          <w:bCs/>
          <w:i w:val="0"/>
          <w:iCs w:val="0"/>
          <w:sz w:val="24"/>
          <w:szCs w:val="24"/>
          <w:highlight w:val="none"/>
        </w:rPr>
        <w:t>1.满足《中华人民共和国政府采购法》第二十二条规定</w:t>
      </w:r>
      <w:r>
        <w:rPr>
          <w:rFonts w:hint="eastAsia" w:ascii="宋体" w:hAnsi="宋体" w:cs="宋体"/>
          <w:b/>
          <w:bCs/>
          <w:i w:val="0"/>
          <w:iCs w:val="0"/>
          <w:sz w:val="24"/>
          <w:szCs w:val="24"/>
          <w:highlight w:val="none"/>
          <w:lang w:eastAsia="zh-CN"/>
        </w:rPr>
        <w:t>：</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sz w:val="24"/>
          <w:szCs w:val="24"/>
          <w:highlight w:val="none"/>
          <w:u w:val="none"/>
        </w:rPr>
        <w:t>（1）</w:t>
      </w:r>
      <w:r>
        <w:rPr>
          <w:rFonts w:hint="eastAsia" w:ascii="宋体" w:hAnsi="宋体" w:eastAsia="宋体" w:cs="宋体"/>
          <w:b w:val="0"/>
          <w:bCs w:val="0"/>
          <w:i w:val="0"/>
          <w:iCs w:val="0"/>
          <w:color w:val="auto"/>
          <w:sz w:val="24"/>
          <w:szCs w:val="24"/>
          <w:highlight w:val="none"/>
          <w:lang w:val="en-US" w:eastAsia="zh-CN"/>
        </w:rPr>
        <w:t>依法注册、具有合法的法人资格及独立承担民事责任的能力；</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sz w:val="24"/>
          <w:szCs w:val="24"/>
          <w:highlight w:val="none"/>
          <w:u w:val="none"/>
        </w:rPr>
        <w:t>（</w:t>
      </w:r>
      <w:r>
        <w:rPr>
          <w:rFonts w:hint="eastAsia" w:ascii="宋体" w:hAnsi="宋体" w:cs="宋体"/>
          <w:b w:val="0"/>
          <w:bCs w:val="0"/>
          <w:i w:val="0"/>
          <w:iCs w:val="0"/>
          <w:sz w:val="24"/>
          <w:szCs w:val="24"/>
          <w:highlight w:val="none"/>
          <w:u w:val="none"/>
          <w:lang w:val="en-US" w:eastAsia="zh-CN"/>
        </w:rPr>
        <w:t>2</w:t>
      </w:r>
      <w:r>
        <w:rPr>
          <w:rFonts w:hint="eastAsia" w:ascii="宋体" w:hAnsi="宋体" w:eastAsia="宋体" w:cs="宋体"/>
          <w:b w:val="0"/>
          <w:bCs w:val="0"/>
          <w:i w:val="0"/>
          <w:iCs w:val="0"/>
          <w:sz w:val="24"/>
          <w:szCs w:val="24"/>
          <w:highlight w:val="none"/>
          <w:u w:val="none"/>
        </w:rPr>
        <w:t>）</w:t>
      </w:r>
      <w:r>
        <w:rPr>
          <w:rFonts w:hint="eastAsia" w:ascii="宋体" w:hAnsi="宋体" w:eastAsia="宋体" w:cs="宋体"/>
          <w:b w:val="0"/>
          <w:bCs w:val="0"/>
          <w:i w:val="0"/>
          <w:iCs w:val="0"/>
          <w:color w:val="auto"/>
          <w:sz w:val="24"/>
          <w:szCs w:val="24"/>
          <w:highlight w:val="none"/>
          <w:lang w:val="en-US" w:eastAsia="zh-CN"/>
        </w:rPr>
        <w:t>具有良好的商业信誉和健全的财务会计制度；</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sz w:val="24"/>
          <w:szCs w:val="24"/>
          <w:highlight w:val="none"/>
          <w:u w:val="none"/>
        </w:rPr>
        <w:t>（</w:t>
      </w:r>
      <w:r>
        <w:rPr>
          <w:rFonts w:hint="eastAsia" w:ascii="宋体" w:hAnsi="宋体" w:cs="宋体"/>
          <w:b w:val="0"/>
          <w:bCs w:val="0"/>
          <w:i w:val="0"/>
          <w:iCs w:val="0"/>
          <w:sz w:val="24"/>
          <w:szCs w:val="24"/>
          <w:highlight w:val="none"/>
          <w:u w:val="none"/>
          <w:lang w:val="en-US" w:eastAsia="zh-CN"/>
        </w:rPr>
        <w:t>3</w:t>
      </w:r>
      <w:r>
        <w:rPr>
          <w:rFonts w:hint="eastAsia" w:ascii="宋体" w:hAnsi="宋体" w:eastAsia="宋体" w:cs="宋体"/>
          <w:b w:val="0"/>
          <w:bCs w:val="0"/>
          <w:i w:val="0"/>
          <w:iCs w:val="0"/>
          <w:sz w:val="24"/>
          <w:szCs w:val="24"/>
          <w:highlight w:val="none"/>
          <w:u w:val="none"/>
        </w:rPr>
        <w:t>）</w:t>
      </w:r>
      <w:r>
        <w:rPr>
          <w:rFonts w:hint="eastAsia" w:ascii="宋体" w:hAnsi="宋体" w:eastAsia="宋体" w:cs="宋体"/>
          <w:b w:val="0"/>
          <w:bCs w:val="0"/>
          <w:i w:val="0"/>
          <w:iCs w:val="0"/>
          <w:color w:val="auto"/>
          <w:sz w:val="24"/>
          <w:szCs w:val="24"/>
          <w:highlight w:val="none"/>
          <w:lang w:val="en-US" w:eastAsia="zh-CN"/>
        </w:rPr>
        <w:t>有依法缴纳税收和社会保障资金的良好纪录；</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sz w:val="24"/>
          <w:szCs w:val="24"/>
          <w:highlight w:val="none"/>
          <w:u w:val="none"/>
        </w:rPr>
        <w:t>（</w:t>
      </w:r>
      <w:r>
        <w:rPr>
          <w:rFonts w:hint="eastAsia" w:ascii="宋体" w:hAnsi="宋体" w:cs="宋体"/>
          <w:b w:val="0"/>
          <w:bCs w:val="0"/>
          <w:i w:val="0"/>
          <w:iCs w:val="0"/>
          <w:sz w:val="24"/>
          <w:szCs w:val="24"/>
          <w:highlight w:val="none"/>
          <w:u w:val="none"/>
          <w:lang w:val="en-US" w:eastAsia="zh-CN"/>
        </w:rPr>
        <w:t>4</w:t>
      </w:r>
      <w:r>
        <w:rPr>
          <w:rFonts w:hint="eastAsia" w:ascii="宋体" w:hAnsi="宋体" w:eastAsia="宋体" w:cs="宋体"/>
          <w:b w:val="0"/>
          <w:bCs w:val="0"/>
          <w:i w:val="0"/>
          <w:iCs w:val="0"/>
          <w:sz w:val="24"/>
          <w:szCs w:val="24"/>
          <w:highlight w:val="none"/>
          <w:u w:val="none"/>
        </w:rPr>
        <w:t>）</w:t>
      </w:r>
      <w:r>
        <w:rPr>
          <w:rFonts w:hint="eastAsia" w:ascii="宋体" w:hAnsi="宋体" w:eastAsia="宋体" w:cs="宋体"/>
          <w:b w:val="0"/>
          <w:bCs w:val="0"/>
          <w:i w:val="0"/>
          <w:iCs w:val="0"/>
          <w:color w:val="auto"/>
          <w:sz w:val="24"/>
          <w:szCs w:val="24"/>
          <w:highlight w:val="none"/>
          <w:lang w:val="en-US" w:eastAsia="zh-CN"/>
        </w:rPr>
        <w:t>具有履行合同所必需的专业技术能力；</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sz w:val="24"/>
          <w:szCs w:val="24"/>
          <w:highlight w:val="none"/>
          <w:u w:val="none"/>
        </w:rPr>
        <w:t>（</w:t>
      </w:r>
      <w:r>
        <w:rPr>
          <w:rFonts w:hint="eastAsia" w:ascii="宋体" w:hAnsi="宋体" w:cs="宋体"/>
          <w:b w:val="0"/>
          <w:bCs w:val="0"/>
          <w:i w:val="0"/>
          <w:iCs w:val="0"/>
          <w:sz w:val="24"/>
          <w:szCs w:val="24"/>
          <w:highlight w:val="none"/>
          <w:u w:val="none"/>
          <w:lang w:val="en-US" w:eastAsia="zh-CN"/>
        </w:rPr>
        <w:t>5</w:t>
      </w:r>
      <w:r>
        <w:rPr>
          <w:rFonts w:hint="eastAsia" w:ascii="宋体" w:hAnsi="宋体" w:eastAsia="宋体" w:cs="宋体"/>
          <w:b w:val="0"/>
          <w:bCs w:val="0"/>
          <w:i w:val="0"/>
          <w:iCs w:val="0"/>
          <w:sz w:val="24"/>
          <w:szCs w:val="24"/>
          <w:highlight w:val="none"/>
          <w:u w:val="none"/>
        </w:rPr>
        <w:t>）</w:t>
      </w:r>
      <w:r>
        <w:rPr>
          <w:rFonts w:hint="eastAsia" w:ascii="宋体" w:hAnsi="宋体" w:eastAsia="宋体" w:cs="宋体"/>
          <w:b w:val="0"/>
          <w:bCs w:val="0"/>
          <w:i w:val="0"/>
          <w:iCs w:val="0"/>
          <w:color w:val="auto"/>
          <w:sz w:val="24"/>
          <w:szCs w:val="24"/>
          <w:highlight w:val="none"/>
          <w:lang w:val="en-US" w:eastAsia="zh-CN"/>
        </w:rPr>
        <w:t>参加采购活动前三年内，在经营活动中没有重大违法记录；</w:t>
      </w:r>
    </w:p>
    <w:p>
      <w:pPr>
        <w:pageBreakBefore w:val="0"/>
        <w:widowControl w:val="0"/>
        <w:kinsoku/>
        <w:wordWrap/>
        <w:overflowPunct/>
        <w:topLinePunct w:val="0"/>
        <w:bidi w:val="0"/>
        <w:snapToGrid/>
        <w:spacing w:line="360" w:lineRule="auto"/>
        <w:ind w:left="0" w:leftChars="0" w:firstLine="480" w:firstLineChars="200"/>
        <w:textAlignment w:val="auto"/>
        <w:rPr>
          <w:rFonts w:hint="eastAsia"/>
          <w:highlight w:val="none"/>
          <w:lang w:eastAsia="zh-CN"/>
        </w:rPr>
      </w:pPr>
      <w:r>
        <w:rPr>
          <w:rFonts w:hint="eastAsia" w:ascii="宋体" w:hAnsi="宋体" w:eastAsia="宋体" w:cs="宋体"/>
          <w:b w:val="0"/>
          <w:bCs w:val="0"/>
          <w:i w:val="0"/>
          <w:iCs w:val="0"/>
          <w:sz w:val="24"/>
          <w:szCs w:val="24"/>
          <w:highlight w:val="none"/>
          <w:u w:val="none"/>
        </w:rPr>
        <w:t>（</w:t>
      </w:r>
      <w:r>
        <w:rPr>
          <w:rFonts w:hint="eastAsia" w:ascii="宋体" w:hAnsi="宋体" w:cs="宋体"/>
          <w:b w:val="0"/>
          <w:bCs w:val="0"/>
          <w:i w:val="0"/>
          <w:iCs w:val="0"/>
          <w:sz w:val="24"/>
          <w:szCs w:val="24"/>
          <w:highlight w:val="none"/>
          <w:u w:val="none"/>
          <w:lang w:val="en-US" w:eastAsia="zh-CN"/>
        </w:rPr>
        <w:t>6</w:t>
      </w:r>
      <w:r>
        <w:rPr>
          <w:rFonts w:hint="eastAsia" w:ascii="宋体" w:hAnsi="宋体" w:eastAsia="宋体" w:cs="宋体"/>
          <w:b w:val="0"/>
          <w:bCs w:val="0"/>
          <w:i w:val="0"/>
          <w:iCs w:val="0"/>
          <w:sz w:val="24"/>
          <w:szCs w:val="24"/>
          <w:highlight w:val="none"/>
          <w:u w:val="none"/>
        </w:rPr>
        <w:t>）</w:t>
      </w:r>
      <w:r>
        <w:rPr>
          <w:rFonts w:hint="eastAsia" w:ascii="宋体" w:hAnsi="宋体" w:eastAsia="宋体" w:cs="宋体"/>
          <w:b w:val="0"/>
          <w:bCs w:val="0"/>
          <w:i w:val="0"/>
          <w:iCs w:val="0"/>
          <w:color w:val="auto"/>
          <w:sz w:val="24"/>
          <w:szCs w:val="24"/>
          <w:highlight w:val="none"/>
          <w:lang w:val="en-US" w:eastAsia="zh-CN"/>
        </w:rPr>
        <w:t>符合国家有关法律法规的规定；</w:t>
      </w:r>
    </w:p>
    <w:p>
      <w:pPr>
        <w:pageBreakBefore w:val="0"/>
        <w:widowControl w:val="0"/>
        <w:kinsoku/>
        <w:wordWrap/>
        <w:overflowPunct/>
        <w:topLinePunct w:val="0"/>
        <w:bidi w:val="0"/>
        <w:snapToGrid/>
        <w:spacing w:line="360" w:lineRule="auto"/>
        <w:ind w:left="0" w:leftChars="0" w:firstLine="482" w:firstLineChars="200"/>
        <w:textAlignment w:val="auto"/>
        <w:rPr>
          <w:rFonts w:hint="eastAsia" w:ascii="宋体" w:hAnsi="宋体" w:eastAsia="宋体" w:cs="宋体"/>
          <w:b/>
          <w:bCs/>
          <w:i w:val="0"/>
          <w:iCs w:val="0"/>
          <w:sz w:val="24"/>
          <w:szCs w:val="24"/>
          <w:highlight w:val="none"/>
        </w:rPr>
      </w:pPr>
      <w:r>
        <w:rPr>
          <w:rFonts w:hint="eastAsia" w:ascii="宋体" w:hAnsi="宋体" w:eastAsia="宋体" w:cs="宋体"/>
          <w:b/>
          <w:bCs/>
          <w:i w:val="0"/>
          <w:iCs w:val="0"/>
          <w:sz w:val="24"/>
          <w:szCs w:val="24"/>
          <w:highlight w:val="none"/>
        </w:rPr>
        <w:t>2.落实政府采购政策需满足的资格要求：</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sz w:val="24"/>
          <w:szCs w:val="24"/>
          <w:highlight w:val="none"/>
          <w:u w:val="none"/>
        </w:rPr>
      </w:pPr>
      <w:r>
        <w:rPr>
          <w:rFonts w:hint="eastAsia" w:ascii="宋体" w:hAnsi="宋体" w:eastAsia="宋体" w:cs="宋体"/>
          <w:b w:val="0"/>
          <w:bCs w:val="0"/>
          <w:i w:val="0"/>
          <w:iCs w:val="0"/>
          <w:sz w:val="24"/>
          <w:szCs w:val="24"/>
          <w:highlight w:val="none"/>
          <w:u w:val="none"/>
        </w:rPr>
        <w:t xml:space="preserve">（1）采购政策 </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sz w:val="24"/>
          <w:szCs w:val="24"/>
          <w:highlight w:val="none"/>
          <w:u w:val="none"/>
        </w:rPr>
      </w:pPr>
      <w:r>
        <w:rPr>
          <w:rFonts w:hint="eastAsia" w:ascii="宋体" w:hAnsi="宋体" w:eastAsia="宋体" w:cs="宋体"/>
          <w:b w:val="0"/>
          <w:bCs w:val="0"/>
          <w:i w:val="0"/>
          <w:iCs w:val="0"/>
          <w:sz w:val="24"/>
          <w:szCs w:val="24"/>
          <w:highlight w:val="none"/>
          <w:u w:val="none"/>
        </w:rPr>
        <w:t xml:space="preserve">政府采购应当优先采购本国货物、工程和服务，并执行节能产品、环境标志产品、中小企业、残疾人福利性单位、监狱企业等适宜本项目的政府采购政策。 </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sz w:val="24"/>
          <w:szCs w:val="24"/>
          <w:highlight w:val="none"/>
          <w:u w:val="none"/>
        </w:rPr>
      </w:pPr>
      <w:r>
        <w:rPr>
          <w:rFonts w:hint="eastAsia" w:ascii="宋体" w:hAnsi="宋体" w:eastAsia="宋体" w:cs="宋体"/>
          <w:b w:val="0"/>
          <w:bCs w:val="0"/>
          <w:i w:val="0"/>
          <w:iCs w:val="0"/>
          <w:sz w:val="24"/>
          <w:szCs w:val="24"/>
          <w:highlight w:val="none"/>
          <w:u w:val="none"/>
        </w:rPr>
        <w:t xml:space="preserve">（2）政策依据  </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sz w:val="24"/>
          <w:szCs w:val="24"/>
          <w:highlight w:val="none"/>
          <w:u w:val="none"/>
        </w:rPr>
      </w:pPr>
      <w:r>
        <w:rPr>
          <w:rFonts w:hint="eastAsia" w:ascii="宋体" w:hAnsi="宋体" w:eastAsia="宋体" w:cs="宋体"/>
          <w:b w:val="0"/>
          <w:bCs w:val="0"/>
          <w:i w:val="0"/>
          <w:iCs w:val="0"/>
          <w:sz w:val="24"/>
          <w:szCs w:val="24"/>
          <w:highlight w:val="none"/>
          <w:u w:val="none"/>
        </w:rPr>
        <w:t>1）财政部、国家发展改革委、生态环境部、市场监管总局《关于调整优化节能产品、环境标志产品政府采购执行机制的通知》（财库[2019]9号文）；</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sz w:val="24"/>
          <w:szCs w:val="24"/>
          <w:highlight w:val="none"/>
          <w:u w:val="none"/>
        </w:rPr>
      </w:pPr>
      <w:r>
        <w:rPr>
          <w:rFonts w:hint="eastAsia" w:ascii="宋体" w:hAnsi="宋体" w:eastAsia="宋体" w:cs="宋体"/>
          <w:b w:val="0"/>
          <w:bCs w:val="0"/>
          <w:i w:val="0"/>
          <w:iCs w:val="0"/>
          <w:sz w:val="24"/>
          <w:szCs w:val="24"/>
          <w:highlight w:val="none"/>
          <w:u w:val="none"/>
        </w:rPr>
        <w:t>2）财政部、生态环境部《关于印发环境标志产品政府采购品目清单的通知》（财库[2019]18号文）；</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sz w:val="24"/>
          <w:szCs w:val="24"/>
          <w:highlight w:val="none"/>
          <w:u w:val="none"/>
        </w:rPr>
      </w:pPr>
      <w:r>
        <w:rPr>
          <w:rFonts w:hint="eastAsia" w:ascii="宋体" w:hAnsi="宋体" w:eastAsia="宋体" w:cs="宋体"/>
          <w:b w:val="0"/>
          <w:bCs w:val="0"/>
          <w:i w:val="0"/>
          <w:iCs w:val="0"/>
          <w:sz w:val="24"/>
          <w:szCs w:val="24"/>
          <w:highlight w:val="none"/>
          <w:u w:val="none"/>
        </w:rPr>
        <w:t xml:space="preserve">3）财政部、发展改革委《关于印发节能产品政府采购品目清单的通知》（财库[2019]19号文）；  </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sz w:val="24"/>
          <w:szCs w:val="24"/>
          <w:highlight w:val="none"/>
          <w:u w:val="none"/>
        </w:rPr>
      </w:pPr>
      <w:r>
        <w:rPr>
          <w:rFonts w:hint="eastAsia" w:ascii="宋体" w:hAnsi="宋体" w:eastAsia="宋体" w:cs="宋体"/>
          <w:b w:val="0"/>
          <w:bCs w:val="0"/>
          <w:i w:val="0"/>
          <w:iCs w:val="0"/>
          <w:sz w:val="24"/>
          <w:szCs w:val="24"/>
          <w:highlight w:val="none"/>
          <w:u w:val="none"/>
        </w:rPr>
        <w:t xml:space="preserve">4）市场监管总局《市场监管总局关于发布参与实施政府采购节能产品、环境标志产品认证机构名录的公告》（2019年第16号）； </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sz w:val="24"/>
          <w:szCs w:val="24"/>
          <w:highlight w:val="none"/>
          <w:u w:val="none"/>
        </w:rPr>
        <w:t>5）财政部、工业和信息化部关于印</w:t>
      </w:r>
      <w:r>
        <w:rPr>
          <w:rFonts w:hint="eastAsia" w:ascii="宋体" w:hAnsi="宋体" w:eastAsia="宋体" w:cs="宋体"/>
          <w:b w:val="0"/>
          <w:bCs w:val="0"/>
          <w:i w:val="0"/>
          <w:iCs w:val="0"/>
          <w:color w:val="auto"/>
          <w:sz w:val="24"/>
          <w:szCs w:val="24"/>
          <w:highlight w:val="none"/>
          <w:u w:val="none"/>
        </w:rPr>
        <w:t>发《政府采购促进中小企业发展管理办法》的通知（财库﹝2020﹞46 号）；</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sz w:val="24"/>
          <w:szCs w:val="24"/>
          <w:highlight w:val="none"/>
          <w:u w:val="none"/>
        </w:rPr>
      </w:pPr>
      <w:r>
        <w:rPr>
          <w:rFonts w:hint="eastAsia" w:ascii="宋体" w:hAnsi="宋体" w:eastAsia="宋体" w:cs="宋体"/>
          <w:b w:val="0"/>
          <w:bCs w:val="0"/>
          <w:i w:val="0"/>
          <w:iCs w:val="0"/>
          <w:sz w:val="24"/>
          <w:szCs w:val="24"/>
          <w:highlight w:val="none"/>
          <w:u w:val="none"/>
        </w:rPr>
        <w:t>6）财政部、民政部、中国残疾人联合会《关于促进残疾人就业政府采购政策的通知》（财库[2017]141号）；</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sz w:val="24"/>
          <w:szCs w:val="24"/>
          <w:highlight w:val="none"/>
          <w:u w:val="none"/>
        </w:rPr>
      </w:pPr>
      <w:r>
        <w:rPr>
          <w:rFonts w:hint="eastAsia" w:ascii="宋体" w:hAnsi="宋体" w:eastAsia="宋体" w:cs="宋体"/>
          <w:b w:val="0"/>
          <w:bCs w:val="0"/>
          <w:i w:val="0"/>
          <w:iCs w:val="0"/>
          <w:sz w:val="24"/>
          <w:szCs w:val="24"/>
          <w:highlight w:val="none"/>
          <w:u w:val="none"/>
        </w:rPr>
        <w:t>7）财政部、司法部《关于政府采购支持监狱企业发展有关问题的通知》（财库[2014]68号文）。</w:t>
      </w:r>
    </w:p>
    <w:p>
      <w:pPr>
        <w:pageBreakBefore w:val="0"/>
        <w:widowControl w:val="0"/>
        <w:kinsoku/>
        <w:wordWrap/>
        <w:overflowPunct/>
        <w:topLinePunct w:val="0"/>
        <w:bidi w:val="0"/>
        <w:snapToGrid/>
        <w:spacing w:line="360" w:lineRule="auto"/>
        <w:ind w:left="0" w:leftChars="0" w:firstLine="482" w:firstLineChars="200"/>
        <w:textAlignment w:val="auto"/>
        <w:rPr>
          <w:rFonts w:hint="default" w:ascii="宋体" w:hAnsi="宋体" w:eastAsia="宋体" w:cs="宋体"/>
          <w:i w:val="0"/>
          <w:iCs w:val="0"/>
          <w:sz w:val="24"/>
          <w:szCs w:val="24"/>
          <w:highlight w:val="none"/>
          <w:u w:val="none"/>
          <w:lang w:val="en-US" w:eastAsia="zh-CN"/>
        </w:rPr>
      </w:pPr>
      <w:r>
        <w:rPr>
          <w:rFonts w:hint="eastAsia" w:ascii="宋体" w:hAnsi="宋体" w:eastAsia="宋体" w:cs="宋体"/>
          <w:b/>
          <w:bCs/>
          <w:i w:val="0"/>
          <w:iCs w:val="0"/>
          <w:sz w:val="24"/>
          <w:szCs w:val="24"/>
          <w:highlight w:val="none"/>
        </w:rPr>
        <w:t>3.本项目的特</w:t>
      </w:r>
      <w:r>
        <w:rPr>
          <w:rFonts w:hint="eastAsia" w:ascii="宋体" w:hAnsi="宋体" w:eastAsia="宋体" w:cs="宋体"/>
          <w:b/>
          <w:bCs/>
          <w:i w:val="0"/>
          <w:iCs w:val="0"/>
          <w:sz w:val="24"/>
          <w:szCs w:val="24"/>
          <w:highlight w:val="none"/>
          <w:lang w:val="en-US" w:eastAsia="zh-CN"/>
        </w:rPr>
        <w:t>定资</w:t>
      </w:r>
      <w:r>
        <w:rPr>
          <w:rFonts w:hint="eastAsia" w:ascii="宋体" w:hAnsi="宋体" w:eastAsia="宋体" w:cs="宋体"/>
          <w:b/>
          <w:bCs/>
          <w:i w:val="0"/>
          <w:iCs w:val="0"/>
          <w:sz w:val="24"/>
          <w:szCs w:val="24"/>
          <w:highlight w:val="none"/>
        </w:rPr>
        <w:t>格要求</w:t>
      </w:r>
      <w:r>
        <w:rPr>
          <w:rFonts w:hint="eastAsia" w:ascii="宋体" w:hAnsi="宋体" w:eastAsia="宋体" w:cs="宋体"/>
          <w:i w:val="0"/>
          <w:iCs w:val="0"/>
          <w:sz w:val="24"/>
          <w:szCs w:val="24"/>
          <w:highlight w:val="none"/>
        </w:rPr>
        <w:t>：</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i w:val="0"/>
          <w:iCs w:val="0"/>
          <w:sz w:val="24"/>
          <w:szCs w:val="24"/>
          <w:highlight w:val="none"/>
          <w:u w:val="none"/>
          <w:lang w:eastAsia="zh-CN"/>
        </w:rPr>
      </w:pPr>
      <w:r>
        <w:rPr>
          <w:rFonts w:hint="eastAsia" w:ascii="宋体" w:hAnsi="宋体" w:eastAsia="宋体" w:cs="宋体"/>
          <w:i w:val="0"/>
          <w:iCs w:val="0"/>
          <w:sz w:val="24"/>
          <w:szCs w:val="24"/>
          <w:highlight w:val="none"/>
          <w:u w:val="none"/>
        </w:rPr>
        <w:t>（</w:t>
      </w:r>
      <w:r>
        <w:rPr>
          <w:rFonts w:hint="eastAsia" w:ascii="宋体" w:hAnsi="宋体" w:cs="宋体"/>
          <w:i w:val="0"/>
          <w:iCs w:val="0"/>
          <w:sz w:val="24"/>
          <w:szCs w:val="24"/>
          <w:highlight w:val="none"/>
          <w:u w:val="none"/>
          <w:lang w:val="en-US" w:eastAsia="zh-CN"/>
        </w:rPr>
        <w:t>1</w:t>
      </w:r>
      <w:r>
        <w:rPr>
          <w:rFonts w:hint="eastAsia" w:ascii="宋体" w:hAnsi="宋体" w:eastAsia="宋体" w:cs="宋体"/>
          <w:i w:val="0"/>
          <w:iCs w:val="0"/>
          <w:sz w:val="24"/>
          <w:szCs w:val="24"/>
          <w:highlight w:val="none"/>
          <w:u w:val="none"/>
        </w:rPr>
        <w:t>）供应商应在“信用中国”网站（</w:t>
      </w:r>
      <w:r>
        <w:rPr>
          <w:rFonts w:hint="eastAsia"/>
          <w:highlight w:val="none"/>
        </w:rPr>
        <w:t>www.creditchina.gov.cn）</w:t>
      </w:r>
      <w:r>
        <w:rPr>
          <w:rFonts w:hint="eastAsia" w:ascii="宋体" w:hAnsi="宋体" w:eastAsia="宋体" w:cs="宋体"/>
          <w:i w:val="0"/>
          <w:iCs w:val="0"/>
          <w:sz w:val="24"/>
          <w:szCs w:val="24"/>
          <w:highlight w:val="none"/>
          <w:u w:val="none"/>
        </w:rPr>
        <w:t>未被列入失信被执行人记录、</w:t>
      </w:r>
      <w:r>
        <w:rPr>
          <w:rFonts w:hint="eastAsia" w:ascii="宋体" w:hAnsi="宋体" w:cs="宋体"/>
          <w:i w:val="0"/>
          <w:iCs w:val="0"/>
          <w:sz w:val="24"/>
          <w:szCs w:val="24"/>
          <w:highlight w:val="none"/>
          <w:u w:val="none"/>
          <w:lang w:eastAsia="zh-CN"/>
        </w:rPr>
        <w:t>重大税收违法失信主体记录</w:t>
      </w:r>
      <w:r>
        <w:rPr>
          <w:rFonts w:hint="eastAsia" w:ascii="宋体" w:hAnsi="宋体" w:eastAsia="宋体" w:cs="宋体"/>
          <w:i w:val="0"/>
          <w:iCs w:val="0"/>
          <w:sz w:val="24"/>
          <w:szCs w:val="24"/>
          <w:highlight w:val="none"/>
          <w:u w:val="none"/>
        </w:rPr>
        <w:t>且在中国政府采购网</w:t>
      </w:r>
      <w:r>
        <w:rPr>
          <w:rFonts w:hint="eastAsia"/>
          <w:highlight w:val="none"/>
        </w:rPr>
        <w:t>（www.ccgp.gov.cn）</w:t>
      </w:r>
      <w:r>
        <w:rPr>
          <w:rFonts w:hint="eastAsia" w:ascii="宋体" w:hAnsi="宋体" w:eastAsia="宋体" w:cs="宋体"/>
          <w:i w:val="0"/>
          <w:iCs w:val="0"/>
          <w:sz w:val="24"/>
          <w:szCs w:val="24"/>
          <w:highlight w:val="none"/>
          <w:u w:val="none"/>
        </w:rPr>
        <w:t>没有相关主体政府采购严重违法失信行为记录（被禁止在一定期限内参加政府采购活动但期限届满的除外）（查询日期为从采购文件发售之日起至投标截止日前）</w:t>
      </w:r>
      <w:r>
        <w:rPr>
          <w:rFonts w:hint="eastAsia" w:ascii="宋体" w:hAnsi="宋体" w:eastAsia="宋体" w:cs="宋体"/>
          <w:i w:val="0"/>
          <w:iCs w:val="0"/>
          <w:sz w:val="24"/>
          <w:szCs w:val="24"/>
          <w:highlight w:val="none"/>
          <w:u w:val="none"/>
          <w:lang w:eastAsia="zh-CN"/>
        </w:rPr>
        <w:t>，</w:t>
      </w:r>
      <w:r>
        <w:rPr>
          <w:rFonts w:hint="eastAsia" w:ascii="宋体" w:hAnsi="宋体" w:eastAsia="宋体" w:cs="宋体"/>
          <w:i w:val="0"/>
          <w:iCs w:val="0"/>
          <w:sz w:val="24"/>
          <w:szCs w:val="24"/>
          <w:highlight w:val="none"/>
          <w:u w:val="none"/>
        </w:rPr>
        <w:t>以网页截图</w:t>
      </w:r>
      <w:r>
        <w:rPr>
          <w:rFonts w:hint="eastAsia" w:ascii="宋体" w:hAnsi="宋体" w:eastAsia="宋体" w:cs="宋体"/>
          <w:i w:val="0"/>
          <w:iCs w:val="0"/>
          <w:sz w:val="24"/>
          <w:szCs w:val="24"/>
          <w:highlight w:val="none"/>
          <w:u w:val="none"/>
          <w:lang w:eastAsia="zh-CN"/>
        </w:rPr>
        <w:t>（</w:t>
      </w:r>
      <w:r>
        <w:rPr>
          <w:rFonts w:hint="eastAsia" w:ascii="宋体" w:hAnsi="宋体" w:eastAsia="宋体" w:cs="宋体"/>
          <w:i w:val="0"/>
          <w:iCs w:val="0"/>
          <w:sz w:val="24"/>
          <w:szCs w:val="24"/>
          <w:highlight w:val="none"/>
          <w:u w:val="none"/>
          <w:lang w:val="en-US" w:eastAsia="zh-CN"/>
        </w:rPr>
        <w:t>需显示查询时间）</w:t>
      </w:r>
      <w:r>
        <w:rPr>
          <w:rFonts w:hint="eastAsia" w:ascii="宋体" w:hAnsi="宋体" w:eastAsia="宋体" w:cs="宋体"/>
          <w:i w:val="0"/>
          <w:iCs w:val="0"/>
          <w:sz w:val="24"/>
          <w:szCs w:val="24"/>
          <w:highlight w:val="none"/>
          <w:u w:val="none"/>
        </w:rPr>
        <w:t>加盖投标人公章为准</w:t>
      </w:r>
      <w:r>
        <w:rPr>
          <w:rFonts w:hint="eastAsia" w:ascii="宋体" w:hAnsi="宋体" w:eastAsia="宋体" w:cs="宋体"/>
          <w:i w:val="0"/>
          <w:iCs w:val="0"/>
          <w:sz w:val="24"/>
          <w:szCs w:val="24"/>
          <w:highlight w:val="none"/>
          <w:u w:val="none"/>
          <w:lang w:eastAsia="zh-CN"/>
        </w:rPr>
        <w:t>；</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i w:val="0"/>
          <w:iCs w:val="0"/>
          <w:sz w:val="24"/>
          <w:szCs w:val="24"/>
          <w:highlight w:val="none"/>
          <w:u w:val="none"/>
          <w:lang w:eastAsia="zh-CN"/>
        </w:rPr>
      </w:pPr>
      <w:r>
        <w:rPr>
          <w:rFonts w:hint="eastAsia" w:ascii="宋体" w:hAnsi="宋体" w:cs="宋体"/>
          <w:i w:val="0"/>
          <w:iCs w:val="0"/>
          <w:sz w:val="24"/>
          <w:szCs w:val="24"/>
          <w:highlight w:val="none"/>
          <w:u w:val="none"/>
          <w:lang w:eastAsia="zh-CN"/>
        </w:rPr>
        <w:t>（</w:t>
      </w:r>
      <w:r>
        <w:rPr>
          <w:rFonts w:hint="eastAsia" w:ascii="宋体" w:hAnsi="宋体" w:cs="宋体"/>
          <w:i w:val="0"/>
          <w:iCs w:val="0"/>
          <w:sz w:val="24"/>
          <w:szCs w:val="24"/>
          <w:highlight w:val="none"/>
          <w:u w:val="none"/>
          <w:lang w:val="en-US" w:eastAsia="zh-CN"/>
        </w:rPr>
        <w:t>2</w:t>
      </w:r>
      <w:r>
        <w:rPr>
          <w:rFonts w:hint="eastAsia" w:ascii="宋体" w:hAnsi="宋体" w:eastAsia="宋体" w:cs="宋体"/>
          <w:i w:val="0"/>
          <w:iCs w:val="0"/>
          <w:sz w:val="24"/>
          <w:szCs w:val="24"/>
          <w:highlight w:val="none"/>
          <w:u w:val="none"/>
          <w:lang w:eastAsia="zh-CN"/>
        </w:rPr>
        <w:t>）</w:t>
      </w:r>
      <w:r>
        <w:rPr>
          <w:rFonts w:hint="eastAsia" w:ascii="宋体" w:hAnsi="宋体" w:cs="宋体"/>
          <w:i w:val="0"/>
          <w:iCs w:val="0"/>
          <w:sz w:val="24"/>
          <w:szCs w:val="24"/>
          <w:highlight w:val="none"/>
          <w:u w:val="none"/>
          <w:lang w:eastAsia="zh-CN"/>
        </w:rPr>
        <w:t>根据《政府采购促进中小企业发展管理办法》要求，本项目应当专门面向中小企业采购（提供中小微企业声明函）。</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i w:val="0"/>
          <w:iCs w:val="0"/>
          <w:sz w:val="24"/>
          <w:szCs w:val="24"/>
          <w:highlight w:val="none"/>
          <w:u w:val="none"/>
        </w:rPr>
      </w:pPr>
      <w:r>
        <w:rPr>
          <w:rFonts w:hint="eastAsia" w:ascii="宋体" w:hAnsi="宋体" w:eastAsia="宋体" w:cs="宋体"/>
          <w:i w:val="0"/>
          <w:iCs w:val="0"/>
          <w:sz w:val="24"/>
          <w:szCs w:val="24"/>
          <w:highlight w:val="none"/>
          <w:u w:val="none"/>
        </w:rPr>
        <w:t>（</w:t>
      </w:r>
      <w:r>
        <w:rPr>
          <w:rFonts w:hint="eastAsia" w:ascii="宋体" w:hAnsi="宋体" w:cs="宋体"/>
          <w:i w:val="0"/>
          <w:iCs w:val="0"/>
          <w:sz w:val="24"/>
          <w:szCs w:val="24"/>
          <w:highlight w:val="none"/>
          <w:u w:val="none"/>
          <w:lang w:val="en-US" w:eastAsia="zh-CN"/>
        </w:rPr>
        <w:t>3</w:t>
      </w:r>
      <w:r>
        <w:rPr>
          <w:rFonts w:hint="eastAsia" w:ascii="宋体" w:hAnsi="宋体" w:eastAsia="宋体" w:cs="宋体"/>
          <w:i w:val="0"/>
          <w:iCs w:val="0"/>
          <w:sz w:val="24"/>
          <w:szCs w:val="24"/>
          <w:highlight w:val="none"/>
          <w:u w:val="none"/>
        </w:rPr>
        <w:t>）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w:t>
      </w:r>
      <w:r>
        <w:rPr>
          <w:rFonts w:hint="eastAsia" w:ascii="宋体" w:hAnsi="宋体" w:eastAsia="宋体" w:cs="宋体"/>
          <w:i w:val="0"/>
          <w:iCs w:val="0"/>
          <w:sz w:val="24"/>
          <w:szCs w:val="24"/>
          <w:highlight w:val="none"/>
          <w:u w:val="none"/>
          <w:lang w:eastAsia="zh-CN"/>
        </w:rPr>
        <w:t>。</w:t>
      </w:r>
    </w:p>
    <w:p>
      <w:pPr>
        <w:spacing w:line="360" w:lineRule="auto"/>
        <w:jc w:val="both"/>
        <w:outlineLvl w:val="9"/>
        <w:rPr>
          <w:rFonts w:ascii="黑体" w:hAnsi="黑体" w:cs="宋体"/>
          <w:b/>
          <w:bCs w:val="0"/>
          <w:sz w:val="28"/>
          <w:szCs w:val="28"/>
          <w:highlight w:val="none"/>
        </w:rPr>
      </w:pPr>
      <w:r>
        <w:rPr>
          <w:rFonts w:hint="eastAsia" w:ascii="黑体" w:hAnsi="黑体" w:cs="宋体"/>
          <w:b/>
          <w:bCs w:val="0"/>
          <w:sz w:val="28"/>
          <w:szCs w:val="28"/>
          <w:highlight w:val="none"/>
        </w:rPr>
        <w:t>三、获取采购文件</w:t>
      </w:r>
      <w:bookmarkEnd w:id="14"/>
      <w:bookmarkEnd w:id="15"/>
      <w:bookmarkEnd w:id="16"/>
      <w:bookmarkEnd w:id="17"/>
    </w:p>
    <w:p>
      <w:pPr>
        <w:spacing w:line="360" w:lineRule="auto"/>
        <w:ind w:firstLine="540"/>
        <w:rPr>
          <w:rFonts w:ascii="仿宋" w:hAnsi="仿宋" w:eastAsia="仿宋" w:cs="宋体"/>
          <w:sz w:val="28"/>
          <w:szCs w:val="28"/>
          <w:highlight w:val="none"/>
        </w:rPr>
      </w:pPr>
      <w:r>
        <w:rPr>
          <w:rFonts w:hint="eastAsia" w:ascii="宋体" w:hAnsi="宋体" w:eastAsia="宋体" w:cs="宋体"/>
          <w:b/>
          <w:bCs/>
          <w:sz w:val="24"/>
          <w:szCs w:val="24"/>
          <w:highlight w:val="none"/>
        </w:rPr>
        <w:t>时间：</w:t>
      </w:r>
      <w:r>
        <w:rPr>
          <w:rFonts w:hint="eastAsia" w:ascii="宋体" w:hAnsi="宋体" w:eastAsia="宋体" w:cs="宋体"/>
          <w:i w:val="0"/>
          <w:iCs w:val="0"/>
          <w:sz w:val="24"/>
          <w:szCs w:val="24"/>
          <w:highlight w:val="none"/>
          <w:u w:val="single"/>
          <w:lang w:val="en-US" w:eastAsia="zh-CN"/>
        </w:rPr>
        <w:t>202</w:t>
      </w:r>
      <w:r>
        <w:rPr>
          <w:rFonts w:hint="eastAsia" w:ascii="宋体" w:hAnsi="宋体" w:cs="宋体"/>
          <w:i w:val="0"/>
          <w:iCs w:val="0"/>
          <w:sz w:val="24"/>
          <w:szCs w:val="24"/>
          <w:highlight w:val="none"/>
          <w:u w:val="single"/>
          <w:lang w:val="en-US" w:eastAsia="zh-CN"/>
        </w:rPr>
        <w:t>2</w:t>
      </w:r>
      <w:r>
        <w:rPr>
          <w:rFonts w:hint="eastAsia" w:ascii="宋体" w:hAnsi="宋体" w:eastAsia="宋体" w:cs="宋体"/>
          <w:i w:val="0"/>
          <w:iCs w:val="0"/>
          <w:sz w:val="24"/>
          <w:szCs w:val="24"/>
          <w:highlight w:val="none"/>
          <w:u w:val="single"/>
        </w:rPr>
        <w:t>年</w:t>
      </w:r>
      <w:r>
        <w:rPr>
          <w:rFonts w:hint="eastAsia" w:ascii="宋体" w:hAnsi="宋体" w:cs="宋体"/>
          <w:i w:val="0"/>
          <w:iCs w:val="0"/>
          <w:sz w:val="24"/>
          <w:szCs w:val="24"/>
          <w:highlight w:val="none"/>
          <w:u w:val="single"/>
          <w:lang w:val="en-US" w:eastAsia="zh-CN"/>
        </w:rPr>
        <w:t xml:space="preserve"> 10</w:t>
      </w:r>
      <w:r>
        <w:rPr>
          <w:rFonts w:hint="eastAsia" w:ascii="宋体" w:hAnsi="宋体" w:eastAsia="宋体" w:cs="宋体"/>
          <w:i w:val="0"/>
          <w:iCs w:val="0"/>
          <w:sz w:val="24"/>
          <w:szCs w:val="24"/>
          <w:highlight w:val="none"/>
          <w:u w:val="single"/>
        </w:rPr>
        <w:t>月</w:t>
      </w:r>
      <w:r>
        <w:rPr>
          <w:rFonts w:hint="eastAsia" w:ascii="宋体" w:hAnsi="宋体" w:cs="宋体"/>
          <w:i w:val="0"/>
          <w:iCs w:val="0"/>
          <w:sz w:val="24"/>
          <w:szCs w:val="24"/>
          <w:highlight w:val="yellow"/>
          <w:u w:val="single"/>
          <w:lang w:val="en-US" w:eastAsia="zh-CN"/>
        </w:rPr>
        <w:t>17</w:t>
      </w:r>
      <w:r>
        <w:rPr>
          <w:rFonts w:hint="eastAsia" w:ascii="宋体" w:hAnsi="宋体" w:eastAsia="宋体" w:cs="宋体"/>
          <w:i w:val="0"/>
          <w:iCs w:val="0"/>
          <w:sz w:val="24"/>
          <w:szCs w:val="24"/>
          <w:highlight w:val="none"/>
          <w:u w:val="single"/>
        </w:rPr>
        <w:t>日</w:t>
      </w:r>
      <w:r>
        <w:rPr>
          <w:rFonts w:hint="eastAsia" w:ascii="宋体" w:hAnsi="宋体" w:eastAsia="宋体" w:cs="宋体"/>
          <w:i w:val="0"/>
          <w:iCs w:val="0"/>
          <w:sz w:val="24"/>
          <w:szCs w:val="24"/>
          <w:highlight w:val="none"/>
        </w:rPr>
        <w:t>至</w:t>
      </w:r>
      <w:r>
        <w:rPr>
          <w:rFonts w:hint="eastAsia" w:ascii="宋体" w:hAnsi="宋体" w:eastAsia="宋体" w:cs="宋体"/>
          <w:i w:val="0"/>
          <w:iCs w:val="0"/>
          <w:sz w:val="24"/>
          <w:szCs w:val="24"/>
          <w:highlight w:val="none"/>
          <w:u w:val="single"/>
          <w:lang w:val="en-US" w:eastAsia="zh-CN"/>
        </w:rPr>
        <w:t>202</w:t>
      </w:r>
      <w:r>
        <w:rPr>
          <w:rFonts w:hint="eastAsia" w:ascii="宋体" w:hAnsi="宋体" w:cs="宋体"/>
          <w:i w:val="0"/>
          <w:iCs w:val="0"/>
          <w:sz w:val="24"/>
          <w:szCs w:val="24"/>
          <w:highlight w:val="none"/>
          <w:u w:val="single"/>
          <w:lang w:val="en-US" w:eastAsia="zh-CN"/>
        </w:rPr>
        <w:t>2</w:t>
      </w:r>
      <w:r>
        <w:rPr>
          <w:rFonts w:hint="eastAsia" w:ascii="宋体" w:hAnsi="宋体" w:eastAsia="宋体" w:cs="宋体"/>
          <w:i w:val="0"/>
          <w:iCs w:val="0"/>
          <w:sz w:val="24"/>
          <w:szCs w:val="24"/>
          <w:highlight w:val="none"/>
          <w:u w:val="single"/>
        </w:rPr>
        <w:t>年</w:t>
      </w:r>
      <w:r>
        <w:rPr>
          <w:rFonts w:hint="eastAsia" w:ascii="宋体" w:hAnsi="宋体" w:cs="宋体"/>
          <w:i w:val="0"/>
          <w:iCs w:val="0"/>
          <w:sz w:val="24"/>
          <w:szCs w:val="24"/>
          <w:highlight w:val="none"/>
          <w:u w:val="single"/>
          <w:lang w:val="en-US" w:eastAsia="zh-CN"/>
        </w:rPr>
        <w:t>10</w:t>
      </w:r>
      <w:r>
        <w:rPr>
          <w:rFonts w:hint="eastAsia" w:ascii="宋体" w:hAnsi="宋体" w:eastAsia="宋体" w:cs="宋体"/>
          <w:i w:val="0"/>
          <w:iCs w:val="0"/>
          <w:sz w:val="24"/>
          <w:szCs w:val="24"/>
          <w:highlight w:val="none"/>
          <w:u w:val="single"/>
        </w:rPr>
        <w:t>月</w:t>
      </w:r>
      <w:r>
        <w:rPr>
          <w:rFonts w:hint="eastAsia" w:ascii="宋体" w:hAnsi="宋体" w:cs="宋体"/>
          <w:i w:val="0"/>
          <w:iCs w:val="0"/>
          <w:sz w:val="24"/>
          <w:szCs w:val="24"/>
          <w:highlight w:val="yellow"/>
          <w:u w:val="single"/>
          <w:lang w:val="en-US" w:eastAsia="zh-CN"/>
        </w:rPr>
        <w:t>24</w:t>
      </w:r>
      <w:r>
        <w:rPr>
          <w:rFonts w:hint="eastAsia" w:ascii="宋体" w:hAnsi="宋体" w:eastAsia="宋体" w:cs="宋体"/>
          <w:i w:val="0"/>
          <w:iCs w:val="0"/>
          <w:sz w:val="24"/>
          <w:szCs w:val="24"/>
          <w:highlight w:val="none"/>
          <w:u w:val="single"/>
        </w:rPr>
        <w:t>日</w:t>
      </w:r>
      <w:r>
        <w:rPr>
          <w:rFonts w:hint="eastAsia" w:ascii="宋体" w:hAnsi="宋体" w:eastAsia="宋体" w:cs="宋体"/>
          <w:i w:val="0"/>
          <w:iCs w:val="0"/>
          <w:sz w:val="24"/>
          <w:szCs w:val="24"/>
          <w:highlight w:val="none"/>
        </w:rPr>
        <w:t>，每天上午</w:t>
      </w:r>
      <w:r>
        <w:rPr>
          <w:rFonts w:hint="eastAsia" w:ascii="宋体" w:hAnsi="宋体" w:eastAsia="宋体" w:cs="宋体"/>
          <w:i w:val="0"/>
          <w:iCs w:val="0"/>
          <w:sz w:val="24"/>
          <w:szCs w:val="24"/>
          <w:highlight w:val="none"/>
          <w:u w:val="single"/>
          <w:lang w:val="en-US" w:eastAsia="zh-CN"/>
        </w:rPr>
        <w:t xml:space="preserve"> 10:</w:t>
      </w:r>
      <w:r>
        <w:rPr>
          <w:rFonts w:hint="eastAsia" w:ascii="宋体" w:hAnsi="宋体" w:cs="宋体"/>
          <w:i w:val="0"/>
          <w:iCs w:val="0"/>
          <w:sz w:val="24"/>
          <w:szCs w:val="24"/>
          <w:highlight w:val="none"/>
          <w:u w:val="single"/>
          <w:lang w:val="en-US" w:eastAsia="zh-CN"/>
        </w:rPr>
        <w:t>3</w:t>
      </w:r>
      <w:r>
        <w:rPr>
          <w:rFonts w:hint="eastAsia" w:ascii="宋体" w:hAnsi="宋体" w:eastAsia="宋体" w:cs="宋体"/>
          <w:i w:val="0"/>
          <w:iCs w:val="0"/>
          <w:sz w:val="24"/>
          <w:szCs w:val="24"/>
          <w:highlight w:val="none"/>
          <w:u w:val="single"/>
          <w:lang w:val="en-US" w:eastAsia="zh-CN"/>
        </w:rPr>
        <w:t>0</w:t>
      </w:r>
      <w:r>
        <w:rPr>
          <w:rFonts w:hint="eastAsia" w:ascii="宋体" w:hAnsi="宋体" w:eastAsia="宋体" w:cs="宋体"/>
          <w:i w:val="0"/>
          <w:iCs w:val="0"/>
          <w:sz w:val="24"/>
          <w:szCs w:val="24"/>
          <w:highlight w:val="none"/>
        </w:rPr>
        <w:t>至</w:t>
      </w:r>
      <w:r>
        <w:rPr>
          <w:rFonts w:hint="eastAsia" w:ascii="宋体" w:hAnsi="宋体" w:eastAsia="宋体" w:cs="宋体"/>
          <w:i w:val="0"/>
          <w:iCs w:val="0"/>
          <w:sz w:val="24"/>
          <w:szCs w:val="24"/>
          <w:highlight w:val="none"/>
          <w:u w:val="single"/>
          <w:lang w:val="en-US" w:eastAsia="zh-CN"/>
        </w:rPr>
        <w:t>13:</w:t>
      </w:r>
      <w:r>
        <w:rPr>
          <w:rFonts w:hint="eastAsia" w:ascii="宋体" w:hAnsi="宋体" w:cs="宋体"/>
          <w:i w:val="0"/>
          <w:iCs w:val="0"/>
          <w:sz w:val="24"/>
          <w:szCs w:val="24"/>
          <w:highlight w:val="none"/>
          <w:u w:val="single"/>
          <w:lang w:val="en-US" w:eastAsia="zh-CN"/>
        </w:rPr>
        <w:t>0</w:t>
      </w:r>
      <w:r>
        <w:rPr>
          <w:rFonts w:hint="eastAsia" w:ascii="宋体" w:hAnsi="宋体" w:eastAsia="宋体" w:cs="宋体"/>
          <w:i w:val="0"/>
          <w:iCs w:val="0"/>
          <w:sz w:val="24"/>
          <w:szCs w:val="24"/>
          <w:highlight w:val="none"/>
          <w:u w:val="single"/>
          <w:lang w:val="en-US" w:eastAsia="zh-CN"/>
        </w:rPr>
        <w:t>0</w:t>
      </w:r>
      <w:r>
        <w:rPr>
          <w:rFonts w:hint="eastAsia" w:ascii="宋体" w:hAnsi="宋体" w:eastAsia="宋体" w:cs="宋体"/>
          <w:i w:val="0"/>
          <w:iCs w:val="0"/>
          <w:sz w:val="24"/>
          <w:szCs w:val="24"/>
          <w:highlight w:val="none"/>
        </w:rPr>
        <w:t>，下午</w:t>
      </w:r>
      <w:r>
        <w:rPr>
          <w:rFonts w:hint="eastAsia" w:ascii="宋体" w:hAnsi="宋体" w:eastAsia="宋体" w:cs="宋体"/>
          <w:i w:val="0"/>
          <w:iCs w:val="0"/>
          <w:sz w:val="24"/>
          <w:szCs w:val="24"/>
          <w:highlight w:val="none"/>
          <w:u w:val="single"/>
          <w:lang w:val="en-US" w:eastAsia="zh-CN"/>
        </w:rPr>
        <w:t>15:30</w:t>
      </w:r>
      <w:r>
        <w:rPr>
          <w:rFonts w:hint="eastAsia" w:ascii="宋体" w:hAnsi="宋体" w:eastAsia="宋体" w:cs="宋体"/>
          <w:i w:val="0"/>
          <w:iCs w:val="0"/>
          <w:sz w:val="24"/>
          <w:szCs w:val="24"/>
          <w:highlight w:val="none"/>
        </w:rPr>
        <w:t>至</w:t>
      </w:r>
      <w:r>
        <w:rPr>
          <w:rFonts w:hint="eastAsia" w:ascii="宋体" w:hAnsi="宋体" w:eastAsia="宋体" w:cs="宋体"/>
          <w:i w:val="0"/>
          <w:iCs w:val="0"/>
          <w:sz w:val="24"/>
          <w:szCs w:val="24"/>
          <w:highlight w:val="none"/>
          <w:lang w:val="en-US" w:eastAsia="zh-CN"/>
        </w:rPr>
        <w:t>1</w:t>
      </w:r>
      <w:r>
        <w:rPr>
          <w:rFonts w:hint="eastAsia" w:ascii="宋体" w:hAnsi="宋体" w:cs="宋体"/>
          <w:i w:val="0"/>
          <w:iCs w:val="0"/>
          <w:sz w:val="24"/>
          <w:szCs w:val="24"/>
          <w:highlight w:val="none"/>
          <w:lang w:val="en-US" w:eastAsia="zh-CN"/>
        </w:rPr>
        <w:t>6</w:t>
      </w:r>
      <w:r>
        <w:rPr>
          <w:rFonts w:hint="eastAsia" w:ascii="宋体" w:hAnsi="宋体" w:eastAsia="宋体" w:cs="宋体"/>
          <w:i w:val="0"/>
          <w:iCs w:val="0"/>
          <w:sz w:val="24"/>
          <w:szCs w:val="24"/>
          <w:highlight w:val="none"/>
          <w:u w:val="single"/>
          <w:lang w:val="en-US" w:eastAsia="zh-CN"/>
        </w:rPr>
        <w:t>:30</w:t>
      </w:r>
      <w:r>
        <w:rPr>
          <w:rFonts w:hint="eastAsia" w:ascii="宋体" w:hAnsi="宋体" w:eastAsia="宋体" w:cs="宋体"/>
          <w:i w:val="0"/>
          <w:iCs w:val="0"/>
          <w:sz w:val="24"/>
          <w:szCs w:val="24"/>
          <w:highlight w:val="none"/>
        </w:rPr>
        <w:t>（北京时间，法定节假日除外 ）</w:t>
      </w:r>
    </w:p>
    <w:p>
      <w:pPr>
        <w:spacing w:line="360" w:lineRule="auto"/>
        <w:ind w:firstLine="540"/>
        <w:rPr>
          <w:rFonts w:hint="eastAsia" w:ascii="宋体" w:hAnsi="宋体" w:eastAsia="宋体" w:cs="宋体"/>
          <w:i w:val="0"/>
          <w:iCs w:val="0"/>
          <w:sz w:val="24"/>
          <w:szCs w:val="24"/>
          <w:highlight w:val="none"/>
          <w:lang w:eastAsia="zh-CN"/>
        </w:rPr>
      </w:pPr>
      <w:r>
        <w:rPr>
          <w:rFonts w:hint="eastAsia" w:ascii="宋体" w:hAnsi="宋体" w:eastAsia="宋体" w:cs="宋体"/>
          <w:b/>
          <w:bCs/>
          <w:sz w:val="24"/>
          <w:szCs w:val="24"/>
          <w:highlight w:val="none"/>
        </w:rPr>
        <w:t>地点：</w:t>
      </w:r>
      <w:r>
        <w:rPr>
          <w:rFonts w:hint="eastAsia" w:ascii="宋体" w:hAnsi="宋体" w:cs="宋体"/>
          <w:i w:val="0"/>
          <w:iCs w:val="0"/>
          <w:sz w:val="24"/>
          <w:szCs w:val="24"/>
          <w:highlight w:val="none"/>
          <w:lang w:eastAsia="zh-CN"/>
        </w:rPr>
        <w:t>新疆天之源项目管理集团有限公司（乌鲁木齐市水磨沟区龙盛街2799号浙商大厦11楼招标一部）</w:t>
      </w:r>
    </w:p>
    <w:p>
      <w:pPr>
        <w:spacing w:line="360" w:lineRule="auto"/>
        <w:ind w:firstLine="540"/>
        <w:rPr>
          <w:rFonts w:hint="eastAsia" w:ascii="宋体" w:hAnsi="宋体" w:eastAsia="宋体" w:cs="宋体"/>
          <w:i w:val="0"/>
          <w:iCs w:val="0"/>
          <w:sz w:val="24"/>
          <w:szCs w:val="24"/>
          <w:highlight w:val="none"/>
        </w:rPr>
      </w:pPr>
      <w:r>
        <w:rPr>
          <w:rFonts w:hint="eastAsia" w:ascii="宋体" w:hAnsi="宋体" w:eastAsia="宋体" w:cs="宋体"/>
          <w:b/>
          <w:bCs/>
          <w:i w:val="0"/>
          <w:iCs w:val="0"/>
          <w:sz w:val="24"/>
          <w:szCs w:val="24"/>
          <w:highlight w:val="none"/>
        </w:rPr>
        <w:t>方式：</w:t>
      </w:r>
      <w:r>
        <w:rPr>
          <w:rFonts w:hint="eastAsia" w:ascii="宋体" w:hAnsi="宋体" w:eastAsia="宋体" w:cs="宋体"/>
          <w:i w:val="0"/>
          <w:iCs w:val="0"/>
          <w:color w:val="auto"/>
          <w:sz w:val="24"/>
          <w:szCs w:val="24"/>
          <w:highlight w:val="none"/>
          <w:lang w:val="en-US" w:eastAsia="zh-CN"/>
        </w:rPr>
        <w:t>领取磋商文件时</w:t>
      </w:r>
      <w:r>
        <w:rPr>
          <w:rFonts w:hint="eastAsia" w:ascii="宋体" w:hAnsi="宋体" w:eastAsia="宋体" w:cs="宋体"/>
          <w:i w:val="0"/>
          <w:iCs w:val="0"/>
          <w:color w:val="auto"/>
          <w:sz w:val="24"/>
          <w:szCs w:val="24"/>
          <w:highlight w:val="none"/>
        </w:rPr>
        <w:t>需携带</w:t>
      </w:r>
      <w:r>
        <w:rPr>
          <w:rFonts w:hint="eastAsia" w:ascii="宋体" w:hAnsi="宋体" w:eastAsia="宋体" w:cs="宋体"/>
          <w:i w:val="0"/>
          <w:iCs w:val="0"/>
          <w:color w:val="auto"/>
          <w:sz w:val="24"/>
          <w:szCs w:val="24"/>
          <w:highlight w:val="none"/>
          <w:lang w:val="en-US" w:eastAsia="zh-CN"/>
        </w:rPr>
        <w:t>以下</w:t>
      </w:r>
      <w:r>
        <w:rPr>
          <w:rFonts w:hint="eastAsia" w:ascii="宋体" w:hAnsi="宋体" w:eastAsia="宋体" w:cs="宋体"/>
          <w:i w:val="0"/>
          <w:iCs w:val="0"/>
          <w:color w:val="auto"/>
          <w:sz w:val="24"/>
          <w:szCs w:val="24"/>
          <w:highlight w:val="none"/>
        </w:rPr>
        <w:t>原件（能通过互联网或者相关信息系统查询的信息除外）查验</w:t>
      </w:r>
      <w:r>
        <w:rPr>
          <w:rFonts w:hint="eastAsia" w:ascii="宋体" w:hAnsi="宋体" w:cs="宋体"/>
          <w:i w:val="0"/>
          <w:iCs w:val="0"/>
          <w:color w:val="auto"/>
          <w:sz w:val="24"/>
          <w:szCs w:val="24"/>
          <w:highlight w:val="none"/>
          <w:lang w:eastAsia="zh-CN"/>
        </w:rPr>
        <w:t>，</w:t>
      </w:r>
      <w:r>
        <w:rPr>
          <w:rFonts w:hint="eastAsia" w:ascii="宋体" w:hAnsi="宋体" w:cs="宋体"/>
          <w:i w:val="0"/>
          <w:iCs w:val="0"/>
          <w:color w:val="auto"/>
          <w:sz w:val="24"/>
          <w:szCs w:val="24"/>
          <w:highlight w:val="none"/>
          <w:lang w:val="en-US" w:eastAsia="zh-CN"/>
        </w:rPr>
        <w:t>并携带</w:t>
      </w:r>
      <w:r>
        <w:rPr>
          <w:rFonts w:hint="eastAsia" w:ascii="宋体" w:hAnsi="宋体" w:eastAsia="宋体" w:cs="宋体"/>
          <w:i w:val="0"/>
          <w:iCs w:val="0"/>
          <w:color w:val="auto"/>
          <w:sz w:val="24"/>
          <w:szCs w:val="24"/>
          <w:highlight w:val="none"/>
        </w:rPr>
        <w:t>加盖公章的 A4 纸复印件</w:t>
      </w:r>
      <w:r>
        <w:rPr>
          <w:rFonts w:hint="eastAsia" w:ascii="宋体" w:hAnsi="宋体" w:cs="宋体"/>
          <w:i w:val="0"/>
          <w:iCs w:val="0"/>
          <w:color w:val="auto"/>
          <w:sz w:val="24"/>
          <w:szCs w:val="24"/>
          <w:highlight w:val="none"/>
          <w:lang w:eastAsia="zh-CN"/>
        </w:rPr>
        <w:t>一</w:t>
      </w:r>
      <w:r>
        <w:rPr>
          <w:rFonts w:hint="eastAsia" w:ascii="宋体" w:hAnsi="宋体" w:eastAsia="宋体" w:cs="宋体"/>
          <w:i w:val="0"/>
          <w:iCs w:val="0"/>
          <w:color w:val="auto"/>
          <w:sz w:val="24"/>
          <w:szCs w:val="24"/>
          <w:highlight w:val="none"/>
        </w:rPr>
        <w:t>套，复印件为单面复印，按先后顺序装订，不接受公证件。</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（1）</w:t>
      </w:r>
      <w:r>
        <w:rPr>
          <w:rFonts w:hint="eastAsia" w:ascii="宋体" w:hAnsi="宋体" w:eastAsia="宋体" w:cs="宋体"/>
          <w:i w:val="0"/>
          <w:iCs w:val="0"/>
          <w:color w:val="auto"/>
          <w:sz w:val="24"/>
          <w:szCs w:val="24"/>
          <w:highlight w:val="none"/>
        </w:rPr>
        <w:t>法人授权委托书和被授权人有效身份证（法人直接参加的需出示法人</w:t>
      </w:r>
      <w:r>
        <w:rPr>
          <w:rFonts w:hint="eastAsia" w:ascii="宋体" w:hAnsi="宋体" w:eastAsia="宋体" w:cs="宋体"/>
          <w:i w:val="0"/>
          <w:iCs w:val="0"/>
          <w:color w:val="auto"/>
          <w:sz w:val="24"/>
          <w:szCs w:val="24"/>
          <w:highlight w:val="none"/>
          <w:lang w:eastAsia="zh-CN"/>
        </w:rPr>
        <w:t>身份证明及</w:t>
      </w:r>
      <w:r>
        <w:rPr>
          <w:rFonts w:hint="eastAsia" w:ascii="宋体" w:hAnsi="宋体" w:eastAsia="宋体" w:cs="宋体"/>
          <w:i w:val="0"/>
          <w:iCs w:val="0"/>
          <w:color w:val="auto"/>
          <w:sz w:val="24"/>
          <w:szCs w:val="24"/>
          <w:highlight w:val="none"/>
        </w:rPr>
        <w:t>身份证原件）</w:t>
      </w:r>
      <w:r>
        <w:rPr>
          <w:rFonts w:hint="eastAsia" w:ascii="宋体" w:hAnsi="宋体" w:eastAsia="宋体" w:cs="宋体"/>
          <w:i w:val="0"/>
          <w:iCs w:val="0"/>
          <w:sz w:val="24"/>
          <w:szCs w:val="24"/>
          <w:highlight w:val="none"/>
        </w:rPr>
        <w:t>；</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i w:val="0"/>
          <w:iCs w:val="0"/>
          <w:sz w:val="24"/>
          <w:szCs w:val="24"/>
          <w:highlight w:val="none"/>
          <w:lang w:eastAsia="zh-CN"/>
        </w:rPr>
      </w:pPr>
      <w:r>
        <w:rPr>
          <w:rFonts w:hint="eastAsia" w:ascii="宋体" w:hAnsi="宋体" w:eastAsia="宋体" w:cs="宋体"/>
          <w:i w:val="0"/>
          <w:iCs w:val="0"/>
          <w:sz w:val="24"/>
          <w:szCs w:val="24"/>
          <w:highlight w:val="none"/>
        </w:rPr>
        <w:t>（2）</w:t>
      </w:r>
      <w:r>
        <w:rPr>
          <w:rFonts w:hint="eastAsia" w:ascii="宋体" w:hAnsi="宋体" w:eastAsia="宋体" w:cs="宋体"/>
          <w:color w:val="auto"/>
          <w:sz w:val="24"/>
          <w:szCs w:val="24"/>
          <w:highlight w:val="none"/>
          <w:lang w:eastAsia="zh-CN"/>
        </w:rPr>
        <w:t>供应商为企业法人应提供合法有效的标识有统一社会信用代码的营业执照</w:t>
      </w:r>
      <w:r>
        <w:rPr>
          <w:rFonts w:hint="eastAsia" w:ascii="宋体" w:hAnsi="宋体" w:eastAsia="宋体" w:cs="宋体"/>
          <w:i w:val="0"/>
          <w:iCs w:val="0"/>
          <w:sz w:val="24"/>
          <w:szCs w:val="24"/>
          <w:highlight w:val="none"/>
          <w:lang w:eastAsia="zh-CN"/>
        </w:rPr>
        <w:t>；事业法人应提供事业单位法人证书；其他组织应提供合法登记证明文件；</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cs="宋体"/>
          <w:i w:val="0"/>
          <w:iCs w:val="0"/>
          <w:sz w:val="24"/>
          <w:szCs w:val="24"/>
          <w:highlight w:val="yellow"/>
          <w:u w:val="none"/>
          <w:lang w:eastAsia="zh-CN"/>
        </w:rPr>
      </w:pPr>
      <w:r>
        <w:rPr>
          <w:rFonts w:hint="eastAsia" w:ascii="宋体" w:hAnsi="宋体" w:eastAsia="宋体" w:cs="宋体"/>
          <w:i w:val="0"/>
          <w:iCs w:val="0"/>
          <w:sz w:val="24"/>
          <w:szCs w:val="24"/>
          <w:highlight w:val="yellow"/>
        </w:rPr>
        <w:t>（</w:t>
      </w:r>
      <w:r>
        <w:rPr>
          <w:rFonts w:hint="eastAsia" w:ascii="宋体" w:hAnsi="宋体" w:eastAsia="宋体" w:cs="宋体"/>
          <w:i w:val="0"/>
          <w:iCs w:val="0"/>
          <w:sz w:val="24"/>
          <w:szCs w:val="24"/>
          <w:highlight w:val="yellow"/>
          <w:lang w:val="en-US" w:eastAsia="zh-CN"/>
        </w:rPr>
        <w:t>3</w:t>
      </w:r>
      <w:r>
        <w:rPr>
          <w:rFonts w:hint="eastAsia" w:ascii="宋体" w:hAnsi="宋体" w:eastAsia="宋体" w:cs="宋体"/>
          <w:i w:val="0"/>
          <w:iCs w:val="0"/>
          <w:sz w:val="24"/>
          <w:szCs w:val="24"/>
          <w:highlight w:val="yellow"/>
        </w:rPr>
        <w:t>）</w:t>
      </w:r>
      <w:r>
        <w:rPr>
          <w:rFonts w:hint="eastAsia" w:ascii="宋体" w:hAnsi="宋体" w:eastAsia="宋体" w:cs="宋体"/>
          <w:i w:val="0"/>
          <w:iCs w:val="0"/>
          <w:sz w:val="24"/>
          <w:szCs w:val="24"/>
          <w:highlight w:val="yellow"/>
          <w:u w:val="none"/>
          <w:lang w:eastAsia="zh-CN"/>
        </w:rPr>
        <w:t>根据《政府采购促进中小企业发展管理办法》要求，本项目应当专门面向中小企业采购</w:t>
      </w:r>
      <w:r>
        <w:rPr>
          <w:rFonts w:hint="eastAsia" w:ascii="宋体" w:hAnsi="宋体" w:cs="宋体"/>
          <w:i w:val="0"/>
          <w:iCs w:val="0"/>
          <w:sz w:val="24"/>
          <w:szCs w:val="24"/>
          <w:highlight w:val="yellow"/>
          <w:u w:val="none"/>
          <w:lang w:eastAsia="zh-CN"/>
        </w:rPr>
        <w:t>（</w:t>
      </w:r>
      <w:r>
        <w:rPr>
          <w:rFonts w:hint="eastAsia" w:ascii="宋体" w:hAnsi="宋体" w:cs="宋体"/>
          <w:i w:val="0"/>
          <w:iCs w:val="0"/>
          <w:sz w:val="24"/>
          <w:szCs w:val="24"/>
          <w:highlight w:val="yellow"/>
          <w:u w:val="none"/>
          <w:lang w:val="en-US" w:eastAsia="zh-CN"/>
        </w:rPr>
        <w:t>提供中小微企业声明函</w:t>
      </w:r>
      <w:r>
        <w:rPr>
          <w:rFonts w:hint="eastAsia" w:ascii="宋体" w:hAnsi="宋体" w:cs="宋体"/>
          <w:i w:val="0"/>
          <w:iCs w:val="0"/>
          <w:sz w:val="24"/>
          <w:szCs w:val="24"/>
          <w:highlight w:val="yellow"/>
          <w:u w:val="none"/>
          <w:lang w:eastAsia="zh-CN"/>
        </w:rPr>
        <w:t>）。</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w:t>
      </w:r>
      <w:r>
        <w:rPr>
          <w:rFonts w:hint="eastAsia" w:ascii="宋体" w:hAnsi="宋体" w:cs="宋体"/>
          <w:i w:val="0"/>
          <w:iCs w:val="0"/>
          <w:sz w:val="24"/>
          <w:szCs w:val="24"/>
          <w:highlight w:val="none"/>
          <w:lang w:val="en-US" w:eastAsia="zh-CN"/>
        </w:rPr>
        <w:t>4</w:t>
      </w:r>
      <w:r>
        <w:rPr>
          <w:rFonts w:hint="eastAsia" w:ascii="宋体" w:hAnsi="宋体" w:eastAsia="宋体" w:cs="宋体"/>
          <w:i w:val="0"/>
          <w:iCs w:val="0"/>
          <w:sz w:val="24"/>
          <w:szCs w:val="24"/>
          <w:highlight w:val="none"/>
        </w:rPr>
        <w:t>）社会保障资金缴纳证明：供应商提供近半年内已缴存的至少一个月的社会保障资金缴存单据或社保机构开具的社会保险参保缴费情况证明，依法不需要缴纳社会保障资金的供应商应提供相关文件证明；</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w:t>
      </w:r>
      <w:r>
        <w:rPr>
          <w:rFonts w:hint="eastAsia" w:ascii="宋体" w:hAnsi="宋体" w:eastAsia="宋体" w:cs="宋体"/>
          <w:i w:val="0"/>
          <w:iCs w:val="0"/>
          <w:sz w:val="24"/>
          <w:szCs w:val="24"/>
          <w:highlight w:val="none"/>
          <w:lang w:val="en-US" w:eastAsia="zh-CN"/>
        </w:rPr>
        <w:t>5</w:t>
      </w:r>
      <w:r>
        <w:rPr>
          <w:rFonts w:hint="eastAsia" w:ascii="宋体" w:hAnsi="宋体" w:eastAsia="宋体" w:cs="宋体"/>
          <w:i w:val="0"/>
          <w:iCs w:val="0"/>
          <w:sz w:val="24"/>
          <w:szCs w:val="24"/>
          <w:highlight w:val="none"/>
        </w:rPr>
        <w:t>）财务状况报告：供应商提供近1年的财务审计报告（至少包括审计报告、资产负债表和利润表，成立时间至提交投标文件截止时间不足一年的可提供成立后任意时段的资产负债表），或其开标前三个月内基本存款账户开户银行出具的资信证明；</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w:t>
      </w:r>
      <w:r>
        <w:rPr>
          <w:rFonts w:hint="eastAsia" w:ascii="宋体" w:hAnsi="宋体" w:eastAsia="宋体" w:cs="宋体"/>
          <w:i w:val="0"/>
          <w:iCs w:val="0"/>
          <w:sz w:val="24"/>
          <w:szCs w:val="24"/>
          <w:highlight w:val="none"/>
          <w:lang w:val="en-US" w:eastAsia="zh-CN"/>
        </w:rPr>
        <w:t>6</w:t>
      </w:r>
      <w:r>
        <w:rPr>
          <w:rFonts w:hint="eastAsia" w:ascii="宋体" w:hAnsi="宋体" w:eastAsia="宋体" w:cs="宋体"/>
          <w:i w:val="0"/>
          <w:iCs w:val="0"/>
          <w:sz w:val="24"/>
          <w:szCs w:val="24"/>
          <w:highlight w:val="none"/>
        </w:rPr>
        <w:t>）税收缴纳证明：供应商提供近半年内已缴纳的至少一个月的纳税证明或完税证明，纳税证明或完税证明上应有代收机构或税务机关的公章，依法免税的供应商应提供相关文件证明；</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w:t>
      </w:r>
      <w:r>
        <w:rPr>
          <w:rFonts w:hint="eastAsia" w:ascii="宋体" w:hAnsi="宋体" w:eastAsia="宋体" w:cs="宋体"/>
          <w:i w:val="0"/>
          <w:iCs w:val="0"/>
          <w:sz w:val="24"/>
          <w:szCs w:val="24"/>
          <w:highlight w:val="none"/>
          <w:lang w:val="en-US" w:eastAsia="zh-CN"/>
        </w:rPr>
        <w:t>7</w:t>
      </w:r>
      <w:r>
        <w:rPr>
          <w:rFonts w:hint="eastAsia" w:ascii="宋体" w:hAnsi="宋体" w:eastAsia="宋体" w:cs="宋体"/>
          <w:i w:val="0"/>
          <w:iCs w:val="0"/>
          <w:sz w:val="24"/>
          <w:szCs w:val="24"/>
          <w:highlight w:val="none"/>
        </w:rPr>
        <w:t>）供应商应具备良好的商业信誉，提供参加政府采购活动前3年内在经营活动中没有重大违法记录的书面声明；</w:t>
      </w:r>
    </w:p>
    <w:p>
      <w:pPr>
        <w:pageBreakBefore w:val="0"/>
        <w:widowControl w:val="0"/>
        <w:kinsoku/>
        <w:wordWrap/>
        <w:overflowPunct/>
        <w:topLinePunct w:val="0"/>
        <w:bidi w:val="0"/>
        <w:snapToGrid/>
        <w:spacing w:line="360" w:lineRule="auto"/>
        <w:ind w:left="0" w:leftChars="0" w:firstLine="480" w:firstLineChars="200"/>
        <w:textAlignment w:val="auto"/>
      </w:pPr>
      <w:r>
        <w:rPr>
          <w:rFonts w:hint="eastAsia" w:ascii="宋体" w:hAnsi="宋体" w:eastAsia="宋体" w:cs="宋体"/>
          <w:i w:val="0"/>
          <w:iCs w:val="0"/>
          <w:sz w:val="24"/>
          <w:szCs w:val="24"/>
          <w:highlight w:val="none"/>
        </w:rPr>
        <w:t>（</w:t>
      </w:r>
      <w:r>
        <w:rPr>
          <w:rFonts w:hint="eastAsia" w:ascii="宋体" w:hAnsi="宋体" w:eastAsia="宋体" w:cs="宋体"/>
          <w:i w:val="0"/>
          <w:iCs w:val="0"/>
          <w:sz w:val="24"/>
          <w:szCs w:val="24"/>
          <w:highlight w:val="none"/>
          <w:lang w:val="en-US" w:eastAsia="zh-CN"/>
        </w:rPr>
        <w:t>8</w:t>
      </w:r>
      <w:r>
        <w:rPr>
          <w:rFonts w:hint="eastAsia" w:ascii="宋体" w:hAnsi="宋体" w:eastAsia="宋体" w:cs="宋体"/>
          <w:i w:val="0"/>
          <w:iCs w:val="0"/>
          <w:sz w:val="24"/>
          <w:szCs w:val="24"/>
          <w:highlight w:val="none"/>
        </w:rPr>
        <w:t>）</w:t>
      </w:r>
      <w:r>
        <w:rPr>
          <w:rFonts w:hint="eastAsia" w:ascii="宋体" w:hAnsi="宋体" w:eastAsia="宋体" w:cs="宋体"/>
          <w:i w:val="0"/>
          <w:iCs w:val="0"/>
          <w:sz w:val="24"/>
          <w:szCs w:val="24"/>
          <w:highlight w:val="none"/>
          <w:u w:val="none"/>
        </w:rPr>
        <w:t>供应商应在“信用中国”网站（</w:t>
      </w:r>
      <w:r>
        <w:rPr>
          <w:rFonts w:hint="eastAsia"/>
          <w:highlight w:val="none"/>
        </w:rPr>
        <w:t>www.creditchina.gov.cn）</w:t>
      </w:r>
      <w:r>
        <w:rPr>
          <w:rFonts w:hint="eastAsia" w:ascii="宋体" w:hAnsi="宋体" w:eastAsia="宋体" w:cs="宋体"/>
          <w:i w:val="0"/>
          <w:iCs w:val="0"/>
          <w:sz w:val="24"/>
          <w:szCs w:val="24"/>
          <w:highlight w:val="none"/>
          <w:u w:val="none"/>
        </w:rPr>
        <w:t>未被列入失信被执行人记录、</w:t>
      </w:r>
      <w:r>
        <w:rPr>
          <w:rFonts w:hint="eastAsia" w:ascii="宋体" w:hAnsi="宋体" w:cs="宋体"/>
          <w:i w:val="0"/>
          <w:iCs w:val="0"/>
          <w:sz w:val="24"/>
          <w:szCs w:val="24"/>
          <w:highlight w:val="none"/>
          <w:u w:val="none"/>
          <w:lang w:eastAsia="zh-CN"/>
        </w:rPr>
        <w:t>重大税收违法失信主体记录</w:t>
      </w:r>
      <w:r>
        <w:rPr>
          <w:rFonts w:hint="eastAsia" w:ascii="宋体" w:hAnsi="宋体" w:eastAsia="宋体" w:cs="宋体"/>
          <w:i w:val="0"/>
          <w:iCs w:val="0"/>
          <w:sz w:val="24"/>
          <w:szCs w:val="24"/>
          <w:highlight w:val="none"/>
          <w:u w:val="none"/>
        </w:rPr>
        <w:t>且在中国政府采购网</w:t>
      </w:r>
      <w:r>
        <w:rPr>
          <w:rFonts w:hint="eastAsia"/>
          <w:highlight w:val="none"/>
        </w:rPr>
        <w:t>（www.ccgp.gov.cn）</w:t>
      </w:r>
      <w:r>
        <w:rPr>
          <w:rFonts w:hint="eastAsia" w:ascii="宋体" w:hAnsi="宋体" w:eastAsia="宋体" w:cs="宋体"/>
          <w:i w:val="0"/>
          <w:iCs w:val="0"/>
          <w:sz w:val="24"/>
          <w:szCs w:val="24"/>
          <w:highlight w:val="none"/>
          <w:u w:val="none"/>
        </w:rPr>
        <w:t>没有相关主体政府采购严重违法失信行为记录（被禁止在一定期限内参加政府采购活动但期限届满的除外）（查询日期为从采购文件发售之日起至投标截止日前）</w:t>
      </w:r>
      <w:r>
        <w:rPr>
          <w:rFonts w:hint="eastAsia" w:ascii="宋体" w:hAnsi="宋体" w:eastAsia="宋体" w:cs="宋体"/>
          <w:i w:val="0"/>
          <w:iCs w:val="0"/>
          <w:sz w:val="24"/>
          <w:szCs w:val="24"/>
          <w:highlight w:val="none"/>
          <w:u w:val="none"/>
          <w:lang w:eastAsia="zh-CN"/>
        </w:rPr>
        <w:t>，</w:t>
      </w:r>
      <w:r>
        <w:rPr>
          <w:rFonts w:hint="eastAsia" w:ascii="宋体" w:hAnsi="宋体" w:eastAsia="宋体" w:cs="宋体"/>
          <w:i w:val="0"/>
          <w:iCs w:val="0"/>
          <w:sz w:val="24"/>
          <w:szCs w:val="24"/>
          <w:highlight w:val="none"/>
          <w:u w:val="none"/>
        </w:rPr>
        <w:t>以网页截图</w:t>
      </w:r>
      <w:r>
        <w:rPr>
          <w:rFonts w:hint="eastAsia" w:ascii="宋体" w:hAnsi="宋体" w:eastAsia="宋体" w:cs="宋体"/>
          <w:i w:val="0"/>
          <w:iCs w:val="0"/>
          <w:sz w:val="24"/>
          <w:szCs w:val="24"/>
          <w:highlight w:val="none"/>
          <w:u w:val="none"/>
          <w:lang w:eastAsia="zh-CN"/>
        </w:rPr>
        <w:t>（</w:t>
      </w:r>
      <w:r>
        <w:rPr>
          <w:rFonts w:hint="eastAsia" w:ascii="宋体" w:hAnsi="宋体" w:eastAsia="宋体" w:cs="宋体"/>
          <w:i w:val="0"/>
          <w:iCs w:val="0"/>
          <w:sz w:val="24"/>
          <w:szCs w:val="24"/>
          <w:highlight w:val="none"/>
          <w:u w:val="none"/>
          <w:lang w:val="en-US" w:eastAsia="zh-CN"/>
        </w:rPr>
        <w:t>需显示查询时间）</w:t>
      </w:r>
      <w:r>
        <w:rPr>
          <w:rFonts w:hint="eastAsia" w:ascii="宋体" w:hAnsi="宋体" w:eastAsia="宋体" w:cs="宋体"/>
          <w:i w:val="0"/>
          <w:iCs w:val="0"/>
          <w:sz w:val="24"/>
          <w:szCs w:val="24"/>
          <w:highlight w:val="none"/>
          <w:u w:val="none"/>
        </w:rPr>
        <w:t>加盖</w:t>
      </w:r>
      <w:r>
        <w:rPr>
          <w:rFonts w:hint="eastAsia" w:ascii="宋体" w:hAnsi="宋体" w:eastAsia="宋体" w:cs="宋体"/>
          <w:i w:val="0"/>
          <w:iCs w:val="0"/>
          <w:sz w:val="24"/>
          <w:szCs w:val="24"/>
          <w:highlight w:val="none"/>
          <w:u w:val="none"/>
          <w:lang w:val="en-US" w:eastAsia="zh-CN"/>
        </w:rPr>
        <w:t>供应商</w:t>
      </w:r>
      <w:r>
        <w:rPr>
          <w:rFonts w:hint="eastAsia" w:ascii="宋体" w:hAnsi="宋体" w:eastAsia="宋体" w:cs="宋体"/>
          <w:i w:val="0"/>
          <w:iCs w:val="0"/>
          <w:sz w:val="24"/>
          <w:szCs w:val="24"/>
          <w:highlight w:val="none"/>
          <w:u w:val="none"/>
        </w:rPr>
        <w:t>公章为准</w:t>
      </w:r>
      <w:r>
        <w:rPr>
          <w:rFonts w:hint="eastAsia" w:ascii="宋体" w:hAnsi="宋体" w:eastAsia="宋体" w:cs="宋体"/>
          <w:i w:val="0"/>
          <w:iCs w:val="0"/>
          <w:sz w:val="24"/>
          <w:szCs w:val="24"/>
          <w:highlight w:val="none"/>
          <w:u w:val="none"/>
          <w:lang w:eastAsia="zh-CN"/>
        </w:rPr>
        <w:t>；</w:t>
      </w:r>
    </w:p>
    <w:p>
      <w:pPr>
        <w:spacing w:line="360" w:lineRule="auto"/>
        <w:ind w:firstLine="540"/>
        <w:rPr>
          <w:rFonts w:ascii="仿宋" w:hAnsi="仿宋" w:eastAsia="仿宋" w:cs="宋体"/>
          <w:sz w:val="28"/>
          <w:szCs w:val="28"/>
          <w:highlight w:val="none"/>
        </w:rPr>
      </w:pPr>
      <w:r>
        <w:rPr>
          <w:rFonts w:hint="eastAsia" w:ascii="宋体" w:hAnsi="宋体" w:eastAsia="宋体" w:cs="宋体"/>
          <w:b/>
          <w:bCs/>
          <w:sz w:val="28"/>
          <w:szCs w:val="28"/>
          <w:highlight w:val="none"/>
        </w:rPr>
        <w:t>售价：</w:t>
      </w:r>
      <w:r>
        <w:rPr>
          <w:rFonts w:hint="eastAsia" w:ascii="宋体" w:hAnsi="宋体" w:cs="宋体"/>
          <w:i w:val="0"/>
          <w:iCs w:val="0"/>
          <w:sz w:val="24"/>
          <w:szCs w:val="24"/>
          <w:highlight w:val="none"/>
          <w:lang w:val="en-US" w:eastAsia="zh-CN"/>
        </w:rPr>
        <w:t>3</w:t>
      </w:r>
      <w:r>
        <w:rPr>
          <w:rFonts w:hint="eastAsia" w:ascii="宋体" w:hAnsi="宋体" w:eastAsia="宋体" w:cs="宋体"/>
          <w:i w:val="0"/>
          <w:iCs w:val="0"/>
          <w:sz w:val="24"/>
          <w:szCs w:val="24"/>
          <w:highlight w:val="none"/>
        </w:rPr>
        <w:t>00元/本，逾期不售、售后不退。</w:t>
      </w:r>
    </w:p>
    <w:p>
      <w:pPr>
        <w:spacing w:line="360" w:lineRule="auto"/>
        <w:jc w:val="left"/>
        <w:outlineLvl w:val="9"/>
        <w:rPr>
          <w:rFonts w:ascii="黑体" w:hAnsi="黑体" w:cs="宋体"/>
          <w:b/>
          <w:bCs w:val="0"/>
          <w:sz w:val="28"/>
          <w:szCs w:val="28"/>
          <w:highlight w:val="none"/>
        </w:rPr>
      </w:pPr>
      <w:bookmarkStart w:id="18" w:name="_Toc35393632"/>
      <w:bookmarkStart w:id="19" w:name="_Toc35393801"/>
      <w:bookmarkStart w:id="20" w:name="_Toc28359092"/>
      <w:bookmarkStart w:id="21" w:name="_Toc28359015"/>
      <w:r>
        <w:rPr>
          <w:rFonts w:hint="eastAsia" w:ascii="黑体" w:hAnsi="黑体" w:cs="宋体"/>
          <w:b/>
          <w:bCs w:val="0"/>
          <w:sz w:val="28"/>
          <w:szCs w:val="28"/>
          <w:highlight w:val="none"/>
        </w:rPr>
        <w:t>四、响应文件提交</w:t>
      </w:r>
      <w:bookmarkEnd w:id="18"/>
      <w:bookmarkEnd w:id="19"/>
      <w:bookmarkEnd w:id="20"/>
      <w:bookmarkEnd w:id="21"/>
    </w:p>
    <w:p>
      <w:pPr>
        <w:pageBreakBefore w:val="0"/>
        <w:widowControl w:val="0"/>
        <w:kinsoku/>
        <w:wordWrap/>
        <w:overflowPunct/>
        <w:topLinePunct w:val="0"/>
        <w:bidi w:val="0"/>
        <w:snapToGrid/>
        <w:spacing w:line="360" w:lineRule="auto"/>
        <w:ind w:left="0" w:leftChars="0" w:firstLine="482" w:firstLineChars="200"/>
        <w:textAlignment w:val="auto"/>
        <w:rPr>
          <w:rFonts w:hint="eastAsia" w:ascii="宋体" w:hAnsi="宋体" w:eastAsia="宋体" w:cs="宋体"/>
          <w:bCs/>
          <w:i w:val="0"/>
          <w:iCs w:val="0"/>
          <w:sz w:val="24"/>
          <w:szCs w:val="24"/>
          <w:highlight w:val="none"/>
        </w:rPr>
      </w:pPr>
      <w:r>
        <w:rPr>
          <w:rFonts w:hint="eastAsia" w:ascii="宋体" w:hAnsi="宋体" w:eastAsia="宋体" w:cs="宋体"/>
          <w:b/>
          <w:bCs/>
          <w:i w:val="0"/>
          <w:iCs w:val="0"/>
          <w:sz w:val="24"/>
          <w:szCs w:val="24"/>
          <w:highlight w:val="none"/>
        </w:rPr>
        <w:t>截止时间：</w:t>
      </w:r>
      <w:r>
        <w:rPr>
          <w:rFonts w:hint="eastAsia" w:ascii="宋体" w:hAnsi="宋体" w:eastAsia="宋体" w:cs="宋体"/>
          <w:i w:val="0"/>
          <w:iCs w:val="0"/>
          <w:sz w:val="24"/>
          <w:szCs w:val="24"/>
          <w:highlight w:val="none"/>
          <w:u w:val="single"/>
          <w:lang w:val="en-US" w:eastAsia="zh-CN"/>
        </w:rPr>
        <w:t>202</w:t>
      </w:r>
      <w:r>
        <w:rPr>
          <w:rFonts w:hint="eastAsia" w:ascii="宋体" w:hAnsi="宋体" w:cs="宋体"/>
          <w:i w:val="0"/>
          <w:iCs w:val="0"/>
          <w:sz w:val="24"/>
          <w:szCs w:val="24"/>
          <w:highlight w:val="none"/>
          <w:u w:val="single"/>
          <w:lang w:val="en-US" w:eastAsia="zh-CN"/>
        </w:rPr>
        <w:t>2</w:t>
      </w:r>
      <w:r>
        <w:rPr>
          <w:rFonts w:hint="eastAsia" w:ascii="宋体" w:hAnsi="宋体" w:eastAsia="宋体" w:cs="宋体"/>
          <w:bCs/>
          <w:i w:val="0"/>
          <w:iCs w:val="0"/>
          <w:sz w:val="24"/>
          <w:szCs w:val="24"/>
          <w:highlight w:val="none"/>
          <w:u w:val="single"/>
        </w:rPr>
        <w:t>年</w:t>
      </w:r>
      <w:r>
        <w:rPr>
          <w:rFonts w:hint="eastAsia" w:ascii="宋体" w:hAnsi="宋体" w:cs="宋体"/>
          <w:bCs/>
          <w:i w:val="0"/>
          <w:iCs w:val="0"/>
          <w:sz w:val="24"/>
          <w:szCs w:val="24"/>
          <w:highlight w:val="none"/>
          <w:u w:val="single"/>
          <w:lang w:val="en-US" w:eastAsia="zh-CN"/>
        </w:rPr>
        <w:t>11月</w:t>
      </w:r>
      <w:r>
        <w:rPr>
          <w:rFonts w:hint="eastAsia" w:ascii="宋体" w:hAnsi="宋体" w:cs="宋体"/>
          <w:bCs/>
          <w:i w:val="0"/>
          <w:iCs w:val="0"/>
          <w:sz w:val="24"/>
          <w:szCs w:val="24"/>
          <w:highlight w:val="yellow"/>
          <w:u w:val="single"/>
          <w:lang w:val="en-US" w:eastAsia="zh-CN"/>
        </w:rPr>
        <w:t>01</w:t>
      </w:r>
      <w:r>
        <w:rPr>
          <w:rFonts w:hint="eastAsia" w:ascii="宋体" w:hAnsi="宋体" w:eastAsia="宋体" w:cs="宋体"/>
          <w:bCs/>
          <w:i w:val="0"/>
          <w:iCs w:val="0"/>
          <w:sz w:val="24"/>
          <w:szCs w:val="24"/>
          <w:highlight w:val="none"/>
          <w:u w:val="single"/>
        </w:rPr>
        <w:t>日</w:t>
      </w:r>
      <w:r>
        <w:rPr>
          <w:rFonts w:hint="eastAsia" w:ascii="宋体" w:hAnsi="宋体" w:cs="宋体"/>
          <w:bCs/>
          <w:i w:val="0"/>
          <w:iCs w:val="0"/>
          <w:sz w:val="24"/>
          <w:szCs w:val="24"/>
          <w:highlight w:val="yellow"/>
          <w:u w:val="single"/>
          <w:lang w:val="en-US" w:eastAsia="zh-CN"/>
        </w:rPr>
        <w:t>16</w:t>
      </w:r>
      <w:r>
        <w:rPr>
          <w:rFonts w:hint="eastAsia" w:ascii="宋体" w:hAnsi="宋体" w:eastAsia="宋体" w:cs="宋体"/>
          <w:bCs/>
          <w:i w:val="0"/>
          <w:iCs w:val="0"/>
          <w:sz w:val="24"/>
          <w:szCs w:val="24"/>
          <w:highlight w:val="yellow"/>
          <w:u w:val="single"/>
        </w:rPr>
        <w:t>点</w:t>
      </w:r>
      <w:r>
        <w:rPr>
          <w:rFonts w:hint="eastAsia" w:ascii="宋体" w:hAnsi="宋体" w:cs="宋体"/>
          <w:bCs/>
          <w:i w:val="0"/>
          <w:iCs w:val="0"/>
          <w:sz w:val="24"/>
          <w:szCs w:val="24"/>
          <w:highlight w:val="yellow"/>
          <w:u w:val="single"/>
          <w:lang w:val="en-US" w:eastAsia="zh-CN"/>
        </w:rPr>
        <w:t>0</w:t>
      </w:r>
      <w:r>
        <w:rPr>
          <w:rFonts w:hint="eastAsia" w:ascii="宋体" w:hAnsi="宋体" w:eastAsia="宋体" w:cs="宋体"/>
          <w:bCs/>
          <w:i w:val="0"/>
          <w:iCs w:val="0"/>
          <w:sz w:val="24"/>
          <w:szCs w:val="24"/>
          <w:highlight w:val="yellow"/>
          <w:u w:val="single"/>
          <w:lang w:val="en-US" w:eastAsia="zh-CN"/>
        </w:rPr>
        <w:t>0</w:t>
      </w:r>
      <w:r>
        <w:rPr>
          <w:rFonts w:hint="eastAsia" w:ascii="宋体" w:hAnsi="宋体" w:eastAsia="宋体" w:cs="宋体"/>
          <w:bCs/>
          <w:i w:val="0"/>
          <w:iCs w:val="0"/>
          <w:sz w:val="24"/>
          <w:szCs w:val="24"/>
          <w:highlight w:val="yellow"/>
          <w:u w:val="single"/>
        </w:rPr>
        <w:t>分</w:t>
      </w:r>
      <w:r>
        <w:rPr>
          <w:rFonts w:hint="eastAsia" w:ascii="宋体" w:hAnsi="宋体" w:eastAsia="宋体" w:cs="宋体"/>
          <w:bCs/>
          <w:i w:val="0"/>
          <w:iCs w:val="0"/>
          <w:sz w:val="24"/>
          <w:szCs w:val="24"/>
          <w:highlight w:val="none"/>
        </w:rPr>
        <w:t>（北京时间）</w:t>
      </w:r>
    </w:p>
    <w:p>
      <w:pPr>
        <w:pageBreakBefore w:val="0"/>
        <w:widowControl w:val="0"/>
        <w:kinsoku/>
        <w:wordWrap/>
        <w:overflowPunct/>
        <w:topLinePunct w:val="0"/>
        <w:bidi w:val="0"/>
        <w:snapToGrid/>
        <w:spacing w:line="360" w:lineRule="auto"/>
        <w:ind w:left="0" w:leftChars="0" w:firstLine="482" w:firstLineChars="200"/>
        <w:textAlignment w:val="auto"/>
        <w:rPr>
          <w:rFonts w:ascii="仿宋" w:hAnsi="仿宋" w:eastAsia="仿宋"/>
          <w:bCs/>
          <w:sz w:val="28"/>
          <w:szCs w:val="28"/>
          <w:highlight w:val="none"/>
          <w:u w:val="single"/>
        </w:rPr>
      </w:pPr>
      <w:r>
        <w:rPr>
          <w:rFonts w:hint="eastAsia" w:ascii="宋体" w:hAnsi="宋体" w:eastAsia="宋体" w:cs="宋体"/>
          <w:b/>
          <w:bCs/>
          <w:i w:val="0"/>
          <w:iCs w:val="0"/>
          <w:sz w:val="24"/>
          <w:szCs w:val="24"/>
          <w:highlight w:val="none"/>
        </w:rPr>
        <w:t>地点：</w:t>
      </w:r>
      <w:r>
        <w:rPr>
          <w:rFonts w:hint="eastAsia" w:ascii="宋体" w:hAnsi="宋体" w:cs="宋体"/>
          <w:i w:val="0"/>
          <w:iCs w:val="0"/>
          <w:sz w:val="24"/>
          <w:szCs w:val="24"/>
          <w:highlight w:val="none"/>
          <w:u w:val="none"/>
          <w:lang w:val="en-US" w:eastAsia="zh-CN"/>
        </w:rPr>
        <w:t>（乌鲁木齐市水磨沟区龙盛街2799号浙商大厦11楼）</w:t>
      </w:r>
    </w:p>
    <w:p>
      <w:pPr>
        <w:spacing w:line="360" w:lineRule="auto"/>
        <w:jc w:val="both"/>
        <w:outlineLvl w:val="9"/>
        <w:rPr>
          <w:rFonts w:ascii="黑体" w:hAnsi="黑体" w:cs="宋体"/>
          <w:b/>
          <w:bCs w:val="0"/>
          <w:sz w:val="28"/>
          <w:szCs w:val="28"/>
          <w:highlight w:val="none"/>
        </w:rPr>
      </w:pPr>
      <w:bookmarkStart w:id="22" w:name="_Toc28359016"/>
      <w:bookmarkStart w:id="23" w:name="_Toc35393633"/>
      <w:bookmarkStart w:id="24" w:name="_Toc28359093"/>
      <w:bookmarkStart w:id="25" w:name="_Toc35393802"/>
      <w:r>
        <w:rPr>
          <w:rFonts w:hint="eastAsia" w:ascii="黑体" w:hAnsi="黑体" w:cs="宋体"/>
          <w:b/>
          <w:bCs w:val="0"/>
          <w:sz w:val="28"/>
          <w:szCs w:val="28"/>
          <w:highlight w:val="none"/>
        </w:rPr>
        <w:t>五、开启</w:t>
      </w:r>
      <w:bookmarkEnd w:id="22"/>
      <w:bookmarkEnd w:id="23"/>
      <w:bookmarkEnd w:id="24"/>
      <w:bookmarkEnd w:id="25"/>
    </w:p>
    <w:p>
      <w:pPr>
        <w:pageBreakBefore w:val="0"/>
        <w:widowControl w:val="0"/>
        <w:kinsoku/>
        <w:wordWrap/>
        <w:overflowPunct/>
        <w:topLinePunct w:val="0"/>
        <w:bidi w:val="0"/>
        <w:snapToGrid/>
        <w:spacing w:line="360" w:lineRule="auto"/>
        <w:ind w:left="0" w:leftChars="0" w:firstLine="482" w:firstLineChars="200"/>
        <w:textAlignment w:val="auto"/>
        <w:rPr>
          <w:rFonts w:hint="eastAsia" w:ascii="宋体" w:hAnsi="宋体" w:eastAsia="宋体" w:cs="宋体"/>
          <w:bCs/>
          <w:i w:val="0"/>
          <w:iCs w:val="0"/>
          <w:sz w:val="24"/>
          <w:szCs w:val="24"/>
          <w:highlight w:val="none"/>
          <w:u w:val="single"/>
        </w:rPr>
      </w:pPr>
      <w:bookmarkStart w:id="26" w:name="_Toc35393634"/>
      <w:bookmarkStart w:id="27" w:name="_Toc28359017"/>
      <w:bookmarkStart w:id="28" w:name="_Toc28359094"/>
      <w:bookmarkStart w:id="29" w:name="_Toc35393803"/>
      <w:r>
        <w:rPr>
          <w:rFonts w:hint="eastAsia" w:ascii="宋体" w:hAnsi="宋体" w:eastAsia="宋体" w:cs="宋体"/>
          <w:b/>
          <w:bCs/>
          <w:i w:val="0"/>
          <w:iCs w:val="0"/>
          <w:sz w:val="24"/>
          <w:szCs w:val="24"/>
          <w:highlight w:val="none"/>
        </w:rPr>
        <w:t>时间：</w:t>
      </w:r>
      <w:r>
        <w:rPr>
          <w:rFonts w:hint="eastAsia" w:ascii="宋体" w:hAnsi="宋体" w:cs="宋体"/>
          <w:i w:val="0"/>
          <w:iCs w:val="0"/>
          <w:sz w:val="24"/>
          <w:szCs w:val="24"/>
          <w:highlight w:val="none"/>
          <w:u w:val="single"/>
          <w:lang w:val="en-US" w:eastAsia="zh-CN"/>
        </w:rPr>
        <w:t>2022</w:t>
      </w:r>
      <w:r>
        <w:rPr>
          <w:rFonts w:hint="eastAsia" w:ascii="宋体" w:hAnsi="宋体" w:eastAsia="宋体" w:cs="宋体"/>
          <w:bCs/>
          <w:i w:val="0"/>
          <w:iCs w:val="0"/>
          <w:sz w:val="24"/>
          <w:szCs w:val="24"/>
          <w:highlight w:val="none"/>
          <w:u w:val="single"/>
        </w:rPr>
        <w:t>年</w:t>
      </w:r>
      <w:r>
        <w:rPr>
          <w:rFonts w:hint="eastAsia" w:ascii="宋体" w:hAnsi="宋体" w:cs="宋体"/>
          <w:bCs/>
          <w:i w:val="0"/>
          <w:iCs w:val="0"/>
          <w:sz w:val="24"/>
          <w:szCs w:val="24"/>
          <w:highlight w:val="none"/>
          <w:u w:val="single"/>
          <w:lang w:val="en-US" w:eastAsia="zh-CN"/>
        </w:rPr>
        <w:t>11月</w:t>
      </w:r>
      <w:r>
        <w:rPr>
          <w:rFonts w:hint="eastAsia" w:ascii="宋体" w:hAnsi="宋体" w:cs="宋体"/>
          <w:bCs/>
          <w:i w:val="0"/>
          <w:iCs w:val="0"/>
          <w:sz w:val="24"/>
          <w:szCs w:val="24"/>
          <w:highlight w:val="yellow"/>
          <w:u w:val="single"/>
          <w:lang w:val="en-US" w:eastAsia="zh-CN"/>
        </w:rPr>
        <w:t>01</w:t>
      </w:r>
      <w:r>
        <w:rPr>
          <w:rFonts w:hint="eastAsia" w:ascii="宋体" w:hAnsi="宋体" w:eastAsia="宋体" w:cs="宋体"/>
          <w:bCs/>
          <w:i w:val="0"/>
          <w:iCs w:val="0"/>
          <w:sz w:val="24"/>
          <w:szCs w:val="24"/>
          <w:highlight w:val="none"/>
          <w:u w:val="single"/>
        </w:rPr>
        <w:t>日</w:t>
      </w:r>
      <w:r>
        <w:rPr>
          <w:rFonts w:hint="eastAsia" w:ascii="宋体" w:hAnsi="宋体" w:eastAsia="宋体" w:cs="宋体"/>
          <w:bCs/>
          <w:i w:val="0"/>
          <w:iCs w:val="0"/>
          <w:sz w:val="24"/>
          <w:szCs w:val="24"/>
          <w:highlight w:val="yellow"/>
          <w:u w:val="single"/>
          <w:lang w:val="en-US" w:eastAsia="zh-CN"/>
        </w:rPr>
        <w:t>1</w:t>
      </w:r>
      <w:r>
        <w:rPr>
          <w:rFonts w:hint="eastAsia" w:ascii="宋体" w:hAnsi="宋体" w:cs="宋体"/>
          <w:bCs/>
          <w:i w:val="0"/>
          <w:iCs w:val="0"/>
          <w:sz w:val="24"/>
          <w:szCs w:val="24"/>
          <w:highlight w:val="yellow"/>
          <w:u w:val="single"/>
          <w:lang w:val="en-US" w:eastAsia="zh-CN"/>
        </w:rPr>
        <w:t>6</w:t>
      </w:r>
      <w:r>
        <w:rPr>
          <w:rFonts w:hint="eastAsia" w:ascii="宋体" w:hAnsi="宋体" w:eastAsia="宋体" w:cs="宋体"/>
          <w:bCs/>
          <w:i w:val="0"/>
          <w:iCs w:val="0"/>
          <w:sz w:val="24"/>
          <w:szCs w:val="24"/>
          <w:highlight w:val="yellow"/>
          <w:u w:val="single"/>
        </w:rPr>
        <w:t>点</w:t>
      </w:r>
      <w:r>
        <w:rPr>
          <w:rFonts w:hint="eastAsia" w:ascii="宋体" w:hAnsi="宋体" w:cs="宋体"/>
          <w:bCs/>
          <w:i w:val="0"/>
          <w:iCs w:val="0"/>
          <w:sz w:val="24"/>
          <w:szCs w:val="24"/>
          <w:highlight w:val="yellow"/>
          <w:u w:val="single"/>
          <w:lang w:val="en-US" w:eastAsia="zh-CN"/>
        </w:rPr>
        <w:t>0</w:t>
      </w:r>
      <w:r>
        <w:rPr>
          <w:rFonts w:hint="eastAsia" w:ascii="宋体" w:hAnsi="宋体" w:eastAsia="宋体" w:cs="宋体"/>
          <w:bCs/>
          <w:i w:val="0"/>
          <w:iCs w:val="0"/>
          <w:sz w:val="24"/>
          <w:szCs w:val="24"/>
          <w:highlight w:val="yellow"/>
          <w:u w:val="single"/>
          <w:lang w:val="en-US" w:eastAsia="zh-CN"/>
        </w:rPr>
        <w:t>0</w:t>
      </w:r>
      <w:r>
        <w:rPr>
          <w:rFonts w:hint="eastAsia" w:ascii="宋体" w:hAnsi="宋体" w:eastAsia="宋体" w:cs="宋体"/>
          <w:bCs/>
          <w:i w:val="0"/>
          <w:iCs w:val="0"/>
          <w:sz w:val="24"/>
          <w:szCs w:val="24"/>
          <w:highlight w:val="yellow"/>
          <w:u w:val="single"/>
        </w:rPr>
        <w:t>分</w:t>
      </w:r>
      <w:r>
        <w:rPr>
          <w:rFonts w:hint="eastAsia" w:ascii="宋体" w:hAnsi="宋体" w:eastAsia="宋体" w:cs="宋体"/>
          <w:bCs/>
          <w:i w:val="0"/>
          <w:iCs w:val="0"/>
          <w:sz w:val="24"/>
          <w:szCs w:val="24"/>
          <w:highlight w:val="yellow"/>
        </w:rPr>
        <w:t>（北京时间）</w:t>
      </w:r>
    </w:p>
    <w:p>
      <w:pPr>
        <w:pageBreakBefore w:val="0"/>
        <w:widowControl w:val="0"/>
        <w:kinsoku/>
        <w:wordWrap/>
        <w:overflowPunct/>
        <w:topLinePunct w:val="0"/>
        <w:bidi w:val="0"/>
        <w:snapToGrid/>
        <w:spacing w:line="360" w:lineRule="auto"/>
        <w:ind w:left="0" w:leftChars="0" w:firstLine="482" w:firstLineChars="200"/>
        <w:textAlignment w:val="auto"/>
        <w:rPr>
          <w:rFonts w:hint="eastAsia" w:ascii="宋体" w:hAnsi="宋体" w:eastAsia="宋体" w:cs="宋体"/>
          <w:b/>
          <w:bCs/>
          <w:i w:val="0"/>
          <w:iCs w:val="0"/>
          <w:sz w:val="24"/>
          <w:szCs w:val="24"/>
          <w:highlight w:val="none"/>
          <w:u w:val="none"/>
          <w:lang w:val="en-US" w:eastAsia="zh-CN"/>
        </w:rPr>
      </w:pPr>
      <w:r>
        <w:rPr>
          <w:rFonts w:hint="eastAsia" w:ascii="宋体" w:hAnsi="宋体" w:eastAsia="宋体" w:cs="宋体"/>
          <w:b/>
          <w:bCs/>
          <w:i w:val="0"/>
          <w:iCs w:val="0"/>
          <w:sz w:val="24"/>
          <w:szCs w:val="24"/>
          <w:highlight w:val="none"/>
        </w:rPr>
        <w:t>地点：</w:t>
      </w:r>
      <w:r>
        <w:rPr>
          <w:rFonts w:hint="eastAsia" w:ascii="宋体" w:hAnsi="宋体" w:cs="宋体"/>
          <w:i w:val="0"/>
          <w:iCs w:val="0"/>
          <w:sz w:val="24"/>
          <w:szCs w:val="24"/>
          <w:highlight w:val="none"/>
          <w:u w:val="none"/>
          <w:lang w:val="en-US" w:eastAsia="zh-CN"/>
        </w:rPr>
        <w:t>（乌鲁木齐市水磨沟区龙盛街2799号浙商大厦11楼）</w:t>
      </w:r>
    </w:p>
    <w:p>
      <w:pPr>
        <w:spacing w:line="360" w:lineRule="auto"/>
        <w:jc w:val="both"/>
        <w:outlineLvl w:val="9"/>
        <w:rPr>
          <w:rFonts w:hint="eastAsia" w:ascii="黑体" w:hAnsi="黑体" w:cs="宋体"/>
          <w:b/>
          <w:bCs w:val="0"/>
          <w:sz w:val="28"/>
          <w:szCs w:val="28"/>
          <w:highlight w:val="none"/>
          <w:lang w:val="en-US" w:eastAsia="zh-CN"/>
        </w:rPr>
      </w:pPr>
      <w:r>
        <w:rPr>
          <w:rFonts w:hint="eastAsia" w:ascii="黑体" w:hAnsi="黑体" w:cs="宋体"/>
          <w:b/>
          <w:bCs w:val="0"/>
          <w:sz w:val="28"/>
          <w:szCs w:val="28"/>
          <w:highlight w:val="none"/>
          <w:lang w:val="en-US" w:eastAsia="zh-CN"/>
        </w:rPr>
        <w:t>六、公告期限</w:t>
      </w:r>
      <w:bookmarkEnd w:id="26"/>
      <w:bookmarkEnd w:id="27"/>
      <w:bookmarkEnd w:id="28"/>
      <w:bookmarkEnd w:id="29"/>
    </w:p>
    <w:p>
      <w:pPr>
        <w:spacing w:line="240" w:lineRule="auto"/>
        <w:ind w:firstLine="480" w:firstLineChars="200"/>
        <w:rPr>
          <w:rFonts w:hint="eastAsia" w:ascii="宋体" w:hAnsi="宋体" w:eastAsia="宋体" w:cs="宋体"/>
          <w:b w:val="0"/>
          <w:bCs w:val="0"/>
          <w:i w:val="0"/>
          <w:iCs w:val="0"/>
          <w:kern w:val="2"/>
          <w:sz w:val="24"/>
          <w:szCs w:val="24"/>
          <w:highlight w:val="none"/>
          <w:u w:val="none"/>
          <w:lang w:val="en-US" w:eastAsia="zh-CN" w:bidi="ar-SA"/>
        </w:rPr>
      </w:pPr>
      <w:r>
        <w:rPr>
          <w:rFonts w:hint="eastAsia" w:ascii="宋体" w:hAnsi="宋体" w:eastAsia="宋体" w:cs="宋体"/>
          <w:b w:val="0"/>
          <w:bCs w:val="0"/>
          <w:i w:val="0"/>
          <w:iCs w:val="0"/>
          <w:kern w:val="2"/>
          <w:sz w:val="24"/>
          <w:szCs w:val="24"/>
          <w:highlight w:val="none"/>
          <w:u w:val="none"/>
          <w:lang w:val="en-US" w:eastAsia="zh-CN" w:bidi="ar-SA"/>
        </w:rPr>
        <w:t>自本公告发布之日起3个工作日。</w:t>
      </w:r>
    </w:p>
    <w:p>
      <w:pPr>
        <w:spacing w:line="360" w:lineRule="auto"/>
        <w:jc w:val="both"/>
        <w:outlineLvl w:val="9"/>
        <w:rPr>
          <w:rFonts w:hint="eastAsia" w:ascii="宋体" w:hAnsi="宋体" w:eastAsia="宋体" w:cs="宋体"/>
          <w:b w:val="0"/>
          <w:bCs w:val="0"/>
          <w:i w:val="0"/>
          <w:iCs w:val="0"/>
          <w:kern w:val="2"/>
          <w:sz w:val="24"/>
          <w:szCs w:val="24"/>
          <w:highlight w:val="none"/>
          <w:u w:val="none"/>
          <w:lang w:val="en-US" w:eastAsia="zh-CN" w:bidi="ar-SA"/>
        </w:rPr>
      </w:pPr>
      <w:bookmarkStart w:id="30" w:name="_Toc35393804"/>
      <w:bookmarkStart w:id="31" w:name="_Toc35393635"/>
      <w:r>
        <w:rPr>
          <w:rFonts w:hint="eastAsia" w:ascii="黑体" w:hAnsi="黑体" w:cs="宋体"/>
          <w:b/>
          <w:bCs w:val="0"/>
          <w:sz w:val="28"/>
          <w:szCs w:val="28"/>
          <w:highlight w:val="none"/>
          <w:lang w:val="en-US" w:eastAsia="zh-CN"/>
        </w:rPr>
        <w:t>七、其他补充事宜</w:t>
      </w:r>
      <w:bookmarkEnd w:id="30"/>
      <w:bookmarkEnd w:id="31"/>
      <w:r>
        <w:rPr>
          <w:rFonts w:hint="eastAsia" w:ascii="黑体" w:hAnsi="黑体" w:cs="宋体"/>
          <w:b/>
          <w:bCs w:val="0"/>
          <w:sz w:val="28"/>
          <w:szCs w:val="28"/>
          <w:highlight w:val="none"/>
          <w:lang w:val="en-US" w:eastAsia="zh-CN"/>
        </w:rPr>
        <w:t xml:space="preserve">  </w:t>
      </w:r>
      <w:r>
        <w:rPr>
          <w:rFonts w:hint="eastAsia" w:ascii="宋体" w:hAnsi="宋体" w:eastAsia="宋体" w:cs="宋体"/>
          <w:b w:val="0"/>
          <w:bCs w:val="0"/>
          <w:i w:val="0"/>
          <w:iCs w:val="0"/>
          <w:kern w:val="2"/>
          <w:sz w:val="24"/>
          <w:szCs w:val="24"/>
          <w:highlight w:val="none"/>
          <w:u w:val="none"/>
          <w:lang w:val="en-US" w:eastAsia="zh-CN" w:bidi="ar-SA"/>
        </w:rPr>
        <w:t>无</w:t>
      </w:r>
    </w:p>
    <w:p>
      <w:pPr>
        <w:spacing w:line="240" w:lineRule="auto"/>
        <w:jc w:val="both"/>
        <w:outlineLvl w:val="9"/>
        <w:rPr>
          <w:rFonts w:ascii="黑体" w:hAnsi="黑体" w:cs="宋体"/>
          <w:b/>
          <w:bCs w:val="0"/>
          <w:sz w:val="28"/>
          <w:szCs w:val="28"/>
          <w:highlight w:val="none"/>
        </w:rPr>
      </w:pPr>
      <w:bookmarkStart w:id="32" w:name="_Toc28359095"/>
      <w:bookmarkStart w:id="33" w:name="_Toc28359018"/>
      <w:bookmarkStart w:id="34" w:name="_Toc35393805"/>
      <w:bookmarkStart w:id="35" w:name="_Toc35393636"/>
      <w:r>
        <w:rPr>
          <w:rFonts w:hint="eastAsia" w:ascii="黑体" w:hAnsi="黑体" w:cs="宋体"/>
          <w:b/>
          <w:bCs w:val="0"/>
          <w:sz w:val="28"/>
          <w:szCs w:val="28"/>
          <w:highlight w:val="none"/>
        </w:rPr>
        <w:t>八、凡对本次采购提出询问，请按</w:t>
      </w:r>
      <w:r>
        <w:rPr>
          <w:rFonts w:ascii="黑体" w:hAnsi="黑体" w:cs="宋体"/>
          <w:b/>
          <w:bCs w:val="0"/>
          <w:sz w:val="28"/>
          <w:szCs w:val="28"/>
          <w:highlight w:val="none"/>
        </w:rPr>
        <w:t>以下方式</w:t>
      </w:r>
      <w:r>
        <w:rPr>
          <w:rFonts w:hint="eastAsia" w:ascii="黑体" w:hAnsi="黑体" w:cs="宋体"/>
          <w:b/>
          <w:bCs w:val="0"/>
          <w:sz w:val="28"/>
          <w:szCs w:val="28"/>
          <w:highlight w:val="none"/>
        </w:rPr>
        <w:t>联系。</w:t>
      </w:r>
      <w:bookmarkEnd w:id="32"/>
      <w:bookmarkEnd w:id="33"/>
      <w:bookmarkEnd w:id="34"/>
      <w:bookmarkEnd w:id="35"/>
    </w:p>
    <w:p>
      <w:pPr>
        <w:pStyle w:val="4"/>
        <w:pageBreakBefore w:val="0"/>
        <w:widowControl w:val="0"/>
        <w:kinsoku/>
        <w:wordWrap/>
        <w:overflowPunct/>
        <w:topLinePunct w:val="0"/>
        <w:autoSpaceDE/>
        <w:autoSpaceDN/>
        <w:bidi w:val="0"/>
        <w:adjustRightInd/>
        <w:snapToGrid/>
        <w:spacing w:line="240" w:lineRule="auto"/>
        <w:ind w:left="0" w:leftChars="0" w:firstLine="480" w:firstLineChars="200"/>
        <w:jc w:val="both"/>
        <w:textAlignment w:val="auto"/>
        <w:rPr>
          <w:rFonts w:hint="eastAsia" w:asciiTheme="minorEastAsia" w:hAnsiTheme="minorEastAsia" w:eastAsiaTheme="minorEastAsia" w:cstheme="minorEastAsia"/>
          <w:b w:val="0"/>
          <w:i w:val="0"/>
          <w:iCs w:val="0"/>
          <w:color w:val="auto"/>
          <w:sz w:val="24"/>
          <w:szCs w:val="24"/>
          <w:highlight w:val="none"/>
        </w:rPr>
      </w:pPr>
      <w:bookmarkStart w:id="36" w:name="_Toc28359019"/>
      <w:bookmarkStart w:id="37" w:name="_Toc35393637"/>
      <w:bookmarkStart w:id="38" w:name="_Toc35393806"/>
      <w:bookmarkStart w:id="39" w:name="_Toc28359096"/>
      <w:r>
        <w:rPr>
          <w:rFonts w:hint="eastAsia" w:asciiTheme="minorEastAsia" w:hAnsiTheme="minorEastAsia" w:eastAsiaTheme="minorEastAsia" w:cstheme="minorEastAsia"/>
          <w:b w:val="0"/>
          <w:i w:val="0"/>
          <w:iCs w:val="0"/>
          <w:color w:val="auto"/>
          <w:sz w:val="24"/>
          <w:szCs w:val="24"/>
          <w:highlight w:val="none"/>
        </w:rPr>
        <w:t>1.采购人信息</w:t>
      </w:r>
      <w:bookmarkEnd w:id="36"/>
      <w:bookmarkEnd w:id="37"/>
      <w:bookmarkEnd w:id="38"/>
      <w:bookmarkEnd w:id="39"/>
    </w:p>
    <w:p>
      <w:pPr>
        <w:pageBreakBefore w:val="0"/>
        <w:widowControl w:val="0"/>
        <w:kinsoku/>
        <w:wordWrap/>
        <w:overflowPunct/>
        <w:topLinePunct w:val="0"/>
        <w:autoSpaceDE/>
        <w:autoSpaceDN/>
        <w:bidi w:val="0"/>
        <w:adjustRightInd/>
        <w:snapToGrid/>
        <w:spacing w:line="240" w:lineRule="auto"/>
        <w:ind w:left="0" w:leftChars="0" w:firstLine="480" w:firstLineChars="200"/>
        <w:jc w:val="left"/>
        <w:textAlignment w:val="auto"/>
        <w:rPr>
          <w:rFonts w:hint="eastAsia" w:asciiTheme="minorEastAsia" w:hAnsiTheme="minorEastAsia" w:eastAsiaTheme="minorEastAsia" w:cstheme="minorEastAsia"/>
          <w:i w:val="0"/>
          <w:iCs w:val="0"/>
          <w:color w:val="auto"/>
          <w:sz w:val="24"/>
          <w:szCs w:val="24"/>
          <w:highlight w:val="none"/>
          <w:u w:val="single"/>
          <w:lang w:eastAsia="zh-CN"/>
        </w:rPr>
      </w:pPr>
      <w:r>
        <w:rPr>
          <w:rFonts w:hint="eastAsia" w:asciiTheme="minorEastAsia" w:hAnsiTheme="minorEastAsia" w:eastAsiaTheme="minorEastAsia" w:cstheme="minorEastAsia"/>
          <w:i w:val="0"/>
          <w:iCs w:val="0"/>
          <w:color w:val="auto"/>
          <w:sz w:val="24"/>
          <w:szCs w:val="24"/>
          <w:highlight w:val="none"/>
        </w:rPr>
        <w:t>名    称：</w:t>
      </w:r>
      <w:r>
        <w:rPr>
          <w:rFonts w:hint="eastAsia" w:asciiTheme="minorEastAsia" w:hAnsiTheme="minorEastAsia" w:eastAsiaTheme="minorEastAsia" w:cstheme="minorEastAsia"/>
          <w:i w:val="0"/>
          <w:iCs w:val="0"/>
          <w:color w:val="auto"/>
          <w:sz w:val="24"/>
          <w:szCs w:val="24"/>
          <w:highlight w:val="none"/>
          <w:u w:val="single"/>
          <w:lang w:eastAsia="zh-CN"/>
        </w:rPr>
        <w:t>新疆维吾尔自治区文化和旅游厅</w:t>
      </w:r>
    </w:p>
    <w:p>
      <w:pPr>
        <w:pageBreakBefore w:val="0"/>
        <w:widowControl w:val="0"/>
        <w:kinsoku/>
        <w:wordWrap/>
        <w:overflowPunct/>
        <w:topLinePunct w:val="0"/>
        <w:autoSpaceDE/>
        <w:autoSpaceDN/>
        <w:bidi w:val="0"/>
        <w:adjustRightInd/>
        <w:snapToGrid/>
        <w:spacing w:line="240" w:lineRule="auto"/>
        <w:ind w:left="0" w:leftChars="0" w:firstLine="480" w:firstLineChars="200"/>
        <w:jc w:val="left"/>
        <w:textAlignment w:val="auto"/>
        <w:rPr>
          <w:rFonts w:hint="eastAsia" w:asciiTheme="minorEastAsia" w:hAnsiTheme="minorEastAsia" w:eastAsiaTheme="minorEastAsia" w:cstheme="minorEastAsia"/>
          <w:i w:val="0"/>
          <w:iCs w:val="0"/>
          <w:color w:val="auto"/>
          <w:sz w:val="24"/>
          <w:szCs w:val="24"/>
          <w:highlight w:val="none"/>
          <w:u w:val="single"/>
          <w:lang w:val="en-US" w:eastAsia="zh-CN"/>
        </w:rPr>
      </w:pPr>
      <w:r>
        <w:rPr>
          <w:rFonts w:hint="eastAsia" w:asciiTheme="minorEastAsia" w:hAnsiTheme="minorEastAsia" w:eastAsiaTheme="minorEastAsia" w:cstheme="minorEastAsia"/>
          <w:i w:val="0"/>
          <w:iCs w:val="0"/>
          <w:color w:val="auto"/>
          <w:sz w:val="24"/>
          <w:szCs w:val="24"/>
          <w:highlight w:val="none"/>
        </w:rPr>
        <w:t>地    址：</w:t>
      </w:r>
      <w:r>
        <w:rPr>
          <w:rFonts w:hint="eastAsia" w:asciiTheme="minorEastAsia" w:hAnsiTheme="minorEastAsia" w:eastAsiaTheme="minorEastAsia" w:cstheme="minorEastAsia"/>
          <w:i w:val="0"/>
          <w:iCs w:val="0"/>
          <w:color w:val="auto"/>
          <w:sz w:val="24"/>
          <w:szCs w:val="24"/>
          <w:highlight w:val="none"/>
          <w:u w:val="single"/>
        </w:rPr>
        <w:t>乌鲁木齐市金银路143号</w:t>
      </w:r>
    </w:p>
    <w:p>
      <w:pPr>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default"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i w:val="0"/>
          <w:iCs w:val="0"/>
          <w:color w:val="auto"/>
          <w:sz w:val="24"/>
          <w:szCs w:val="24"/>
          <w:highlight w:val="none"/>
        </w:rPr>
        <w:t>联</w:t>
      </w:r>
      <w:r>
        <w:rPr>
          <w:rFonts w:hint="eastAsia" w:asciiTheme="minorEastAsia" w:hAnsiTheme="minorEastAsia" w:eastAsiaTheme="minorEastAsia" w:cstheme="minorEastAsia"/>
          <w:i w:val="0"/>
          <w:iCs w:val="0"/>
          <w:color w:val="auto"/>
          <w:sz w:val="24"/>
          <w:szCs w:val="24"/>
          <w:highlight w:val="none"/>
          <w:lang w:val="en-US" w:eastAsia="zh-CN"/>
        </w:rPr>
        <w:t xml:space="preserve"> </w:t>
      </w:r>
      <w:r>
        <w:rPr>
          <w:rFonts w:hint="eastAsia" w:asciiTheme="minorEastAsia" w:hAnsiTheme="minorEastAsia" w:eastAsiaTheme="minorEastAsia" w:cstheme="minorEastAsia"/>
          <w:i w:val="0"/>
          <w:iCs w:val="0"/>
          <w:color w:val="auto"/>
          <w:sz w:val="24"/>
          <w:szCs w:val="24"/>
          <w:highlight w:val="none"/>
        </w:rPr>
        <w:t>系</w:t>
      </w:r>
      <w:r>
        <w:rPr>
          <w:rFonts w:hint="eastAsia" w:asciiTheme="minorEastAsia" w:hAnsiTheme="minorEastAsia" w:eastAsiaTheme="minorEastAsia" w:cstheme="minorEastAsia"/>
          <w:i w:val="0"/>
          <w:iCs w:val="0"/>
          <w:color w:val="auto"/>
          <w:sz w:val="24"/>
          <w:szCs w:val="24"/>
          <w:highlight w:val="none"/>
          <w:lang w:val="en-US" w:eastAsia="zh-CN"/>
        </w:rPr>
        <w:t xml:space="preserve"> 人：</w:t>
      </w:r>
      <w:r>
        <w:rPr>
          <w:rFonts w:hint="eastAsia" w:asciiTheme="minorEastAsia" w:hAnsiTheme="minorEastAsia" w:eastAsiaTheme="minorEastAsia" w:cstheme="minorEastAsia"/>
          <w:i w:val="0"/>
          <w:iCs w:val="0"/>
          <w:color w:val="auto"/>
          <w:sz w:val="24"/>
          <w:szCs w:val="24"/>
          <w:highlight w:val="none"/>
          <w:u w:val="single"/>
          <w:lang w:val="en-US" w:eastAsia="zh-CN"/>
        </w:rPr>
        <w:t xml:space="preserve">何老师       </w:t>
      </w:r>
    </w:p>
    <w:p>
      <w:pPr>
        <w:pageBreakBefore w:val="0"/>
        <w:widowControl w:val="0"/>
        <w:kinsoku/>
        <w:wordWrap/>
        <w:overflowPunct/>
        <w:topLinePunct w:val="0"/>
        <w:autoSpaceDE/>
        <w:autoSpaceDN/>
        <w:bidi w:val="0"/>
        <w:adjustRightInd/>
        <w:snapToGrid/>
        <w:spacing w:line="240" w:lineRule="auto"/>
        <w:ind w:left="0" w:leftChars="0" w:firstLine="480" w:firstLineChars="200"/>
        <w:jc w:val="left"/>
        <w:textAlignment w:val="auto"/>
        <w:rPr>
          <w:rFonts w:hint="default"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rPr>
        <w:t>联系方式：</w:t>
      </w:r>
      <w:r>
        <w:rPr>
          <w:rFonts w:hint="eastAsia" w:asciiTheme="minorEastAsia" w:hAnsiTheme="minorEastAsia" w:eastAsiaTheme="minorEastAsia" w:cstheme="minorEastAsia"/>
          <w:i w:val="0"/>
          <w:iCs w:val="0"/>
          <w:color w:val="auto"/>
          <w:sz w:val="24"/>
          <w:szCs w:val="24"/>
          <w:highlight w:val="none"/>
          <w:u w:val="single"/>
          <w:lang w:val="en-US" w:eastAsia="zh-CN"/>
        </w:rPr>
        <w:t>189 9923 6888</w:t>
      </w:r>
    </w:p>
    <w:p>
      <w:pPr>
        <w:pStyle w:val="4"/>
        <w:pageBreakBefore w:val="0"/>
        <w:widowControl w:val="0"/>
        <w:kinsoku/>
        <w:wordWrap/>
        <w:overflowPunct/>
        <w:topLinePunct w:val="0"/>
        <w:autoSpaceDE/>
        <w:autoSpaceDN/>
        <w:bidi w:val="0"/>
        <w:adjustRightInd/>
        <w:snapToGrid/>
        <w:spacing w:line="240" w:lineRule="auto"/>
        <w:ind w:left="0" w:leftChars="0" w:firstLine="480" w:firstLineChars="200"/>
        <w:jc w:val="both"/>
        <w:textAlignment w:val="auto"/>
        <w:rPr>
          <w:rFonts w:hint="eastAsia" w:asciiTheme="minorEastAsia" w:hAnsiTheme="minorEastAsia" w:eastAsiaTheme="minorEastAsia" w:cstheme="minorEastAsia"/>
          <w:b w:val="0"/>
          <w:i w:val="0"/>
          <w:iCs w:val="0"/>
          <w:color w:val="auto"/>
          <w:sz w:val="24"/>
          <w:szCs w:val="24"/>
          <w:highlight w:val="none"/>
        </w:rPr>
      </w:pPr>
      <w:bookmarkStart w:id="40" w:name="_Toc28359097"/>
      <w:bookmarkStart w:id="41" w:name="_Toc35393638"/>
      <w:bookmarkStart w:id="42" w:name="_Toc28359020"/>
      <w:bookmarkStart w:id="43" w:name="_Toc35393807"/>
      <w:r>
        <w:rPr>
          <w:rFonts w:hint="eastAsia" w:asciiTheme="minorEastAsia" w:hAnsiTheme="minorEastAsia" w:eastAsiaTheme="minorEastAsia" w:cstheme="minorEastAsia"/>
          <w:b w:val="0"/>
          <w:i w:val="0"/>
          <w:iCs w:val="0"/>
          <w:color w:val="auto"/>
          <w:sz w:val="24"/>
          <w:szCs w:val="24"/>
          <w:highlight w:val="none"/>
        </w:rPr>
        <w:t>2.采购代理机构信息</w:t>
      </w:r>
      <w:bookmarkEnd w:id="40"/>
      <w:bookmarkEnd w:id="41"/>
      <w:bookmarkEnd w:id="42"/>
      <w:bookmarkEnd w:id="43"/>
    </w:p>
    <w:p>
      <w:pPr>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rPr>
        <w:t>名    称：</w:t>
      </w:r>
      <w:r>
        <w:rPr>
          <w:rFonts w:hint="eastAsia" w:asciiTheme="minorEastAsia" w:hAnsiTheme="minorEastAsia" w:eastAsiaTheme="minorEastAsia" w:cstheme="minorEastAsia"/>
          <w:i w:val="0"/>
          <w:iCs w:val="0"/>
          <w:color w:val="auto"/>
          <w:sz w:val="24"/>
          <w:szCs w:val="24"/>
          <w:highlight w:val="none"/>
          <w:u w:val="single"/>
          <w:lang w:eastAsia="zh-CN"/>
        </w:rPr>
        <w:t>新疆天之源项目管理集团有限公司</w:t>
      </w:r>
      <w:r>
        <w:rPr>
          <w:rFonts w:hint="eastAsia" w:asciiTheme="minorEastAsia" w:hAnsiTheme="minorEastAsia" w:eastAsiaTheme="minorEastAsia" w:cstheme="minorEastAsia"/>
          <w:i w:val="0"/>
          <w:iCs w:val="0"/>
          <w:color w:val="auto"/>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1919" w:leftChars="228" w:hanging="1440" w:hangingChars="600"/>
        <w:textAlignment w:val="auto"/>
        <w:rPr>
          <w:rFonts w:hint="eastAsia"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rPr>
        <w:t>地　　址：</w:t>
      </w:r>
      <w:r>
        <w:rPr>
          <w:rFonts w:hint="eastAsia" w:asciiTheme="minorEastAsia" w:hAnsiTheme="minorEastAsia" w:eastAsiaTheme="minorEastAsia" w:cstheme="minorEastAsia"/>
          <w:i w:val="0"/>
          <w:iCs w:val="0"/>
          <w:color w:val="auto"/>
          <w:sz w:val="24"/>
          <w:szCs w:val="24"/>
          <w:highlight w:val="none"/>
          <w:u w:val="single"/>
          <w:lang w:eastAsia="zh-CN"/>
        </w:rPr>
        <w:t>（乌鲁木齐市水磨沟区龙盛街2799号浙商大厦11楼招标一部）</w:t>
      </w:r>
    </w:p>
    <w:p>
      <w:pPr>
        <w:pStyle w:val="4"/>
        <w:pageBreakBefore w:val="0"/>
        <w:widowControl w:val="0"/>
        <w:kinsoku/>
        <w:wordWrap/>
        <w:overflowPunct/>
        <w:topLinePunct w:val="0"/>
        <w:autoSpaceDE/>
        <w:autoSpaceDN/>
        <w:bidi w:val="0"/>
        <w:adjustRightInd/>
        <w:snapToGrid/>
        <w:spacing w:line="240" w:lineRule="auto"/>
        <w:ind w:left="0" w:leftChars="0" w:firstLine="480" w:firstLineChars="200"/>
        <w:jc w:val="both"/>
        <w:textAlignment w:val="auto"/>
        <w:rPr>
          <w:rFonts w:hint="eastAsia" w:asciiTheme="minorEastAsia" w:hAnsiTheme="minorEastAsia" w:eastAsiaTheme="minorEastAsia" w:cstheme="minorEastAsia"/>
          <w:b w:val="0"/>
          <w:i w:val="0"/>
          <w:iCs w:val="0"/>
          <w:color w:val="auto"/>
          <w:sz w:val="24"/>
          <w:szCs w:val="24"/>
          <w:highlight w:val="none"/>
        </w:rPr>
      </w:pPr>
      <w:r>
        <w:rPr>
          <w:rFonts w:hint="eastAsia" w:asciiTheme="minorEastAsia" w:hAnsiTheme="minorEastAsia" w:eastAsiaTheme="minorEastAsia" w:cstheme="minorEastAsia"/>
          <w:b w:val="0"/>
          <w:i w:val="0"/>
          <w:iCs w:val="0"/>
          <w:color w:val="auto"/>
          <w:sz w:val="24"/>
          <w:szCs w:val="24"/>
          <w:highlight w:val="none"/>
        </w:rPr>
        <w:t>3.项目联系方式</w:t>
      </w:r>
    </w:p>
    <w:p>
      <w:pPr>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i w:val="0"/>
          <w:iCs w:val="0"/>
          <w:color w:val="auto"/>
          <w:sz w:val="24"/>
          <w:szCs w:val="24"/>
          <w:highlight w:val="none"/>
          <w:u w:val="single"/>
          <w:lang w:val="en-US" w:eastAsia="zh-CN"/>
        </w:rPr>
      </w:pPr>
      <w:r>
        <w:rPr>
          <w:rFonts w:hint="eastAsia" w:asciiTheme="minorEastAsia" w:hAnsiTheme="minorEastAsia" w:eastAsiaTheme="minorEastAsia" w:cstheme="minorEastAsia"/>
          <w:i w:val="0"/>
          <w:iCs w:val="0"/>
          <w:color w:val="auto"/>
          <w:sz w:val="24"/>
          <w:szCs w:val="24"/>
          <w:highlight w:val="none"/>
          <w:lang w:val="en-US" w:eastAsia="zh-CN"/>
        </w:rPr>
        <w:t>项目联系人：</w:t>
      </w:r>
      <w:r>
        <w:rPr>
          <w:rFonts w:hint="eastAsia" w:asciiTheme="minorEastAsia" w:hAnsiTheme="minorEastAsia" w:eastAsiaTheme="minorEastAsia" w:cstheme="minorEastAsia"/>
          <w:i w:val="0"/>
          <w:iCs w:val="0"/>
          <w:color w:val="auto"/>
          <w:sz w:val="24"/>
          <w:szCs w:val="24"/>
          <w:highlight w:val="none"/>
          <w:u w:val="single"/>
          <w:lang w:val="en-US" w:eastAsia="zh-CN"/>
        </w:rPr>
        <w:t xml:space="preserve">李  飞    </w:t>
      </w:r>
    </w:p>
    <w:p>
      <w:pPr>
        <w:spacing w:line="360" w:lineRule="auto"/>
        <w:ind w:firstLine="480" w:firstLineChars="200"/>
        <w:rPr>
          <w:rFonts w:hint="eastAsia"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rPr>
        <w:t>联系方式</w:t>
      </w:r>
      <w:r>
        <w:rPr>
          <w:rFonts w:hint="eastAsia" w:asciiTheme="minorEastAsia" w:hAnsiTheme="minorEastAsia" w:eastAsiaTheme="minorEastAsia" w:cstheme="minorEastAsia"/>
          <w:i w:val="0"/>
          <w:iCs w:val="0"/>
          <w:color w:val="auto"/>
          <w:sz w:val="24"/>
          <w:szCs w:val="24"/>
          <w:highlight w:val="none"/>
          <w:lang w:val="en-US" w:eastAsia="zh-CN"/>
        </w:rPr>
        <w:t>：</w:t>
      </w:r>
      <w:r>
        <w:rPr>
          <w:rFonts w:hint="eastAsia" w:asciiTheme="minorEastAsia" w:hAnsiTheme="minorEastAsia" w:eastAsiaTheme="minorEastAsia" w:cstheme="minorEastAsia"/>
          <w:i w:val="0"/>
          <w:iCs w:val="0"/>
          <w:color w:val="auto"/>
          <w:sz w:val="24"/>
          <w:szCs w:val="24"/>
          <w:highlight w:val="none"/>
          <w:u w:val="single"/>
          <w:lang w:val="en-US" w:eastAsia="zh-CN"/>
        </w:rPr>
        <w:t xml:space="preserve"> </w:t>
      </w:r>
      <w:r>
        <w:rPr>
          <w:rFonts w:hint="eastAsia" w:asciiTheme="minorEastAsia" w:hAnsiTheme="minorEastAsia" w:eastAsiaTheme="minorEastAsia" w:cstheme="minorEastAsia"/>
          <w:i w:val="0"/>
          <w:iCs w:val="0"/>
          <w:color w:val="auto"/>
          <w:sz w:val="24"/>
          <w:szCs w:val="24"/>
          <w:highlight w:val="none"/>
          <w:u w:val="single"/>
          <w:lang w:eastAsia="zh-CN"/>
        </w:rPr>
        <w:t>18699146324</w:t>
      </w:r>
      <w:r>
        <w:rPr>
          <w:rFonts w:hint="eastAsia" w:asciiTheme="minorEastAsia" w:hAnsiTheme="minorEastAsia" w:eastAsiaTheme="minorEastAsia" w:cstheme="minorEastAsia"/>
          <w:i w:val="0"/>
          <w:iCs w:val="0"/>
          <w:color w:val="auto"/>
          <w:sz w:val="24"/>
          <w:szCs w:val="24"/>
          <w:highlight w:val="none"/>
          <w:u w:val="single"/>
          <w:lang w:val="en-US" w:eastAsia="zh-CN"/>
        </w:rPr>
        <w:t xml:space="preserve">  </w:t>
      </w:r>
      <w:r>
        <w:rPr>
          <w:rFonts w:hint="eastAsia" w:asciiTheme="minorEastAsia" w:hAnsiTheme="minorEastAsia" w:eastAsiaTheme="minorEastAsia" w:cstheme="minorEastAsia"/>
          <w:i w:val="0"/>
          <w:iCs w:val="0"/>
          <w:color w:val="auto"/>
          <w:sz w:val="24"/>
          <w:szCs w:val="24"/>
          <w:highlight w:val="none"/>
          <w:lang w:val="en-US" w:eastAsia="zh-CN"/>
        </w:rPr>
        <w:t xml:space="preserve"> </w:t>
      </w:r>
    </w:p>
    <w:p>
      <w:pPr>
        <w:rPr>
          <w:rFonts w:hint="eastAsia" w:ascii="宋体" w:hAnsi="宋体" w:eastAsia="宋体" w:cs="宋体"/>
          <w:w w:val="95"/>
          <w:highlight w:val="none"/>
        </w:rPr>
      </w:pPr>
      <w:bookmarkStart w:id="44" w:name="_Toc25669"/>
      <w:r>
        <w:rPr>
          <w:rFonts w:hint="eastAsia" w:ascii="宋体" w:hAnsi="宋体" w:eastAsia="宋体" w:cs="宋体"/>
          <w:w w:val="95"/>
          <w:highlight w:val="none"/>
        </w:rPr>
        <w:br w:type="page"/>
      </w:r>
    </w:p>
    <w:p>
      <w:pPr>
        <w:pStyle w:val="3"/>
        <w:rPr>
          <w:rFonts w:hint="eastAsia" w:ascii="宋体" w:hAnsi="宋体" w:eastAsia="宋体" w:cs="宋体"/>
          <w:highlight w:val="none"/>
        </w:rPr>
      </w:pPr>
      <w:r>
        <w:rPr>
          <w:rFonts w:hint="eastAsia" w:ascii="宋体" w:hAnsi="宋体" w:eastAsia="宋体" w:cs="宋体"/>
          <w:w w:val="95"/>
          <w:highlight w:val="none"/>
        </w:rPr>
        <w:t>第</w:t>
      </w:r>
      <w:bookmarkStart w:id="45" w:name="bookmark2"/>
      <w:bookmarkEnd w:id="45"/>
      <w:bookmarkStart w:id="46" w:name="（一）供应商须知前附表"/>
      <w:bookmarkEnd w:id="46"/>
      <w:r>
        <w:rPr>
          <w:rFonts w:hint="eastAsia" w:ascii="宋体" w:hAnsi="宋体" w:eastAsia="宋体" w:cs="宋体"/>
          <w:w w:val="95"/>
          <w:highlight w:val="none"/>
        </w:rPr>
        <w:t>二章</w:t>
      </w:r>
      <w:r>
        <w:rPr>
          <w:rFonts w:hint="eastAsia" w:ascii="宋体" w:hAnsi="宋体" w:eastAsia="宋体" w:cs="宋体"/>
          <w:w w:val="95"/>
          <w:highlight w:val="none"/>
        </w:rPr>
        <w:tab/>
      </w:r>
      <w:r>
        <w:rPr>
          <w:rFonts w:hint="eastAsia" w:ascii="宋体" w:hAnsi="宋体" w:eastAsia="宋体" w:cs="宋体"/>
          <w:highlight w:val="none"/>
        </w:rPr>
        <w:t>供应商须知及前附表</w:t>
      </w:r>
      <w:bookmarkEnd w:id="44"/>
    </w:p>
    <w:p>
      <w:pPr>
        <w:pStyle w:val="4"/>
        <w:rPr>
          <w:rFonts w:hint="eastAsia" w:ascii="宋体" w:hAnsi="宋体" w:eastAsia="宋体" w:cs="宋体"/>
          <w:highlight w:val="none"/>
        </w:rPr>
      </w:pPr>
      <w:bookmarkStart w:id="47" w:name="_Toc7077"/>
      <w:r>
        <w:rPr>
          <w:rFonts w:hint="eastAsia" w:ascii="宋体" w:hAnsi="宋体" w:eastAsia="宋体" w:cs="宋体"/>
          <w:highlight w:val="none"/>
        </w:rPr>
        <w:t>（一）供应商须知前附表</w:t>
      </w:r>
      <w:bookmarkEnd w:id="47"/>
    </w:p>
    <w:tbl>
      <w:tblPr>
        <w:tblStyle w:val="17"/>
        <w:tblW w:w="91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2"/>
        <w:gridCol w:w="8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exact"/>
          <w:jc w:val="center"/>
        </w:trPr>
        <w:tc>
          <w:tcPr>
            <w:tcW w:w="672" w:type="dxa"/>
            <w:noWrap w:val="0"/>
            <w:vAlign w:val="top"/>
          </w:tcPr>
          <w:p>
            <w:pPr>
              <w:pStyle w:val="21"/>
              <w:kinsoku w:val="0"/>
              <w:overflowPunct w:val="0"/>
              <w:spacing w:before="74"/>
              <w:ind w:left="130"/>
              <w:rPr>
                <w:rFonts w:hint="eastAsia" w:ascii="宋体" w:hAnsi="宋体" w:eastAsia="宋体" w:cs="宋体"/>
                <w:highlight w:val="none"/>
              </w:rPr>
            </w:pPr>
            <w:r>
              <w:rPr>
                <w:rFonts w:hint="eastAsia" w:ascii="宋体" w:hAnsi="宋体" w:eastAsia="宋体" w:cs="宋体"/>
                <w:b/>
                <w:bCs/>
                <w:highlight w:val="none"/>
              </w:rPr>
              <w:t>序号</w:t>
            </w:r>
          </w:p>
        </w:tc>
        <w:tc>
          <w:tcPr>
            <w:tcW w:w="8475" w:type="dxa"/>
            <w:tcBorders>
              <w:bottom w:val="single" w:color="auto" w:sz="4" w:space="0"/>
            </w:tcBorders>
            <w:noWrap w:val="0"/>
            <w:vAlign w:val="top"/>
          </w:tcPr>
          <w:p>
            <w:pPr>
              <w:pStyle w:val="21"/>
              <w:tabs>
                <w:tab w:val="left" w:pos="627"/>
                <w:tab w:val="left" w:pos="1227"/>
                <w:tab w:val="left" w:pos="1832"/>
              </w:tabs>
              <w:kinsoku w:val="0"/>
              <w:overflowPunct w:val="0"/>
              <w:spacing w:before="74"/>
              <w:ind w:left="25"/>
              <w:jc w:val="center"/>
              <w:rPr>
                <w:rFonts w:hint="eastAsia" w:ascii="宋体" w:hAnsi="宋体" w:eastAsia="宋体" w:cs="宋体"/>
                <w:highlight w:val="none"/>
              </w:rPr>
            </w:pPr>
            <w:r>
              <w:rPr>
                <w:rFonts w:hint="eastAsia" w:ascii="宋体" w:hAnsi="宋体" w:eastAsia="宋体" w:cs="宋体"/>
                <w:b/>
                <w:bCs/>
                <w:w w:val="95"/>
                <w:highlight w:val="none"/>
              </w:rPr>
              <w:t>内</w:t>
            </w:r>
            <w:r>
              <w:rPr>
                <w:rFonts w:hint="eastAsia" w:ascii="宋体" w:hAnsi="宋体" w:eastAsia="宋体" w:cs="宋体"/>
                <w:b/>
                <w:bCs/>
                <w:w w:val="95"/>
                <w:highlight w:val="none"/>
              </w:rPr>
              <w:tab/>
            </w:r>
            <w:r>
              <w:rPr>
                <w:rFonts w:hint="eastAsia" w:ascii="宋体" w:hAnsi="宋体" w:eastAsia="宋体" w:cs="宋体"/>
                <w:b/>
                <w:bCs/>
                <w:w w:val="95"/>
                <w:highlight w:val="none"/>
              </w:rPr>
              <w:t>容</w:t>
            </w:r>
            <w:r>
              <w:rPr>
                <w:rFonts w:hint="eastAsia" w:ascii="宋体" w:hAnsi="宋体" w:eastAsia="宋体" w:cs="宋体"/>
                <w:b/>
                <w:bCs/>
                <w:w w:val="95"/>
                <w:highlight w:val="none"/>
              </w:rPr>
              <w:tab/>
            </w:r>
            <w:r>
              <w:rPr>
                <w:rFonts w:hint="eastAsia" w:ascii="宋体" w:hAnsi="宋体" w:eastAsia="宋体" w:cs="宋体"/>
                <w:b/>
                <w:bCs/>
                <w:w w:val="95"/>
                <w:highlight w:val="none"/>
              </w:rPr>
              <w:t>规</w:t>
            </w:r>
            <w:r>
              <w:rPr>
                <w:rFonts w:hint="eastAsia" w:ascii="宋体" w:hAnsi="宋体" w:eastAsia="宋体" w:cs="宋体"/>
                <w:b/>
                <w:bCs/>
                <w:w w:val="95"/>
                <w:highlight w:val="none"/>
              </w:rPr>
              <w:tab/>
            </w:r>
            <w:r>
              <w:rPr>
                <w:rFonts w:hint="eastAsia" w:ascii="宋体" w:hAnsi="宋体" w:eastAsia="宋体" w:cs="宋体"/>
                <w:b/>
                <w:bCs/>
                <w:highlight w:val="none"/>
              </w:rPr>
              <w:t>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6" w:hRule="exact"/>
          <w:jc w:val="center"/>
        </w:trPr>
        <w:tc>
          <w:tcPr>
            <w:tcW w:w="672" w:type="dxa"/>
            <w:vMerge w:val="restart"/>
            <w:noWrap w:val="0"/>
            <w:vAlign w:val="center"/>
          </w:tcPr>
          <w:p>
            <w:pPr>
              <w:pStyle w:val="21"/>
              <w:kinsoku w:val="0"/>
              <w:overflowPunct w:val="0"/>
              <w:ind w:right="14"/>
              <w:jc w:val="center"/>
              <w:rPr>
                <w:rFonts w:hint="eastAsia" w:ascii="宋体" w:hAnsi="宋体" w:eastAsia="宋体" w:cs="宋体"/>
                <w:highlight w:val="none"/>
              </w:rPr>
            </w:pPr>
            <w:r>
              <w:rPr>
                <w:rFonts w:hint="eastAsia" w:ascii="宋体" w:hAnsi="宋体" w:eastAsia="宋体" w:cs="宋体"/>
                <w:highlight w:val="none"/>
              </w:rPr>
              <w:t>1</w:t>
            </w:r>
          </w:p>
        </w:tc>
        <w:tc>
          <w:tcPr>
            <w:tcW w:w="8475" w:type="dxa"/>
            <w:tcBorders>
              <w:bottom w:val="nil"/>
            </w:tcBorders>
            <w:noWrap w:val="0"/>
            <w:vAlign w:val="top"/>
          </w:tcPr>
          <w:p>
            <w:pPr>
              <w:pStyle w:val="21"/>
              <w:kinsoku w:val="0"/>
              <w:overflowPunct w:val="0"/>
              <w:spacing w:before="57"/>
              <w:ind w:left="102"/>
              <w:rPr>
                <w:rFonts w:hint="eastAsia" w:ascii="宋体" w:hAnsi="宋体" w:eastAsia="宋体" w:cs="宋体"/>
                <w:b/>
                <w:bCs/>
                <w:highlight w:val="none"/>
                <w:u w:val="none"/>
                <w:lang w:eastAsia="zh-CN"/>
              </w:rPr>
            </w:pPr>
            <w:r>
              <w:rPr>
                <w:rFonts w:hint="eastAsia" w:ascii="宋体" w:hAnsi="宋体" w:eastAsia="宋体" w:cs="宋体"/>
                <w:b/>
                <w:bCs/>
                <w:highlight w:val="none"/>
                <w:u w:val="none"/>
              </w:rPr>
              <w:t>采 购 人：</w:t>
            </w:r>
            <w:r>
              <w:rPr>
                <w:rFonts w:hint="eastAsia" w:asciiTheme="minorEastAsia" w:hAnsiTheme="minorEastAsia" w:eastAsiaTheme="minorEastAsia" w:cstheme="minorEastAsia"/>
                <w:i w:val="0"/>
                <w:iCs w:val="0"/>
                <w:color w:val="auto"/>
                <w:sz w:val="24"/>
                <w:szCs w:val="24"/>
                <w:highlight w:val="none"/>
                <w:u w:val="none"/>
                <w:lang w:eastAsia="zh-CN"/>
              </w:rPr>
              <w:t>新疆维吾尔自治区文化和旅游厅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0" w:hRule="exact"/>
          <w:jc w:val="center"/>
        </w:trPr>
        <w:tc>
          <w:tcPr>
            <w:tcW w:w="672" w:type="dxa"/>
            <w:vMerge w:val="continue"/>
            <w:noWrap w:val="0"/>
            <w:vAlign w:val="center"/>
          </w:tcPr>
          <w:p>
            <w:pPr>
              <w:pStyle w:val="21"/>
              <w:kinsoku w:val="0"/>
              <w:overflowPunct w:val="0"/>
              <w:spacing w:before="57"/>
              <w:ind w:left="102"/>
              <w:jc w:val="center"/>
              <w:rPr>
                <w:rFonts w:hint="eastAsia" w:ascii="宋体" w:hAnsi="宋体" w:eastAsia="宋体" w:cs="宋体"/>
                <w:highlight w:val="none"/>
              </w:rPr>
            </w:pPr>
          </w:p>
        </w:tc>
        <w:tc>
          <w:tcPr>
            <w:tcW w:w="8475" w:type="dxa"/>
            <w:tcBorders>
              <w:top w:val="nil"/>
              <w:bottom w:val="nil"/>
            </w:tcBorders>
            <w:noWrap w:val="0"/>
            <w:vAlign w:val="top"/>
          </w:tcPr>
          <w:p>
            <w:pPr>
              <w:pStyle w:val="21"/>
              <w:kinsoku w:val="0"/>
              <w:overflowPunct w:val="0"/>
              <w:spacing w:before="57"/>
              <w:ind w:left="102"/>
              <w:rPr>
                <w:rFonts w:hint="eastAsia" w:ascii="宋体" w:hAnsi="宋体" w:eastAsia="宋体" w:cs="宋体"/>
                <w:b/>
                <w:bCs/>
                <w:highlight w:val="none"/>
                <w:u w:val="none"/>
              </w:rPr>
            </w:pPr>
            <w:r>
              <w:rPr>
                <w:rFonts w:hint="eastAsia" w:ascii="宋体" w:hAnsi="宋体" w:eastAsia="宋体" w:cs="宋体"/>
                <w:b/>
                <w:bCs/>
                <w:highlight w:val="none"/>
                <w:u w:val="none"/>
              </w:rPr>
              <w:t>地</w:t>
            </w:r>
            <w:r>
              <w:rPr>
                <w:rFonts w:hint="eastAsia" w:ascii="宋体" w:hAnsi="宋体" w:eastAsia="宋体" w:cs="宋体"/>
                <w:b/>
                <w:bCs/>
                <w:highlight w:val="none"/>
                <w:u w:val="none"/>
              </w:rPr>
              <w:tab/>
            </w:r>
            <w:r>
              <w:rPr>
                <w:rFonts w:hint="eastAsia" w:ascii="宋体" w:hAnsi="宋体" w:eastAsia="宋体" w:cs="宋体"/>
                <w:b/>
                <w:bCs/>
                <w:highlight w:val="none"/>
                <w:u w:val="none"/>
              </w:rPr>
              <w:t xml:space="preserve">   址：</w:t>
            </w:r>
            <w:r>
              <w:rPr>
                <w:rFonts w:hint="eastAsia" w:asciiTheme="minorEastAsia" w:hAnsiTheme="minorEastAsia" w:eastAsiaTheme="minorEastAsia" w:cstheme="minorEastAsia"/>
                <w:i w:val="0"/>
                <w:iCs w:val="0"/>
                <w:color w:val="auto"/>
                <w:sz w:val="24"/>
                <w:szCs w:val="24"/>
                <w:highlight w:val="none"/>
                <w:u w:val="none"/>
              </w:rPr>
              <w:t>乌鲁木齐市金银路143号</w:t>
            </w:r>
          </w:p>
          <w:p>
            <w:pPr>
              <w:pStyle w:val="21"/>
              <w:kinsoku w:val="0"/>
              <w:overflowPunct w:val="0"/>
              <w:spacing w:before="57"/>
              <w:ind w:left="102"/>
              <w:rPr>
                <w:rFonts w:hint="default" w:ascii="宋体" w:hAnsi="宋体" w:eastAsia="宋体" w:cs="宋体"/>
                <w:color w:val="FF0000"/>
                <w:highlight w:val="none"/>
                <w:u w:val="none"/>
                <w:lang w:val="en-US"/>
              </w:rPr>
            </w:pPr>
            <w:r>
              <w:rPr>
                <w:rFonts w:hint="eastAsia" w:ascii="宋体" w:hAnsi="宋体" w:eastAsia="宋体" w:cs="宋体"/>
                <w:b/>
                <w:bCs/>
                <w:highlight w:val="none"/>
                <w:u w:val="none"/>
              </w:rPr>
              <w:t>联 系 人：</w:t>
            </w:r>
            <w:r>
              <w:rPr>
                <w:rFonts w:hint="eastAsia" w:asciiTheme="minorEastAsia" w:hAnsiTheme="minorEastAsia" w:eastAsiaTheme="minorEastAsia" w:cstheme="minorEastAsia"/>
                <w:i w:val="0"/>
                <w:iCs w:val="0"/>
                <w:color w:val="auto"/>
                <w:sz w:val="24"/>
                <w:szCs w:val="24"/>
                <w:highlight w:val="none"/>
                <w:u w:val="none"/>
                <w:lang w:val="en-US" w:eastAsia="zh-CN"/>
              </w:rPr>
              <w:t>何老师</w:t>
            </w:r>
          </w:p>
          <w:p>
            <w:pPr>
              <w:pStyle w:val="21"/>
              <w:kinsoku w:val="0"/>
              <w:overflowPunct w:val="0"/>
              <w:spacing w:before="57"/>
              <w:ind w:left="102"/>
              <w:rPr>
                <w:rFonts w:hint="eastAsia" w:ascii="宋体" w:hAnsi="宋体" w:eastAsia="宋体" w:cs="宋体"/>
                <w:b/>
                <w:bCs/>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4" w:hRule="exact"/>
          <w:jc w:val="center"/>
        </w:trPr>
        <w:tc>
          <w:tcPr>
            <w:tcW w:w="672" w:type="dxa"/>
            <w:vMerge w:val="continue"/>
            <w:noWrap w:val="0"/>
            <w:vAlign w:val="center"/>
          </w:tcPr>
          <w:p>
            <w:pPr>
              <w:pStyle w:val="21"/>
              <w:tabs>
                <w:tab w:val="left" w:pos="824"/>
              </w:tabs>
              <w:kinsoku w:val="0"/>
              <w:overflowPunct w:val="0"/>
              <w:spacing w:before="16" w:line="320" w:lineRule="auto"/>
              <w:ind w:left="102" w:right="4066"/>
              <w:jc w:val="center"/>
              <w:rPr>
                <w:rFonts w:hint="eastAsia" w:ascii="宋体" w:hAnsi="宋体" w:eastAsia="宋体" w:cs="宋体"/>
                <w:highlight w:val="none"/>
              </w:rPr>
            </w:pPr>
          </w:p>
        </w:tc>
        <w:tc>
          <w:tcPr>
            <w:tcW w:w="8475" w:type="dxa"/>
            <w:tcBorders>
              <w:top w:val="nil"/>
              <w:bottom w:val="single" w:color="auto" w:sz="4" w:space="0"/>
            </w:tcBorders>
            <w:noWrap w:val="0"/>
            <w:vAlign w:val="top"/>
          </w:tcPr>
          <w:p>
            <w:pPr>
              <w:pStyle w:val="21"/>
              <w:kinsoku w:val="0"/>
              <w:overflowPunct w:val="0"/>
              <w:spacing w:before="57"/>
              <w:ind w:left="102"/>
              <w:rPr>
                <w:rFonts w:hint="eastAsia" w:ascii="宋体" w:hAnsi="宋体" w:eastAsia="宋体" w:cs="宋体"/>
                <w:b/>
                <w:bCs/>
                <w:highlight w:val="none"/>
                <w:u w:val="none"/>
                <w:lang w:val="en-US" w:eastAsia="zh-CN"/>
              </w:rPr>
            </w:pPr>
            <w:r>
              <w:rPr>
                <w:rFonts w:hint="eastAsia" w:ascii="宋体" w:hAnsi="宋体" w:eastAsia="宋体" w:cs="宋体"/>
                <w:b/>
                <w:bCs/>
                <w:highlight w:val="none"/>
                <w:u w:val="none"/>
              </w:rPr>
              <w:t>联系电话：</w:t>
            </w:r>
            <w:r>
              <w:rPr>
                <w:rFonts w:hint="eastAsia" w:asciiTheme="minorEastAsia" w:hAnsiTheme="minorEastAsia" w:eastAsiaTheme="minorEastAsia" w:cstheme="minorEastAsia"/>
                <w:i w:val="0"/>
                <w:iCs w:val="0"/>
                <w:color w:val="auto"/>
                <w:sz w:val="24"/>
                <w:szCs w:val="24"/>
                <w:highlight w:val="none"/>
                <w:u w:val="none"/>
                <w:lang w:eastAsia="zh-CN"/>
              </w:rPr>
              <w:t>189 9923 6888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exact"/>
          <w:jc w:val="center"/>
        </w:trPr>
        <w:tc>
          <w:tcPr>
            <w:tcW w:w="672" w:type="dxa"/>
            <w:vMerge w:val="restart"/>
            <w:noWrap w:val="0"/>
            <w:vAlign w:val="center"/>
          </w:tcPr>
          <w:p>
            <w:pPr>
              <w:pStyle w:val="21"/>
              <w:kinsoku w:val="0"/>
              <w:overflowPunct w:val="0"/>
              <w:ind w:right="14"/>
              <w:jc w:val="center"/>
              <w:rPr>
                <w:rFonts w:hint="eastAsia" w:ascii="宋体" w:hAnsi="宋体" w:eastAsia="宋体" w:cs="宋体"/>
                <w:highlight w:val="none"/>
              </w:rPr>
            </w:pPr>
            <w:r>
              <w:rPr>
                <w:rFonts w:hint="eastAsia" w:ascii="宋体" w:hAnsi="宋体" w:eastAsia="宋体" w:cs="宋体"/>
                <w:highlight w:val="none"/>
              </w:rPr>
              <w:t>2</w:t>
            </w:r>
          </w:p>
        </w:tc>
        <w:tc>
          <w:tcPr>
            <w:tcW w:w="8475" w:type="dxa"/>
            <w:tcBorders>
              <w:bottom w:val="nil"/>
            </w:tcBorders>
            <w:noWrap w:val="0"/>
            <w:vAlign w:val="top"/>
          </w:tcPr>
          <w:p>
            <w:pPr>
              <w:pStyle w:val="21"/>
              <w:kinsoku w:val="0"/>
              <w:overflowPunct w:val="0"/>
              <w:spacing w:before="56"/>
              <w:ind w:left="102"/>
              <w:rPr>
                <w:rFonts w:hint="eastAsia" w:ascii="宋体" w:hAnsi="宋体" w:eastAsia="宋体" w:cs="宋体"/>
                <w:b/>
                <w:bCs/>
                <w:highlight w:val="none"/>
                <w:lang w:eastAsia="zh-CN"/>
              </w:rPr>
            </w:pPr>
            <w:r>
              <w:rPr>
                <w:rFonts w:hint="eastAsia" w:ascii="宋体" w:hAnsi="宋体" w:eastAsia="宋体" w:cs="宋体"/>
                <w:b/>
                <w:bCs/>
                <w:highlight w:val="none"/>
              </w:rPr>
              <w:t>代理机构：</w:t>
            </w:r>
            <w:r>
              <w:rPr>
                <w:rFonts w:hint="eastAsia" w:ascii="宋体" w:hAnsi="宋体" w:cs="宋体"/>
                <w:highlight w:val="none"/>
                <w:lang w:eastAsia="zh-CN"/>
              </w:rPr>
              <w:t>新疆天之源项目管理集团有限公司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7" w:hRule="exact"/>
          <w:jc w:val="center"/>
        </w:trPr>
        <w:tc>
          <w:tcPr>
            <w:tcW w:w="672" w:type="dxa"/>
            <w:vMerge w:val="continue"/>
            <w:noWrap w:val="0"/>
            <w:vAlign w:val="center"/>
          </w:tcPr>
          <w:p>
            <w:pPr>
              <w:pStyle w:val="21"/>
              <w:kinsoku w:val="0"/>
              <w:overflowPunct w:val="0"/>
              <w:spacing w:before="56"/>
              <w:ind w:left="102"/>
              <w:jc w:val="center"/>
              <w:rPr>
                <w:rFonts w:hint="eastAsia" w:ascii="宋体" w:hAnsi="宋体" w:eastAsia="宋体" w:cs="宋体"/>
                <w:highlight w:val="none"/>
              </w:rPr>
            </w:pPr>
          </w:p>
        </w:tc>
        <w:tc>
          <w:tcPr>
            <w:tcW w:w="8475" w:type="dxa"/>
            <w:tcBorders>
              <w:top w:val="nil"/>
              <w:bottom w:val="nil"/>
            </w:tcBorders>
            <w:noWrap w:val="0"/>
            <w:vAlign w:val="top"/>
          </w:tcPr>
          <w:p>
            <w:pPr>
              <w:pStyle w:val="21"/>
              <w:kinsoku w:val="0"/>
              <w:overflowPunct w:val="0"/>
              <w:spacing w:before="56"/>
              <w:ind w:left="102"/>
              <w:rPr>
                <w:rFonts w:hint="eastAsia" w:ascii="宋体" w:hAnsi="宋体" w:eastAsia="宋体" w:cs="宋体"/>
                <w:b/>
                <w:bCs/>
                <w:highlight w:val="none"/>
                <w:lang w:eastAsia="zh-CN"/>
              </w:rPr>
            </w:pPr>
            <w:r>
              <w:rPr>
                <w:rFonts w:hint="eastAsia" w:ascii="宋体" w:hAnsi="宋体" w:eastAsia="宋体" w:cs="宋体"/>
                <w:b/>
                <w:bCs/>
                <w:highlight w:val="none"/>
              </w:rPr>
              <w:t xml:space="preserve">地  </w:t>
            </w:r>
            <w:r>
              <w:rPr>
                <w:rFonts w:hint="eastAsia" w:ascii="宋体" w:hAnsi="宋体" w:eastAsia="宋体" w:cs="宋体"/>
                <w:b/>
                <w:bCs/>
                <w:highlight w:val="none"/>
              </w:rPr>
              <w:tab/>
            </w:r>
            <w:r>
              <w:rPr>
                <w:rFonts w:hint="eastAsia" w:ascii="宋体" w:hAnsi="宋体" w:eastAsia="宋体" w:cs="宋体"/>
                <w:b/>
                <w:bCs/>
                <w:highlight w:val="none"/>
              </w:rPr>
              <w:t>址：</w:t>
            </w:r>
            <w:r>
              <w:rPr>
                <w:rFonts w:hint="eastAsia" w:ascii="宋体" w:hAnsi="宋体" w:cs="宋体"/>
                <w:highlight w:val="none"/>
                <w:lang w:eastAsia="zh-CN"/>
              </w:rPr>
              <w:t>乌鲁木齐市水磨沟区龙盛街2799号浙商大厦11楼招标一部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exact"/>
          <w:jc w:val="center"/>
        </w:trPr>
        <w:tc>
          <w:tcPr>
            <w:tcW w:w="672" w:type="dxa"/>
            <w:vMerge w:val="continue"/>
            <w:noWrap w:val="0"/>
            <w:vAlign w:val="center"/>
          </w:tcPr>
          <w:p>
            <w:pPr>
              <w:pStyle w:val="21"/>
              <w:tabs>
                <w:tab w:val="left" w:pos="824"/>
              </w:tabs>
              <w:kinsoku w:val="0"/>
              <w:overflowPunct w:val="0"/>
              <w:spacing w:before="16"/>
              <w:ind w:left="102"/>
              <w:jc w:val="center"/>
              <w:rPr>
                <w:rFonts w:hint="eastAsia" w:ascii="宋体" w:hAnsi="宋体" w:eastAsia="宋体" w:cs="宋体"/>
                <w:highlight w:val="none"/>
              </w:rPr>
            </w:pPr>
          </w:p>
        </w:tc>
        <w:tc>
          <w:tcPr>
            <w:tcW w:w="8475" w:type="dxa"/>
            <w:tcBorders>
              <w:top w:val="nil"/>
              <w:bottom w:val="nil"/>
            </w:tcBorders>
            <w:noWrap w:val="0"/>
            <w:vAlign w:val="top"/>
          </w:tcPr>
          <w:p>
            <w:pPr>
              <w:pStyle w:val="21"/>
              <w:kinsoku w:val="0"/>
              <w:overflowPunct w:val="0"/>
              <w:spacing w:before="56"/>
              <w:ind w:left="102"/>
              <w:rPr>
                <w:rFonts w:hint="eastAsia" w:ascii="宋体" w:hAnsi="宋体" w:eastAsia="宋体" w:cs="宋体"/>
                <w:b/>
                <w:bCs/>
                <w:highlight w:val="none"/>
                <w:lang w:eastAsia="zh-CN"/>
              </w:rPr>
            </w:pPr>
            <w:r>
              <w:rPr>
                <w:rFonts w:hint="eastAsia" w:ascii="宋体" w:hAnsi="宋体" w:eastAsia="宋体" w:cs="宋体"/>
                <w:b/>
                <w:bCs/>
                <w:highlight w:val="none"/>
              </w:rPr>
              <w:t>联 系 人：</w:t>
            </w:r>
            <w:r>
              <w:rPr>
                <w:rFonts w:hint="eastAsia" w:ascii="宋体" w:hAnsi="宋体" w:cs="宋体"/>
                <w:highlight w:val="none"/>
                <w:lang w:eastAsia="zh-CN"/>
              </w:rPr>
              <w:t>李飞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exact"/>
          <w:jc w:val="center"/>
        </w:trPr>
        <w:tc>
          <w:tcPr>
            <w:tcW w:w="672" w:type="dxa"/>
            <w:vMerge w:val="continue"/>
            <w:noWrap w:val="0"/>
            <w:vAlign w:val="center"/>
          </w:tcPr>
          <w:p>
            <w:pPr>
              <w:pStyle w:val="21"/>
              <w:kinsoku w:val="0"/>
              <w:overflowPunct w:val="0"/>
              <w:spacing w:before="16"/>
              <w:ind w:left="102"/>
              <w:jc w:val="center"/>
              <w:rPr>
                <w:rFonts w:hint="eastAsia" w:ascii="宋体" w:hAnsi="宋体" w:eastAsia="宋体" w:cs="宋体"/>
                <w:highlight w:val="none"/>
              </w:rPr>
            </w:pPr>
          </w:p>
        </w:tc>
        <w:tc>
          <w:tcPr>
            <w:tcW w:w="8475" w:type="dxa"/>
            <w:tcBorders>
              <w:top w:val="nil"/>
              <w:bottom w:val="single" w:color="auto" w:sz="4" w:space="0"/>
            </w:tcBorders>
            <w:noWrap w:val="0"/>
            <w:vAlign w:val="top"/>
          </w:tcPr>
          <w:p>
            <w:pPr>
              <w:pStyle w:val="21"/>
              <w:kinsoku w:val="0"/>
              <w:overflowPunct w:val="0"/>
              <w:spacing w:before="56"/>
              <w:ind w:left="102"/>
              <w:rPr>
                <w:rFonts w:hint="eastAsia" w:ascii="宋体" w:hAnsi="宋体" w:eastAsia="宋体" w:cs="宋体"/>
                <w:b/>
                <w:bCs/>
                <w:highlight w:val="none"/>
                <w:lang w:val="en-US" w:eastAsia="zh-CN"/>
              </w:rPr>
            </w:pPr>
            <w:r>
              <w:rPr>
                <w:rFonts w:hint="eastAsia" w:ascii="宋体" w:hAnsi="宋体" w:eastAsia="宋体" w:cs="宋体"/>
                <w:b/>
                <w:bCs/>
                <w:highlight w:val="none"/>
              </w:rPr>
              <w:t>联系电话：</w:t>
            </w:r>
            <w:r>
              <w:rPr>
                <w:rFonts w:hint="eastAsia" w:ascii="宋体" w:hAnsi="宋体" w:cs="宋体"/>
                <w:highlight w:val="none"/>
                <w:lang w:eastAsia="zh-CN"/>
              </w:rPr>
              <w:t>18699146324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exact"/>
          <w:jc w:val="center"/>
        </w:trPr>
        <w:tc>
          <w:tcPr>
            <w:tcW w:w="672" w:type="dxa"/>
            <w:vMerge w:val="restart"/>
            <w:noWrap w:val="0"/>
            <w:vAlign w:val="center"/>
          </w:tcPr>
          <w:p>
            <w:pPr>
              <w:pStyle w:val="21"/>
              <w:kinsoku w:val="0"/>
              <w:overflowPunct w:val="0"/>
              <w:ind w:right="14"/>
              <w:jc w:val="center"/>
              <w:rPr>
                <w:rFonts w:hint="eastAsia" w:ascii="宋体" w:hAnsi="宋体" w:eastAsia="宋体" w:cs="宋体"/>
                <w:highlight w:val="none"/>
              </w:rPr>
            </w:pPr>
            <w:r>
              <w:rPr>
                <w:rFonts w:hint="eastAsia" w:ascii="宋体" w:hAnsi="宋体" w:eastAsia="宋体" w:cs="宋体"/>
                <w:highlight w:val="none"/>
              </w:rPr>
              <w:t>3</w:t>
            </w:r>
          </w:p>
        </w:tc>
        <w:tc>
          <w:tcPr>
            <w:tcW w:w="8475" w:type="dxa"/>
            <w:tcBorders>
              <w:bottom w:val="nil"/>
            </w:tcBorders>
            <w:noWrap w:val="0"/>
            <w:vAlign w:val="top"/>
          </w:tcPr>
          <w:p>
            <w:pPr>
              <w:pStyle w:val="21"/>
              <w:kinsoku w:val="0"/>
              <w:overflowPunct w:val="0"/>
              <w:spacing w:before="56"/>
              <w:ind w:left="102"/>
              <w:rPr>
                <w:rFonts w:hint="eastAsia" w:ascii="宋体" w:hAnsi="宋体" w:eastAsia="宋体" w:cs="宋体"/>
                <w:highlight w:val="none"/>
              </w:rPr>
            </w:pPr>
            <w:r>
              <w:rPr>
                <w:rFonts w:hint="eastAsia" w:ascii="宋体" w:hAnsi="宋体" w:eastAsia="宋体" w:cs="宋体"/>
                <w:b/>
                <w:bCs/>
                <w:highlight w:val="none"/>
              </w:rPr>
              <w:t>项目说明：/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8" w:hRule="exact"/>
          <w:jc w:val="center"/>
        </w:trPr>
        <w:tc>
          <w:tcPr>
            <w:tcW w:w="672" w:type="dxa"/>
            <w:vMerge w:val="continue"/>
            <w:noWrap w:val="0"/>
            <w:vAlign w:val="center"/>
          </w:tcPr>
          <w:p>
            <w:pPr>
              <w:pStyle w:val="21"/>
              <w:kinsoku w:val="0"/>
              <w:overflowPunct w:val="0"/>
              <w:spacing w:before="56"/>
              <w:ind w:left="102"/>
              <w:jc w:val="center"/>
              <w:rPr>
                <w:rFonts w:hint="eastAsia" w:ascii="宋体" w:hAnsi="宋体" w:eastAsia="宋体" w:cs="宋体"/>
                <w:highlight w:val="none"/>
              </w:rPr>
            </w:pPr>
          </w:p>
        </w:tc>
        <w:tc>
          <w:tcPr>
            <w:tcW w:w="8475" w:type="dxa"/>
            <w:tcBorders>
              <w:top w:val="nil"/>
              <w:bottom w:val="nil"/>
            </w:tcBorders>
            <w:shd w:val="clear" w:color="auto" w:fill="auto"/>
            <w:noWrap w:val="0"/>
            <w:vAlign w:val="top"/>
          </w:tcPr>
          <w:p>
            <w:pPr>
              <w:pStyle w:val="21"/>
              <w:kinsoku w:val="0"/>
              <w:overflowPunct w:val="0"/>
              <w:spacing w:before="16" w:line="320" w:lineRule="auto"/>
              <w:ind w:left="1788" w:leftChars="48" w:right="77" w:hanging="1687" w:hangingChars="700"/>
              <w:rPr>
                <w:rFonts w:hint="eastAsia" w:ascii="宋体" w:hAnsi="宋体" w:eastAsia="宋体" w:cs="宋体"/>
                <w:b/>
                <w:bCs/>
                <w:w w:val="95"/>
                <w:highlight w:val="none"/>
              </w:rPr>
            </w:pPr>
            <w:r>
              <w:rPr>
                <w:rFonts w:hint="eastAsia" w:ascii="宋体" w:hAnsi="宋体" w:eastAsia="宋体" w:cs="宋体"/>
                <w:b/>
                <w:bCs/>
                <w:highlight w:val="none"/>
              </w:rPr>
              <w:t>1、项目名称：</w:t>
            </w:r>
            <w:r>
              <w:rPr>
                <w:rFonts w:hint="eastAsia" w:ascii="宋体" w:hAnsi="宋体" w:cs="宋体"/>
                <w:b w:val="0"/>
                <w:bCs w:val="0"/>
                <w:i w:val="0"/>
                <w:iCs w:val="0"/>
                <w:sz w:val="24"/>
                <w:szCs w:val="24"/>
                <w:highlight w:val="none"/>
                <w:lang w:val="en-US" w:eastAsia="zh-CN"/>
              </w:rPr>
              <w:t>自治区文化和旅游互联网自主监管与服务系统项目</w:t>
            </w:r>
            <w:r>
              <w:rPr>
                <w:rFonts w:hint="eastAsia" w:ascii="宋体" w:hAnsi="宋体" w:eastAsia="宋体" w:cs="宋体"/>
                <w:b w:val="0"/>
                <w:bCs w:val="0"/>
                <w:w w:val="95"/>
                <w:highlight w:val="none"/>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exact"/>
          <w:jc w:val="center"/>
        </w:trPr>
        <w:tc>
          <w:tcPr>
            <w:tcW w:w="672" w:type="dxa"/>
            <w:vMerge w:val="continue"/>
            <w:noWrap w:val="0"/>
            <w:vAlign w:val="center"/>
          </w:tcPr>
          <w:p>
            <w:pPr>
              <w:pStyle w:val="21"/>
              <w:kinsoku w:val="0"/>
              <w:overflowPunct w:val="0"/>
              <w:spacing w:before="16" w:line="320" w:lineRule="auto"/>
              <w:ind w:left="102" w:right="77"/>
              <w:jc w:val="center"/>
              <w:rPr>
                <w:rFonts w:hint="eastAsia" w:ascii="宋体" w:hAnsi="宋体" w:eastAsia="宋体" w:cs="宋体"/>
                <w:highlight w:val="none"/>
              </w:rPr>
            </w:pPr>
          </w:p>
        </w:tc>
        <w:tc>
          <w:tcPr>
            <w:tcW w:w="8475" w:type="dxa"/>
            <w:tcBorders>
              <w:top w:val="nil"/>
            </w:tcBorders>
            <w:shd w:val="clear" w:color="auto" w:fill="auto"/>
            <w:noWrap w:val="0"/>
            <w:vAlign w:val="top"/>
          </w:tcPr>
          <w:p>
            <w:pPr>
              <w:pStyle w:val="21"/>
              <w:kinsoku w:val="0"/>
              <w:overflowPunct w:val="0"/>
              <w:spacing w:before="16"/>
              <w:ind w:left="102"/>
              <w:rPr>
                <w:rFonts w:hint="eastAsia" w:ascii="宋体" w:hAnsi="宋体" w:eastAsia="宋体" w:cs="宋体"/>
                <w:highlight w:val="none"/>
              </w:rPr>
            </w:pPr>
            <w:r>
              <w:rPr>
                <w:rFonts w:hint="eastAsia" w:ascii="宋体" w:hAnsi="宋体" w:eastAsia="宋体" w:cs="宋体"/>
                <w:b/>
                <w:bCs/>
                <w:highlight w:val="none"/>
              </w:rPr>
              <w:t>2、磋商文件编号</w:t>
            </w:r>
            <w:r>
              <w:rPr>
                <w:rFonts w:hint="eastAsia" w:ascii="宋体" w:hAnsi="宋体" w:eastAsia="宋体" w:cs="宋体"/>
                <w:b/>
                <w:bCs/>
                <w:highlight w:val="yellow"/>
              </w:rPr>
              <w:t>：</w:t>
            </w:r>
            <w:r>
              <w:rPr>
                <w:rFonts w:hint="eastAsia" w:ascii="宋体" w:hAnsi="宋体" w:cs="宋体"/>
                <w:b w:val="0"/>
                <w:bCs w:val="0"/>
                <w:i w:val="0"/>
                <w:iCs w:val="0"/>
                <w:sz w:val="24"/>
                <w:szCs w:val="24"/>
                <w:highlight w:val="yellow"/>
                <w:lang w:val="en-US" w:eastAsia="zh-CN"/>
              </w:rPr>
              <w:t>XJTZY2022-1-C0060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3" w:hRule="atLeast"/>
          <w:jc w:val="center"/>
        </w:trPr>
        <w:tc>
          <w:tcPr>
            <w:tcW w:w="672" w:type="dxa"/>
            <w:noWrap w:val="0"/>
            <w:vAlign w:val="center"/>
          </w:tcPr>
          <w:p>
            <w:pPr>
              <w:pStyle w:val="21"/>
              <w:kinsoku w:val="0"/>
              <w:overflowPunct w:val="0"/>
              <w:spacing w:before="8"/>
              <w:ind w:left="102"/>
              <w:rPr>
                <w:rFonts w:hint="eastAsia" w:ascii="宋体" w:hAnsi="宋体" w:eastAsia="宋体" w:cs="宋体"/>
                <w:b/>
                <w:bCs/>
                <w:highlight w:val="yellow"/>
              </w:rPr>
            </w:pPr>
            <w:r>
              <w:rPr>
                <w:rFonts w:hint="eastAsia" w:ascii="宋体" w:hAnsi="宋体" w:eastAsia="宋体" w:cs="宋体"/>
                <w:b/>
                <w:bCs/>
                <w:highlight w:val="none"/>
              </w:rPr>
              <w:t>4</w:t>
            </w:r>
          </w:p>
        </w:tc>
        <w:tc>
          <w:tcPr>
            <w:tcW w:w="8475" w:type="dxa"/>
            <w:shd w:val="clear" w:color="auto" w:fill="auto"/>
            <w:noWrap w:val="0"/>
            <w:vAlign w:val="top"/>
          </w:tcPr>
          <w:p>
            <w:pPr>
              <w:pStyle w:val="21"/>
              <w:kinsoku w:val="0"/>
              <w:overflowPunct w:val="0"/>
              <w:spacing w:before="8"/>
              <w:ind w:left="102"/>
              <w:rPr>
                <w:rFonts w:hint="eastAsia" w:ascii="宋体" w:hAnsi="宋体" w:eastAsia="宋体" w:cs="宋体"/>
                <w:b/>
                <w:bCs/>
                <w:highlight w:val="none"/>
              </w:rPr>
            </w:pPr>
            <w:r>
              <w:rPr>
                <w:rFonts w:hint="eastAsia" w:ascii="宋体" w:hAnsi="宋体" w:eastAsia="宋体" w:cs="宋体"/>
                <w:b/>
                <w:bCs/>
                <w:highlight w:val="none"/>
              </w:rPr>
              <w:t>磋商内容：</w:t>
            </w:r>
          </w:p>
          <w:p>
            <w:pPr>
              <w:pStyle w:val="21"/>
              <w:kinsoku w:val="0"/>
              <w:overflowPunct w:val="0"/>
              <w:spacing w:before="8"/>
              <w:ind w:left="102"/>
              <w:rPr>
                <w:rFonts w:hint="eastAsia" w:ascii="宋体" w:hAnsi="宋体" w:eastAsia="宋体" w:cs="宋体"/>
                <w:b w:val="0"/>
                <w:bCs w:val="0"/>
                <w:highlight w:val="none"/>
              </w:rPr>
            </w:pPr>
            <w:r>
              <w:rPr>
                <w:rFonts w:hint="eastAsia" w:ascii="宋体" w:hAnsi="宋体" w:eastAsia="宋体" w:cs="宋体"/>
                <w:b/>
                <w:bCs/>
                <w:highlight w:val="none"/>
              </w:rPr>
              <w:t>1、主要磋商内容：</w:t>
            </w:r>
            <w:r>
              <w:rPr>
                <w:rFonts w:hint="eastAsia" w:ascii="宋体" w:hAnsi="宋体" w:eastAsia="宋体" w:cs="宋体"/>
                <w:b w:val="0"/>
                <w:bCs w:val="0"/>
                <w:highlight w:val="none"/>
              </w:rPr>
              <w:t>依托我厅“新疆文旅投诉”平台整体架构打造互联网文旅自主监管与服务系统，构建大数据监管体系，开启主动监管、精准监管、创新监管和高质量监管的新局面。</w:t>
            </w:r>
          </w:p>
          <w:p>
            <w:pPr>
              <w:pStyle w:val="21"/>
              <w:kinsoku w:val="0"/>
              <w:overflowPunct w:val="0"/>
              <w:spacing w:before="8"/>
              <w:ind w:left="102"/>
              <w:rPr>
                <w:rFonts w:hint="eastAsia" w:ascii="宋体" w:hAnsi="宋体" w:eastAsia="宋体" w:cs="宋体"/>
                <w:b w:val="0"/>
                <w:bCs w:val="0"/>
                <w:highlight w:val="yellow"/>
                <w:lang w:val="en-US" w:eastAsia="zh-CN"/>
              </w:rPr>
            </w:pPr>
            <w:r>
              <w:rPr>
                <w:rFonts w:hint="eastAsia" w:ascii="宋体" w:hAnsi="宋体" w:eastAsia="宋体" w:cs="宋体"/>
                <w:b w:val="0"/>
                <w:bCs w:val="0"/>
                <w:highlight w:val="none"/>
              </w:rPr>
              <w:t>通过建设互联网文旅自主监管与服务系统，承载互联网文旅市场基础数据以及互联网文旅领域的涉嫌违法违规行为线索。同时，通过大数据分析、人工智能等信息化手段进行建库搜索、建模分析、以及数据流转等操作，实现互联网文旅领域的事中事后监管及事前预警分析。</w:t>
            </w:r>
          </w:p>
          <w:p>
            <w:pPr>
              <w:pStyle w:val="21"/>
              <w:kinsoku w:val="0"/>
              <w:overflowPunct w:val="0"/>
              <w:spacing w:before="8"/>
              <w:ind w:left="102"/>
              <w:rPr>
                <w:rFonts w:hint="default" w:ascii="宋体" w:hAnsi="宋体" w:eastAsia="宋体" w:cs="宋体"/>
                <w:b/>
                <w:bCs/>
                <w:highlight w:val="yellow"/>
                <w:lang w:val="en-US"/>
              </w:rPr>
            </w:pPr>
            <w:r>
              <w:rPr>
                <w:rFonts w:hint="eastAsia" w:ascii="宋体" w:hAnsi="宋体" w:eastAsia="宋体" w:cs="宋体"/>
                <w:b/>
                <w:bCs/>
                <w:highlight w:val="none"/>
              </w:rPr>
              <w:t>2、</w:t>
            </w:r>
            <w:r>
              <w:rPr>
                <w:rFonts w:hint="eastAsia" w:ascii="宋体" w:hAnsi="宋体" w:eastAsia="宋体" w:cs="宋体"/>
                <w:b/>
                <w:bCs/>
                <w:highlight w:val="none"/>
                <w:lang w:val="en-US" w:eastAsia="zh-CN"/>
              </w:rPr>
              <w:t>项目服务期：</w:t>
            </w:r>
            <w:r>
              <w:rPr>
                <w:rFonts w:hint="eastAsia" w:ascii="宋体" w:hAnsi="宋体" w:eastAsia="宋体" w:cs="宋体"/>
                <w:b w:val="0"/>
                <w:bCs w:val="0"/>
                <w:highlight w:val="none"/>
                <w:lang w:val="en-US" w:eastAsia="zh-CN"/>
              </w:rPr>
              <w:t>自合同签订之日起3个月内完成系统开发并上线运行。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2" w:hRule="atLeast"/>
          <w:jc w:val="center"/>
        </w:trPr>
        <w:tc>
          <w:tcPr>
            <w:tcW w:w="672" w:type="dxa"/>
            <w:noWrap w:val="0"/>
            <w:vAlign w:val="center"/>
          </w:tcPr>
          <w:p>
            <w:pPr>
              <w:pStyle w:val="21"/>
              <w:kinsoku w:val="0"/>
              <w:overflowPunct w:val="0"/>
              <w:ind w:right="14"/>
              <w:jc w:val="center"/>
              <w:rPr>
                <w:rFonts w:hint="eastAsia" w:ascii="宋体" w:hAnsi="宋体" w:eastAsia="宋体" w:cs="宋体"/>
                <w:highlight w:val="none"/>
              </w:rPr>
            </w:pPr>
            <w:r>
              <w:rPr>
                <w:rFonts w:hint="eastAsia" w:ascii="宋体" w:hAnsi="宋体" w:eastAsia="宋体" w:cs="宋体"/>
                <w:highlight w:val="none"/>
              </w:rPr>
              <w:t>5</w:t>
            </w:r>
          </w:p>
        </w:tc>
        <w:tc>
          <w:tcPr>
            <w:tcW w:w="8475" w:type="dxa"/>
            <w:shd w:val="clear" w:color="auto" w:fill="auto"/>
            <w:noWrap w:val="0"/>
            <w:vAlign w:val="top"/>
          </w:tcPr>
          <w:p>
            <w:pPr>
              <w:pStyle w:val="21"/>
              <w:kinsoku w:val="0"/>
              <w:overflowPunct w:val="0"/>
              <w:spacing w:before="122"/>
              <w:ind w:left="102"/>
              <w:rPr>
                <w:rFonts w:hint="eastAsia" w:ascii="宋体" w:hAnsi="宋体" w:eastAsia="宋体" w:cs="宋体"/>
                <w:highlight w:val="none"/>
              </w:rPr>
            </w:pPr>
            <w:r>
              <w:rPr>
                <w:rFonts w:hint="eastAsia" w:ascii="宋体" w:hAnsi="宋体" w:eastAsia="宋体" w:cs="宋体"/>
                <w:b/>
                <w:bCs/>
                <w:highlight w:val="none"/>
              </w:rPr>
              <w:t>项目采购预算：</w:t>
            </w:r>
            <w:r>
              <w:rPr>
                <w:rFonts w:hint="eastAsia" w:ascii="宋体" w:hAnsi="宋体" w:cs="宋体"/>
                <w:b w:val="0"/>
                <w:bCs w:val="0"/>
                <w:highlight w:val="none"/>
                <w:lang w:val="en-US" w:eastAsia="zh-CN"/>
              </w:rPr>
              <w:t>300000</w:t>
            </w:r>
            <w:r>
              <w:rPr>
                <w:rFonts w:hint="eastAsia" w:ascii="宋体" w:hAnsi="宋体" w:eastAsia="宋体" w:cs="宋体"/>
                <w:highlight w:val="none"/>
              </w:rPr>
              <w:t>元（大写：</w:t>
            </w:r>
            <w:r>
              <w:rPr>
                <w:rFonts w:hint="eastAsia" w:ascii="宋体" w:hAnsi="宋体" w:cs="宋体"/>
                <w:highlight w:val="none"/>
                <w:lang w:val="en-US" w:eastAsia="zh-CN"/>
              </w:rPr>
              <w:t>叁拾万元</w:t>
            </w:r>
            <w:r>
              <w:rPr>
                <w:rFonts w:hint="eastAsia" w:ascii="宋体" w:hAnsi="宋体" w:eastAsia="宋体" w:cs="宋体"/>
                <w:highlight w:val="none"/>
              </w:rPr>
              <w:t>整）</w:t>
            </w:r>
          </w:p>
          <w:p>
            <w:pPr>
              <w:pStyle w:val="21"/>
              <w:kinsoku w:val="0"/>
              <w:overflowPunct w:val="0"/>
              <w:spacing w:line="276" w:lineRule="exact"/>
              <w:ind w:left="102"/>
              <w:rPr>
                <w:rFonts w:hint="eastAsia" w:ascii="宋体" w:hAnsi="宋体" w:eastAsia="宋体" w:cs="宋体"/>
                <w:b/>
                <w:bCs/>
                <w:highlight w:val="none"/>
              </w:rPr>
            </w:pPr>
            <w:r>
              <w:rPr>
                <w:rFonts w:hint="eastAsia" w:ascii="宋体" w:hAnsi="宋体" w:eastAsia="宋体" w:cs="宋体"/>
                <w:sz w:val="22"/>
                <w:szCs w:val="22"/>
                <w:highlight w:val="none"/>
              </w:rPr>
              <w:t>★</w:t>
            </w:r>
            <w:r>
              <w:rPr>
                <w:rFonts w:hint="eastAsia" w:ascii="宋体" w:hAnsi="宋体" w:eastAsia="宋体" w:cs="宋体"/>
                <w:b/>
                <w:bCs/>
                <w:highlight w:val="none"/>
              </w:rPr>
              <w:t>供应商的投标报价超过采购预算的按无效投标处理。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72" w:type="dxa"/>
            <w:noWrap w:val="0"/>
            <w:vAlign w:val="center"/>
          </w:tcPr>
          <w:p>
            <w:pPr>
              <w:pStyle w:val="21"/>
              <w:kinsoku w:val="0"/>
              <w:overflowPunct w:val="0"/>
              <w:ind w:right="14"/>
              <w:jc w:val="center"/>
              <w:rPr>
                <w:rFonts w:hint="eastAsia" w:ascii="宋体" w:hAnsi="宋体" w:eastAsia="宋体" w:cs="宋体"/>
                <w:highlight w:val="none"/>
              </w:rPr>
            </w:pPr>
            <w:r>
              <w:rPr>
                <w:rFonts w:hint="eastAsia" w:ascii="宋体" w:hAnsi="宋体" w:eastAsia="宋体" w:cs="宋体"/>
                <w:highlight w:val="none"/>
              </w:rPr>
              <w:t>6</w:t>
            </w:r>
          </w:p>
        </w:tc>
        <w:tc>
          <w:tcPr>
            <w:tcW w:w="8475" w:type="dxa"/>
            <w:noWrap w:val="0"/>
            <w:vAlign w:val="top"/>
          </w:tcPr>
          <w:p>
            <w:pPr>
              <w:pStyle w:val="21"/>
              <w:kinsoku w:val="0"/>
              <w:overflowPunct w:val="0"/>
              <w:spacing w:before="122"/>
              <w:ind w:left="102"/>
              <w:rPr>
                <w:rFonts w:hint="eastAsia" w:ascii="宋体" w:hAnsi="宋体" w:eastAsia="宋体" w:cs="宋体"/>
                <w:b/>
                <w:bCs/>
                <w:highlight w:val="none"/>
              </w:rPr>
            </w:pPr>
            <w:r>
              <w:rPr>
                <w:rFonts w:hint="eastAsia" w:ascii="宋体" w:hAnsi="宋体" w:eastAsia="宋体" w:cs="宋体"/>
                <w:b/>
                <w:bCs/>
                <w:highlight w:val="none"/>
              </w:rPr>
              <w:t>★1、</w:t>
            </w:r>
            <w:r>
              <w:rPr>
                <w:rFonts w:hint="eastAsia" w:ascii="宋体" w:hAnsi="宋体" w:cs="宋体"/>
                <w:b/>
                <w:bCs/>
                <w:highlight w:val="none"/>
                <w:lang w:val="en-US" w:eastAsia="zh-CN"/>
              </w:rPr>
              <w:t>供应商</w:t>
            </w:r>
            <w:r>
              <w:rPr>
                <w:rFonts w:hint="eastAsia" w:ascii="宋体" w:hAnsi="宋体" w:eastAsia="宋体" w:cs="宋体"/>
                <w:b/>
                <w:bCs/>
                <w:highlight w:val="none"/>
              </w:rPr>
              <w:t>资格要求：</w:t>
            </w:r>
          </w:p>
          <w:p>
            <w:pPr>
              <w:pStyle w:val="21"/>
              <w:kinsoku w:val="0"/>
              <w:overflowPunct w:val="0"/>
              <w:spacing w:before="122"/>
              <w:ind w:left="102"/>
              <w:rPr>
                <w:rFonts w:hint="eastAsia" w:ascii="宋体" w:hAnsi="宋体" w:eastAsia="宋体" w:cs="宋体"/>
                <w:highlight w:val="none"/>
              </w:rPr>
            </w:pPr>
            <w:r>
              <w:rPr>
                <w:rFonts w:hint="eastAsia" w:ascii="宋体" w:hAnsi="宋体" w:eastAsia="宋体" w:cs="宋体"/>
                <w:highlight w:val="none"/>
              </w:rPr>
              <w:t>（1）符合《中华人民共和国政府采购法》第二十二条的相关规定；</w:t>
            </w:r>
          </w:p>
          <w:p>
            <w:pPr>
              <w:pStyle w:val="21"/>
              <w:kinsoku w:val="0"/>
              <w:overflowPunct w:val="0"/>
              <w:spacing w:before="122"/>
              <w:ind w:left="102"/>
              <w:rPr>
                <w:rFonts w:hint="eastAsia" w:ascii="宋体" w:hAnsi="宋体" w:eastAsia="宋体" w:cs="宋体"/>
                <w:highlight w:val="none"/>
              </w:rPr>
            </w:pPr>
            <w:r>
              <w:rPr>
                <w:rFonts w:hint="eastAsia" w:ascii="宋体" w:hAnsi="宋体" w:eastAsia="宋体" w:cs="宋体"/>
                <w:highlight w:val="none"/>
              </w:rPr>
              <w:t>（2）在中华人民共和国境内注册的法人、其他组织或者自然人，且有承担本项目能力的供应商；</w:t>
            </w:r>
          </w:p>
          <w:p>
            <w:pPr>
              <w:pStyle w:val="21"/>
              <w:kinsoku w:val="0"/>
              <w:overflowPunct w:val="0"/>
              <w:spacing w:before="122"/>
              <w:ind w:left="102"/>
              <w:rPr>
                <w:rFonts w:hint="eastAsia" w:ascii="宋体" w:hAnsi="宋体" w:eastAsia="宋体" w:cs="宋体"/>
                <w:i w:val="0"/>
                <w:iCs w:val="0"/>
                <w:sz w:val="24"/>
                <w:szCs w:val="24"/>
                <w:highlight w:val="none"/>
                <w:u w:val="none"/>
              </w:rPr>
            </w:pPr>
            <w:r>
              <w:rPr>
                <w:rFonts w:hint="eastAsia" w:ascii="宋体" w:hAnsi="宋体" w:eastAsia="宋体" w:cs="宋体"/>
                <w:highlight w:val="none"/>
              </w:rPr>
              <w:t>（</w:t>
            </w:r>
            <w:r>
              <w:rPr>
                <w:rFonts w:hint="eastAsia" w:ascii="宋体" w:hAnsi="宋体" w:eastAsia="宋体" w:cs="宋体"/>
                <w:highlight w:val="none"/>
                <w:lang w:val="en-US" w:eastAsia="zh-CN"/>
              </w:rPr>
              <w:t>3</w:t>
            </w:r>
            <w:r>
              <w:rPr>
                <w:rFonts w:hint="eastAsia" w:ascii="宋体" w:hAnsi="宋体" w:eastAsia="宋体" w:cs="宋体"/>
                <w:highlight w:val="none"/>
              </w:rPr>
              <w:t>）</w:t>
            </w:r>
            <w:r>
              <w:rPr>
                <w:rFonts w:hint="eastAsia" w:ascii="宋体" w:hAnsi="宋体" w:eastAsia="宋体" w:cs="宋体"/>
                <w:color w:val="auto"/>
                <w:sz w:val="24"/>
                <w:szCs w:val="24"/>
                <w:highlight w:val="none"/>
                <w:lang w:eastAsia="zh-CN"/>
              </w:rPr>
              <w:t>供应商为企业法人应提供合法有效的标识有统一社会信用代码的营业执照</w:t>
            </w:r>
            <w:r>
              <w:rPr>
                <w:rFonts w:hint="eastAsia" w:ascii="宋体" w:hAnsi="宋体" w:eastAsia="宋体" w:cs="宋体"/>
                <w:i w:val="0"/>
                <w:iCs w:val="0"/>
                <w:sz w:val="24"/>
                <w:szCs w:val="24"/>
                <w:highlight w:val="none"/>
                <w:lang w:eastAsia="zh-CN"/>
              </w:rPr>
              <w:t>；事业法人应提供事业单位法人证书；其他组织应提供合法登记证明文件</w:t>
            </w:r>
            <w:r>
              <w:rPr>
                <w:rFonts w:hint="eastAsia" w:ascii="宋体" w:hAnsi="宋体" w:eastAsia="宋体" w:cs="宋体"/>
                <w:highlight w:val="none"/>
              </w:rPr>
              <w:t>；</w:t>
            </w:r>
          </w:p>
          <w:p>
            <w:pPr>
              <w:pStyle w:val="21"/>
              <w:kinsoku w:val="0"/>
              <w:overflowPunct w:val="0"/>
              <w:spacing w:before="122"/>
              <w:ind w:left="102"/>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cs="宋体"/>
                <w:highlight w:val="none"/>
                <w:lang w:val="en-US" w:eastAsia="zh-CN"/>
              </w:rPr>
              <w:t>4</w:t>
            </w:r>
            <w:r>
              <w:rPr>
                <w:rFonts w:hint="eastAsia" w:ascii="宋体" w:hAnsi="宋体" w:eastAsia="宋体" w:cs="宋体"/>
                <w:highlight w:val="none"/>
              </w:rPr>
              <w:t>）具有良好的商业信誉和健全的财务会计制度以及内部管理机制，且有较强的风险控制能力；</w:t>
            </w:r>
          </w:p>
          <w:p>
            <w:pPr>
              <w:pStyle w:val="21"/>
              <w:kinsoku w:val="0"/>
              <w:overflowPunct w:val="0"/>
              <w:spacing w:before="122"/>
              <w:ind w:left="102"/>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cs="宋体"/>
                <w:highlight w:val="none"/>
                <w:lang w:val="en-US" w:eastAsia="zh-CN"/>
              </w:rPr>
              <w:t>5</w:t>
            </w:r>
            <w:r>
              <w:rPr>
                <w:rFonts w:hint="eastAsia" w:ascii="宋体" w:hAnsi="宋体" w:eastAsia="宋体" w:cs="宋体"/>
                <w:highlight w:val="none"/>
              </w:rPr>
              <w:t>）财务稳健，资本充足率、不良贷款率、拨备覆盖率、流动性比例等指标达到监管标准；</w:t>
            </w:r>
          </w:p>
          <w:p>
            <w:pPr>
              <w:pStyle w:val="21"/>
              <w:kinsoku w:val="0"/>
              <w:overflowPunct w:val="0"/>
              <w:spacing w:before="122"/>
              <w:ind w:left="102"/>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cs="宋体"/>
                <w:highlight w:val="none"/>
                <w:lang w:val="en-US" w:eastAsia="zh-CN"/>
              </w:rPr>
              <w:t>6</w:t>
            </w:r>
            <w:r>
              <w:rPr>
                <w:rFonts w:hint="eastAsia" w:ascii="宋体" w:hAnsi="宋体" w:eastAsia="宋体" w:cs="宋体"/>
                <w:highlight w:val="none"/>
              </w:rPr>
              <w:t>）经信用中国（</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"http://www.creditchina.gov.xn--cn)(www-0o3fu69vuosgftrgs7o1fgtwb3oo.ccgp.gov.xn--cn)-x33e002goji19wjl4almi/" \t "_blank" </w:instrText>
            </w:r>
            <w:r>
              <w:rPr>
                <w:rFonts w:hint="eastAsia" w:ascii="宋体" w:hAnsi="宋体" w:eastAsia="宋体" w:cs="宋体"/>
                <w:highlight w:val="none"/>
              </w:rPr>
              <w:fldChar w:fldCharType="separate"/>
            </w:r>
            <w:r>
              <w:rPr>
                <w:rFonts w:hint="eastAsia" w:ascii="宋体" w:hAnsi="宋体" w:eastAsia="宋体" w:cs="宋体"/>
                <w:highlight w:val="none"/>
              </w:rPr>
              <w:t>www.creditchina.gov.cn）、中国政府采购网（www.ccgp.gov.cn）等渠道查询后</w:t>
            </w:r>
            <w:r>
              <w:rPr>
                <w:rFonts w:hint="eastAsia" w:ascii="宋体" w:hAnsi="宋体" w:eastAsia="宋体" w:cs="宋体"/>
                <w:highlight w:val="none"/>
              </w:rPr>
              <w:fldChar w:fldCharType="end"/>
            </w:r>
            <w:r>
              <w:rPr>
                <w:rFonts w:hint="eastAsia" w:ascii="宋体" w:hAnsi="宋体" w:eastAsia="宋体" w:cs="宋体"/>
                <w:highlight w:val="none"/>
              </w:rPr>
              <w:t>，列入失信被执行人、</w:t>
            </w:r>
            <w:r>
              <w:rPr>
                <w:rFonts w:hint="eastAsia" w:ascii="宋体" w:hAnsi="宋体" w:cs="宋体"/>
                <w:highlight w:val="none"/>
                <w:lang w:eastAsia="zh-CN"/>
              </w:rPr>
              <w:t>重大税收违法失信主体记录</w:t>
            </w:r>
            <w:r>
              <w:rPr>
                <w:rFonts w:hint="eastAsia" w:ascii="宋体" w:hAnsi="宋体" w:eastAsia="宋体" w:cs="宋体"/>
                <w:highlight w:val="none"/>
              </w:rPr>
              <w:t>、政府采购严重违法失信行为记录名单的，取消投标资格。（提供“信用中国”网站无任何不良记录的查询截图并加盖公章）；</w:t>
            </w:r>
          </w:p>
          <w:p>
            <w:pPr>
              <w:pStyle w:val="21"/>
              <w:kinsoku w:val="0"/>
              <w:overflowPunct w:val="0"/>
              <w:spacing w:before="122"/>
              <w:ind w:left="102"/>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cs="宋体"/>
                <w:highlight w:val="none"/>
                <w:lang w:val="en-US" w:eastAsia="zh-CN"/>
              </w:rPr>
              <w:t>7</w:t>
            </w:r>
            <w:r>
              <w:rPr>
                <w:rFonts w:hint="eastAsia" w:ascii="宋体" w:hAnsi="宋体" w:eastAsia="宋体" w:cs="宋体"/>
                <w:highlight w:val="none"/>
              </w:rPr>
              <w:t>）为充分保证完善的售后服务，本项目不接受联合体投标。</w:t>
            </w:r>
          </w:p>
          <w:p>
            <w:pPr>
              <w:pStyle w:val="21"/>
              <w:kinsoku w:val="0"/>
              <w:overflowPunct w:val="0"/>
              <w:spacing w:before="122"/>
              <w:ind w:left="102"/>
              <w:rPr>
                <w:rFonts w:hint="eastAsia" w:ascii="宋体" w:hAnsi="宋体" w:eastAsia="宋体" w:cs="宋体"/>
                <w:b/>
                <w:bCs/>
                <w:w w:val="95"/>
                <w:highlight w:val="none"/>
              </w:rPr>
            </w:pPr>
            <w:r>
              <w:rPr>
                <w:rFonts w:hint="eastAsia" w:ascii="宋体" w:hAnsi="宋体" w:eastAsia="宋体" w:cs="宋体"/>
                <w:b/>
                <w:bCs/>
                <w:w w:val="95"/>
                <w:highlight w:val="none"/>
              </w:rPr>
              <w:t>★</w:t>
            </w:r>
            <w:r>
              <w:rPr>
                <w:rFonts w:hint="eastAsia" w:ascii="宋体" w:hAnsi="宋体" w:eastAsia="宋体" w:cs="宋体"/>
                <w:b/>
                <w:bCs/>
                <w:spacing w:val="1"/>
                <w:w w:val="95"/>
                <w:highlight w:val="none"/>
              </w:rPr>
              <w:t>2</w:t>
            </w:r>
            <w:r>
              <w:rPr>
                <w:rFonts w:hint="eastAsia" w:ascii="宋体" w:hAnsi="宋体" w:eastAsia="宋体" w:cs="宋体"/>
                <w:b/>
                <w:bCs/>
                <w:w w:val="95"/>
                <w:highlight w:val="none"/>
              </w:rPr>
              <w:t>.响应人</w:t>
            </w:r>
            <w:r>
              <w:rPr>
                <w:rFonts w:hint="eastAsia" w:ascii="宋体" w:hAnsi="宋体" w:eastAsia="宋体" w:cs="宋体"/>
                <w:b/>
                <w:bCs/>
                <w:spacing w:val="1"/>
                <w:w w:val="95"/>
                <w:highlight w:val="none"/>
              </w:rPr>
              <w:t>须</w:t>
            </w:r>
            <w:r>
              <w:rPr>
                <w:rFonts w:hint="eastAsia" w:ascii="宋体" w:hAnsi="宋体" w:eastAsia="宋体" w:cs="宋体"/>
                <w:b/>
                <w:bCs/>
                <w:w w:val="95"/>
                <w:highlight w:val="none"/>
              </w:rPr>
              <w:t>递交</w:t>
            </w:r>
            <w:r>
              <w:rPr>
                <w:rFonts w:hint="eastAsia" w:ascii="宋体" w:hAnsi="宋体" w:eastAsia="宋体" w:cs="宋体"/>
                <w:b/>
                <w:bCs/>
                <w:spacing w:val="1"/>
                <w:w w:val="95"/>
                <w:highlight w:val="none"/>
              </w:rPr>
              <w:t>备</w:t>
            </w:r>
            <w:r>
              <w:rPr>
                <w:rFonts w:hint="eastAsia" w:ascii="宋体" w:hAnsi="宋体" w:eastAsia="宋体" w:cs="宋体"/>
                <w:b/>
                <w:bCs/>
                <w:w w:val="95"/>
                <w:highlight w:val="none"/>
              </w:rPr>
              <w:t>查</w:t>
            </w:r>
            <w:r>
              <w:rPr>
                <w:rFonts w:hint="eastAsia" w:ascii="宋体" w:hAnsi="宋体" w:eastAsia="宋体" w:cs="宋体"/>
                <w:b/>
                <w:bCs/>
                <w:spacing w:val="1"/>
                <w:w w:val="95"/>
                <w:highlight w:val="none"/>
              </w:rPr>
              <w:t>的</w:t>
            </w:r>
            <w:r>
              <w:rPr>
                <w:rFonts w:hint="eastAsia" w:ascii="宋体" w:hAnsi="宋体" w:eastAsia="宋体" w:cs="宋体"/>
                <w:b/>
                <w:bCs/>
                <w:w w:val="95"/>
                <w:highlight w:val="none"/>
              </w:rPr>
              <w:t>资质</w:t>
            </w:r>
            <w:r>
              <w:rPr>
                <w:rFonts w:hint="eastAsia" w:ascii="宋体" w:hAnsi="宋体" w:eastAsia="宋体" w:cs="宋体"/>
                <w:b/>
                <w:bCs/>
                <w:spacing w:val="1"/>
                <w:w w:val="95"/>
                <w:highlight w:val="none"/>
              </w:rPr>
              <w:t>证</w:t>
            </w:r>
            <w:r>
              <w:rPr>
                <w:rFonts w:hint="eastAsia" w:ascii="宋体" w:hAnsi="宋体" w:eastAsia="宋体" w:cs="宋体"/>
                <w:b/>
                <w:bCs/>
                <w:w w:val="95"/>
                <w:highlight w:val="none"/>
              </w:rPr>
              <w:t>书原</w:t>
            </w:r>
            <w:r>
              <w:rPr>
                <w:rFonts w:hint="eastAsia" w:ascii="宋体" w:hAnsi="宋体" w:eastAsia="宋体" w:cs="宋体"/>
                <w:b/>
                <w:bCs/>
                <w:spacing w:val="-56"/>
                <w:w w:val="95"/>
                <w:highlight w:val="none"/>
              </w:rPr>
              <w:t>件</w:t>
            </w:r>
            <w:r>
              <w:rPr>
                <w:rFonts w:hint="eastAsia" w:ascii="宋体" w:hAnsi="宋体" w:eastAsia="宋体" w:cs="宋体"/>
                <w:b/>
                <w:bCs/>
                <w:w w:val="95"/>
                <w:highlight w:val="none"/>
              </w:rPr>
              <w:t>（不提供视为无效磋商响应性文件）：</w:t>
            </w:r>
          </w:p>
          <w:p>
            <w:pPr>
              <w:keepNext w:val="0"/>
              <w:keepLines w:val="0"/>
              <w:pageBreakBefore w:val="0"/>
              <w:widowControl w:val="0"/>
              <w:kinsoku/>
              <w:wordWrap/>
              <w:overflowPunct/>
              <w:topLinePunct w:val="0"/>
              <w:bidi w:val="0"/>
              <w:snapToGrid/>
              <w:spacing w:line="400" w:lineRule="exact"/>
              <w:ind w:left="0" w:leftChars="0" w:right="0" w:rightChars="0" w:firstLine="0" w:firstLineChars="0"/>
              <w:textAlignment w:val="auto"/>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1、法人授权委托书和被授权人有效身份证（法人直接参加的需出示法人身份证明及身份证原件）；</w:t>
            </w:r>
          </w:p>
          <w:p>
            <w:pPr>
              <w:keepNext w:val="0"/>
              <w:keepLines w:val="0"/>
              <w:pageBreakBefore w:val="0"/>
              <w:widowControl w:val="0"/>
              <w:kinsoku/>
              <w:wordWrap/>
              <w:overflowPunct/>
              <w:topLinePunct w:val="0"/>
              <w:bidi w:val="0"/>
              <w:snapToGrid/>
              <w:spacing w:line="400" w:lineRule="exact"/>
              <w:ind w:left="0" w:leftChars="0" w:right="0" w:rightChars="0" w:firstLine="0" w:firstLineChars="0"/>
              <w:textAlignment w:val="auto"/>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2、投标人为企业法人应提供合法有效的标识有统一社会信用代码的营业执照；事业法人应提供事业单位法人证书；其他组织应提供合法登记证明文件；</w:t>
            </w:r>
          </w:p>
          <w:p>
            <w:pPr>
              <w:keepNext w:val="0"/>
              <w:keepLines w:val="0"/>
              <w:pageBreakBefore w:val="0"/>
              <w:widowControl w:val="0"/>
              <w:kinsoku/>
              <w:wordWrap/>
              <w:overflowPunct/>
              <w:topLinePunct w:val="0"/>
              <w:bidi w:val="0"/>
              <w:snapToGrid/>
              <w:spacing w:line="400" w:lineRule="exact"/>
              <w:ind w:left="0" w:leftChars="0" w:right="0" w:rightChars="0" w:firstLine="0" w:firstLineChars="0"/>
              <w:textAlignment w:val="auto"/>
              <w:rPr>
                <w:rFonts w:hint="eastAsia" w:ascii="宋体" w:hAnsi="宋体" w:eastAsia="宋体" w:cs="宋体"/>
                <w:b/>
                <w:bCs/>
                <w:kern w:val="0"/>
                <w:sz w:val="24"/>
                <w:szCs w:val="24"/>
                <w:highlight w:val="none"/>
                <w:lang w:val="zh-CN" w:eastAsia="zh-CN" w:bidi="ar-SA"/>
              </w:rPr>
            </w:pPr>
            <w:r>
              <w:rPr>
                <w:rFonts w:hint="eastAsia" w:ascii="宋体" w:hAnsi="宋体" w:eastAsia="宋体" w:cs="宋体"/>
                <w:b/>
                <w:bCs/>
                <w:kern w:val="0"/>
                <w:sz w:val="24"/>
                <w:szCs w:val="24"/>
                <w:highlight w:val="none"/>
                <w:lang w:val="en-US" w:eastAsia="zh-CN" w:bidi="ar-SA"/>
              </w:rPr>
              <w:t>3、社会保障资金缴纳证明：</w:t>
            </w:r>
            <w:r>
              <w:rPr>
                <w:rFonts w:hint="eastAsia" w:ascii="宋体" w:hAnsi="宋体" w:eastAsia="宋体" w:cs="宋体"/>
                <w:b/>
                <w:bCs/>
                <w:kern w:val="0"/>
                <w:sz w:val="24"/>
                <w:szCs w:val="24"/>
                <w:highlight w:val="none"/>
                <w:lang w:val="zh-CN" w:eastAsia="zh-CN" w:bidi="ar-SA"/>
              </w:rPr>
              <w:t>投标人</w:t>
            </w:r>
            <w:r>
              <w:rPr>
                <w:rFonts w:hint="eastAsia" w:ascii="宋体" w:hAnsi="宋体" w:eastAsia="宋体" w:cs="宋体"/>
                <w:b/>
                <w:bCs/>
                <w:kern w:val="0"/>
                <w:sz w:val="24"/>
                <w:szCs w:val="24"/>
                <w:highlight w:val="none"/>
                <w:lang w:val="en-US" w:eastAsia="zh-CN" w:bidi="ar-SA"/>
              </w:rPr>
              <w:t>提供近半年内已缴存的至少一个月的社会保障资金缴存单据或社保机构开具的社会保险参保缴费情况证明，依法不需要缴纳社会保障资金的投标人应提供相关文件证明</w:t>
            </w:r>
            <w:r>
              <w:rPr>
                <w:rFonts w:hint="eastAsia" w:ascii="宋体" w:hAnsi="宋体" w:eastAsia="宋体" w:cs="宋体"/>
                <w:b/>
                <w:bCs/>
                <w:kern w:val="0"/>
                <w:sz w:val="24"/>
                <w:szCs w:val="24"/>
                <w:highlight w:val="none"/>
                <w:lang w:val="zh-CN" w:eastAsia="zh-CN" w:bidi="ar-SA"/>
              </w:rPr>
              <w:t>；</w:t>
            </w:r>
          </w:p>
          <w:p>
            <w:pPr>
              <w:keepNext w:val="0"/>
              <w:keepLines w:val="0"/>
              <w:pageBreakBefore w:val="0"/>
              <w:widowControl w:val="0"/>
              <w:numPr>
                <w:ilvl w:val="0"/>
                <w:numId w:val="0"/>
              </w:numPr>
              <w:kinsoku/>
              <w:wordWrap/>
              <w:overflowPunct/>
              <w:topLinePunct w:val="0"/>
              <w:bidi w:val="0"/>
              <w:snapToGrid/>
              <w:spacing w:line="400" w:lineRule="exact"/>
              <w:ind w:leftChars="0" w:right="0" w:rightChars="0"/>
              <w:textAlignment w:val="auto"/>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4、</w:t>
            </w:r>
            <w:r>
              <w:rPr>
                <w:rFonts w:hint="eastAsia" w:ascii="宋体" w:hAnsi="宋体" w:eastAsia="宋体" w:cs="宋体"/>
                <w:b/>
                <w:bCs/>
                <w:i w:val="0"/>
                <w:iCs w:val="0"/>
                <w:sz w:val="24"/>
                <w:szCs w:val="24"/>
                <w:highlight w:val="none"/>
              </w:rPr>
              <w:t>税收缴纳证明：</w:t>
            </w:r>
            <w:r>
              <w:rPr>
                <w:rFonts w:hint="eastAsia" w:ascii="宋体" w:hAnsi="宋体" w:eastAsia="宋体" w:cs="宋体"/>
                <w:b/>
                <w:bCs/>
                <w:i w:val="0"/>
                <w:iCs w:val="0"/>
                <w:sz w:val="24"/>
                <w:szCs w:val="24"/>
                <w:highlight w:val="none"/>
                <w:lang w:eastAsia="zh-CN"/>
              </w:rPr>
              <w:t>投标人</w:t>
            </w:r>
            <w:r>
              <w:rPr>
                <w:rFonts w:hint="eastAsia" w:ascii="宋体" w:hAnsi="宋体" w:eastAsia="宋体" w:cs="宋体"/>
                <w:b/>
                <w:bCs/>
                <w:i w:val="0"/>
                <w:iCs w:val="0"/>
                <w:sz w:val="24"/>
                <w:szCs w:val="24"/>
                <w:highlight w:val="none"/>
              </w:rPr>
              <w:t>提供近半年内已缴纳的至少一个月的纳税证明或完税证明，纳税证明或完税证明上应有代收机构或税务机关的公章，依法免税的</w:t>
            </w:r>
            <w:r>
              <w:rPr>
                <w:rFonts w:hint="eastAsia" w:ascii="宋体" w:hAnsi="宋体" w:eastAsia="宋体" w:cs="宋体"/>
                <w:b/>
                <w:bCs/>
                <w:i w:val="0"/>
                <w:iCs w:val="0"/>
                <w:sz w:val="24"/>
                <w:szCs w:val="24"/>
                <w:highlight w:val="none"/>
                <w:lang w:eastAsia="zh-CN"/>
              </w:rPr>
              <w:t>投标人</w:t>
            </w:r>
            <w:r>
              <w:rPr>
                <w:rFonts w:hint="eastAsia" w:ascii="宋体" w:hAnsi="宋体" w:eastAsia="宋体" w:cs="宋体"/>
                <w:b/>
                <w:bCs/>
                <w:i w:val="0"/>
                <w:iCs w:val="0"/>
                <w:sz w:val="24"/>
                <w:szCs w:val="24"/>
                <w:highlight w:val="none"/>
              </w:rPr>
              <w:t>应提供相关文件证明；</w:t>
            </w:r>
          </w:p>
          <w:p>
            <w:pPr>
              <w:keepNext w:val="0"/>
              <w:keepLines w:val="0"/>
              <w:pageBreakBefore w:val="0"/>
              <w:widowControl w:val="0"/>
              <w:numPr>
                <w:ilvl w:val="0"/>
                <w:numId w:val="0"/>
              </w:numPr>
              <w:kinsoku/>
              <w:wordWrap/>
              <w:overflowPunct/>
              <w:topLinePunct w:val="0"/>
              <w:bidi w:val="0"/>
              <w:snapToGrid/>
              <w:spacing w:line="400" w:lineRule="exact"/>
              <w:ind w:leftChars="0" w:right="0" w:rightChars="0"/>
              <w:textAlignment w:val="auto"/>
              <w:rPr>
                <w:rFonts w:hint="eastAsia" w:ascii="宋体" w:hAnsi="宋体" w:eastAsia="宋体" w:cs="宋体"/>
                <w:b/>
                <w:bCs/>
                <w:kern w:val="0"/>
                <w:sz w:val="24"/>
                <w:szCs w:val="24"/>
                <w:highlight w:val="none"/>
                <w:lang w:val="zh-CN" w:eastAsia="zh-CN" w:bidi="ar-SA"/>
              </w:rPr>
            </w:pPr>
            <w:r>
              <w:rPr>
                <w:rFonts w:hint="eastAsia" w:ascii="宋体" w:hAnsi="宋体" w:eastAsia="宋体" w:cs="宋体"/>
                <w:b/>
                <w:bCs/>
                <w:kern w:val="0"/>
                <w:sz w:val="24"/>
                <w:szCs w:val="24"/>
                <w:highlight w:val="none"/>
                <w:lang w:val="en-US" w:eastAsia="zh-CN" w:bidi="ar-SA"/>
              </w:rPr>
              <w:t>5、财务状况报告：投标人提供近1年的财务审计报告（至少包括审计报告、资产负债表和利润表，成立时间至提交投标文件截止时间不足一年的可提供成立后任意时段的资产负债表），或其开标前三个月内基本存款账户开户银行出具的资信证明；</w:t>
            </w:r>
          </w:p>
          <w:p>
            <w:pPr>
              <w:keepNext w:val="0"/>
              <w:keepLines w:val="0"/>
              <w:pageBreakBefore w:val="0"/>
              <w:widowControl w:val="0"/>
              <w:numPr>
                <w:ilvl w:val="0"/>
                <w:numId w:val="0"/>
              </w:numPr>
              <w:kinsoku/>
              <w:wordWrap/>
              <w:overflowPunct/>
              <w:topLinePunct w:val="0"/>
              <w:bidi w:val="0"/>
              <w:snapToGrid/>
              <w:spacing w:line="400" w:lineRule="exact"/>
              <w:ind w:leftChars="0" w:right="0" w:rightChars="0"/>
              <w:textAlignment w:val="auto"/>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6、投标人应具备良好的商业信誉，提供参加政府采购活动前3年内在经营活动中没有重大违法记录的书面声明；</w:t>
            </w:r>
          </w:p>
          <w:p>
            <w:pPr>
              <w:keepNext w:val="0"/>
              <w:keepLines w:val="0"/>
              <w:pageBreakBefore w:val="0"/>
              <w:widowControl w:val="0"/>
              <w:numPr>
                <w:ilvl w:val="0"/>
                <w:numId w:val="0"/>
              </w:numPr>
              <w:kinsoku/>
              <w:wordWrap/>
              <w:overflowPunct/>
              <w:topLinePunct w:val="0"/>
              <w:bidi w:val="0"/>
              <w:snapToGrid/>
              <w:spacing w:line="400" w:lineRule="exact"/>
              <w:ind w:leftChars="0" w:right="0" w:rightChars="0"/>
              <w:textAlignment w:val="auto"/>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7、投标人应在“信用中国”网站（www.creditchina.gov.cn）未被列入失信被执行人记录、</w:t>
            </w:r>
            <w:r>
              <w:rPr>
                <w:rFonts w:hint="eastAsia" w:ascii="宋体" w:hAnsi="宋体" w:cs="宋体"/>
                <w:b/>
                <w:bCs/>
                <w:kern w:val="0"/>
                <w:sz w:val="24"/>
                <w:szCs w:val="24"/>
                <w:highlight w:val="none"/>
                <w:lang w:val="en-US" w:eastAsia="zh-CN" w:bidi="ar-SA"/>
              </w:rPr>
              <w:t>重大税收违法失信主体记录</w:t>
            </w:r>
            <w:r>
              <w:rPr>
                <w:rFonts w:hint="eastAsia" w:ascii="宋体" w:hAnsi="宋体" w:eastAsia="宋体" w:cs="宋体"/>
                <w:b/>
                <w:bCs/>
                <w:kern w:val="0"/>
                <w:sz w:val="24"/>
                <w:szCs w:val="24"/>
                <w:highlight w:val="none"/>
                <w:lang w:val="en-US" w:eastAsia="zh-CN" w:bidi="ar-SA"/>
              </w:rPr>
              <w:t>且在中国政府采购网（www.ccgp.gov.cn）没有相关主体政府采购严重违法失信行为记录（被禁止在一定期限内参加政府采购活动但期限届满的除外）（查询日期为从采购文件发售之日起至投标截止日前），以网页截图（需显示查询时间）加盖投标人公章为准；</w:t>
            </w:r>
          </w:p>
          <w:p>
            <w:pPr>
              <w:pageBreakBefore w:val="0"/>
              <w:widowControl w:val="0"/>
              <w:kinsoku/>
              <w:wordWrap/>
              <w:overflowPunct/>
              <w:topLinePunct w:val="0"/>
              <w:bidi w:val="0"/>
              <w:snapToGrid/>
              <w:spacing w:line="360" w:lineRule="auto"/>
              <w:textAlignment w:val="auto"/>
              <w:rPr>
                <w:rFonts w:hint="eastAsia" w:ascii="宋体" w:hAnsi="宋体" w:cs="宋体"/>
                <w:b/>
                <w:bCs/>
                <w:i w:val="0"/>
                <w:iCs w:val="0"/>
                <w:sz w:val="24"/>
                <w:szCs w:val="24"/>
                <w:highlight w:val="yellow"/>
                <w:u w:val="none"/>
                <w:lang w:eastAsia="zh-CN"/>
              </w:rPr>
            </w:pPr>
            <w:r>
              <w:rPr>
                <w:rFonts w:hint="eastAsia" w:ascii="宋体" w:hAnsi="宋体" w:cs="宋体"/>
                <w:b/>
                <w:bCs/>
                <w:kern w:val="0"/>
                <w:sz w:val="24"/>
                <w:szCs w:val="24"/>
                <w:highlight w:val="yellow"/>
                <w:lang w:val="en-US" w:eastAsia="zh-CN" w:bidi="ar-SA"/>
              </w:rPr>
              <w:t>8、</w:t>
            </w:r>
            <w:r>
              <w:rPr>
                <w:rFonts w:hint="eastAsia" w:ascii="宋体" w:hAnsi="宋体" w:cs="宋体"/>
                <w:b/>
                <w:bCs/>
                <w:i w:val="0"/>
                <w:iCs w:val="0"/>
                <w:sz w:val="24"/>
                <w:szCs w:val="24"/>
                <w:highlight w:val="yellow"/>
                <w:u w:val="none"/>
                <w:lang w:eastAsia="zh-CN"/>
              </w:rPr>
              <w:t>根据《政府采购促进中小企业发展管理办法》要求，本项目应当专门面向中小企业采购（提供中小微企业声明函）。</w:t>
            </w:r>
          </w:p>
          <w:p>
            <w:pPr>
              <w:pStyle w:val="21"/>
              <w:kinsoku w:val="0"/>
              <w:overflowPunct w:val="0"/>
              <w:spacing w:before="122"/>
              <w:ind w:left="102"/>
              <w:rPr>
                <w:rFonts w:hint="eastAsia" w:ascii="宋体" w:hAnsi="宋体" w:eastAsia="宋体" w:cs="宋体"/>
                <w:highlight w:val="none"/>
              </w:rPr>
            </w:pPr>
            <w:r>
              <w:rPr>
                <w:rFonts w:hint="eastAsia" w:ascii="宋体" w:hAnsi="宋体" w:eastAsia="宋体" w:cs="宋体"/>
                <w:highlight w:val="none"/>
              </w:rPr>
              <w:t>备注：竞争性磋商文件涉及要求供应商在开标时所带的原件，请供应商在开标现场一次性提供。供应商提交的所有证明文件及材料必须清晰、准确、真实、有效；对于不提供或提供不真实或虚假资料者按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672" w:type="dxa"/>
            <w:noWrap w:val="0"/>
            <w:vAlign w:val="center"/>
          </w:tcPr>
          <w:p>
            <w:pPr>
              <w:pStyle w:val="21"/>
              <w:kinsoku w:val="0"/>
              <w:overflowPunct w:val="0"/>
              <w:ind w:right="14"/>
              <w:jc w:val="center"/>
              <w:rPr>
                <w:rFonts w:hint="eastAsia" w:ascii="宋体" w:hAnsi="宋体" w:eastAsia="宋体" w:cs="宋体"/>
                <w:highlight w:val="none"/>
              </w:rPr>
            </w:pPr>
            <w:r>
              <w:rPr>
                <w:rFonts w:hint="eastAsia" w:ascii="宋体" w:hAnsi="宋体" w:eastAsia="宋体" w:cs="宋体"/>
                <w:highlight w:val="none"/>
              </w:rPr>
              <w:t>7</w:t>
            </w:r>
          </w:p>
        </w:tc>
        <w:tc>
          <w:tcPr>
            <w:tcW w:w="8475" w:type="dxa"/>
            <w:noWrap w:val="0"/>
            <w:vAlign w:val="top"/>
          </w:tcPr>
          <w:p>
            <w:pPr>
              <w:pStyle w:val="21"/>
              <w:kinsoku w:val="0"/>
              <w:overflowPunct w:val="0"/>
              <w:spacing w:before="122"/>
              <w:ind w:left="102"/>
              <w:rPr>
                <w:rFonts w:hint="eastAsia" w:ascii="宋体" w:hAnsi="宋体" w:eastAsia="宋体" w:cs="宋体"/>
                <w:b/>
                <w:bCs/>
                <w:highlight w:val="none"/>
                <w:lang w:eastAsia="zh-CN"/>
              </w:rPr>
            </w:pPr>
            <w:r>
              <w:rPr>
                <w:rFonts w:hint="eastAsia" w:ascii="宋体" w:hAnsi="宋体" w:eastAsia="宋体" w:cs="宋体"/>
                <w:b/>
                <w:bCs/>
                <w:highlight w:val="none"/>
              </w:rPr>
              <w:t>资格审查方式：</w:t>
            </w:r>
            <w:r>
              <w:rPr>
                <w:rFonts w:hint="eastAsia" w:ascii="宋体" w:hAnsi="宋体" w:cs="宋体"/>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72" w:type="dxa"/>
            <w:noWrap w:val="0"/>
            <w:vAlign w:val="center"/>
          </w:tcPr>
          <w:p>
            <w:pPr>
              <w:pStyle w:val="21"/>
              <w:kinsoku w:val="0"/>
              <w:overflowPunct w:val="0"/>
              <w:spacing w:before="73"/>
              <w:ind w:right="14"/>
              <w:jc w:val="center"/>
              <w:rPr>
                <w:rFonts w:hint="eastAsia" w:ascii="宋体" w:hAnsi="宋体" w:eastAsia="宋体" w:cs="宋体"/>
                <w:highlight w:val="none"/>
              </w:rPr>
            </w:pPr>
            <w:r>
              <w:rPr>
                <w:rFonts w:hint="eastAsia" w:ascii="宋体" w:hAnsi="宋体" w:eastAsia="宋体" w:cs="宋体"/>
                <w:highlight w:val="none"/>
              </w:rPr>
              <w:t>8</w:t>
            </w:r>
          </w:p>
        </w:tc>
        <w:tc>
          <w:tcPr>
            <w:tcW w:w="8475" w:type="dxa"/>
            <w:noWrap w:val="0"/>
            <w:vAlign w:val="top"/>
          </w:tcPr>
          <w:p>
            <w:pPr>
              <w:pStyle w:val="21"/>
              <w:kinsoku w:val="0"/>
              <w:overflowPunct w:val="0"/>
              <w:spacing w:before="73"/>
              <w:ind w:left="102"/>
              <w:rPr>
                <w:rFonts w:hint="eastAsia" w:ascii="宋体" w:hAnsi="宋体" w:eastAsia="宋体" w:cs="宋体"/>
                <w:highlight w:val="none"/>
              </w:rPr>
            </w:pPr>
            <w:r>
              <w:rPr>
                <w:rFonts w:hint="eastAsia" w:ascii="宋体" w:hAnsi="宋体" w:eastAsia="宋体" w:cs="宋体"/>
                <w:b/>
                <w:bCs/>
                <w:highlight w:val="none"/>
              </w:rPr>
              <w:t>投标语言：</w:t>
            </w:r>
            <w:r>
              <w:rPr>
                <w:rFonts w:hint="eastAsia" w:ascii="宋体" w:hAnsi="宋体" w:eastAsia="宋体" w:cs="宋体"/>
                <w:highlight w:val="none"/>
              </w:rPr>
              <w:t>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672" w:type="dxa"/>
            <w:noWrap w:val="0"/>
            <w:vAlign w:val="center"/>
          </w:tcPr>
          <w:p>
            <w:pPr>
              <w:pStyle w:val="21"/>
              <w:kinsoku w:val="0"/>
              <w:overflowPunct w:val="0"/>
              <w:spacing w:before="72"/>
              <w:jc w:val="center"/>
              <w:rPr>
                <w:rFonts w:hint="eastAsia" w:ascii="宋体" w:hAnsi="宋体" w:eastAsia="宋体" w:cs="宋体"/>
                <w:highlight w:val="none"/>
              </w:rPr>
            </w:pPr>
            <w:r>
              <w:rPr>
                <w:rFonts w:hint="eastAsia" w:ascii="宋体" w:hAnsi="宋体" w:eastAsia="宋体" w:cs="宋体"/>
                <w:highlight w:val="none"/>
              </w:rPr>
              <w:t>9</w:t>
            </w:r>
          </w:p>
        </w:tc>
        <w:tc>
          <w:tcPr>
            <w:tcW w:w="8475" w:type="dxa"/>
            <w:noWrap w:val="0"/>
            <w:vAlign w:val="top"/>
          </w:tcPr>
          <w:p>
            <w:pPr>
              <w:pStyle w:val="21"/>
              <w:kinsoku w:val="0"/>
              <w:overflowPunct w:val="0"/>
              <w:spacing w:before="72"/>
              <w:ind w:left="102"/>
              <w:rPr>
                <w:rFonts w:hint="eastAsia" w:ascii="宋体" w:hAnsi="宋体" w:eastAsia="宋体" w:cs="宋体"/>
                <w:highlight w:val="none"/>
              </w:rPr>
            </w:pPr>
            <w:r>
              <w:rPr>
                <w:rFonts w:hint="eastAsia" w:ascii="宋体" w:hAnsi="宋体" w:eastAsia="宋体" w:cs="宋体"/>
                <w:b/>
                <w:bCs/>
                <w:highlight w:val="none"/>
              </w:rPr>
              <w:t>投标有效期：</w:t>
            </w:r>
            <w:r>
              <w:rPr>
                <w:rFonts w:hint="eastAsia" w:ascii="宋体" w:hAnsi="宋体" w:cs="宋体"/>
                <w:highlight w:val="none"/>
                <w:lang w:val="en-US" w:eastAsia="zh-CN"/>
              </w:rPr>
              <w:t>9</w:t>
            </w:r>
            <w:r>
              <w:rPr>
                <w:rFonts w:hint="eastAsia" w:ascii="宋体" w:hAnsi="宋体" w:eastAsia="宋体" w:cs="宋体"/>
                <w:highlight w:val="none"/>
              </w:rPr>
              <w:t>0</w:t>
            </w:r>
            <w:r>
              <w:rPr>
                <w:rFonts w:hint="eastAsia" w:ascii="宋体" w:hAnsi="宋体" w:eastAsia="宋体" w:cs="宋体"/>
                <w:spacing w:val="-75"/>
                <w:highlight w:val="none"/>
              </w:rPr>
              <w:t xml:space="preserve"> </w:t>
            </w:r>
            <w:r>
              <w:rPr>
                <w:rFonts w:hint="eastAsia" w:ascii="宋体" w:hAnsi="宋体" w:eastAsia="宋体" w:cs="宋体"/>
                <w:highlight w:val="none"/>
              </w:rPr>
              <w:t>日历天（从投标截止之日算起）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672" w:type="dxa"/>
            <w:noWrap w:val="0"/>
            <w:vAlign w:val="center"/>
          </w:tcPr>
          <w:p>
            <w:pPr>
              <w:pStyle w:val="21"/>
              <w:kinsoku w:val="0"/>
              <w:overflowPunct w:val="0"/>
              <w:spacing w:before="74"/>
              <w:jc w:val="center"/>
              <w:rPr>
                <w:rFonts w:hint="eastAsia" w:ascii="宋体" w:hAnsi="宋体" w:eastAsia="宋体" w:cs="宋体"/>
                <w:highlight w:val="none"/>
              </w:rPr>
            </w:pPr>
            <w:r>
              <w:rPr>
                <w:rFonts w:hint="eastAsia" w:ascii="宋体" w:hAnsi="宋体" w:eastAsia="宋体" w:cs="宋体"/>
                <w:highlight w:val="none"/>
              </w:rPr>
              <w:t>10</w:t>
            </w:r>
          </w:p>
        </w:tc>
        <w:tc>
          <w:tcPr>
            <w:tcW w:w="8475" w:type="dxa"/>
            <w:noWrap w:val="0"/>
            <w:vAlign w:val="top"/>
          </w:tcPr>
          <w:p>
            <w:pPr>
              <w:pStyle w:val="21"/>
              <w:kinsoku w:val="0"/>
              <w:overflowPunct w:val="0"/>
              <w:spacing w:before="74"/>
              <w:ind w:left="102"/>
              <w:rPr>
                <w:rFonts w:hint="eastAsia" w:ascii="宋体" w:hAnsi="宋体" w:eastAsia="宋体" w:cs="宋体"/>
                <w:highlight w:val="none"/>
              </w:rPr>
            </w:pPr>
            <w:r>
              <w:rPr>
                <w:rFonts w:hint="eastAsia" w:ascii="宋体" w:hAnsi="宋体" w:eastAsia="宋体" w:cs="宋体"/>
                <w:b/>
                <w:bCs/>
                <w:highlight w:val="none"/>
              </w:rPr>
              <w:t>投标截止时间：</w:t>
            </w:r>
            <w:r>
              <w:rPr>
                <w:rFonts w:hint="eastAsia" w:ascii="宋体" w:hAnsi="宋体" w:eastAsia="宋体" w:cs="宋体"/>
                <w:b/>
                <w:bCs/>
                <w:spacing w:val="-3"/>
                <w:highlight w:val="none"/>
              </w:rPr>
              <w:t xml:space="preserve"> </w:t>
            </w:r>
            <w:r>
              <w:rPr>
                <w:rFonts w:hint="eastAsia" w:ascii="宋体" w:hAnsi="宋体" w:eastAsia="宋体" w:cs="宋体"/>
                <w:highlight w:val="none"/>
              </w:rPr>
              <w:t>20</w:t>
            </w:r>
            <w:r>
              <w:rPr>
                <w:rFonts w:hint="eastAsia" w:ascii="宋体" w:hAnsi="宋体" w:cs="宋体"/>
                <w:highlight w:val="none"/>
                <w:lang w:val="en-US" w:eastAsia="zh-CN"/>
              </w:rPr>
              <w:t>22</w:t>
            </w:r>
            <w:r>
              <w:rPr>
                <w:rFonts w:hint="eastAsia" w:ascii="宋体" w:hAnsi="宋体" w:eastAsia="宋体" w:cs="宋体"/>
                <w:highlight w:val="none"/>
              </w:rPr>
              <w:t>年</w:t>
            </w:r>
            <w:r>
              <w:rPr>
                <w:rFonts w:hint="eastAsia" w:ascii="宋体" w:hAnsi="宋体" w:cs="宋体"/>
                <w:highlight w:val="none"/>
                <w:lang w:val="en-US" w:eastAsia="zh-CN"/>
              </w:rPr>
              <w:t>11月</w:t>
            </w:r>
            <w:r>
              <w:rPr>
                <w:rFonts w:hint="eastAsia" w:ascii="宋体" w:hAnsi="宋体" w:cs="宋体"/>
                <w:highlight w:val="yellow"/>
                <w:lang w:val="en-US" w:eastAsia="zh-CN"/>
              </w:rPr>
              <w:t>01</w:t>
            </w:r>
            <w:r>
              <w:rPr>
                <w:rFonts w:hint="eastAsia" w:ascii="宋体" w:hAnsi="宋体" w:eastAsia="宋体" w:cs="宋体"/>
                <w:highlight w:val="none"/>
              </w:rPr>
              <w:t>日</w:t>
            </w:r>
            <w:r>
              <w:rPr>
                <w:rFonts w:hint="eastAsia" w:ascii="宋体" w:hAnsi="宋体" w:eastAsia="宋体" w:cs="宋体"/>
                <w:highlight w:val="yellow"/>
              </w:rPr>
              <w:t>1</w:t>
            </w:r>
            <w:r>
              <w:rPr>
                <w:rFonts w:hint="eastAsia" w:ascii="宋体" w:hAnsi="宋体" w:cs="宋体"/>
                <w:highlight w:val="yellow"/>
                <w:lang w:val="en-US" w:eastAsia="zh-CN"/>
              </w:rPr>
              <w:t>6</w:t>
            </w:r>
            <w:r>
              <w:rPr>
                <w:rFonts w:hint="eastAsia" w:ascii="宋体" w:hAnsi="宋体" w:eastAsia="宋体" w:cs="宋体"/>
                <w:highlight w:val="yellow"/>
              </w:rPr>
              <w:t>:</w:t>
            </w:r>
            <w:r>
              <w:rPr>
                <w:rFonts w:hint="eastAsia" w:ascii="宋体" w:hAnsi="宋体" w:cs="宋体"/>
                <w:highlight w:val="yellow"/>
                <w:lang w:val="en-US" w:eastAsia="zh-CN"/>
              </w:rPr>
              <w:t>0</w:t>
            </w:r>
            <w:r>
              <w:rPr>
                <w:rFonts w:hint="eastAsia" w:ascii="宋体" w:hAnsi="宋体" w:eastAsia="宋体" w:cs="宋体"/>
                <w:highlight w:val="yellow"/>
              </w:rPr>
              <w:t>0</w:t>
            </w:r>
            <w:r>
              <w:rPr>
                <w:rFonts w:hint="eastAsia" w:ascii="宋体" w:hAnsi="宋体" w:eastAsia="宋体" w:cs="宋体"/>
                <w:spacing w:val="-62"/>
                <w:highlight w:val="yellow"/>
              </w:rPr>
              <w:t xml:space="preserve"> </w:t>
            </w:r>
            <w:r>
              <w:rPr>
                <w:rFonts w:hint="eastAsia" w:ascii="宋体" w:hAnsi="宋体" w:eastAsia="宋体" w:cs="宋体"/>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672" w:type="dxa"/>
            <w:noWrap w:val="0"/>
            <w:vAlign w:val="center"/>
          </w:tcPr>
          <w:p>
            <w:pPr>
              <w:pStyle w:val="21"/>
              <w:kinsoku w:val="0"/>
              <w:overflowPunct w:val="0"/>
              <w:spacing w:before="73"/>
              <w:jc w:val="center"/>
              <w:rPr>
                <w:rFonts w:hint="eastAsia" w:ascii="宋体" w:hAnsi="宋体" w:eastAsia="宋体" w:cs="宋体"/>
                <w:highlight w:val="none"/>
              </w:rPr>
            </w:pPr>
            <w:r>
              <w:rPr>
                <w:rFonts w:hint="eastAsia" w:ascii="宋体" w:hAnsi="宋体" w:eastAsia="宋体" w:cs="宋体"/>
                <w:highlight w:val="none"/>
              </w:rPr>
              <w:t>11</w:t>
            </w:r>
          </w:p>
        </w:tc>
        <w:tc>
          <w:tcPr>
            <w:tcW w:w="8475" w:type="dxa"/>
            <w:noWrap w:val="0"/>
            <w:vAlign w:val="top"/>
          </w:tcPr>
          <w:p>
            <w:pPr>
              <w:pStyle w:val="21"/>
              <w:kinsoku w:val="0"/>
              <w:overflowPunct w:val="0"/>
              <w:spacing w:before="73"/>
              <w:ind w:left="102"/>
              <w:rPr>
                <w:rFonts w:hint="eastAsia" w:ascii="宋体" w:hAnsi="宋体" w:eastAsia="宋体" w:cs="宋体"/>
                <w:highlight w:val="none"/>
              </w:rPr>
            </w:pPr>
            <w:r>
              <w:rPr>
                <w:rFonts w:hint="eastAsia" w:ascii="宋体" w:hAnsi="宋体" w:eastAsia="宋体" w:cs="宋体"/>
                <w:b/>
                <w:bCs/>
                <w:highlight w:val="none"/>
              </w:rPr>
              <w:t xml:space="preserve">是否退还磋商响应性文件：否（磋商文件售价 </w:t>
            </w:r>
            <w:r>
              <w:rPr>
                <w:rFonts w:hint="eastAsia" w:ascii="宋体" w:hAnsi="宋体" w:cs="宋体"/>
                <w:b/>
                <w:bCs/>
                <w:highlight w:val="none"/>
                <w:lang w:val="en-US" w:eastAsia="zh-CN"/>
              </w:rPr>
              <w:t>3</w:t>
            </w:r>
            <w:r>
              <w:rPr>
                <w:rFonts w:hint="eastAsia" w:ascii="宋体" w:hAnsi="宋体" w:eastAsia="宋体" w:cs="宋体"/>
                <w:b/>
                <w:bCs/>
                <w:highlight w:val="none"/>
              </w:rPr>
              <w:t>00元 ，</w:t>
            </w:r>
            <w:r>
              <w:rPr>
                <w:rFonts w:hint="eastAsia" w:ascii="宋体" w:hAnsi="宋体" w:cs="宋体"/>
                <w:b/>
                <w:bCs/>
                <w:highlight w:val="none"/>
                <w:lang w:eastAsia="zh-CN"/>
              </w:rPr>
              <w:t>过期不售，售后不退</w:t>
            </w:r>
            <w:r>
              <w:rPr>
                <w:rFonts w:hint="eastAsia" w:ascii="宋体" w:hAnsi="宋体" w:eastAsia="宋体" w:cs="宋体"/>
                <w:b/>
                <w:bCs/>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672" w:type="dxa"/>
            <w:noWrap w:val="0"/>
            <w:vAlign w:val="center"/>
          </w:tcPr>
          <w:p>
            <w:pPr>
              <w:pStyle w:val="21"/>
              <w:kinsoku w:val="0"/>
              <w:overflowPunct w:val="0"/>
              <w:spacing w:before="72"/>
              <w:jc w:val="center"/>
              <w:rPr>
                <w:rFonts w:hint="eastAsia" w:ascii="宋体" w:hAnsi="宋体" w:eastAsia="宋体" w:cs="宋体"/>
                <w:highlight w:val="none"/>
              </w:rPr>
            </w:pPr>
            <w:r>
              <w:rPr>
                <w:rFonts w:hint="eastAsia" w:ascii="宋体" w:hAnsi="宋体" w:eastAsia="宋体" w:cs="宋体"/>
                <w:highlight w:val="none"/>
              </w:rPr>
              <w:t>12</w:t>
            </w:r>
          </w:p>
        </w:tc>
        <w:tc>
          <w:tcPr>
            <w:tcW w:w="8475" w:type="dxa"/>
            <w:noWrap w:val="0"/>
            <w:vAlign w:val="top"/>
          </w:tcPr>
          <w:p>
            <w:pPr>
              <w:pStyle w:val="21"/>
              <w:kinsoku w:val="0"/>
              <w:overflowPunct w:val="0"/>
              <w:spacing w:before="72"/>
              <w:ind w:left="102"/>
              <w:rPr>
                <w:rFonts w:hint="eastAsia" w:ascii="宋体" w:hAnsi="宋体" w:eastAsia="宋体" w:cs="宋体"/>
                <w:highlight w:val="none"/>
              </w:rPr>
            </w:pPr>
            <w:r>
              <w:rPr>
                <w:rFonts w:hint="eastAsia" w:ascii="宋体" w:hAnsi="宋体" w:eastAsia="宋体" w:cs="宋体"/>
                <w:b/>
                <w:bCs/>
                <w:highlight w:val="none"/>
              </w:rPr>
              <w:t>联合投标：</w:t>
            </w:r>
            <w:r>
              <w:rPr>
                <w:rFonts w:hint="eastAsia" w:ascii="宋体" w:hAnsi="宋体" w:eastAsia="宋体" w:cs="宋体"/>
                <w:highlight w:val="none"/>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672" w:type="dxa"/>
            <w:noWrap w:val="0"/>
            <w:vAlign w:val="center"/>
          </w:tcPr>
          <w:p>
            <w:pPr>
              <w:pStyle w:val="21"/>
              <w:kinsoku w:val="0"/>
              <w:overflowPunct w:val="0"/>
              <w:spacing w:before="74"/>
              <w:jc w:val="center"/>
              <w:rPr>
                <w:rFonts w:hint="eastAsia" w:ascii="宋体" w:hAnsi="宋体" w:eastAsia="宋体" w:cs="宋体"/>
                <w:highlight w:val="none"/>
              </w:rPr>
            </w:pPr>
            <w:r>
              <w:rPr>
                <w:rFonts w:hint="eastAsia" w:ascii="宋体" w:hAnsi="宋体" w:eastAsia="宋体" w:cs="宋体"/>
                <w:highlight w:val="none"/>
              </w:rPr>
              <w:t>13</w:t>
            </w:r>
          </w:p>
        </w:tc>
        <w:tc>
          <w:tcPr>
            <w:tcW w:w="8475" w:type="dxa"/>
            <w:noWrap w:val="0"/>
            <w:vAlign w:val="top"/>
          </w:tcPr>
          <w:p>
            <w:pPr>
              <w:pStyle w:val="21"/>
              <w:kinsoku w:val="0"/>
              <w:overflowPunct w:val="0"/>
              <w:spacing w:before="74"/>
              <w:ind w:left="102"/>
              <w:rPr>
                <w:rFonts w:hint="eastAsia" w:ascii="宋体" w:hAnsi="宋体" w:eastAsia="宋体" w:cs="宋体"/>
                <w:highlight w:val="none"/>
              </w:rPr>
            </w:pPr>
            <w:r>
              <w:rPr>
                <w:rFonts w:hint="eastAsia" w:ascii="宋体" w:hAnsi="宋体" w:eastAsia="宋体" w:cs="宋体"/>
                <w:b/>
                <w:bCs/>
                <w:highlight w:val="none"/>
              </w:rPr>
              <w:t>投标报价货币</w:t>
            </w:r>
            <w:r>
              <w:rPr>
                <w:rFonts w:hint="eastAsia" w:ascii="宋体" w:hAnsi="宋体" w:eastAsia="宋体" w:cs="宋体"/>
                <w:highlight w:val="none"/>
              </w:rPr>
              <w:t>:</w:t>
            </w:r>
            <w:r>
              <w:rPr>
                <w:rFonts w:hint="eastAsia" w:ascii="宋体" w:hAnsi="宋体" w:eastAsia="宋体" w:cs="宋体"/>
                <w:spacing w:val="-15"/>
                <w:highlight w:val="none"/>
              </w:rPr>
              <w:t xml:space="preserve"> </w:t>
            </w:r>
            <w:r>
              <w:rPr>
                <w:rFonts w:hint="eastAsia" w:ascii="宋体" w:hAnsi="宋体" w:eastAsia="宋体" w:cs="宋体"/>
                <w:highlight w:val="none"/>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672" w:type="dxa"/>
            <w:noWrap w:val="0"/>
            <w:vAlign w:val="center"/>
          </w:tcPr>
          <w:p>
            <w:pPr>
              <w:pStyle w:val="21"/>
              <w:kinsoku w:val="0"/>
              <w:overflowPunct w:val="0"/>
              <w:spacing w:before="73"/>
              <w:jc w:val="center"/>
              <w:rPr>
                <w:rFonts w:hint="eastAsia" w:ascii="宋体" w:hAnsi="宋体" w:eastAsia="宋体" w:cs="宋体"/>
                <w:highlight w:val="none"/>
              </w:rPr>
            </w:pPr>
            <w:r>
              <w:rPr>
                <w:rFonts w:hint="eastAsia" w:ascii="宋体" w:hAnsi="宋体" w:eastAsia="宋体" w:cs="宋体"/>
                <w:highlight w:val="none"/>
              </w:rPr>
              <w:t>14</w:t>
            </w:r>
          </w:p>
        </w:tc>
        <w:tc>
          <w:tcPr>
            <w:tcW w:w="8475" w:type="dxa"/>
            <w:noWrap w:val="0"/>
            <w:vAlign w:val="top"/>
          </w:tcPr>
          <w:p>
            <w:pPr>
              <w:pStyle w:val="21"/>
              <w:kinsoku w:val="0"/>
              <w:overflowPunct w:val="0"/>
              <w:spacing w:before="73"/>
              <w:ind w:left="102"/>
              <w:rPr>
                <w:rFonts w:hint="eastAsia" w:ascii="宋体" w:hAnsi="宋体" w:eastAsia="宋体" w:cs="宋体"/>
                <w:highlight w:val="none"/>
              </w:rPr>
            </w:pPr>
            <w:r>
              <w:rPr>
                <w:rFonts w:hint="eastAsia" w:ascii="宋体" w:hAnsi="宋体" w:eastAsia="宋体" w:cs="宋体"/>
                <w:b/>
                <w:bCs/>
                <w:highlight w:val="none"/>
              </w:rPr>
              <w:t>采购方式：</w:t>
            </w:r>
            <w:r>
              <w:rPr>
                <w:rFonts w:hint="eastAsia" w:ascii="宋体" w:hAnsi="宋体" w:eastAsia="宋体" w:cs="宋体"/>
                <w:highlight w:val="none"/>
              </w:rPr>
              <w:t>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672" w:type="dxa"/>
            <w:noWrap w:val="0"/>
            <w:vAlign w:val="center"/>
          </w:tcPr>
          <w:p>
            <w:pPr>
              <w:pStyle w:val="21"/>
              <w:kinsoku w:val="0"/>
              <w:overflowPunct w:val="0"/>
              <w:spacing w:before="72"/>
              <w:jc w:val="center"/>
              <w:rPr>
                <w:rFonts w:hint="eastAsia" w:ascii="宋体" w:hAnsi="宋体" w:eastAsia="宋体" w:cs="宋体"/>
                <w:highlight w:val="none"/>
              </w:rPr>
            </w:pPr>
            <w:r>
              <w:rPr>
                <w:rFonts w:hint="eastAsia" w:ascii="宋体" w:hAnsi="宋体" w:eastAsia="宋体" w:cs="宋体"/>
                <w:highlight w:val="none"/>
              </w:rPr>
              <w:t>15</w:t>
            </w:r>
          </w:p>
        </w:tc>
        <w:tc>
          <w:tcPr>
            <w:tcW w:w="8475" w:type="dxa"/>
            <w:noWrap w:val="0"/>
            <w:vAlign w:val="top"/>
          </w:tcPr>
          <w:p>
            <w:pPr>
              <w:pStyle w:val="21"/>
              <w:kinsoku w:val="0"/>
              <w:overflowPunct w:val="0"/>
              <w:spacing w:before="72"/>
              <w:ind w:left="102"/>
              <w:rPr>
                <w:rFonts w:hint="eastAsia" w:ascii="宋体" w:hAnsi="宋体" w:eastAsia="宋体" w:cs="宋体"/>
                <w:highlight w:val="none"/>
              </w:rPr>
            </w:pPr>
            <w:r>
              <w:rPr>
                <w:rFonts w:hint="eastAsia" w:ascii="宋体" w:hAnsi="宋体" w:eastAsia="宋体" w:cs="宋体"/>
                <w:b/>
                <w:bCs/>
                <w:highlight w:val="none"/>
              </w:rPr>
              <w:t>评标办法：</w:t>
            </w:r>
            <w:r>
              <w:rPr>
                <w:rFonts w:hint="eastAsia" w:ascii="宋体" w:hAnsi="宋体" w:eastAsia="宋体" w:cs="宋体"/>
                <w:highlight w:val="none"/>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1" w:hRule="atLeast"/>
          <w:jc w:val="center"/>
        </w:trPr>
        <w:tc>
          <w:tcPr>
            <w:tcW w:w="672" w:type="dxa"/>
            <w:noWrap w:val="0"/>
            <w:vAlign w:val="center"/>
          </w:tcPr>
          <w:p>
            <w:pPr>
              <w:pStyle w:val="21"/>
              <w:kinsoku w:val="0"/>
              <w:overflowPunct w:val="0"/>
              <w:spacing w:before="201"/>
              <w:jc w:val="center"/>
              <w:rPr>
                <w:rFonts w:hint="eastAsia" w:ascii="宋体" w:hAnsi="宋体" w:eastAsia="宋体" w:cs="宋体"/>
                <w:highlight w:val="none"/>
              </w:rPr>
            </w:pPr>
            <w:r>
              <w:rPr>
                <w:rFonts w:hint="eastAsia" w:ascii="宋体" w:hAnsi="宋体" w:eastAsia="宋体" w:cs="宋体"/>
                <w:highlight w:val="none"/>
              </w:rPr>
              <w:t>16</w:t>
            </w:r>
          </w:p>
        </w:tc>
        <w:tc>
          <w:tcPr>
            <w:tcW w:w="8475" w:type="dxa"/>
            <w:noWrap w:val="0"/>
            <w:vAlign w:val="top"/>
          </w:tcPr>
          <w:p>
            <w:pPr>
              <w:pStyle w:val="21"/>
              <w:kinsoku w:val="0"/>
              <w:overflowPunct w:val="0"/>
              <w:spacing w:before="57"/>
              <w:ind w:left="102"/>
              <w:rPr>
                <w:rFonts w:hint="eastAsia" w:ascii="宋体" w:hAnsi="宋体" w:eastAsia="宋体" w:cs="宋体"/>
                <w:highlight w:val="none"/>
              </w:rPr>
            </w:pPr>
            <w:r>
              <w:rPr>
                <w:rFonts w:hint="eastAsia" w:ascii="宋体" w:hAnsi="宋体" w:eastAsia="宋体" w:cs="宋体"/>
                <w:b/>
                <w:bCs/>
                <w:highlight w:val="none"/>
              </w:rPr>
              <w:t>磋商小组的组建：/</w:t>
            </w:r>
          </w:p>
          <w:p>
            <w:pPr>
              <w:pStyle w:val="21"/>
              <w:kinsoku w:val="0"/>
              <w:overflowPunct w:val="0"/>
              <w:spacing w:before="16"/>
              <w:ind w:left="102"/>
              <w:rPr>
                <w:rFonts w:hint="eastAsia" w:ascii="宋体" w:hAnsi="宋体" w:eastAsia="宋体" w:cs="宋体"/>
                <w:highlight w:val="none"/>
              </w:rPr>
            </w:pPr>
            <w:r>
              <w:rPr>
                <w:rFonts w:hint="eastAsia" w:ascii="宋体" w:hAnsi="宋体" w:eastAsia="宋体" w:cs="宋体"/>
                <w:b/>
                <w:bCs/>
                <w:highlight w:val="none"/>
              </w:rPr>
              <w:t>磋商小组构成：</w:t>
            </w:r>
            <w:r>
              <w:rPr>
                <w:rFonts w:hint="eastAsia" w:ascii="宋体" w:hAnsi="宋体" w:eastAsia="宋体" w:cs="宋体"/>
                <w:highlight w:val="none"/>
              </w:rPr>
              <w:t>共 3人，由</w:t>
            </w:r>
            <w:r>
              <w:rPr>
                <w:rFonts w:hint="eastAsia" w:ascii="宋体" w:hAnsi="宋体" w:cs="宋体"/>
                <w:highlight w:val="none"/>
                <w:lang w:val="en-US" w:eastAsia="zh-CN"/>
              </w:rPr>
              <w:t>采购人</w:t>
            </w:r>
            <w:r>
              <w:rPr>
                <w:rFonts w:hint="eastAsia" w:ascii="宋体" w:hAnsi="宋体" w:cs="宋体"/>
                <w:highlight w:val="none"/>
                <w:lang w:eastAsia="zh-CN"/>
              </w:rPr>
              <w:t>专家</w:t>
            </w:r>
            <w:r>
              <w:rPr>
                <w:rFonts w:hint="eastAsia" w:ascii="宋体" w:hAnsi="宋体" w:eastAsia="宋体" w:cs="宋体"/>
                <w:highlight w:val="none"/>
              </w:rPr>
              <w:t>代表与技术、经济等方面的专家组成。</w:t>
            </w:r>
          </w:p>
          <w:p>
            <w:pPr>
              <w:pStyle w:val="21"/>
              <w:kinsoku w:val="0"/>
              <w:overflowPunct w:val="0"/>
              <w:spacing w:before="16"/>
              <w:ind w:left="102"/>
              <w:rPr>
                <w:rFonts w:hint="eastAsia" w:ascii="宋体" w:hAnsi="宋体" w:eastAsia="宋体" w:cs="宋体"/>
                <w:highlight w:val="none"/>
              </w:rPr>
            </w:pPr>
            <w:r>
              <w:rPr>
                <w:rFonts w:hint="eastAsia" w:ascii="宋体" w:hAnsi="宋体" w:eastAsia="宋体" w:cs="宋体"/>
                <w:b/>
                <w:bCs/>
                <w:highlight w:val="none"/>
              </w:rPr>
              <w:t>磋商小组确定方式：</w:t>
            </w:r>
            <w:r>
              <w:rPr>
                <w:rFonts w:hint="eastAsia" w:ascii="宋体" w:hAnsi="宋体" w:eastAsia="宋体" w:cs="宋体"/>
                <w:highlight w:val="none"/>
              </w:rPr>
              <w:t>从专家库中随机抽取。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672" w:type="dxa"/>
            <w:noWrap w:val="0"/>
            <w:vAlign w:val="center"/>
          </w:tcPr>
          <w:p>
            <w:pPr>
              <w:pStyle w:val="21"/>
              <w:kinsoku w:val="0"/>
              <w:overflowPunct w:val="0"/>
              <w:spacing w:before="72"/>
              <w:jc w:val="center"/>
              <w:rPr>
                <w:rFonts w:hint="eastAsia" w:ascii="宋体" w:hAnsi="宋体" w:eastAsia="宋体" w:cs="宋体"/>
                <w:highlight w:val="none"/>
              </w:rPr>
            </w:pPr>
            <w:r>
              <w:rPr>
                <w:rFonts w:hint="eastAsia" w:ascii="宋体" w:hAnsi="宋体" w:eastAsia="宋体" w:cs="宋体"/>
                <w:highlight w:val="none"/>
              </w:rPr>
              <w:t>17</w:t>
            </w:r>
          </w:p>
        </w:tc>
        <w:tc>
          <w:tcPr>
            <w:tcW w:w="8475" w:type="dxa"/>
            <w:noWrap w:val="0"/>
            <w:vAlign w:val="top"/>
          </w:tcPr>
          <w:p>
            <w:pPr>
              <w:pStyle w:val="21"/>
              <w:kinsoku w:val="0"/>
              <w:overflowPunct w:val="0"/>
              <w:spacing w:before="72"/>
              <w:ind w:left="102"/>
              <w:rPr>
                <w:rFonts w:hint="eastAsia" w:ascii="宋体" w:hAnsi="宋体" w:eastAsia="宋体" w:cs="宋体"/>
                <w:highlight w:val="none"/>
              </w:rPr>
            </w:pPr>
            <w:r>
              <w:rPr>
                <w:rFonts w:hint="eastAsia" w:ascii="宋体" w:hAnsi="宋体" w:eastAsia="宋体" w:cs="宋体"/>
                <w:b/>
                <w:bCs/>
                <w:highlight w:val="none"/>
              </w:rPr>
              <w:t>分包（转让）：</w:t>
            </w:r>
            <w:r>
              <w:rPr>
                <w:rFonts w:hint="eastAsia" w:ascii="宋体" w:hAnsi="宋体" w:eastAsia="宋体" w:cs="宋体"/>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noWrap w:val="0"/>
            <w:vAlign w:val="center"/>
          </w:tcPr>
          <w:p>
            <w:pPr>
              <w:pStyle w:val="21"/>
              <w:kinsoku w:val="0"/>
              <w:overflowPunct w:val="0"/>
              <w:jc w:val="center"/>
              <w:rPr>
                <w:rFonts w:hint="eastAsia" w:ascii="宋体" w:hAnsi="宋体" w:eastAsia="宋体" w:cs="宋体"/>
                <w:highlight w:val="none"/>
              </w:rPr>
            </w:pPr>
            <w:r>
              <w:rPr>
                <w:rFonts w:hint="eastAsia" w:ascii="宋体" w:hAnsi="宋体" w:eastAsia="宋体" w:cs="宋体"/>
                <w:highlight w:val="none"/>
              </w:rPr>
              <w:t>18</w:t>
            </w:r>
          </w:p>
        </w:tc>
        <w:tc>
          <w:tcPr>
            <w:tcW w:w="8475" w:type="dxa"/>
            <w:noWrap w:val="0"/>
            <w:vAlign w:val="top"/>
          </w:tcPr>
          <w:p>
            <w:pPr>
              <w:pStyle w:val="21"/>
              <w:kinsoku w:val="0"/>
              <w:overflowPunct w:val="0"/>
              <w:spacing w:before="55"/>
              <w:ind w:left="102"/>
              <w:rPr>
                <w:rFonts w:hint="eastAsia" w:ascii="宋体" w:hAnsi="宋体" w:eastAsia="宋体" w:cs="宋体"/>
                <w:highlight w:val="none"/>
              </w:rPr>
            </w:pPr>
            <w:r>
              <w:rPr>
                <w:rFonts w:hint="eastAsia" w:ascii="宋体" w:hAnsi="宋体" w:eastAsia="宋体" w:cs="宋体"/>
                <w:b/>
                <w:bCs/>
                <w:highlight w:val="none"/>
              </w:rPr>
              <w:t>踏勘现场、磋商前答疑会：</w:t>
            </w:r>
            <w:r>
              <w:rPr>
                <w:rFonts w:hint="eastAsia" w:ascii="宋体" w:hAnsi="宋体" w:cs="宋体"/>
                <w:b/>
                <w:bCs/>
                <w:highlight w:val="none"/>
                <w:lang w:val="en-US" w:eastAsia="zh-CN"/>
              </w:rPr>
              <w:t>不组织</w:t>
            </w:r>
            <w:r>
              <w:rPr>
                <w:rFonts w:hint="eastAsia" w:ascii="宋体" w:hAnsi="宋体" w:eastAsia="宋体" w:cs="宋体"/>
                <w:b/>
                <w:bCs/>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noWrap w:val="0"/>
            <w:vAlign w:val="center"/>
          </w:tcPr>
          <w:p>
            <w:pPr>
              <w:pStyle w:val="21"/>
              <w:kinsoku w:val="0"/>
              <w:overflowPunct w:val="0"/>
              <w:spacing w:before="73"/>
              <w:jc w:val="center"/>
              <w:rPr>
                <w:rFonts w:hint="eastAsia" w:ascii="宋体" w:hAnsi="宋体" w:eastAsia="宋体" w:cs="宋体"/>
                <w:highlight w:val="none"/>
              </w:rPr>
            </w:pPr>
            <w:r>
              <w:rPr>
                <w:rFonts w:hint="eastAsia" w:ascii="宋体" w:hAnsi="宋体" w:eastAsia="宋体" w:cs="宋体"/>
                <w:highlight w:val="none"/>
              </w:rPr>
              <w:t>19</w:t>
            </w:r>
          </w:p>
        </w:tc>
        <w:tc>
          <w:tcPr>
            <w:tcW w:w="8475" w:type="dxa"/>
            <w:noWrap w:val="0"/>
            <w:vAlign w:val="top"/>
          </w:tcPr>
          <w:p>
            <w:pPr>
              <w:pStyle w:val="21"/>
              <w:kinsoku w:val="0"/>
              <w:overflowPunct w:val="0"/>
              <w:spacing w:before="73"/>
              <w:ind w:left="102"/>
              <w:rPr>
                <w:rFonts w:hint="eastAsia" w:ascii="宋体" w:hAnsi="宋体" w:eastAsia="宋体" w:cs="宋体"/>
                <w:highlight w:val="none"/>
              </w:rPr>
            </w:pPr>
            <w:r>
              <w:rPr>
                <w:rFonts w:hint="eastAsia" w:ascii="宋体" w:hAnsi="宋体" w:eastAsia="宋体" w:cs="宋体"/>
                <w:b/>
                <w:bCs/>
                <w:highlight w:val="none"/>
              </w:rPr>
              <w:t>构成竞争性磋商文件的其他文件：</w:t>
            </w:r>
            <w:r>
              <w:rPr>
                <w:rFonts w:hint="eastAsia" w:ascii="宋体" w:hAnsi="宋体" w:eastAsia="宋体" w:cs="宋体"/>
                <w:highlight w:val="none"/>
              </w:rPr>
              <w:t>竞争性磋商文件的澄清、修改书及有关补充通知为竞争性磋商文件的有效组成部分。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noWrap w:val="0"/>
            <w:vAlign w:val="center"/>
          </w:tcPr>
          <w:p>
            <w:pPr>
              <w:pStyle w:val="21"/>
              <w:kinsoku w:val="0"/>
              <w:overflowPunct w:val="0"/>
              <w:spacing w:before="73"/>
              <w:jc w:val="center"/>
              <w:rPr>
                <w:rFonts w:hint="eastAsia" w:ascii="宋体" w:hAnsi="宋体" w:eastAsia="宋体" w:cs="宋体"/>
                <w:highlight w:val="none"/>
              </w:rPr>
            </w:pPr>
            <w:r>
              <w:rPr>
                <w:rFonts w:hint="eastAsia" w:ascii="宋体" w:hAnsi="宋体" w:eastAsia="宋体" w:cs="宋体"/>
                <w:highlight w:val="none"/>
              </w:rPr>
              <w:t>20</w:t>
            </w:r>
          </w:p>
        </w:tc>
        <w:tc>
          <w:tcPr>
            <w:tcW w:w="8475" w:type="dxa"/>
            <w:noWrap w:val="0"/>
            <w:vAlign w:val="top"/>
          </w:tcPr>
          <w:p>
            <w:pPr>
              <w:pStyle w:val="21"/>
              <w:kinsoku w:val="0"/>
              <w:overflowPunct w:val="0"/>
              <w:spacing w:before="57"/>
              <w:ind w:left="102"/>
              <w:rPr>
                <w:rFonts w:hint="eastAsia" w:ascii="宋体" w:hAnsi="宋体" w:eastAsia="宋体" w:cs="宋体"/>
                <w:highlight w:val="none"/>
              </w:rPr>
            </w:pPr>
            <w:r>
              <w:rPr>
                <w:rFonts w:hint="eastAsia" w:ascii="宋体" w:hAnsi="宋体" w:eastAsia="宋体" w:cs="宋体"/>
                <w:b/>
                <w:bCs/>
                <w:highlight w:val="none"/>
              </w:rPr>
              <w:t>投标保证金</w:t>
            </w:r>
          </w:p>
          <w:p>
            <w:pPr>
              <w:rPr>
                <w:rFonts w:hint="eastAsia" w:ascii="宋体" w:hAnsi="宋体" w:cs="宋体" w:eastAsiaTheme="minorEastAsia"/>
                <w:kern w:val="0"/>
                <w:sz w:val="24"/>
                <w:szCs w:val="24"/>
                <w:highlight w:val="none"/>
                <w:lang w:eastAsia="zh-CN"/>
              </w:rPr>
            </w:pPr>
            <w:r>
              <w:rPr>
                <w:rFonts w:hint="eastAsia" w:ascii="宋体" w:hAnsi="宋体" w:eastAsia="宋体" w:cs="宋体"/>
                <w:kern w:val="0"/>
                <w:sz w:val="24"/>
                <w:szCs w:val="24"/>
                <w:highlight w:val="none"/>
              </w:rPr>
              <w:t>投标保证金的形式：电汇、转账等形式</w:t>
            </w:r>
            <w:r>
              <w:rPr>
                <w:rFonts w:hint="eastAsia" w:ascii="宋体" w:hAnsi="宋体" w:cs="宋体"/>
                <w:kern w:val="0"/>
                <w:sz w:val="24"/>
                <w:szCs w:val="24"/>
                <w:highlight w:val="none"/>
                <w:lang w:eastAsia="zh-CN"/>
              </w:rPr>
              <w:t>，</w:t>
            </w:r>
            <w:r>
              <w:rPr>
                <w:rFonts w:hint="eastAsia" w:asciiTheme="minorEastAsia" w:hAnsiTheme="minorEastAsia" w:eastAsiaTheme="minorEastAsia" w:cstheme="minorEastAsia"/>
                <w:color w:val="auto"/>
                <w:sz w:val="24"/>
                <w:highlight w:val="none"/>
              </w:rPr>
              <w:t>均应从基本账户转出</w:t>
            </w:r>
            <w:r>
              <w:rPr>
                <w:rFonts w:hint="eastAsia" w:asciiTheme="minorEastAsia" w:hAnsiTheme="minorEastAsia" w:eastAsiaTheme="minorEastAsia" w:cstheme="minorEastAsia"/>
                <w:color w:val="auto"/>
                <w:sz w:val="24"/>
                <w:highlight w:val="none"/>
                <w:lang w:eastAsia="zh-CN"/>
              </w:rPr>
              <w:t>。</w:t>
            </w:r>
          </w:p>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投标保证金的金额：</w:t>
            </w:r>
            <w:r>
              <w:rPr>
                <w:rFonts w:hint="eastAsia" w:ascii="宋体" w:hAnsi="宋体" w:cs="宋体"/>
                <w:kern w:val="0"/>
                <w:sz w:val="24"/>
                <w:szCs w:val="24"/>
                <w:highlight w:val="none"/>
                <w:lang w:val="en-US" w:eastAsia="zh-CN"/>
              </w:rPr>
              <w:t>3000</w:t>
            </w:r>
            <w:r>
              <w:rPr>
                <w:rFonts w:hint="eastAsia" w:ascii="宋体" w:hAnsi="宋体" w:eastAsia="宋体" w:cs="宋体"/>
                <w:kern w:val="0"/>
                <w:sz w:val="24"/>
                <w:szCs w:val="24"/>
                <w:highlight w:val="none"/>
              </w:rPr>
              <w:t>元（</w:t>
            </w:r>
            <w:r>
              <w:rPr>
                <w:rFonts w:hint="eastAsia" w:ascii="宋体" w:hAnsi="宋体" w:cs="宋体"/>
                <w:kern w:val="0"/>
                <w:sz w:val="24"/>
                <w:szCs w:val="24"/>
                <w:highlight w:val="none"/>
                <w:lang w:val="en-US" w:eastAsia="zh-CN"/>
              </w:rPr>
              <w:t>叁仟元</w:t>
            </w:r>
            <w:r>
              <w:rPr>
                <w:rFonts w:hint="eastAsia" w:ascii="宋体" w:hAnsi="宋体" w:eastAsia="宋体" w:cs="宋体"/>
                <w:kern w:val="0"/>
                <w:sz w:val="24"/>
                <w:szCs w:val="24"/>
                <w:highlight w:val="none"/>
              </w:rPr>
              <w:t>整）</w:t>
            </w:r>
          </w:p>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投标保证金必须在开标前一天缴纳至以下账号：</w:t>
            </w:r>
          </w:p>
          <w:p>
            <w:pPr>
              <w:pStyle w:val="21"/>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单位名称：</w:t>
            </w:r>
            <w:r>
              <w:rPr>
                <w:rFonts w:hint="eastAsia" w:asciiTheme="minorEastAsia" w:hAnsiTheme="minorEastAsia" w:eastAsiaTheme="minorEastAsia" w:cstheme="minorEastAsia"/>
                <w:color w:val="auto"/>
                <w:sz w:val="24"/>
                <w:highlight w:val="none"/>
                <w:lang w:eastAsia="zh-CN"/>
              </w:rPr>
              <w:t>新疆天之源项目管理集团有限公司</w:t>
            </w:r>
          </w:p>
          <w:p>
            <w:pPr>
              <w:pStyle w:val="21"/>
              <w:spacing w:before="132" w:line="345" w:lineRule="auto"/>
              <w:ind w:right="152"/>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开户银行：</w:t>
            </w:r>
            <w:r>
              <w:rPr>
                <w:rFonts w:hint="eastAsia"/>
                <w:color w:val="auto"/>
                <w:sz w:val="24"/>
                <w:szCs w:val="24"/>
                <w:highlight w:val="none"/>
              </w:rPr>
              <w:t>招商银行股份有限公司乌鲁木齐人民路支行</w:t>
            </w:r>
          </w:p>
          <w:p>
            <w:pPr>
              <w:pStyle w:val="21"/>
              <w:spacing w:line="343" w:lineRule="auto"/>
              <w:ind w:right="1952"/>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银行账号：991902337110201 行号：308881029059</w:t>
            </w:r>
          </w:p>
          <w:p>
            <w:pPr>
              <w:rPr>
                <w:rFonts w:hint="eastAsia" w:ascii="宋体" w:hAnsi="宋体" w:eastAsia="宋体" w:cs="宋体"/>
                <w:b/>
                <w:bCs/>
                <w:highlight w:val="none"/>
              </w:rPr>
            </w:pPr>
            <w:r>
              <w:rPr>
                <w:rFonts w:hint="eastAsia" w:ascii="宋体" w:hAnsi="宋体" w:eastAsia="宋体" w:cs="宋体"/>
                <w:kern w:val="0"/>
                <w:sz w:val="24"/>
                <w:szCs w:val="24"/>
                <w:highlight w:val="none"/>
              </w:rPr>
              <w:t>投标人办理保证金时，须注明“项目名称+投标保证金”（如字数超出规定字数可简写项目名称）。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noWrap w:val="0"/>
            <w:vAlign w:val="center"/>
          </w:tcPr>
          <w:p>
            <w:pPr>
              <w:pStyle w:val="21"/>
              <w:kinsoku w:val="0"/>
              <w:overflowPunct w:val="0"/>
              <w:spacing w:before="73"/>
              <w:jc w:val="center"/>
              <w:rPr>
                <w:rFonts w:hint="eastAsia" w:ascii="宋体" w:hAnsi="宋体" w:eastAsia="宋体" w:cs="宋体"/>
                <w:highlight w:val="none"/>
              </w:rPr>
            </w:pPr>
            <w:r>
              <w:rPr>
                <w:rFonts w:hint="eastAsia" w:ascii="宋体" w:hAnsi="宋体" w:eastAsia="宋体" w:cs="宋体"/>
                <w:highlight w:val="none"/>
              </w:rPr>
              <w:t>21</w:t>
            </w:r>
          </w:p>
        </w:tc>
        <w:tc>
          <w:tcPr>
            <w:tcW w:w="8475" w:type="dxa"/>
            <w:noWrap w:val="0"/>
            <w:vAlign w:val="top"/>
          </w:tcPr>
          <w:p>
            <w:pPr>
              <w:pStyle w:val="21"/>
              <w:kinsoku w:val="0"/>
              <w:overflowPunct w:val="0"/>
              <w:spacing w:before="57"/>
              <w:ind w:left="102"/>
              <w:rPr>
                <w:rFonts w:hint="eastAsia" w:ascii="宋体" w:hAnsi="宋体" w:eastAsia="宋体" w:cs="宋体"/>
                <w:highlight w:val="none"/>
              </w:rPr>
            </w:pPr>
            <w:r>
              <w:rPr>
                <w:rFonts w:hint="eastAsia" w:ascii="宋体" w:hAnsi="宋体" w:eastAsia="宋体" w:cs="宋体"/>
                <w:b/>
                <w:bCs/>
                <w:highlight w:val="none"/>
              </w:rPr>
              <w:t>投标保证金退还：</w:t>
            </w:r>
          </w:p>
          <w:p>
            <w:pPr>
              <w:pStyle w:val="21"/>
              <w:kinsoku w:val="0"/>
              <w:overflowPunct w:val="0"/>
              <w:spacing w:before="16"/>
              <w:ind w:left="582"/>
              <w:rPr>
                <w:rFonts w:hint="eastAsia" w:ascii="宋体" w:hAnsi="宋体" w:eastAsia="宋体" w:cs="宋体"/>
                <w:highlight w:val="none"/>
              </w:rPr>
            </w:pPr>
            <w:r>
              <w:rPr>
                <w:rFonts w:hint="eastAsia" w:ascii="宋体" w:hAnsi="宋体" w:eastAsia="宋体" w:cs="宋体"/>
                <w:highlight w:val="none"/>
              </w:rPr>
              <w:t>未中标供应商的投标保证金，在中标结果公示期满后</w:t>
            </w:r>
            <w:r>
              <w:rPr>
                <w:rFonts w:hint="eastAsia" w:ascii="宋体" w:hAnsi="宋体" w:eastAsia="宋体" w:cs="宋体"/>
                <w:spacing w:val="-60"/>
                <w:highlight w:val="none"/>
              </w:rPr>
              <w:t xml:space="preserve"> </w:t>
            </w:r>
            <w:r>
              <w:rPr>
                <w:rFonts w:hint="eastAsia" w:ascii="宋体" w:hAnsi="宋体" w:eastAsia="宋体" w:cs="宋体"/>
                <w:highlight w:val="none"/>
              </w:rPr>
              <w:t>5</w:t>
            </w:r>
            <w:r>
              <w:rPr>
                <w:rFonts w:hint="eastAsia" w:ascii="宋体" w:hAnsi="宋体" w:eastAsia="宋体" w:cs="宋体"/>
                <w:spacing w:val="-60"/>
                <w:highlight w:val="none"/>
              </w:rPr>
              <w:t xml:space="preserve"> </w:t>
            </w:r>
            <w:r>
              <w:rPr>
                <w:rFonts w:hint="eastAsia" w:ascii="宋体" w:hAnsi="宋体" w:eastAsia="宋体" w:cs="宋体"/>
                <w:highlight w:val="none"/>
              </w:rPr>
              <w:t>个工作日内由招</w:t>
            </w:r>
          </w:p>
          <w:p>
            <w:pPr>
              <w:pStyle w:val="21"/>
              <w:kinsoku w:val="0"/>
              <w:overflowPunct w:val="0"/>
              <w:spacing w:before="16"/>
              <w:ind w:left="102"/>
              <w:rPr>
                <w:rFonts w:hint="eastAsia" w:ascii="宋体" w:hAnsi="宋体" w:eastAsia="宋体" w:cs="宋体"/>
                <w:highlight w:val="none"/>
              </w:rPr>
            </w:pPr>
            <w:r>
              <w:rPr>
                <w:rFonts w:hint="eastAsia" w:ascii="宋体" w:hAnsi="宋体" w:eastAsia="宋体" w:cs="宋体"/>
                <w:highlight w:val="none"/>
              </w:rPr>
              <w:t>标代理机构退还。</w:t>
            </w:r>
          </w:p>
          <w:p>
            <w:pPr>
              <w:pStyle w:val="21"/>
              <w:kinsoku w:val="0"/>
              <w:overflowPunct w:val="0"/>
              <w:spacing w:before="16"/>
              <w:ind w:left="582"/>
              <w:rPr>
                <w:rFonts w:hint="eastAsia" w:ascii="宋体" w:hAnsi="宋体" w:eastAsia="宋体" w:cs="宋体"/>
                <w:highlight w:val="none"/>
              </w:rPr>
            </w:pPr>
            <w:r>
              <w:rPr>
                <w:rFonts w:hint="eastAsia" w:ascii="宋体" w:hAnsi="宋体" w:eastAsia="宋体" w:cs="宋体"/>
                <w:highlight w:val="none"/>
              </w:rPr>
              <w:t>中标供应商的投标保证金，在签订合同后</w:t>
            </w:r>
            <w:r>
              <w:rPr>
                <w:rFonts w:hint="eastAsia" w:ascii="宋体" w:hAnsi="宋体" w:eastAsia="宋体" w:cs="宋体"/>
                <w:spacing w:val="-60"/>
                <w:highlight w:val="none"/>
              </w:rPr>
              <w:t xml:space="preserve"> </w:t>
            </w:r>
            <w:r>
              <w:rPr>
                <w:rFonts w:hint="eastAsia" w:ascii="宋体" w:hAnsi="宋体" w:eastAsia="宋体" w:cs="宋体"/>
                <w:highlight w:val="none"/>
              </w:rPr>
              <w:t>5</w:t>
            </w:r>
            <w:r>
              <w:rPr>
                <w:rFonts w:hint="eastAsia" w:ascii="宋体" w:hAnsi="宋体" w:eastAsia="宋体" w:cs="宋体"/>
                <w:spacing w:val="-60"/>
                <w:highlight w:val="none"/>
              </w:rPr>
              <w:t xml:space="preserve"> </w:t>
            </w:r>
            <w:r>
              <w:rPr>
                <w:rFonts w:hint="eastAsia" w:ascii="宋体" w:hAnsi="宋体" w:eastAsia="宋体" w:cs="宋体"/>
                <w:highlight w:val="none"/>
              </w:rPr>
              <w:t>个工作日内由招标代理机构</w:t>
            </w:r>
          </w:p>
          <w:p>
            <w:pPr>
              <w:pStyle w:val="21"/>
              <w:kinsoku w:val="0"/>
              <w:overflowPunct w:val="0"/>
              <w:spacing w:before="16"/>
              <w:ind w:left="102"/>
              <w:rPr>
                <w:rFonts w:hint="eastAsia" w:ascii="宋体" w:hAnsi="宋体" w:eastAsia="宋体" w:cs="宋体"/>
                <w:highlight w:val="none"/>
              </w:rPr>
            </w:pPr>
            <w:r>
              <w:rPr>
                <w:rFonts w:hint="eastAsia" w:ascii="宋体" w:hAnsi="宋体" w:eastAsia="宋体" w:cs="宋体"/>
                <w:highlight w:val="none"/>
              </w:rPr>
              <w:t>退还。</w:t>
            </w:r>
          </w:p>
          <w:p>
            <w:pPr>
              <w:pStyle w:val="21"/>
              <w:kinsoku w:val="0"/>
              <w:overflowPunct w:val="0"/>
              <w:spacing w:before="16"/>
              <w:ind w:left="582"/>
              <w:rPr>
                <w:rFonts w:hint="eastAsia" w:ascii="宋体" w:hAnsi="宋体" w:eastAsia="宋体" w:cs="宋体"/>
                <w:highlight w:val="none"/>
              </w:rPr>
            </w:pPr>
            <w:r>
              <w:rPr>
                <w:rFonts w:hint="eastAsia" w:ascii="宋体" w:hAnsi="宋体" w:eastAsia="宋体" w:cs="宋体"/>
                <w:b/>
                <w:bCs/>
                <w:highlight w:val="none"/>
              </w:rPr>
              <w:t>如供应商有下列情形之一的，投标保证金不予退还</w:t>
            </w:r>
            <w:r>
              <w:rPr>
                <w:rFonts w:hint="eastAsia" w:ascii="宋体" w:hAnsi="宋体" w:eastAsia="宋体" w:cs="宋体"/>
                <w:highlight w:val="none"/>
              </w:rPr>
              <w:t>：</w:t>
            </w:r>
          </w:p>
          <w:p>
            <w:pPr>
              <w:pStyle w:val="21"/>
              <w:kinsoku w:val="0"/>
              <w:overflowPunct w:val="0"/>
              <w:spacing w:before="16"/>
              <w:ind w:left="582"/>
              <w:rPr>
                <w:rFonts w:hint="eastAsia" w:ascii="宋体" w:hAnsi="宋体" w:eastAsia="宋体" w:cs="宋体"/>
                <w:highlight w:val="none"/>
              </w:rPr>
            </w:pPr>
            <w:r>
              <w:rPr>
                <w:rFonts w:hint="eastAsia" w:ascii="宋体" w:hAnsi="宋体" w:eastAsia="宋体" w:cs="宋体"/>
                <w:highlight w:val="none"/>
              </w:rPr>
              <w:t>(1)供应商未按规定的时间、地点参加投标或者开标后投标方撤标的；</w:t>
            </w:r>
          </w:p>
          <w:p>
            <w:pPr>
              <w:pStyle w:val="21"/>
              <w:kinsoku w:val="0"/>
              <w:overflowPunct w:val="0"/>
              <w:spacing w:before="16"/>
              <w:ind w:left="582"/>
              <w:rPr>
                <w:rFonts w:hint="eastAsia" w:ascii="宋体" w:hAnsi="宋体" w:eastAsia="宋体" w:cs="宋体"/>
                <w:highlight w:val="none"/>
              </w:rPr>
            </w:pPr>
            <w:r>
              <w:rPr>
                <w:rFonts w:hint="eastAsia" w:ascii="宋体" w:hAnsi="宋体" w:eastAsia="宋体" w:cs="宋体"/>
                <w:highlight w:val="none"/>
              </w:rPr>
              <w:t>(2)中标人在规定期限内未能按规定签订合同的；</w:t>
            </w:r>
          </w:p>
          <w:p>
            <w:pPr>
              <w:pStyle w:val="21"/>
              <w:kinsoku w:val="0"/>
              <w:overflowPunct w:val="0"/>
              <w:spacing w:before="16"/>
              <w:ind w:left="582"/>
              <w:rPr>
                <w:rFonts w:hint="eastAsia" w:ascii="宋体" w:hAnsi="宋体" w:eastAsia="宋体" w:cs="宋体"/>
                <w:highlight w:val="none"/>
              </w:rPr>
            </w:pPr>
            <w:r>
              <w:rPr>
                <w:rFonts w:hint="eastAsia" w:ascii="宋体" w:hAnsi="宋体" w:eastAsia="宋体" w:cs="宋体"/>
                <w:highlight w:val="none"/>
              </w:rPr>
              <w:t>(3)供应商在磋商响应性文件中提供虚假资质或证明材料</w:t>
            </w:r>
            <w:r>
              <w:rPr>
                <w:rFonts w:hint="eastAsia" w:ascii="宋体" w:hAnsi="宋体" w:eastAsia="宋体" w:cs="宋体"/>
                <w:spacing w:val="-94"/>
                <w:highlight w:val="none"/>
              </w:rPr>
              <w:t>，</w:t>
            </w:r>
            <w:r>
              <w:rPr>
                <w:rFonts w:hint="eastAsia" w:ascii="宋体" w:hAnsi="宋体" w:eastAsia="宋体" w:cs="宋体"/>
                <w:highlight w:val="none"/>
              </w:rPr>
              <w:t>进行无效投标</w:t>
            </w:r>
          </w:p>
          <w:p>
            <w:pPr>
              <w:pStyle w:val="21"/>
              <w:kinsoku w:val="0"/>
              <w:overflowPunct w:val="0"/>
              <w:spacing w:before="16"/>
              <w:ind w:left="102"/>
              <w:rPr>
                <w:rFonts w:hint="eastAsia" w:ascii="宋体" w:hAnsi="宋体" w:eastAsia="宋体" w:cs="宋体"/>
                <w:highlight w:val="none"/>
              </w:rPr>
            </w:pPr>
            <w:r>
              <w:rPr>
                <w:rFonts w:hint="eastAsia" w:ascii="宋体" w:hAnsi="宋体" w:eastAsia="宋体" w:cs="宋体"/>
                <w:highlight w:val="none"/>
              </w:rPr>
              <w:t>的；</w:t>
            </w:r>
          </w:p>
          <w:p>
            <w:pPr>
              <w:pStyle w:val="21"/>
              <w:kinsoku w:val="0"/>
              <w:overflowPunct w:val="0"/>
              <w:spacing w:before="57"/>
              <w:ind w:left="102" w:firstLine="480" w:firstLineChars="200"/>
              <w:rPr>
                <w:rFonts w:hint="eastAsia" w:ascii="宋体" w:hAnsi="宋体" w:eastAsia="宋体" w:cs="宋体"/>
                <w:highlight w:val="none"/>
              </w:rPr>
            </w:pPr>
            <w:r>
              <w:rPr>
                <w:rFonts w:hint="eastAsia" w:ascii="宋体" w:hAnsi="宋体" w:eastAsia="宋体" w:cs="宋体"/>
                <w:highlight w:val="none"/>
              </w:rPr>
              <w:t>(4)有证据证明供应商参与了串标、商业贿赂等违法、违规行为的；</w:t>
            </w:r>
          </w:p>
          <w:p>
            <w:pPr>
              <w:pStyle w:val="21"/>
              <w:kinsoku w:val="0"/>
              <w:overflowPunct w:val="0"/>
              <w:spacing w:before="23"/>
              <w:ind w:left="582"/>
              <w:rPr>
                <w:rFonts w:hint="eastAsia" w:ascii="宋体" w:hAnsi="宋体" w:eastAsia="宋体" w:cs="宋体"/>
                <w:highlight w:val="none"/>
              </w:rPr>
            </w:pPr>
            <w:r>
              <w:rPr>
                <w:rFonts w:hint="eastAsia" w:ascii="宋体" w:hAnsi="宋体" w:eastAsia="宋体" w:cs="宋体"/>
                <w:highlight w:val="none"/>
              </w:rPr>
              <w:t>(5)</w:t>
            </w:r>
            <w:r>
              <w:rPr>
                <w:rFonts w:hint="eastAsia" w:ascii="宋体" w:hAnsi="宋体" w:eastAsia="宋体" w:cs="宋体"/>
                <w:spacing w:val="4"/>
                <w:kern w:val="2"/>
                <w:sz w:val="21"/>
                <w:szCs w:val="22"/>
                <w:highlight w:val="none"/>
              </w:rPr>
              <w:t xml:space="preserve"> </w:t>
            </w:r>
            <w:r>
              <w:rPr>
                <w:rFonts w:hint="eastAsia" w:ascii="宋体" w:hAnsi="宋体" w:eastAsia="宋体" w:cs="宋体"/>
                <w:highlight w:val="none"/>
              </w:rPr>
              <w:t>缴纳投标保证金的供应商无正当理由不参加投标，且开标前</w:t>
            </w:r>
            <w:r>
              <w:rPr>
                <w:rFonts w:hint="eastAsia" w:ascii="宋体" w:hAnsi="宋体" w:eastAsia="宋体" w:cs="宋体"/>
                <w:spacing w:val="-60"/>
                <w:highlight w:val="none"/>
              </w:rPr>
              <w:t xml:space="preserve"> </w:t>
            </w:r>
            <w:r>
              <w:rPr>
                <w:rFonts w:hint="eastAsia" w:ascii="宋体" w:hAnsi="宋体" w:eastAsia="宋体" w:cs="宋体"/>
                <w:highlight w:val="none"/>
              </w:rPr>
              <w:t>24</w:t>
            </w:r>
            <w:r>
              <w:rPr>
                <w:rFonts w:hint="eastAsia" w:ascii="宋体" w:hAnsi="宋体" w:eastAsia="宋体" w:cs="宋体"/>
                <w:spacing w:val="-60"/>
                <w:highlight w:val="none"/>
              </w:rPr>
              <w:t xml:space="preserve"> </w:t>
            </w:r>
            <w:r>
              <w:rPr>
                <w:rFonts w:hint="eastAsia" w:ascii="宋体" w:hAnsi="宋体" w:eastAsia="宋体" w:cs="宋体"/>
                <w:highlight w:val="none"/>
              </w:rPr>
              <w:t>小时</w:t>
            </w:r>
          </w:p>
          <w:p>
            <w:pPr>
              <w:pStyle w:val="21"/>
              <w:kinsoku w:val="0"/>
              <w:overflowPunct w:val="0"/>
              <w:spacing w:before="16"/>
              <w:ind w:left="102"/>
              <w:rPr>
                <w:rFonts w:hint="eastAsia" w:ascii="宋体" w:hAnsi="宋体" w:eastAsia="宋体" w:cs="宋体"/>
                <w:highlight w:val="none"/>
              </w:rPr>
            </w:pPr>
            <w:r>
              <w:rPr>
                <w:rFonts w:hint="eastAsia" w:ascii="宋体" w:hAnsi="宋体" w:eastAsia="宋体" w:cs="宋体"/>
                <w:highlight w:val="none"/>
              </w:rPr>
              <w:t>之前未书面通知招标机构的；</w:t>
            </w:r>
          </w:p>
          <w:p>
            <w:pPr>
              <w:pStyle w:val="21"/>
              <w:kinsoku w:val="0"/>
              <w:overflowPunct w:val="0"/>
              <w:spacing w:before="16"/>
              <w:ind w:left="582"/>
              <w:rPr>
                <w:rFonts w:hint="eastAsia" w:ascii="宋体" w:hAnsi="宋体" w:eastAsia="宋体" w:cs="宋体"/>
                <w:highlight w:val="none"/>
              </w:rPr>
            </w:pPr>
            <w:r>
              <w:rPr>
                <w:rFonts w:hint="eastAsia" w:ascii="宋体" w:hAnsi="宋体" w:eastAsia="宋体" w:cs="宋体"/>
                <w:highlight w:val="none"/>
              </w:rPr>
              <w:t>(6)供应商被通知中标后</w:t>
            </w:r>
            <w:r>
              <w:rPr>
                <w:rFonts w:hint="eastAsia" w:ascii="宋体" w:hAnsi="宋体" w:eastAsia="宋体" w:cs="宋体"/>
                <w:spacing w:val="-94"/>
                <w:highlight w:val="none"/>
              </w:rPr>
              <w:t>，</w:t>
            </w:r>
            <w:r>
              <w:rPr>
                <w:rFonts w:hint="eastAsia" w:ascii="宋体" w:hAnsi="宋体" w:eastAsia="宋体" w:cs="宋体"/>
                <w:highlight w:val="none"/>
              </w:rPr>
              <w:t>不按规定的时间或拒绝按中标状态签订合同的</w:t>
            </w:r>
          </w:p>
          <w:p>
            <w:pPr>
              <w:pStyle w:val="21"/>
              <w:kinsoku w:val="0"/>
              <w:overflowPunct w:val="0"/>
              <w:spacing w:before="16"/>
              <w:ind w:left="102"/>
              <w:rPr>
                <w:rFonts w:hint="eastAsia" w:ascii="宋体" w:hAnsi="宋体" w:eastAsia="宋体" w:cs="宋体"/>
                <w:highlight w:val="none"/>
              </w:rPr>
            </w:pPr>
            <w:r>
              <w:rPr>
                <w:rFonts w:hint="eastAsia" w:ascii="宋体" w:hAnsi="宋体" w:eastAsia="宋体" w:cs="宋体"/>
                <w:highlight w:val="none"/>
              </w:rPr>
              <w:t>（即不按中标时规定的技术要求，投标报价，保修服务等签订合同）；</w:t>
            </w:r>
          </w:p>
          <w:p>
            <w:pPr>
              <w:pStyle w:val="21"/>
              <w:kinsoku w:val="0"/>
              <w:overflowPunct w:val="0"/>
              <w:spacing w:before="57"/>
              <w:ind w:left="102" w:firstLine="480" w:firstLineChars="200"/>
              <w:rPr>
                <w:rFonts w:hint="eastAsia" w:ascii="宋体" w:hAnsi="宋体" w:eastAsia="宋体" w:cs="宋体"/>
                <w:b/>
                <w:bCs/>
                <w:highlight w:val="none"/>
              </w:rPr>
            </w:pPr>
            <w:r>
              <w:rPr>
                <w:rFonts w:hint="eastAsia" w:ascii="宋体" w:hAnsi="宋体" w:eastAsia="宋体" w:cs="宋体"/>
                <w:highlight w:val="none"/>
              </w:rPr>
              <w:t>(7)《竞争性磋商文件》规定的其它情形。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noWrap w:val="0"/>
            <w:vAlign w:val="center"/>
          </w:tcPr>
          <w:p>
            <w:pPr>
              <w:pStyle w:val="21"/>
              <w:kinsoku w:val="0"/>
              <w:overflowPunct w:val="0"/>
              <w:spacing w:before="73"/>
              <w:jc w:val="center"/>
              <w:rPr>
                <w:rFonts w:hint="eastAsia" w:ascii="宋体" w:hAnsi="宋体" w:eastAsia="宋体" w:cs="宋体"/>
                <w:highlight w:val="none"/>
              </w:rPr>
            </w:pPr>
            <w:r>
              <w:rPr>
                <w:rFonts w:hint="eastAsia" w:ascii="宋体" w:hAnsi="宋体" w:eastAsia="宋体" w:cs="宋体"/>
                <w:highlight w:val="none"/>
              </w:rPr>
              <w:t>22</w:t>
            </w:r>
          </w:p>
        </w:tc>
        <w:tc>
          <w:tcPr>
            <w:tcW w:w="8475" w:type="dxa"/>
            <w:noWrap w:val="0"/>
            <w:vAlign w:val="top"/>
          </w:tcPr>
          <w:p>
            <w:pPr>
              <w:pStyle w:val="21"/>
              <w:kinsoku w:val="0"/>
              <w:overflowPunct w:val="0"/>
              <w:spacing w:before="56"/>
              <w:ind w:left="102"/>
              <w:rPr>
                <w:rFonts w:hint="eastAsia" w:ascii="宋体" w:hAnsi="宋体" w:eastAsia="宋体" w:cs="宋体"/>
                <w:highlight w:val="none"/>
              </w:rPr>
            </w:pPr>
            <w:r>
              <w:rPr>
                <w:rFonts w:hint="eastAsia" w:ascii="宋体" w:hAnsi="宋体" w:eastAsia="宋体" w:cs="宋体"/>
                <w:b/>
                <w:bCs/>
                <w:highlight w:val="none"/>
              </w:rPr>
              <w:t>《磋商响应性文件》递交份数、时间及地点：</w:t>
            </w:r>
          </w:p>
          <w:p>
            <w:pPr>
              <w:pStyle w:val="21"/>
              <w:kinsoku w:val="0"/>
              <w:overflowPunct w:val="0"/>
              <w:spacing w:before="16"/>
              <w:ind w:left="582" w:right="-34"/>
              <w:rPr>
                <w:rFonts w:hint="eastAsia" w:ascii="宋体" w:hAnsi="宋体" w:eastAsia="宋体" w:cs="宋体"/>
                <w:highlight w:val="none"/>
              </w:rPr>
            </w:pPr>
            <w:r>
              <w:rPr>
                <w:rFonts w:hint="eastAsia" w:ascii="宋体" w:hAnsi="宋体" w:eastAsia="宋体" w:cs="宋体"/>
                <w:b/>
                <w:bCs/>
                <w:spacing w:val="-5"/>
                <w:highlight w:val="none"/>
              </w:rPr>
              <w:t>1、份数：</w:t>
            </w:r>
            <w:r>
              <w:rPr>
                <w:rFonts w:hint="eastAsia" w:ascii="宋体" w:hAnsi="宋体" w:eastAsia="宋体" w:cs="宋体"/>
                <w:spacing w:val="-4"/>
                <w:highlight w:val="none"/>
              </w:rPr>
              <w:t>正本</w:t>
            </w:r>
            <w:r>
              <w:rPr>
                <w:rFonts w:hint="eastAsia" w:ascii="宋体" w:hAnsi="宋体" w:eastAsia="宋体" w:cs="宋体"/>
                <w:highlight w:val="none"/>
              </w:rPr>
              <w:t xml:space="preserve"> 1 份,副本</w:t>
            </w:r>
            <w:r>
              <w:rPr>
                <w:rFonts w:hint="eastAsia" w:ascii="宋体" w:hAnsi="宋体" w:cs="宋体"/>
                <w:highlight w:val="none"/>
                <w:lang w:val="en-US" w:eastAsia="zh-CN"/>
              </w:rPr>
              <w:t>4</w:t>
            </w:r>
            <w:r>
              <w:rPr>
                <w:rFonts w:hint="eastAsia" w:ascii="宋体" w:hAnsi="宋体" w:eastAsia="宋体" w:cs="宋体"/>
                <w:highlight w:val="none"/>
              </w:rPr>
              <w:t xml:space="preserve"> 份，电子版 </w:t>
            </w:r>
            <w:r>
              <w:rPr>
                <w:rFonts w:hint="eastAsia" w:ascii="宋体" w:hAnsi="宋体" w:cs="宋体"/>
                <w:highlight w:val="none"/>
                <w:lang w:val="en-US" w:eastAsia="zh-CN"/>
              </w:rPr>
              <w:t>1</w:t>
            </w:r>
            <w:r>
              <w:rPr>
                <w:rFonts w:hint="eastAsia" w:ascii="宋体" w:hAnsi="宋体" w:eastAsia="宋体" w:cs="宋体"/>
                <w:highlight w:val="none"/>
              </w:rPr>
              <w:t xml:space="preserve"> 份</w:t>
            </w:r>
            <w:r>
              <w:rPr>
                <w:rFonts w:hint="eastAsia" w:ascii="宋体" w:hAnsi="宋体" w:eastAsia="宋体" w:cs="宋体"/>
                <w:spacing w:val="-6"/>
                <w:highlight w:val="none"/>
              </w:rPr>
              <w:t>（U</w:t>
            </w:r>
            <w:r>
              <w:rPr>
                <w:rFonts w:hint="eastAsia" w:ascii="宋体" w:hAnsi="宋体" w:eastAsia="宋体" w:cs="宋体"/>
                <w:spacing w:val="-61"/>
                <w:highlight w:val="none"/>
              </w:rPr>
              <w:t xml:space="preserve"> </w:t>
            </w:r>
            <w:r>
              <w:rPr>
                <w:rFonts w:hint="eastAsia" w:ascii="宋体" w:hAnsi="宋体" w:eastAsia="宋体" w:cs="宋体"/>
                <w:spacing w:val="-3"/>
                <w:highlight w:val="none"/>
              </w:rPr>
              <w:t>盘，含所有签章的正本扫描件、格式：PDF、一份），</w:t>
            </w:r>
            <w:r>
              <w:rPr>
                <w:rFonts w:hint="eastAsia" w:ascii="宋体" w:hAnsi="宋体" w:cs="宋体"/>
                <w:spacing w:val="-3"/>
                <w:highlight w:val="none"/>
                <w:lang w:val="en-US" w:eastAsia="zh-CN"/>
              </w:rPr>
              <w:t>报价一览表1份，</w:t>
            </w:r>
            <w:r>
              <w:rPr>
                <w:rFonts w:hint="eastAsia" w:ascii="宋体" w:hAnsi="宋体" w:eastAsia="宋体" w:cs="宋体"/>
                <w:highlight w:val="none"/>
              </w:rPr>
              <w:t>所有文件递交不退。</w:t>
            </w:r>
          </w:p>
          <w:p>
            <w:pPr>
              <w:pStyle w:val="21"/>
              <w:kinsoku w:val="0"/>
              <w:overflowPunct w:val="0"/>
              <w:spacing w:before="16"/>
              <w:ind w:left="582"/>
              <w:rPr>
                <w:rFonts w:hint="eastAsia" w:ascii="宋体" w:hAnsi="宋体" w:eastAsia="宋体" w:cs="宋体"/>
                <w:highlight w:val="none"/>
              </w:rPr>
            </w:pPr>
            <w:r>
              <w:rPr>
                <w:rFonts w:hint="eastAsia" w:ascii="宋体" w:hAnsi="宋体" w:eastAsia="宋体" w:cs="宋体"/>
                <w:b/>
                <w:bCs/>
                <w:spacing w:val="2"/>
                <w:highlight w:val="none"/>
              </w:rPr>
              <w:t>特</w:t>
            </w:r>
            <w:r>
              <w:rPr>
                <w:rFonts w:hint="eastAsia" w:ascii="宋体" w:hAnsi="宋体" w:eastAsia="宋体" w:cs="宋体"/>
                <w:b/>
                <w:bCs/>
                <w:highlight w:val="none"/>
              </w:rPr>
              <w:t>别</w:t>
            </w:r>
            <w:r>
              <w:rPr>
                <w:rFonts w:hint="eastAsia" w:ascii="宋体" w:hAnsi="宋体" w:eastAsia="宋体" w:cs="宋体"/>
                <w:b/>
                <w:bCs/>
                <w:spacing w:val="2"/>
                <w:highlight w:val="none"/>
              </w:rPr>
              <w:t>提示</w:t>
            </w:r>
            <w:r>
              <w:rPr>
                <w:rFonts w:hint="eastAsia" w:ascii="宋体" w:hAnsi="宋体" w:eastAsia="宋体" w:cs="宋体"/>
                <w:b/>
                <w:bCs/>
                <w:spacing w:val="-30"/>
                <w:highlight w:val="none"/>
              </w:rPr>
              <w:t>：</w:t>
            </w:r>
            <w:r>
              <w:rPr>
                <w:rFonts w:hint="eastAsia" w:ascii="宋体" w:hAnsi="宋体" w:eastAsia="宋体" w:cs="宋体"/>
                <w:b/>
                <w:bCs/>
                <w:spacing w:val="2"/>
                <w:highlight w:val="none"/>
              </w:rPr>
              <w:t>电</w:t>
            </w:r>
            <w:r>
              <w:rPr>
                <w:rFonts w:hint="eastAsia" w:ascii="宋体" w:hAnsi="宋体" w:eastAsia="宋体" w:cs="宋体"/>
                <w:b/>
                <w:bCs/>
                <w:highlight w:val="none"/>
              </w:rPr>
              <w:t>子</w:t>
            </w:r>
            <w:r>
              <w:rPr>
                <w:rFonts w:hint="eastAsia" w:ascii="宋体" w:hAnsi="宋体" w:eastAsia="宋体" w:cs="宋体"/>
                <w:b/>
                <w:bCs/>
                <w:spacing w:val="-28"/>
                <w:highlight w:val="none"/>
              </w:rPr>
              <w:t>版</w:t>
            </w:r>
            <w:r>
              <w:rPr>
                <w:rFonts w:hint="eastAsia" w:ascii="宋体" w:hAnsi="宋体" w:eastAsia="宋体" w:cs="宋体"/>
                <w:b/>
                <w:bCs/>
                <w:highlight w:val="none"/>
              </w:rPr>
              <w:t>《</w:t>
            </w:r>
            <w:r>
              <w:rPr>
                <w:rFonts w:hint="eastAsia" w:ascii="宋体" w:hAnsi="宋体" w:eastAsia="宋体" w:cs="宋体"/>
                <w:b/>
                <w:bCs/>
                <w:spacing w:val="2"/>
                <w:highlight w:val="none"/>
              </w:rPr>
              <w:t>磋</w:t>
            </w:r>
            <w:r>
              <w:rPr>
                <w:rFonts w:hint="eastAsia" w:ascii="宋体" w:hAnsi="宋体" w:eastAsia="宋体" w:cs="宋体"/>
                <w:b/>
                <w:bCs/>
                <w:highlight w:val="none"/>
              </w:rPr>
              <w:t>商</w:t>
            </w:r>
            <w:r>
              <w:rPr>
                <w:rFonts w:hint="eastAsia" w:ascii="宋体" w:hAnsi="宋体" w:eastAsia="宋体" w:cs="宋体"/>
                <w:b/>
                <w:bCs/>
                <w:spacing w:val="2"/>
                <w:highlight w:val="none"/>
              </w:rPr>
              <w:t>响应性</w:t>
            </w:r>
            <w:r>
              <w:rPr>
                <w:rFonts w:hint="eastAsia" w:ascii="宋体" w:hAnsi="宋体" w:eastAsia="宋体" w:cs="宋体"/>
                <w:b/>
                <w:bCs/>
                <w:highlight w:val="none"/>
              </w:rPr>
              <w:t>文</w:t>
            </w:r>
            <w:r>
              <w:rPr>
                <w:rFonts w:hint="eastAsia" w:ascii="宋体" w:hAnsi="宋体" w:eastAsia="宋体" w:cs="宋体"/>
                <w:b/>
                <w:bCs/>
                <w:spacing w:val="2"/>
                <w:highlight w:val="none"/>
              </w:rPr>
              <w:t>件</w:t>
            </w:r>
            <w:r>
              <w:rPr>
                <w:rFonts w:hint="eastAsia" w:ascii="宋体" w:hAnsi="宋体" w:eastAsia="宋体" w:cs="宋体"/>
                <w:b/>
                <w:bCs/>
                <w:spacing w:val="-30"/>
                <w:highlight w:val="none"/>
              </w:rPr>
              <w:t>》</w:t>
            </w:r>
            <w:r>
              <w:rPr>
                <w:rFonts w:hint="eastAsia" w:ascii="宋体" w:hAnsi="宋体" w:eastAsia="宋体" w:cs="宋体"/>
                <w:b/>
                <w:bCs/>
                <w:spacing w:val="2"/>
                <w:highlight w:val="none"/>
              </w:rPr>
              <w:t>必</w:t>
            </w:r>
            <w:r>
              <w:rPr>
                <w:rFonts w:hint="eastAsia" w:ascii="宋体" w:hAnsi="宋体" w:eastAsia="宋体" w:cs="宋体"/>
                <w:b/>
                <w:bCs/>
                <w:highlight w:val="none"/>
              </w:rPr>
              <w:t>须</w:t>
            </w:r>
            <w:r>
              <w:rPr>
                <w:rFonts w:hint="eastAsia" w:ascii="宋体" w:hAnsi="宋体" w:eastAsia="宋体" w:cs="宋体"/>
                <w:b/>
                <w:bCs/>
                <w:spacing w:val="2"/>
                <w:highlight w:val="none"/>
              </w:rPr>
              <w:t>与纸质</w:t>
            </w:r>
            <w:r>
              <w:rPr>
                <w:rFonts w:hint="eastAsia" w:ascii="宋体" w:hAnsi="宋体" w:eastAsia="宋体" w:cs="宋体"/>
                <w:b/>
                <w:bCs/>
                <w:spacing w:val="-30"/>
                <w:highlight w:val="none"/>
              </w:rPr>
              <w:t>版</w:t>
            </w:r>
            <w:r>
              <w:rPr>
                <w:rFonts w:hint="eastAsia" w:ascii="宋体" w:hAnsi="宋体" w:eastAsia="宋体" w:cs="宋体"/>
                <w:b/>
                <w:bCs/>
                <w:spacing w:val="2"/>
                <w:highlight w:val="none"/>
              </w:rPr>
              <w:t>《磋</w:t>
            </w:r>
            <w:r>
              <w:rPr>
                <w:rFonts w:hint="eastAsia" w:ascii="宋体" w:hAnsi="宋体" w:eastAsia="宋体" w:cs="宋体"/>
                <w:b/>
                <w:bCs/>
                <w:highlight w:val="none"/>
              </w:rPr>
              <w:t>商</w:t>
            </w:r>
            <w:r>
              <w:rPr>
                <w:rFonts w:hint="eastAsia" w:ascii="宋体" w:hAnsi="宋体" w:eastAsia="宋体" w:cs="宋体"/>
                <w:b/>
                <w:bCs/>
                <w:spacing w:val="2"/>
                <w:highlight w:val="none"/>
              </w:rPr>
              <w:t>响应性</w:t>
            </w:r>
            <w:r>
              <w:rPr>
                <w:rFonts w:hint="eastAsia" w:ascii="宋体" w:hAnsi="宋体" w:eastAsia="宋体" w:cs="宋体"/>
                <w:b/>
                <w:bCs/>
                <w:highlight w:val="none"/>
              </w:rPr>
              <w:t>文件》</w:t>
            </w:r>
          </w:p>
          <w:p>
            <w:pPr>
              <w:pStyle w:val="21"/>
              <w:kinsoku w:val="0"/>
              <w:overflowPunct w:val="0"/>
              <w:spacing w:before="16"/>
              <w:ind w:left="102"/>
              <w:rPr>
                <w:rFonts w:hint="eastAsia" w:ascii="宋体" w:hAnsi="宋体" w:eastAsia="宋体" w:cs="宋体"/>
                <w:highlight w:val="none"/>
              </w:rPr>
            </w:pPr>
            <w:r>
              <w:rPr>
                <w:rFonts w:hint="eastAsia" w:ascii="宋体" w:hAnsi="宋体" w:eastAsia="宋体" w:cs="宋体"/>
                <w:b/>
                <w:bCs/>
                <w:highlight w:val="none"/>
              </w:rPr>
              <w:t>完全一致。</w:t>
            </w:r>
          </w:p>
          <w:p>
            <w:pPr>
              <w:pStyle w:val="21"/>
              <w:kinsoku w:val="0"/>
              <w:overflowPunct w:val="0"/>
              <w:spacing w:before="16"/>
              <w:ind w:left="582"/>
              <w:rPr>
                <w:rFonts w:hint="eastAsia" w:ascii="宋体" w:hAnsi="宋体" w:eastAsia="宋体" w:cs="宋体"/>
                <w:highlight w:val="none"/>
              </w:rPr>
            </w:pPr>
            <w:r>
              <w:rPr>
                <w:rFonts w:hint="eastAsia" w:ascii="宋体" w:hAnsi="宋体" w:eastAsia="宋体" w:cs="宋体"/>
                <w:b/>
                <w:bCs/>
                <w:highlight w:val="none"/>
              </w:rPr>
              <w:t>2、递交截止时间：</w:t>
            </w:r>
            <w:r>
              <w:rPr>
                <w:rFonts w:hint="eastAsia" w:ascii="宋体" w:hAnsi="宋体" w:eastAsia="宋体" w:cs="宋体"/>
                <w:highlight w:val="none"/>
              </w:rPr>
              <w:t>20</w:t>
            </w:r>
            <w:r>
              <w:rPr>
                <w:rFonts w:hint="eastAsia" w:ascii="宋体" w:hAnsi="宋体" w:cs="宋体"/>
                <w:highlight w:val="none"/>
                <w:lang w:val="en-US" w:eastAsia="zh-CN"/>
              </w:rPr>
              <w:t>22</w:t>
            </w:r>
            <w:r>
              <w:rPr>
                <w:rFonts w:hint="eastAsia" w:ascii="宋体" w:hAnsi="宋体" w:eastAsia="宋体" w:cs="宋体"/>
                <w:highlight w:val="none"/>
              </w:rPr>
              <w:t>年</w:t>
            </w:r>
            <w:r>
              <w:rPr>
                <w:rFonts w:hint="eastAsia" w:ascii="宋体" w:hAnsi="宋体" w:cs="宋体"/>
                <w:highlight w:val="none"/>
                <w:lang w:val="en-US" w:eastAsia="zh-CN"/>
              </w:rPr>
              <w:t>11月</w:t>
            </w:r>
            <w:r>
              <w:rPr>
                <w:rFonts w:hint="eastAsia" w:ascii="宋体" w:hAnsi="宋体" w:cs="宋体"/>
                <w:highlight w:val="yellow"/>
                <w:lang w:val="en-US" w:eastAsia="zh-CN"/>
              </w:rPr>
              <w:t>01</w:t>
            </w:r>
            <w:r>
              <w:rPr>
                <w:rFonts w:hint="eastAsia" w:ascii="宋体" w:hAnsi="宋体" w:eastAsia="宋体" w:cs="宋体"/>
                <w:highlight w:val="none"/>
              </w:rPr>
              <w:t>日</w:t>
            </w:r>
            <w:r>
              <w:rPr>
                <w:rFonts w:hint="eastAsia" w:ascii="宋体" w:hAnsi="宋体" w:cs="宋体"/>
                <w:highlight w:val="yellow"/>
                <w:lang w:val="en-US" w:eastAsia="zh-CN"/>
              </w:rPr>
              <w:t>16</w:t>
            </w:r>
            <w:r>
              <w:rPr>
                <w:rFonts w:hint="eastAsia" w:ascii="宋体" w:hAnsi="宋体" w:eastAsia="宋体" w:cs="宋体"/>
                <w:highlight w:val="yellow"/>
              </w:rPr>
              <w:t>:</w:t>
            </w:r>
            <w:r>
              <w:rPr>
                <w:rFonts w:hint="eastAsia" w:ascii="宋体" w:hAnsi="宋体" w:cs="宋体"/>
                <w:highlight w:val="yellow"/>
                <w:lang w:val="en-US" w:eastAsia="zh-CN"/>
              </w:rPr>
              <w:t>0</w:t>
            </w:r>
            <w:r>
              <w:rPr>
                <w:rFonts w:hint="eastAsia" w:ascii="宋体" w:hAnsi="宋体" w:eastAsia="宋体" w:cs="宋体"/>
                <w:highlight w:val="yellow"/>
              </w:rPr>
              <w:t xml:space="preserve">0 </w:t>
            </w:r>
            <w:r>
              <w:rPr>
                <w:rFonts w:hint="eastAsia" w:ascii="宋体" w:hAnsi="宋体" w:eastAsia="宋体" w:cs="宋体"/>
                <w:highlight w:val="none"/>
              </w:rPr>
              <w:t>（北京时间）</w:t>
            </w:r>
          </w:p>
          <w:p>
            <w:pPr>
              <w:pStyle w:val="21"/>
              <w:kinsoku w:val="0"/>
              <w:overflowPunct w:val="0"/>
              <w:spacing w:before="16"/>
              <w:ind w:left="582"/>
              <w:rPr>
                <w:rFonts w:hint="eastAsia" w:ascii="宋体" w:hAnsi="宋体" w:eastAsia="宋体" w:cs="宋体"/>
                <w:b/>
                <w:bCs/>
                <w:highlight w:val="none"/>
              </w:rPr>
            </w:pPr>
            <w:r>
              <w:rPr>
                <w:rFonts w:hint="eastAsia" w:ascii="宋体" w:hAnsi="宋体" w:eastAsia="宋体" w:cs="宋体"/>
                <w:b/>
                <w:bCs/>
                <w:highlight w:val="none"/>
              </w:rPr>
              <w:t>3、递交地点：</w:t>
            </w:r>
            <w:r>
              <w:rPr>
                <w:rFonts w:hint="eastAsia" w:asciiTheme="minorEastAsia" w:hAnsiTheme="minorEastAsia" w:eastAsiaTheme="minorEastAsia" w:cstheme="minorEastAsia"/>
                <w:color w:val="auto"/>
                <w:sz w:val="24"/>
                <w:szCs w:val="24"/>
                <w:highlight w:val="none"/>
                <w:lang w:eastAsia="zh-CN"/>
              </w:rPr>
              <w:t>新疆天之源项目管理集团有限公司（乌鲁木齐市水磨沟区龙盛街2799号浙商大厦11楼招标一部）</w:t>
            </w:r>
            <w:r>
              <w:rPr>
                <w:rFonts w:hint="eastAsia" w:ascii="宋体" w:hAnsi="宋体" w:eastAsia="宋体" w:cs="宋体"/>
                <w:b/>
                <w:bCs/>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noWrap w:val="0"/>
            <w:vAlign w:val="center"/>
          </w:tcPr>
          <w:p>
            <w:pPr>
              <w:pStyle w:val="21"/>
              <w:kinsoku w:val="0"/>
              <w:overflowPunct w:val="0"/>
              <w:spacing w:before="73"/>
              <w:jc w:val="center"/>
              <w:rPr>
                <w:rFonts w:hint="eastAsia" w:ascii="宋体" w:hAnsi="宋体" w:eastAsia="宋体" w:cs="宋体"/>
                <w:highlight w:val="none"/>
              </w:rPr>
            </w:pPr>
            <w:r>
              <w:rPr>
                <w:rFonts w:hint="eastAsia" w:ascii="宋体" w:hAnsi="宋体" w:eastAsia="宋体" w:cs="宋体"/>
                <w:highlight w:val="none"/>
              </w:rPr>
              <w:t>23</w:t>
            </w:r>
          </w:p>
        </w:tc>
        <w:tc>
          <w:tcPr>
            <w:tcW w:w="8475" w:type="dxa"/>
            <w:noWrap w:val="0"/>
            <w:vAlign w:val="top"/>
          </w:tcPr>
          <w:p>
            <w:pPr>
              <w:pStyle w:val="21"/>
              <w:kinsoku w:val="0"/>
              <w:overflowPunct w:val="0"/>
              <w:spacing w:line="277" w:lineRule="exact"/>
              <w:ind w:left="102"/>
              <w:rPr>
                <w:rFonts w:hint="eastAsia" w:ascii="宋体" w:hAnsi="宋体" w:eastAsia="宋体" w:cs="宋体"/>
                <w:highlight w:val="none"/>
              </w:rPr>
            </w:pPr>
            <w:r>
              <w:rPr>
                <w:rFonts w:hint="eastAsia" w:ascii="宋体" w:hAnsi="宋体" w:eastAsia="宋体" w:cs="宋体"/>
                <w:sz w:val="22"/>
                <w:szCs w:val="22"/>
                <w:highlight w:val="none"/>
              </w:rPr>
              <w:t>★</w:t>
            </w:r>
            <w:r>
              <w:rPr>
                <w:rFonts w:hint="eastAsia" w:ascii="宋体" w:hAnsi="宋体" w:eastAsia="宋体" w:cs="宋体"/>
                <w:b/>
                <w:bCs/>
                <w:highlight w:val="none"/>
              </w:rPr>
              <w:t>磋商响应性文件的密封和标记</w:t>
            </w:r>
          </w:p>
          <w:p>
            <w:pPr>
              <w:pStyle w:val="21"/>
              <w:kinsoku w:val="0"/>
              <w:overflowPunct w:val="0"/>
              <w:spacing w:before="38"/>
              <w:ind w:left="102" w:right="-43" w:firstLine="472" w:firstLineChars="200"/>
              <w:rPr>
                <w:rFonts w:hint="eastAsia" w:ascii="宋体" w:hAnsi="宋体" w:eastAsia="宋体" w:cs="宋体"/>
                <w:spacing w:val="-2"/>
                <w:highlight w:val="none"/>
              </w:rPr>
            </w:pPr>
            <w:r>
              <w:rPr>
                <w:rFonts w:hint="eastAsia" w:ascii="宋体" w:hAnsi="宋体" w:eastAsia="宋体" w:cs="宋体"/>
                <w:spacing w:val="-2"/>
                <w:highlight w:val="none"/>
              </w:rPr>
              <w:t>1、磋商响应性文件正本与副本应</w:t>
            </w:r>
            <w:r>
              <w:rPr>
                <w:rFonts w:hint="eastAsia" w:ascii="宋体" w:hAnsi="宋体" w:cs="宋体"/>
                <w:spacing w:val="-2"/>
                <w:highlight w:val="none"/>
                <w:lang w:val="en-US" w:eastAsia="zh-CN"/>
              </w:rPr>
              <w:t>分别</w:t>
            </w:r>
            <w:r>
              <w:rPr>
                <w:rFonts w:hint="eastAsia" w:ascii="宋体" w:hAnsi="宋体" w:eastAsia="宋体" w:cs="宋体"/>
                <w:spacing w:val="-2"/>
                <w:highlight w:val="none"/>
              </w:rPr>
              <w:t>密封，并加贴“密封”字样封条，在封套的封口处应加盖单位公章。供应商未按此要求采用其他包装的，将造成磋商响应性文件被拒收。</w:t>
            </w:r>
          </w:p>
          <w:p>
            <w:pPr>
              <w:pStyle w:val="21"/>
              <w:tabs>
                <w:tab w:val="left" w:pos="5415"/>
                <w:tab w:val="left" w:pos="6023"/>
                <w:tab w:val="left" w:pos="6627"/>
                <w:tab w:val="left" w:pos="7232"/>
                <w:tab w:val="left" w:pos="7839"/>
              </w:tabs>
              <w:kinsoku w:val="0"/>
              <w:overflowPunct w:val="0"/>
              <w:spacing w:before="38"/>
              <w:ind w:left="102" w:firstLine="472" w:firstLineChars="200"/>
              <w:rPr>
                <w:rFonts w:hint="eastAsia" w:ascii="宋体" w:hAnsi="宋体" w:eastAsia="宋体" w:cs="宋体"/>
                <w:spacing w:val="-2"/>
                <w:highlight w:val="none"/>
              </w:rPr>
            </w:pPr>
            <w:r>
              <w:rPr>
                <w:rFonts w:hint="eastAsia" w:ascii="宋体" w:hAnsi="宋体" w:eastAsia="宋体" w:cs="宋体"/>
                <w:spacing w:val="-2"/>
                <w:highlight w:val="none"/>
              </w:rPr>
              <w:t>2、在封套上注明项目名称、项目编号及“在</w:t>
            </w:r>
            <w:r>
              <w:rPr>
                <w:rFonts w:hint="eastAsia" w:ascii="宋体" w:hAnsi="宋体" w:eastAsia="宋体" w:cs="宋体"/>
                <w:spacing w:val="-2"/>
                <w:highlight w:val="none"/>
              </w:rPr>
              <w:tab/>
            </w:r>
            <w:r>
              <w:rPr>
                <w:rFonts w:hint="eastAsia" w:ascii="宋体" w:hAnsi="宋体" w:eastAsia="宋体" w:cs="宋体"/>
                <w:spacing w:val="-2"/>
                <w:highlight w:val="none"/>
              </w:rPr>
              <w:t>年</w:t>
            </w:r>
            <w:r>
              <w:rPr>
                <w:rFonts w:hint="eastAsia" w:ascii="宋体" w:hAnsi="宋体" w:eastAsia="宋体" w:cs="宋体"/>
                <w:spacing w:val="-2"/>
                <w:highlight w:val="none"/>
              </w:rPr>
              <w:tab/>
            </w:r>
            <w:r>
              <w:rPr>
                <w:rFonts w:hint="eastAsia" w:ascii="宋体" w:hAnsi="宋体" w:eastAsia="宋体" w:cs="宋体"/>
                <w:spacing w:val="-2"/>
                <w:highlight w:val="none"/>
              </w:rPr>
              <w:t>月</w:t>
            </w:r>
            <w:r>
              <w:rPr>
                <w:rFonts w:hint="eastAsia" w:ascii="宋体" w:hAnsi="宋体" w:eastAsia="宋体" w:cs="宋体"/>
                <w:spacing w:val="-2"/>
                <w:highlight w:val="none"/>
              </w:rPr>
              <w:tab/>
            </w:r>
            <w:r>
              <w:rPr>
                <w:rFonts w:hint="eastAsia" w:ascii="宋体" w:hAnsi="宋体" w:eastAsia="宋体" w:cs="宋体"/>
                <w:spacing w:val="-2"/>
                <w:highlight w:val="none"/>
              </w:rPr>
              <w:t>日</w:t>
            </w:r>
            <w:r>
              <w:rPr>
                <w:rFonts w:hint="eastAsia" w:ascii="宋体" w:hAnsi="宋体" w:eastAsia="宋体" w:cs="宋体"/>
                <w:spacing w:val="-2"/>
                <w:highlight w:val="none"/>
              </w:rPr>
              <w:tab/>
            </w:r>
            <w:r>
              <w:rPr>
                <w:rFonts w:hint="eastAsia" w:ascii="宋体" w:hAnsi="宋体" w:eastAsia="宋体" w:cs="宋体"/>
                <w:spacing w:val="-2"/>
                <w:highlight w:val="none"/>
              </w:rPr>
              <w:t>时</w:t>
            </w:r>
            <w:r>
              <w:rPr>
                <w:rFonts w:hint="eastAsia" w:ascii="宋体" w:hAnsi="宋体" w:eastAsia="宋体" w:cs="宋体"/>
                <w:spacing w:val="-2"/>
                <w:highlight w:val="none"/>
              </w:rPr>
              <w:tab/>
            </w:r>
            <w:r>
              <w:rPr>
                <w:rFonts w:hint="eastAsia" w:ascii="宋体" w:hAnsi="宋体" w:eastAsia="宋体" w:cs="宋体"/>
                <w:spacing w:val="-2"/>
                <w:highlight w:val="none"/>
              </w:rPr>
              <w:t>分</w:t>
            </w:r>
          </w:p>
          <w:p>
            <w:pPr>
              <w:pStyle w:val="21"/>
              <w:kinsoku w:val="0"/>
              <w:overflowPunct w:val="0"/>
              <w:spacing w:before="127"/>
              <w:ind w:left="102"/>
              <w:rPr>
                <w:rFonts w:hint="eastAsia" w:ascii="宋体" w:hAnsi="宋体" w:eastAsia="宋体" w:cs="宋体"/>
                <w:spacing w:val="-2"/>
                <w:highlight w:val="none"/>
              </w:rPr>
            </w:pPr>
            <w:r>
              <w:rPr>
                <w:rFonts w:hint="eastAsia" w:ascii="宋体" w:hAnsi="宋体" w:eastAsia="宋体" w:cs="宋体"/>
                <w:spacing w:val="-2"/>
                <w:highlight w:val="none"/>
              </w:rPr>
              <w:t>之前不得启封”字样。</w:t>
            </w:r>
          </w:p>
          <w:p>
            <w:pPr>
              <w:pStyle w:val="21"/>
              <w:kinsoku w:val="0"/>
              <w:overflowPunct w:val="0"/>
              <w:spacing w:before="38"/>
              <w:ind w:left="102" w:firstLine="472" w:firstLineChars="200"/>
              <w:rPr>
                <w:rFonts w:hint="eastAsia" w:ascii="宋体" w:hAnsi="宋体" w:eastAsia="宋体" w:cs="宋体"/>
                <w:spacing w:val="-2"/>
                <w:highlight w:val="none"/>
              </w:rPr>
            </w:pPr>
            <w:r>
              <w:rPr>
                <w:rFonts w:hint="eastAsia" w:ascii="宋体" w:hAnsi="宋体" w:eastAsia="宋体" w:cs="宋体"/>
                <w:spacing w:val="-2"/>
                <w:highlight w:val="none"/>
              </w:rPr>
              <w:t>3、供应商必须将“电子版</w:t>
            </w:r>
            <w:r>
              <w:rPr>
                <w:rFonts w:hint="eastAsia" w:ascii="宋体" w:hAnsi="宋体" w:eastAsia="宋体" w:cs="宋体"/>
                <w:spacing w:val="-60"/>
                <w:highlight w:val="none"/>
              </w:rPr>
              <w:t xml:space="preserve"> </w:t>
            </w:r>
            <w:r>
              <w:rPr>
                <w:rFonts w:hint="eastAsia" w:ascii="宋体" w:hAnsi="宋体" w:eastAsia="宋体" w:cs="宋体"/>
                <w:highlight w:val="none"/>
              </w:rPr>
              <w:t>U</w:t>
            </w:r>
            <w:r>
              <w:rPr>
                <w:rFonts w:hint="eastAsia" w:ascii="宋体" w:hAnsi="宋体" w:eastAsia="宋体" w:cs="宋体"/>
                <w:spacing w:val="-60"/>
                <w:highlight w:val="none"/>
              </w:rPr>
              <w:t xml:space="preserve"> </w:t>
            </w:r>
            <w:r>
              <w:rPr>
                <w:rFonts w:hint="eastAsia" w:ascii="宋体" w:hAnsi="宋体" w:eastAsia="宋体" w:cs="宋体"/>
                <w:spacing w:val="-2"/>
                <w:highlight w:val="none"/>
              </w:rPr>
              <w:t>盘”与“</w:t>
            </w:r>
            <w:r>
              <w:rPr>
                <w:rFonts w:hint="eastAsia" w:ascii="宋体" w:hAnsi="宋体" w:eastAsia="宋体" w:cs="宋体"/>
                <w:spacing w:val="-4"/>
                <w:highlight w:val="none"/>
              </w:rPr>
              <w:t>正本</w:t>
            </w:r>
            <w:r>
              <w:rPr>
                <w:rFonts w:hint="eastAsia" w:ascii="宋体" w:hAnsi="宋体" w:eastAsia="宋体" w:cs="宋体"/>
                <w:spacing w:val="-2"/>
                <w:highlight w:val="none"/>
              </w:rPr>
              <w:t>”</w:t>
            </w:r>
            <w:r>
              <w:rPr>
                <w:rFonts w:hint="eastAsia" w:ascii="宋体" w:hAnsi="宋体" w:cs="宋体"/>
                <w:spacing w:val="-2"/>
                <w:highlight w:val="none"/>
                <w:lang w:val="en-US" w:eastAsia="zh-CN"/>
              </w:rPr>
              <w:t>分别</w:t>
            </w:r>
            <w:r>
              <w:rPr>
                <w:rFonts w:hint="eastAsia" w:ascii="宋体" w:hAnsi="宋体" w:eastAsia="宋体" w:cs="宋体"/>
                <w:spacing w:val="-2"/>
                <w:highlight w:val="none"/>
              </w:rPr>
              <w:t>密封提交，并在封面上注明</w:t>
            </w:r>
            <w:r>
              <w:rPr>
                <w:rFonts w:hint="eastAsia" w:ascii="宋体" w:hAnsi="宋体" w:eastAsia="宋体" w:cs="宋体"/>
                <w:highlight w:val="none"/>
              </w:rPr>
              <w:t>项目名称</w:t>
            </w:r>
            <w:r>
              <w:rPr>
                <w:rFonts w:hint="eastAsia" w:ascii="宋体" w:hAnsi="宋体" w:eastAsia="宋体" w:cs="宋体"/>
                <w:spacing w:val="-65"/>
                <w:highlight w:val="none"/>
              </w:rPr>
              <w:t>、</w:t>
            </w:r>
            <w:r>
              <w:rPr>
                <w:rFonts w:hint="eastAsia" w:ascii="宋体" w:hAnsi="宋体" w:eastAsia="宋体" w:cs="宋体"/>
                <w:highlight w:val="none"/>
              </w:rPr>
              <w:t>项目编号</w:t>
            </w:r>
            <w:r>
              <w:rPr>
                <w:rFonts w:hint="eastAsia" w:ascii="宋体" w:hAnsi="宋体" w:eastAsia="宋体" w:cs="宋体"/>
                <w:spacing w:val="-65"/>
                <w:highlight w:val="none"/>
              </w:rPr>
              <w:t>、</w:t>
            </w:r>
            <w:r>
              <w:rPr>
                <w:rFonts w:hint="eastAsia" w:ascii="宋体" w:hAnsi="宋体" w:eastAsia="宋体" w:cs="宋体"/>
                <w:highlight w:val="none"/>
              </w:rPr>
              <w:t>投标单位名</w:t>
            </w:r>
            <w:r>
              <w:rPr>
                <w:rFonts w:hint="eastAsia" w:ascii="宋体" w:hAnsi="宋体" w:eastAsia="宋体" w:cs="宋体"/>
                <w:spacing w:val="-63"/>
                <w:highlight w:val="none"/>
              </w:rPr>
              <w:t>称</w:t>
            </w:r>
            <w:r>
              <w:rPr>
                <w:rFonts w:hint="eastAsia" w:ascii="宋体" w:hAnsi="宋体" w:eastAsia="宋体" w:cs="宋体"/>
                <w:highlight w:val="none"/>
              </w:rPr>
              <w:t>（并加盖公章</w:t>
            </w:r>
            <w:r>
              <w:rPr>
                <w:rFonts w:hint="eastAsia" w:ascii="宋体" w:hAnsi="宋体" w:eastAsia="宋体" w:cs="宋体"/>
                <w:spacing w:val="-65"/>
                <w:highlight w:val="none"/>
              </w:rPr>
              <w:t>）</w:t>
            </w:r>
            <w:r>
              <w:rPr>
                <w:rFonts w:hint="eastAsia" w:ascii="宋体" w:hAnsi="宋体" w:eastAsia="宋体" w:cs="宋体"/>
                <w:spacing w:val="-63"/>
                <w:highlight w:val="none"/>
              </w:rPr>
              <w:t>及</w:t>
            </w:r>
            <w:r>
              <w:rPr>
                <w:rFonts w:hint="eastAsia" w:ascii="宋体" w:hAnsi="宋体" w:eastAsia="宋体" w:cs="宋体"/>
                <w:spacing w:val="-8"/>
                <w:highlight w:val="none"/>
              </w:rPr>
              <w:t>“</w:t>
            </w:r>
            <w:r>
              <w:rPr>
                <w:rFonts w:hint="eastAsia" w:ascii="宋体" w:hAnsi="宋体" w:eastAsia="宋体" w:cs="宋体"/>
                <w:spacing w:val="-1"/>
                <w:highlight w:val="none"/>
              </w:rPr>
              <w:t>在</w:t>
            </w:r>
            <w:r>
              <w:rPr>
                <w:rFonts w:hint="eastAsia" w:ascii="宋体" w:hAnsi="宋体" w:eastAsia="宋体" w:cs="宋体"/>
                <w:spacing w:val="-1"/>
                <w:highlight w:val="none"/>
                <w:u w:val="single"/>
              </w:rPr>
              <w:tab/>
            </w:r>
            <w:r>
              <w:rPr>
                <w:rFonts w:hint="eastAsia" w:ascii="宋体" w:hAnsi="宋体" w:eastAsia="宋体" w:cs="宋体"/>
                <w:spacing w:val="-1"/>
                <w:highlight w:val="none"/>
                <w:u w:val="single"/>
              </w:rPr>
              <w:t xml:space="preserve"> </w:t>
            </w:r>
            <w:r>
              <w:rPr>
                <w:rFonts w:hint="eastAsia" w:ascii="宋体" w:hAnsi="宋体" w:eastAsia="宋体" w:cs="宋体"/>
                <w:spacing w:val="-1"/>
                <w:w w:val="95"/>
                <w:highlight w:val="none"/>
              </w:rPr>
              <w:t>年</w:t>
            </w:r>
            <w:r>
              <w:rPr>
                <w:rFonts w:hint="eastAsia" w:ascii="宋体" w:hAnsi="宋体" w:eastAsia="宋体" w:cs="宋体"/>
                <w:spacing w:val="-1"/>
                <w:w w:val="95"/>
                <w:highlight w:val="none"/>
                <w:u w:val="single"/>
              </w:rPr>
              <w:tab/>
            </w:r>
            <w:r>
              <w:rPr>
                <w:rFonts w:hint="eastAsia" w:ascii="宋体" w:hAnsi="宋体" w:eastAsia="宋体" w:cs="宋体"/>
                <w:spacing w:val="-1"/>
                <w:w w:val="95"/>
                <w:highlight w:val="none"/>
                <w:u w:val="single"/>
              </w:rPr>
              <w:t xml:space="preserve">  </w:t>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spacing w:val="-1"/>
                <w:highlight w:val="none"/>
              </w:rPr>
              <w:t>日</w:t>
            </w:r>
            <w:r>
              <w:rPr>
                <w:rFonts w:hint="eastAsia" w:ascii="宋体" w:hAnsi="宋体" w:eastAsia="宋体" w:cs="宋体"/>
                <w:spacing w:val="-1"/>
                <w:highlight w:val="none"/>
                <w:u w:val="single"/>
              </w:rPr>
              <w:tab/>
            </w:r>
            <w:r>
              <w:rPr>
                <w:rFonts w:hint="eastAsia" w:ascii="宋体" w:hAnsi="宋体" w:eastAsia="宋体" w:cs="宋体"/>
                <w:spacing w:val="-1"/>
                <w:highlight w:val="none"/>
                <w:u w:val="single"/>
              </w:rPr>
              <w:t xml:space="preserve"> </w:t>
            </w:r>
            <w:r>
              <w:rPr>
                <w:rFonts w:hint="eastAsia" w:ascii="宋体" w:hAnsi="宋体" w:eastAsia="宋体" w:cs="宋体"/>
                <w:spacing w:val="-1"/>
                <w:highlight w:val="none"/>
              </w:rPr>
              <w:t>时</w:t>
            </w:r>
            <w:r>
              <w:rPr>
                <w:rFonts w:hint="eastAsia" w:ascii="宋体" w:hAnsi="宋体" w:eastAsia="宋体" w:cs="宋体"/>
                <w:spacing w:val="-1"/>
                <w:highlight w:val="none"/>
                <w:u w:val="single"/>
              </w:rPr>
              <w:tab/>
            </w:r>
            <w:r>
              <w:rPr>
                <w:rFonts w:hint="eastAsia" w:ascii="宋体" w:hAnsi="宋体" w:eastAsia="宋体" w:cs="宋体"/>
                <w:spacing w:val="-1"/>
                <w:highlight w:val="none"/>
                <w:u w:val="single"/>
              </w:rPr>
              <w:t xml:space="preserve">  </w:t>
            </w:r>
            <w:r>
              <w:rPr>
                <w:rFonts w:hint="eastAsia" w:ascii="宋体" w:hAnsi="宋体" w:eastAsia="宋体" w:cs="宋体"/>
                <w:spacing w:val="-1"/>
                <w:highlight w:val="none"/>
              </w:rPr>
              <w:t>分之前不得启封”字样</w:t>
            </w:r>
            <w:r>
              <w:rPr>
                <w:rFonts w:hint="eastAsia" w:ascii="宋体" w:hAnsi="宋体" w:cs="宋体"/>
                <w:spacing w:val="-1"/>
                <w:highlight w:val="none"/>
                <w:lang w:eastAsia="zh-CN"/>
              </w:rPr>
              <w:t>，</w:t>
            </w:r>
            <w:r>
              <w:rPr>
                <w:rFonts w:hint="eastAsia" w:ascii="宋体" w:hAnsi="宋体" w:cs="宋体"/>
                <w:spacing w:val="-3"/>
                <w:highlight w:val="none"/>
                <w:lang w:val="en-US" w:eastAsia="zh-CN"/>
              </w:rPr>
              <w:t>报价</w:t>
            </w:r>
            <w:r>
              <w:rPr>
                <w:rFonts w:hint="eastAsia" w:ascii="宋体" w:hAnsi="宋体" w:cs="宋体"/>
                <w:spacing w:val="-1"/>
                <w:highlight w:val="none"/>
                <w:lang w:val="en-US" w:eastAsia="zh-CN"/>
              </w:rPr>
              <w:t>一览表单独密封</w:t>
            </w:r>
            <w:r>
              <w:rPr>
                <w:rFonts w:hint="eastAsia" w:ascii="宋体" w:hAnsi="宋体" w:eastAsia="宋体" w:cs="宋体"/>
                <w:spacing w:val="-1"/>
                <w:highlight w:val="none"/>
              </w:rPr>
              <w:t>。密封后粘贴密封条。</w:t>
            </w:r>
          </w:p>
          <w:p>
            <w:pPr>
              <w:pStyle w:val="21"/>
              <w:kinsoku w:val="0"/>
              <w:overflowPunct w:val="0"/>
              <w:spacing w:before="86"/>
              <w:ind w:left="102" w:firstLine="472" w:firstLineChars="200"/>
              <w:rPr>
                <w:rFonts w:hint="eastAsia" w:ascii="宋体" w:hAnsi="宋体" w:eastAsia="宋体" w:cs="宋体"/>
                <w:highlight w:val="none"/>
              </w:rPr>
            </w:pPr>
            <w:r>
              <w:rPr>
                <w:rFonts w:hint="eastAsia" w:ascii="宋体" w:hAnsi="宋体" w:eastAsia="宋体" w:cs="宋体"/>
                <w:spacing w:val="-2"/>
                <w:highlight w:val="none"/>
              </w:rPr>
              <w:t>4、未按本章第 1 项</w:t>
            </w:r>
            <w:r>
              <w:rPr>
                <w:rFonts w:hint="eastAsia" w:ascii="宋体" w:hAnsi="宋体" w:cs="宋体"/>
                <w:spacing w:val="-2"/>
                <w:highlight w:val="none"/>
                <w:lang w:val="en-US" w:eastAsia="zh-CN"/>
              </w:rPr>
              <w:t>到</w:t>
            </w:r>
            <w:r>
              <w:rPr>
                <w:rFonts w:hint="eastAsia" w:ascii="宋体" w:hAnsi="宋体" w:eastAsia="宋体" w:cs="宋体"/>
                <w:spacing w:val="-2"/>
                <w:highlight w:val="none"/>
              </w:rPr>
              <w:t xml:space="preserve"> </w:t>
            </w:r>
            <w:r>
              <w:rPr>
                <w:rFonts w:hint="eastAsia" w:ascii="宋体" w:hAnsi="宋体" w:cs="宋体"/>
                <w:spacing w:val="-2"/>
                <w:highlight w:val="none"/>
                <w:lang w:val="en-US" w:eastAsia="zh-CN"/>
              </w:rPr>
              <w:t xml:space="preserve">3 </w:t>
            </w:r>
            <w:r>
              <w:rPr>
                <w:rFonts w:hint="eastAsia" w:ascii="宋体" w:hAnsi="宋体" w:eastAsia="宋体" w:cs="宋体"/>
                <w:spacing w:val="-2"/>
                <w:highlight w:val="none"/>
              </w:rPr>
              <w:t>项密封和加写标记的磋商响应性文件, 造成磋商响应性文件被拒收的不利后果由供应商自行承担。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noWrap w:val="0"/>
            <w:vAlign w:val="center"/>
          </w:tcPr>
          <w:p>
            <w:pPr>
              <w:pStyle w:val="21"/>
              <w:kinsoku w:val="0"/>
              <w:overflowPunct w:val="0"/>
              <w:spacing w:before="73"/>
              <w:jc w:val="center"/>
              <w:rPr>
                <w:rFonts w:hint="eastAsia" w:ascii="宋体" w:hAnsi="宋体" w:eastAsia="宋体" w:cs="宋体"/>
                <w:highlight w:val="none"/>
              </w:rPr>
            </w:pPr>
            <w:r>
              <w:rPr>
                <w:rFonts w:hint="eastAsia" w:ascii="宋体" w:hAnsi="宋体" w:eastAsia="宋体" w:cs="宋体"/>
                <w:highlight w:val="none"/>
              </w:rPr>
              <w:t>24</w:t>
            </w:r>
          </w:p>
        </w:tc>
        <w:tc>
          <w:tcPr>
            <w:tcW w:w="8475" w:type="dxa"/>
            <w:noWrap w:val="0"/>
            <w:vAlign w:val="top"/>
          </w:tcPr>
          <w:p>
            <w:pPr>
              <w:pStyle w:val="21"/>
              <w:kinsoku w:val="0"/>
              <w:overflowPunct w:val="0"/>
              <w:spacing w:before="56"/>
              <w:rPr>
                <w:rFonts w:hint="eastAsia" w:ascii="宋体" w:hAnsi="宋体" w:eastAsia="宋体" w:cs="宋体"/>
                <w:highlight w:val="none"/>
                <w:lang w:eastAsia="zh-CN"/>
              </w:rPr>
            </w:pPr>
            <w:r>
              <w:rPr>
                <w:rFonts w:hint="eastAsia" w:ascii="宋体" w:hAnsi="宋体" w:eastAsia="宋体" w:cs="宋体"/>
                <w:b/>
                <w:bCs/>
                <w:highlight w:val="none"/>
              </w:rPr>
              <w:t>开标时间及地点</w:t>
            </w:r>
            <w:r>
              <w:rPr>
                <w:rFonts w:hint="eastAsia" w:ascii="宋体" w:hAnsi="宋体" w:cs="宋体"/>
                <w:b/>
                <w:bCs/>
                <w:highlight w:val="none"/>
                <w:lang w:eastAsia="zh-CN"/>
              </w:rPr>
              <w:t>：</w:t>
            </w:r>
          </w:p>
          <w:p>
            <w:pPr>
              <w:pStyle w:val="21"/>
              <w:kinsoku w:val="0"/>
              <w:overflowPunct w:val="0"/>
              <w:spacing w:before="38"/>
              <w:rPr>
                <w:rFonts w:hint="eastAsia" w:ascii="宋体" w:hAnsi="宋体" w:eastAsia="宋体" w:cs="宋体"/>
                <w:highlight w:val="none"/>
              </w:rPr>
            </w:pPr>
            <w:r>
              <w:rPr>
                <w:rFonts w:hint="eastAsia" w:ascii="宋体" w:hAnsi="宋体" w:eastAsia="宋体" w:cs="宋体"/>
                <w:b/>
                <w:bCs/>
                <w:highlight w:val="none"/>
              </w:rPr>
              <w:t>开标时间：</w:t>
            </w:r>
            <w:r>
              <w:rPr>
                <w:rFonts w:hint="eastAsia" w:ascii="宋体" w:hAnsi="宋体" w:eastAsia="宋体" w:cs="宋体"/>
                <w:highlight w:val="none"/>
              </w:rPr>
              <w:t>同磋商响应性文件递交截止时间</w:t>
            </w:r>
          </w:p>
          <w:p>
            <w:pPr>
              <w:pStyle w:val="21"/>
              <w:kinsoku w:val="0"/>
              <w:overflowPunct w:val="0"/>
              <w:spacing w:before="38"/>
              <w:rPr>
                <w:rFonts w:hint="eastAsia" w:ascii="宋体" w:hAnsi="宋体" w:eastAsia="宋体" w:cs="宋体"/>
                <w:sz w:val="22"/>
                <w:szCs w:val="22"/>
                <w:highlight w:val="none"/>
              </w:rPr>
            </w:pPr>
            <w:r>
              <w:rPr>
                <w:rFonts w:hint="eastAsia" w:ascii="宋体" w:hAnsi="宋体" w:eastAsia="宋体" w:cs="宋体"/>
                <w:b/>
                <w:bCs/>
                <w:spacing w:val="-2"/>
                <w:highlight w:val="none"/>
              </w:rPr>
              <w:t>开标地点：</w:t>
            </w:r>
            <w:r>
              <w:rPr>
                <w:rFonts w:hint="eastAsia" w:ascii="宋体" w:hAnsi="宋体" w:eastAsia="宋体" w:cs="宋体"/>
                <w:highlight w:val="none"/>
              </w:rPr>
              <w:t>同磋商响应性文件递交地点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noWrap w:val="0"/>
            <w:vAlign w:val="center"/>
          </w:tcPr>
          <w:p>
            <w:pPr>
              <w:pStyle w:val="21"/>
              <w:kinsoku w:val="0"/>
              <w:overflowPunct w:val="0"/>
              <w:spacing w:before="73"/>
              <w:jc w:val="center"/>
              <w:rPr>
                <w:rFonts w:hint="eastAsia" w:ascii="宋体" w:hAnsi="宋体" w:eastAsia="宋体" w:cs="宋体"/>
                <w:highlight w:val="none"/>
              </w:rPr>
            </w:pPr>
            <w:r>
              <w:rPr>
                <w:rFonts w:hint="eastAsia" w:ascii="宋体" w:hAnsi="宋体" w:eastAsia="宋体" w:cs="宋体"/>
                <w:highlight w:val="none"/>
              </w:rPr>
              <w:t>25</w:t>
            </w:r>
          </w:p>
        </w:tc>
        <w:tc>
          <w:tcPr>
            <w:tcW w:w="8475" w:type="dxa"/>
            <w:noWrap w:val="0"/>
            <w:vAlign w:val="top"/>
          </w:tcPr>
          <w:p>
            <w:pPr>
              <w:pStyle w:val="21"/>
              <w:kinsoku w:val="0"/>
              <w:overflowPunct w:val="0"/>
              <w:spacing w:before="56"/>
              <w:ind w:left="102"/>
              <w:rPr>
                <w:rFonts w:hint="default" w:ascii="宋体" w:hAnsi="宋体" w:eastAsia="宋体" w:cs="宋体"/>
                <w:highlight w:val="none"/>
                <w:lang w:val="en-US" w:eastAsia="zh-CN"/>
              </w:rPr>
            </w:pPr>
            <w:r>
              <w:rPr>
                <w:rFonts w:hint="eastAsia" w:ascii="宋体" w:hAnsi="宋体" w:eastAsia="宋体" w:cs="宋体"/>
                <w:b/>
                <w:bCs/>
                <w:highlight w:val="none"/>
              </w:rPr>
              <w:t>付款方式：</w:t>
            </w:r>
            <w:r>
              <w:rPr>
                <w:rFonts w:hint="eastAsia" w:ascii="宋体" w:hAnsi="宋体" w:eastAsia="宋体" w:cs="宋体"/>
                <w:highlight w:val="none"/>
                <w:lang w:val="en-US" w:eastAsia="zh-CN"/>
              </w:rPr>
              <w:t>见采购需求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noWrap w:val="0"/>
            <w:vAlign w:val="center"/>
          </w:tcPr>
          <w:p>
            <w:pPr>
              <w:pStyle w:val="21"/>
              <w:kinsoku w:val="0"/>
              <w:overflowPunct w:val="0"/>
              <w:spacing w:before="73"/>
              <w:jc w:val="center"/>
              <w:rPr>
                <w:rFonts w:hint="eastAsia" w:ascii="宋体" w:hAnsi="宋体" w:eastAsia="宋体" w:cs="宋体"/>
                <w:highlight w:val="none"/>
              </w:rPr>
            </w:pPr>
            <w:r>
              <w:rPr>
                <w:rFonts w:hint="eastAsia" w:ascii="宋体" w:hAnsi="宋体" w:eastAsia="宋体" w:cs="宋体"/>
                <w:highlight w:val="none"/>
              </w:rPr>
              <w:t>26</w:t>
            </w:r>
          </w:p>
        </w:tc>
        <w:tc>
          <w:tcPr>
            <w:tcW w:w="8475" w:type="dxa"/>
            <w:noWrap w:val="0"/>
            <w:vAlign w:val="top"/>
          </w:tcPr>
          <w:p>
            <w:pPr>
              <w:pStyle w:val="21"/>
              <w:kinsoku w:val="0"/>
              <w:overflowPunct w:val="0"/>
              <w:spacing w:line="277" w:lineRule="exact"/>
              <w:ind w:left="102"/>
              <w:rPr>
                <w:rFonts w:hint="eastAsia" w:ascii="宋体" w:hAnsi="宋体" w:eastAsia="宋体" w:cs="宋体"/>
                <w:highlight w:val="none"/>
                <w:lang w:val="en-US" w:eastAsia="zh-CN"/>
              </w:rPr>
            </w:pPr>
            <w:r>
              <w:rPr>
                <w:rFonts w:hint="eastAsia" w:ascii="宋体" w:hAnsi="宋体" w:eastAsia="宋体" w:cs="宋体"/>
                <w:b/>
                <w:bCs/>
                <w:highlight w:val="none"/>
              </w:rPr>
              <w:t>★履约保证金：</w:t>
            </w:r>
            <w:r>
              <w:rPr>
                <w:rFonts w:hint="eastAsia" w:ascii="宋体" w:hAnsi="宋体" w:cs="宋体"/>
                <w:b/>
                <w:bCs/>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5" w:hRule="atLeast"/>
          <w:jc w:val="center"/>
        </w:trPr>
        <w:tc>
          <w:tcPr>
            <w:tcW w:w="672" w:type="dxa"/>
            <w:noWrap w:val="0"/>
            <w:vAlign w:val="center"/>
          </w:tcPr>
          <w:p>
            <w:pPr>
              <w:pStyle w:val="21"/>
              <w:kinsoku w:val="0"/>
              <w:overflowPunct w:val="0"/>
              <w:spacing w:before="73"/>
              <w:jc w:val="center"/>
              <w:rPr>
                <w:rFonts w:hint="eastAsia" w:ascii="宋体" w:hAnsi="宋体" w:eastAsia="宋体" w:cs="宋体"/>
                <w:highlight w:val="none"/>
              </w:rPr>
            </w:pPr>
            <w:r>
              <w:rPr>
                <w:rFonts w:hint="eastAsia" w:ascii="宋体" w:hAnsi="宋体" w:eastAsia="宋体" w:cs="宋体"/>
                <w:highlight w:val="none"/>
              </w:rPr>
              <w:t>27</w:t>
            </w:r>
          </w:p>
        </w:tc>
        <w:tc>
          <w:tcPr>
            <w:tcW w:w="8475" w:type="dxa"/>
            <w:noWrap w:val="0"/>
            <w:vAlign w:val="top"/>
          </w:tcPr>
          <w:p>
            <w:pPr>
              <w:pStyle w:val="21"/>
              <w:kinsoku w:val="0"/>
              <w:overflowPunct w:val="0"/>
              <w:spacing w:line="274" w:lineRule="exact"/>
              <w:ind w:left="102"/>
              <w:rPr>
                <w:rFonts w:hint="eastAsia" w:ascii="宋体" w:hAnsi="宋体" w:eastAsia="宋体" w:cs="宋体"/>
                <w:highlight w:val="none"/>
              </w:rPr>
            </w:pPr>
            <w:r>
              <w:rPr>
                <w:rFonts w:hint="eastAsia" w:ascii="宋体" w:hAnsi="宋体" w:eastAsia="宋体" w:cs="宋体"/>
                <w:b/>
                <w:bCs/>
                <w:highlight w:val="none"/>
              </w:rPr>
              <w:t>代理服务费</w:t>
            </w:r>
            <w:r>
              <w:rPr>
                <w:rFonts w:hint="eastAsia" w:ascii="宋体" w:hAnsi="宋体" w:eastAsia="宋体" w:cs="宋体"/>
                <w:highlight w:val="none"/>
              </w:rPr>
              <w:t>：</w:t>
            </w:r>
          </w:p>
          <w:p>
            <w:pPr>
              <w:pStyle w:val="21"/>
              <w:kinsoku w:val="0"/>
              <w:overflowPunct w:val="0"/>
              <w:spacing w:line="276" w:lineRule="exact"/>
              <w:ind w:left="102" w:firstLine="472" w:firstLineChars="200"/>
              <w:rPr>
                <w:rFonts w:hint="eastAsia" w:ascii="宋体" w:hAnsi="宋体" w:eastAsia="宋体" w:cs="宋体"/>
                <w:highlight w:val="none"/>
              </w:rPr>
            </w:pPr>
            <w:r>
              <w:rPr>
                <w:rFonts w:hint="eastAsia" w:ascii="宋体" w:hAnsi="宋体" w:eastAsia="宋体" w:cs="宋体"/>
                <w:spacing w:val="-2"/>
                <w:highlight w:val="none"/>
              </w:rPr>
              <w:t>参照国家计委《招标代理服务收费管理暂行办法》(计价格﹝2002﹞1980 号)所规定</w:t>
            </w:r>
            <w:r>
              <w:rPr>
                <w:rFonts w:hint="eastAsia" w:ascii="宋体" w:hAnsi="宋体" w:cs="宋体"/>
                <w:spacing w:val="-2"/>
                <w:highlight w:val="none"/>
                <w:lang w:val="en-US" w:eastAsia="zh-CN"/>
              </w:rPr>
              <w:t>及与采购方签订合同所规定的费率</w:t>
            </w:r>
            <w:r>
              <w:rPr>
                <w:rFonts w:hint="eastAsia" w:ascii="宋体" w:hAnsi="宋体" w:eastAsia="宋体" w:cs="宋体"/>
                <w:spacing w:val="-2"/>
                <w:highlight w:val="none"/>
              </w:rPr>
              <w:t>取费，由中标人支付，该代理服务费在中标人领取中标通知书时向招标代理机构缴纳。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noWrap w:val="0"/>
            <w:vAlign w:val="center"/>
          </w:tcPr>
          <w:p>
            <w:pPr>
              <w:pStyle w:val="21"/>
              <w:kinsoku w:val="0"/>
              <w:overflowPunct w:val="0"/>
              <w:spacing w:before="73"/>
              <w:jc w:val="center"/>
              <w:rPr>
                <w:rFonts w:hint="eastAsia" w:ascii="宋体" w:hAnsi="宋体" w:eastAsia="宋体" w:cs="宋体"/>
                <w:highlight w:val="none"/>
              </w:rPr>
            </w:pPr>
            <w:r>
              <w:rPr>
                <w:rFonts w:hint="eastAsia" w:ascii="宋体" w:hAnsi="宋体" w:eastAsia="宋体" w:cs="宋体"/>
                <w:highlight w:val="none"/>
              </w:rPr>
              <w:t>28</w:t>
            </w:r>
          </w:p>
        </w:tc>
        <w:tc>
          <w:tcPr>
            <w:tcW w:w="8475" w:type="dxa"/>
            <w:noWrap w:val="0"/>
            <w:vAlign w:val="top"/>
          </w:tcPr>
          <w:p>
            <w:pPr>
              <w:pStyle w:val="21"/>
              <w:kinsoku w:val="0"/>
              <w:overflowPunct w:val="0"/>
              <w:spacing w:line="277" w:lineRule="exact"/>
              <w:ind w:left="102"/>
              <w:rPr>
                <w:rFonts w:hint="eastAsia" w:ascii="宋体" w:hAnsi="宋体" w:eastAsia="宋体" w:cs="宋体"/>
                <w:highlight w:val="none"/>
              </w:rPr>
            </w:pPr>
            <w:r>
              <w:rPr>
                <w:rFonts w:hint="eastAsia" w:ascii="宋体" w:hAnsi="宋体" w:eastAsia="宋体" w:cs="宋体"/>
                <w:b/>
                <w:bCs/>
                <w:highlight w:val="none"/>
              </w:rPr>
              <w:t>采购项目需要落实的政府采购政策:</w:t>
            </w:r>
          </w:p>
          <w:p>
            <w:pPr>
              <w:pStyle w:val="21"/>
              <w:kinsoku w:val="0"/>
              <w:overflowPunct w:val="0"/>
              <w:spacing w:before="38"/>
              <w:ind w:left="102" w:firstLine="472" w:firstLineChars="200"/>
              <w:rPr>
                <w:rFonts w:ascii="宋体" w:hAnsi="宋体" w:cs="宋体"/>
                <w:spacing w:val="-2"/>
              </w:rPr>
            </w:pPr>
            <w:r>
              <w:rPr>
                <w:rFonts w:hint="eastAsia" w:ascii="宋体" w:hAnsi="宋体" w:cs="宋体"/>
                <w:spacing w:val="-2"/>
              </w:rPr>
              <w:t>1、根据</w:t>
            </w:r>
            <w:r>
              <w:rPr>
                <w:rFonts w:hint="eastAsia" w:ascii="宋体" w:hAnsi="宋体" w:cs="宋体"/>
              </w:rPr>
              <w:t>《新财购〔2022〕22</w:t>
            </w:r>
            <w:r>
              <w:rPr>
                <w:rFonts w:hint="eastAsia" w:ascii="宋体" w:hAnsi="宋体" w:cs="宋体"/>
                <w:spacing w:val="-2"/>
              </w:rPr>
              <w:t>号》文件规定，适用政府采购法的政府采购项目对小微企业报价给予10%-20%的扣除；大中型企业与小微企业组成联合体或大中型企业向小微企业分包的，评审给予4%-6%的价格扣除，用扣除后的价格参与评审。</w:t>
            </w:r>
          </w:p>
          <w:p>
            <w:pPr>
              <w:pStyle w:val="21"/>
              <w:kinsoku w:val="0"/>
              <w:overflowPunct w:val="0"/>
              <w:spacing w:before="38"/>
              <w:ind w:left="102" w:firstLine="472" w:firstLineChars="200"/>
              <w:rPr>
                <w:rFonts w:ascii="宋体" w:hAnsi="宋体" w:cs="宋体"/>
                <w:spacing w:val="-2"/>
              </w:rPr>
            </w:pPr>
            <w:r>
              <w:rPr>
                <w:rFonts w:hint="eastAsia" w:ascii="宋体" w:hAnsi="宋体" w:cs="宋体"/>
                <w:spacing w:val="-2"/>
              </w:rPr>
              <w:t>适用招标投标法的政府采购工程建设项目，采用综合评估法但未采用低价优先法计算价格分的，评标时应当在采用原报价进行评分的基础上阶段性增加其价格得分的6%-10%作为其价格分。</w:t>
            </w:r>
          </w:p>
          <w:p>
            <w:pPr>
              <w:pStyle w:val="21"/>
              <w:kinsoku w:val="0"/>
              <w:overflowPunct w:val="0"/>
              <w:spacing w:before="38"/>
              <w:ind w:left="102" w:firstLine="472" w:firstLineChars="200"/>
              <w:rPr>
                <w:rFonts w:hint="eastAsia" w:ascii="宋体" w:hAnsi="宋体" w:eastAsia="宋体" w:cs="宋体"/>
                <w:spacing w:val="-2"/>
                <w:highlight w:val="none"/>
              </w:rPr>
            </w:pPr>
            <w:r>
              <w:rPr>
                <w:rFonts w:hint="eastAsia" w:ascii="宋体" w:hAnsi="宋体" w:cs="宋体"/>
                <w:spacing w:val="-2"/>
              </w:rPr>
              <w:t>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的扣除，用扣除后的价格参加评审。具体办法详见竞争性磋商文件评标办法和标准；</w:t>
            </w:r>
          </w:p>
          <w:p>
            <w:pPr>
              <w:pStyle w:val="21"/>
              <w:kinsoku w:val="0"/>
              <w:overflowPunct w:val="0"/>
              <w:spacing w:before="38"/>
              <w:ind w:left="102" w:firstLine="472" w:firstLineChars="200"/>
              <w:rPr>
                <w:rFonts w:hint="eastAsia" w:ascii="宋体" w:hAnsi="宋体" w:eastAsia="宋体" w:cs="宋体"/>
                <w:spacing w:val="-2"/>
                <w:highlight w:val="none"/>
              </w:rPr>
            </w:pPr>
            <w:r>
              <w:rPr>
                <w:rFonts w:hint="eastAsia" w:ascii="宋体" w:hAnsi="宋体" w:eastAsia="宋体" w:cs="宋体"/>
                <w:spacing w:val="-2"/>
                <w:highlight w:val="none"/>
              </w:rPr>
              <w:t>2、根据《财政部民政部中国残疾人联合会关于促进残疾人就业政府采购政策的通知》（财库【2017】141 号）文件规定，对满足价格扣除条件且在磋商响应性文件中提交了《残疾人福利性单位声明函》等证明文件的投标人，其投标报价扣除 6%-10%后参与评审。具体办法详见竞争性磋商文件评标办法和标准。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noWrap w:val="0"/>
            <w:vAlign w:val="center"/>
          </w:tcPr>
          <w:p>
            <w:pPr>
              <w:pStyle w:val="21"/>
              <w:kinsoku w:val="0"/>
              <w:overflowPunct w:val="0"/>
              <w:spacing w:before="73"/>
              <w:jc w:val="center"/>
              <w:rPr>
                <w:rFonts w:hint="eastAsia" w:ascii="宋体" w:hAnsi="宋体" w:eastAsia="宋体" w:cs="宋体"/>
                <w:highlight w:val="none"/>
              </w:rPr>
            </w:pPr>
            <w:r>
              <w:rPr>
                <w:rFonts w:hint="eastAsia" w:ascii="宋体" w:hAnsi="宋体" w:eastAsia="宋体" w:cs="宋体"/>
                <w:highlight w:val="none"/>
              </w:rPr>
              <w:t>29</w:t>
            </w:r>
          </w:p>
        </w:tc>
        <w:tc>
          <w:tcPr>
            <w:tcW w:w="8475" w:type="dxa"/>
            <w:noWrap w:val="0"/>
            <w:vAlign w:val="top"/>
          </w:tcPr>
          <w:p>
            <w:pPr>
              <w:pStyle w:val="21"/>
              <w:kinsoku w:val="0"/>
              <w:overflowPunct w:val="0"/>
              <w:spacing w:line="277" w:lineRule="exact"/>
              <w:ind w:left="102"/>
              <w:rPr>
                <w:rFonts w:hint="eastAsia" w:ascii="宋体" w:hAnsi="宋体" w:eastAsia="宋体" w:cs="宋体"/>
                <w:b/>
                <w:bCs/>
                <w:highlight w:val="none"/>
              </w:rPr>
            </w:pPr>
            <w:r>
              <w:rPr>
                <w:rFonts w:hint="eastAsia" w:ascii="宋体" w:hAnsi="宋体" w:eastAsia="宋体" w:cs="宋体"/>
                <w:b/>
                <w:bCs/>
                <w:highlight w:val="none"/>
              </w:rPr>
              <w:t>磋商响应性文件递交</w:t>
            </w:r>
            <w:bookmarkStart w:id="48" w:name="（二）供应商须知"/>
            <w:bookmarkEnd w:id="48"/>
            <w:bookmarkStart w:id="49" w:name="bookmark3"/>
            <w:bookmarkEnd w:id="49"/>
            <w:r>
              <w:rPr>
                <w:rFonts w:hint="eastAsia" w:ascii="宋体" w:hAnsi="宋体" w:eastAsia="宋体" w:cs="宋体"/>
                <w:b/>
                <w:bCs/>
                <w:highlight w:val="none"/>
              </w:rPr>
              <w:t xml:space="preserve">要求： </w:t>
            </w:r>
          </w:p>
          <w:p>
            <w:pPr>
              <w:pStyle w:val="21"/>
              <w:kinsoku w:val="0"/>
              <w:overflowPunct w:val="0"/>
              <w:spacing w:before="38"/>
              <w:ind w:left="102" w:firstLine="472" w:firstLineChars="200"/>
              <w:rPr>
                <w:rFonts w:hint="eastAsia" w:ascii="宋体" w:hAnsi="宋体" w:eastAsia="宋体" w:cs="宋体"/>
                <w:highlight w:val="none"/>
              </w:rPr>
            </w:pPr>
            <w:r>
              <w:rPr>
                <w:rFonts w:hint="eastAsia" w:ascii="宋体" w:hAnsi="宋体" w:eastAsia="宋体" w:cs="宋体"/>
                <w:spacing w:val="-2"/>
                <w:highlight w:val="none"/>
              </w:rPr>
              <w:t>供应商参加磋商时，供应商的法定代表人或委托代理人在开标时必须到达现场，并提供授权委托书原件和有效的居民身份证备验，现场核查后，方可接收投标人的磋商响应性文件；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noWrap w:val="0"/>
            <w:vAlign w:val="center"/>
          </w:tcPr>
          <w:p>
            <w:pPr>
              <w:pStyle w:val="21"/>
              <w:kinsoku w:val="0"/>
              <w:overflowPunct w:val="0"/>
              <w:spacing w:before="73"/>
              <w:jc w:val="center"/>
              <w:rPr>
                <w:rFonts w:hint="default" w:ascii="宋体" w:hAnsi="宋体" w:eastAsia="宋体" w:cs="宋体"/>
                <w:highlight w:val="none"/>
                <w:lang w:val="en-US" w:eastAsia="zh-CN"/>
              </w:rPr>
            </w:pPr>
            <w:r>
              <w:rPr>
                <w:rFonts w:hint="eastAsia" w:ascii="宋体" w:hAnsi="宋体" w:cs="宋体"/>
                <w:highlight w:val="none"/>
                <w:lang w:val="en-US" w:eastAsia="zh-CN"/>
              </w:rPr>
              <w:t>30</w:t>
            </w:r>
          </w:p>
        </w:tc>
        <w:tc>
          <w:tcPr>
            <w:tcW w:w="8475" w:type="dxa"/>
            <w:noWrap w:val="0"/>
            <w:vAlign w:val="top"/>
          </w:tcPr>
          <w:p>
            <w:pPr>
              <w:pStyle w:val="21"/>
              <w:kinsoku w:val="0"/>
              <w:overflowPunct w:val="0"/>
              <w:spacing w:before="38"/>
              <w:ind w:left="102" w:firstLine="472" w:firstLineChars="200"/>
              <w:rPr>
                <w:rFonts w:hint="eastAsia" w:ascii="宋体" w:hAnsi="宋体" w:eastAsia="宋体" w:cs="宋体"/>
                <w:spacing w:val="-2"/>
                <w:highlight w:val="none"/>
                <w:lang w:eastAsia="zh-CN"/>
              </w:rPr>
            </w:pPr>
            <w:r>
              <w:rPr>
                <w:rFonts w:hint="eastAsia" w:ascii="宋体" w:hAnsi="宋体" w:cs="宋体"/>
                <w:spacing w:val="-2"/>
                <w:highlight w:val="none"/>
                <w:lang w:eastAsia="zh-CN"/>
              </w:rPr>
              <w:t>关于放弃磋商：</w:t>
            </w:r>
            <w:r>
              <w:rPr>
                <w:rFonts w:hint="eastAsia" w:ascii="宋体" w:hAnsi="宋体" w:eastAsia="宋体" w:cs="宋体"/>
                <w:b w:val="0"/>
                <w:bCs w:val="0"/>
                <w:color w:val="auto"/>
                <w:kern w:val="0"/>
                <w:sz w:val="24"/>
                <w:szCs w:val="24"/>
                <w:highlight w:val="none"/>
                <w:lang w:val="en-US" w:eastAsia="zh-CN"/>
              </w:rPr>
              <w:t>供应商获取</w:t>
            </w:r>
            <w:r>
              <w:rPr>
                <w:rFonts w:hint="eastAsia" w:cs="宋体"/>
                <w:b w:val="0"/>
                <w:bCs w:val="0"/>
                <w:color w:val="auto"/>
                <w:kern w:val="0"/>
                <w:sz w:val="24"/>
                <w:szCs w:val="24"/>
                <w:highlight w:val="none"/>
                <w:lang w:val="en-US" w:eastAsia="zh-CN"/>
              </w:rPr>
              <w:t>磋商</w:t>
            </w:r>
            <w:r>
              <w:rPr>
                <w:rFonts w:hint="eastAsia" w:ascii="宋体" w:hAnsi="宋体" w:eastAsia="宋体" w:cs="宋体"/>
                <w:b w:val="0"/>
                <w:bCs w:val="0"/>
                <w:color w:val="auto"/>
                <w:kern w:val="0"/>
                <w:sz w:val="24"/>
                <w:szCs w:val="24"/>
                <w:highlight w:val="none"/>
                <w:lang w:val="en-US" w:eastAsia="zh-CN"/>
              </w:rPr>
              <w:t>文件后如放弃</w:t>
            </w:r>
            <w:r>
              <w:rPr>
                <w:rFonts w:hint="eastAsia" w:cs="宋体"/>
                <w:b w:val="0"/>
                <w:bCs w:val="0"/>
                <w:color w:val="auto"/>
                <w:kern w:val="0"/>
                <w:sz w:val="24"/>
                <w:szCs w:val="24"/>
                <w:highlight w:val="none"/>
                <w:lang w:val="en-US" w:eastAsia="zh-CN"/>
              </w:rPr>
              <w:t>磋商</w:t>
            </w:r>
            <w:r>
              <w:rPr>
                <w:rFonts w:hint="eastAsia" w:ascii="宋体" w:hAnsi="宋体" w:eastAsia="宋体" w:cs="宋体"/>
                <w:b w:val="0"/>
                <w:bCs w:val="0"/>
                <w:color w:val="auto"/>
                <w:kern w:val="0"/>
                <w:sz w:val="24"/>
                <w:szCs w:val="24"/>
                <w:highlight w:val="none"/>
                <w:lang w:val="en-US" w:eastAsia="zh-CN"/>
              </w:rPr>
              <w:t>，需在提交响应文件截止前</w:t>
            </w:r>
            <w:r>
              <w:rPr>
                <w:rFonts w:hint="eastAsia" w:ascii="宋体" w:hAnsi="宋体" w:cs="宋体"/>
                <w:b w:val="0"/>
                <w:bCs w:val="0"/>
                <w:color w:val="auto"/>
                <w:kern w:val="0"/>
                <w:sz w:val="24"/>
                <w:szCs w:val="24"/>
                <w:highlight w:val="none"/>
                <w:lang w:val="en-US" w:eastAsia="zh-CN"/>
              </w:rPr>
              <w:t>1</w:t>
            </w:r>
            <w:r>
              <w:rPr>
                <w:rFonts w:hint="eastAsia" w:ascii="宋体" w:hAnsi="宋体" w:eastAsia="宋体" w:cs="宋体"/>
                <w:b w:val="0"/>
                <w:bCs w:val="0"/>
                <w:color w:val="auto"/>
                <w:kern w:val="0"/>
                <w:sz w:val="24"/>
                <w:szCs w:val="24"/>
                <w:highlight w:val="none"/>
                <w:lang w:val="en-US" w:eastAsia="zh-CN"/>
              </w:rPr>
              <w:t>日提交书面弃标函（如不然，将承担相应的失信</w:t>
            </w:r>
            <w:r>
              <w:rPr>
                <w:rFonts w:hint="eastAsia" w:cs="宋体"/>
                <w:b w:val="0"/>
                <w:bCs w:val="0"/>
                <w:color w:val="auto"/>
                <w:kern w:val="0"/>
                <w:sz w:val="24"/>
                <w:szCs w:val="24"/>
                <w:highlight w:val="none"/>
                <w:lang w:val="en-US" w:eastAsia="zh-CN"/>
              </w:rPr>
              <w:t>后</w:t>
            </w:r>
            <w:r>
              <w:rPr>
                <w:rFonts w:hint="eastAsia" w:ascii="宋体" w:hAnsi="宋体" w:eastAsia="宋体" w:cs="宋体"/>
                <w:b w:val="0"/>
                <w:bCs w:val="0"/>
                <w:color w:val="auto"/>
                <w:kern w:val="0"/>
                <w:sz w:val="24"/>
                <w:szCs w:val="24"/>
                <w:highlight w:val="none"/>
                <w:lang w:val="en-US" w:eastAsia="zh-CN"/>
              </w:rPr>
              <w:t>果）。</w:t>
            </w:r>
          </w:p>
        </w:tc>
      </w:tr>
    </w:tbl>
    <w:p>
      <w:pPr>
        <w:rPr>
          <w:rFonts w:hint="eastAsia" w:ascii="宋体" w:hAnsi="宋体" w:eastAsia="宋体" w:cs="宋体"/>
          <w:highlight w:val="none"/>
        </w:rPr>
      </w:pPr>
    </w:p>
    <w:p>
      <w:pPr>
        <w:pStyle w:val="4"/>
        <w:rPr>
          <w:rFonts w:hint="eastAsia" w:ascii="宋体" w:hAnsi="宋体" w:eastAsia="宋体" w:cs="宋体"/>
          <w:color w:val="000000"/>
          <w:highlight w:val="none"/>
        </w:rPr>
      </w:pPr>
      <w:r>
        <w:rPr>
          <w:rFonts w:hint="eastAsia" w:ascii="宋体" w:hAnsi="宋体" w:eastAsia="宋体" w:cs="宋体"/>
          <w:highlight w:val="none"/>
        </w:rPr>
        <w:br w:type="page"/>
      </w:r>
      <w:bookmarkStart w:id="50" w:name="_Toc24361"/>
      <w:r>
        <w:rPr>
          <w:rFonts w:hint="eastAsia" w:ascii="宋体" w:hAnsi="宋体" w:eastAsia="宋体" w:cs="宋体"/>
          <w:color w:val="000000"/>
          <w:highlight w:val="none"/>
        </w:rPr>
        <w:t>（二）供应商须知</w:t>
      </w:r>
      <w:bookmarkEnd w:id="50"/>
    </w:p>
    <w:p>
      <w:pPr>
        <w:pStyle w:val="8"/>
        <w:kinsoku w:val="0"/>
        <w:overflowPunct w:val="0"/>
        <w:spacing w:before="47" w:line="264" w:lineRule="auto"/>
        <w:ind w:right="5041"/>
        <w:rPr>
          <w:rFonts w:hint="eastAsia" w:ascii="宋体" w:hAnsi="宋体" w:eastAsia="宋体" w:cs="宋体"/>
          <w:b/>
          <w:bCs/>
          <w:color w:val="000000"/>
          <w:highlight w:val="none"/>
        </w:rPr>
      </w:pPr>
      <w:r>
        <w:rPr>
          <w:rFonts w:hint="eastAsia" w:ascii="宋体" w:hAnsi="宋体" w:eastAsia="宋体" w:cs="宋体"/>
          <w:b/>
          <w:bCs/>
          <w:color w:val="000000"/>
          <w:highlight w:val="none"/>
        </w:rPr>
        <w:t>1、综合说明</w:t>
      </w:r>
    </w:p>
    <w:p>
      <w:pPr>
        <w:pStyle w:val="8"/>
        <w:kinsoku w:val="0"/>
        <w:overflowPunct w:val="0"/>
        <w:spacing w:before="130" w:line="355" w:lineRule="auto"/>
        <w:ind w:left="0"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本项目按照《中华人民共和国政府采购法》、《中华人民共和国政府采购法实施条 例》、《政府采购货物和服务招标投标管理办法》、《政府购买服务管理办法（暂行）》、《政府采购竞争性磋商采购方式管理暂行办法》、《财政部关于政府采购竞争性磋商采购方式管理暂行办法有关问题的补充通知》及相关法规，已办理政府采购相关手续，并得到行业主管部门批准，现通过招标来择优选定为本项目提供服务的供应商。本竞争性磋商文件包括本文所列内容及按本须知发出的全部和补充资料。供应商应认真阅读本竞争性磋商文件中所有的事项、格式、条款、技术规范等实质性的条件和要求，并熟悉本招标项目的全部内容及与履行合同有关的全部内容，熟悉竞争性磋商文件的格式、条件和范围。供应商没有按照竞争性磋商文件的要求提交相关资料，或者供应商没有对竞争性磋商文件相关内容都做出实质性响应是供应商的风险，并可能导致其投标无效，其风险由投标供应商自行承担。</w:t>
      </w:r>
    </w:p>
    <w:p>
      <w:pPr>
        <w:pStyle w:val="8"/>
        <w:kinsoku w:val="0"/>
        <w:overflowPunct w:val="0"/>
        <w:spacing w:before="47" w:line="264" w:lineRule="auto"/>
        <w:ind w:right="5041"/>
        <w:rPr>
          <w:rFonts w:hint="eastAsia" w:ascii="宋体" w:hAnsi="宋体" w:eastAsia="宋体" w:cs="宋体"/>
          <w:b/>
          <w:bCs/>
          <w:color w:val="000000"/>
          <w:highlight w:val="none"/>
        </w:rPr>
      </w:pPr>
      <w:r>
        <w:rPr>
          <w:rFonts w:hint="eastAsia" w:ascii="宋体" w:hAnsi="宋体" w:eastAsia="宋体" w:cs="宋体"/>
          <w:b/>
          <w:bCs/>
          <w:color w:val="000000"/>
          <w:highlight w:val="none"/>
        </w:rPr>
        <w:t>2.适用范围</w:t>
      </w:r>
    </w:p>
    <w:p>
      <w:pPr>
        <w:pStyle w:val="8"/>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本竞争性磋商文件仅适用于本次磋商所叙述的磋商项目。</w:t>
      </w:r>
    </w:p>
    <w:p>
      <w:pPr>
        <w:pStyle w:val="8"/>
        <w:kinsoku w:val="0"/>
        <w:overflowPunct w:val="0"/>
        <w:spacing w:before="38"/>
        <w:rPr>
          <w:rFonts w:hint="eastAsia" w:ascii="宋体" w:hAnsi="宋体" w:eastAsia="宋体" w:cs="宋体"/>
          <w:color w:val="000000"/>
          <w:highlight w:val="none"/>
        </w:rPr>
      </w:pPr>
      <w:r>
        <w:rPr>
          <w:rFonts w:hint="eastAsia" w:ascii="宋体" w:hAnsi="宋体" w:eastAsia="宋体" w:cs="宋体"/>
          <w:b/>
          <w:bCs/>
          <w:color w:val="000000"/>
          <w:spacing w:val="-1"/>
          <w:highlight w:val="none"/>
        </w:rPr>
        <w:t>3.定义</w:t>
      </w:r>
    </w:p>
    <w:p>
      <w:pPr>
        <w:pStyle w:val="8"/>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3.1 “政府采购当事人”系指在政府采购活动中享有权利和承担义务的各类主体，包括采购人、供应商和招标代理机构。</w:t>
      </w:r>
    </w:p>
    <w:p>
      <w:pPr>
        <w:pStyle w:val="8"/>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3.2 “采购人”系指</w:t>
      </w:r>
      <w:r>
        <w:rPr>
          <w:rFonts w:hint="eastAsia" w:ascii="宋体" w:hAnsi="宋体" w:eastAsia="宋体" w:cs="宋体"/>
          <w:color w:val="000000"/>
          <w:spacing w:val="4"/>
          <w:highlight w:val="none"/>
          <w:lang w:eastAsia="zh-CN"/>
        </w:rPr>
        <w:t>新疆维吾尔自治区文化和旅游厅</w:t>
      </w:r>
      <w:r>
        <w:rPr>
          <w:rFonts w:hint="eastAsia" w:ascii="宋体" w:hAnsi="宋体" w:eastAsia="宋体" w:cs="宋体"/>
          <w:color w:val="000000"/>
          <w:spacing w:val="4"/>
          <w:highlight w:val="none"/>
        </w:rPr>
        <w:t>；</w:t>
      </w:r>
    </w:p>
    <w:p>
      <w:pPr>
        <w:pStyle w:val="8"/>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3.3 “招标代理机构”系指</w:t>
      </w:r>
      <w:r>
        <w:rPr>
          <w:rFonts w:hint="eastAsia" w:asciiTheme="minorEastAsia" w:hAnsiTheme="minorEastAsia" w:eastAsiaTheme="minorEastAsia" w:cstheme="minorEastAsia"/>
          <w:color w:val="auto"/>
          <w:sz w:val="24"/>
          <w:highlight w:val="none"/>
          <w:lang w:eastAsia="zh-CN"/>
        </w:rPr>
        <w:t>新疆天之源项目管理集团有限公司</w:t>
      </w:r>
      <w:r>
        <w:rPr>
          <w:rFonts w:hint="eastAsia" w:ascii="宋体" w:hAnsi="宋体" w:eastAsia="宋体" w:cs="宋体"/>
          <w:color w:val="000000"/>
          <w:spacing w:val="4"/>
          <w:highlight w:val="none"/>
        </w:rPr>
        <w:t>；</w:t>
      </w:r>
    </w:p>
    <w:p>
      <w:pPr>
        <w:pStyle w:val="8"/>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3.4 “供应商、磋商单位、响应人”系指符合本磋商项目资质要求，参加磋商竞争的法人机构或其他组织。</w:t>
      </w:r>
    </w:p>
    <w:p>
      <w:pPr>
        <w:pStyle w:val="8"/>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3.5 “竞争性磋商文件”系指由采购人和招标代理机构发出的文本、文件，包括全部章节和附件及答疑会议纪要。</w:t>
      </w:r>
    </w:p>
    <w:p>
      <w:pPr>
        <w:pStyle w:val="8"/>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3.6 “磋商响应性文件”系指供应商根据本《竞争性磋商文件》向采购人提交的全部文件。</w:t>
      </w:r>
    </w:p>
    <w:p>
      <w:pPr>
        <w:pStyle w:val="8"/>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3.7 “采购文件”系指包括采购活动的记录、采购预算、竞争性磋商文件、磋商响应性文件、评标标准、评估报告、定标文件、合同文本、验收证明、质疑答复、投诉处理决定及其他有关文件、资料。</w:t>
      </w:r>
    </w:p>
    <w:p>
      <w:pPr>
        <w:pStyle w:val="8"/>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3.8 “书面形式”系指任何手写、打印或印刷的各种函件，不包括电传、电报、传真、电子邮件。</w:t>
      </w:r>
    </w:p>
    <w:p>
      <w:pPr>
        <w:pStyle w:val="8"/>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3.9 “货物”系指供应商中标后根据竞争性磋商文件和合同的规定须向采购人提供的各种形态和种类的货物。</w:t>
      </w:r>
    </w:p>
    <w:p>
      <w:pPr>
        <w:pStyle w:val="8"/>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3.10 “服务”系指供应商中标后根据竞争性磋商文件和合同的规定承担有关的服务。</w:t>
      </w:r>
    </w:p>
    <w:p>
      <w:pPr>
        <w:pStyle w:val="8"/>
        <w:kinsoku w:val="0"/>
        <w:overflowPunct w:val="0"/>
        <w:spacing w:before="38"/>
        <w:rPr>
          <w:rFonts w:hint="eastAsia" w:ascii="宋体" w:hAnsi="宋体" w:eastAsia="宋体" w:cs="宋体"/>
          <w:color w:val="000000"/>
          <w:highlight w:val="none"/>
        </w:rPr>
      </w:pPr>
      <w:r>
        <w:rPr>
          <w:rFonts w:hint="eastAsia" w:ascii="宋体" w:hAnsi="宋体" w:eastAsia="宋体" w:cs="宋体"/>
          <w:b/>
          <w:bCs/>
          <w:color w:val="000000"/>
          <w:highlight w:val="none"/>
        </w:rPr>
        <w:t>4.合格的供应商</w:t>
      </w:r>
    </w:p>
    <w:p>
      <w:pPr>
        <w:pStyle w:val="8"/>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4.1 具备“供应商须知前附表”第六款的基本条件；</w:t>
      </w:r>
    </w:p>
    <w:p>
      <w:pPr>
        <w:pStyle w:val="8"/>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4.2 凡是符合国家工商行政管理部门登记审核，具有相应生产经营许可的，有一定技术实力和生产规模，并有能力提供招标货物的</w:t>
      </w:r>
      <w:r>
        <w:rPr>
          <w:rFonts w:hint="eastAsia" w:ascii="宋体" w:hAnsi="宋体" w:eastAsia="宋体" w:cs="宋体"/>
          <w:color w:val="000000"/>
          <w:spacing w:val="4"/>
          <w:highlight w:val="none"/>
          <w:lang w:eastAsia="zh-CN"/>
        </w:rPr>
        <w:t>供应商</w:t>
      </w:r>
      <w:r>
        <w:rPr>
          <w:rFonts w:hint="eastAsia" w:ascii="宋体" w:hAnsi="宋体" w:eastAsia="宋体" w:cs="宋体"/>
          <w:color w:val="000000"/>
          <w:spacing w:val="4"/>
          <w:highlight w:val="none"/>
        </w:rPr>
        <w:t>。</w:t>
      </w:r>
    </w:p>
    <w:p>
      <w:pPr>
        <w:pStyle w:val="8"/>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4.3 投标单位不得直接或间接地与本次招标进行设计、编制规范和其他文件所委托的咨询公司或其附属机构有任何关联；</w:t>
      </w:r>
    </w:p>
    <w:p>
      <w:pPr>
        <w:pStyle w:val="8"/>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4.4 投标单位与采购人存在利害关系可能影响招标公正性的法人、其他组织或个人，不得参加投标。单位负责人为同一人或者存在控股、管理关系的不同单位，不得参加同一标段投标或者未划分标段的同一招标项目投标；</w:t>
      </w:r>
    </w:p>
    <w:p>
      <w:pPr>
        <w:pStyle w:val="8"/>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4.5 遵守国家有关的法律、法规和条例及《竞争性磋商文件》的规定。</w:t>
      </w:r>
    </w:p>
    <w:p>
      <w:pPr>
        <w:pStyle w:val="8"/>
        <w:kinsoku w:val="0"/>
        <w:overflowPunct w:val="0"/>
        <w:spacing w:before="151"/>
        <w:rPr>
          <w:rFonts w:hint="eastAsia" w:ascii="宋体" w:hAnsi="宋体" w:eastAsia="宋体" w:cs="宋体"/>
          <w:color w:val="000000"/>
          <w:highlight w:val="none"/>
        </w:rPr>
      </w:pPr>
      <w:r>
        <w:rPr>
          <w:rFonts w:hint="eastAsia" w:ascii="宋体" w:hAnsi="宋体" w:eastAsia="宋体" w:cs="宋体"/>
          <w:b/>
          <w:bCs/>
          <w:color w:val="000000"/>
          <w:highlight w:val="none"/>
        </w:rPr>
        <w:t>5.费用承担</w:t>
      </w:r>
    </w:p>
    <w:p>
      <w:pPr>
        <w:pStyle w:val="8"/>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供应商应承担与招标代理活动有关的一切费用。不论招标的结果如何，招标代理机构和采购人在任何情况下均无义务和责任承担这些费用。</w:t>
      </w:r>
    </w:p>
    <w:p>
      <w:pPr>
        <w:pStyle w:val="8"/>
        <w:kinsoku w:val="0"/>
        <w:overflowPunct w:val="0"/>
        <w:spacing w:before="38"/>
        <w:rPr>
          <w:rFonts w:hint="eastAsia" w:ascii="宋体" w:hAnsi="宋体" w:eastAsia="宋体" w:cs="宋体"/>
          <w:color w:val="000000"/>
          <w:highlight w:val="none"/>
        </w:rPr>
      </w:pPr>
      <w:r>
        <w:rPr>
          <w:rFonts w:hint="eastAsia" w:ascii="宋体" w:hAnsi="宋体" w:eastAsia="宋体" w:cs="宋体"/>
          <w:b/>
          <w:bCs/>
          <w:color w:val="000000"/>
          <w:highlight w:val="none"/>
        </w:rPr>
        <w:t>6.</w:t>
      </w:r>
      <w:r>
        <w:rPr>
          <w:rFonts w:hint="eastAsia" w:ascii="宋体" w:hAnsi="宋体" w:eastAsia="宋体" w:cs="宋体"/>
          <w:color w:val="000000"/>
          <w:spacing w:val="4"/>
          <w:kern w:val="2"/>
          <w:sz w:val="21"/>
          <w:szCs w:val="22"/>
          <w:highlight w:val="none"/>
        </w:rPr>
        <w:t xml:space="preserve"> </w:t>
      </w:r>
      <w:r>
        <w:rPr>
          <w:rFonts w:hint="eastAsia" w:ascii="宋体" w:hAnsi="宋体" w:eastAsia="宋体" w:cs="宋体"/>
          <w:b/>
          <w:bCs/>
          <w:color w:val="000000"/>
          <w:highlight w:val="none"/>
        </w:rPr>
        <w:t>招标代理服务费</w:t>
      </w:r>
    </w:p>
    <w:p>
      <w:pPr>
        <w:pStyle w:val="8"/>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bCs/>
          <w:color w:val="000000"/>
          <w:highlight w:val="none"/>
        </w:rPr>
        <w:t>成交供应商</w:t>
      </w:r>
      <w:r>
        <w:rPr>
          <w:rFonts w:hint="eastAsia" w:ascii="宋体" w:hAnsi="宋体" w:eastAsia="宋体" w:cs="宋体"/>
          <w:color w:val="000000"/>
          <w:spacing w:val="4"/>
          <w:highlight w:val="none"/>
        </w:rPr>
        <w:t>应承担所有与准备和参加磋商有关的费用。不论磋商的结果如何，招标代理机构和采购人均无义务和责任承担这些费用；</w:t>
      </w:r>
    </w:p>
    <w:p>
      <w:pPr>
        <w:pStyle w:val="8"/>
        <w:kinsoku w:val="0"/>
        <w:overflowPunct w:val="0"/>
        <w:spacing w:before="130" w:line="355" w:lineRule="auto"/>
        <w:ind w:right="7" w:firstLine="480"/>
        <w:rPr>
          <w:rFonts w:hint="eastAsia" w:ascii="宋体" w:hAnsi="宋体" w:eastAsia="宋体" w:cs="宋体"/>
          <w:bCs/>
          <w:color w:val="000000"/>
          <w:highlight w:val="none"/>
        </w:rPr>
      </w:pPr>
      <w:r>
        <w:rPr>
          <w:rFonts w:hint="eastAsia" w:ascii="宋体" w:hAnsi="宋体" w:eastAsia="宋体" w:cs="宋体"/>
          <w:bCs/>
          <w:color w:val="000000"/>
          <w:highlight w:val="none"/>
        </w:rPr>
        <w:t>成交供应商在领取《成交通知书》时须一次性付给采购代理单位采购代理服务费，招标代理服务费参照国家计委《招标代理服务收费管理暂行办法》(计价格﹝2002﹞1980 号)所规定取费。</w:t>
      </w:r>
    </w:p>
    <w:p>
      <w:pPr>
        <w:pStyle w:val="8"/>
        <w:kinsoku w:val="0"/>
        <w:overflowPunct w:val="0"/>
        <w:rPr>
          <w:rFonts w:hint="eastAsia" w:ascii="宋体" w:hAnsi="宋体" w:eastAsia="宋体" w:cs="宋体"/>
          <w:b/>
          <w:bCs/>
          <w:color w:val="000000"/>
          <w:highlight w:val="none"/>
        </w:rPr>
      </w:pPr>
      <w:r>
        <w:rPr>
          <w:rFonts w:hint="eastAsia" w:ascii="宋体" w:hAnsi="宋体" w:eastAsia="宋体" w:cs="宋体"/>
          <w:b/>
          <w:bCs/>
          <w:color w:val="000000"/>
          <w:spacing w:val="1"/>
          <w:highlight w:val="none"/>
        </w:rPr>
        <w:t>7.</w:t>
      </w:r>
      <w:r>
        <w:rPr>
          <w:rFonts w:hint="eastAsia" w:ascii="宋体" w:hAnsi="宋体" w:eastAsia="宋体" w:cs="宋体"/>
          <w:b/>
          <w:bCs/>
          <w:color w:val="000000"/>
          <w:spacing w:val="-23"/>
          <w:highlight w:val="none"/>
        </w:rPr>
        <w:t xml:space="preserve"> </w:t>
      </w:r>
      <w:r>
        <w:rPr>
          <w:rFonts w:hint="eastAsia" w:ascii="宋体" w:hAnsi="宋体" w:eastAsia="宋体" w:cs="宋体"/>
          <w:b/>
          <w:bCs/>
          <w:color w:val="000000"/>
          <w:highlight w:val="none"/>
        </w:rPr>
        <w:t>踏勘现场和答疑会</w:t>
      </w:r>
    </w:p>
    <w:p>
      <w:pPr>
        <w:pStyle w:val="8"/>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不组织</w:t>
      </w:r>
    </w:p>
    <w:p>
      <w:pPr>
        <w:pStyle w:val="8"/>
        <w:kinsoku w:val="0"/>
        <w:overflowPunct w:val="0"/>
        <w:spacing w:before="151" w:line="357" w:lineRule="auto"/>
        <w:ind w:right="963"/>
        <w:rPr>
          <w:rFonts w:hint="eastAsia" w:ascii="宋体" w:hAnsi="宋体" w:eastAsia="宋体" w:cs="宋体"/>
          <w:color w:val="000000"/>
          <w:highlight w:val="none"/>
        </w:rPr>
      </w:pPr>
      <w:r>
        <w:rPr>
          <w:rFonts w:hint="eastAsia" w:ascii="宋体" w:hAnsi="宋体" w:eastAsia="宋体" w:cs="宋体"/>
          <w:b/>
          <w:bCs/>
          <w:color w:val="000000"/>
          <w:highlight w:val="none"/>
        </w:rPr>
        <w:t>8．保密</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参与招标投标活动的各方应对竞争性磋商文件和磋商响应性文件中的商业和技术等秘密保密，违者应对由此造成的后果承担法律责任。</w:t>
      </w:r>
    </w:p>
    <w:p>
      <w:pPr>
        <w:pStyle w:val="8"/>
        <w:kinsoku w:val="0"/>
        <w:overflowPunct w:val="0"/>
        <w:spacing w:before="38"/>
        <w:rPr>
          <w:rFonts w:hint="eastAsia" w:ascii="宋体" w:hAnsi="宋体" w:eastAsia="宋体" w:cs="宋体"/>
          <w:highlight w:val="none"/>
        </w:rPr>
      </w:pPr>
      <w:r>
        <w:rPr>
          <w:rFonts w:hint="eastAsia" w:ascii="宋体" w:hAnsi="宋体" w:eastAsia="宋体" w:cs="宋体"/>
          <w:b/>
          <w:bCs/>
          <w:highlight w:val="none"/>
        </w:rPr>
        <w:t>9.</w:t>
      </w:r>
      <w:r>
        <w:rPr>
          <w:rFonts w:hint="eastAsia" w:ascii="宋体" w:hAnsi="宋体" w:eastAsia="宋体" w:cs="宋体"/>
          <w:b/>
          <w:bCs/>
          <w:spacing w:val="-12"/>
          <w:highlight w:val="none"/>
        </w:rPr>
        <w:t xml:space="preserve"> </w:t>
      </w:r>
      <w:r>
        <w:rPr>
          <w:rFonts w:hint="eastAsia" w:ascii="宋体" w:hAnsi="宋体" w:eastAsia="宋体" w:cs="宋体"/>
          <w:b/>
          <w:bCs/>
          <w:highlight w:val="none"/>
        </w:rPr>
        <w:t>适用法律</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本次政府采购，招标采购单位、供应商、磋商小组的相关行为均受《《中华人民共和国政府采购法》、《中华人民共和国政府采购法实施条例》、《政府采购货物和服务 招标投标管理办法》、《政府购买服务管理办法（暂行）》、《政府采购竞争性磋商采购方式管理暂行办法》和本项目采购人本级和上级财政部门政府采购有关规定的约束，其权利受到上述法律法规的保护。</w:t>
      </w:r>
    </w:p>
    <w:p>
      <w:pPr>
        <w:pStyle w:val="4"/>
        <w:rPr>
          <w:rFonts w:hint="eastAsia" w:ascii="宋体" w:hAnsi="宋体" w:eastAsia="宋体" w:cs="宋体"/>
          <w:highlight w:val="none"/>
        </w:rPr>
      </w:pPr>
      <w:bookmarkStart w:id="51" w:name="_Toc20516"/>
      <w:r>
        <w:rPr>
          <w:rFonts w:hint="eastAsia" w:ascii="宋体" w:hAnsi="宋体" w:eastAsia="宋体" w:cs="宋体"/>
          <w:highlight w:val="none"/>
        </w:rPr>
        <w:t>（三）《竞争性磋商文件》</w:t>
      </w:r>
      <w:bookmarkEnd w:id="51"/>
    </w:p>
    <w:p>
      <w:pPr>
        <w:pStyle w:val="8"/>
        <w:kinsoku w:val="0"/>
        <w:overflowPunct w:val="0"/>
        <w:spacing w:before="122" w:line="357" w:lineRule="auto"/>
        <w:ind w:left="598" w:hanging="480"/>
        <w:rPr>
          <w:rFonts w:hint="eastAsia" w:ascii="宋体" w:hAnsi="宋体" w:eastAsia="宋体" w:cs="宋体"/>
          <w:b/>
          <w:bCs/>
          <w:spacing w:val="27"/>
          <w:w w:val="99"/>
          <w:highlight w:val="none"/>
        </w:rPr>
      </w:pPr>
      <w:r>
        <w:rPr>
          <w:rFonts w:hint="eastAsia" w:ascii="宋体" w:hAnsi="宋体" w:eastAsia="宋体" w:cs="宋体"/>
          <w:b/>
          <w:bCs/>
          <w:highlight w:val="none"/>
        </w:rPr>
        <w:t>1.《竞争性磋商文件》的组成</w:t>
      </w:r>
      <w:r>
        <w:rPr>
          <w:rFonts w:hint="eastAsia" w:ascii="宋体" w:hAnsi="宋体" w:eastAsia="宋体" w:cs="宋体"/>
          <w:b/>
          <w:bCs/>
          <w:spacing w:val="27"/>
          <w:w w:val="99"/>
          <w:highlight w:val="none"/>
        </w:rPr>
        <w:t xml:space="preserve"> </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竞争性文件用以阐明招标项目所需的资质、技术、服务及报价等要求、招标投标程序、有关规定和注意事项以及合同主要条款等。本竞争性磋商文件包括以下内容,但不限于这些内容：</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1）投标邀请书</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2）供应商须知及前附表</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3）评标办法</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4）磋商内容</w:t>
      </w:r>
    </w:p>
    <w:p>
      <w:pPr>
        <w:pStyle w:val="8"/>
        <w:kinsoku w:val="0"/>
        <w:overflowPunct w:val="0"/>
        <w:spacing w:before="130" w:line="355" w:lineRule="auto"/>
        <w:ind w:right="7" w:firstLine="480"/>
        <w:rPr>
          <w:rFonts w:hint="eastAsia" w:ascii="宋体" w:hAnsi="宋体" w:eastAsia="宋体" w:cs="宋体"/>
          <w:spacing w:val="4"/>
          <w:highlight w:val="none"/>
        </w:rPr>
      </w:pPr>
      <w:bookmarkStart w:id="52" w:name="（四）《磋商响应性文件》的编制"/>
      <w:bookmarkEnd w:id="52"/>
      <w:bookmarkStart w:id="53" w:name="bookmark5"/>
      <w:bookmarkEnd w:id="53"/>
      <w:r>
        <w:rPr>
          <w:rFonts w:hint="eastAsia" w:ascii="宋体" w:hAnsi="宋体" w:eastAsia="宋体" w:cs="宋体"/>
          <w:spacing w:val="4"/>
          <w:highlight w:val="none"/>
        </w:rPr>
        <w:t>5）合同条款及合同格式</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6）《磋商响应性文件》格式</w:t>
      </w:r>
    </w:p>
    <w:p>
      <w:pPr>
        <w:pStyle w:val="8"/>
        <w:kinsoku w:val="0"/>
        <w:overflowPunct w:val="0"/>
        <w:spacing w:line="355" w:lineRule="auto"/>
        <w:ind w:left="598" w:right="50" w:hanging="480"/>
        <w:rPr>
          <w:rFonts w:hint="eastAsia" w:ascii="宋体" w:hAnsi="宋体" w:eastAsia="宋体" w:cs="宋体"/>
          <w:b/>
          <w:bCs/>
          <w:spacing w:val="27"/>
          <w:w w:val="99"/>
          <w:highlight w:val="none"/>
        </w:rPr>
      </w:pPr>
      <w:r>
        <w:rPr>
          <w:rFonts w:hint="eastAsia" w:ascii="宋体" w:hAnsi="宋体" w:eastAsia="宋体" w:cs="宋体"/>
          <w:b/>
          <w:bCs/>
          <w:highlight w:val="none"/>
        </w:rPr>
        <w:t>2.《竞争性磋商文件》的澄清</w:t>
      </w:r>
      <w:r>
        <w:rPr>
          <w:rFonts w:hint="eastAsia" w:ascii="宋体" w:hAnsi="宋体" w:eastAsia="宋体" w:cs="宋体"/>
          <w:b/>
          <w:bCs/>
          <w:spacing w:val="27"/>
          <w:w w:val="99"/>
          <w:highlight w:val="none"/>
        </w:rPr>
        <w:t xml:space="preserve"> </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供应商若对《竞争性磋商文件》有任何疑问，根据《政府采购货物和服务招标投标管理办法》相关规定，供应商应于投标截止日期 3 日前以书面形式向招标代理机构提出 澄清要求，送至招标代理机构。如认为有必要，招标代理机构将以书面形式予以澄清，同时将书面澄清文件向所有供应商发送。供应商在收到该澄清文件后，应于 1 日内以书面形式（加盖公章）向招标代理机构予以确认，该答复作为《竞争性磋商文件》的组成部分，具有同《竞争性磋商文件》同样的约束作用。未确认情况应当视为对竞争性磋商文件修改的知晓，也将视为对修改内容接受的默认。对于未在磋商响应性文件中对修改内容做实质性响应的，对其产生的不利因素由未确认者自行承担。</w:t>
      </w:r>
    </w:p>
    <w:p>
      <w:pPr>
        <w:pStyle w:val="8"/>
        <w:kinsoku w:val="0"/>
        <w:overflowPunct w:val="0"/>
        <w:spacing w:before="151" w:line="356" w:lineRule="auto"/>
        <w:ind w:right="106"/>
        <w:jc w:val="both"/>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b/>
          <w:bCs/>
          <w:highlight w:val="none"/>
        </w:rPr>
        <w:t>3.《竞争性磋商文件》的修改</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3.1 投标截止期 3 日前，无论出于何种原因，招标采购单位可主动地或在解答供应商提出的澄清问题时对《竞争性磋商文件》进行修改，《竞争性磋商文件》的修改书将构成《竞争性磋商文件》的组成部分。</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3.2《竞争性磋商文件》的修改将以书面形式通知所有领取《竞争性磋商文件》的投标单位，并对其具有约束力。供应商在收到上述通知后，应于 1 日内以书面形式（加盖公章）向招标代理机构予以确认。未确认情况应当视为对竞争性磋商文件修改的知晓，也将视为对修改内容接受的默认。</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3.3 为使供应商在编制《磋商响应性文件》时有充分时间对《竞争性磋商文件》的修改部分进行研究，招标代理机构可自行决定是否延长投标截止日期和推迟开标时间，并通知全部供应商。</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 xml:space="preserve">3.4 供应商在应当领取竞争性磋商文件的 </w:t>
      </w:r>
      <w:r>
        <w:rPr>
          <w:rFonts w:hint="eastAsia" w:ascii="宋体" w:hAnsi="宋体" w:eastAsia="宋体" w:cs="宋体"/>
          <w:spacing w:val="4"/>
          <w:highlight w:val="none"/>
          <w:lang w:val="en-US" w:eastAsia="zh-CN"/>
        </w:rPr>
        <w:t>5</w:t>
      </w:r>
      <w:r>
        <w:rPr>
          <w:rFonts w:hint="eastAsia" w:ascii="宋体" w:hAnsi="宋体" w:eastAsia="宋体" w:cs="宋体"/>
          <w:spacing w:val="4"/>
          <w:highlight w:val="none"/>
        </w:rPr>
        <w:t xml:space="preserve"> 日内可对竞争性磋商文件的内容提出质疑，招标采购单位按规定时间答复，超过时间的质疑将不予接受。</w:t>
      </w:r>
    </w:p>
    <w:p>
      <w:pPr>
        <w:pStyle w:val="4"/>
        <w:rPr>
          <w:rFonts w:hint="eastAsia" w:ascii="宋体" w:hAnsi="宋体" w:eastAsia="宋体" w:cs="宋体"/>
          <w:highlight w:val="none"/>
        </w:rPr>
      </w:pPr>
      <w:bookmarkStart w:id="54" w:name="_Toc8528"/>
      <w:r>
        <w:rPr>
          <w:rFonts w:hint="eastAsia" w:ascii="宋体" w:hAnsi="宋体" w:eastAsia="宋体" w:cs="宋体"/>
          <w:highlight w:val="none"/>
        </w:rPr>
        <w:t>（四）《磋商响应性文件》的编制</w:t>
      </w:r>
      <w:bookmarkEnd w:id="54"/>
    </w:p>
    <w:p>
      <w:pPr>
        <w:pStyle w:val="8"/>
        <w:kinsoku w:val="0"/>
        <w:overflowPunct w:val="0"/>
        <w:spacing w:before="124"/>
        <w:rPr>
          <w:rFonts w:hint="eastAsia" w:ascii="宋体" w:hAnsi="宋体" w:eastAsia="宋体" w:cs="宋体"/>
          <w:highlight w:val="none"/>
        </w:rPr>
      </w:pPr>
      <w:r>
        <w:rPr>
          <w:rFonts w:hint="eastAsia" w:ascii="宋体" w:hAnsi="宋体" w:eastAsia="宋体" w:cs="宋体"/>
          <w:b/>
          <w:bCs/>
          <w:spacing w:val="1"/>
          <w:highlight w:val="none"/>
        </w:rPr>
        <w:t>1.</w:t>
      </w:r>
      <w:r>
        <w:rPr>
          <w:rFonts w:hint="eastAsia" w:ascii="宋体" w:hAnsi="宋体" w:eastAsia="宋体" w:cs="宋体"/>
          <w:b/>
          <w:bCs/>
          <w:spacing w:val="-22"/>
          <w:highlight w:val="none"/>
        </w:rPr>
        <w:t xml:space="preserve"> </w:t>
      </w:r>
      <w:r>
        <w:rPr>
          <w:rFonts w:hint="eastAsia" w:ascii="宋体" w:hAnsi="宋体" w:eastAsia="宋体" w:cs="宋体"/>
          <w:b/>
          <w:bCs/>
          <w:highlight w:val="none"/>
        </w:rPr>
        <w:t>《磋商响应性文件》编制要求</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 xml:space="preserve">1.1 供应商应仔细阅读和充分理解《竞争性磋商文件》的所有内容，并按照《竞争性磋商文件》的“磋商响应性文件格式”规定及要求内容的格式提交完整的《磋商响应性文件》。磋商响应性文件应使用中文、编排有序，并按要求编制文件目录和页码，准确标明文件内容所在位置。供应商没有对竞争性磋商文件全面做出实质性响应是供应商的风险。没有按照竞争性磋商文件要求作出实质性响应的不利后果由供应商自行承担。 </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1.2 磋商响应性文件应字迹清楚，内容齐全，不得涂改和增删。如有修改错漏处，必须由供应商法定代表人或其授权代表签字。资格证明材料的复印件应是清晰可辨并加盖供应商鲜章。</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1.3 磋商响应性文件所提供的全部资料必须真实可靠。若磋商响应性文件填报的内容资料不详，或提供了虚假资料，其磋商响应性文件为无效磋商响应性文件。</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1.4 磋商响应性文件应严格按照竞争性磋商文件格式的要求提交，并按规定的统一 格式逐项填写，不准有空项；无相应内容可填的项应填写“无”、“没有相应指标”等明确的回答文字。</w:t>
      </w:r>
    </w:p>
    <w:p>
      <w:pPr>
        <w:pStyle w:val="8"/>
        <w:kinsoku w:val="0"/>
        <w:overflowPunct w:val="0"/>
        <w:spacing w:before="35"/>
        <w:rPr>
          <w:rFonts w:hint="eastAsia" w:ascii="宋体" w:hAnsi="宋体" w:eastAsia="宋体" w:cs="宋体"/>
          <w:highlight w:val="none"/>
        </w:rPr>
      </w:pPr>
      <w:r>
        <w:rPr>
          <w:rFonts w:hint="eastAsia" w:ascii="宋体" w:hAnsi="宋体" w:eastAsia="宋体" w:cs="宋体"/>
          <w:b/>
          <w:bCs/>
          <w:spacing w:val="1"/>
          <w:highlight w:val="none"/>
        </w:rPr>
        <w:t>2.</w:t>
      </w:r>
      <w:r>
        <w:rPr>
          <w:rFonts w:hint="eastAsia" w:ascii="宋体" w:hAnsi="宋体" w:eastAsia="宋体" w:cs="宋体"/>
          <w:b/>
          <w:bCs/>
          <w:spacing w:val="-19"/>
          <w:highlight w:val="none"/>
        </w:rPr>
        <w:t xml:space="preserve"> </w:t>
      </w:r>
      <w:r>
        <w:rPr>
          <w:rFonts w:hint="eastAsia" w:ascii="宋体" w:hAnsi="宋体" w:eastAsia="宋体" w:cs="宋体"/>
          <w:b/>
          <w:bCs/>
          <w:highlight w:val="none"/>
        </w:rPr>
        <w:t>投标语言：</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2.1 专用术语外，与招标投标有关的磋商响应性文件、投标交换的文件和往来信件应均使用中文，必要时专用术语应附有中文注释。</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2.2 磋商响应性文件中如附有外文资料，必须逐一对应翻译成中文并加盖供应商公章后附在相关外文资料后面，否则，供应商的磋商响应性文件将作为无效投标处理。</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2.3 翻译的中文资料与外文资料如果出现差异和矛盾时，以中文为准。但不能故意错误翻译，否则供应商的磋商响应性文件将作为无效投标处理。</w:t>
      </w:r>
    </w:p>
    <w:p>
      <w:pPr>
        <w:pStyle w:val="8"/>
        <w:kinsoku w:val="0"/>
        <w:overflowPunct w:val="0"/>
        <w:spacing w:before="34" w:line="356" w:lineRule="auto"/>
        <w:ind w:left="0" w:right="50"/>
        <w:rPr>
          <w:rFonts w:hint="eastAsia" w:ascii="宋体" w:hAnsi="宋体" w:eastAsia="宋体" w:cs="宋体"/>
          <w:b/>
          <w:bCs/>
          <w:spacing w:val="-2"/>
          <w:highlight w:val="none"/>
        </w:rPr>
      </w:pPr>
      <w:r>
        <w:rPr>
          <w:rFonts w:hint="eastAsia" w:ascii="宋体" w:hAnsi="宋体" w:eastAsia="宋体" w:cs="宋体"/>
          <w:highlight w:val="none"/>
        </w:rPr>
        <w:t xml:space="preserve"> </w:t>
      </w:r>
      <w:r>
        <w:rPr>
          <w:rFonts w:hint="eastAsia" w:ascii="宋体" w:hAnsi="宋体" w:eastAsia="宋体" w:cs="宋体"/>
          <w:b/>
          <w:bCs/>
          <w:spacing w:val="-2"/>
          <w:highlight w:val="none"/>
        </w:rPr>
        <w:t>3.计量单位：</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除工程规范中另有规定外，磋商响应性文件使用的度量衡单位，均应使用中华人民共和国法定计量单位。</w:t>
      </w:r>
    </w:p>
    <w:p>
      <w:pPr>
        <w:pStyle w:val="8"/>
        <w:kinsoku w:val="0"/>
        <w:overflowPunct w:val="0"/>
        <w:spacing w:before="37"/>
        <w:rPr>
          <w:rFonts w:hint="eastAsia" w:ascii="宋体" w:hAnsi="宋体" w:eastAsia="宋体" w:cs="宋体"/>
          <w:b/>
          <w:bCs/>
          <w:highlight w:val="none"/>
        </w:rPr>
      </w:pPr>
      <w:r>
        <w:rPr>
          <w:rFonts w:hint="eastAsia" w:ascii="宋体" w:hAnsi="宋体" w:eastAsia="宋体" w:cs="宋体"/>
          <w:b/>
          <w:bCs/>
          <w:highlight w:val="none"/>
        </w:rPr>
        <w:t>4.投标货币：</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本次招标项目的投标均以人民币报价。</w:t>
      </w:r>
    </w:p>
    <w:p>
      <w:pPr>
        <w:pStyle w:val="8"/>
        <w:kinsoku w:val="0"/>
        <w:overflowPunct w:val="0"/>
        <w:rPr>
          <w:rFonts w:hint="eastAsia" w:ascii="宋体" w:hAnsi="宋体" w:eastAsia="宋体" w:cs="宋体"/>
          <w:b/>
          <w:bCs/>
          <w:highlight w:val="none"/>
        </w:rPr>
      </w:pPr>
      <w:r>
        <w:rPr>
          <w:rFonts w:hint="eastAsia" w:ascii="宋体" w:hAnsi="宋体" w:eastAsia="宋体" w:cs="宋体"/>
          <w:b/>
          <w:bCs/>
          <w:highlight w:val="none"/>
        </w:rPr>
        <w:t>5.联合投标：</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本项目不接受联合体投标。</w:t>
      </w:r>
    </w:p>
    <w:p>
      <w:pPr>
        <w:pStyle w:val="8"/>
        <w:kinsoku w:val="0"/>
        <w:overflowPunct w:val="0"/>
        <w:spacing w:before="151"/>
        <w:rPr>
          <w:rFonts w:hint="eastAsia" w:ascii="宋体" w:hAnsi="宋体" w:eastAsia="宋体" w:cs="宋体"/>
          <w:highlight w:val="none"/>
        </w:rPr>
      </w:pPr>
      <w:r>
        <w:rPr>
          <w:rFonts w:hint="eastAsia" w:ascii="宋体" w:hAnsi="宋体" w:eastAsia="宋体" w:cs="宋体"/>
          <w:b/>
          <w:bCs/>
          <w:highlight w:val="none"/>
        </w:rPr>
        <w:t>6.知识产权</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6.1 供应商应保证在本项目使用的任何技术成果和服务（包括部分使用）时，不会产生因第三方提出侵犯其专利权、商标权或其它知识产权而引起的法律和经济纠纷，如因专利权、商标权或其它知识产权而引起法律和经济纠纷，由供应商承担所有相关责任。</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6.2 采购人享有本项目实施过程中产生的知识成果及知识产权。</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6.3 供应商如欲在项目实施过程中采用自有知识成果，需在磋商响应性文件中声明，并提供相关知识产权证明文件。使用该知识成果后，供应商需提供开发接口和开发手册 等技术文档，并承诺提供无限期技术支持，采购人享有永久使用权。</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6.4 如采用供应商所不拥有的知识产权，则在投标报价中必须包括合法获取该知识产权的相关费用。</w:t>
      </w:r>
    </w:p>
    <w:p>
      <w:pPr>
        <w:pStyle w:val="8"/>
        <w:kinsoku w:val="0"/>
        <w:overflowPunct w:val="0"/>
        <w:spacing w:before="26"/>
        <w:rPr>
          <w:rFonts w:hint="eastAsia" w:ascii="宋体" w:hAnsi="宋体" w:eastAsia="宋体" w:cs="宋体"/>
          <w:highlight w:val="none"/>
        </w:rPr>
      </w:pPr>
      <w:r>
        <w:rPr>
          <w:rFonts w:hint="eastAsia" w:ascii="宋体" w:hAnsi="宋体" w:eastAsia="宋体" w:cs="宋体"/>
          <w:b/>
          <w:bCs/>
          <w:highlight w:val="none"/>
        </w:rPr>
        <w:t>7.《磋商响应性文件》的组成</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《磋商响应性文件》应由商务文件部分（包括资格证明文件）、技术文件部分（包括技术响应、服务方案等）、投标报价及其它部分组成，所有复印件须加盖公章。按如下顺序编制：</w:t>
      </w:r>
    </w:p>
    <w:p>
      <w:pPr>
        <w:pStyle w:val="8"/>
        <w:kinsoku w:val="0"/>
        <w:overflowPunct w:val="0"/>
        <w:spacing w:before="130" w:line="355" w:lineRule="auto"/>
        <w:ind w:right="7" w:firstLine="480"/>
        <w:rPr>
          <w:rFonts w:hint="eastAsia" w:ascii="宋体" w:hAnsi="宋体" w:eastAsia="宋体" w:cs="宋体"/>
          <w:b/>
          <w:spacing w:val="4"/>
          <w:highlight w:val="none"/>
        </w:rPr>
      </w:pPr>
      <w:r>
        <w:rPr>
          <w:rFonts w:hint="eastAsia" w:ascii="宋体" w:hAnsi="宋体" w:eastAsia="宋体" w:cs="宋体"/>
          <w:b/>
          <w:spacing w:val="4"/>
          <w:highlight w:val="none"/>
        </w:rPr>
        <w:t>7.1  商务文件部分、投标报价部分应包括：</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(1)投标函；</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 xml:space="preserve">(2)法定代表人身份证明（附法定代表人身份证复印件）； </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 xml:space="preserve">(3)授权委托书（附被授权人身份证复印件）； </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 xml:space="preserve">(4)投标保证金缴纳凭证（复印件加盖公章）； </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(5</w:t>
      </w:r>
      <w:r>
        <w:rPr>
          <w:rFonts w:hint="eastAsia" w:ascii="宋体" w:hAnsi="宋体" w:eastAsia="宋体" w:cs="宋体"/>
          <w:spacing w:val="4"/>
          <w:highlight w:val="none"/>
          <w:lang w:val="en-US" w:eastAsia="zh-CN"/>
        </w:rPr>
        <w:t xml:space="preserve"> </w:t>
      </w:r>
      <w:r>
        <w:rPr>
          <w:rFonts w:hint="eastAsia" w:ascii="宋体" w:hAnsi="宋体" w:eastAsia="宋体" w:cs="宋体"/>
          <w:highlight w:val="none"/>
        </w:rPr>
        <w:t>报价一览表</w:t>
      </w:r>
      <w:r>
        <w:rPr>
          <w:rFonts w:hint="eastAsia" w:ascii="宋体" w:hAnsi="宋体" w:eastAsia="宋体" w:cs="宋体"/>
          <w:spacing w:val="4"/>
          <w:highlight w:val="none"/>
        </w:rPr>
        <w:t>；</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 xml:space="preserve">(6)投标报价汇总表； </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(7)供应商基本情况；</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1）供应商基本情况表；</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2）营业执照副本、税务登记证、组织机构代码证、（三证合一的提供统一社会信用代码的营业执照）、公司资质证书（复印件加盖公章）；</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3）近1年财务状况报告相关材料（复印件加盖公章）；</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4）单位社会保障缴费证明（复印件加盖公章）；</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(8)</w:t>
      </w:r>
      <w:r>
        <w:rPr>
          <w:rFonts w:hint="eastAsia" w:ascii="宋体" w:hAnsi="宋体" w:eastAsia="宋体" w:cs="宋体"/>
          <w:b/>
          <w:bCs/>
          <w:spacing w:val="4"/>
          <w:highlight w:val="none"/>
        </w:rPr>
        <w:t xml:space="preserve"> </w:t>
      </w:r>
      <w:r>
        <w:rPr>
          <w:rFonts w:hint="eastAsia" w:ascii="宋体" w:hAnsi="宋体" w:eastAsia="宋体" w:cs="宋体"/>
          <w:spacing w:val="4"/>
          <w:highlight w:val="none"/>
        </w:rPr>
        <w:t xml:space="preserve">一般商务条款偏离表； </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 xml:space="preserve">(9)同类项目业绩介绍； </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(10)中小企业声明函（符合本声明函填写）；</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(11)残疾人福利性单位声明函（符合本声明函填写） ；</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(12)缴纳招标代理服务费承诺书；</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(13)退还保证金说明函；</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(14)其他商务资格证明资料（格式自定）。</w:t>
      </w:r>
    </w:p>
    <w:p>
      <w:pPr>
        <w:pStyle w:val="8"/>
        <w:kinsoku w:val="0"/>
        <w:overflowPunct w:val="0"/>
        <w:spacing w:before="130" w:line="355" w:lineRule="auto"/>
        <w:ind w:right="7" w:firstLine="480"/>
        <w:rPr>
          <w:rFonts w:hint="eastAsia" w:ascii="宋体" w:hAnsi="宋体" w:eastAsia="宋体" w:cs="宋体"/>
          <w:b/>
          <w:spacing w:val="4"/>
          <w:highlight w:val="none"/>
        </w:rPr>
      </w:pPr>
      <w:r>
        <w:rPr>
          <w:rFonts w:hint="eastAsia" w:ascii="宋体" w:hAnsi="宋体" w:eastAsia="宋体" w:cs="宋体"/>
          <w:b/>
          <w:spacing w:val="4"/>
          <w:highlight w:val="none"/>
        </w:rPr>
        <w:t>7.2 技术文件部分应包括：</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(16)项目实施方案；</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(17)供应商认为需要提交的技术资料；</w:t>
      </w:r>
    </w:p>
    <w:p>
      <w:pPr>
        <w:pStyle w:val="8"/>
        <w:kinsoku w:val="0"/>
        <w:overflowPunct w:val="0"/>
        <w:spacing w:before="130" w:line="355" w:lineRule="auto"/>
        <w:ind w:right="7" w:firstLine="480"/>
        <w:rPr>
          <w:rFonts w:hint="eastAsia" w:ascii="宋体" w:hAnsi="宋体" w:eastAsia="宋体" w:cs="宋体"/>
          <w:b/>
          <w:spacing w:val="4"/>
          <w:highlight w:val="none"/>
        </w:rPr>
      </w:pPr>
      <w:r>
        <w:rPr>
          <w:rFonts w:hint="eastAsia" w:ascii="宋体" w:hAnsi="宋体" w:eastAsia="宋体" w:cs="宋体"/>
          <w:b/>
          <w:spacing w:val="4"/>
          <w:highlight w:val="none"/>
        </w:rPr>
        <w:t>7.3 本次投标报价要求：</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7.3.1 总价格包括完成采购范围内全部内容采购及相关伴随服务全过程的全部费用。</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7.3.2 供应商只允许在《磋商响应性文件》中有一个报价，并且在合同履行过程中是固定不变的，任何有选择或可调整的报价将不予接受，并按无效投标处理。</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7.3.3 供应商的报价作为评标的重要依据之一，但并不是本项目采购人招标、评标确定中标供应商的唯一依据。拒绝不计成本的故意压低投标报价和恶意以低价投标的行为。</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7.3.4 本项目投标报价是在符合竞争性磋商文件对项目相关要求的情况下，以最大限度的折扣价或优惠后价格的体现。</w:t>
      </w:r>
    </w:p>
    <w:p>
      <w:pPr>
        <w:pStyle w:val="8"/>
        <w:kinsoku w:val="0"/>
        <w:overflowPunct w:val="0"/>
        <w:spacing w:before="36"/>
        <w:rPr>
          <w:rFonts w:hint="eastAsia" w:ascii="宋体" w:hAnsi="宋体" w:eastAsia="宋体" w:cs="宋体"/>
          <w:highlight w:val="none"/>
        </w:rPr>
      </w:pPr>
      <w:r>
        <w:rPr>
          <w:rFonts w:hint="eastAsia" w:ascii="宋体" w:hAnsi="宋体" w:eastAsia="宋体" w:cs="宋体"/>
          <w:b/>
          <w:bCs/>
          <w:highlight w:val="none"/>
        </w:rPr>
        <w:t>8.磋商响应性文件格式</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8.1 供应商应按《竞争性磋商文件》的内容与要求和第六章提供的格式编写其《磋商响应性文件》，供应商不得空留或缺少任何《竞争性磋商文件》要求填写的表格或提交的资料，未列出格式的部分供应商可自行编制。</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8.2 供应商提交的《磋商响应性文件》中全部资料必须真实可靠，并接受采购人、招标代理机构对其中任何资料进一步审查的要求。</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8.3 《磋商响应性文件》的封面及密封袋封面编制格式详见附件。</w:t>
      </w:r>
    </w:p>
    <w:p>
      <w:pPr>
        <w:pStyle w:val="8"/>
        <w:kinsoku w:val="0"/>
        <w:overflowPunct w:val="0"/>
        <w:spacing w:before="151"/>
        <w:rPr>
          <w:rFonts w:hint="eastAsia" w:ascii="宋体" w:hAnsi="宋体" w:eastAsia="宋体" w:cs="宋体"/>
          <w:highlight w:val="none"/>
        </w:rPr>
      </w:pPr>
      <w:r>
        <w:rPr>
          <w:rFonts w:hint="eastAsia" w:ascii="宋体" w:hAnsi="宋体" w:eastAsia="宋体" w:cs="宋体"/>
          <w:b/>
          <w:bCs/>
          <w:highlight w:val="none"/>
        </w:rPr>
        <w:t>9.投标有效期</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9.1 投标有效期见本须知前附表所规定的期限，在此期限内，供应商不得要求撤销或修改其磋商响应性文件。</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9.2 在特殊情况下，采购人在原定投标有效期内，可以根据需要以书面形式向供应商提出延长投标有效期的要求，对此要求供应商须以书面形式予以答复。供应商可以拒绝采购人这种要求</w:t>
      </w:r>
      <w:bookmarkStart w:id="55" w:name="bookmark6"/>
      <w:bookmarkEnd w:id="55"/>
      <w:bookmarkStart w:id="56" w:name="（五）磋商响应性文件的提交及相关事项"/>
      <w:bookmarkEnd w:id="56"/>
      <w:r>
        <w:rPr>
          <w:rFonts w:hint="eastAsia" w:ascii="宋体" w:hAnsi="宋体" w:eastAsia="宋体" w:cs="宋体"/>
          <w:spacing w:val="4"/>
          <w:highlight w:val="none"/>
        </w:rPr>
        <w:t>，而不被没收投标保证金。同意延长投标有效期的供应商既不能要求也不允许修改其磋商响应性文件，但需要相应的延长投标担保的有效期，在延长的投标有效期内须知前附表第 21 条关于投标担保的退还与没收的规定仍然适用。</w:t>
      </w:r>
    </w:p>
    <w:p>
      <w:pPr>
        <w:pStyle w:val="8"/>
        <w:kinsoku w:val="0"/>
        <w:overflowPunct w:val="0"/>
        <w:spacing w:before="37"/>
        <w:jc w:val="both"/>
        <w:rPr>
          <w:rFonts w:hint="eastAsia" w:ascii="宋体" w:hAnsi="宋体" w:eastAsia="宋体" w:cs="宋体"/>
          <w:highlight w:val="none"/>
        </w:rPr>
      </w:pPr>
      <w:r>
        <w:rPr>
          <w:rFonts w:hint="eastAsia" w:ascii="宋体" w:hAnsi="宋体" w:eastAsia="宋体" w:cs="宋体"/>
          <w:b/>
          <w:bCs/>
          <w:highlight w:val="none"/>
        </w:rPr>
        <w:t>10.投标保证金</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10.1投标保证金应用投标货币即人民币，并采用下列任何一种形式：</w:t>
      </w:r>
    </w:p>
    <w:p>
      <w:pPr>
        <w:pStyle w:val="8"/>
        <w:kinsoku w:val="0"/>
        <w:overflowPunct w:val="0"/>
        <w:spacing w:before="130" w:line="355" w:lineRule="auto"/>
        <w:ind w:right="7" w:firstLine="480"/>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投标保证金的形式：电汇、转账等形式</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均应从基本账户转出</w:t>
      </w:r>
      <w:r>
        <w:rPr>
          <w:rFonts w:hint="eastAsia" w:ascii="宋体" w:hAnsi="宋体" w:eastAsia="宋体" w:cs="宋体"/>
          <w:kern w:val="0"/>
          <w:sz w:val="24"/>
          <w:szCs w:val="24"/>
          <w:highlight w:val="none"/>
          <w:lang w:eastAsia="zh-CN"/>
        </w:rPr>
        <w:t>。</w:t>
      </w:r>
    </w:p>
    <w:p>
      <w:pPr>
        <w:pStyle w:val="8"/>
        <w:kinsoku w:val="0"/>
        <w:overflowPunct w:val="0"/>
        <w:spacing w:before="130" w:line="355" w:lineRule="auto"/>
        <w:ind w:right="7" w:firstLine="48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投标保证金的金额：</w:t>
      </w:r>
      <w:r>
        <w:rPr>
          <w:rFonts w:hint="eastAsia" w:ascii="宋体" w:hAnsi="宋体" w:eastAsia="宋体" w:cs="宋体"/>
          <w:kern w:val="0"/>
          <w:sz w:val="24"/>
          <w:szCs w:val="24"/>
          <w:highlight w:val="none"/>
          <w:lang w:val="en-US" w:eastAsia="zh-CN"/>
        </w:rPr>
        <w:t>3000</w:t>
      </w:r>
      <w:r>
        <w:rPr>
          <w:rFonts w:hint="eastAsia" w:ascii="宋体" w:hAnsi="宋体" w:eastAsia="宋体" w:cs="宋体"/>
          <w:kern w:val="0"/>
          <w:sz w:val="24"/>
          <w:szCs w:val="24"/>
          <w:highlight w:val="none"/>
        </w:rPr>
        <w:t>元（</w:t>
      </w:r>
      <w:r>
        <w:rPr>
          <w:rFonts w:hint="eastAsia" w:ascii="宋体" w:hAnsi="宋体" w:eastAsia="宋体" w:cs="宋体"/>
          <w:kern w:val="0"/>
          <w:sz w:val="24"/>
          <w:szCs w:val="24"/>
          <w:highlight w:val="none"/>
          <w:lang w:val="en-US" w:eastAsia="zh-CN"/>
        </w:rPr>
        <w:t>叁仟元</w:t>
      </w:r>
      <w:r>
        <w:rPr>
          <w:rFonts w:hint="eastAsia" w:ascii="宋体" w:hAnsi="宋体" w:eastAsia="宋体" w:cs="宋体"/>
          <w:kern w:val="0"/>
          <w:sz w:val="24"/>
          <w:szCs w:val="24"/>
          <w:highlight w:val="none"/>
        </w:rPr>
        <w:t>整）</w:t>
      </w:r>
    </w:p>
    <w:p>
      <w:pPr>
        <w:pStyle w:val="8"/>
        <w:kinsoku w:val="0"/>
        <w:overflowPunct w:val="0"/>
        <w:spacing w:before="130" w:line="355" w:lineRule="auto"/>
        <w:ind w:right="7" w:firstLine="48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投标保证金必须在投标文件递交截止时间</w:t>
      </w:r>
      <w:r>
        <w:rPr>
          <w:rFonts w:hint="eastAsia" w:ascii="宋体" w:hAnsi="宋体" w:eastAsia="宋体" w:cs="宋体"/>
          <w:kern w:val="0"/>
          <w:sz w:val="24"/>
          <w:szCs w:val="24"/>
          <w:highlight w:val="none"/>
          <w:lang w:val="en-US" w:eastAsia="zh-CN"/>
        </w:rPr>
        <w:t>至少</w:t>
      </w:r>
      <w:r>
        <w:rPr>
          <w:rFonts w:hint="eastAsia" w:ascii="宋体" w:hAnsi="宋体" w:eastAsia="宋体" w:cs="宋体"/>
          <w:kern w:val="0"/>
          <w:sz w:val="24"/>
          <w:szCs w:val="24"/>
          <w:highlight w:val="none"/>
        </w:rPr>
        <w:t>前1个工作日确保到帐</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投标人未按</w:t>
      </w:r>
      <w:r>
        <w:rPr>
          <w:rFonts w:hint="eastAsia" w:ascii="宋体" w:hAnsi="宋体" w:eastAsia="宋体" w:cs="宋体"/>
          <w:kern w:val="0"/>
          <w:sz w:val="24"/>
          <w:szCs w:val="24"/>
          <w:highlight w:val="none"/>
          <w:lang w:val="en-US" w:eastAsia="zh-CN"/>
        </w:rPr>
        <w:t>磋商</w:t>
      </w:r>
      <w:r>
        <w:rPr>
          <w:rFonts w:hint="eastAsia" w:ascii="宋体" w:hAnsi="宋体" w:eastAsia="宋体" w:cs="宋体"/>
          <w:kern w:val="0"/>
          <w:sz w:val="24"/>
          <w:szCs w:val="24"/>
          <w:highlight w:val="none"/>
        </w:rPr>
        <w:t>文件要求提交投标保证金的，投标文件无效</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lang w:val="en-US" w:eastAsia="zh-CN"/>
        </w:rPr>
        <w:t>至</w:t>
      </w:r>
      <w:r>
        <w:rPr>
          <w:rFonts w:hint="eastAsia" w:ascii="宋体" w:hAnsi="宋体" w:eastAsia="宋体" w:cs="宋体"/>
          <w:kern w:val="0"/>
          <w:sz w:val="24"/>
          <w:szCs w:val="24"/>
          <w:highlight w:val="none"/>
        </w:rPr>
        <w:t>以下账号：</w:t>
      </w:r>
    </w:p>
    <w:p>
      <w:pPr>
        <w:pStyle w:val="8"/>
        <w:kinsoku w:val="0"/>
        <w:overflowPunct w:val="0"/>
        <w:spacing w:before="130" w:line="355" w:lineRule="auto"/>
        <w:ind w:right="7" w:firstLine="480"/>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单位名称：</w:t>
      </w:r>
      <w:r>
        <w:rPr>
          <w:rFonts w:hint="eastAsia" w:ascii="宋体" w:hAnsi="宋体" w:eastAsia="宋体" w:cs="宋体"/>
          <w:kern w:val="0"/>
          <w:sz w:val="24"/>
          <w:szCs w:val="24"/>
          <w:highlight w:val="none"/>
          <w:lang w:eastAsia="zh-CN"/>
        </w:rPr>
        <w:t>新疆天之源项目管理集团有限公司</w:t>
      </w:r>
    </w:p>
    <w:p>
      <w:pPr>
        <w:pStyle w:val="8"/>
        <w:kinsoku w:val="0"/>
        <w:overflowPunct w:val="0"/>
        <w:spacing w:before="130" w:line="355" w:lineRule="auto"/>
        <w:ind w:right="7" w:firstLine="48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开户银行：招商银行股份有限公司乌鲁木齐人民路支行</w:t>
      </w:r>
    </w:p>
    <w:p>
      <w:pPr>
        <w:pStyle w:val="8"/>
        <w:kinsoku w:val="0"/>
        <w:overflowPunct w:val="0"/>
        <w:spacing w:before="130" w:line="355" w:lineRule="auto"/>
        <w:ind w:right="7" w:firstLine="48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银行账号：991902337110201</w:t>
      </w:r>
    </w:p>
    <w:p>
      <w:pPr>
        <w:pStyle w:val="8"/>
        <w:kinsoku w:val="0"/>
        <w:overflowPunct w:val="0"/>
        <w:spacing w:before="130" w:line="355" w:lineRule="auto"/>
        <w:ind w:right="7" w:firstLine="480"/>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 xml:space="preserve"> 行号：</w:t>
      </w:r>
      <w:r>
        <w:rPr>
          <w:rFonts w:hint="eastAsia" w:ascii="宋体" w:hAnsi="宋体" w:eastAsia="宋体" w:cs="宋体"/>
          <w:kern w:val="0"/>
          <w:sz w:val="24"/>
          <w:szCs w:val="24"/>
          <w:highlight w:val="none"/>
          <w:lang w:eastAsia="zh-CN"/>
        </w:rPr>
        <w:t>308881029059</w:t>
      </w:r>
    </w:p>
    <w:p>
      <w:pPr>
        <w:pStyle w:val="8"/>
        <w:kinsoku w:val="0"/>
        <w:overflowPunct w:val="0"/>
        <w:spacing w:before="130" w:line="355" w:lineRule="auto"/>
        <w:ind w:right="7" w:firstLine="48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投标人办理保证金时，须注明“项目名称+投标保证金”（如字数超出规定字数可简写项目名称）。</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10.2投标保证金为磋商响应性文件的重要组成部分。未按规定提交投标保证金的供应商，将被视为无效投标而予以拒绝。</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10.3成交人的投标保证金，在成交人按规定的金额付清招标代理服务费后予以无息退还。</w:t>
      </w:r>
    </w:p>
    <w:p>
      <w:pPr>
        <w:pStyle w:val="8"/>
        <w:kinsoku w:val="0"/>
        <w:overflowPunct w:val="0"/>
        <w:spacing w:before="38"/>
        <w:ind w:left="598"/>
        <w:rPr>
          <w:rFonts w:hint="eastAsia" w:ascii="宋体" w:hAnsi="宋体" w:eastAsia="宋体" w:cs="宋体"/>
          <w:highlight w:val="none"/>
        </w:rPr>
      </w:pPr>
      <w:r>
        <w:rPr>
          <w:rFonts w:hint="eastAsia" w:ascii="宋体" w:hAnsi="宋体" w:eastAsia="宋体" w:cs="宋体"/>
          <w:highlight w:val="none"/>
        </w:rPr>
        <w:t>10.4</w:t>
      </w:r>
      <w:r>
        <w:rPr>
          <w:rFonts w:hint="eastAsia" w:ascii="宋体" w:hAnsi="宋体" w:eastAsia="宋体" w:cs="宋体"/>
          <w:spacing w:val="-60"/>
          <w:highlight w:val="none"/>
        </w:rPr>
        <w:t xml:space="preserve"> </w:t>
      </w:r>
      <w:r>
        <w:rPr>
          <w:rFonts w:hint="eastAsia" w:ascii="宋体" w:hAnsi="宋体" w:eastAsia="宋体" w:cs="宋体"/>
          <w:highlight w:val="none"/>
        </w:rPr>
        <w:t>投标保证金的</w:t>
      </w:r>
      <w:r>
        <w:rPr>
          <w:rFonts w:hint="eastAsia" w:ascii="宋体" w:hAnsi="宋体" w:eastAsia="宋体" w:cs="宋体"/>
          <w:spacing w:val="4"/>
          <w:highlight w:val="none"/>
        </w:rPr>
        <w:t>缴纳</w:t>
      </w:r>
      <w:r>
        <w:rPr>
          <w:rFonts w:hint="eastAsia" w:ascii="宋体" w:hAnsi="宋体" w:eastAsia="宋体" w:cs="宋体"/>
          <w:highlight w:val="none"/>
        </w:rPr>
        <w:t>和退付（详见“供应商须知前附表”）。</w:t>
      </w:r>
    </w:p>
    <w:p>
      <w:pPr>
        <w:pStyle w:val="8"/>
        <w:kinsoku w:val="0"/>
        <w:overflowPunct w:val="0"/>
        <w:spacing w:before="151"/>
        <w:jc w:val="both"/>
        <w:rPr>
          <w:rFonts w:hint="eastAsia" w:ascii="宋体" w:hAnsi="宋体" w:eastAsia="宋体" w:cs="宋体"/>
          <w:highlight w:val="none"/>
        </w:rPr>
      </w:pPr>
      <w:r>
        <w:rPr>
          <w:rFonts w:hint="eastAsia" w:ascii="宋体" w:hAnsi="宋体" w:eastAsia="宋体" w:cs="宋体"/>
          <w:b/>
          <w:bCs/>
          <w:highlight w:val="none"/>
        </w:rPr>
        <w:t>11.磋商响应性文件的印制和签署</w:t>
      </w:r>
    </w:p>
    <w:p>
      <w:pPr>
        <w:pStyle w:val="8"/>
        <w:kinsoku w:val="0"/>
        <w:overflowPunct w:val="0"/>
        <w:spacing w:line="355" w:lineRule="auto"/>
        <w:ind w:right="234" w:firstLine="480"/>
        <w:jc w:val="both"/>
        <w:rPr>
          <w:rFonts w:hint="eastAsia" w:ascii="宋体" w:hAnsi="宋体" w:eastAsia="宋体" w:cs="宋体"/>
          <w:highlight w:val="none"/>
        </w:rPr>
      </w:pPr>
      <w:r>
        <w:rPr>
          <w:rFonts w:hint="eastAsia" w:ascii="宋体" w:hAnsi="宋体" w:eastAsia="宋体" w:cs="宋体"/>
          <w:highlight w:val="none"/>
        </w:rPr>
        <w:t>11.1</w:t>
      </w:r>
      <w:r>
        <w:rPr>
          <w:rFonts w:hint="eastAsia" w:ascii="宋体" w:hAnsi="宋体" w:eastAsia="宋体" w:cs="宋体"/>
          <w:spacing w:val="-60"/>
          <w:highlight w:val="none"/>
        </w:rPr>
        <w:t xml:space="preserve"> </w:t>
      </w:r>
      <w:r>
        <w:rPr>
          <w:rFonts w:hint="eastAsia" w:ascii="宋体" w:hAnsi="宋体" w:eastAsia="宋体" w:cs="宋体"/>
          <w:highlight w:val="none"/>
        </w:rPr>
        <w:t>供应商应</w:t>
      </w:r>
      <w:r>
        <w:rPr>
          <w:rFonts w:hint="eastAsia" w:ascii="宋体" w:hAnsi="宋体" w:eastAsia="宋体" w:cs="宋体"/>
          <w:spacing w:val="-27"/>
          <w:highlight w:val="none"/>
        </w:rPr>
        <w:t>按</w:t>
      </w:r>
      <w:r>
        <w:rPr>
          <w:rFonts w:hint="eastAsia" w:ascii="宋体" w:hAnsi="宋体" w:eastAsia="宋体" w:cs="宋体"/>
          <w:highlight w:val="none"/>
        </w:rPr>
        <w:t>“供应商须知前附表</w:t>
      </w:r>
      <w:r>
        <w:rPr>
          <w:rFonts w:hint="eastAsia" w:ascii="宋体" w:hAnsi="宋体" w:eastAsia="宋体" w:cs="宋体"/>
          <w:spacing w:val="-27"/>
          <w:highlight w:val="none"/>
        </w:rPr>
        <w:t>”</w:t>
      </w:r>
      <w:r>
        <w:rPr>
          <w:rFonts w:hint="eastAsia" w:ascii="宋体" w:hAnsi="宋体" w:eastAsia="宋体" w:cs="宋体"/>
          <w:highlight w:val="none"/>
        </w:rPr>
        <w:t>规定的份数提</w:t>
      </w:r>
      <w:r>
        <w:rPr>
          <w:rFonts w:hint="eastAsia" w:ascii="宋体" w:hAnsi="宋体" w:eastAsia="宋体" w:cs="宋体"/>
          <w:spacing w:val="-29"/>
          <w:highlight w:val="none"/>
        </w:rPr>
        <w:t>交</w:t>
      </w:r>
      <w:r>
        <w:rPr>
          <w:rFonts w:hint="eastAsia" w:ascii="宋体" w:hAnsi="宋体" w:eastAsia="宋体" w:cs="宋体"/>
          <w:highlight w:val="none"/>
        </w:rPr>
        <w:t>《磋商响应性文</w:t>
      </w:r>
      <w:r>
        <w:rPr>
          <w:rFonts w:hint="eastAsia" w:ascii="宋体" w:hAnsi="宋体" w:eastAsia="宋体" w:cs="宋体"/>
          <w:spacing w:val="2"/>
          <w:highlight w:val="none"/>
        </w:rPr>
        <w:t>件</w:t>
      </w:r>
      <w:r>
        <w:rPr>
          <w:rFonts w:hint="eastAsia" w:ascii="宋体" w:hAnsi="宋体" w:eastAsia="宋体" w:cs="宋体"/>
          <w:spacing w:val="-29"/>
          <w:highlight w:val="none"/>
        </w:rPr>
        <w:t>》</w:t>
      </w:r>
      <w:r>
        <w:rPr>
          <w:rFonts w:hint="eastAsia" w:ascii="宋体" w:hAnsi="宋体" w:eastAsia="宋体" w:cs="宋体"/>
          <w:highlight w:val="none"/>
        </w:rPr>
        <w:t>一正</w:t>
      </w:r>
      <w:r>
        <w:rPr>
          <w:rFonts w:hint="eastAsia" w:ascii="宋体" w:hAnsi="宋体" w:eastAsia="宋体" w:cs="宋体"/>
          <w:highlight w:val="none"/>
          <w:lang w:eastAsia="zh-CN"/>
        </w:rPr>
        <w:t>四</w:t>
      </w:r>
      <w:r>
        <w:rPr>
          <w:rFonts w:hint="eastAsia" w:ascii="宋体" w:hAnsi="宋体" w:eastAsia="宋体" w:cs="宋体"/>
          <w:highlight w:val="none"/>
        </w:rPr>
        <w:t>副</w:t>
      </w:r>
      <w:r>
        <w:rPr>
          <w:rFonts w:hint="eastAsia" w:ascii="宋体" w:hAnsi="宋体" w:eastAsia="宋体" w:cs="宋体"/>
          <w:spacing w:val="-2"/>
          <w:highlight w:val="none"/>
        </w:rPr>
        <w:t>，</w:t>
      </w:r>
      <w:r>
        <w:rPr>
          <w:rFonts w:hint="eastAsia" w:ascii="宋体" w:hAnsi="宋体" w:eastAsia="宋体" w:cs="宋体"/>
          <w:highlight w:val="none"/>
        </w:rPr>
        <w:t>电子版（正本扫描件、PDF格式）</w:t>
      </w:r>
      <w:r>
        <w:rPr>
          <w:rFonts w:hint="eastAsia" w:ascii="宋体" w:hAnsi="宋体" w:eastAsia="宋体" w:cs="宋体"/>
          <w:highlight w:val="none"/>
          <w:lang w:val="en-US" w:eastAsia="zh-CN"/>
        </w:rPr>
        <w:t>一</w:t>
      </w:r>
      <w:r>
        <w:rPr>
          <w:rFonts w:hint="eastAsia" w:ascii="宋体" w:hAnsi="宋体" w:eastAsia="宋体" w:cs="宋体"/>
          <w:highlight w:val="none"/>
        </w:rPr>
        <w:t>份。</w:t>
      </w:r>
    </w:p>
    <w:p>
      <w:pPr>
        <w:pStyle w:val="8"/>
        <w:kinsoku w:val="0"/>
        <w:overflowPunct w:val="0"/>
        <w:spacing w:before="38" w:line="356" w:lineRule="auto"/>
        <w:ind w:right="238" w:firstLine="480"/>
        <w:jc w:val="both"/>
        <w:rPr>
          <w:rFonts w:hint="eastAsia" w:ascii="宋体" w:hAnsi="宋体" w:eastAsia="宋体" w:cs="宋体"/>
          <w:highlight w:val="none"/>
        </w:rPr>
      </w:pPr>
      <w:r>
        <w:rPr>
          <w:rFonts w:hint="eastAsia" w:ascii="宋体" w:hAnsi="宋体" w:eastAsia="宋体" w:cs="宋体"/>
          <w:highlight w:val="none"/>
        </w:rPr>
        <w:t>11.2 《磋商响应性文件》的正本和副本均需打印或使用不褪色墨水笔书写，字迹</w:t>
      </w:r>
      <w:r>
        <w:rPr>
          <w:rFonts w:hint="eastAsia" w:ascii="宋体" w:hAnsi="宋体" w:eastAsia="宋体" w:cs="宋体"/>
          <w:spacing w:val="-2"/>
          <w:highlight w:val="none"/>
        </w:rPr>
        <w:t>应清晰易于辨认，并应在《磋商响应性文件》封面的右上角清楚地注明“正本”或“副</w:t>
      </w:r>
      <w:r>
        <w:rPr>
          <w:rFonts w:hint="eastAsia" w:ascii="宋体" w:hAnsi="宋体" w:eastAsia="宋体" w:cs="宋体"/>
          <w:highlight w:val="none"/>
        </w:rPr>
        <w:t>本”。正本和副本如有不一致之处，以正本为准。</w:t>
      </w:r>
    </w:p>
    <w:p>
      <w:pPr>
        <w:pStyle w:val="8"/>
        <w:kinsoku w:val="0"/>
        <w:overflowPunct w:val="0"/>
        <w:spacing w:before="37" w:line="355" w:lineRule="auto"/>
        <w:ind w:right="238" w:firstLine="480"/>
        <w:jc w:val="both"/>
        <w:rPr>
          <w:rFonts w:hint="eastAsia" w:ascii="宋体" w:hAnsi="宋体" w:eastAsia="宋体" w:cs="宋体"/>
          <w:highlight w:val="none"/>
        </w:rPr>
      </w:pPr>
      <w:r>
        <w:rPr>
          <w:rFonts w:hint="eastAsia" w:ascii="宋体" w:hAnsi="宋体" w:eastAsia="宋体" w:cs="宋体"/>
          <w:highlight w:val="none"/>
        </w:rPr>
        <w:t>11.3 《磋商响应性文件》的正本和副本均应在签字盖章处加盖投标单位公章，并</w:t>
      </w:r>
      <w:r>
        <w:rPr>
          <w:rFonts w:hint="eastAsia" w:ascii="宋体" w:hAnsi="宋体" w:eastAsia="宋体" w:cs="宋体"/>
          <w:spacing w:val="-2"/>
          <w:highlight w:val="none"/>
        </w:rPr>
        <w:t>经法定代表人或被授权人签字或盖章的《磋商响应性文件》，《磋商响应性文件》中</w:t>
      </w:r>
      <w:r>
        <w:rPr>
          <w:rFonts w:hint="eastAsia" w:ascii="宋体" w:hAnsi="宋体" w:eastAsia="宋体" w:cs="宋体"/>
          <w:highlight w:val="none"/>
        </w:rPr>
        <w:t>须同时提交“委托授权书”。</w:t>
      </w:r>
    </w:p>
    <w:p>
      <w:pPr>
        <w:pStyle w:val="8"/>
        <w:kinsoku w:val="0"/>
        <w:overflowPunct w:val="0"/>
        <w:spacing w:before="38" w:line="357" w:lineRule="auto"/>
        <w:ind w:right="238" w:firstLine="480"/>
        <w:jc w:val="both"/>
        <w:rPr>
          <w:rFonts w:hint="eastAsia" w:ascii="宋体" w:hAnsi="宋体" w:eastAsia="宋体" w:cs="宋体"/>
          <w:highlight w:val="none"/>
        </w:rPr>
      </w:pPr>
      <w:r>
        <w:rPr>
          <w:rFonts w:hint="eastAsia" w:ascii="宋体" w:hAnsi="宋体" w:eastAsia="宋体" w:cs="宋体"/>
          <w:highlight w:val="none"/>
        </w:rPr>
        <w:t>11.4 除供应商对错误处须修改外，全套《磋商响应性文件》应无涂改或行间插字</w:t>
      </w:r>
      <w:r>
        <w:rPr>
          <w:rFonts w:hint="eastAsia" w:ascii="宋体" w:hAnsi="宋体" w:eastAsia="宋体" w:cs="宋体"/>
          <w:spacing w:val="-2"/>
          <w:highlight w:val="none"/>
        </w:rPr>
        <w:t>和增删。如有修改，修改处应由供应商加盖投标单位的印章或由《磋商响应性文件》签</w:t>
      </w:r>
      <w:r>
        <w:rPr>
          <w:rFonts w:hint="eastAsia" w:ascii="宋体" w:hAnsi="宋体" w:eastAsia="宋体" w:cs="宋体"/>
          <w:highlight w:val="none"/>
        </w:rPr>
        <w:t>字人签字或盖章</w:t>
      </w:r>
      <w:r>
        <w:rPr>
          <w:rFonts w:hint="eastAsia" w:ascii="宋体" w:hAnsi="宋体" w:eastAsia="宋体" w:cs="宋体"/>
          <w:spacing w:val="-27"/>
          <w:highlight w:val="none"/>
        </w:rPr>
        <w:t>。</w:t>
      </w:r>
      <w:r>
        <w:rPr>
          <w:rFonts w:hint="eastAsia" w:ascii="宋体" w:hAnsi="宋体" w:eastAsia="宋体" w:cs="宋体"/>
          <w:highlight w:val="none"/>
        </w:rPr>
        <w:t>字迹潦草</w:t>
      </w:r>
      <w:r>
        <w:rPr>
          <w:rFonts w:hint="eastAsia" w:ascii="宋体" w:hAnsi="宋体" w:eastAsia="宋体" w:cs="宋体"/>
          <w:spacing w:val="-24"/>
          <w:highlight w:val="none"/>
        </w:rPr>
        <w:t>、</w:t>
      </w:r>
      <w:r>
        <w:rPr>
          <w:rFonts w:hint="eastAsia" w:ascii="宋体" w:hAnsi="宋体" w:eastAsia="宋体" w:cs="宋体"/>
          <w:highlight w:val="none"/>
        </w:rPr>
        <w:t>表达不清或可能导致非唯一理解的磋商响应性文件可能视为无效投标。</w:t>
      </w:r>
    </w:p>
    <w:p>
      <w:pPr>
        <w:pStyle w:val="8"/>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11.5 《磋商响应性文件》的印制应采用70克以上的复印纸打印，采用胶装方式装订，即不可抽取调换内页的书式平装方式，无脱落无散页，有目录、有页码。</w:t>
      </w:r>
    </w:p>
    <w:p>
      <w:pPr>
        <w:pStyle w:val="8"/>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11.6 《磋商响应性文件》应根据《竞争性磋商文件》的要求签署、盖章及密封，内容应完整详细，如有遗漏，将被视为无效投标。</w:t>
      </w:r>
    </w:p>
    <w:p>
      <w:pPr>
        <w:pStyle w:val="4"/>
        <w:rPr>
          <w:rFonts w:hint="eastAsia" w:ascii="宋体" w:hAnsi="宋体" w:eastAsia="宋体" w:cs="宋体"/>
          <w:highlight w:val="none"/>
        </w:rPr>
      </w:pPr>
      <w:bookmarkStart w:id="57" w:name="_Toc32099"/>
      <w:r>
        <w:rPr>
          <w:rFonts w:hint="eastAsia" w:ascii="宋体" w:hAnsi="宋体" w:eastAsia="宋体" w:cs="宋体"/>
          <w:highlight w:val="none"/>
        </w:rPr>
        <w:t>（五）磋商响应性文件的提交及相关事项</w:t>
      </w:r>
      <w:bookmarkEnd w:id="57"/>
    </w:p>
    <w:p>
      <w:pPr>
        <w:pStyle w:val="8"/>
        <w:kinsoku w:val="0"/>
        <w:overflowPunct w:val="0"/>
        <w:spacing w:before="151"/>
        <w:jc w:val="both"/>
        <w:rPr>
          <w:rFonts w:hint="eastAsia" w:ascii="宋体" w:hAnsi="宋体" w:eastAsia="宋体" w:cs="宋体"/>
          <w:b/>
          <w:bCs/>
          <w:highlight w:val="none"/>
        </w:rPr>
      </w:pPr>
      <w:r>
        <w:rPr>
          <w:rFonts w:hint="eastAsia" w:ascii="宋体" w:hAnsi="宋体" w:eastAsia="宋体" w:cs="宋体"/>
          <w:b/>
          <w:bCs/>
          <w:highlight w:val="none"/>
        </w:rPr>
        <w:t>1.磋商响应性文件的密封和标记</w:t>
      </w:r>
    </w:p>
    <w:p>
      <w:pPr>
        <w:pStyle w:val="8"/>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1.1磋商响应性文件正本与副本应</w:t>
      </w:r>
      <w:r>
        <w:rPr>
          <w:rFonts w:hint="eastAsia" w:ascii="宋体" w:hAnsi="宋体" w:eastAsia="宋体" w:cs="宋体"/>
          <w:highlight w:val="none"/>
          <w:lang w:val="en-US" w:eastAsia="zh-CN"/>
        </w:rPr>
        <w:t>分别</w:t>
      </w:r>
      <w:r>
        <w:rPr>
          <w:rFonts w:hint="eastAsia" w:ascii="宋体" w:hAnsi="宋体" w:eastAsia="宋体" w:cs="宋体"/>
          <w:highlight w:val="none"/>
        </w:rPr>
        <w:t>密封，并加贴“密封”字样封条，在封套的封口处应加盖单位公章。供应商未按此要求采用其他包装的，将造成磋商响应性文件被拒收。</w:t>
      </w:r>
    </w:p>
    <w:p>
      <w:pPr>
        <w:pStyle w:val="8"/>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1.2在封套上注明项目名称、项目编号及“在</w:t>
      </w:r>
      <w:r>
        <w:rPr>
          <w:rFonts w:hint="eastAsia" w:ascii="宋体" w:hAnsi="宋体" w:eastAsia="宋体" w:cs="宋体"/>
          <w:highlight w:val="none"/>
          <w:u w:val="single"/>
        </w:rPr>
        <w:tab/>
      </w:r>
      <w:r>
        <w:rPr>
          <w:rFonts w:hint="eastAsia" w:ascii="宋体" w:hAnsi="宋体" w:eastAsia="宋体" w:cs="宋体"/>
          <w:highlight w:val="none"/>
        </w:rPr>
        <w:t>年</w:t>
      </w:r>
      <w:r>
        <w:rPr>
          <w:rFonts w:hint="eastAsia" w:ascii="宋体" w:hAnsi="宋体" w:eastAsia="宋体" w:cs="宋体"/>
          <w:highlight w:val="none"/>
          <w:u w:val="single"/>
        </w:rPr>
        <w:tab/>
      </w:r>
      <w:r>
        <w:rPr>
          <w:rFonts w:hint="eastAsia" w:ascii="宋体" w:hAnsi="宋体" w:eastAsia="宋体" w:cs="宋体"/>
          <w:highlight w:val="none"/>
        </w:rPr>
        <w:t>月</w:t>
      </w:r>
      <w:r>
        <w:rPr>
          <w:rFonts w:hint="eastAsia" w:ascii="宋体" w:hAnsi="宋体" w:eastAsia="宋体" w:cs="宋体"/>
          <w:highlight w:val="none"/>
          <w:u w:val="single"/>
        </w:rPr>
        <w:tab/>
      </w:r>
      <w:r>
        <w:rPr>
          <w:rFonts w:hint="eastAsia" w:ascii="宋体" w:hAnsi="宋体" w:eastAsia="宋体" w:cs="宋体"/>
          <w:highlight w:val="none"/>
        </w:rPr>
        <w:t>日</w:t>
      </w:r>
      <w:r>
        <w:rPr>
          <w:rFonts w:hint="eastAsia" w:ascii="宋体" w:hAnsi="宋体" w:eastAsia="宋体" w:cs="宋体"/>
          <w:highlight w:val="none"/>
          <w:u w:val="single"/>
        </w:rPr>
        <w:tab/>
      </w:r>
      <w:r>
        <w:rPr>
          <w:rFonts w:hint="eastAsia" w:ascii="宋体" w:hAnsi="宋体" w:eastAsia="宋体" w:cs="宋体"/>
          <w:highlight w:val="none"/>
        </w:rPr>
        <w:t>时</w:t>
      </w:r>
      <w:r>
        <w:rPr>
          <w:rFonts w:hint="eastAsia" w:ascii="宋体" w:hAnsi="宋体" w:eastAsia="宋体" w:cs="宋体"/>
          <w:highlight w:val="none"/>
          <w:u w:val="single"/>
        </w:rPr>
        <w:tab/>
      </w:r>
      <w:r>
        <w:rPr>
          <w:rFonts w:hint="eastAsia" w:ascii="宋体" w:hAnsi="宋体" w:eastAsia="宋体" w:cs="宋体"/>
          <w:highlight w:val="none"/>
        </w:rPr>
        <w:t>分之前不得启封”字样。</w:t>
      </w:r>
    </w:p>
    <w:p>
      <w:pPr>
        <w:pStyle w:val="8"/>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1.3供应商必须将“电子版U盘”与“</w:t>
      </w:r>
      <w:r>
        <w:rPr>
          <w:rFonts w:hint="eastAsia" w:ascii="宋体" w:hAnsi="宋体" w:eastAsia="宋体" w:cs="宋体"/>
          <w:highlight w:val="none"/>
          <w:lang w:eastAsia="zh-CN"/>
        </w:rPr>
        <w:t>正本</w:t>
      </w:r>
      <w:r>
        <w:rPr>
          <w:rFonts w:hint="eastAsia" w:ascii="宋体" w:hAnsi="宋体" w:eastAsia="宋体" w:cs="宋体"/>
          <w:highlight w:val="none"/>
        </w:rPr>
        <w:t>”</w:t>
      </w:r>
      <w:r>
        <w:rPr>
          <w:rFonts w:hint="eastAsia" w:ascii="宋体" w:hAnsi="宋体" w:eastAsia="宋体" w:cs="宋体"/>
          <w:highlight w:val="none"/>
          <w:lang w:val="en-US" w:eastAsia="zh-CN"/>
        </w:rPr>
        <w:t>分别</w:t>
      </w:r>
      <w:r>
        <w:rPr>
          <w:rFonts w:hint="eastAsia" w:ascii="宋体" w:hAnsi="宋体" w:eastAsia="宋体" w:cs="宋体"/>
          <w:highlight w:val="none"/>
        </w:rPr>
        <w:t>密封提交，并在封面上注明项目名称、项目编号、投标单位名称（并加盖公章）及“在</w:t>
      </w:r>
      <w:r>
        <w:rPr>
          <w:rFonts w:hint="eastAsia" w:ascii="宋体" w:hAnsi="宋体" w:eastAsia="宋体" w:cs="宋体"/>
          <w:highlight w:val="none"/>
          <w:u w:val="single"/>
        </w:rPr>
        <w:tab/>
      </w:r>
      <w:r>
        <w:rPr>
          <w:rFonts w:hint="eastAsia" w:ascii="宋体" w:hAnsi="宋体" w:eastAsia="宋体" w:cs="宋体"/>
          <w:highlight w:val="none"/>
          <w:u w:val="single"/>
        </w:rPr>
        <w:t xml:space="preserve"> </w:t>
      </w:r>
      <w:r>
        <w:rPr>
          <w:rFonts w:hint="eastAsia" w:ascii="宋体" w:hAnsi="宋体" w:eastAsia="宋体" w:cs="宋体"/>
          <w:highlight w:val="none"/>
        </w:rPr>
        <w:t>年</w:t>
      </w:r>
      <w:r>
        <w:rPr>
          <w:rFonts w:hint="eastAsia" w:ascii="宋体" w:hAnsi="宋体" w:eastAsia="宋体" w:cs="宋体"/>
          <w:highlight w:val="none"/>
          <w:u w:val="single"/>
        </w:rPr>
        <w:tab/>
      </w:r>
      <w:r>
        <w:rPr>
          <w:rFonts w:hint="eastAsia" w:ascii="宋体" w:hAnsi="宋体" w:eastAsia="宋体" w:cs="宋体"/>
          <w:highlight w:val="none"/>
          <w:u w:val="single"/>
        </w:rPr>
        <w:t xml:space="preserve">  </w:t>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highlight w:val="none"/>
        </w:rPr>
        <w:t>日</w:t>
      </w:r>
      <w:r>
        <w:rPr>
          <w:rFonts w:hint="eastAsia" w:ascii="宋体" w:hAnsi="宋体" w:eastAsia="宋体" w:cs="宋体"/>
          <w:highlight w:val="none"/>
          <w:u w:val="single"/>
        </w:rPr>
        <w:tab/>
      </w:r>
      <w:r>
        <w:rPr>
          <w:rFonts w:hint="eastAsia" w:ascii="宋体" w:hAnsi="宋体" w:eastAsia="宋体" w:cs="宋体"/>
          <w:highlight w:val="none"/>
          <w:u w:val="single"/>
        </w:rPr>
        <w:t xml:space="preserve"> </w:t>
      </w:r>
      <w:r>
        <w:rPr>
          <w:rFonts w:hint="eastAsia" w:ascii="宋体" w:hAnsi="宋体" w:eastAsia="宋体" w:cs="宋体"/>
          <w:highlight w:val="none"/>
        </w:rPr>
        <w:t>时</w:t>
      </w:r>
      <w:r>
        <w:rPr>
          <w:rFonts w:hint="eastAsia" w:ascii="宋体" w:hAnsi="宋体" w:eastAsia="宋体" w:cs="宋体"/>
          <w:highlight w:val="none"/>
          <w:u w:val="single"/>
        </w:rPr>
        <w:tab/>
      </w:r>
      <w:r>
        <w:rPr>
          <w:rFonts w:hint="eastAsia" w:ascii="宋体" w:hAnsi="宋体" w:eastAsia="宋体" w:cs="宋体"/>
          <w:highlight w:val="none"/>
          <w:u w:val="single"/>
        </w:rPr>
        <w:t xml:space="preserve">  </w:t>
      </w:r>
      <w:r>
        <w:rPr>
          <w:rFonts w:hint="eastAsia" w:ascii="宋体" w:hAnsi="宋体" w:eastAsia="宋体" w:cs="宋体"/>
          <w:highlight w:val="none"/>
        </w:rPr>
        <w:t>分之前不得启封”字样。密封后粘贴密封条。</w:t>
      </w:r>
    </w:p>
    <w:p>
      <w:pPr>
        <w:pStyle w:val="8"/>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1.4未按本章第1.1项</w:t>
      </w:r>
      <w:r>
        <w:rPr>
          <w:rFonts w:hint="eastAsia" w:ascii="宋体" w:hAnsi="宋体" w:eastAsia="宋体" w:cs="宋体"/>
          <w:highlight w:val="none"/>
          <w:lang w:val="en-US" w:eastAsia="zh-CN"/>
        </w:rPr>
        <w:t>到</w:t>
      </w:r>
      <w:r>
        <w:rPr>
          <w:rFonts w:hint="eastAsia" w:ascii="宋体" w:hAnsi="宋体" w:eastAsia="宋体" w:cs="宋体"/>
          <w:highlight w:val="none"/>
        </w:rPr>
        <w:t>1.</w:t>
      </w:r>
      <w:r>
        <w:rPr>
          <w:rFonts w:hint="eastAsia" w:ascii="宋体" w:hAnsi="宋体" w:eastAsia="宋体" w:cs="宋体"/>
          <w:highlight w:val="none"/>
          <w:lang w:val="en-US" w:eastAsia="zh-CN"/>
        </w:rPr>
        <w:t>3</w:t>
      </w:r>
      <w:r>
        <w:rPr>
          <w:rFonts w:hint="eastAsia" w:ascii="宋体" w:hAnsi="宋体" w:eastAsia="宋体" w:cs="宋体"/>
          <w:highlight w:val="none"/>
        </w:rPr>
        <w:t>项密封和加写标记的磋商响应性文件, 造成磋商响应性文件被拒收的不利后果由供应商自行承担。</w:t>
      </w:r>
    </w:p>
    <w:p>
      <w:pPr>
        <w:pStyle w:val="8"/>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1.5 如果封口处未按要求密封和加写标记，招标代理机构对误投或过早启封概不负责。</w:t>
      </w:r>
    </w:p>
    <w:p>
      <w:pPr>
        <w:pStyle w:val="8"/>
        <w:kinsoku w:val="0"/>
        <w:overflowPunct w:val="0"/>
        <w:spacing w:before="151"/>
        <w:jc w:val="both"/>
        <w:rPr>
          <w:rFonts w:hint="eastAsia" w:ascii="宋体" w:hAnsi="宋体" w:eastAsia="宋体" w:cs="宋体"/>
          <w:b/>
          <w:bCs/>
          <w:highlight w:val="none"/>
        </w:rPr>
      </w:pPr>
      <w:r>
        <w:rPr>
          <w:rFonts w:hint="eastAsia" w:ascii="宋体" w:hAnsi="宋体" w:eastAsia="宋体" w:cs="宋体"/>
          <w:b/>
          <w:bCs/>
          <w:highlight w:val="none"/>
        </w:rPr>
        <w:t>2.磋商响应性文件的提交</w:t>
      </w:r>
    </w:p>
    <w:p>
      <w:pPr>
        <w:pStyle w:val="8"/>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2.1 供应商应按本须知前附表所规定的地点，于递交截止时间前提交磋商响应性文 件。</w:t>
      </w:r>
    </w:p>
    <w:p>
      <w:pPr>
        <w:pStyle w:val="8"/>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2.2 投标截止时间为《竞争性磋商文件》“供应商须知前附表”中规定时间，逾期送达的、未按竞争性磋商文件要求密封的《磋商响应性文件》招标代理机构和采购人概不接受。</w:t>
      </w:r>
    </w:p>
    <w:p>
      <w:pPr>
        <w:pStyle w:val="8"/>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2.3 采购人可按本须知规定以修改补充通知的方式，酌情延长提交磋商响应性文件 的截止时间。在此情况下，供应商的所有权利和义务以及供应商受制约的截止时间，均以延长后新的投标截止时间为准。</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2.4 到投标截止时间止，采购人收到的磋商响应性文件少于</w:t>
      </w:r>
      <w:r>
        <w:rPr>
          <w:rFonts w:hint="eastAsia" w:ascii="宋体" w:hAnsi="宋体" w:eastAsia="宋体" w:cs="宋体"/>
          <w:spacing w:val="4"/>
          <w:highlight w:val="none"/>
        </w:rPr>
        <w:t>《政府采购货物和服务招标投标管理办法》、《政府购买服务管理办法（暂行）》、《政府采购竞争性磋商采购方式管理暂行办法》、《财政部关于政府采购竞争性磋商采购方式管理暂行办法有关问题的补充通知》及相关法规</w:t>
      </w:r>
      <w:r>
        <w:rPr>
          <w:rFonts w:hint="eastAsia" w:ascii="宋体" w:hAnsi="宋体" w:eastAsia="宋体" w:cs="宋体"/>
          <w:highlight w:val="none"/>
        </w:rPr>
        <w:t>规定的家数，采购人将依法重新组织招标。</w:t>
      </w:r>
    </w:p>
    <w:p>
      <w:pPr>
        <w:pStyle w:val="8"/>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2.5 本次招标不接受邮寄的磋商响应性文件。</w:t>
      </w:r>
    </w:p>
    <w:p>
      <w:pPr>
        <w:pStyle w:val="8"/>
        <w:kinsoku w:val="0"/>
        <w:overflowPunct w:val="0"/>
        <w:spacing w:before="151"/>
        <w:jc w:val="both"/>
        <w:rPr>
          <w:rFonts w:hint="eastAsia" w:ascii="宋体" w:hAnsi="宋体" w:eastAsia="宋体" w:cs="宋体"/>
          <w:b/>
          <w:bCs/>
          <w:highlight w:val="none"/>
        </w:rPr>
      </w:pPr>
      <w:r>
        <w:rPr>
          <w:rFonts w:hint="eastAsia" w:ascii="宋体" w:hAnsi="宋体" w:eastAsia="宋体" w:cs="宋体"/>
          <w:b/>
          <w:bCs/>
          <w:highlight w:val="none"/>
        </w:rPr>
        <w:t xml:space="preserve">3.投标截止时间 </w:t>
      </w:r>
    </w:p>
    <w:p>
      <w:pPr>
        <w:pStyle w:val="8"/>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投标截止时间为“供应商须知前附表”中规定时间。</w:t>
      </w:r>
    </w:p>
    <w:p>
      <w:pPr>
        <w:pStyle w:val="8"/>
        <w:kinsoku w:val="0"/>
        <w:overflowPunct w:val="0"/>
        <w:spacing w:before="34" w:line="357" w:lineRule="auto"/>
        <w:ind w:left="598" w:right="101" w:hanging="480"/>
        <w:rPr>
          <w:rFonts w:hint="eastAsia" w:ascii="宋体" w:hAnsi="宋体" w:eastAsia="宋体" w:cs="宋体"/>
          <w:b/>
          <w:bCs/>
          <w:spacing w:val="27"/>
          <w:w w:val="99"/>
          <w:highlight w:val="none"/>
        </w:rPr>
      </w:pPr>
      <w:r>
        <w:rPr>
          <w:rFonts w:hint="eastAsia" w:ascii="宋体" w:hAnsi="宋体" w:eastAsia="宋体" w:cs="宋体"/>
          <w:b/>
          <w:bCs/>
          <w:highlight w:val="none"/>
        </w:rPr>
        <w:t>4.迟交的磋商响应性文件</w:t>
      </w:r>
      <w:r>
        <w:rPr>
          <w:rFonts w:hint="eastAsia" w:ascii="宋体" w:hAnsi="宋体" w:eastAsia="宋体" w:cs="宋体"/>
          <w:b/>
          <w:bCs/>
          <w:spacing w:val="27"/>
          <w:w w:val="99"/>
          <w:highlight w:val="none"/>
        </w:rPr>
        <w:t xml:space="preserve"> </w:t>
      </w:r>
    </w:p>
    <w:p>
      <w:pPr>
        <w:pStyle w:val="8"/>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采购人将拒绝并退回在其规定的截止时间后收到的任何磋商响应性文件。</w:t>
      </w:r>
    </w:p>
    <w:p>
      <w:pPr>
        <w:pStyle w:val="8"/>
        <w:kinsoku w:val="0"/>
        <w:overflowPunct w:val="0"/>
        <w:spacing w:before="34" w:line="357" w:lineRule="auto"/>
        <w:ind w:left="598" w:right="101" w:hanging="480"/>
        <w:rPr>
          <w:rFonts w:hint="eastAsia" w:ascii="宋体" w:hAnsi="宋体" w:eastAsia="宋体" w:cs="宋体"/>
          <w:b/>
          <w:bCs/>
          <w:highlight w:val="none"/>
        </w:rPr>
      </w:pPr>
      <w:r>
        <w:rPr>
          <w:rFonts w:hint="eastAsia" w:ascii="宋体" w:hAnsi="宋体" w:eastAsia="宋体" w:cs="宋体"/>
          <w:b/>
          <w:bCs/>
          <w:highlight w:val="none"/>
        </w:rPr>
        <w:t>5.磋商响应性文件的补充、修改与撤回</w:t>
      </w:r>
    </w:p>
    <w:p>
      <w:pPr>
        <w:pStyle w:val="8"/>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5.1 供应商在提交磋商响应性文件以后，在规定的投标截止时间之前，可以书面形式补充修改或撤回已提交的磋商响应性文件，并以书面形式通知采购人。补充、修改的内容为磋商响应性文件的组成部分。</w:t>
      </w:r>
    </w:p>
    <w:p>
      <w:pPr>
        <w:pStyle w:val="8"/>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5.2 供应商对磋商响应性文件的补充、修改，应按本须知有关规定密封、标记和提交，并在内外层磋商响应性文件密封袋上清楚标明“补充、修改”或“撤回”字样。</w:t>
      </w:r>
    </w:p>
    <w:p>
      <w:pPr>
        <w:pStyle w:val="8"/>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5.3 在投标截止时间之后，供应商不得补充、修改磋商响应性文件。</w:t>
      </w:r>
    </w:p>
    <w:p>
      <w:pPr>
        <w:pStyle w:val="8"/>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5.4 在投标截止时间至投标有效期满之前，供应商不得撤回其磋商响应性文件，否则其投标保证金将被没收。</w:t>
      </w:r>
    </w:p>
    <w:p>
      <w:pPr>
        <w:pStyle w:val="4"/>
        <w:rPr>
          <w:rFonts w:hint="eastAsia" w:ascii="宋体" w:hAnsi="宋体" w:eastAsia="宋体" w:cs="宋体"/>
          <w:highlight w:val="none"/>
          <w:lang w:eastAsia="zh-CN"/>
        </w:rPr>
      </w:pPr>
      <w:bookmarkStart w:id="58" w:name="_Toc1690"/>
      <w:r>
        <w:rPr>
          <w:rFonts w:hint="eastAsia" w:ascii="宋体" w:hAnsi="宋体" w:eastAsia="宋体" w:cs="宋体"/>
          <w:highlight w:val="none"/>
        </w:rPr>
        <w:t>（</w:t>
      </w:r>
      <w:r>
        <w:rPr>
          <w:rFonts w:hint="eastAsia" w:ascii="宋体" w:hAnsi="宋体" w:eastAsia="宋体" w:cs="宋体"/>
          <w:highlight w:val="none"/>
          <w:lang w:eastAsia="zh-CN"/>
        </w:rPr>
        <w:t>六</w:t>
      </w:r>
      <w:r>
        <w:rPr>
          <w:rFonts w:hint="eastAsia" w:ascii="宋体" w:hAnsi="宋体" w:eastAsia="宋体" w:cs="宋体"/>
          <w:highlight w:val="none"/>
        </w:rPr>
        <w:t>）</w:t>
      </w:r>
      <w:r>
        <w:rPr>
          <w:rFonts w:hint="eastAsia" w:ascii="宋体" w:hAnsi="宋体" w:eastAsia="宋体" w:cs="宋体"/>
          <w:highlight w:val="none"/>
          <w:lang w:eastAsia="zh-CN"/>
        </w:rPr>
        <w:t>磋商</w:t>
      </w:r>
      <w:bookmarkEnd w:id="58"/>
    </w:p>
    <w:p>
      <w:pPr>
        <w:pStyle w:val="8"/>
        <w:kinsoku w:val="0"/>
        <w:overflowPunct w:val="0"/>
        <w:spacing w:before="35"/>
        <w:rPr>
          <w:rFonts w:hint="eastAsia" w:ascii="宋体" w:hAnsi="宋体" w:eastAsia="宋体" w:cs="宋体"/>
          <w:b/>
          <w:bCs/>
          <w:spacing w:val="1"/>
          <w:highlight w:val="none"/>
        </w:rPr>
      </w:pPr>
      <w:r>
        <w:rPr>
          <w:rFonts w:hint="eastAsia" w:ascii="宋体" w:hAnsi="宋体" w:eastAsia="宋体" w:cs="宋体"/>
          <w:b/>
          <w:bCs/>
          <w:spacing w:val="1"/>
          <w:highlight w:val="none"/>
        </w:rPr>
        <w:t>1.磋商小组</w:t>
      </w:r>
    </w:p>
    <w:p>
      <w:pPr>
        <w:pStyle w:val="8"/>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1.1</w:t>
      </w:r>
      <w:r>
        <w:rPr>
          <w:rFonts w:hint="eastAsia" w:ascii="宋体" w:hAnsi="宋体" w:eastAsia="宋体" w:cs="宋体"/>
          <w:highlight w:val="none"/>
        </w:rPr>
        <w:tab/>
      </w:r>
      <w:r>
        <w:rPr>
          <w:rFonts w:hint="eastAsia" w:ascii="宋体" w:hAnsi="宋体" w:eastAsia="宋体" w:cs="宋体"/>
          <w:spacing w:val="1"/>
          <w:highlight w:val="none"/>
        </w:rPr>
        <w:t>评标由采购人依法组建的磋商小组负责。磋商小组由采购人熟悉相关业务</w:t>
      </w:r>
      <w:r>
        <w:rPr>
          <w:rFonts w:hint="eastAsia" w:ascii="宋体" w:hAnsi="宋体" w:eastAsia="宋体" w:cs="宋体"/>
          <w:highlight w:val="none"/>
        </w:rPr>
        <w:t>的代表，以及有关技术、经济等方面的专家三人的单数组成。</w:t>
      </w:r>
    </w:p>
    <w:p>
      <w:pPr>
        <w:pStyle w:val="8"/>
        <w:tabs>
          <w:tab w:val="left" w:pos="1438"/>
        </w:tabs>
        <w:kinsoku w:val="0"/>
        <w:overflowPunct w:val="0"/>
        <w:spacing w:before="36"/>
        <w:ind w:left="598"/>
        <w:rPr>
          <w:rFonts w:hint="eastAsia" w:ascii="宋体" w:hAnsi="宋体" w:eastAsia="宋体" w:cs="宋体"/>
          <w:highlight w:val="none"/>
        </w:rPr>
      </w:pPr>
      <w:r>
        <w:rPr>
          <w:rFonts w:hint="eastAsia" w:ascii="宋体" w:hAnsi="宋体" w:eastAsia="宋体" w:cs="宋体"/>
          <w:highlight w:val="none"/>
        </w:rPr>
        <w:t>1.2 磋商小组成员有下列情形之一的，应当回避；</w:t>
      </w:r>
    </w:p>
    <w:p>
      <w:pPr>
        <w:pStyle w:val="8"/>
        <w:kinsoku w:val="0"/>
        <w:overflowPunct w:val="0"/>
        <w:ind w:left="598"/>
        <w:rPr>
          <w:rFonts w:hint="eastAsia" w:ascii="宋体" w:hAnsi="宋体" w:eastAsia="宋体" w:cs="宋体"/>
          <w:highlight w:val="none"/>
        </w:rPr>
      </w:pPr>
      <w:r>
        <w:rPr>
          <w:rFonts w:hint="eastAsia" w:ascii="宋体" w:hAnsi="宋体" w:eastAsia="宋体" w:cs="宋体"/>
          <w:highlight w:val="none"/>
        </w:rPr>
        <w:t>（1）采购人或供应商的主要负责人的近亲属。</w:t>
      </w:r>
    </w:p>
    <w:p>
      <w:pPr>
        <w:pStyle w:val="8"/>
        <w:kinsoku w:val="0"/>
        <w:overflowPunct w:val="0"/>
        <w:ind w:left="598"/>
        <w:rPr>
          <w:rFonts w:hint="eastAsia" w:ascii="宋体" w:hAnsi="宋体" w:eastAsia="宋体" w:cs="宋体"/>
          <w:highlight w:val="none"/>
        </w:rPr>
      </w:pPr>
      <w:r>
        <w:rPr>
          <w:rFonts w:hint="eastAsia" w:ascii="宋体" w:hAnsi="宋体" w:eastAsia="宋体" w:cs="宋体"/>
          <w:highlight w:val="none"/>
        </w:rPr>
        <w:t>（2）项目主管部门或者行政监督部门的人员。</w:t>
      </w:r>
    </w:p>
    <w:p>
      <w:pPr>
        <w:pStyle w:val="8"/>
        <w:kinsoku w:val="0"/>
        <w:overflowPunct w:val="0"/>
        <w:spacing w:before="151"/>
        <w:ind w:left="598"/>
        <w:rPr>
          <w:rFonts w:hint="eastAsia" w:ascii="宋体" w:hAnsi="宋体" w:eastAsia="宋体" w:cs="宋体"/>
          <w:highlight w:val="none"/>
        </w:rPr>
      </w:pPr>
      <w:r>
        <w:rPr>
          <w:rFonts w:hint="eastAsia" w:ascii="宋体" w:hAnsi="宋体" w:eastAsia="宋体" w:cs="宋体"/>
          <w:highlight w:val="none"/>
        </w:rPr>
        <w:t>（3）与供应商有经济利益关系，可能影响对投标公正评审的。</w:t>
      </w:r>
    </w:p>
    <w:p>
      <w:pPr>
        <w:pStyle w:val="8"/>
        <w:kinsoku w:val="0"/>
        <w:overflowPunct w:val="0"/>
        <w:spacing w:line="355" w:lineRule="auto"/>
        <w:ind w:right="50" w:firstLine="480"/>
        <w:rPr>
          <w:rFonts w:hint="eastAsia" w:ascii="宋体" w:hAnsi="宋体" w:eastAsia="宋体" w:cs="宋体"/>
          <w:highlight w:val="none"/>
        </w:rPr>
      </w:pPr>
      <w:r>
        <w:rPr>
          <w:rFonts w:hint="eastAsia" w:ascii="宋体" w:hAnsi="宋体" w:eastAsia="宋体" w:cs="宋体"/>
          <w:spacing w:val="1"/>
          <w:highlight w:val="none"/>
        </w:rPr>
        <w:t>（4）曾因在招标、评标以及其他与招标投标有关活动中从事违法行为而受过行政</w:t>
      </w:r>
      <w:r>
        <w:rPr>
          <w:rFonts w:hint="eastAsia" w:ascii="宋体" w:hAnsi="宋体" w:eastAsia="宋体" w:cs="宋体"/>
          <w:highlight w:val="none"/>
        </w:rPr>
        <w:t>处罚或刑事处罚的。</w:t>
      </w:r>
    </w:p>
    <w:p>
      <w:pPr>
        <w:pStyle w:val="8"/>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（5）其它可能影响公正评标的情形。</w:t>
      </w:r>
    </w:p>
    <w:p>
      <w:pPr>
        <w:pStyle w:val="8"/>
        <w:kinsoku w:val="0"/>
        <w:overflowPunct w:val="0"/>
        <w:spacing w:before="35"/>
        <w:rPr>
          <w:rFonts w:hint="eastAsia" w:ascii="宋体" w:hAnsi="宋体" w:eastAsia="宋体" w:cs="宋体"/>
          <w:b/>
          <w:bCs/>
          <w:spacing w:val="1"/>
          <w:highlight w:val="none"/>
        </w:rPr>
      </w:pPr>
      <w:r>
        <w:rPr>
          <w:rFonts w:hint="eastAsia" w:ascii="宋体" w:hAnsi="宋体" w:eastAsia="宋体" w:cs="宋体"/>
          <w:b/>
          <w:bCs/>
          <w:spacing w:val="1"/>
          <w:highlight w:val="none"/>
        </w:rPr>
        <w:t>2.评标原则</w:t>
      </w:r>
    </w:p>
    <w:p>
      <w:pPr>
        <w:pStyle w:val="8"/>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2.1 本次磋商遵循公开透明、公平竞争、公正和诚实信用的原则。磋商小组成员按照客观、公正、审慎的原则，根据磋商文件规定的评审程序、评审方法和评审标准进行独立评审。未实质性响应磋商文件的响应文件按无效响应处理，并告知提交响应文件的供应商。</w:t>
      </w:r>
    </w:p>
    <w:p>
      <w:pPr>
        <w:pStyle w:val="8"/>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2.2 项目实施机构成立磋商小组，负责本次项目采购的磋商工作，磋商小组由业主代表与技术、经济等方面专家组成共3人以上组成，其中评审专家人数不得少于磋商小组成员总数的2/3。评审专家应当从政府采购评审庄家库内相关专业的专家名单中随机抽取，符合本办法（财库214号文）第三条第四项规定情形的项目，以及特殊情况。磋商小组应当根据综合评分情况，按照评审得分由高到低顺序推荐 3 名成交候选供应商，并编写评审报告。评审得分相同的，按照最后报价由低到高的顺序推荐；评审得分且最后报价相同的，按照技术指标优劣顺序推荐。</w:t>
      </w:r>
    </w:p>
    <w:p>
      <w:pPr>
        <w:pStyle w:val="8"/>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2.3 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pStyle w:val="8"/>
        <w:kinsoku w:val="0"/>
        <w:overflowPunct w:val="0"/>
        <w:spacing w:before="35" w:line="357" w:lineRule="auto"/>
        <w:ind w:left="598" w:right="238" w:hanging="480"/>
        <w:rPr>
          <w:rFonts w:hint="eastAsia" w:ascii="宋体" w:hAnsi="宋体" w:eastAsia="宋体" w:cs="宋体"/>
          <w:b/>
          <w:bCs/>
          <w:spacing w:val="22"/>
          <w:w w:val="99"/>
          <w:highlight w:val="none"/>
        </w:rPr>
      </w:pPr>
      <w:r>
        <w:rPr>
          <w:rFonts w:hint="eastAsia" w:ascii="宋体" w:hAnsi="宋体" w:eastAsia="宋体" w:cs="宋体"/>
          <w:b/>
          <w:bCs/>
          <w:w w:val="95"/>
          <w:highlight w:val="none"/>
        </w:rPr>
        <w:t>3.</w:t>
      </w:r>
      <w:r>
        <w:rPr>
          <w:rFonts w:hint="eastAsia" w:ascii="宋体" w:hAnsi="宋体" w:eastAsia="宋体" w:cs="宋体"/>
          <w:b/>
          <w:bCs/>
          <w:highlight w:val="none"/>
        </w:rPr>
        <w:t>评标</w:t>
      </w:r>
      <w:r>
        <w:rPr>
          <w:rFonts w:hint="eastAsia" w:ascii="宋体" w:hAnsi="宋体" w:eastAsia="宋体" w:cs="宋体"/>
          <w:b/>
          <w:bCs/>
          <w:spacing w:val="22"/>
          <w:w w:val="99"/>
          <w:highlight w:val="none"/>
        </w:rPr>
        <w:t xml:space="preserve"> </w:t>
      </w:r>
    </w:p>
    <w:p>
      <w:pPr>
        <w:pStyle w:val="8"/>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3.1磋商小组按照竞争性磋商文件中规定的方法、评审因素、标准和程序对磋商应性文件进行评审。竞争性磋商文件中没有规定的方法、评审因素和标准，不作为评标依据。 详见“评标办法”内容。</w:t>
      </w:r>
    </w:p>
    <w:p>
      <w:pPr>
        <w:pStyle w:val="8"/>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3.2评标过程严格保密。供应商对评委会的评标过程或合同授予决定施加影响的任何行为都可能导致其投标被拒绝。</w:t>
      </w:r>
    </w:p>
    <w:p>
      <w:pPr>
        <w:pStyle w:val="8"/>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3.3 在评标期间，评委会可要求供应商对其磋商响应性文件中非实质性的有关问题进行 澄清、说明或者补正。有关澄清、说明或者补正的要求和答复应以书面形式提交。供应 商的澄清、说明或者补正不得超出磋商响应性文件的范围或者改变磋商响应性文件的实 质性内容。</w:t>
      </w:r>
    </w:p>
    <w:p>
      <w:pPr>
        <w:pStyle w:val="8"/>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3.4 评委会认定实质性响应竞争性磋商文件的投标是磋商响应性文件与竞争性磋商文件 要求的全部条款、条件和规格相符，没有实质性负偏离。评委会评审磋商响应性文件的 响应性依据是磋商响应性文件本身的内容，而不寻求外部的证据。</w:t>
      </w:r>
    </w:p>
    <w:p>
      <w:pPr>
        <w:pStyle w:val="8"/>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3.5 如果磋商响应性文件没有实质性响应竞争性磋商文件的要求，评委会将予以拒绝。 供应商不得通过修正或撤消不合要求的偏离或保留从而使其投标成为实质性响应的投 标。</w:t>
      </w:r>
    </w:p>
    <w:p>
      <w:pPr>
        <w:pStyle w:val="8"/>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3.6 评委会只对确定为实质性响应竞争性磋商文件要求的磋商响应性文件，根据竞争性 磋商文件的评审标准采用相同的评标程序、评分办法进行评价和比较。</w:t>
      </w:r>
    </w:p>
    <w:p>
      <w:pPr>
        <w:pStyle w:val="4"/>
        <w:rPr>
          <w:rFonts w:hint="eastAsia" w:ascii="宋体" w:hAnsi="宋体" w:eastAsia="宋体" w:cs="宋体"/>
          <w:highlight w:val="none"/>
        </w:rPr>
      </w:pPr>
      <w:bookmarkStart w:id="59" w:name="_Toc11796"/>
      <w:r>
        <w:rPr>
          <w:rFonts w:hint="eastAsia" w:ascii="宋体" w:hAnsi="宋体" w:eastAsia="宋体" w:cs="宋体"/>
          <w:highlight w:val="none"/>
        </w:rPr>
        <w:t>（</w:t>
      </w:r>
      <w:r>
        <w:rPr>
          <w:rFonts w:hint="eastAsia" w:ascii="宋体" w:hAnsi="宋体" w:eastAsia="宋体" w:cs="宋体"/>
          <w:highlight w:val="none"/>
          <w:lang w:eastAsia="zh-CN"/>
        </w:rPr>
        <w:t>七</w:t>
      </w:r>
      <w:r>
        <w:rPr>
          <w:rFonts w:hint="eastAsia" w:ascii="宋体" w:hAnsi="宋体" w:eastAsia="宋体" w:cs="宋体"/>
          <w:highlight w:val="none"/>
        </w:rPr>
        <w:t>）定标</w:t>
      </w:r>
      <w:bookmarkEnd w:id="59"/>
    </w:p>
    <w:p>
      <w:pPr>
        <w:pStyle w:val="8"/>
        <w:kinsoku w:val="0"/>
        <w:overflowPunct w:val="0"/>
        <w:spacing w:before="35" w:line="357" w:lineRule="auto"/>
        <w:ind w:left="598" w:right="238" w:hanging="480"/>
        <w:rPr>
          <w:rFonts w:hint="eastAsia" w:ascii="宋体" w:hAnsi="宋体" w:eastAsia="宋体" w:cs="宋体"/>
          <w:b/>
          <w:bCs/>
          <w:w w:val="95"/>
          <w:highlight w:val="none"/>
        </w:rPr>
      </w:pPr>
      <w:r>
        <w:rPr>
          <w:rFonts w:hint="eastAsia" w:ascii="宋体" w:hAnsi="宋体" w:eastAsia="宋体" w:cs="宋体"/>
          <w:b/>
          <w:bCs/>
          <w:w w:val="95"/>
          <w:highlight w:val="none"/>
        </w:rPr>
        <w:t>1.定标</w:t>
      </w:r>
    </w:p>
    <w:p>
      <w:pPr>
        <w:spacing w:line="360" w:lineRule="auto"/>
        <w:ind w:firstLine="480" w:firstLineChars="200"/>
        <w:rPr>
          <w:rFonts w:hint="eastAsia" w:ascii="宋体" w:hAnsi="宋体" w:eastAsia="宋体" w:cs="宋体"/>
          <w:b/>
          <w:bCs/>
          <w:w w:val="95"/>
          <w:kern w:val="0"/>
          <w:sz w:val="24"/>
          <w:szCs w:val="24"/>
          <w:highlight w:val="none"/>
        </w:rPr>
      </w:pPr>
      <w:r>
        <w:rPr>
          <w:rFonts w:hint="eastAsia" w:ascii="宋体" w:hAnsi="宋体" w:eastAsia="宋体" w:cs="宋体"/>
          <w:sz w:val="24"/>
          <w:szCs w:val="24"/>
          <w:highlight w:val="none"/>
        </w:rPr>
        <w:t>1.1 定标原则：磋商小组按照公开、公平、公正、诚实信用的原则对待参与磋商的供应商的响应文件；经磋商确定最终采购需求和提交最后报价的供应商后，由磋商小组采用综合评分法对提交最后报价的供应商的响应文件和最后报价进行综合评分。</w:t>
      </w:r>
      <w:r>
        <w:rPr>
          <w:rFonts w:hint="eastAsia" w:ascii="宋体" w:hAnsi="宋体" w:eastAsia="宋体" w:cs="宋体"/>
          <w:kern w:val="0"/>
          <w:sz w:val="24"/>
          <w:szCs w:val="24"/>
          <w:highlight w:val="none"/>
        </w:rPr>
        <w:t xml:space="preserve">能够最大限度满足竞争性磋商文件中规定的各项综合评价标准且得分最高（但投标价格低于成本价的除外）。 </w:t>
      </w:r>
    </w:p>
    <w:p>
      <w:pPr>
        <w:pStyle w:val="8"/>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1.2 定标方法：综合评分法。</w:t>
      </w:r>
    </w:p>
    <w:p>
      <w:pPr>
        <w:pStyle w:val="8"/>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1.3 定标方式：根据评委会推荐的中标候选人名单，采购人确定中标人。</w:t>
      </w:r>
    </w:p>
    <w:p>
      <w:pPr>
        <w:pStyle w:val="8"/>
        <w:kinsoku w:val="0"/>
        <w:overflowPunct w:val="0"/>
        <w:spacing w:before="35" w:line="357" w:lineRule="auto"/>
        <w:ind w:left="598" w:right="238" w:hanging="480"/>
        <w:rPr>
          <w:rFonts w:hint="eastAsia" w:ascii="宋体" w:hAnsi="宋体" w:eastAsia="宋体" w:cs="宋体"/>
          <w:b/>
          <w:bCs/>
          <w:w w:val="95"/>
          <w:highlight w:val="none"/>
        </w:rPr>
      </w:pPr>
      <w:r>
        <w:rPr>
          <w:rFonts w:hint="eastAsia" w:ascii="宋体" w:hAnsi="宋体" w:eastAsia="宋体" w:cs="宋体"/>
          <w:b/>
          <w:bCs/>
          <w:w w:val="95"/>
          <w:highlight w:val="none"/>
        </w:rPr>
        <w:t>2.定标程序</w:t>
      </w:r>
    </w:p>
    <w:p>
      <w:pPr>
        <w:pStyle w:val="8"/>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2.1 磋商小组按照综合评审打分结果由高到低排列顺序。综合得分相同的，按投标报价由低到高顺序排列。得分且投标报价相同的，按技术指标优劣顺序排列。前三名的供应商为拟中标候选人。</w:t>
      </w:r>
    </w:p>
    <w:p>
      <w:pPr>
        <w:pStyle w:val="8"/>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2.2 采购人根据书面评标报告和被推荐的中标候选人，确定得分最高的供应商为拟中标供单位。</w:t>
      </w:r>
    </w:p>
    <w:p>
      <w:pPr>
        <w:spacing w:line="360" w:lineRule="auto"/>
        <w:ind w:left="105" w:leftChars="50" w:firstLine="525" w:firstLineChars="250"/>
        <w:rPr>
          <w:rFonts w:hint="eastAsia" w:ascii="宋体" w:hAnsi="宋体" w:eastAsia="宋体" w:cs="宋体"/>
          <w:sz w:val="24"/>
          <w:szCs w:val="24"/>
          <w:highlight w:val="none"/>
        </w:rPr>
      </w:pPr>
      <w:r>
        <w:rPr>
          <w:rFonts w:hint="eastAsia" w:ascii="宋体" w:hAnsi="宋体" w:eastAsia="宋体" w:cs="宋体"/>
          <w:highlight w:val="none"/>
        </w:rPr>
        <w:t xml:space="preserve">2.3 </w:t>
      </w:r>
      <w:r>
        <w:rPr>
          <w:rFonts w:hint="eastAsia" w:ascii="宋体" w:hAnsi="宋体" w:eastAsia="宋体" w:cs="宋体"/>
          <w:sz w:val="24"/>
          <w:szCs w:val="24"/>
          <w:highlight w:val="none"/>
        </w:rPr>
        <w:t>中标结果在“新疆政府采购网” 上予以公告。同时向中标人发出中标通知书。</w:t>
      </w:r>
    </w:p>
    <w:p>
      <w:pPr>
        <w:pStyle w:val="8"/>
        <w:kinsoku w:val="0"/>
        <w:overflowPunct w:val="0"/>
        <w:spacing w:before="151"/>
        <w:rPr>
          <w:rFonts w:hint="eastAsia" w:ascii="宋体" w:hAnsi="宋体" w:eastAsia="宋体" w:cs="宋体"/>
          <w:highlight w:val="none"/>
        </w:rPr>
      </w:pPr>
      <w:r>
        <w:rPr>
          <w:rFonts w:hint="eastAsia" w:ascii="宋体" w:hAnsi="宋体" w:eastAsia="宋体" w:cs="宋体"/>
          <w:b/>
          <w:bCs/>
          <w:highlight w:val="none"/>
        </w:rPr>
        <w:t>3.中标通知书</w:t>
      </w:r>
    </w:p>
    <w:p>
      <w:pPr>
        <w:pStyle w:val="8"/>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3.1 中标结果在公示期满无质疑或投诉后，该结果将作为正式中标或签订《采购合同》的凭据。招标代理机构将以书面形式《中标通知书》通知中标的供应商其投标被接受。在该通知书发出三十日内，中标单位应与采购人签订采购合同。</w:t>
      </w:r>
    </w:p>
    <w:p>
      <w:pPr>
        <w:pStyle w:val="8"/>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3.2 中标通知书为签订政府采购合同的依据，是合同的有效组成部分。</w:t>
      </w:r>
    </w:p>
    <w:p>
      <w:pPr>
        <w:pStyle w:val="8"/>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3.3 中标通知书对采购人和中标人均具有法律效力。中标通知书发出后，采购人改变中标结果，或者中标人无正当理由放弃中标的，应当承担相应的法律责任。</w:t>
      </w:r>
    </w:p>
    <w:p>
      <w:pPr>
        <w:pStyle w:val="8"/>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3.4 中标人的磋商响应性文件本应作为无效投标处理或者有政府采购法律法规规章制度规定的中标无效情形的，招标代理机构在取得有权主体的认定以后，应当宣布发出的中标通知书无效，并收回发出的中标通知书（中标人也应当缴回），依法重新确定中标人或者重新开展采购活动。</w:t>
      </w:r>
    </w:p>
    <w:p>
      <w:pPr>
        <w:pStyle w:val="4"/>
        <w:rPr>
          <w:rFonts w:hint="eastAsia" w:ascii="宋体" w:hAnsi="宋体" w:eastAsia="宋体" w:cs="宋体"/>
          <w:highlight w:val="none"/>
        </w:rPr>
      </w:pPr>
      <w:bookmarkStart w:id="60" w:name="_Toc23542"/>
      <w:r>
        <w:rPr>
          <w:rFonts w:hint="eastAsia" w:ascii="宋体" w:hAnsi="宋体" w:eastAsia="宋体" w:cs="宋体"/>
          <w:highlight w:val="none"/>
        </w:rPr>
        <w:t>（</w:t>
      </w:r>
      <w:r>
        <w:rPr>
          <w:rFonts w:hint="eastAsia" w:ascii="宋体" w:hAnsi="宋体" w:eastAsia="宋体" w:cs="宋体"/>
          <w:highlight w:val="none"/>
          <w:lang w:eastAsia="zh-CN"/>
        </w:rPr>
        <w:t>八</w:t>
      </w:r>
      <w:r>
        <w:rPr>
          <w:rFonts w:hint="eastAsia" w:ascii="宋体" w:hAnsi="宋体" w:eastAsia="宋体" w:cs="宋体"/>
          <w:highlight w:val="none"/>
        </w:rPr>
        <w:t>）合同签订及履行</w:t>
      </w:r>
      <w:bookmarkEnd w:id="60"/>
    </w:p>
    <w:p>
      <w:pPr>
        <w:pStyle w:val="8"/>
        <w:kinsoku w:val="0"/>
        <w:overflowPunct w:val="0"/>
        <w:spacing w:before="151"/>
        <w:rPr>
          <w:rFonts w:hint="eastAsia" w:ascii="宋体" w:hAnsi="宋体" w:eastAsia="宋体" w:cs="宋体"/>
          <w:b/>
          <w:bCs/>
          <w:highlight w:val="none"/>
        </w:rPr>
      </w:pPr>
      <w:r>
        <w:rPr>
          <w:rFonts w:hint="eastAsia" w:ascii="宋体" w:hAnsi="宋体" w:eastAsia="宋体" w:cs="宋体"/>
          <w:b/>
          <w:bCs/>
          <w:highlight w:val="none"/>
        </w:rPr>
        <w:t>1.合同授予原则</w:t>
      </w:r>
    </w:p>
    <w:p>
      <w:pPr>
        <w:pStyle w:val="8"/>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1.1 采购人将把合同授予经磋商小组评议推荐，在法定公示时间后，收到《中标通知书》的投标单位。若因中标单位违约或因不可抗力等原因不能被授予合同，则合同将授予排序在该中标单位之后的下一个供应商，以此类推。</w:t>
      </w:r>
    </w:p>
    <w:p>
      <w:pPr>
        <w:pStyle w:val="8"/>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1.2 采购人保留在签订合同时调整方案需求和变动所购服务内容的权力。</w:t>
      </w:r>
    </w:p>
    <w:p>
      <w:pPr>
        <w:pStyle w:val="8"/>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1.3 采购人不得向中标人提出任何不合理的要求，作为签订合同的条件，不得与中标人私下订立背离合同实质性内容的任何协议，所签订的合同不得对竞争性磋商文件和中标人磋商响应性文件作实质性修改。</w:t>
      </w:r>
    </w:p>
    <w:p>
      <w:pPr>
        <w:pStyle w:val="8"/>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1.4 中标人应当按照合同约定履行义务，完成中标项目的设计任务，不得将中标项目的转让（转包）给他人。</w:t>
      </w:r>
    </w:p>
    <w:p>
      <w:pPr>
        <w:pStyle w:val="8"/>
        <w:kinsoku w:val="0"/>
        <w:overflowPunct w:val="0"/>
        <w:spacing w:before="34"/>
        <w:rPr>
          <w:rFonts w:hint="eastAsia" w:ascii="宋体" w:hAnsi="宋体" w:eastAsia="宋体" w:cs="宋体"/>
          <w:highlight w:val="none"/>
        </w:rPr>
      </w:pPr>
      <w:r>
        <w:rPr>
          <w:rFonts w:hint="eastAsia" w:ascii="宋体" w:hAnsi="宋体" w:eastAsia="宋体" w:cs="宋体"/>
          <w:b/>
          <w:bCs/>
          <w:highlight w:val="none"/>
        </w:rPr>
        <w:t>2.合同的签署</w:t>
      </w:r>
    </w:p>
    <w:p>
      <w:pPr>
        <w:pStyle w:val="8"/>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2.1 中标人依据《中标通知书》与采购人签订合同，签订时间为《中标通知书》发出之日起三十日内。</w:t>
      </w:r>
    </w:p>
    <w:p>
      <w:pPr>
        <w:pStyle w:val="8"/>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2.2 中标单位按《中标通知书》中规定的时间和地点，在招标代理机构监督下，由法定代表人或授权代表与采购人签订合同。采购人与中标单位是合同权利与义务的直接全部责任承担人。所发出的《中标通知书》对采购人和中标单位具有同等法律效力。</w:t>
      </w:r>
    </w:p>
    <w:p>
      <w:pPr>
        <w:pStyle w:val="8"/>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2.3《中标通知书》发出后，采购人拒绝签订《采购合同》或擅自改变中标内容，按照《中华人民共和国合同法》定金罚则及损害赔偿的原则处罚并办理。若由于中标单位的原因逾期未与采购人签订采购合同的，将视为放弃中标，取消其中标资格并将按照《中华人民共和国政府采购法》相关规定进行处理。</w:t>
      </w:r>
    </w:p>
    <w:p>
      <w:pPr>
        <w:pStyle w:val="8"/>
        <w:kinsoku w:val="0"/>
        <w:overflowPunct w:val="0"/>
        <w:spacing w:before="37" w:line="357" w:lineRule="auto"/>
        <w:ind w:right="2481"/>
        <w:rPr>
          <w:rFonts w:hint="eastAsia" w:ascii="宋体" w:hAnsi="宋体" w:eastAsia="宋体" w:cs="宋体"/>
          <w:highlight w:val="none"/>
        </w:rPr>
      </w:pPr>
      <w:r>
        <w:rPr>
          <w:rFonts w:hint="eastAsia" w:ascii="宋体" w:hAnsi="宋体" w:eastAsia="宋体" w:cs="宋体"/>
          <w:b/>
          <w:bCs/>
          <w:highlight w:val="none"/>
        </w:rPr>
        <w:t>3.履行合同</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3.1 中标人与采购人签订合同后，合同双方应严格执行合同条款，履行合同规定的义务，保证合同的顺利完成。</w:t>
      </w:r>
    </w:p>
    <w:p>
      <w:pPr>
        <w:pStyle w:val="8"/>
        <w:kinsoku w:val="0"/>
        <w:overflowPunct w:val="0"/>
        <w:spacing w:before="34" w:line="355" w:lineRule="auto"/>
        <w:ind w:right="126" w:firstLine="480"/>
        <w:jc w:val="both"/>
        <w:rPr>
          <w:rFonts w:hint="eastAsia" w:ascii="宋体" w:hAnsi="宋体" w:eastAsia="宋体" w:cs="宋体"/>
          <w:highlight w:val="none"/>
        </w:rPr>
      </w:pPr>
      <w:r>
        <w:rPr>
          <w:rFonts w:hint="eastAsia" w:ascii="宋体" w:hAnsi="宋体" w:eastAsia="宋体" w:cs="宋体"/>
          <w:highlight w:val="none"/>
        </w:rPr>
        <w:t>3.2 在合同履行过程中，如发生合同纠纷，合同双方应按照《合同法》的有关规定进行处理。</w:t>
      </w:r>
    </w:p>
    <w:p>
      <w:pPr>
        <w:pStyle w:val="4"/>
        <w:rPr>
          <w:rFonts w:hint="eastAsia" w:ascii="宋体" w:hAnsi="宋体" w:eastAsia="宋体" w:cs="宋体"/>
          <w:highlight w:val="none"/>
        </w:rPr>
      </w:pPr>
      <w:bookmarkStart w:id="61" w:name="_Toc23631"/>
      <w:r>
        <w:rPr>
          <w:rFonts w:hint="eastAsia" w:ascii="宋体" w:hAnsi="宋体" w:eastAsia="宋体" w:cs="宋体"/>
          <w:highlight w:val="none"/>
        </w:rPr>
        <w:t>（</w:t>
      </w:r>
      <w:r>
        <w:rPr>
          <w:rFonts w:hint="eastAsia" w:ascii="宋体" w:hAnsi="宋体" w:eastAsia="宋体" w:cs="宋体"/>
          <w:highlight w:val="none"/>
          <w:lang w:eastAsia="zh-CN"/>
        </w:rPr>
        <w:t>九</w:t>
      </w:r>
      <w:r>
        <w:rPr>
          <w:rFonts w:hint="eastAsia" w:ascii="宋体" w:hAnsi="宋体" w:eastAsia="宋体" w:cs="宋体"/>
          <w:highlight w:val="none"/>
        </w:rPr>
        <w:t>）重新招标和不再招标</w:t>
      </w:r>
      <w:bookmarkEnd w:id="61"/>
    </w:p>
    <w:p>
      <w:pPr>
        <w:pStyle w:val="8"/>
        <w:kinsoku w:val="0"/>
        <w:overflowPunct w:val="0"/>
        <w:spacing w:before="37" w:line="357" w:lineRule="auto"/>
        <w:ind w:right="2481"/>
        <w:rPr>
          <w:rFonts w:hint="eastAsia" w:ascii="宋体" w:hAnsi="宋体" w:eastAsia="宋体" w:cs="宋体"/>
          <w:b/>
          <w:bCs/>
          <w:highlight w:val="none"/>
        </w:rPr>
      </w:pPr>
      <w:r>
        <w:rPr>
          <w:rFonts w:hint="eastAsia" w:ascii="宋体" w:hAnsi="宋体" w:eastAsia="宋体" w:cs="宋体"/>
          <w:b/>
          <w:bCs/>
          <w:highlight w:val="none"/>
        </w:rPr>
        <w:t>1．重新招标</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有下列情形之一的，采购人将重新招标：</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（1）投标截止时间止，供应商少于</w:t>
      </w:r>
      <w:r>
        <w:rPr>
          <w:rFonts w:hint="eastAsia" w:ascii="宋体" w:hAnsi="宋体" w:eastAsia="宋体" w:cs="宋体"/>
          <w:spacing w:val="4"/>
          <w:highlight w:val="none"/>
        </w:rPr>
        <w:t>《政府采购货物和服务招标投标管理办法》、《政府购买服务管理办法（暂行）》、《政府采购竞争性磋商采购方式管理暂行办法》、《财政部关于政府采购竞争性磋商采购方式管理暂行办法有关问题的补充通知》及相关法规</w:t>
      </w:r>
      <w:r>
        <w:rPr>
          <w:rFonts w:hint="eastAsia" w:ascii="宋体" w:hAnsi="宋体" w:eastAsia="宋体" w:cs="宋体"/>
          <w:highlight w:val="none"/>
        </w:rPr>
        <w:t>规定的家数。</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（2）经磋商小组评审后否决所有投标的。 </w:t>
      </w:r>
    </w:p>
    <w:p>
      <w:pPr>
        <w:pStyle w:val="8"/>
        <w:kinsoku w:val="0"/>
        <w:overflowPunct w:val="0"/>
        <w:spacing w:line="357" w:lineRule="auto"/>
        <w:ind w:right="4044" w:firstLine="24"/>
        <w:rPr>
          <w:rFonts w:hint="eastAsia" w:ascii="宋体" w:hAnsi="宋体" w:eastAsia="宋体" w:cs="宋体"/>
          <w:highlight w:val="none"/>
        </w:rPr>
      </w:pPr>
      <w:r>
        <w:rPr>
          <w:rFonts w:hint="eastAsia" w:ascii="宋体" w:hAnsi="宋体" w:eastAsia="宋体" w:cs="宋体"/>
          <w:b/>
          <w:bCs/>
          <w:highlight w:val="none"/>
        </w:rPr>
        <w:t>2．不再招标</w:t>
      </w:r>
    </w:p>
    <w:p>
      <w:pPr>
        <w:pStyle w:val="8"/>
        <w:kinsoku w:val="0"/>
        <w:overflowPunct w:val="0"/>
        <w:spacing w:before="34" w:line="357" w:lineRule="auto"/>
        <w:ind w:right="126" w:firstLine="480"/>
        <w:jc w:val="both"/>
        <w:rPr>
          <w:rFonts w:hint="eastAsia" w:ascii="宋体" w:hAnsi="宋体" w:eastAsia="宋体" w:cs="宋体"/>
          <w:color w:val="FF0000"/>
          <w:highlight w:val="none"/>
        </w:rPr>
      </w:pPr>
      <w:r>
        <w:rPr>
          <w:rFonts w:hint="eastAsia" w:ascii="宋体" w:hAnsi="宋体" w:eastAsia="宋体" w:cs="宋体"/>
          <w:highlight w:val="none"/>
        </w:rPr>
        <w:t>重新招标后供应商仍少于</w:t>
      </w:r>
      <w:r>
        <w:rPr>
          <w:rFonts w:hint="eastAsia" w:ascii="宋体" w:hAnsi="宋体" w:eastAsia="宋体" w:cs="宋体"/>
          <w:spacing w:val="4"/>
          <w:highlight w:val="none"/>
        </w:rPr>
        <w:t>《政府采购货物和服务招标投标管理办法》、《政府购买服务管理办法（暂行）》、《政府采购竞争性磋商采购方式管理暂行办法》、《财政部关于政府采购竞争性磋商采购方式管理暂行办法有关问题的补充通知》及相关法规</w:t>
      </w:r>
      <w:r>
        <w:rPr>
          <w:rFonts w:hint="eastAsia" w:ascii="宋体" w:hAnsi="宋体" w:eastAsia="宋体" w:cs="宋体"/>
          <w:highlight w:val="none"/>
        </w:rPr>
        <w:t>规定的家数，或者所有投标被否决的，属于必须审批或核准的工程 建设、货物、服务项目，经原审批或核准部门批准后不再进行招标。</w:t>
      </w:r>
    </w:p>
    <w:p>
      <w:pPr>
        <w:pStyle w:val="4"/>
        <w:rPr>
          <w:rFonts w:hint="eastAsia" w:ascii="宋体" w:hAnsi="宋体" w:eastAsia="宋体" w:cs="宋体"/>
          <w:highlight w:val="none"/>
        </w:rPr>
      </w:pPr>
      <w:bookmarkStart w:id="62" w:name="_Toc6269"/>
      <w:r>
        <w:rPr>
          <w:rFonts w:hint="eastAsia" w:ascii="宋体" w:hAnsi="宋体" w:eastAsia="宋体" w:cs="宋体"/>
          <w:highlight w:val="none"/>
        </w:rPr>
        <w:t>（十）纪律和监督</w:t>
      </w:r>
      <w:bookmarkEnd w:id="62"/>
    </w:p>
    <w:p>
      <w:pPr>
        <w:pStyle w:val="8"/>
        <w:kinsoku w:val="0"/>
        <w:overflowPunct w:val="0"/>
        <w:spacing w:line="357" w:lineRule="auto"/>
        <w:ind w:right="4044" w:firstLine="24"/>
        <w:rPr>
          <w:rFonts w:hint="eastAsia" w:ascii="宋体" w:hAnsi="宋体" w:eastAsia="宋体" w:cs="宋体"/>
          <w:b/>
          <w:bCs/>
          <w:highlight w:val="none"/>
        </w:rPr>
      </w:pPr>
      <w:r>
        <w:rPr>
          <w:rFonts w:hint="eastAsia" w:ascii="宋体" w:hAnsi="宋体" w:eastAsia="宋体" w:cs="宋体"/>
          <w:b/>
          <w:bCs/>
          <w:highlight w:val="none"/>
        </w:rPr>
        <w:t>1．对采购人的纪律要求</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采购人不得泄漏招标投标活动中应当保密的情况和资料，不得与供应商串通损害国家利益、社会公共利益或者他人合法权益。下列行为视为采购人与供应商串通投标：</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(1）采购人在开标前开启磋商响应性文件，并将投标情况告知其它供应商，或者协助供应商撤换磋商响应性文件，更改报价；</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(2）采购人向供应商泄露标底；</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(3）采购人与供应商商定，投标时压低或抬高标价，中标后再给供应商或采购人额外补偿；</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(4）采购人预先内定中标人；</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(5）其它串通投标行为。</w:t>
      </w:r>
    </w:p>
    <w:p>
      <w:pPr>
        <w:pStyle w:val="8"/>
        <w:kinsoku w:val="0"/>
        <w:overflowPunct w:val="0"/>
        <w:spacing w:before="34" w:line="357" w:lineRule="auto"/>
        <w:ind w:left="598" w:right="178" w:hanging="480"/>
        <w:rPr>
          <w:rFonts w:hint="eastAsia" w:ascii="宋体" w:hAnsi="宋体" w:eastAsia="宋体" w:cs="宋体"/>
          <w:b/>
          <w:bCs/>
          <w:spacing w:val="25"/>
          <w:w w:val="99"/>
          <w:highlight w:val="none"/>
        </w:rPr>
      </w:pPr>
      <w:r>
        <w:rPr>
          <w:rFonts w:hint="eastAsia" w:ascii="宋体" w:hAnsi="宋体" w:eastAsia="宋体" w:cs="宋体"/>
          <w:b/>
          <w:bCs/>
          <w:highlight w:val="none"/>
        </w:rPr>
        <w:t>2.对供应商的纪律要求</w:t>
      </w:r>
      <w:r>
        <w:rPr>
          <w:rFonts w:hint="eastAsia" w:ascii="宋体" w:hAnsi="宋体" w:eastAsia="宋体" w:cs="宋体"/>
          <w:b/>
          <w:bCs/>
          <w:spacing w:val="25"/>
          <w:w w:val="99"/>
          <w:highlight w:val="none"/>
        </w:rPr>
        <w:t xml:space="preserve"> </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供应商不得相互串通投标或者与采购人串通投标，不得向采购人或者磋商小组成员行贿谋取中标，不得以他人名义投标或者以其他方式弄虚作假骗取中标；供应商不得以任何方式干扰、影响评标工作；不得诋毁、排挤其他供应商；不得在招标过程中与招标采购单位进行协商谈判；不得拒绝有关部门的监督检查或者向监督检查部门提供虚假情况。</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2.1 下列行为视为以他人名义投标：</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（1）供应商挂靠其他单位；</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（2）供应商从其它单位通过转让或租借的方式获取资格或资质证书；</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（3）由其它单位及法定代表人在自己编制的磋商响应性文件上加盖印章或签字；</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（4）法律法规规定的其它情形。</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2.2 下列行为，视为允许他人以本单位名义承揽工程</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a) 供应商的法定代表人的委托代理人不是供应商本单位人员；</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b) 供应商拟在担任本项目的项目负责人或主要技术人员等不是本单位人员；</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c) 通过出租、出借资质证书或者收取管理费等方式允许他人以本单位名义承接工程；</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d) 投标保证金非投标单位银行基本账户转出，或虽由投标单位银行基本账户转出， 但先由非投标单位人员将投标保证金存入投标单位或有关个人账户，或以其他方式抵押的；</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e) 项目资金未实行项目资金专户分账管理或独立核算制度的；财务管理人员（财务主管和出纳）非本单位人员，或项目资金的使用未经项目经理本人签字、审批的；</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f) 中标后，实际由他人履行职责且他人非本单位人员的(项目负责人换为非本单位人员，或其他主要技术人员有 2 个及以上换为非本单位人员)；</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g) 法律法规规定的其它情形。上述条件中，供应商本单位人员，必须同时满足以下条件：</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（1）聘任合同必须由供应商单位与之签订，项目负责人的聘任合同投标前已执行合同一年以上；</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（2）与供应商单位有合法的工资关系，且投标前已连续支付工资一年以上；</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（3）供应商单位为其办理社会保险关系，政府人事或社保管理部门出具的有效证明其为本单位人员身份的文件。</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2.3 下列行为均视为供应商串通投标：</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2.3.1 供应商串通投标报价： </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a）供应商之间相互约定抬高或压低投标报价；</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b）供应商之间相互约定，在招标项目中分别以高、中、低价位报价； </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c）供应商之间先进行内部竞价，内定中标人，然后再参加投标； </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d）不同供应商的投标报价或报价组成异常一致的； </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e）供应商之间其它串通投标报价的行为。</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2.3.2 不同供应商磋商响应性文件的编制人或审核人为同一人或同一单位人员的；</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2.3.3 不同供应商磋商响应性文件的授权签署人为同一人或同一单位人员的；</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2.3.4 不同供应商委托同一人办理投标事宜的；</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2.3.5 不同供应商的磋商响应性文件相互混装的；</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2.3.6 不同供应商使用同一单位的资金缴纳投标保证金的；</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2.3.7 不同供应商的磋商响应性文件载明的项目成员出现相同人员的；</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2.3.8 不同供应商的磋商响应性文件内容存在非正常一致的；</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2.3.9 不同供应商的服务方案中专门针对本项目的内容基本雷同的；</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2.3.10 不同供应商的磋商响应性文件出现磋商小组认为不应当雷同的情况的；</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2.3.11 法律法规规章规定的其他围标串标行为。</w:t>
      </w:r>
    </w:p>
    <w:p>
      <w:pPr>
        <w:pStyle w:val="8"/>
        <w:kinsoku w:val="0"/>
        <w:overflowPunct w:val="0"/>
        <w:spacing w:before="26" w:line="355" w:lineRule="auto"/>
        <w:ind w:right="50"/>
        <w:rPr>
          <w:rFonts w:hint="eastAsia" w:ascii="宋体" w:hAnsi="宋体" w:eastAsia="宋体" w:cs="宋体"/>
          <w:highlight w:val="none"/>
        </w:rPr>
      </w:pPr>
      <w:r>
        <w:rPr>
          <w:rFonts w:hint="eastAsia" w:ascii="宋体" w:hAnsi="宋体" w:eastAsia="宋体" w:cs="宋体"/>
          <w:b/>
          <w:bCs/>
          <w:highlight w:val="none"/>
        </w:rPr>
        <w:t>3.对磋商小组成员的纪律要求</w:t>
      </w:r>
      <w:r>
        <w:rPr>
          <w:rFonts w:hint="eastAsia" w:ascii="宋体" w:hAnsi="宋体" w:eastAsia="宋体" w:cs="宋体"/>
          <w:highlight w:val="none"/>
        </w:rPr>
        <w:t xml:space="preserve"> </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磋商小组成员不得收受他人的财物或者其他好处，不得向他人透漏对磋商响应性文件的评审和比较、中标候选人的推荐情况以及评标有关的其他情况。在评标活动中，磋商小组成员不得擅离职守，</w:t>
      </w:r>
      <w:bookmarkStart w:id="63" w:name="bookmark14"/>
      <w:bookmarkEnd w:id="63"/>
      <w:bookmarkStart w:id="64" w:name="（十三）废标"/>
      <w:bookmarkEnd w:id="64"/>
      <w:bookmarkStart w:id="65" w:name="bookmark13"/>
      <w:bookmarkEnd w:id="65"/>
      <w:bookmarkStart w:id="66" w:name="（十二）无效投标"/>
      <w:bookmarkEnd w:id="66"/>
      <w:r>
        <w:rPr>
          <w:rFonts w:hint="eastAsia" w:ascii="宋体" w:hAnsi="宋体" w:eastAsia="宋体" w:cs="宋体"/>
          <w:highlight w:val="none"/>
        </w:rPr>
        <w:t>影响评标程序正常进行，不得使用“评标办法”没有规定的 评审因素和标准进行评标。</w:t>
      </w:r>
    </w:p>
    <w:p>
      <w:pPr>
        <w:pStyle w:val="8"/>
        <w:kinsoku w:val="0"/>
        <w:overflowPunct w:val="0"/>
        <w:spacing w:before="38" w:line="357" w:lineRule="auto"/>
        <w:ind w:left="598" w:right="50" w:hanging="480"/>
        <w:rPr>
          <w:rFonts w:hint="eastAsia" w:ascii="宋体" w:hAnsi="宋体" w:eastAsia="宋体" w:cs="宋体"/>
          <w:b/>
          <w:bCs/>
          <w:spacing w:val="26"/>
          <w:w w:val="99"/>
          <w:highlight w:val="none"/>
        </w:rPr>
      </w:pPr>
      <w:r>
        <w:rPr>
          <w:rFonts w:hint="eastAsia" w:ascii="宋体" w:hAnsi="宋体" w:eastAsia="宋体" w:cs="宋体"/>
          <w:b/>
          <w:bCs/>
          <w:highlight w:val="none"/>
        </w:rPr>
        <w:t>4.对与评标活动有关的工作人员的纪律要求</w:t>
      </w:r>
      <w:r>
        <w:rPr>
          <w:rFonts w:hint="eastAsia" w:ascii="宋体" w:hAnsi="宋体" w:eastAsia="宋体" w:cs="宋体"/>
          <w:b/>
          <w:bCs/>
          <w:spacing w:val="26"/>
          <w:w w:val="99"/>
          <w:highlight w:val="none"/>
        </w:rPr>
        <w:t xml:space="preserve"> </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与评标活动有关的工作人员不得收受他人的财物或者其他好处，不得向他人透漏对标文件的评审和比较、中标候选人的推荐情况以及评标有关的其他情况。在评标活动中，与评标活动有关的工作人员不得擅离职守，影响评标程序正常进行。</w:t>
      </w:r>
    </w:p>
    <w:p>
      <w:pPr>
        <w:pStyle w:val="4"/>
        <w:rPr>
          <w:rFonts w:hint="eastAsia" w:ascii="宋体" w:hAnsi="宋体" w:eastAsia="宋体" w:cs="宋体"/>
          <w:highlight w:val="none"/>
        </w:rPr>
      </w:pPr>
      <w:bookmarkStart w:id="67" w:name="_Toc23224"/>
      <w:r>
        <w:rPr>
          <w:rFonts w:hint="eastAsia" w:ascii="宋体" w:hAnsi="宋体" w:eastAsia="宋体" w:cs="宋体"/>
          <w:highlight w:val="none"/>
        </w:rPr>
        <w:t>（十</w:t>
      </w:r>
      <w:r>
        <w:rPr>
          <w:rFonts w:hint="eastAsia" w:ascii="宋体" w:hAnsi="宋体" w:eastAsia="宋体" w:cs="宋体"/>
          <w:highlight w:val="none"/>
          <w:lang w:eastAsia="zh-CN"/>
        </w:rPr>
        <w:t>一</w:t>
      </w:r>
      <w:r>
        <w:rPr>
          <w:rFonts w:hint="eastAsia" w:ascii="宋体" w:hAnsi="宋体" w:eastAsia="宋体" w:cs="宋体"/>
          <w:highlight w:val="none"/>
        </w:rPr>
        <w:t>）无效投标</w:t>
      </w:r>
      <w:bookmarkEnd w:id="67"/>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遇到下列情况之一时, 投标人的投标将被视为无效投标: </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1)未按照招标文件的规定提交投标保证金的；</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2)投标文件未按招标文件要求签署、盖章的；</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3)不具备招标文件中规定的资格要求的；</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4) 报价超过招标文件中规定的预算金额或者最高限价的；</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5) 投标文件含有采购人不能接受的附加条件的；</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6)法律、法规和招标文件规定的其他无效情形；</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7)有下列情形之一的，视为投标人串通投标，其投标无效： </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A、不同投标人的投标文件由同一单位或者个人编制； </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B、不同投标人委托同一单位或者个人办理投标事宜； </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C、不同投标人的投标文件载明的项目管理成员或者联系人员为同一人； </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D、不同投标人的投标文件异常一致或者投标报价呈规律性差异； </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E、不同投标人的投标文件相互混装； </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F、不同投标人的投标保证金从同一单位或者个人的账户转出。</w:t>
      </w:r>
    </w:p>
    <w:p>
      <w:pPr>
        <w:pStyle w:val="4"/>
        <w:rPr>
          <w:rFonts w:hint="eastAsia" w:ascii="宋体" w:hAnsi="宋体" w:eastAsia="宋体" w:cs="宋体"/>
          <w:highlight w:val="none"/>
        </w:rPr>
      </w:pPr>
      <w:bookmarkStart w:id="68" w:name="_Toc25703"/>
      <w:r>
        <w:rPr>
          <w:rFonts w:hint="eastAsia" w:ascii="宋体" w:hAnsi="宋体" w:eastAsia="宋体" w:cs="宋体"/>
          <w:highlight w:val="none"/>
        </w:rPr>
        <w:t>（十</w:t>
      </w:r>
      <w:r>
        <w:rPr>
          <w:rFonts w:hint="eastAsia" w:ascii="宋体" w:hAnsi="宋体" w:eastAsia="宋体" w:cs="宋体"/>
          <w:highlight w:val="none"/>
          <w:lang w:eastAsia="zh-CN"/>
        </w:rPr>
        <w:t>二</w:t>
      </w:r>
      <w:r>
        <w:rPr>
          <w:rFonts w:hint="eastAsia" w:ascii="宋体" w:hAnsi="宋体" w:eastAsia="宋体" w:cs="宋体"/>
          <w:highlight w:val="none"/>
        </w:rPr>
        <w:t>）废标</w:t>
      </w:r>
      <w:bookmarkEnd w:id="68"/>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招标采购中，出现下列情形之一的，予以废标：</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（1）符合专业条件的投标单位或者对竞争性磋商文件作实质响应的投标单位不足</w:t>
      </w:r>
      <w:r>
        <w:rPr>
          <w:rFonts w:hint="eastAsia" w:ascii="宋体" w:hAnsi="宋体" w:eastAsia="宋体" w:cs="宋体"/>
          <w:spacing w:val="4"/>
          <w:highlight w:val="none"/>
        </w:rPr>
        <w:t>《政府采购货物和服务招标投标管理办法》、《政府购买服务管理办法（暂行）》、《政府采购竞争性磋商采购方式管理暂行办法》、《财政部关于政府采购竞争性磋商采购方式管理暂行办法有关问题的补充通知》及相关法规</w:t>
      </w:r>
      <w:r>
        <w:rPr>
          <w:rFonts w:hint="eastAsia" w:ascii="宋体" w:hAnsi="宋体" w:eastAsia="宋体" w:cs="宋体"/>
          <w:highlight w:val="none"/>
        </w:rPr>
        <w:t>规定的家数；</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（2）出现影响采购公正的违法、违规行为的；</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（3）供应商的报价均超过了采购预算，采购人不能支付的；</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（4）因重大变故，采购任务取消的。废标后，招标代理机构应在发布公告相同的网站上公告，并公告废标的详细理由。</w:t>
      </w:r>
    </w:p>
    <w:p>
      <w:pPr>
        <w:pStyle w:val="4"/>
        <w:rPr>
          <w:rFonts w:hint="eastAsia" w:ascii="宋体" w:hAnsi="宋体" w:eastAsia="宋体" w:cs="宋体"/>
          <w:highlight w:val="none"/>
        </w:rPr>
      </w:pPr>
      <w:bookmarkStart w:id="69" w:name="_Toc30761"/>
      <w:r>
        <w:rPr>
          <w:rFonts w:hint="eastAsia" w:ascii="宋体" w:hAnsi="宋体" w:eastAsia="宋体" w:cs="宋体"/>
          <w:highlight w:val="none"/>
        </w:rPr>
        <w:t>（十</w:t>
      </w:r>
      <w:r>
        <w:rPr>
          <w:rFonts w:hint="eastAsia" w:ascii="宋体" w:hAnsi="宋体" w:eastAsia="宋体" w:cs="宋体"/>
          <w:highlight w:val="none"/>
          <w:lang w:eastAsia="zh-CN"/>
        </w:rPr>
        <w:t>三</w:t>
      </w:r>
      <w:r>
        <w:rPr>
          <w:rFonts w:hint="eastAsia" w:ascii="宋体" w:hAnsi="宋体" w:eastAsia="宋体" w:cs="宋体"/>
          <w:highlight w:val="none"/>
        </w:rPr>
        <w:t>）质疑和投诉</w:t>
      </w:r>
      <w:bookmarkEnd w:id="69"/>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1.供应商对政府采购活动事项有疑问的，可以向采购人提出询问，采购人应当及时作出答复，但答复的内容不得涉及商业秘密。</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2.供应商认为竞争性磋商文件、采购过程和中标、中标结果使自己的权益受到损害的，可以在知道或者应知其权益受到损害之日起七个工作日内，以规范的格式，详实的证明材料以书面形式向采购人提出质疑。</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3.采购人应当在收到供应商的书面质疑后七个工作日内作出答复，并以书面形式通知质疑供应商和其他有关供应商，但答复的内容不得涉及商业秘密。</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4.采购人委托采购代理机构采购的，供应商可以向采购代理机构提出询问或者质疑，采购代理机构应当依照《中华人民共和国政府采购法》第五十一条、第五十三条的 规定就采购人委托授权范围内的事项作出答复。</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5.质疑供应商对采购人、采购代理机构的答复不满意或者采购人、采购代理机构未在规定的时间内作出答复的，可以在答复期满后十五个工作日内向同级政府采购监督管理部门投诉。</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6.政府采购监督管理部门应当在收到投诉后三十个工作日内，对投诉事项作出处理决定，并以书面形式通知投诉人和与投诉事项有关的当事人。</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7.政府采购监督管理部门在处理投诉事项期间，可以视具体情况书面通知采购人暂停采购活动，但暂停时间最长不得超过三十日。</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8.投诉人对政府采购监督管理部门的投诉处理决定不服或者政府采购监督管理部门逾期未作处理的，可以依法申请行政复议或者向人民法院提起行政诉讼。</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9.质疑、投诉书应当包括下列主要内容：</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（1）投诉人和被投诉人的名称、地址、电话等；</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（2）具体的投诉事项及事实依据；</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（3）提供有关质疑事项真实可靠的书面证明材料；</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（4）提起投诉的日期。 质疑、投诉书应当署名。质疑、投诉人为自然人的，应当由本人签字；质疑、投诉人为法人或者其他组织的，应当由法定代表人签字并加盖公章；质疑、投诉人为委托授 权人的应该出具针对本质疑、投诉事项的法人委托授权书。</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10.投诉人有下列情形之一的，属于虚假、恶意投诉，财政部门应当驳回投诉，将其列入不良行为记录名单，并依法予以处罚：</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（1）1 年内 3 次以上投诉均查无实据的；</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（2）捏造事实或者提供虚假投诉材料的。 </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11.澄清或质疑不予受理的情况有下列情形之一的，属于无效质疑，被质疑人不予受理，由此产生的影响由供应商自行承担：</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（1）不是参与该政府采购项目活动供应商的；</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（2）被质疑人为采购人或政府采购代理机构之外的；</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（3）所有质疑事项超过质疑有效期的；</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（4）以具有法律效力的文书送达之外方式提出的；</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（5）未按上述规定递交澄清或质疑函的；</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（6）其它不符合受理条件的情形。</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 12.腐败和欺诈行为</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（1）定义 “腐败行为”系指提供、给予、接受或索取任何有价值的物品来影响招标代理机构和/或采购人在采购过程或合同实施过程中的行为。 “欺诈行为”系指为了影响采购过程或合同实施过程而谎报事实，损害招标代理机构和采购人的利益，包括供应商之间串通投标（递交《磋商响应性文件》之前和之后）， 人为地使投标丧失竞争性，剥夺采购人从自由公开竞争所能获得的权益。</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（2）如果招标代理机构和采购人认为供应商在本项目的竞争中有腐败或欺诈行为， 其投标将被拒绝。</w:t>
      </w:r>
    </w:p>
    <w:p>
      <w:pPr>
        <w:pStyle w:val="3"/>
        <w:outlineLvl w:val="0"/>
        <w:rPr>
          <w:rFonts w:hint="eastAsia" w:ascii="宋体" w:hAnsi="宋体" w:eastAsia="宋体" w:cs="宋体"/>
          <w:spacing w:val="1"/>
          <w:highlight w:val="none"/>
        </w:rPr>
      </w:pPr>
      <w:r>
        <w:rPr>
          <w:rFonts w:hint="eastAsia" w:ascii="宋体" w:hAnsi="宋体" w:eastAsia="宋体" w:cs="宋体"/>
          <w:highlight w:val="none"/>
        </w:rPr>
        <w:br w:type="page"/>
      </w:r>
      <w:bookmarkStart w:id="70" w:name="_Toc1184"/>
      <w:r>
        <w:rPr>
          <w:rFonts w:hint="eastAsia" w:ascii="宋体" w:hAnsi="宋体" w:eastAsia="宋体" w:cs="宋体"/>
          <w:w w:val="95"/>
          <w:highlight w:val="none"/>
        </w:rPr>
        <w:t>第三章</w:t>
      </w:r>
      <w:r>
        <w:rPr>
          <w:rFonts w:hint="eastAsia" w:ascii="宋体" w:hAnsi="宋体" w:eastAsia="宋体" w:cs="宋体"/>
          <w:w w:val="95"/>
          <w:highlight w:val="none"/>
          <w:lang w:val="en-US" w:eastAsia="zh-CN"/>
        </w:rPr>
        <w:t xml:space="preserve"> </w:t>
      </w:r>
      <w:r>
        <w:rPr>
          <w:rFonts w:hint="eastAsia" w:ascii="宋体" w:hAnsi="宋体" w:eastAsia="宋体" w:cs="宋体"/>
          <w:spacing w:val="1"/>
          <w:highlight w:val="none"/>
        </w:rPr>
        <w:t>评标办法</w:t>
      </w:r>
      <w:bookmarkEnd w:id="70"/>
    </w:p>
    <w:p>
      <w:pPr>
        <w:jc w:val="both"/>
        <w:outlineLvl w:val="9"/>
        <w:rPr>
          <w:rFonts w:hint="eastAsia" w:ascii="宋体" w:hAnsi="宋体" w:eastAsia="宋体" w:cs="宋体"/>
          <w:b/>
          <w:bCs/>
          <w:highlight w:val="none"/>
        </w:rPr>
      </w:pPr>
      <w:r>
        <w:rPr>
          <w:rFonts w:hint="eastAsia" w:ascii="宋体" w:hAnsi="宋体" w:eastAsia="宋体" w:cs="宋体"/>
          <w:b/>
          <w:bCs/>
          <w:highlight w:val="none"/>
        </w:rPr>
        <w:t>一、总则</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根据《中华人民共和国政府采购法》、《中华人民共和国政府采购法实施条例》、《政府购买服务管理办法（暂行）》、《政府采购竞争性磋商采购方式管理暂行办法》等法律规章，结合采购项目特点制定本评标办法。</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2.评标工作由招标代理机构负责组织，具体评标事务由招标代理机构依法组建的磋商小组负责。磋商小组成员人数不少于 3 人，为单数，其中技术、经济等方面的专家不少于成员总数的三分之二。磋商小组由有关技术、经济等方面的专家组成。</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3.评标工作应遵循公平、公正、科学及择优的原则，并以相同的评标程序和标准对待所有的供应商。</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4.磋商小组按照竞争性磋商文件规定的评标方法和标准进行评标，并独立履行下列职责：</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（1）审查磋商响应性文件是否符合竞争性磋商文件要求，并做出评价；</w:t>
      </w:r>
    </w:p>
    <w:p>
      <w:pPr>
        <w:pStyle w:val="8"/>
        <w:numPr>
          <w:ilvl w:val="0"/>
          <w:numId w:val="0"/>
        </w:numPr>
        <w:kinsoku w:val="0"/>
        <w:overflowPunct w:val="0"/>
        <w:spacing w:before="34" w:line="357" w:lineRule="auto"/>
        <w:ind w:left="598" w:leftChars="0" w:right="126" w:rightChars="0"/>
        <w:jc w:val="both"/>
        <w:rPr>
          <w:rFonts w:hint="eastAsia" w:ascii="宋体" w:hAnsi="宋体" w:eastAsia="宋体" w:cs="宋体"/>
          <w:highlight w:val="none"/>
        </w:rPr>
      </w:pPr>
      <w:r>
        <w:rPr>
          <w:rFonts w:hint="eastAsia" w:ascii="宋体" w:hAnsi="宋体" w:eastAsia="宋体" w:cs="宋体"/>
          <w:highlight w:val="none"/>
        </w:rPr>
        <w:t>★（2）要求投标供应商对磋商响应性文件有关事项做出解释或者澄清；</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（3）推荐中标候选供应商名单，或者受采购人委托按照事先确定的办法直接确定中标单位；</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（4）向招标采购单位或者有关部门报告非法干预评标工作的行为。</w:t>
      </w:r>
    </w:p>
    <w:p>
      <w:pPr>
        <w:pStyle w:val="8"/>
        <w:kinsoku w:val="0"/>
        <w:overflowPunct w:val="0"/>
        <w:spacing w:before="38" w:line="357" w:lineRule="auto"/>
        <w:ind w:left="598" w:right="50" w:hanging="480"/>
        <w:rPr>
          <w:rFonts w:hint="eastAsia" w:ascii="宋体" w:hAnsi="宋体" w:eastAsia="宋体" w:cs="宋体"/>
          <w:b/>
          <w:bCs/>
          <w:highlight w:val="none"/>
        </w:rPr>
      </w:pPr>
      <w:r>
        <w:rPr>
          <w:rFonts w:hint="eastAsia" w:ascii="宋体" w:hAnsi="宋体" w:eastAsia="宋体" w:cs="宋体"/>
          <w:b/>
          <w:bCs/>
          <w:highlight w:val="none"/>
        </w:rPr>
        <w:t>二、评标、定标组织</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1.由磋商小组组织进行评标。</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2.磋商小组由业主代表与专家库随机抽取的专家共 3 人组成，磋商小组</w:t>
      </w:r>
      <w:r>
        <w:rPr>
          <w:rFonts w:hint="eastAsia" w:ascii="宋体" w:hAnsi="宋体" w:eastAsia="宋体" w:cs="宋体"/>
          <w:highlight w:val="none"/>
          <w:lang w:eastAsia="zh-CN"/>
        </w:rPr>
        <w:t>组长</w:t>
      </w:r>
      <w:r>
        <w:rPr>
          <w:rFonts w:hint="eastAsia" w:ascii="宋体" w:hAnsi="宋体" w:eastAsia="宋体" w:cs="宋体"/>
          <w:highlight w:val="none"/>
        </w:rPr>
        <w:t>由磋商小组成员共同推举产生，磋商小组</w:t>
      </w:r>
      <w:r>
        <w:rPr>
          <w:rFonts w:hint="eastAsia" w:ascii="宋体" w:hAnsi="宋体" w:eastAsia="宋体" w:cs="宋体"/>
          <w:highlight w:val="none"/>
          <w:lang w:eastAsia="zh-CN"/>
        </w:rPr>
        <w:t>组长</w:t>
      </w:r>
      <w:r>
        <w:rPr>
          <w:rFonts w:hint="eastAsia" w:ascii="宋体" w:hAnsi="宋体" w:eastAsia="宋体" w:cs="宋体"/>
          <w:highlight w:val="none"/>
        </w:rPr>
        <w:t>主持整个评标工作，与磋商小组的其他成员有同等的表决权。</w:t>
      </w:r>
    </w:p>
    <w:p>
      <w:pPr>
        <w:pStyle w:val="8"/>
        <w:kinsoku w:val="0"/>
        <w:overflowPunct w:val="0"/>
        <w:spacing w:before="38" w:line="357" w:lineRule="auto"/>
        <w:ind w:left="598" w:right="50" w:hanging="480"/>
        <w:rPr>
          <w:rFonts w:hint="eastAsia" w:ascii="宋体" w:hAnsi="宋体" w:eastAsia="宋体" w:cs="宋体"/>
          <w:b/>
          <w:bCs/>
          <w:highlight w:val="none"/>
        </w:rPr>
      </w:pPr>
      <w:r>
        <w:rPr>
          <w:rFonts w:hint="eastAsia" w:ascii="宋体" w:hAnsi="宋体" w:eastAsia="宋体" w:cs="宋体"/>
          <w:b/>
          <w:bCs/>
          <w:highlight w:val="none"/>
        </w:rPr>
        <w:t>三、评标原则</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1.磋商小组按照公平、公正、科学、择优的原则对待所有的供应商；</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2.磋商小组成员应当客观、公正地履行职责，遵守职业道德，对所提出的评审意见承担个人责任；磋商小组成员实行主动回避制度；磋商小组成员及工作人员对整个评标活动保密。</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3.磋商小组审查磋商响应性文件是否符合竞争性磋商文件的所有条款、条件和规定。</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4.评标只对实质上响应竞争性磋商文件要求的有效磋商响应性文件进行评审，响应的依据是磋商响应性文件本身的内容，而不寻求其它证据。 </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5.评标将依据竞争性磋商文件确定的标准和方法，结合磋商响应性文件及其补充文件进行，不得忽视磋商响应性文件的实质性内容进行评标。 </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6.评标活动依法进行，任何单位和个人不得非法干预、阻挠采购人采购代理机构的正常工作或者影响评标过程和结果。</w:t>
      </w:r>
    </w:p>
    <w:p>
      <w:pPr>
        <w:pStyle w:val="8"/>
        <w:kinsoku w:val="0"/>
        <w:overflowPunct w:val="0"/>
        <w:spacing w:before="38" w:line="357" w:lineRule="auto"/>
        <w:ind w:left="598" w:right="50" w:hanging="480"/>
        <w:rPr>
          <w:rFonts w:hint="eastAsia" w:ascii="宋体" w:hAnsi="宋体" w:eastAsia="宋体" w:cs="宋体"/>
          <w:b/>
          <w:bCs/>
          <w:highlight w:val="none"/>
        </w:rPr>
      </w:pPr>
      <w:r>
        <w:rPr>
          <w:rFonts w:hint="eastAsia" w:ascii="宋体" w:hAnsi="宋体" w:eastAsia="宋体" w:cs="宋体"/>
          <w:b/>
          <w:bCs/>
          <w:highlight w:val="none"/>
        </w:rPr>
        <w:t>四、评标方法</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本次采购项目定标采用“综合评分法”。“综合评分法”是指在最大限度地满足竞争性磋商文件实质性要求前提下，以投标报价、技术响应程度、售后服务、商务等综合实力多个因素作为评审指标，全面比较各磋商响应性文件质量、价格、供应商的售后服务、资信情况等因素客观地进行评审，使评审的结果能准确地反映供应商的实际情况，并将各指标量化计分，按总得分排列顺序，确定中标人的方法。总得分最高的供应商作为拟中标单位。</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2.采购人、招标代理机构不向供应商承诺最低价中标，不解释中标或落标原因，不退还磋商响应性文件。</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3.供应商申报的关于资质、业绩等文件和材料必须真实准确，不得弄虚作假。</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4.供应商不得以任何形式搜集评标机密，不得以任何形式干扰评标或授标工作。</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5.供应商在磋商响应性文件的评审、澄清、比较以及授予合同过程中对评标人员施加影响的任何行为，都将导致被取消投标资格。</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6.供应商应具备较强的技术力量及综合实力，在众多项目中业绩、信誉良好，并能确保本次招标采购的长远售后服务。</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7.磋商小组成员对需要共同认定的事项存在争议的，应当按照少数服从多数的原则作出结论。持不同意见的磋商小组成员应当在评标报告上签署不同意见及理由，否则视为同意评标报告。</w:t>
      </w:r>
    </w:p>
    <w:p>
      <w:pPr>
        <w:pStyle w:val="8"/>
        <w:kinsoku w:val="0"/>
        <w:overflowPunct w:val="0"/>
        <w:spacing w:before="38" w:line="357" w:lineRule="auto"/>
        <w:ind w:left="598" w:right="50" w:hanging="480"/>
        <w:rPr>
          <w:rFonts w:hint="eastAsia" w:ascii="宋体" w:hAnsi="宋体" w:eastAsia="宋体" w:cs="宋体"/>
          <w:b/>
          <w:bCs/>
          <w:highlight w:val="none"/>
        </w:rPr>
      </w:pPr>
      <w:r>
        <w:rPr>
          <w:rFonts w:hint="eastAsia" w:ascii="宋体" w:hAnsi="宋体" w:eastAsia="宋体" w:cs="宋体"/>
          <w:b/>
          <w:bCs/>
          <w:highlight w:val="none"/>
        </w:rPr>
        <w:t xml:space="preserve">五、评标过程的保密性 </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1.开标后，至到向中标人授予合同时止，凡与审查、澄清、评价和比较投标的有关资料以及授标意见等，均不得向供应商及与评标无关的其他人透露。 </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2.在评标过程中，如果供应商试图在磋商响应性文件审查、澄清、比较及授予合同方面向采购人施加任何影响，其投标将被拒绝。 </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3.评标人员严格遵守国家的有关保密法律、法规的规定，严格自律，同时接受有关部门的监督、审查。</w:t>
      </w:r>
    </w:p>
    <w:p>
      <w:pPr>
        <w:pStyle w:val="8"/>
        <w:kinsoku w:val="0"/>
        <w:overflowPunct w:val="0"/>
        <w:spacing w:before="38" w:line="357" w:lineRule="auto"/>
        <w:ind w:left="598" w:right="50" w:hanging="480"/>
        <w:rPr>
          <w:rFonts w:hint="eastAsia" w:ascii="宋体" w:hAnsi="宋体" w:eastAsia="宋体" w:cs="宋体"/>
          <w:b/>
          <w:bCs/>
          <w:highlight w:val="none"/>
        </w:rPr>
      </w:pPr>
      <w:r>
        <w:rPr>
          <w:rFonts w:hint="eastAsia" w:ascii="宋体" w:hAnsi="宋体" w:eastAsia="宋体" w:cs="宋体"/>
          <w:b/>
          <w:bCs/>
          <w:highlight w:val="none"/>
        </w:rPr>
        <w:t>六、评标过程中磋商响应性文件的澄清</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1.为了公平、公正的对《磋商响应性文件》进行审查、评估和比较，磋商小组可以向投标供应商质疑，请供应商对有关情况作必要说明。供应商有责任按照磋商小组提出的质疑，指派专人进行答疑。重要问题供应商应以书面形式解答。但是澄清或者说明不得超过磋商响应性文件的范围或修改磋商响应性文件的实质性内容，解答文件作为《磋商响应性文件》的组成部分。《竞争性磋商文件》、《磋商响应性文件》及其澄清文件等，均作为签订合同的依据。若供应商对磋商小组提出的质疑不予答复，其不利后果由供应商自行承担。</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2.若磋商小组发现供应商的投标报价或主要单项货物报价明显低于同标段其它供应商投标报价或者在设有参考标底时明显低于参考标底价，使得其投标报价可能低于其个别成本的，应该要求该供应商作出书面说明并提供相关证明材料。如果供应商不能提供材料证明该项报价有效，磋商小组应当认定低于成本价竞标，否决其投标。如果供应商提供了证明材料，且磋商小组无法证明其无效的，磋商小组应当接受该项投标报价。</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3.磋商小组认为投标人的报价明显低于其他通过符合性审查投标人的报价，有可能影响产品质量或者不能诚信履约的，磋商小组有权要求其在评标现场合理的时间内提供书面说明，必要时提交相关证明材料；投标人如不能证明其报价合理性的，磋商小组应当将其作为无效投标处理。</w:t>
      </w:r>
    </w:p>
    <w:p>
      <w:pPr>
        <w:pStyle w:val="8"/>
        <w:kinsoku w:val="0"/>
        <w:overflowPunct w:val="0"/>
        <w:spacing w:before="38" w:line="357" w:lineRule="auto"/>
        <w:ind w:left="598" w:right="50" w:hanging="480"/>
        <w:rPr>
          <w:rFonts w:hint="eastAsia" w:ascii="宋体" w:hAnsi="宋体" w:eastAsia="宋体" w:cs="宋体"/>
          <w:b/>
          <w:bCs/>
          <w:highlight w:val="none"/>
        </w:rPr>
      </w:pPr>
      <w:r>
        <w:rPr>
          <w:rFonts w:hint="eastAsia" w:ascii="宋体" w:hAnsi="宋体" w:eastAsia="宋体" w:cs="宋体"/>
          <w:b/>
          <w:bCs/>
          <w:highlight w:val="none"/>
        </w:rPr>
        <w:t xml:space="preserve">七、会议组成成员的职责 </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1.采购人：在监督部门监督下，根据《中华人民共和国政府采购法》、《政府购买服务管理办法（暂行）》、《政府采购竞争性磋商采购方式管理暂行办法》规定构成磋商小组成员之一。</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2.招标代理机构：根据《中华人民共和国政府采购法》、《中华人民共和国政府采购法实施条例》、《政府购买服务管理办法（暂行）》等文件的规定，由代理机构工作人员组成，负责《竞争性磋商文件》的制作，对外联系，开标、评标的会务工作,整理并向磋商小组成员分发招标资料和《磋商响应性文件》；做好开标和评标会议记录；对评标过程中的原始文件进行归档；随时印发需要的文件资料,对各种咨询函件及档案文件的统收统发；负责对磋商小组推荐的拟中标结果进行审核。</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3.监督部门：根据国家有关法律、法规规定由规定部门对整个开标评标过程进行监督, 其他任何单位和个人不得参与或非法干预正常的评审工作和评审结果，保证评标的公正性,防止违法行为的产生。</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4.审核小组</w:t>
      </w:r>
      <w:r>
        <w:rPr>
          <w:rFonts w:hint="eastAsia" w:ascii="宋体" w:hAnsi="宋体" w:eastAsia="宋体" w:cs="宋体"/>
          <w:spacing w:val="-27"/>
          <w:highlight w:val="none"/>
        </w:rPr>
        <w:t>：</w:t>
      </w:r>
      <w:r>
        <w:rPr>
          <w:rFonts w:hint="eastAsia" w:ascii="宋体" w:hAnsi="宋体" w:eastAsia="宋体" w:cs="宋体"/>
          <w:highlight w:val="none"/>
        </w:rPr>
        <w:t>由监督部门和代理机构项目负责人共同组</w:t>
      </w:r>
      <w:r>
        <w:rPr>
          <w:rFonts w:hint="eastAsia" w:ascii="宋体" w:hAnsi="宋体" w:eastAsia="宋体" w:cs="宋体"/>
          <w:spacing w:val="2"/>
          <w:highlight w:val="none"/>
        </w:rPr>
        <w:t>成</w:t>
      </w:r>
      <w:r>
        <w:rPr>
          <w:rFonts w:hint="eastAsia" w:ascii="宋体" w:hAnsi="宋体" w:eastAsia="宋体" w:cs="宋体"/>
          <w:spacing w:val="-27"/>
          <w:highlight w:val="none"/>
        </w:rPr>
        <w:t>，</w:t>
      </w:r>
      <w:r>
        <w:rPr>
          <w:rFonts w:hint="eastAsia" w:ascii="宋体" w:hAnsi="宋体" w:eastAsia="宋体" w:cs="宋体"/>
          <w:highlight w:val="none"/>
        </w:rPr>
        <w:t>负责对磋商小组填写的商务打分表和技术打分表最终统计结果进行审核，审核无误后由磋商小组签字确认。</w:t>
      </w:r>
    </w:p>
    <w:p>
      <w:pPr>
        <w:pStyle w:val="8"/>
        <w:kinsoku w:val="0"/>
        <w:overflowPunct w:val="0"/>
        <w:spacing w:before="38" w:line="357" w:lineRule="auto"/>
        <w:ind w:left="598" w:right="50" w:hanging="480"/>
        <w:rPr>
          <w:rFonts w:hint="eastAsia" w:ascii="宋体" w:hAnsi="宋体" w:eastAsia="宋体" w:cs="宋体"/>
          <w:b/>
          <w:bCs/>
          <w:highlight w:val="none"/>
        </w:rPr>
      </w:pPr>
      <w:r>
        <w:rPr>
          <w:rFonts w:hint="eastAsia" w:ascii="宋体" w:hAnsi="宋体" w:eastAsia="宋体" w:cs="宋体"/>
          <w:b/>
          <w:bCs/>
          <w:highlight w:val="none"/>
        </w:rPr>
        <w:t>八、定标方法：</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1.磋商小组以开标、评标情况为基本依据，对符合条件的《磋商响应性文件》及供应商进行综合评审打分，总分值设定为 100 分。</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2.投标报价得分由磋商小组按照价格分计算公式计算分值。</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3.商务部分由磋商小组共同评定唯一的得分。</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4.技术部分由磋商小组专家分别打分后，取平均分作为技术分最后得分。</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5.供应商综合评分最终总分值为商务部分、技术部分和投标报价三部分得分总和。</w:t>
      </w:r>
    </w:p>
    <w:p>
      <w:pPr>
        <w:pStyle w:val="8"/>
        <w:kinsoku w:val="0"/>
        <w:overflowPunct w:val="0"/>
        <w:spacing w:before="38" w:line="357" w:lineRule="auto"/>
        <w:ind w:left="598" w:right="50" w:hanging="480"/>
        <w:rPr>
          <w:rFonts w:hint="eastAsia" w:ascii="宋体" w:hAnsi="宋体" w:eastAsia="宋体" w:cs="宋体"/>
          <w:b/>
          <w:bCs/>
          <w:highlight w:val="none"/>
        </w:rPr>
      </w:pPr>
      <w:r>
        <w:rPr>
          <w:rFonts w:hint="eastAsia" w:ascii="宋体" w:hAnsi="宋体" w:eastAsia="宋体" w:cs="宋体"/>
          <w:b/>
          <w:bCs/>
          <w:highlight w:val="none"/>
        </w:rPr>
        <w:t>九、评标程序及标准（综合评分法）</w:t>
      </w:r>
    </w:p>
    <w:p>
      <w:pPr>
        <w:pStyle w:val="14"/>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96" w:firstLineChars="200"/>
        <w:textAlignment w:val="auto"/>
        <w:outlineLvl w:val="9"/>
        <w:rPr>
          <w:rFonts w:hint="eastAsia"/>
          <w:sz w:val="24"/>
          <w:szCs w:val="24"/>
          <w:highlight w:val="none"/>
        </w:rPr>
      </w:pPr>
      <w:r>
        <w:rPr>
          <w:rFonts w:hint="eastAsia"/>
          <w:sz w:val="24"/>
          <w:szCs w:val="24"/>
          <w:highlight w:val="none"/>
        </w:rPr>
        <w:t>按照竞争性磋商响应文件初审、澄清有关问题、分别磋商、二次报价、比较与评审、推荐成交候选</w:t>
      </w:r>
      <w:r>
        <w:rPr>
          <w:rFonts w:hint="eastAsia"/>
          <w:sz w:val="24"/>
          <w:szCs w:val="24"/>
          <w:highlight w:val="none"/>
          <w:lang w:eastAsia="zh-CN"/>
        </w:rPr>
        <w:t>人</w:t>
      </w:r>
      <w:r>
        <w:rPr>
          <w:rFonts w:hint="eastAsia"/>
          <w:sz w:val="24"/>
          <w:szCs w:val="24"/>
          <w:highlight w:val="none"/>
        </w:rPr>
        <w:t>名单。在上一步评审中被认定为无效磋商者，不进入下一步的评审。</w:t>
      </w:r>
    </w:p>
    <w:p>
      <w:pPr>
        <w:rPr>
          <w:rFonts w:hint="eastAsia"/>
          <w:highlight w:val="none"/>
        </w:rPr>
      </w:pPr>
    </w:p>
    <w:p>
      <w:pPr>
        <w:pStyle w:val="8"/>
        <w:kinsoku w:val="0"/>
        <w:overflowPunct w:val="0"/>
        <w:spacing w:before="38" w:line="357" w:lineRule="auto"/>
        <w:ind w:left="598" w:right="50" w:hanging="480"/>
        <w:rPr>
          <w:rFonts w:hint="eastAsia" w:ascii="宋体" w:hAnsi="宋体" w:eastAsia="宋体" w:cs="宋体"/>
          <w:b/>
          <w:bCs/>
          <w:highlight w:val="none"/>
        </w:rPr>
      </w:pPr>
      <w:r>
        <w:rPr>
          <w:rFonts w:hint="eastAsia" w:ascii="宋体" w:hAnsi="宋体" w:eastAsia="宋体" w:cs="宋体"/>
          <w:b/>
          <w:bCs/>
          <w:highlight w:val="none"/>
        </w:rPr>
        <w:t>1.初步评审：</w:t>
      </w:r>
    </w:p>
    <w:p>
      <w:pPr>
        <w:keepNext w:val="0"/>
        <w:keepLines w:val="0"/>
        <w:pageBreakBefore w:val="0"/>
        <w:widowControl w:val="0"/>
        <w:tabs>
          <w:tab w:val="left" w:pos="0"/>
        </w:tabs>
        <w:kinsoku/>
        <w:wordWrap/>
        <w:overflowPunct/>
        <w:topLinePunct w:val="0"/>
        <w:autoSpaceDE/>
        <w:autoSpaceDN/>
        <w:bidi w:val="0"/>
        <w:adjustRightInd w:val="0"/>
        <w:snapToGrid w:val="0"/>
        <w:spacing w:line="500" w:lineRule="exact"/>
        <w:ind w:right="0" w:rightChars="0" w:firstLine="413" w:firstLineChars="196"/>
        <w:jc w:val="both"/>
        <w:textAlignment w:val="auto"/>
        <w:outlineLvl w:val="9"/>
        <w:rPr>
          <w:rFonts w:hint="eastAsia" w:ascii="宋体" w:hAnsi="宋体" w:eastAsia="宋体" w:cs="宋体"/>
          <w:color w:val="000000"/>
          <w:kern w:val="0"/>
          <w:sz w:val="24"/>
          <w:szCs w:val="24"/>
          <w:highlight w:val="none"/>
          <w:lang w:eastAsia="zh-CN"/>
        </w:rPr>
      </w:pPr>
      <w:r>
        <w:rPr>
          <w:rFonts w:hint="eastAsia" w:ascii="宋体" w:hAnsi="宋体" w:eastAsia="宋体" w:cs="宋体"/>
          <w:b/>
          <w:bCs/>
          <w:highlight w:val="none"/>
        </w:rPr>
        <w:t>1.1 资格性审查：</w:t>
      </w:r>
      <w:r>
        <w:rPr>
          <w:rFonts w:hint="eastAsia" w:ascii="宋体" w:hAnsi="宋体" w:cs="宋体"/>
          <w:color w:val="000000"/>
          <w:sz w:val="24"/>
          <w:szCs w:val="24"/>
          <w:highlight w:val="none"/>
          <w:lang w:val="en-US" w:eastAsia="zh-CN"/>
        </w:rPr>
        <w:t>采购人</w:t>
      </w:r>
      <w:r>
        <w:rPr>
          <w:rFonts w:hint="eastAsia" w:ascii="宋体" w:hAnsi="宋体" w:eastAsia="宋体" w:cs="宋体"/>
          <w:color w:val="000000"/>
          <w:sz w:val="24"/>
          <w:szCs w:val="24"/>
          <w:highlight w:val="none"/>
        </w:rPr>
        <w:t>将依据</w:t>
      </w:r>
      <w:r>
        <w:rPr>
          <w:rFonts w:hint="eastAsia" w:ascii="宋体" w:hAnsi="宋体" w:eastAsia="宋体" w:cs="宋体"/>
          <w:color w:val="000000"/>
          <w:sz w:val="24"/>
          <w:szCs w:val="24"/>
          <w:highlight w:val="none"/>
          <w:lang w:eastAsia="zh-CN"/>
        </w:rPr>
        <w:t>磋商响应</w:t>
      </w:r>
      <w:r>
        <w:rPr>
          <w:rFonts w:hint="eastAsia" w:ascii="宋体" w:hAnsi="宋体" w:eastAsia="宋体" w:cs="宋体"/>
          <w:color w:val="000000"/>
          <w:sz w:val="24"/>
          <w:szCs w:val="24"/>
          <w:highlight w:val="none"/>
        </w:rPr>
        <w:t>文件，按照</w:t>
      </w:r>
      <w:r>
        <w:rPr>
          <w:rFonts w:hint="eastAsia" w:ascii="宋体" w:hAnsi="宋体" w:eastAsia="宋体" w:cs="宋体"/>
          <w:color w:val="000000"/>
          <w:sz w:val="24"/>
          <w:szCs w:val="24"/>
          <w:highlight w:val="none"/>
          <w:lang w:eastAsia="zh-CN"/>
        </w:rPr>
        <w:t>磋商</w:t>
      </w:r>
      <w:r>
        <w:rPr>
          <w:rFonts w:hint="eastAsia" w:ascii="宋体" w:hAnsi="宋体" w:eastAsia="宋体" w:cs="宋体"/>
          <w:color w:val="000000"/>
          <w:sz w:val="24"/>
          <w:szCs w:val="24"/>
          <w:highlight w:val="none"/>
        </w:rPr>
        <w:t>文件第二章</w:t>
      </w:r>
      <w:r>
        <w:rPr>
          <w:rFonts w:hint="eastAsia" w:ascii="宋体" w:hAnsi="宋体" w:eastAsia="宋体" w:cs="宋体"/>
          <w:color w:val="000000"/>
          <w:sz w:val="24"/>
          <w:szCs w:val="24"/>
          <w:highlight w:val="none"/>
          <w:lang w:eastAsia="zh-CN"/>
        </w:rPr>
        <w:t>“供应商须知</w:t>
      </w:r>
      <w:r>
        <w:rPr>
          <w:rFonts w:hint="eastAsia" w:ascii="宋体" w:hAnsi="宋体" w:cs="宋体"/>
          <w:color w:val="000000"/>
          <w:sz w:val="24"/>
          <w:szCs w:val="24"/>
          <w:highlight w:val="none"/>
          <w:lang w:eastAsia="zh-CN"/>
        </w:rPr>
        <w:t>前附表</w:t>
      </w:r>
      <w:r>
        <w:rPr>
          <w:rFonts w:hint="eastAsia" w:ascii="宋体" w:hAnsi="宋体" w:eastAsia="宋体" w:cs="宋体"/>
          <w:color w:val="000000"/>
          <w:sz w:val="24"/>
          <w:szCs w:val="24"/>
          <w:highlight w:val="none"/>
          <w:lang w:eastAsia="zh-CN"/>
        </w:rPr>
        <w:t>”第</w:t>
      </w:r>
      <w:r>
        <w:rPr>
          <w:rFonts w:hint="eastAsia" w:ascii="宋体" w:hAnsi="宋体" w:cs="宋体"/>
          <w:color w:val="000000"/>
          <w:sz w:val="24"/>
          <w:szCs w:val="24"/>
          <w:highlight w:val="none"/>
          <w:lang w:val="en-US" w:eastAsia="zh-CN"/>
        </w:rPr>
        <w:t>6</w:t>
      </w:r>
      <w:r>
        <w:rPr>
          <w:rFonts w:hint="eastAsia" w:ascii="宋体" w:hAnsi="宋体" w:eastAsia="宋体" w:cs="宋体"/>
          <w:color w:val="000000"/>
          <w:sz w:val="24"/>
          <w:szCs w:val="24"/>
          <w:highlight w:val="none"/>
        </w:rPr>
        <w:t>条所述</w:t>
      </w:r>
      <w:r>
        <w:rPr>
          <w:rFonts w:hint="eastAsia" w:ascii="宋体" w:hAnsi="宋体" w:eastAsia="宋体" w:cs="宋体"/>
          <w:color w:val="000000"/>
          <w:sz w:val="24"/>
          <w:szCs w:val="24"/>
          <w:highlight w:val="none"/>
          <w:lang w:eastAsia="zh-CN"/>
        </w:rPr>
        <w:t>资格要求进行资格审查，</w:t>
      </w:r>
      <w:r>
        <w:rPr>
          <w:rFonts w:hint="eastAsia" w:ascii="宋体" w:hAnsi="宋体" w:eastAsia="宋体" w:cs="宋体"/>
          <w:color w:val="000000"/>
          <w:sz w:val="24"/>
          <w:szCs w:val="24"/>
          <w:highlight w:val="none"/>
        </w:rPr>
        <w:t>有一项因素不符合审查标准的，</w:t>
      </w:r>
      <w:r>
        <w:rPr>
          <w:rFonts w:hint="eastAsia" w:ascii="宋体" w:hAnsi="宋体" w:eastAsia="宋体" w:cs="宋体"/>
          <w:color w:val="000000"/>
          <w:sz w:val="24"/>
          <w:szCs w:val="24"/>
          <w:highlight w:val="none"/>
          <w:lang w:eastAsia="zh-CN"/>
        </w:rPr>
        <w:t>供应商</w:t>
      </w:r>
      <w:r>
        <w:rPr>
          <w:rFonts w:hint="eastAsia" w:ascii="宋体" w:hAnsi="宋体" w:eastAsia="宋体" w:cs="宋体"/>
          <w:color w:val="000000"/>
          <w:sz w:val="24"/>
          <w:szCs w:val="24"/>
          <w:highlight w:val="none"/>
        </w:rPr>
        <w:t>不能通过</w:t>
      </w:r>
      <w:r>
        <w:rPr>
          <w:rFonts w:hint="eastAsia" w:ascii="宋体" w:hAnsi="宋体" w:eastAsia="宋体" w:cs="宋体"/>
          <w:color w:val="000000"/>
          <w:sz w:val="24"/>
          <w:szCs w:val="24"/>
          <w:highlight w:val="none"/>
          <w:lang w:eastAsia="zh-CN"/>
        </w:rPr>
        <w:t>资格审查，其磋商无效</w:t>
      </w: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lang w:eastAsia="zh-CN"/>
        </w:rPr>
        <w:t>有关资格证明材料的证书、证件原件备查。</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资格审查主要审查以下方面的内容（包括但不限于以下内容）：</w:t>
      </w:r>
    </w:p>
    <w:p>
      <w:pPr>
        <w:keepNext w:val="0"/>
        <w:keepLines w:val="0"/>
        <w:pageBreakBefore w:val="0"/>
        <w:widowControl w:val="0"/>
        <w:kinsoku/>
        <w:wordWrap/>
        <w:overflowPunct/>
        <w:topLinePunct w:val="0"/>
        <w:bidi w:val="0"/>
        <w:snapToGrid/>
        <w:spacing w:line="400" w:lineRule="exact"/>
        <w:ind w:left="0" w:leftChars="0" w:right="0" w:rightChars="0" w:firstLine="0" w:firstLineChars="0"/>
        <w:textAlignment w:val="auto"/>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1、法人授权委托书和被授权人有效身份证（法人直接参加的需出示法人身份证明及身份证原件）；</w:t>
      </w:r>
    </w:p>
    <w:p>
      <w:pPr>
        <w:keepNext w:val="0"/>
        <w:keepLines w:val="0"/>
        <w:pageBreakBefore w:val="0"/>
        <w:widowControl w:val="0"/>
        <w:kinsoku/>
        <w:wordWrap/>
        <w:overflowPunct/>
        <w:topLinePunct w:val="0"/>
        <w:bidi w:val="0"/>
        <w:snapToGrid/>
        <w:spacing w:line="400" w:lineRule="exact"/>
        <w:ind w:left="0" w:leftChars="0" w:right="0" w:rightChars="0" w:firstLine="0" w:firstLineChars="0"/>
        <w:textAlignment w:val="auto"/>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2、投标人为企业法人应提供合法有效的标识有统一社会信用代码的营业执照；事业法人应提供事业单位法人证书；其他组织应提供合法登记证明文件；</w:t>
      </w:r>
    </w:p>
    <w:p>
      <w:pPr>
        <w:keepNext w:val="0"/>
        <w:keepLines w:val="0"/>
        <w:pageBreakBefore w:val="0"/>
        <w:widowControl w:val="0"/>
        <w:kinsoku/>
        <w:wordWrap/>
        <w:overflowPunct/>
        <w:topLinePunct w:val="0"/>
        <w:bidi w:val="0"/>
        <w:snapToGrid/>
        <w:spacing w:line="400" w:lineRule="exact"/>
        <w:ind w:left="0" w:leftChars="0" w:right="0" w:rightChars="0" w:firstLine="0" w:firstLineChars="0"/>
        <w:textAlignment w:val="auto"/>
        <w:rPr>
          <w:rFonts w:hint="eastAsia" w:ascii="宋体" w:hAnsi="宋体" w:eastAsia="宋体" w:cs="宋体"/>
          <w:b/>
          <w:bCs/>
          <w:kern w:val="0"/>
          <w:sz w:val="24"/>
          <w:szCs w:val="24"/>
          <w:highlight w:val="none"/>
          <w:lang w:val="zh-CN" w:eastAsia="zh-CN" w:bidi="ar-SA"/>
        </w:rPr>
      </w:pPr>
      <w:r>
        <w:rPr>
          <w:rFonts w:hint="eastAsia" w:ascii="宋体" w:hAnsi="宋体" w:eastAsia="宋体" w:cs="宋体"/>
          <w:b/>
          <w:bCs/>
          <w:kern w:val="0"/>
          <w:sz w:val="24"/>
          <w:szCs w:val="24"/>
          <w:highlight w:val="none"/>
          <w:lang w:val="en-US" w:eastAsia="zh-CN" w:bidi="ar-SA"/>
        </w:rPr>
        <w:t>3、社会保障资金缴纳证明：</w:t>
      </w:r>
      <w:r>
        <w:rPr>
          <w:rFonts w:hint="eastAsia" w:ascii="宋体" w:hAnsi="宋体" w:eastAsia="宋体" w:cs="宋体"/>
          <w:b/>
          <w:bCs/>
          <w:kern w:val="0"/>
          <w:sz w:val="24"/>
          <w:szCs w:val="24"/>
          <w:highlight w:val="none"/>
          <w:lang w:val="zh-CN" w:eastAsia="zh-CN" w:bidi="ar-SA"/>
        </w:rPr>
        <w:t>投标人</w:t>
      </w:r>
      <w:r>
        <w:rPr>
          <w:rFonts w:hint="eastAsia" w:ascii="宋体" w:hAnsi="宋体" w:eastAsia="宋体" w:cs="宋体"/>
          <w:b/>
          <w:bCs/>
          <w:kern w:val="0"/>
          <w:sz w:val="24"/>
          <w:szCs w:val="24"/>
          <w:highlight w:val="none"/>
          <w:lang w:val="en-US" w:eastAsia="zh-CN" w:bidi="ar-SA"/>
        </w:rPr>
        <w:t>提供近半年内已缴存的至少一个月的社会保障资金缴存单据或社保机构开具的社会保险参保缴费情况证明，依法不需要缴纳社会保障资金的投标人应提供相关文件证明</w:t>
      </w:r>
      <w:r>
        <w:rPr>
          <w:rFonts w:hint="eastAsia" w:ascii="宋体" w:hAnsi="宋体" w:eastAsia="宋体" w:cs="宋体"/>
          <w:b/>
          <w:bCs/>
          <w:kern w:val="0"/>
          <w:sz w:val="24"/>
          <w:szCs w:val="24"/>
          <w:highlight w:val="none"/>
          <w:lang w:val="zh-CN" w:eastAsia="zh-CN" w:bidi="ar-SA"/>
        </w:rPr>
        <w:t>；</w:t>
      </w:r>
    </w:p>
    <w:p>
      <w:pPr>
        <w:keepNext w:val="0"/>
        <w:keepLines w:val="0"/>
        <w:pageBreakBefore w:val="0"/>
        <w:widowControl w:val="0"/>
        <w:numPr>
          <w:ilvl w:val="0"/>
          <w:numId w:val="0"/>
        </w:numPr>
        <w:kinsoku/>
        <w:wordWrap/>
        <w:overflowPunct/>
        <w:topLinePunct w:val="0"/>
        <w:bidi w:val="0"/>
        <w:snapToGrid/>
        <w:spacing w:line="400" w:lineRule="exact"/>
        <w:ind w:leftChars="0" w:right="0" w:rightChars="0"/>
        <w:textAlignment w:val="auto"/>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4、</w:t>
      </w:r>
      <w:r>
        <w:rPr>
          <w:rFonts w:hint="eastAsia" w:ascii="宋体" w:hAnsi="宋体" w:eastAsia="宋体" w:cs="宋体"/>
          <w:b/>
          <w:bCs/>
          <w:i w:val="0"/>
          <w:iCs w:val="0"/>
          <w:sz w:val="24"/>
          <w:szCs w:val="24"/>
          <w:highlight w:val="none"/>
        </w:rPr>
        <w:t>税收缴纳证明：</w:t>
      </w:r>
      <w:r>
        <w:rPr>
          <w:rFonts w:hint="eastAsia" w:ascii="宋体" w:hAnsi="宋体" w:eastAsia="宋体" w:cs="宋体"/>
          <w:b/>
          <w:bCs/>
          <w:i w:val="0"/>
          <w:iCs w:val="0"/>
          <w:sz w:val="24"/>
          <w:szCs w:val="24"/>
          <w:highlight w:val="none"/>
          <w:lang w:eastAsia="zh-CN"/>
        </w:rPr>
        <w:t>投标人</w:t>
      </w:r>
      <w:r>
        <w:rPr>
          <w:rFonts w:hint="eastAsia" w:ascii="宋体" w:hAnsi="宋体" w:eastAsia="宋体" w:cs="宋体"/>
          <w:b/>
          <w:bCs/>
          <w:i w:val="0"/>
          <w:iCs w:val="0"/>
          <w:sz w:val="24"/>
          <w:szCs w:val="24"/>
          <w:highlight w:val="none"/>
        </w:rPr>
        <w:t>提供近半年内已缴纳的至少一个月的纳税证明或完税证明，纳税证明或完税证明上应有代收机构或税务机关的公章，依法免税的</w:t>
      </w:r>
      <w:r>
        <w:rPr>
          <w:rFonts w:hint="eastAsia" w:ascii="宋体" w:hAnsi="宋体" w:eastAsia="宋体" w:cs="宋体"/>
          <w:b/>
          <w:bCs/>
          <w:i w:val="0"/>
          <w:iCs w:val="0"/>
          <w:sz w:val="24"/>
          <w:szCs w:val="24"/>
          <w:highlight w:val="none"/>
          <w:lang w:eastAsia="zh-CN"/>
        </w:rPr>
        <w:t>投标人</w:t>
      </w:r>
      <w:r>
        <w:rPr>
          <w:rFonts w:hint="eastAsia" w:ascii="宋体" w:hAnsi="宋体" w:eastAsia="宋体" w:cs="宋体"/>
          <w:b/>
          <w:bCs/>
          <w:i w:val="0"/>
          <w:iCs w:val="0"/>
          <w:sz w:val="24"/>
          <w:szCs w:val="24"/>
          <w:highlight w:val="none"/>
        </w:rPr>
        <w:t>应提供相关文件证明；</w:t>
      </w:r>
    </w:p>
    <w:p>
      <w:pPr>
        <w:keepNext w:val="0"/>
        <w:keepLines w:val="0"/>
        <w:pageBreakBefore w:val="0"/>
        <w:widowControl w:val="0"/>
        <w:numPr>
          <w:ilvl w:val="0"/>
          <w:numId w:val="0"/>
        </w:numPr>
        <w:kinsoku/>
        <w:wordWrap/>
        <w:overflowPunct/>
        <w:topLinePunct w:val="0"/>
        <w:bidi w:val="0"/>
        <w:snapToGrid/>
        <w:spacing w:line="400" w:lineRule="exact"/>
        <w:ind w:leftChars="0" w:right="0" w:rightChars="0"/>
        <w:textAlignment w:val="auto"/>
        <w:rPr>
          <w:rFonts w:hint="eastAsia" w:ascii="宋体" w:hAnsi="宋体" w:eastAsia="宋体" w:cs="宋体"/>
          <w:b/>
          <w:bCs/>
          <w:kern w:val="0"/>
          <w:sz w:val="24"/>
          <w:szCs w:val="24"/>
          <w:highlight w:val="none"/>
          <w:lang w:val="zh-CN" w:eastAsia="zh-CN" w:bidi="ar-SA"/>
        </w:rPr>
      </w:pPr>
      <w:r>
        <w:rPr>
          <w:rFonts w:hint="eastAsia" w:ascii="宋体" w:hAnsi="宋体" w:eastAsia="宋体" w:cs="宋体"/>
          <w:b/>
          <w:bCs/>
          <w:kern w:val="0"/>
          <w:sz w:val="24"/>
          <w:szCs w:val="24"/>
          <w:highlight w:val="none"/>
          <w:lang w:val="en-US" w:eastAsia="zh-CN" w:bidi="ar-SA"/>
        </w:rPr>
        <w:t>5、财务状况报告：投标人提供近1年的财务审计报告（至少包括审计报告、资产负债表和利润表，成立时间至提交投标文件截止时间不足一年的可提供成立后任意时段的资产负债表），或其开标前三个月内基本存款账户开户银行出具的资信证明；</w:t>
      </w:r>
    </w:p>
    <w:p>
      <w:pPr>
        <w:keepNext w:val="0"/>
        <w:keepLines w:val="0"/>
        <w:pageBreakBefore w:val="0"/>
        <w:widowControl w:val="0"/>
        <w:numPr>
          <w:ilvl w:val="0"/>
          <w:numId w:val="0"/>
        </w:numPr>
        <w:kinsoku/>
        <w:wordWrap/>
        <w:overflowPunct/>
        <w:topLinePunct w:val="0"/>
        <w:bidi w:val="0"/>
        <w:snapToGrid/>
        <w:spacing w:line="400" w:lineRule="exact"/>
        <w:ind w:leftChars="0" w:right="0" w:rightChars="0"/>
        <w:textAlignment w:val="auto"/>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6、投标人应具备良好的商业信誉，提供参加政府采购活动前3年内在经营活动中没有重大违法记录的书面声明；</w:t>
      </w:r>
    </w:p>
    <w:p>
      <w:pPr>
        <w:keepNext w:val="0"/>
        <w:keepLines w:val="0"/>
        <w:pageBreakBefore w:val="0"/>
        <w:widowControl w:val="0"/>
        <w:numPr>
          <w:ilvl w:val="0"/>
          <w:numId w:val="0"/>
        </w:numPr>
        <w:kinsoku/>
        <w:wordWrap/>
        <w:overflowPunct/>
        <w:topLinePunct w:val="0"/>
        <w:bidi w:val="0"/>
        <w:snapToGrid/>
        <w:spacing w:line="400" w:lineRule="exact"/>
        <w:ind w:leftChars="0" w:right="0" w:rightChars="0"/>
        <w:textAlignment w:val="auto"/>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7、投标人应在“信用中国”网站（www.creditchina.gov.cn）未被列入失信被执行人记录、</w:t>
      </w:r>
      <w:r>
        <w:rPr>
          <w:rFonts w:hint="eastAsia" w:ascii="宋体" w:hAnsi="宋体" w:cs="宋体"/>
          <w:b/>
          <w:bCs/>
          <w:kern w:val="0"/>
          <w:sz w:val="24"/>
          <w:szCs w:val="24"/>
          <w:highlight w:val="none"/>
          <w:lang w:val="en-US" w:eastAsia="zh-CN" w:bidi="ar-SA"/>
        </w:rPr>
        <w:t>重大税收违法失信主体记录</w:t>
      </w:r>
      <w:r>
        <w:rPr>
          <w:rFonts w:hint="eastAsia" w:ascii="宋体" w:hAnsi="宋体" w:eastAsia="宋体" w:cs="宋体"/>
          <w:b/>
          <w:bCs/>
          <w:kern w:val="0"/>
          <w:sz w:val="24"/>
          <w:szCs w:val="24"/>
          <w:highlight w:val="none"/>
          <w:lang w:val="en-US" w:eastAsia="zh-CN" w:bidi="ar-SA"/>
        </w:rPr>
        <w:t>且在中国政府采购网（www.ccgp.gov.cn）没有相关主体政府采购严重违法失信行为记录（被禁止在一定期限内参加政府采购活动但期限届满的除外）（查询日期为从采购文件发售之日起至投标截止日前），以网页截图（需显示查询时间）加盖投标人公章为准；</w:t>
      </w:r>
    </w:p>
    <w:p>
      <w:pPr>
        <w:pStyle w:val="8"/>
        <w:kinsoku w:val="0"/>
        <w:overflowPunct w:val="0"/>
        <w:spacing w:before="34" w:line="357" w:lineRule="auto"/>
        <w:ind w:right="126"/>
        <w:rPr>
          <w:rFonts w:hint="eastAsia" w:ascii="宋体" w:hAnsi="宋体" w:cs="宋体"/>
          <w:b/>
          <w:bCs/>
          <w:i w:val="0"/>
          <w:iCs w:val="0"/>
          <w:sz w:val="24"/>
          <w:szCs w:val="24"/>
          <w:highlight w:val="yellow"/>
          <w:u w:val="none"/>
          <w:lang w:eastAsia="zh-CN"/>
        </w:rPr>
      </w:pPr>
      <w:r>
        <w:rPr>
          <w:rFonts w:hint="eastAsia" w:ascii="宋体" w:hAnsi="宋体" w:cs="宋体"/>
          <w:b/>
          <w:bCs/>
          <w:kern w:val="0"/>
          <w:sz w:val="24"/>
          <w:szCs w:val="24"/>
          <w:highlight w:val="yellow"/>
          <w:lang w:val="en-US" w:eastAsia="zh-CN" w:bidi="ar-SA"/>
        </w:rPr>
        <w:t>8、</w:t>
      </w:r>
      <w:r>
        <w:rPr>
          <w:rFonts w:hint="eastAsia" w:ascii="宋体" w:hAnsi="宋体" w:eastAsia="宋体" w:cs="宋体"/>
          <w:b/>
          <w:bCs/>
          <w:i w:val="0"/>
          <w:iCs w:val="0"/>
          <w:sz w:val="24"/>
          <w:szCs w:val="24"/>
          <w:highlight w:val="yellow"/>
          <w:u w:val="none"/>
          <w:lang w:eastAsia="zh-CN"/>
        </w:rPr>
        <w:t>根据《政府采购促进中小企业发展管理办法》要求，本项目应当专门面向中小企业采购（提供中小微企业声明函）</w:t>
      </w:r>
      <w:r>
        <w:rPr>
          <w:rFonts w:hint="eastAsia" w:ascii="宋体" w:hAnsi="宋体" w:cs="宋体"/>
          <w:b/>
          <w:bCs/>
          <w:i w:val="0"/>
          <w:iCs w:val="0"/>
          <w:sz w:val="24"/>
          <w:szCs w:val="24"/>
          <w:highlight w:val="yellow"/>
          <w:u w:val="none"/>
          <w:lang w:eastAsia="zh-CN"/>
        </w:rPr>
        <w:t>。</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备注：竞争性磋商文件涉及要求供应商在开标时所带的原件，请供应商在开标现场一次性提供。供应商提交的所有证明文件及材料必须清晰、准确、真实、有效；对于不提供或提供不真实或虚假资料者按无效标处理。</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b/>
          <w:bCs/>
          <w:highlight w:val="none"/>
        </w:rPr>
        <w:t>1.2 响应性审查：</w:t>
      </w:r>
      <w:r>
        <w:rPr>
          <w:rFonts w:hint="eastAsia" w:ascii="宋体" w:hAnsi="宋体" w:eastAsia="宋体" w:cs="宋体"/>
          <w:highlight w:val="none"/>
        </w:rPr>
        <w:t>依据《竞争性磋商文件》的规定，从《磋商响应性文件》的有效性、完整性和对《竞争性磋商文件》的响应程度进行审查，以确定是否对《竞争性磋商文件》的实质性要求做出响应。响应性审查时有下列情形之一的，由磋商小组按无效《磋商响应性文件》处理：</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（1）未按照招标文件的规定提交投标保证金的；</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（2）投标文件未按招标文件要求签署、盖章的；</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（3）不具备招标文件中规定的资格要求的；</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（4）报价超过招标文件中规定的预算金额或者最高限价的；</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（5）投标文件含有采购人不能接受的附加条件的；</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（6）法律、法规和招标文件规定的其他无效情形；</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1.3 实质上没有响应《竞争性磋商文件》要求的《磋商响应性文件》将被拒绝。</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1.4 供应商不得通过修正或撤销不符合要求的偏离或保留从而使其《磋商响应性文件》成为实质上响应的《磋商响应性文件》。</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1.5 通过资格性及响应性审查且无实质性背离采购人要求的响应文件，即可进行下一步评审。未通过资格性审查、响应性审查的响应文件按无效投标处理。</w:t>
      </w:r>
    </w:p>
    <w:p>
      <w:pPr>
        <w:pStyle w:val="8"/>
        <w:kinsoku w:val="0"/>
        <w:overflowPunct w:val="0"/>
        <w:spacing w:before="34"/>
        <w:jc w:val="both"/>
        <w:outlineLvl w:val="9"/>
        <w:rPr>
          <w:rFonts w:hint="eastAsia" w:ascii="宋体" w:hAnsi="宋体" w:eastAsia="宋体" w:cs="宋体"/>
          <w:b/>
          <w:bCs/>
          <w:highlight w:val="none"/>
        </w:rPr>
      </w:pPr>
      <w:r>
        <w:rPr>
          <w:rFonts w:hint="eastAsia" w:ascii="宋体" w:hAnsi="宋体" w:eastAsia="宋体" w:cs="宋体"/>
          <w:b/>
          <w:bCs/>
          <w:highlight w:val="none"/>
        </w:rPr>
        <w:t>2.磋商及详细评审：</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2.1 磋商小组审阅响应文件： 以确定是否对磋商文件的要求做出实质性响应。未对磋商文件做实质性响应的供应商，不得进入具体磋商程序。</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2.2 开始磋商，磋商小组所有成员集中与单一供应商分别进行磋商。磋商小组可根据供应商的报价，响应内容及磋商的情况，给予每个正在参加磋商的供应商相同的机会。先依据供应商制定的方案进行审查，经过磋商小组所有成员集中讨论及磋商讨论，再给予每个合格的供应商二次报价资格。</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在磋商过程中，磋商小组可以根据磋商文件和磋商情况实质性变动采购需求中的技术、服务要求以及合同草案条款，但不得变动磋商文件中的其他内容。实质性变动的内容，须经采购人代表确认。</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对磋商文件作出的实质性变动是磋商文件的有效组成部分，磋商小组应当及时以书面形式同时通知所有参加磋商的供应商。</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供应商应当按照磋商文件的变动情况和磋商小组的要求重新提交响应文件，并由其全权代表签章。</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2.3 磋商结束后，参加磋商的供应商应当对磋商的承诺和最后报价以书面形式确认， 并由授权委托人签章。各供应商对本项目进行二次（最终）报价。</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2.4 由磋商小组采用综合评分法对提交最终报价的供应商的响应文件和最终报价进 行打分；</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2.5 磋商小组可以对确定为实质上响应竞争性磋商文件要求的磋商响应性文件进行校对、审核，对出现的算术错误，由磋商小组予以改正，并让供应商澄清确认。修正计算错误按如下原则进行：</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2.6《磋商响应性文件》的大写金额和小写金额不一致的，以大写金额为准；总价金额与单项单价汇总金额不一致的，以单价金额计算结果为准；单价金额小数点有明显错位的，应以总价为准，并修改单价；对不同文字文本《磋商响应性文件》的解释发生异议的，以中文文本为准。</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2.7 若供应商不接受对其错误的更正，其投标将被视为无效投标。</w:t>
      </w:r>
    </w:p>
    <w:p>
      <w:pPr>
        <w:pStyle w:val="8"/>
        <w:kinsoku w:val="0"/>
        <w:overflowPunct w:val="0"/>
        <w:spacing w:before="34"/>
        <w:jc w:val="both"/>
        <w:outlineLvl w:val="2"/>
        <w:rPr>
          <w:rFonts w:hint="eastAsia" w:ascii="宋体" w:hAnsi="宋体" w:eastAsia="宋体" w:cs="宋体"/>
          <w:b/>
          <w:bCs/>
          <w:highlight w:val="none"/>
        </w:rPr>
      </w:pPr>
      <w:r>
        <w:rPr>
          <w:rFonts w:hint="eastAsia" w:ascii="宋体" w:hAnsi="宋体" w:eastAsia="宋体" w:cs="宋体"/>
          <w:b/>
          <w:bCs/>
          <w:highlight w:val="none"/>
        </w:rPr>
        <w:br w:type="page"/>
      </w:r>
      <w:r>
        <w:rPr>
          <w:rFonts w:hint="eastAsia" w:ascii="宋体" w:hAnsi="宋体" w:eastAsia="宋体" w:cs="宋体"/>
          <w:b/>
          <w:bCs/>
          <w:highlight w:val="none"/>
        </w:rPr>
        <w:t>3. 综合评分表</w:t>
      </w:r>
    </w:p>
    <w:tbl>
      <w:tblPr>
        <w:tblStyle w:val="1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8"/>
        <w:gridCol w:w="1245"/>
        <w:gridCol w:w="5564"/>
        <w:gridCol w:w="1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525" w:type="pct"/>
            <w:noWrap w:val="0"/>
            <w:vAlign w:val="center"/>
          </w:tcPr>
          <w:p>
            <w:pPr>
              <w:widowControl/>
              <w:adjustRightInd w:val="0"/>
              <w:snapToGrid w:val="0"/>
              <w:ind w:left="0" w:leftChars="0" w:firstLine="0" w:firstLineChars="0"/>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序号</w:t>
            </w:r>
          </w:p>
        </w:tc>
        <w:tc>
          <w:tcPr>
            <w:tcW w:w="696" w:type="pct"/>
            <w:noWrap w:val="0"/>
            <w:vAlign w:val="center"/>
          </w:tcPr>
          <w:p>
            <w:pPr>
              <w:widowControl/>
              <w:adjustRightInd w:val="0"/>
              <w:snapToGrid w:val="0"/>
              <w:ind w:left="0" w:leftChars="0" w:firstLine="0" w:firstLineChars="0"/>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评审因素</w:t>
            </w:r>
          </w:p>
        </w:tc>
        <w:tc>
          <w:tcPr>
            <w:tcW w:w="3109" w:type="pct"/>
            <w:noWrap w:val="0"/>
            <w:vAlign w:val="center"/>
          </w:tcPr>
          <w:p>
            <w:pPr>
              <w:widowControl/>
              <w:adjustRightInd w:val="0"/>
              <w:snapToGrid w:val="0"/>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评审细则</w:t>
            </w:r>
          </w:p>
        </w:tc>
        <w:tc>
          <w:tcPr>
            <w:tcW w:w="667" w:type="pct"/>
            <w:noWrap w:val="0"/>
            <w:vAlign w:val="center"/>
          </w:tcPr>
          <w:p>
            <w:pPr>
              <w:widowControl/>
              <w:adjustRightInd w:val="0"/>
              <w:snapToGrid w:val="0"/>
              <w:ind w:left="0" w:leftChars="0" w:firstLine="0" w:firstLineChars="0"/>
              <w:jc w:val="both"/>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5000" w:type="pct"/>
            <w:gridSpan w:val="4"/>
            <w:noWrap w:val="0"/>
            <w:vAlign w:val="center"/>
          </w:tcPr>
          <w:p>
            <w:pPr>
              <w:widowControl/>
              <w:adjustRightInd w:val="0"/>
              <w:snapToGrid w:val="0"/>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价格部分（10分）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525" w:type="pct"/>
            <w:noWrap w:val="0"/>
            <w:vAlign w:val="center"/>
          </w:tcPr>
          <w:p>
            <w:pPr>
              <w:widowControl/>
              <w:adjustRightInd w:val="0"/>
              <w:snapToGrid w:val="0"/>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w:t>
            </w:r>
          </w:p>
        </w:tc>
        <w:tc>
          <w:tcPr>
            <w:tcW w:w="696" w:type="pct"/>
            <w:noWrap w:val="0"/>
            <w:vAlign w:val="center"/>
          </w:tcPr>
          <w:p>
            <w:pPr>
              <w:widowControl/>
              <w:adjustRightInd w:val="0"/>
              <w:snapToGrid w:val="0"/>
              <w:ind w:left="0" w:leftChars="0" w:firstLine="0" w:firstLineChars="0"/>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价格评分</w:t>
            </w:r>
          </w:p>
        </w:tc>
        <w:tc>
          <w:tcPr>
            <w:tcW w:w="3109" w:type="pct"/>
            <w:noWrap w:val="0"/>
            <w:vAlign w:val="center"/>
          </w:tcPr>
          <w:p>
            <w:pPr>
              <w:widowControl/>
              <w:adjustRightInd w:val="0"/>
              <w:snapToGrid w:val="0"/>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将所有满足招标文件要求且投标价格最低的投标报价为评标基准价，投标人的价格分按照下列公式计算：投标报价得分=(评标基准价／投标报价)×10。</w:t>
            </w:r>
          </w:p>
        </w:tc>
        <w:tc>
          <w:tcPr>
            <w:tcW w:w="667" w:type="pct"/>
            <w:noWrap w:val="0"/>
            <w:vAlign w:val="center"/>
          </w:tcPr>
          <w:p>
            <w:pPr>
              <w:widowControl/>
              <w:adjustRightInd w:val="0"/>
              <w:snapToGrid w:val="0"/>
              <w:ind w:left="0" w:leftChars="0" w:firstLine="0" w:firstLineChars="0"/>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4332" w:type="pct"/>
            <w:gridSpan w:val="3"/>
            <w:noWrap w:val="0"/>
            <w:vAlign w:val="center"/>
          </w:tcPr>
          <w:p>
            <w:pPr>
              <w:widowControl/>
              <w:adjustRightInd w:val="0"/>
              <w:snapToGrid w:val="0"/>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商务部分（</w:t>
            </w:r>
            <w:r>
              <w:rPr>
                <w:rFonts w:hint="eastAsia" w:ascii="仿宋" w:hAnsi="仿宋" w:eastAsia="仿宋" w:cs="仿宋"/>
                <w:color w:val="000000" w:themeColor="text1"/>
                <w:kern w:val="0"/>
                <w:sz w:val="24"/>
                <w:szCs w:val="24"/>
                <w:lang w:val="en-US" w:eastAsia="zh-CN"/>
                <w14:textFill>
                  <w14:solidFill>
                    <w14:schemeClr w14:val="tx1"/>
                  </w14:solidFill>
                </w14:textFill>
              </w:rPr>
              <w:t>4</w:t>
            </w:r>
            <w:r>
              <w:rPr>
                <w:rFonts w:hint="eastAsia" w:ascii="仿宋" w:hAnsi="仿宋" w:eastAsia="仿宋" w:cs="仿宋"/>
                <w:color w:val="000000" w:themeColor="text1"/>
                <w:kern w:val="0"/>
                <w:sz w:val="24"/>
                <w:szCs w:val="24"/>
                <w14:textFill>
                  <w14:solidFill>
                    <w14:schemeClr w14:val="tx1"/>
                  </w14:solidFill>
                </w14:textFill>
              </w:rPr>
              <w:t>5分）</w:t>
            </w:r>
          </w:p>
        </w:tc>
        <w:tc>
          <w:tcPr>
            <w:tcW w:w="667" w:type="pct"/>
            <w:noWrap w:val="0"/>
            <w:vAlign w:val="center"/>
          </w:tcPr>
          <w:p>
            <w:pPr>
              <w:widowControl/>
              <w:adjustRightInd w:val="0"/>
              <w:snapToGrid w:val="0"/>
              <w:rPr>
                <w:rFonts w:hint="eastAsia" w:ascii="仿宋" w:hAnsi="仿宋" w:eastAsia="仿宋" w:cs="仿宋"/>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525" w:type="pct"/>
            <w:vMerge w:val="restart"/>
            <w:noWrap w:val="0"/>
            <w:vAlign w:val="center"/>
          </w:tcPr>
          <w:p>
            <w:pPr>
              <w:widowControl/>
              <w:adjustRightInd w:val="0"/>
              <w:snapToGrid w:val="0"/>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w:t>
            </w:r>
          </w:p>
        </w:tc>
        <w:tc>
          <w:tcPr>
            <w:tcW w:w="696" w:type="pct"/>
            <w:noWrap w:val="0"/>
            <w:vAlign w:val="center"/>
          </w:tcPr>
          <w:p>
            <w:pPr>
              <w:spacing w:line="360" w:lineRule="auto"/>
              <w:ind w:left="0" w:leftChars="0" w:firstLine="0" w:firstLineChars="0"/>
              <w:jc w:val="both"/>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业绩方面</w:t>
            </w:r>
          </w:p>
        </w:tc>
        <w:tc>
          <w:tcPr>
            <w:tcW w:w="3109" w:type="pct"/>
            <w:noWrap w:val="0"/>
            <w:vAlign w:val="center"/>
          </w:tcPr>
          <w:p>
            <w:pPr>
              <w:spacing w:line="360" w:lineRule="auto"/>
              <w:ind w:firstLine="480" w:firstLineChars="200"/>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投标人提供自201</w:t>
            </w:r>
            <w:r>
              <w:rPr>
                <w:rFonts w:hint="eastAsia" w:ascii="仿宋" w:hAnsi="仿宋" w:eastAsia="仿宋" w:cs="仿宋"/>
                <w:color w:val="000000" w:themeColor="text1"/>
                <w:sz w:val="24"/>
                <w:szCs w:val="24"/>
                <w:lang w:val="en-US" w:eastAsia="zh-CN"/>
                <w14:textFill>
                  <w14:solidFill>
                    <w14:schemeClr w14:val="tx1"/>
                  </w14:solidFill>
                </w14:textFill>
              </w:rPr>
              <w:t>9年</w:t>
            </w:r>
            <w:r>
              <w:rPr>
                <w:rFonts w:hint="eastAsia" w:ascii="仿宋" w:hAnsi="仿宋" w:eastAsia="仿宋" w:cs="仿宋"/>
                <w:color w:val="000000" w:themeColor="text1"/>
                <w:sz w:val="24"/>
                <w:szCs w:val="24"/>
                <w14:textFill>
                  <w14:solidFill>
                    <w14:schemeClr w14:val="tx1"/>
                  </w14:solidFill>
                </w14:textFill>
              </w:rPr>
              <w:t>起签订的同类项目合同案例，每提供一个合同</w:t>
            </w:r>
            <w:r>
              <w:rPr>
                <w:rFonts w:hint="eastAsia" w:ascii="仿宋" w:hAnsi="仿宋" w:cs="仿宋"/>
                <w:color w:val="000000" w:themeColor="text1"/>
                <w:sz w:val="24"/>
                <w:szCs w:val="24"/>
                <w:lang w:val="en-US" w:eastAsia="zh-CN"/>
                <w14:textFill>
                  <w14:solidFill>
                    <w14:schemeClr w14:val="tx1"/>
                  </w14:solidFill>
                </w14:textFill>
              </w:rPr>
              <w:t>计</w:t>
            </w:r>
            <w:r>
              <w:rPr>
                <w:rFonts w:hint="eastAsia" w:ascii="仿宋" w:hAnsi="仿宋" w:eastAsia="仿宋" w:cs="仿宋"/>
                <w:color w:val="000000" w:themeColor="text1"/>
                <w:sz w:val="24"/>
                <w:szCs w:val="24"/>
                <w14:textFill>
                  <w14:solidFill>
                    <w14:schemeClr w14:val="tx1"/>
                  </w14:solidFill>
                </w14:textFill>
              </w:rPr>
              <w:t>3分，最高</w:t>
            </w:r>
            <w:r>
              <w:rPr>
                <w:rFonts w:hint="eastAsia" w:ascii="仿宋" w:hAnsi="仿宋" w:cs="仿宋"/>
                <w:color w:val="000000" w:themeColor="text1"/>
                <w:sz w:val="24"/>
                <w:szCs w:val="24"/>
                <w:lang w:val="en-US" w:eastAsia="zh-CN"/>
                <w14:textFill>
                  <w14:solidFill>
                    <w14:schemeClr w14:val="tx1"/>
                  </w14:solidFill>
                </w14:textFill>
              </w:rPr>
              <w:t>计</w:t>
            </w:r>
            <w:r>
              <w:rPr>
                <w:rFonts w:hint="eastAsia" w:ascii="仿宋" w:hAnsi="仿宋" w:eastAsia="仿宋" w:cs="仿宋"/>
                <w:color w:val="000000" w:themeColor="text1"/>
                <w:sz w:val="24"/>
                <w:szCs w:val="24"/>
                <w:lang w:val="en-US" w:eastAsia="zh-CN"/>
                <w14:textFill>
                  <w14:solidFill>
                    <w14:schemeClr w14:val="tx1"/>
                  </w14:solidFill>
                </w14:textFill>
              </w:rPr>
              <w:t>15</w:t>
            </w:r>
            <w:r>
              <w:rPr>
                <w:rFonts w:hint="eastAsia" w:ascii="仿宋" w:hAnsi="仿宋" w:eastAsia="仿宋" w:cs="仿宋"/>
                <w:color w:val="000000" w:themeColor="text1"/>
                <w:sz w:val="24"/>
                <w:szCs w:val="24"/>
                <w14:textFill>
                  <w14:solidFill>
                    <w14:schemeClr w14:val="tx1"/>
                  </w14:solidFill>
                </w14:textFill>
              </w:rPr>
              <w:t>分（须提供完整的合同复印件并加盖公章，否则不</w:t>
            </w:r>
            <w:r>
              <w:rPr>
                <w:rFonts w:hint="eastAsia" w:ascii="仿宋" w:hAnsi="仿宋" w:cs="仿宋"/>
                <w:color w:val="000000" w:themeColor="text1"/>
                <w:sz w:val="24"/>
                <w:szCs w:val="24"/>
                <w:lang w:val="en-US" w:eastAsia="zh-CN"/>
                <w14:textFill>
                  <w14:solidFill>
                    <w14:schemeClr w14:val="tx1"/>
                  </w14:solidFill>
                </w14:textFill>
              </w:rPr>
              <w:t>计</w:t>
            </w:r>
            <w:r>
              <w:rPr>
                <w:rFonts w:hint="eastAsia" w:ascii="仿宋" w:hAnsi="仿宋" w:eastAsia="仿宋" w:cs="仿宋"/>
                <w:color w:val="000000" w:themeColor="text1"/>
                <w:sz w:val="24"/>
                <w:szCs w:val="24"/>
                <w14:textFill>
                  <w14:solidFill>
                    <w14:schemeClr w14:val="tx1"/>
                  </w14:solidFill>
                </w14:textFill>
              </w:rPr>
              <w:t>分）。</w:t>
            </w:r>
          </w:p>
        </w:tc>
        <w:tc>
          <w:tcPr>
            <w:tcW w:w="667" w:type="pct"/>
            <w:noWrap w:val="0"/>
            <w:vAlign w:val="center"/>
          </w:tcPr>
          <w:p>
            <w:pPr>
              <w:widowControl/>
              <w:adjustRightInd w:val="0"/>
              <w:snapToGrid w:val="0"/>
              <w:ind w:left="0" w:leftChars="0" w:firstLine="0" w:firstLineChars="0"/>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15</w:t>
            </w:r>
            <w:r>
              <w:rPr>
                <w:rFonts w:hint="eastAsia" w:ascii="仿宋" w:hAnsi="仿宋" w:eastAsia="仿宋" w:cs="仿宋"/>
                <w:color w:val="000000" w:themeColor="text1"/>
                <w:kern w:val="0"/>
                <w:sz w:val="24"/>
                <w:szCs w:val="24"/>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525" w:type="pct"/>
            <w:vMerge w:val="continue"/>
            <w:noWrap w:val="0"/>
            <w:vAlign w:val="center"/>
          </w:tcPr>
          <w:p>
            <w:pPr>
              <w:widowControl/>
              <w:adjustRightInd w:val="0"/>
              <w:snapToGrid w:val="0"/>
              <w:rPr>
                <w:rFonts w:hint="eastAsia" w:ascii="仿宋" w:hAnsi="仿宋" w:eastAsia="仿宋" w:cs="仿宋"/>
                <w:color w:val="000000" w:themeColor="text1"/>
                <w:kern w:val="0"/>
                <w:sz w:val="24"/>
                <w:szCs w:val="24"/>
                <w14:textFill>
                  <w14:solidFill>
                    <w14:schemeClr w14:val="tx1"/>
                  </w14:solidFill>
                </w14:textFill>
              </w:rPr>
            </w:pPr>
          </w:p>
        </w:tc>
        <w:tc>
          <w:tcPr>
            <w:tcW w:w="696" w:type="pct"/>
            <w:noWrap w:val="0"/>
            <w:vAlign w:val="center"/>
          </w:tcPr>
          <w:p>
            <w:pPr>
              <w:spacing w:line="360" w:lineRule="auto"/>
              <w:ind w:left="0" w:leftChars="0" w:firstLine="0" w:firstLineChars="0"/>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资质方面</w:t>
            </w:r>
          </w:p>
          <w:p>
            <w:pPr>
              <w:spacing w:line="360" w:lineRule="auto"/>
              <w:ind w:left="0" w:leftChars="0" w:firstLine="0" w:firstLineChars="0"/>
              <w:jc w:val="both"/>
              <w:rPr>
                <w:rFonts w:hint="eastAsia" w:ascii="仿宋" w:hAnsi="仿宋" w:eastAsia="仿宋" w:cs="仿宋"/>
                <w:color w:val="000000" w:themeColor="text1"/>
                <w:kern w:val="0"/>
                <w:sz w:val="24"/>
                <w:szCs w:val="24"/>
                <w14:textFill>
                  <w14:solidFill>
                    <w14:schemeClr w14:val="tx1"/>
                  </w14:solidFill>
                </w14:textFill>
              </w:rPr>
            </w:pPr>
          </w:p>
        </w:tc>
        <w:tc>
          <w:tcPr>
            <w:tcW w:w="3109" w:type="pct"/>
            <w:noWrap w:val="0"/>
            <w:vAlign w:val="center"/>
          </w:tcPr>
          <w:p>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w:t>
            </w:r>
            <w:r>
              <w:rPr>
                <w:rFonts w:hint="eastAsia" w:ascii="仿宋" w:hAnsi="仿宋" w:eastAsia="仿宋" w:cs="仿宋"/>
                <w:color w:val="000000" w:themeColor="text1"/>
                <w:sz w:val="24"/>
                <w:szCs w:val="24"/>
                <w14:textFill>
                  <w14:solidFill>
                    <w14:schemeClr w14:val="tx1"/>
                  </w14:solidFill>
                </w14:textFill>
              </w:rPr>
              <w:t>.投标人提供有效期内的信息安全体系认ISO27001 及ISO9001 质量管理体系认证，并有相关资质证明，</w:t>
            </w:r>
            <w:r>
              <w:rPr>
                <w:rFonts w:hint="eastAsia" w:ascii="仿宋" w:hAnsi="仿宋" w:eastAsia="仿宋" w:cs="仿宋"/>
                <w:color w:val="000000" w:themeColor="text1"/>
                <w:sz w:val="24"/>
                <w:szCs w:val="24"/>
                <w:lang w:val="en-US" w:eastAsia="zh-CN"/>
                <w14:textFill>
                  <w14:solidFill>
                    <w14:schemeClr w14:val="tx1"/>
                  </w14:solidFill>
                </w14:textFill>
              </w:rPr>
              <w:t>计</w:t>
            </w:r>
            <w:r>
              <w:rPr>
                <w:rFonts w:hint="eastAsia" w:ascii="仿宋" w:hAnsi="仿宋" w:eastAsia="仿宋" w:cs="仿宋"/>
                <w:color w:val="000000" w:themeColor="text1"/>
                <w:sz w:val="24"/>
                <w:szCs w:val="24"/>
                <w14:textFill>
                  <w14:solidFill>
                    <w14:schemeClr w14:val="tx1"/>
                  </w14:solidFill>
                </w14:textFill>
              </w:rPr>
              <w:t>2分；</w:t>
            </w:r>
          </w:p>
          <w:p>
            <w:pPr>
              <w:spacing w:line="360" w:lineRule="auto"/>
              <w:ind w:firstLine="480" w:firstLineChars="20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2.供应商</w:t>
            </w: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监管服务</w:t>
            </w:r>
            <w:r>
              <w:rPr>
                <w:rFonts w:hint="eastAsia" w:ascii="仿宋" w:hAnsi="仿宋" w:eastAsia="仿宋" w:cs="仿宋"/>
                <w:color w:val="000000" w:themeColor="text1"/>
                <w:sz w:val="24"/>
                <w:szCs w:val="24"/>
                <w14:textFill>
                  <w14:solidFill>
                    <w14:schemeClr w14:val="tx1"/>
                  </w14:solidFill>
                </w14:textFill>
              </w:rPr>
              <w:t>系统”</w:t>
            </w:r>
            <w:r>
              <w:rPr>
                <w:rFonts w:hint="eastAsia" w:ascii="仿宋" w:hAnsi="仿宋" w:eastAsia="仿宋" w:cs="仿宋"/>
                <w:color w:val="000000" w:themeColor="text1"/>
                <w:sz w:val="24"/>
                <w:szCs w:val="24"/>
                <w:lang w:val="en-US" w:eastAsia="zh-CN"/>
                <w14:textFill>
                  <w14:solidFill>
                    <w14:schemeClr w14:val="tx1"/>
                  </w14:solidFill>
                </w14:textFill>
              </w:rPr>
              <w:t>类</w:t>
            </w:r>
            <w:r>
              <w:rPr>
                <w:rFonts w:hint="eastAsia" w:ascii="仿宋" w:hAnsi="仿宋" w:eastAsia="仿宋" w:cs="仿宋"/>
                <w:color w:val="000000" w:themeColor="text1"/>
                <w:sz w:val="24"/>
                <w:szCs w:val="24"/>
                <w14:textFill>
                  <w14:solidFill>
                    <w14:schemeClr w14:val="tx1"/>
                  </w14:solidFill>
                </w14:textFill>
              </w:rPr>
              <w:t>、“大数据人工智能识别”</w:t>
            </w:r>
            <w:r>
              <w:rPr>
                <w:rFonts w:hint="eastAsia" w:ascii="仿宋" w:hAnsi="仿宋" w:eastAsia="仿宋" w:cs="仿宋"/>
                <w:color w:val="000000" w:themeColor="text1"/>
                <w:sz w:val="24"/>
                <w:szCs w:val="24"/>
                <w:lang w:val="en-US" w:eastAsia="zh-CN"/>
                <w14:textFill>
                  <w14:solidFill>
                    <w14:schemeClr w14:val="tx1"/>
                  </w14:solidFill>
                </w14:textFill>
              </w:rPr>
              <w:t>类</w:t>
            </w: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标签体系</w:t>
            </w: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类</w:t>
            </w: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主体库检索管理</w:t>
            </w: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类</w:t>
            </w:r>
            <w:r>
              <w:rPr>
                <w:rFonts w:hint="eastAsia" w:ascii="仿宋" w:hAnsi="仿宋" w:eastAsia="仿宋" w:cs="仿宋"/>
                <w:color w:val="000000" w:themeColor="text1"/>
                <w:sz w:val="24"/>
                <w:szCs w:val="24"/>
                <w14:textFill>
                  <w14:solidFill>
                    <w14:schemeClr w14:val="tx1"/>
                  </w14:solidFill>
                </w14:textFill>
              </w:rPr>
              <w:t>、 “数据规范化采集”</w:t>
            </w:r>
            <w:r>
              <w:rPr>
                <w:rFonts w:hint="eastAsia" w:ascii="仿宋" w:hAnsi="仿宋" w:eastAsia="仿宋" w:cs="仿宋"/>
                <w:color w:val="000000" w:themeColor="text1"/>
                <w:sz w:val="24"/>
                <w:szCs w:val="24"/>
                <w:lang w:val="en-US" w:eastAsia="zh-CN"/>
                <w14:textFill>
                  <w14:solidFill>
                    <w14:schemeClr w14:val="tx1"/>
                  </w14:solidFill>
                </w14:textFill>
              </w:rPr>
              <w:t>类</w:t>
            </w:r>
            <w:r>
              <w:rPr>
                <w:rFonts w:hint="eastAsia" w:ascii="仿宋" w:hAnsi="仿宋" w:eastAsia="仿宋" w:cs="仿宋"/>
                <w:color w:val="000000" w:themeColor="text1"/>
                <w:sz w:val="24"/>
                <w:szCs w:val="24"/>
                <w14:textFill>
                  <w14:solidFill>
                    <w14:schemeClr w14:val="tx1"/>
                  </w14:solidFill>
                </w14:textFill>
              </w:rPr>
              <w:t>、“数据提取”</w:t>
            </w:r>
            <w:r>
              <w:rPr>
                <w:rFonts w:hint="eastAsia" w:ascii="仿宋" w:hAnsi="仿宋" w:eastAsia="仿宋" w:cs="仿宋"/>
                <w:color w:val="000000" w:themeColor="text1"/>
                <w:sz w:val="24"/>
                <w:szCs w:val="24"/>
                <w:lang w:val="en-US" w:eastAsia="zh-CN"/>
                <w14:textFill>
                  <w14:solidFill>
                    <w14:schemeClr w14:val="tx1"/>
                  </w14:solidFill>
                </w14:textFill>
              </w:rPr>
              <w:t>类</w:t>
            </w:r>
            <w:r>
              <w:rPr>
                <w:rFonts w:hint="eastAsia" w:ascii="仿宋" w:hAnsi="仿宋" w:eastAsia="仿宋" w:cs="仿宋"/>
                <w:color w:val="000000" w:themeColor="text1"/>
                <w:sz w:val="24"/>
                <w:szCs w:val="24"/>
                <w14:textFill>
                  <w14:solidFill>
                    <w14:schemeClr w14:val="tx1"/>
                  </w14:solidFill>
                </w14:textFill>
              </w:rPr>
              <w:t>、“数据更新”</w:t>
            </w:r>
            <w:r>
              <w:rPr>
                <w:rFonts w:hint="eastAsia" w:ascii="仿宋" w:hAnsi="仿宋" w:eastAsia="仿宋" w:cs="仿宋"/>
                <w:color w:val="000000" w:themeColor="text1"/>
                <w:sz w:val="24"/>
                <w:szCs w:val="24"/>
                <w:lang w:val="en-US" w:eastAsia="zh-CN"/>
                <w14:textFill>
                  <w14:solidFill>
                    <w14:schemeClr w14:val="tx1"/>
                  </w14:solidFill>
                </w14:textFill>
              </w:rPr>
              <w:t>类“数据信息智能分析”类、“大数据分析和展示”类、“网络违法行为日常检查”类</w:t>
            </w:r>
            <w:r>
              <w:rPr>
                <w:rFonts w:hint="eastAsia" w:ascii="仿宋" w:hAnsi="仿宋" w:eastAsia="仿宋" w:cs="仿宋"/>
                <w:color w:val="000000" w:themeColor="text1"/>
                <w:sz w:val="24"/>
                <w:szCs w:val="24"/>
                <w14:textFill>
                  <w14:solidFill>
                    <w14:schemeClr w14:val="tx1"/>
                  </w14:solidFill>
                </w14:textFill>
              </w:rPr>
              <w:t>的系统软件著作权的，每提供1</w:t>
            </w:r>
            <w:r>
              <w:rPr>
                <w:rFonts w:hint="eastAsia" w:ascii="仿宋" w:hAnsi="仿宋" w:eastAsia="仿宋" w:cs="仿宋"/>
                <w:color w:val="000000" w:themeColor="text1"/>
                <w:sz w:val="24"/>
                <w:szCs w:val="24"/>
                <w:lang w:val="en-US" w:eastAsia="zh-CN"/>
                <w14:textFill>
                  <w14:solidFill>
                    <w14:schemeClr w14:val="tx1"/>
                  </w14:solidFill>
                </w14:textFill>
              </w:rPr>
              <w:t>类</w:t>
            </w:r>
            <w:r>
              <w:rPr>
                <w:rFonts w:hint="eastAsia" w:ascii="仿宋" w:hAnsi="仿宋" w:eastAsia="仿宋" w:cs="仿宋"/>
                <w:color w:val="000000" w:themeColor="text1"/>
                <w:sz w:val="24"/>
                <w:szCs w:val="24"/>
                <w14:textFill>
                  <w14:solidFill>
                    <w14:schemeClr w14:val="tx1"/>
                  </w14:solidFill>
                </w14:textFill>
              </w:rPr>
              <w:t>软</w:t>
            </w:r>
            <w:r>
              <w:rPr>
                <w:rFonts w:hint="eastAsia" w:ascii="仿宋" w:hAnsi="仿宋" w:eastAsia="仿宋" w:cs="仿宋"/>
                <w:color w:val="000000" w:themeColor="text1"/>
                <w:sz w:val="24"/>
                <w:szCs w:val="24"/>
                <w:lang w:val="en-US" w:eastAsia="zh-CN"/>
                <w14:textFill>
                  <w14:solidFill>
                    <w14:schemeClr w14:val="tx1"/>
                  </w14:solidFill>
                </w14:textFill>
              </w:rPr>
              <w:t>件</w:t>
            </w:r>
            <w:r>
              <w:rPr>
                <w:rFonts w:hint="eastAsia" w:ascii="仿宋" w:hAnsi="仿宋" w:eastAsia="仿宋" w:cs="仿宋"/>
                <w:color w:val="000000" w:themeColor="text1"/>
                <w:sz w:val="24"/>
                <w:szCs w:val="24"/>
                <w14:textFill>
                  <w14:solidFill>
                    <w14:schemeClr w14:val="tx1"/>
                  </w14:solidFill>
                </w14:textFill>
              </w:rPr>
              <w:t>著</w:t>
            </w:r>
            <w:r>
              <w:rPr>
                <w:rFonts w:hint="eastAsia" w:ascii="仿宋" w:hAnsi="仿宋" w:eastAsia="仿宋" w:cs="仿宋"/>
                <w:color w:val="000000" w:themeColor="text1"/>
                <w:sz w:val="24"/>
                <w:szCs w:val="24"/>
                <w:lang w:val="en-US" w:eastAsia="zh-CN"/>
                <w14:textFill>
                  <w14:solidFill>
                    <w14:schemeClr w14:val="tx1"/>
                  </w14:solidFill>
                </w14:textFill>
              </w:rPr>
              <w:t>作权登记</w:t>
            </w:r>
            <w:r>
              <w:rPr>
                <w:rFonts w:hint="eastAsia" w:ascii="仿宋" w:hAnsi="仿宋" w:eastAsia="仿宋" w:cs="仿宋"/>
                <w:color w:val="000000" w:themeColor="text1"/>
                <w:sz w:val="24"/>
                <w:szCs w:val="24"/>
                <w14:textFill>
                  <w14:solidFill>
                    <w14:schemeClr w14:val="tx1"/>
                  </w14:solidFill>
                </w14:textFill>
              </w:rPr>
              <w:t>证书</w:t>
            </w:r>
            <w:r>
              <w:rPr>
                <w:rFonts w:hint="eastAsia" w:ascii="仿宋" w:hAnsi="仿宋" w:eastAsia="仿宋" w:cs="仿宋"/>
                <w:color w:val="000000" w:themeColor="text1"/>
                <w:sz w:val="24"/>
                <w:szCs w:val="24"/>
                <w:lang w:val="en-US" w:eastAsia="zh-CN"/>
                <w14:textFill>
                  <w14:solidFill>
                    <w14:schemeClr w14:val="tx1"/>
                  </w14:solidFill>
                </w14:textFill>
              </w:rPr>
              <w:t>计</w:t>
            </w:r>
            <w:r>
              <w:rPr>
                <w:rFonts w:hint="eastAsia" w:ascii="仿宋" w:hAnsi="仿宋" w:eastAsia="仿宋" w:cs="仿宋"/>
                <w:color w:val="000000" w:themeColor="text1"/>
                <w:sz w:val="24"/>
                <w:szCs w:val="24"/>
                <w14:textFill>
                  <w14:solidFill>
                    <w14:schemeClr w14:val="tx1"/>
                  </w14:solidFill>
                </w14:textFill>
              </w:rPr>
              <w:t>1</w:t>
            </w:r>
            <w:r>
              <w:rPr>
                <w:rFonts w:hint="eastAsia" w:ascii="仿宋" w:hAnsi="仿宋" w:eastAsia="仿宋" w:cs="仿宋"/>
                <w:color w:val="000000" w:themeColor="text1"/>
                <w:sz w:val="24"/>
                <w:szCs w:val="24"/>
                <w:lang w:val="en-US" w:eastAsia="zh-CN"/>
                <w14:textFill>
                  <w14:solidFill>
                    <w14:schemeClr w14:val="tx1"/>
                  </w14:solidFill>
                </w14:textFill>
              </w:rPr>
              <w:t>.5</w:t>
            </w:r>
            <w:r>
              <w:rPr>
                <w:rFonts w:hint="eastAsia" w:ascii="仿宋" w:hAnsi="仿宋" w:eastAsia="仿宋" w:cs="仿宋"/>
                <w:color w:val="000000" w:themeColor="text1"/>
                <w:sz w:val="24"/>
                <w:szCs w:val="24"/>
                <w14:textFill>
                  <w14:solidFill>
                    <w14:schemeClr w14:val="tx1"/>
                  </w14:solidFill>
                </w14:textFill>
              </w:rPr>
              <w:t>分，本项最高</w:t>
            </w:r>
            <w:r>
              <w:rPr>
                <w:rFonts w:hint="eastAsia" w:ascii="仿宋" w:hAnsi="仿宋" w:eastAsia="仿宋" w:cs="仿宋"/>
                <w:color w:val="000000" w:themeColor="text1"/>
                <w:sz w:val="24"/>
                <w:szCs w:val="24"/>
                <w:lang w:val="en-US" w:eastAsia="zh-CN"/>
                <w14:textFill>
                  <w14:solidFill>
                    <w14:schemeClr w14:val="tx1"/>
                  </w14:solidFill>
                </w14:textFill>
              </w:rPr>
              <w:t>计</w:t>
            </w:r>
            <w:r>
              <w:rPr>
                <w:rFonts w:hint="eastAsia" w:ascii="仿宋" w:hAnsi="仿宋" w:eastAsia="仿宋" w:cs="仿宋"/>
                <w:color w:val="000000" w:themeColor="text1"/>
                <w:sz w:val="24"/>
                <w:szCs w:val="24"/>
                <w14:textFill>
                  <w14:solidFill>
                    <w14:schemeClr w14:val="tx1"/>
                  </w14:solidFill>
                </w14:textFill>
              </w:rPr>
              <w:t>1</w:t>
            </w:r>
            <w:r>
              <w:rPr>
                <w:rFonts w:hint="eastAsia" w:ascii="仿宋" w:hAnsi="仿宋" w:eastAsia="仿宋" w:cs="仿宋"/>
                <w:color w:val="000000" w:themeColor="text1"/>
                <w:sz w:val="24"/>
                <w:szCs w:val="24"/>
                <w:lang w:val="en-US" w:eastAsia="zh-CN"/>
                <w14:textFill>
                  <w14:solidFill>
                    <w14:schemeClr w14:val="tx1"/>
                  </w14:solidFill>
                </w14:textFill>
              </w:rPr>
              <w:t>5</w:t>
            </w:r>
            <w:r>
              <w:rPr>
                <w:rFonts w:hint="eastAsia" w:ascii="仿宋" w:hAnsi="仿宋" w:eastAsia="仿宋" w:cs="仿宋"/>
                <w:color w:val="000000" w:themeColor="text1"/>
                <w:sz w:val="24"/>
                <w:szCs w:val="24"/>
                <w14:textFill>
                  <w14:solidFill>
                    <w14:schemeClr w14:val="tx1"/>
                  </w14:solidFill>
                </w14:textFill>
              </w:rPr>
              <w:t>分，未提供的不</w:t>
            </w:r>
            <w:r>
              <w:rPr>
                <w:rFonts w:hint="eastAsia" w:ascii="仿宋" w:hAnsi="仿宋" w:eastAsia="仿宋" w:cs="仿宋"/>
                <w:color w:val="000000" w:themeColor="text1"/>
                <w:sz w:val="24"/>
                <w:szCs w:val="24"/>
                <w:lang w:val="en-US" w:eastAsia="zh-CN"/>
                <w14:textFill>
                  <w14:solidFill>
                    <w14:schemeClr w14:val="tx1"/>
                  </w14:solidFill>
                </w14:textFill>
              </w:rPr>
              <w:t>计</w:t>
            </w:r>
            <w:r>
              <w:rPr>
                <w:rFonts w:hint="eastAsia" w:ascii="仿宋" w:hAnsi="仿宋" w:eastAsia="仿宋" w:cs="仿宋"/>
                <w:color w:val="000000" w:themeColor="text1"/>
                <w:sz w:val="24"/>
                <w:szCs w:val="24"/>
                <w14:textFill>
                  <w14:solidFill>
                    <w14:schemeClr w14:val="tx1"/>
                  </w14:solidFill>
                </w14:textFill>
              </w:rPr>
              <w:t>分。</w:t>
            </w:r>
          </w:p>
          <w:p>
            <w:pPr>
              <w:spacing w:line="360" w:lineRule="auto"/>
              <w:ind w:firstLine="480" w:firstLineChars="200"/>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w:t>
            </w:r>
            <w:r>
              <w:rPr>
                <w:rFonts w:hint="eastAsia" w:ascii="仿宋" w:hAnsi="仿宋" w:eastAsia="仿宋" w:cs="仿宋"/>
                <w:color w:val="000000" w:themeColor="text1"/>
                <w:sz w:val="24"/>
                <w:szCs w:val="24"/>
                <w14:textFill>
                  <w14:solidFill>
                    <w14:schemeClr w14:val="tx1"/>
                  </w14:solidFill>
                </w14:textFill>
              </w:rPr>
              <w:t>.供应商通过信息系统安全等级保护（三级及以上）备案的并有相关资质证明</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计3</w:t>
            </w:r>
            <w:r>
              <w:rPr>
                <w:rFonts w:hint="eastAsia" w:ascii="仿宋" w:hAnsi="仿宋" w:eastAsia="仿宋" w:cs="仿宋"/>
                <w:color w:val="000000" w:themeColor="text1"/>
                <w:sz w:val="24"/>
                <w:szCs w:val="24"/>
                <w:lang w:val="en-US" w:eastAsia="zh-CN"/>
                <w14:textFill>
                  <w14:solidFill>
                    <w14:schemeClr w14:val="tx1"/>
                  </w14:solidFill>
                </w14:textFill>
              </w:rPr>
              <w:t>分。</w:t>
            </w:r>
          </w:p>
          <w:p>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本项最高得</w:t>
            </w:r>
            <w:r>
              <w:rPr>
                <w:rFonts w:hint="eastAsia" w:ascii="仿宋" w:hAnsi="仿宋" w:eastAsia="仿宋" w:cs="仿宋"/>
                <w:color w:val="000000" w:themeColor="text1"/>
                <w:sz w:val="24"/>
                <w:szCs w:val="24"/>
                <w:lang w:val="en-US" w:eastAsia="zh-CN"/>
                <w14:textFill>
                  <w14:solidFill>
                    <w14:schemeClr w14:val="tx1"/>
                  </w14:solidFill>
                </w14:textFill>
              </w:rPr>
              <w:t>20</w:t>
            </w:r>
            <w:r>
              <w:rPr>
                <w:rFonts w:hint="eastAsia" w:ascii="仿宋" w:hAnsi="仿宋" w:eastAsia="仿宋" w:cs="仿宋"/>
                <w:color w:val="000000" w:themeColor="text1"/>
                <w:sz w:val="24"/>
                <w:szCs w:val="24"/>
                <w14:textFill>
                  <w14:solidFill>
                    <w14:schemeClr w14:val="tx1"/>
                  </w14:solidFill>
                </w14:textFill>
              </w:rPr>
              <w:t>分，没有内容不</w:t>
            </w:r>
            <w:r>
              <w:rPr>
                <w:rFonts w:hint="eastAsia" w:ascii="仿宋" w:hAnsi="仿宋" w:eastAsia="仿宋" w:cs="仿宋"/>
                <w:color w:val="000000" w:themeColor="text1"/>
                <w:sz w:val="24"/>
                <w:szCs w:val="24"/>
                <w:lang w:val="en-US" w:eastAsia="zh-CN"/>
                <w14:textFill>
                  <w14:solidFill>
                    <w14:schemeClr w14:val="tx1"/>
                  </w14:solidFill>
                </w14:textFill>
              </w:rPr>
              <w:t>计</w:t>
            </w:r>
            <w:r>
              <w:rPr>
                <w:rFonts w:hint="eastAsia" w:ascii="仿宋" w:hAnsi="仿宋" w:eastAsia="仿宋" w:cs="仿宋"/>
                <w:color w:val="000000" w:themeColor="text1"/>
                <w:sz w:val="24"/>
                <w:szCs w:val="24"/>
                <w14:textFill>
                  <w14:solidFill>
                    <w14:schemeClr w14:val="tx1"/>
                  </w14:solidFill>
                </w14:textFill>
              </w:rPr>
              <w:t>分。</w:t>
            </w:r>
          </w:p>
        </w:tc>
        <w:tc>
          <w:tcPr>
            <w:tcW w:w="667" w:type="pct"/>
            <w:noWrap w:val="0"/>
            <w:vAlign w:val="center"/>
          </w:tcPr>
          <w:p>
            <w:pPr>
              <w:widowControl/>
              <w:adjustRightInd w:val="0"/>
              <w:snapToGrid w:val="0"/>
              <w:ind w:left="0" w:leftChars="0" w:firstLine="0" w:firstLineChars="0"/>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20</w:t>
            </w:r>
            <w:r>
              <w:rPr>
                <w:rFonts w:hint="eastAsia" w:ascii="仿宋" w:hAnsi="仿宋" w:eastAsia="仿宋" w:cs="仿宋"/>
                <w:color w:val="000000" w:themeColor="text1"/>
                <w:kern w:val="0"/>
                <w:sz w:val="24"/>
                <w:szCs w:val="24"/>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trPr>
        <w:tc>
          <w:tcPr>
            <w:tcW w:w="525" w:type="pct"/>
            <w:vMerge w:val="continue"/>
            <w:noWrap w:val="0"/>
            <w:vAlign w:val="center"/>
          </w:tcPr>
          <w:p>
            <w:pPr>
              <w:widowControl/>
              <w:adjustRightInd w:val="0"/>
              <w:snapToGrid w:val="0"/>
              <w:rPr>
                <w:rFonts w:hint="eastAsia" w:ascii="仿宋" w:hAnsi="仿宋" w:eastAsia="仿宋" w:cs="仿宋"/>
                <w:color w:val="000000" w:themeColor="text1"/>
                <w:kern w:val="0"/>
                <w:sz w:val="24"/>
                <w:szCs w:val="24"/>
                <w14:textFill>
                  <w14:solidFill>
                    <w14:schemeClr w14:val="tx1"/>
                  </w14:solidFill>
                </w14:textFill>
              </w:rPr>
            </w:pPr>
          </w:p>
        </w:tc>
        <w:tc>
          <w:tcPr>
            <w:tcW w:w="696" w:type="pct"/>
            <w:noWrap w:val="0"/>
            <w:vAlign w:val="center"/>
          </w:tcPr>
          <w:p>
            <w:pPr>
              <w:spacing w:line="360" w:lineRule="auto"/>
              <w:ind w:left="0" w:leftChars="0" w:firstLine="0" w:firstLineChars="0"/>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人员</w:t>
            </w:r>
            <w:r>
              <w:rPr>
                <w:rFonts w:hint="eastAsia" w:ascii="仿宋" w:hAnsi="仿宋" w:eastAsia="仿宋" w:cs="仿宋"/>
                <w:color w:val="000000" w:themeColor="text1"/>
                <w:sz w:val="24"/>
                <w:szCs w:val="24"/>
                <w14:textFill>
                  <w14:solidFill>
                    <w14:schemeClr w14:val="tx1"/>
                  </w14:solidFill>
                </w14:textFill>
              </w:rPr>
              <w:t>方面</w:t>
            </w:r>
          </w:p>
          <w:p>
            <w:pPr>
              <w:spacing w:line="360" w:lineRule="auto"/>
              <w:ind w:left="0" w:leftChars="0" w:firstLine="0" w:firstLineChars="0"/>
              <w:jc w:val="both"/>
              <w:rPr>
                <w:rFonts w:hint="eastAsia" w:ascii="仿宋" w:hAnsi="仿宋" w:eastAsia="仿宋" w:cs="仿宋"/>
                <w:color w:val="000000" w:themeColor="text1"/>
                <w:kern w:val="0"/>
                <w:sz w:val="24"/>
                <w:szCs w:val="24"/>
                <w14:textFill>
                  <w14:solidFill>
                    <w14:schemeClr w14:val="tx1"/>
                  </w14:solidFill>
                </w14:textFill>
              </w:rPr>
            </w:pPr>
          </w:p>
        </w:tc>
        <w:tc>
          <w:tcPr>
            <w:tcW w:w="3109" w:type="pct"/>
            <w:noWrap w:val="0"/>
            <w:vAlign w:val="center"/>
          </w:tcPr>
          <w:p>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1.拟投入本项目的团队人员达到五人及以上</w:t>
            </w:r>
            <w:r>
              <w:rPr>
                <w:rFonts w:hint="eastAsia" w:ascii="仿宋" w:hAnsi="仿宋" w:eastAsia="仿宋" w:cs="仿宋"/>
                <w:color w:val="000000" w:themeColor="text1"/>
                <w:sz w:val="24"/>
                <w:szCs w:val="24"/>
                <w:lang w:val="en-US" w:eastAsia="zh-CN"/>
                <w14:textFill>
                  <w14:solidFill>
                    <w14:schemeClr w14:val="tx1"/>
                  </w14:solidFill>
                </w14:textFill>
              </w:rPr>
              <w:t>的</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其中</w:t>
            </w:r>
            <w:r>
              <w:rPr>
                <w:rFonts w:hint="eastAsia" w:ascii="仿宋" w:hAnsi="仿宋" w:eastAsia="仿宋" w:cs="仿宋"/>
                <w:color w:val="000000" w:themeColor="text1"/>
                <w:sz w:val="24"/>
                <w:szCs w:val="24"/>
                <w14:textFill>
                  <w14:solidFill>
                    <w14:schemeClr w14:val="tx1"/>
                  </w14:solidFill>
                </w14:textFill>
              </w:rPr>
              <w:t>本项目的团队人员有1人学历在</w:t>
            </w:r>
            <w:r>
              <w:rPr>
                <w:rFonts w:hint="eastAsia" w:ascii="仿宋" w:hAnsi="仿宋" w:eastAsia="仿宋" w:cs="仿宋"/>
                <w:color w:val="000000" w:themeColor="text1"/>
                <w:sz w:val="24"/>
                <w:szCs w:val="24"/>
                <w:lang w:val="en-US" w:eastAsia="zh-CN"/>
                <w14:textFill>
                  <w14:solidFill>
                    <w14:schemeClr w14:val="tx1"/>
                  </w14:solidFill>
                </w14:textFill>
              </w:rPr>
              <w:t>硕士</w:t>
            </w:r>
            <w:r>
              <w:rPr>
                <w:rFonts w:hint="eastAsia" w:ascii="仿宋" w:hAnsi="仿宋" w:eastAsia="仿宋" w:cs="仿宋"/>
                <w:color w:val="000000" w:themeColor="text1"/>
                <w:sz w:val="24"/>
                <w:szCs w:val="24"/>
                <w14:textFill>
                  <w14:solidFill>
                    <w14:schemeClr w14:val="tx1"/>
                  </w14:solidFill>
                </w14:textFill>
              </w:rPr>
              <w:t>及以上</w:t>
            </w:r>
            <w:r>
              <w:rPr>
                <w:rFonts w:hint="eastAsia" w:ascii="仿宋" w:hAnsi="仿宋" w:eastAsia="仿宋" w:cs="仿宋"/>
                <w:color w:val="000000" w:themeColor="text1"/>
                <w:sz w:val="24"/>
                <w:szCs w:val="24"/>
                <w:lang w:val="en-US" w:eastAsia="zh-CN"/>
                <w14:textFill>
                  <w14:solidFill>
                    <w14:schemeClr w14:val="tx1"/>
                  </w14:solidFill>
                </w14:textFill>
              </w:rPr>
              <w:t>得2分</w:t>
            </w:r>
            <w:r>
              <w:rPr>
                <w:rFonts w:hint="eastAsia" w:ascii="仿宋" w:hAnsi="仿宋" w:eastAsia="仿宋" w:cs="仿宋"/>
                <w:color w:val="000000" w:themeColor="text1"/>
                <w:sz w:val="24"/>
                <w:szCs w:val="24"/>
                <w14:textFill>
                  <w14:solidFill>
                    <w14:schemeClr w14:val="tx1"/>
                  </w14:solidFill>
                </w14:textFill>
              </w:rPr>
              <w:t>，5人学历在</w:t>
            </w:r>
            <w:r>
              <w:rPr>
                <w:rFonts w:hint="eastAsia" w:ascii="仿宋" w:hAnsi="仿宋" w:eastAsia="仿宋" w:cs="仿宋"/>
                <w:color w:val="000000" w:themeColor="text1"/>
                <w:sz w:val="24"/>
                <w:szCs w:val="24"/>
                <w:lang w:val="en-US" w:eastAsia="zh-CN"/>
                <w14:textFill>
                  <w14:solidFill>
                    <w14:schemeClr w14:val="tx1"/>
                  </w14:solidFill>
                </w14:textFill>
              </w:rPr>
              <w:t>本科学士</w:t>
            </w:r>
            <w:r>
              <w:rPr>
                <w:rFonts w:hint="eastAsia" w:ascii="仿宋" w:hAnsi="仿宋" w:eastAsia="仿宋" w:cs="仿宋"/>
                <w:color w:val="000000" w:themeColor="text1"/>
                <w:sz w:val="24"/>
                <w:szCs w:val="24"/>
                <w14:textFill>
                  <w14:solidFill>
                    <w14:schemeClr w14:val="tx1"/>
                  </w14:solidFill>
                </w14:textFill>
              </w:rPr>
              <w:t>及以上</w:t>
            </w:r>
            <w:r>
              <w:rPr>
                <w:rFonts w:hint="eastAsia" w:ascii="仿宋" w:hAnsi="仿宋" w:eastAsia="仿宋" w:cs="仿宋"/>
                <w:color w:val="000000" w:themeColor="text1"/>
                <w:sz w:val="24"/>
                <w:szCs w:val="24"/>
                <w:lang w:val="en-US" w:eastAsia="zh-CN"/>
                <w14:textFill>
                  <w14:solidFill>
                    <w14:schemeClr w14:val="tx1"/>
                  </w14:solidFill>
                </w14:textFill>
              </w:rPr>
              <w:t>得1</w:t>
            </w:r>
            <w:r>
              <w:rPr>
                <w:rFonts w:hint="eastAsia" w:ascii="仿宋" w:hAnsi="仿宋" w:eastAsia="仿宋" w:cs="仿宋"/>
                <w:color w:val="000000" w:themeColor="text1"/>
                <w:sz w:val="24"/>
                <w:szCs w:val="24"/>
                <w14:textFill>
                  <w14:solidFill>
                    <w14:schemeClr w14:val="tx1"/>
                  </w14:solidFill>
                </w14:textFill>
              </w:rPr>
              <w:t>分</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提供相关学历学位证书复印件，本项最高计3分。</w:t>
            </w:r>
          </w:p>
          <w:p>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2.具有计算机或者软件相关专业的正高级职称的计</w:t>
            </w:r>
            <w:r>
              <w:rPr>
                <w:rFonts w:hint="eastAsia" w:ascii="仿宋" w:hAnsi="仿宋" w:eastAsia="仿宋" w:cs="仿宋"/>
                <w:color w:val="000000" w:themeColor="text1"/>
                <w:sz w:val="24"/>
                <w:szCs w:val="24"/>
                <w:lang w:val="en-US" w:eastAsia="zh-CN"/>
                <w14:textFill>
                  <w14:solidFill>
                    <w14:schemeClr w14:val="tx1"/>
                  </w14:solidFill>
                </w14:textFill>
              </w:rPr>
              <w:t>4</w:t>
            </w:r>
            <w:r>
              <w:rPr>
                <w:rFonts w:hint="eastAsia" w:ascii="仿宋" w:hAnsi="仿宋" w:eastAsia="仿宋" w:cs="仿宋"/>
                <w:color w:val="000000" w:themeColor="text1"/>
                <w:sz w:val="24"/>
                <w:szCs w:val="24"/>
                <w14:textFill>
                  <w14:solidFill>
                    <w14:schemeClr w14:val="tx1"/>
                  </w14:solidFill>
                </w14:textFill>
              </w:rPr>
              <w:t>分，具有计算机或者软件相关专业的副高级职称的计3分，具有计算机或者软件相关专业的中级职称的计1分，本项最高计</w:t>
            </w:r>
            <w:r>
              <w:rPr>
                <w:rFonts w:hint="eastAsia" w:ascii="仿宋" w:hAnsi="仿宋" w:eastAsia="仿宋" w:cs="仿宋"/>
                <w:color w:val="000000" w:themeColor="text1"/>
                <w:sz w:val="24"/>
                <w:szCs w:val="24"/>
                <w:lang w:val="en-US" w:eastAsia="zh-CN"/>
                <w14:textFill>
                  <w14:solidFill>
                    <w14:schemeClr w14:val="tx1"/>
                  </w14:solidFill>
                </w14:textFill>
              </w:rPr>
              <w:t>4</w:t>
            </w:r>
            <w:r>
              <w:rPr>
                <w:rFonts w:hint="eastAsia" w:ascii="仿宋" w:hAnsi="仿宋" w:eastAsia="仿宋" w:cs="仿宋"/>
                <w:color w:val="000000" w:themeColor="text1"/>
                <w:sz w:val="24"/>
                <w:szCs w:val="24"/>
                <w14:textFill>
                  <w14:solidFill>
                    <w14:schemeClr w14:val="tx1"/>
                  </w14:solidFill>
                </w14:textFill>
              </w:rPr>
              <w:t>分，不重复计分。</w:t>
            </w:r>
          </w:p>
          <w:p>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3.具有项目管理专业人士资格认证（PMP）的</w:t>
            </w:r>
            <w:r>
              <w:rPr>
                <w:rFonts w:hint="eastAsia" w:ascii="仿宋" w:hAnsi="仿宋" w:eastAsia="仿宋" w:cs="仿宋"/>
                <w:color w:val="000000" w:themeColor="text1"/>
                <w:sz w:val="24"/>
                <w:szCs w:val="24"/>
                <w:lang w:val="en-US" w:eastAsia="zh-CN"/>
                <w14:textFill>
                  <w14:solidFill>
                    <w14:schemeClr w14:val="tx1"/>
                  </w14:solidFill>
                </w14:textFill>
              </w:rPr>
              <w:t>每1人计</w:t>
            </w:r>
            <w:r>
              <w:rPr>
                <w:rFonts w:hint="eastAsia" w:ascii="仿宋" w:hAnsi="仿宋" w:eastAsia="仿宋" w:cs="仿宋"/>
                <w:color w:val="000000" w:themeColor="text1"/>
                <w:sz w:val="24"/>
                <w:szCs w:val="24"/>
                <w:lang w:val="en-US" w:eastAsia="zh-CN"/>
                <w14:textFill>
                  <w14:solidFill>
                    <w14:schemeClr w14:val="tx1"/>
                  </w14:solidFill>
                </w14:textFill>
              </w:rPr>
              <w:t>1分，最高计</w:t>
            </w:r>
            <w:r>
              <w:rPr>
                <w:rFonts w:hint="eastAsia" w:ascii="仿宋" w:hAnsi="仿宋" w:eastAsia="仿宋" w:cs="仿宋"/>
                <w:color w:val="000000" w:themeColor="text1"/>
                <w:sz w:val="24"/>
                <w:szCs w:val="24"/>
                <w:lang w:val="en-US" w:eastAsia="zh-CN"/>
                <w14:textFill>
                  <w14:solidFill>
                    <w14:schemeClr w14:val="tx1"/>
                  </w14:solidFill>
                </w14:textFill>
              </w:rPr>
              <w:t>2分</w:t>
            </w:r>
            <w:r>
              <w:rPr>
                <w:rFonts w:hint="eastAsia" w:ascii="仿宋" w:hAnsi="仿宋" w:eastAsia="仿宋" w:cs="仿宋"/>
                <w:color w:val="000000" w:themeColor="text1"/>
                <w:sz w:val="24"/>
                <w:szCs w:val="24"/>
                <w14:textFill>
                  <w14:solidFill>
                    <w14:schemeClr w14:val="tx1"/>
                  </w14:solidFill>
                </w14:textFill>
              </w:rPr>
              <w:t>。</w:t>
            </w:r>
          </w:p>
          <w:p>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4.具有软件设计师的计1分。</w:t>
            </w:r>
          </w:p>
          <w:p>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注：须提供成员</w:t>
            </w:r>
            <w:r>
              <w:rPr>
                <w:rFonts w:hint="eastAsia" w:ascii="仿宋" w:hAnsi="仿宋" w:eastAsia="仿宋" w:cs="仿宋"/>
                <w:color w:val="000000" w:themeColor="text1"/>
                <w:sz w:val="24"/>
                <w:szCs w:val="24"/>
                <w:lang w:val="en-US" w:eastAsia="zh-CN"/>
                <w14:textFill>
                  <w14:solidFill>
                    <w14:schemeClr w14:val="tx1"/>
                  </w14:solidFill>
                </w14:textFill>
              </w:rPr>
              <w:t>劳务合同复印件</w:t>
            </w:r>
            <w:r>
              <w:rPr>
                <w:rFonts w:hint="eastAsia" w:ascii="仿宋" w:hAnsi="仿宋" w:eastAsia="仿宋" w:cs="仿宋"/>
                <w:color w:val="000000" w:themeColor="text1"/>
                <w:sz w:val="24"/>
                <w:szCs w:val="24"/>
                <w14:textFill>
                  <w14:solidFill>
                    <w14:schemeClr w14:val="tx1"/>
                  </w14:solidFill>
                </w14:textFill>
              </w:rPr>
              <w:t>和证书复印件并加盖供应商公章，供应商未按要求提供证明材料或提供的证明材料不齐全的或者提供的材料无法有效证明相关事项的不</w:t>
            </w:r>
            <w:r>
              <w:rPr>
                <w:rFonts w:hint="eastAsia" w:ascii="仿宋" w:hAnsi="仿宋" w:eastAsia="仿宋" w:cs="仿宋"/>
                <w:color w:val="000000" w:themeColor="text1"/>
                <w:sz w:val="24"/>
                <w:szCs w:val="24"/>
                <w:lang w:val="en-US" w:eastAsia="zh-CN"/>
                <w14:textFill>
                  <w14:solidFill>
                    <w14:schemeClr w14:val="tx1"/>
                  </w14:solidFill>
                </w14:textFill>
              </w:rPr>
              <w:t>计</w:t>
            </w:r>
            <w:r>
              <w:rPr>
                <w:rFonts w:hint="eastAsia" w:ascii="仿宋" w:hAnsi="仿宋" w:eastAsia="仿宋" w:cs="仿宋"/>
                <w:color w:val="000000" w:themeColor="text1"/>
                <w:sz w:val="24"/>
                <w:szCs w:val="24"/>
                <w14:textFill>
                  <w14:solidFill>
                    <w14:schemeClr w14:val="tx1"/>
                  </w14:solidFill>
                </w14:textFill>
              </w:rPr>
              <w:t>分。</w:t>
            </w:r>
          </w:p>
        </w:tc>
        <w:tc>
          <w:tcPr>
            <w:tcW w:w="667" w:type="pct"/>
            <w:noWrap w:val="0"/>
            <w:vAlign w:val="center"/>
          </w:tcPr>
          <w:p>
            <w:pPr>
              <w:widowControl/>
              <w:adjustRightInd w:val="0"/>
              <w:snapToGrid w:val="0"/>
              <w:ind w:left="0" w:leftChars="0" w:firstLine="0" w:firstLineChars="0"/>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10</w:t>
            </w:r>
            <w:r>
              <w:rPr>
                <w:rFonts w:hint="eastAsia" w:ascii="仿宋" w:hAnsi="仿宋" w:eastAsia="仿宋" w:cs="仿宋"/>
                <w:color w:val="000000" w:themeColor="text1"/>
                <w:kern w:val="0"/>
                <w:sz w:val="24"/>
                <w:szCs w:val="24"/>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4332" w:type="pct"/>
            <w:gridSpan w:val="3"/>
            <w:noWrap w:val="0"/>
            <w:vAlign w:val="center"/>
          </w:tcPr>
          <w:p>
            <w:pPr>
              <w:widowControl/>
              <w:adjustRightInd w:val="0"/>
              <w:snapToGrid w:val="0"/>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技术部分（</w:t>
            </w:r>
            <w:r>
              <w:rPr>
                <w:rFonts w:hint="eastAsia" w:ascii="仿宋" w:hAnsi="仿宋" w:cs="仿宋"/>
                <w:color w:val="000000" w:themeColor="text1"/>
                <w:kern w:val="0"/>
                <w:sz w:val="24"/>
                <w:szCs w:val="24"/>
                <w:lang w:val="en-US" w:eastAsia="zh-CN"/>
                <w14:textFill>
                  <w14:solidFill>
                    <w14:schemeClr w14:val="tx1"/>
                  </w14:solidFill>
                </w14:textFill>
              </w:rPr>
              <w:t>4</w:t>
            </w:r>
            <w:r>
              <w:rPr>
                <w:rFonts w:hint="eastAsia" w:ascii="仿宋" w:hAnsi="仿宋" w:eastAsia="仿宋" w:cs="仿宋"/>
                <w:color w:val="000000" w:themeColor="text1"/>
                <w:kern w:val="0"/>
                <w:sz w:val="24"/>
                <w:szCs w:val="24"/>
                <w14:textFill>
                  <w14:solidFill>
                    <w14:schemeClr w14:val="tx1"/>
                  </w14:solidFill>
                </w14:textFill>
              </w:rPr>
              <w:t>5分）</w:t>
            </w:r>
          </w:p>
        </w:tc>
        <w:tc>
          <w:tcPr>
            <w:tcW w:w="667" w:type="pct"/>
            <w:noWrap w:val="0"/>
            <w:vAlign w:val="center"/>
          </w:tcPr>
          <w:p>
            <w:pPr>
              <w:widowControl/>
              <w:adjustRightInd w:val="0"/>
              <w:snapToGrid w:val="0"/>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525" w:type="pct"/>
            <w:vMerge w:val="restart"/>
            <w:noWrap w:val="0"/>
            <w:vAlign w:val="center"/>
          </w:tcPr>
          <w:p>
            <w:pPr>
              <w:widowControl/>
              <w:adjustRightInd w:val="0"/>
              <w:snapToGrid w:val="0"/>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3</w:t>
            </w:r>
          </w:p>
        </w:tc>
        <w:tc>
          <w:tcPr>
            <w:tcW w:w="696" w:type="pct"/>
            <w:noWrap w:val="0"/>
            <w:vAlign w:val="center"/>
          </w:tcPr>
          <w:p>
            <w:pPr>
              <w:widowControl/>
              <w:adjustRightInd w:val="0"/>
              <w:snapToGrid w:val="0"/>
              <w:ind w:left="0" w:leftChars="0" w:firstLine="0" w:firstLineChars="0"/>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项目理解与认识</w:t>
            </w:r>
          </w:p>
        </w:tc>
        <w:tc>
          <w:tcPr>
            <w:tcW w:w="3109" w:type="pct"/>
            <w:noWrap w:val="0"/>
            <w:vAlign w:val="center"/>
          </w:tcPr>
          <w:p>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1.供应商对项目背景、项目内容、总体需求理解等认知准确的计10分。</w:t>
            </w:r>
          </w:p>
          <w:p>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2.供应商对项目背景、项目内容、总体需求理解与认知较准确的计</w:t>
            </w:r>
            <w:r>
              <w:rPr>
                <w:rFonts w:hint="eastAsia" w:ascii="仿宋" w:hAnsi="仿宋" w:eastAsia="仿宋" w:cs="仿宋"/>
                <w:color w:val="000000" w:themeColor="text1"/>
                <w:sz w:val="24"/>
                <w:szCs w:val="24"/>
                <w:lang w:val="en-US" w:eastAsia="zh-CN"/>
                <w14:textFill>
                  <w14:solidFill>
                    <w14:schemeClr w14:val="tx1"/>
                  </w14:solidFill>
                </w14:textFill>
              </w:rPr>
              <w:t>8</w:t>
            </w:r>
            <w:r>
              <w:rPr>
                <w:rFonts w:hint="eastAsia" w:ascii="仿宋" w:hAnsi="仿宋" w:eastAsia="仿宋" w:cs="仿宋"/>
                <w:color w:val="000000" w:themeColor="text1"/>
                <w:sz w:val="24"/>
                <w:szCs w:val="24"/>
                <w14:textFill>
                  <w14:solidFill>
                    <w14:schemeClr w14:val="tx1"/>
                  </w14:solidFill>
                </w14:textFill>
              </w:rPr>
              <w:t>分。</w:t>
            </w:r>
          </w:p>
          <w:p>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3.供应商对项目背景，项目内容、总体需求理解与认知描述一般的计</w:t>
            </w:r>
            <w:r>
              <w:rPr>
                <w:rFonts w:hint="eastAsia" w:ascii="仿宋" w:hAnsi="仿宋" w:eastAsia="仿宋" w:cs="仿宋"/>
                <w:color w:val="000000" w:themeColor="text1"/>
                <w:sz w:val="24"/>
                <w:szCs w:val="24"/>
                <w:lang w:val="en-US" w:eastAsia="zh-CN"/>
                <w14:textFill>
                  <w14:solidFill>
                    <w14:schemeClr w14:val="tx1"/>
                  </w14:solidFill>
                </w14:textFill>
              </w:rPr>
              <w:t>6</w:t>
            </w:r>
            <w:r>
              <w:rPr>
                <w:rFonts w:hint="eastAsia" w:ascii="仿宋" w:hAnsi="仿宋" w:eastAsia="仿宋" w:cs="仿宋"/>
                <w:color w:val="000000" w:themeColor="text1"/>
                <w:sz w:val="24"/>
                <w:szCs w:val="24"/>
                <w14:textFill>
                  <w14:solidFill>
                    <w14:schemeClr w14:val="tx1"/>
                  </w14:solidFill>
                </w14:textFill>
              </w:rPr>
              <w:t>分。</w:t>
            </w:r>
          </w:p>
          <w:p>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4.未提供或不合理的不计分。</w:t>
            </w:r>
          </w:p>
        </w:tc>
        <w:tc>
          <w:tcPr>
            <w:tcW w:w="667" w:type="pct"/>
            <w:noWrap w:val="0"/>
            <w:vAlign w:val="center"/>
          </w:tcPr>
          <w:p>
            <w:pPr>
              <w:widowControl/>
              <w:adjustRightInd w:val="0"/>
              <w:snapToGrid w:val="0"/>
              <w:ind w:left="0" w:leftChars="0" w:firstLine="0" w:firstLineChars="0"/>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525" w:type="pct"/>
            <w:vMerge w:val="continue"/>
            <w:noWrap w:val="0"/>
            <w:vAlign w:val="center"/>
          </w:tcPr>
          <w:p>
            <w:pPr>
              <w:widowControl/>
              <w:adjustRightInd w:val="0"/>
              <w:snapToGrid w:val="0"/>
              <w:rPr>
                <w:rFonts w:hint="eastAsia" w:ascii="仿宋" w:hAnsi="仿宋" w:eastAsia="仿宋" w:cs="仿宋"/>
                <w:color w:val="000000" w:themeColor="text1"/>
                <w:kern w:val="0"/>
                <w:sz w:val="24"/>
                <w:szCs w:val="24"/>
                <w14:textFill>
                  <w14:solidFill>
                    <w14:schemeClr w14:val="tx1"/>
                  </w14:solidFill>
                </w14:textFill>
              </w:rPr>
            </w:pPr>
          </w:p>
        </w:tc>
        <w:tc>
          <w:tcPr>
            <w:tcW w:w="696" w:type="pct"/>
            <w:noWrap w:val="0"/>
            <w:vAlign w:val="center"/>
          </w:tcPr>
          <w:p>
            <w:pPr>
              <w:widowControl/>
              <w:adjustRightInd w:val="0"/>
              <w:snapToGrid w:val="0"/>
              <w:ind w:left="0" w:leftChars="0" w:firstLine="0" w:firstLineChars="0"/>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cs="仿宋"/>
                <w:color w:val="000000" w:themeColor="text1"/>
                <w:sz w:val="24"/>
                <w:szCs w:val="24"/>
                <w:lang w:val="en-US" w:eastAsia="zh-CN"/>
                <w14:textFill>
                  <w14:solidFill>
                    <w14:schemeClr w14:val="tx1"/>
                  </w14:solidFill>
                </w14:textFill>
              </w:rPr>
              <w:t>实施</w:t>
            </w:r>
            <w:r>
              <w:rPr>
                <w:rFonts w:hint="eastAsia" w:ascii="仿宋" w:hAnsi="仿宋" w:eastAsia="仿宋" w:cs="仿宋"/>
                <w:color w:val="000000" w:themeColor="text1"/>
                <w:sz w:val="24"/>
                <w:szCs w:val="24"/>
                <w14:textFill>
                  <w14:solidFill>
                    <w14:schemeClr w14:val="tx1"/>
                  </w14:solidFill>
                </w14:textFill>
              </w:rPr>
              <w:t>方案</w:t>
            </w:r>
          </w:p>
        </w:tc>
        <w:tc>
          <w:tcPr>
            <w:tcW w:w="3109" w:type="pct"/>
            <w:noWrap w:val="0"/>
            <w:vAlign w:val="center"/>
          </w:tcPr>
          <w:p>
            <w:pPr>
              <w:pStyle w:val="30"/>
              <w:ind w:firstLine="480" w:firstLineChars="200"/>
              <w:rPr>
                <w:rFonts w:hint="eastAsia" w:ascii="仿宋" w:hAnsi="仿宋" w:eastAsia="仿宋" w:cs="仿宋"/>
                <w:color w:val="000000" w:themeColor="text1"/>
                <w:kern w:val="2"/>
                <w:sz w:val="24"/>
                <w:szCs w:val="24"/>
                <w:lang w:val="en-US" w:eastAsia="zh-CN" w:bidi="ar-SA"/>
                <w14:textFill>
                  <w14:solidFill>
                    <w14:schemeClr w14:val="tx1"/>
                  </w14:solidFill>
                </w14:textFill>
              </w:rPr>
            </w:pPr>
            <w:bookmarkStart w:id="71" w:name="_Toc15952"/>
            <w:r>
              <w:rPr>
                <w:rFonts w:hint="eastAsia" w:ascii="仿宋" w:hAnsi="仿宋" w:eastAsia="仿宋" w:cs="仿宋"/>
                <w:color w:val="000000" w:themeColor="text1"/>
                <w:kern w:val="2"/>
                <w:sz w:val="24"/>
                <w:szCs w:val="24"/>
                <w:lang w:val="en-US" w:eastAsia="zh-CN" w:bidi="ar-SA"/>
                <w14:textFill>
                  <w14:solidFill>
                    <w14:schemeClr w14:val="tx1"/>
                  </w14:solidFill>
                </w14:textFill>
              </w:rPr>
              <w:t>根据供应商提供针对本项目制定的项目实施服务方案进行综合评价，主要内容包括系统功能实现、技术路线设计、实施进度、质量保障、系统测试方案：</w:t>
            </w:r>
          </w:p>
          <w:p>
            <w:pPr>
              <w:pStyle w:val="30"/>
              <w:ind w:firstLine="480" w:firstLineChars="200"/>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1.项目实施服务方案内容完善、清晰，合理、可行程度高的计15分。</w:t>
            </w:r>
          </w:p>
          <w:p>
            <w:pPr>
              <w:pStyle w:val="30"/>
              <w:ind w:firstLine="480" w:firstLineChars="200"/>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2.项目实施服务方案内容较完善、较清晰，较合理、可行程度较高的计13分。</w:t>
            </w:r>
          </w:p>
          <w:p>
            <w:pPr>
              <w:pStyle w:val="30"/>
              <w:ind w:firstLine="480" w:firstLineChars="200"/>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3.项目实施服务方案可行程度一般的计10分。</w:t>
            </w:r>
          </w:p>
          <w:p>
            <w:pPr>
              <w:pStyle w:val="30"/>
              <w:ind w:firstLine="480" w:firstLineChars="200"/>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4.未提供或不合理的不计分。</w:t>
            </w:r>
            <w:bookmarkEnd w:id="71"/>
          </w:p>
        </w:tc>
        <w:tc>
          <w:tcPr>
            <w:tcW w:w="667" w:type="pct"/>
            <w:noWrap w:val="0"/>
            <w:vAlign w:val="center"/>
          </w:tcPr>
          <w:p>
            <w:pPr>
              <w:widowControl/>
              <w:adjustRightInd w:val="0"/>
              <w:snapToGrid w:val="0"/>
              <w:ind w:left="0" w:leftChars="0" w:firstLine="0" w:firstLineChars="0"/>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15</w:t>
            </w:r>
            <w:r>
              <w:rPr>
                <w:rFonts w:hint="eastAsia" w:ascii="仿宋" w:hAnsi="仿宋" w:eastAsia="仿宋" w:cs="仿宋"/>
                <w:color w:val="000000" w:themeColor="text1"/>
                <w:kern w:val="0"/>
                <w:sz w:val="24"/>
                <w:szCs w:val="24"/>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525" w:type="pct"/>
            <w:vMerge w:val="continue"/>
            <w:noWrap w:val="0"/>
            <w:vAlign w:val="center"/>
          </w:tcPr>
          <w:p>
            <w:pPr>
              <w:widowControl/>
              <w:adjustRightInd w:val="0"/>
              <w:snapToGrid w:val="0"/>
              <w:rPr>
                <w:rFonts w:hint="eastAsia" w:ascii="仿宋" w:hAnsi="仿宋" w:eastAsia="仿宋" w:cs="仿宋"/>
                <w:color w:val="000000" w:themeColor="text1"/>
                <w:kern w:val="0"/>
                <w:sz w:val="24"/>
                <w:szCs w:val="24"/>
                <w14:textFill>
                  <w14:solidFill>
                    <w14:schemeClr w14:val="tx1"/>
                  </w14:solidFill>
                </w14:textFill>
              </w:rPr>
            </w:pPr>
          </w:p>
        </w:tc>
        <w:tc>
          <w:tcPr>
            <w:tcW w:w="696" w:type="pct"/>
            <w:noWrap w:val="0"/>
            <w:vAlign w:val="center"/>
          </w:tcPr>
          <w:p>
            <w:pPr>
              <w:widowControl/>
              <w:adjustRightInd w:val="0"/>
              <w:snapToGrid w:val="0"/>
              <w:ind w:left="0" w:leftChars="0" w:firstLine="0" w:firstLineChars="0"/>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cs="仿宋"/>
                <w:color w:val="000000" w:themeColor="text1"/>
                <w:sz w:val="24"/>
                <w:szCs w:val="24"/>
                <w:lang w:val="en-US" w:eastAsia="zh-CN"/>
                <w14:textFill>
                  <w14:solidFill>
                    <w14:schemeClr w14:val="tx1"/>
                  </w14:solidFill>
                </w14:textFill>
              </w:rPr>
              <w:t>培训方案</w:t>
            </w:r>
          </w:p>
        </w:tc>
        <w:tc>
          <w:tcPr>
            <w:tcW w:w="3109" w:type="pct"/>
            <w:noWrap w:val="0"/>
            <w:vAlign w:val="center"/>
          </w:tcPr>
          <w:p>
            <w:pPr>
              <w:spacing w:line="360" w:lineRule="auto"/>
              <w:ind w:firstLine="480" w:firstLineChars="200"/>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根据供应商提供的培训方案进行综合评价：</w:t>
            </w:r>
          </w:p>
          <w:p>
            <w:pPr>
              <w:spacing w:line="360" w:lineRule="auto"/>
              <w:ind w:firstLine="480" w:firstLineChars="200"/>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1.培训方案全面、合理可行，针对性强得10分。</w:t>
            </w:r>
          </w:p>
          <w:p>
            <w:pPr>
              <w:spacing w:line="360" w:lineRule="auto"/>
              <w:ind w:firstLine="480" w:firstLineChars="200"/>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2.培训方案较为全面合理且具有一定可行性的，得8分</w:t>
            </w:r>
          </w:p>
          <w:p>
            <w:pPr>
              <w:spacing w:line="360" w:lineRule="auto"/>
              <w:ind w:firstLine="480" w:firstLineChars="200"/>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3.培训方案一般，无针对性的，得6分</w:t>
            </w:r>
          </w:p>
          <w:p>
            <w:pPr>
              <w:spacing w:line="360" w:lineRule="auto"/>
              <w:ind w:firstLine="480" w:firstLineChars="200"/>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4.未提供或不合理的不计分。</w:t>
            </w:r>
          </w:p>
        </w:tc>
        <w:tc>
          <w:tcPr>
            <w:tcW w:w="667" w:type="pct"/>
            <w:noWrap w:val="0"/>
            <w:vAlign w:val="center"/>
          </w:tcPr>
          <w:p>
            <w:pPr>
              <w:widowControl/>
              <w:adjustRightInd w:val="0"/>
              <w:snapToGrid w:val="0"/>
              <w:ind w:left="0" w:leftChars="0" w:firstLine="0" w:firstLineChars="0"/>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cs="仿宋"/>
                <w:color w:val="000000" w:themeColor="text1"/>
                <w:kern w:val="0"/>
                <w:sz w:val="24"/>
                <w:szCs w:val="24"/>
                <w:lang w:val="en-US" w:eastAsia="zh-CN"/>
                <w14:textFill>
                  <w14:solidFill>
                    <w14:schemeClr w14:val="tx1"/>
                  </w14:solidFill>
                </w14:textFill>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525" w:type="pct"/>
            <w:vMerge w:val="continue"/>
            <w:noWrap w:val="0"/>
            <w:vAlign w:val="center"/>
          </w:tcPr>
          <w:p>
            <w:pPr>
              <w:widowControl/>
              <w:adjustRightInd w:val="0"/>
              <w:snapToGrid w:val="0"/>
              <w:rPr>
                <w:rFonts w:hint="eastAsia" w:ascii="仿宋" w:hAnsi="仿宋" w:eastAsia="仿宋" w:cs="仿宋"/>
                <w:color w:val="000000" w:themeColor="text1"/>
                <w:kern w:val="0"/>
                <w:sz w:val="24"/>
                <w:szCs w:val="24"/>
                <w14:textFill>
                  <w14:solidFill>
                    <w14:schemeClr w14:val="tx1"/>
                  </w14:solidFill>
                </w14:textFill>
              </w:rPr>
            </w:pPr>
          </w:p>
        </w:tc>
        <w:tc>
          <w:tcPr>
            <w:tcW w:w="696" w:type="pct"/>
            <w:noWrap w:val="0"/>
            <w:vAlign w:val="center"/>
          </w:tcPr>
          <w:p>
            <w:pPr>
              <w:widowControl/>
              <w:adjustRightInd w:val="0"/>
              <w:snapToGrid w:val="0"/>
              <w:ind w:left="0" w:leftChars="0" w:firstLine="0" w:firstLineChars="0"/>
              <w:rPr>
                <w:rFonts w:hint="default"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系统及数据安全保障</w:t>
            </w:r>
          </w:p>
        </w:tc>
        <w:tc>
          <w:tcPr>
            <w:tcW w:w="3109" w:type="pct"/>
            <w:noWrap w:val="0"/>
            <w:vAlign w:val="center"/>
          </w:tcPr>
          <w:p>
            <w:pPr>
              <w:pStyle w:val="30"/>
              <w:ind w:firstLine="480" w:firstLineChars="200"/>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1.系统及数据安全保障方案完备可靠且针对性强的计10分；</w:t>
            </w:r>
          </w:p>
          <w:p>
            <w:pPr>
              <w:pStyle w:val="30"/>
              <w:ind w:firstLine="480" w:firstLineChars="200"/>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2.系统及数据安全保障方案较为完备可靠，具有一定针对性的计8分；</w:t>
            </w:r>
          </w:p>
          <w:p>
            <w:pPr>
              <w:pStyle w:val="30"/>
              <w:ind w:firstLine="480" w:firstLineChars="200"/>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3.系统及数据安全保障方案欠完备，可行性一般的计6分</w:t>
            </w:r>
          </w:p>
          <w:p>
            <w:pPr>
              <w:pStyle w:val="30"/>
              <w:ind w:firstLine="480" w:firstLineChars="200"/>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4.未提供或不合理的不计分。</w:t>
            </w:r>
          </w:p>
        </w:tc>
        <w:tc>
          <w:tcPr>
            <w:tcW w:w="667" w:type="pct"/>
            <w:noWrap w:val="0"/>
            <w:vAlign w:val="center"/>
          </w:tcPr>
          <w:p>
            <w:pPr>
              <w:widowControl/>
              <w:adjustRightInd w:val="0"/>
              <w:snapToGrid w:val="0"/>
              <w:ind w:left="0" w:leftChars="0" w:firstLine="0" w:firstLineChars="0"/>
              <w:rPr>
                <w:rFonts w:hint="eastAsia" w:ascii="仿宋" w:hAnsi="仿宋" w:eastAsia="仿宋" w:cs="仿宋"/>
                <w:color w:val="000000" w:themeColor="text1"/>
                <w:kern w:val="0"/>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4332" w:type="pct"/>
            <w:gridSpan w:val="3"/>
            <w:noWrap w:val="0"/>
            <w:vAlign w:val="center"/>
          </w:tcPr>
          <w:p>
            <w:pPr>
              <w:widowControl/>
              <w:adjustRightInd w:val="0"/>
              <w:snapToGrid w:val="0"/>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总计（100分）</w:t>
            </w:r>
          </w:p>
        </w:tc>
        <w:tc>
          <w:tcPr>
            <w:tcW w:w="667" w:type="pct"/>
            <w:noWrap w:val="0"/>
            <w:vAlign w:val="center"/>
          </w:tcPr>
          <w:p>
            <w:pPr>
              <w:widowControl/>
              <w:adjustRightInd w:val="0"/>
              <w:snapToGrid w:val="0"/>
              <w:ind w:left="0" w:leftChars="0" w:firstLine="0" w:firstLineChars="0"/>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xml:space="preserve">100分 </w:t>
            </w:r>
          </w:p>
        </w:tc>
      </w:tr>
    </w:tbl>
    <w:p>
      <w:pPr>
        <w:pStyle w:val="8"/>
        <w:kinsoku w:val="0"/>
        <w:overflowPunct w:val="0"/>
        <w:spacing w:before="34"/>
        <w:ind w:left="0"/>
        <w:jc w:val="both"/>
        <w:rPr>
          <w:rFonts w:hint="eastAsia" w:ascii="宋体" w:hAnsi="宋体" w:eastAsia="宋体" w:cs="宋体"/>
          <w:b/>
          <w:bCs/>
          <w:highlight w:val="none"/>
        </w:rPr>
      </w:pPr>
    </w:p>
    <w:p>
      <w:pPr>
        <w:pStyle w:val="8"/>
        <w:kinsoku w:val="0"/>
        <w:overflowPunct w:val="0"/>
        <w:spacing w:before="34"/>
        <w:ind w:left="0"/>
        <w:jc w:val="both"/>
        <w:rPr>
          <w:rFonts w:hint="eastAsia" w:ascii="宋体" w:hAnsi="宋体" w:eastAsia="宋体" w:cs="宋体"/>
          <w:b/>
          <w:bCs/>
          <w:highlight w:val="none"/>
        </w:rPr>
      </w:pPr>
      <w:r>
        <w:rPr>
          <w:rFonts w:hint="eastAsia" w:ascii="宋体" w:hAnsi="宋体" w:eastAsia="宋体" w:cs="宋体"/>
          <w:b/>
          <w:bCs/>
          <w:highlight w:val="none"/>
        </w:rPr>
        <w:t>投标报价计算备注：</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1、根据《新财购〔2022〕22号》文件规定，适用政府采购法的政府采购项目对小微企业报价给予10%-20%的扣除；大中型企业与小微企业组成联合体或大中型企业向小微企业分包的，评审给予4%-6%的价格扣除，用扣除后的价格参与评审。</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适用招标投标法的政府采购工程建设项目，采用综合评估法但未采用低价优先法计算价格分的，评标时应当在采用原报价进行评分的基础上阶段性增加其价格得分的6%-10%作为其价格分。</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的扣除，用扣除后的价格参加评审。具体办法详见竞争性磋商文件评标办法和标准；</w:t>
      </w:r>
    </w:p>
    <w:p>
      <w:pPr>
        <w:pStyle w:val="8"/>
        <w:kinsoku w:val="0"/>
        <w:overflowPunct w:val="0"/>
        <w:spacing w:before="34" w:line="357" w:lineRule="auto"/>
        <w:ind w:right="126" w:firstLine="480"/>
        <w:rPr>
          <w:rFonts w:hint="eastAsia" w:ascii="宋体" w:hAnsi="宋体" w:eastAsia="宋体" w:cs="宋体"/>
          <w:color w:val="FF0000"/>
          <w:highlight w:val="none"/>
        </w:rPr>
      </w:pPr>
      <w:r>
        <w:rPr>
          <w:rFonts w:hint="eastAsia" w:ascii="宋体" w:hAnsi="宋体" w:eastAsia="宋体" w:cs="宋体"/>
          <w:highlight w:val="none"/>
        </w:rPr>
        <w:t>2、根据《财政部民政部中国残疾人联合会关于促进残疾人就业政府采购政策的通知》（财库【2017】141号）文件规定，对满足价格扣除条件且在投标文件中提交了《残疾人福利性单位声明函》等证明文件的投标人，其投标报价扣除</w:t>
      </w:r>
      <w:r>
        <w:rPr>
          <w:rFonts w:hint="eastAsia" w:ascii="宋体" w:hAnsi="宋体" w:eastAsia="宋体" w:cs="宋体"/>
          <w:highlight w:val="none"/>
          <w:lang w:val="en-US" w:eastAsia="zh-CN"/>
        </w:rPr>
        <w:t>10</w:t>
      </w:r>
      <w:r>
        <w:rPr>
          <w:rFonts w:hint="eastAsia" w:ascii="宋体" w:hAnsi="宋体" w:eastAsia="宋体" w:cs="宋体"/>
          <w:highlight w:val="none"/>
        </w:rPr>
        <w:t>%后参与评审，不与第1条叠加。</w:t>
      </w:r>
    </w:p>
    <w:p>
      <w:pPr>
        <w:pStyle w:val="8"/>
        <w:kinsoku w:val="0"/>
        <w:overflowPunct w:val="0"/>
        <w:spacing w:before="34" w:line="357" w:lineRule="auto"/>
        <w:ind w:right="126"/>
        <w:rPr>
          <w:rFonts w:hint="eastAsia" w:ascii="宋体" w:hAnsi="宋体" w:eastAsia="宋体" w:cs="宋体"/>
          <w:highlight w:val="none"/>
        </w:rPr>
      </w:pPr>
      <w:r>
        <w:rPr>
          <w:rFonts w:hint="eastAsia" w:ascii="宋体" w:hAnsi="宋体" w:eastAsia="宋体" w:cs="宋体"/>
          <w:b/>
          <w:bCs/>
          <w:highlight w:val="none"/>
        </w:rPr>
        <w:t>计分原则：</w:t>
      </w:r>
      <w:r>
        <w:rPr>
          <w:rFonts w:hint="eastAsia" w:ascii="宋体" w:hAnsi="宋体" w:eastAsia="宋体" w:cs="宋体"/>
          <w:highlight w:val="none"/>
        </w:rPr>
        <w:t>1、投标报价得分由磋商小组按照价格分计算公式计算分值。</w:t>
      </w:r>
    </w:p>
    <w:p>
      <w:pPr>
        <w:pStyle w:val="8"/>
        <w:kinsoku w:val="0"/>
        <w:overflowPunct w:val="0"/>
        <w:spacing w:before="34" w:line="357" w:lineRule="auto"/>
        <w:ind w:right="126" w:firstLine="1262" w:firstLineChars="526"/>
        <w:rPr>
          <w:rFonts w:hint="eastAsia" w:ascii="宋体" w:hAnsi="宋体" w:eastAsia="宋体" w:cs="宋体"/>
          <w:highlight w:val="none"/>
        </w:rPr>
      </w:pPr>
      <w:r>
        <w:rPr>
          <w:rFonts w:hint="eastAsia" w:ascii="宋体" w:hAnsi="宋体" w:eastAsia="宋体" w:cs="宋体"/>
          <w:highlight w:val="none"/>
        </w:rPr>
        <w:t>2、商务部分由磋商小组共同评定唯一的得分。</w:t>
      </w:r>
    </w:p>
    <w:p>
      <w:pPr>
        <w:pStyle w:val="8"/>
        <w:kinsoku w:val="0"/>
        <w:overflowPunct w:val="0"/>
        <w:spacing w:before="34" w:line="357" w:lineRule="auto"/>
        <w:ind w:right="126" w:firstLine="1262" w:firstLineChars="526"/>
        <w:rPr>
          <w:rFonts w:hint="eastAsia" w:ascii="宋体" w:hAnsi="宋体" w:eastAsia="宋体" w:cs="宋体"/>
          <w:highlight w:val="none"/>
        </w:rPr>
      </w:pPr>
      <w:r>
        <w:rPr>
          <w:rFonts w:hint="eastAsia" w:ascii="宋体" w:hAnsi="宋体" w:eastAsia="宋体" w:cs="宋体"/>
          <w:highlight w:val="none"/>
        </w:rPr>
        <w:t>3、技术部分由磋商小组专家分别打分后，取平均分作为技术分最后得分。</w:t>
      </w:r>
    </w:p>
    <w:p>
      <w:pPr>
        <w:pStyle w:val="8"/>
        <w:kinsoku w:val="0"/>
        <w:overflowPunct w:val="0"/>
        <w:spacing w:before="34" w:line="357" w:lineRule="auto"/>
        <w:ind w:left="836" w:leftChars="398" w:right="126" w:firstLine="540" w:firstLineChars="225"/>
        <w:rPr>
          <w:rFonts w:hint="eastAsia" w:ascii="宋体" w:hAnsi="宋体" w:eastAsia="宋体" w:cs="宋体"/>
          <w:highlight w:val="none"/>
        </w:rPr>
      </w:pPr>
      <w:r>
        <w:rPr>
          <w:rFonts w:hint="eastAsia" w:ascii="宋体" w:hAnsi="宋体" w:eastAsia="宋体" w:cs="宋体"/>
          <w:highlight w:val="none"/>
        </w:rPr>
        <w:t>4、供应商综合评分最终总分值为投标报价、商务部分和技术部分三部分得分总和。评分计算保留 2 位小数，第三位小数四舍五入。</w:t>
      </w:r>
    </w:p>
    <w:p>
      <w:pPr>
        <w:pStyle w:val="8"/>
        <w:kinsoku w:val="0"/>
        <w:overflowPunct w:val="0"/>
        <w:spacing w:before="34" w:line="357" w:lineRule="auto"/>
        <w:ind w:left="836" w:leftChars="398" w:right="126" w:firstLine="540" w:firstLineChars="225"/>
        <w:rPr>
          <w:rFonts w:hint="eastAsia" w:ascii="宋体" w:hAnsi="宋体" w:eastAsia="宋体" w:cs="宋体"/>
          <w:highlight w:val="none"/>
        </w:rPr>
      </w:pPr>
      <w:r>
        <w:rPr>
          <w:rFonts w:hint="eastAsia" w:ascii="宋体" w:hAnsi="宋体" w:eastAsia="宋体" w:cs="宋体"/>
          <w:highlight w:val="none"/>
        </w:rPr>
        <w:t>5、得分相同的，按投标报价由低到高顺序排列。得分且投标报价相同的，按技术指标优劣顺序排列。</w:t>
      </w:r>
    </w:p>
    <w:p>
      <w:pPr>
        <w:pStyle w:val="8"/>
        <w:kinsoku w:val="0"/>
        <w:overflowPunct w:val="0"/>
        <w:spacing w:before="34" w:line="357" w:lineRule="auto"/>
        <w:ind w:left="836" w:leftChars="398" w:right="126" w:firstLine="540" w:firstLineChars="225"/>
        <w:rPr>
          <w:rFonts w:hint="eastAsia" w:ascii="宋体" w:hAnsi="宋体" w:eastAsia="宋体" w:cs="宋体"/>
          <w:highlight w:val="none"/>
        </w:rPr>
      </w:pPr>
      <w:r>
        <w:rPr>
          <w:rFonts w:hint="eastAsia" w:ascii="宋体" w:hAnsi="宋体" w:eastAsia="宋体" w:cs="宋体"/>
          <w:highlight w:val="none"/>
        </w:rPr>
        <w:t>6、磋商小组按评分排序确定中标人，同时提交评标报告，由磋商小组成员集体签名。第一中标候选人放弃中标后，由第二名作为中标候选人，依次类推。</w:t>
      </w:r>
    </w:p>
    <w:p>
      <w:pPr>
        <w:pStyle w:val="8"/>
        <w:kinsoku w:val="0"/>
        <w:overflowPunct w:val="0"/>
        <w:spacing w:before="34" w:line="357" w:lineRule="auto"/>
        <w:ind w:right="126" w:firstLine="1262" w:firstLineChars="526"/>
        <w:rPr>
          <w:rFonts w:hint="eastAsia" w:ascii="宋体" w:hAnsi="宋体" w:eastAsia="宋体" w:cs="宋体"/>
          <w:highlight w:val="none"/>
        </w:rPr>
      </w:pPr>
      <w:r>
        <w:rPr>
          <w:rFonts w:hint="eastAsia" w:ascii="宋体" w:hAnsi="宋体" w:eastAsia="宋体" w:cs="宋体"/>
          <w:highlight w:val="none"/>
        </w:rPr>
        <w:t>7、评标中如遇未考虑到的问题，由磋商小组成员集体研究处理决定。</w:t>
      </w:r>
    </w:p>
    <w:p>
      <w:pPr>
        <w:pStyle w:val="8"/>
        <w:kinsoku w:val="0"/>
        <w:overflowPunct w:val="0"/>
        <w:spacing w:before="34"/>
        <w:jc w:val="both"/>
        <w:rPr>
          <w:rFonts w:hint="eastAsia" w:ascii="宋体" w:hAnsi="宋体" w:eastAsia="宋体" w:cs="宋体"/>
          <w:b/>
          <w:bCs/>
          <w:highlight w:val="none"/>
        </w:rPr>
      </w:pPr>
      <w:r>
        <w:rPr>
          <w:rFonts w:hint="eastAsia" w:ascii="宋体" w:hAnsi="宋体" w:eastAsia="宋体" w:cs="宋体"/>
          <w:b/>
          <w:bCs/>
          <w:highlight w:val="none"/>
        </w:rPr>
        <w:t xml:space="preserve"> 其他注意事项：</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（1）评审工作在磋商小组内独立进行。</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2）为了有助于对投标进行审查、评估和比较，磋商小组有权向供应商质疑、查看有关资质原件、供应商解释投标内容。供应商有责任按照磋商小组通知的时间、地点指派专人进行答疑、澄清、提供有关资质原件。</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（3）在开标、评标期间，供应商不得向磋商小组成员询问情况，不得进行影响评标结果的活动。</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（4）采购人、招标机构及磋商小组不向落标方解释原因，不保证最低价中标，不退还磋商响应性文件。</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（5）在招标过程中如供应商有不正当行为时，磋商小组有权中止其投标资格。</w:t>
      </w:r>
    </w:p>
    <w:p>
      <w:pPr>
        <w:pStyle w:val="8"/>
        <w:kinsoku w:val="0"/>
        <w:overflowPunct w:val="0"/>
        <w:spacing w:before="34" w:line="357" w:lineRule="auto"/>
        <w:ind w:left="598"/>
        <w:rPr>
          <w:rFonts w:hint="eastAsia" w:ascii="宋体" w:hAnsi="宋体" w:eastAsia="宋体" w:cs="宋体"/>
          <w:highlight w:val="none"/>
        </w:rPr>
      </w:pPr>
      <w:r>
        <w:rPr>
          <w:rFonts w:hint="eastAsia" w:ascii="宋体" w:hAnsi="宋体" w:eastAsia="宋体" w:cs="宋体"/>
          <w:b/>
          <w:bCs/>
          <w:highlight w:val="none"/>
        </w:rPr>
        <w:t>本评标办法解释权归采购人。</w:t>
      </w:r>
    </w:p>
    <w:p>
      <w:pPr>
        <w:pStyle w:val="3"/>
        <w:numPr>
          <w:ilvl w:val="0"/>
          <w:numId w:val="1"/>
        </w:numPr>
        <w:rPr>
          <w:rFonts w:hint="eastAsia" w:ascii="方正小标宋_GBK" w:hAnsi="方正小标宋_GBK" w:eastAsia="方正小标宋_GBK" w:cs="方正小标宋_GBK"/>
          <w:sz w:val="28"/>
          <w:szCs w:val="28"/>
        </w:rPr>
      </w:pPr>
      <w:r>
        <w:rPr>
          <w:rFonts w:hint="eastAsia" w:ascii="宋体" w:hAnsi="宋体" w:eastAsia="宋体" w:cs="宋体"/>
          <w:highlight w:val="none"/>
        </w:rPr>
        <w:br w:type="page"/>
      </w:r>
      <w:bookmarkStart w:id="72" w:name="_Toc14707"/>
      <w:r>
        <w:rPr>
          <w:rFonts w:hint="eastAsia" w:ascii="宋体" w:hAnsi="宋体" w:eastAsia="宋体" w:cs="宋体"/>
          <w:highlight w:val="none"/>
          <w:lang w:val="en-US" w:eastAsia="zh-CN"/>
        </w:rPr>
        <w:t xml:space="preserve"> </w:t>
      </w:r>
      <w:r>
        <w:rPr>
          <w:rFonts w:hint="eastAsia" w:ascii="宋体" w:hAnsi="宋体" w:eastAsia="宋体" w:cs="宋体"/>
          <w:spacing w:val="1"/>
          <w:highlight w:val="none"/>
        </w:rPr>
        <w:t>磋商内容</w:t>
      </w:r>
      <w:bookmarkEnd w:id="72"/>
    </w:p>
    <w:p>
      <w:pPr>
        <w:spacing w:line="560" w:lineRule="exact"/>
        <w:ind w:left="0" w:leftChars="0" w:firstLine="0" w:firstLineChars="0"/>
        <w:jc w:val="left"/>
        <w:outlineLvl w:val="2"/>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一、项目背景：</w:t>
      </w:r>
    </w:p>
    <w:p>
      <w:pPr>
        <w:spacing w:line="560" w:lineRule="exact"/>
        <w:ind w:left="0" w:leftChars="0" w:firstLine="0" w:firstLineChars="0"/>
        <w:jc w:val="left"/>
        <w:outlineLvl w:val="9"/>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随着大数据、云计算、物联网、5G等技术的发展，文旅市场的数字化转型在逐步推进，新冠肺炎疫情的发生加速了这一变化的进程，文化和旅游融合发展趋势更明显。为进一步规范文旅市场秩序，正确引导网络意识形态， 拟通过互联网+大数据技术手段搭建新疆自治区文化和旅游互联网自主监管与服务系统，对自治区内互联网图书、互联网电子音像、网络出版、网络视听、网络表演、网络游戏、在线旅游经营等服务类企业动态进行监管；依据《电商法》、《出版物管理条例》、《网络出版服务管理规定》、《信息网络视听节目管理条例》、《网络表演经营活动管理办法》、《网络游戏管理暂行办法》、《在线旅游经营服务管理暂行规定》等相关法律法规，设计实现相应的监测模型，及时发现与判别违法行为，针对可能发生的风险进行预警预报并及时处置，尽早遏制态势发展，以避免发生重大风险或不良信息的大范围传播，正确有效的引导网络意识形态良性发展。</w:t>
      </w:r>
    </w:p>
    <w:p>
      <w:pPr>
        <w:spacing w:line="560" w:lineRule="exact"/>
        <w:ind w:left="0" w:leftChars="0" w:firstLine="0" w:firstLineChars="0"/>
        <w:jc w:val="left"/>
        <w:outlineLvl w:val="2"/>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二、项目需求：</w:t>
      </w:r>
    </w:p>
    <w:p>
      <w:pPr>
        <w:spacing w:line="560" w:lineRule="exact"/>
        <w:ind w:left="0" w:leftChars="0" w:firstLine="0" w:firstLineChars="0"/>
        <w:jc w:val="left"/>
        <w:outlineLvl w:val="9"/>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依托我厅“新疆文旅投诉”平台整体架构打造互联网文旅自主监管与服务系统，构建大数据监管体系，开启主动监管、精准监管、创新监管和高质量监管的新局面。</w:t>
      </w:r>
    </w:p>
    <w:p>
      <w:pPr>
        <w:spacing w:line="560" w:lineRule="exact"/>
        <w:ind w:left="0" w:leftChars="0" w:firstLine="0" w:firstLineChars="0"/>
        <w:jc w:val="left"/>
        <w:outlineLvl w:val="9"/>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通过建设互联网文旅自主监管与服务系统，承载互联网文旅市场基础数据以及互联网文旅领域的涉嫌违法违规行为线索。同时，通过大数据分析、人工智能等信息化手段进行建库搜索、建模分析、以及数据流转等操作，实现互联网文旅领域的事中事后监管及事前预警分析。</w:t>
      </w:r>
    </w:p>
    <w:p>
      <w:pPr>
        <w:spacing w:line="560" w:lineRule="exact"/>
        <w:ind w:left="0" w:leftChars="0" w:firstLine="0" w:firstLineChars="0"/>
        <w:jc w:val="left"/>
        <w:outlineLvl w:val="9"/>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1.互联网文旅数据资源库：根据文化旅游行业企业网络经营主体和经营活动的特征特点，建立互联网文旅数据资源库，全面掌握互联网文旅主体的基本情况，为开展数字文旅互联网+监管提供数据支撑。数据库涵盖出版物网络销售主体、网络视听、网络出版、网络表演、网络游戏以及在线旅游经营服务主体等各类子库。（数据库要根据以下数据进行分库设计）</w:t>
      </w:r>
    </w:p>
    <w:p>
      <w:pPr>
        <w:spacing w:line="560" w:lineRule="exact"/>
        <w:ind w:left="0" w:leftChars="0" w:firstLine="0" w:firstLineChars="0"/>
        <w:jc w:val="left"/>
        <w:outlineLvl w:val="9"/>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（1）数据涉及的范围</w:t>
      </w:r>
    </w:p>
    <w:p>
      <w:pPr>
        <w:spacing w:line="560" w:lineRule="exact"/>
        <w:ind w:left="0" w:leftChars="0" w:firstLine="0" w:firstLineChars="0"/>
        <w:jc w:val="left"/>
        <w:outlineLvl w:val="9"/>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①国内主流电商平台内本地文旅类网店；</w:t>
      </w:r>
    </w:p>
    <w:p>
      <w:pPr>
        <w:spacing w:line="560" w:lineRule="exact"/>
        <w:ind w:left="0" w:leftChars="0" w:firstLine="0" w:firstLineChars="0"/>
        <w:jc w:val="left"/>
        <w:outlineLvl w:val="9"/>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②ICP备案为辖区内的文旅类网站；</w:t>
      </w:r>
    </w:p>
    <w:p>
      <w:pPr>
        <w:spacing w:line="560" w:lineRule="exact"/>
        <w:ind w:left="0" w:leftChars="0" w:firstLine="0" w:firstLineChars="0"/>
        <w:jc w:val="left"/>
        <w:outlineLvl w:val="9"/>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③本地文旅类移动APP、公众号、小程序；</w:t>
      </w:r>
    </w:p>
    <w:p>
      <w:pPr>
        <w:spacing w:line="560" w:lineRule="exact"/>
        <w:ind w:left="0" w:leftChars="0" w:firstLine="0" w:firstLineChars="0"/>
        <w:jc w:val="left"/>
        <w:outlineLvl w:val="9"/>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④文旅类许可数据。</w:t>
      </w:r>
    </w:p>
    <w:p>
      <w:pPr>
        <w:spacing w:line="560" w:lineRule="exact"/>
        <w:ind w:left="0" w:leftChars="0" w:firstLine="0" w:firstLineChars="0"/>
        <w:jc w:val="left"/>
        <w:outlineLvl w:val="9"/>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（2）数据涉及的对象</w:t>
      </w:r>
    </w:p>
    <w:p>
      <w:pPr>
        <w:spacing w:line="560" w:lineRule="exact"/>
        <w:ind w:left="0" w:leftChars="0" w:firstLine="0" w:firstLineChars="0"/>
        <w:jc w:val="left"/>
        <w:outlineLvl w:val="9"/>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①出版物网络销售</w:t>
      </w:r>
    </w:p>
    <w:p>
      <w:pPr>
        <w:spacing w:line="560" w:lineRule="exact"/>
        <w:ind w:left="0" w:leftChars="0" w:firstLine="0" w:firstLineChars="0"/>
        <w:jc w:val="left"/>
        <w:outlineLvl w:val="9"/>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国内主流电商平台：天猫、京东、拼多多、孔夫子、有赞等。</w:t>
      </w:r>
    </w:p>
    <w:p>
      <w:pPr>
        <w:spacing w:line="560" w:lineRule="exact"/>
        <w:ind w:left="0" w:leftChars="0" w:firstLine="0" w:firstLineChars="0"/>
        <w:jc w:val="left"/>
        <w:outlineLvl w:val="9"/>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②网络视听 网络出版 网络表演 网络游戏</w:t>
      </w:r>
    </w:p>
    <w:p>
      <w:pPr>
        <w:spacing w:line="560" w:lineRule="exact"/>
        <w:ind w:left="0" w:leftChars="0" w:firstLine="0" w:firstLineChars="0"/>
        <w:jc w:val="left"/>
        <w:outlineLvl w:val="9"/>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根据实际业务需求，确定辖区内重点监管对象。</w:t>
      </w:r>
    </w:p>
    <w:p>
      <w:pPr>
        <w:spacing w:line="560" w:lineRule="exact"/>
        <w:ind w:left="0" w:leftChars="0" w:firstLine="0" w:firstLineChars="0"/>
        <w:jc w:val="left"/>
        <w:outlineLvl w:val="9"/>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③在线旅游经营服务</w:t>
      </w:r>
    </w:p>
    <w:p>
      <w:pPr>
        <w:spacing w:line="560" w:lineRule="exact"/>
        <w:ind w:left="0" w:leftChars="0" w:firstLine="0" w:firstLineChars="0"/>
        <w:jc w:val="left"/>
        <w:outlineLvl w:val="9"/>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国内主流第三方在线旅游经营服务平台：欣欣旅游、驴妈妈、拼多多、马蜂窝、去哪儿、途牛、携程、春秋旅游。</w:t>
      </w:r>
    </w:p>
    <w:p>
      <w:pPr>
        <w:spacing w:line="560" w:lineRule="exact"/>
        <w:ind w:left="0" w:leftChars="0" w:firstLine="0" w:firstLineChars="0"/>
        <w:jc w:val="left"/>
        <w:outlineLvl w:val="9"/>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其他自营旅游网站（注册地址为所属辖区）。</w:t>
      </w:r>
    </w:p>
    <w:p>
      <w:pPr>
        <w:spacing w:line="560" w:lineRule="exact"/>
        <w:ind w:left="0" w:leftChars="0" w:firstLine="0" w:firstLineChars="0"/>
        <w:jc w:val="left"/>
        <w:outlineLvl w:val="9"/>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2.主体管理：</w:t>
      </w:r>
    </w:p>
    <w:p>
      <w:pPr>
        <w:spacing w:line="560" w:lineRule="exact"/>
        <w:ind w:left="0" w:leftChars="0" w:firstLine="0" w:firstLineChars="0"/>
        <w:jc w:val="left"/>
        <w:outlineLvl w:val="9"/>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（1）数据关联：系统内承载的各类互联网文旅主体必须与市场主体注册登记数据进行关联并实现注册登记数据的更新（注册登记数据须与市场监督部门公示数据一致）。</w:t>
      </w:r>
    </w:p>
    <w:p>
      <w:pPr>
        <w:spacing w:line="560" w:lineRule="exact"/>
        <w:ind w:left="0" w:leftChars="0" w:firstLine="0" w:firstLineChars="0"/>
        <w:jc w:val="left"/>
        <w:outlineLvl w:val="9"/>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（2）巡检访问：主体管理信息包含网络主体的有效地址，并可实现在线巡检访问。</w:t>
      </w:r>
    </w:p>
    <w:p>
      <w:pPr>
        <w:spacing w:line="560" w:lineRule="exact"/>
        <w:ind w:left="0" w:leftChars="0" w:firstLine="0" w:firstLineChars="0"/>
        <w:jc w:val="left"/>
        <w:outlineLvl w:val="9"/>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（3）数据维护：用户可根据主体的管辖单位对数据进行指派操作，数据指派有误时可将数据进行回退，日常可对主体数据信息进行修改、删除。</w:t>
      </w:r>
    </w:p>
    <w:p>
      <w:pPr>
        <w:spacing w:line="560" w:lineRule="exact"/>
        <w:ind w:left="0" w:leftChars="0" w:firstLine="0" w:firstLineChars="0"/>
        <w:jc w:val="left"/>
        <w:outlineLvl w:val="9"/>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（4）数据标签：根据主体特征进行分析后得出的特定动态标签，以及通过巡检研判后得出的用户标记标签。</w:t>
      </w:r>
    </w:p>
    <w:p>
      <w:pPr>
        <w:spacing w:line="560" w:lineRule="exact"/>
        <w:ind w:left="0" w:leftChars="0" w:firstLine="0" w:firstLineChars="0"/>
        <w:jc w:val="left"/>
        <w:outlineLvl w:val="9"/>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3.智能监测模型：借助语义分析、人工智能等手段，构建数字文旅互联网+监管智能识别模型，通过模型对新疆自治区辖区内互联网上各类文旅企业进行巡查监测，以甄别和判定疑似违法行为。</w:t>
      </w:r>
    </w:p>
    <w:p>
      <w:pPr>
        <w:spacing w:line="560" w:lineRule="exact"/>
        <w:ind w:left="0" w:leftChars="0" w:firstLine="0" w:firstLineChars="0"/>
        <w:jc w:val="left"/>
        <w:outlineLvl w:val="9"/>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（1）无证经营智能监测模型：对互联网文旅主体资质进行在线监测，发现涉嫌存在无证经营行为的主体</w:t>
      </w:r>
    </w:p>
    <w:p>
      <w:pPr>
        <w:spacing w:line="560" w:lineRule="exact"/>
        <w:ind w:left="0" w:leftChars="0" w:firstLine="0" w:firstLineChars="0"/>
        <w:jc w:val="left"/>
        <w:outlineLvl w:val="9"/>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（2）经营行为风险监测模型：结合新疆地区在线文化旅游违规行为的特征特点，开发监测模型，监测模型的类别及功能以实际业务需求为准。</w:t>
      </w:r>
    </w:p>
    <w:p>
      <w:pPr>
        <w:spacing w:line="560" w:lineRule="exact"/>
        <w:ind w:left="0" w:leftChars="0" w:firstLine="0" w:firstLineChars="0"/>
        <w:jc w:val="left"/>
        <w:outlineLvl w:val="9"/>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4.统计分析：通过多维视图展现对辖区内互联网文旅主体进行统计分析，包括互联网文旅主体总体情况分析、互联网文旅主体区域分析、互联网文旅主体类型分析等，具体以实际业务需求为准。</w:t>
      </w:r>
    </w:p>
    <w:p>
      <w:pPr>
        <w:spacing w:line="560" w:lineRule="exact"/>
        <w:ind w:left="0" w:leftChars="0" w:firstLine="0" w:firstLineChars="0"/>
        <w:jc w:val="left"/>
        <w:outlineLvl w:val="9"/>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5.用户管理：通过管理员账号可以禁用、启用系统中所有账号；可以新增账号开通系统用户并设置用户权限。</w:t>
      </w:r>
    </w:p>
    <w:p>
      <w:pPr>
        <w:spacing w:line="560" w:lineRule="exact"/>
        <w:ind w:left="0" w:leftChars="0" w:firstLine="0" w:firstLineChars="0"/>
        <w:jc w:val="left"/>
        <w:outlineLvl w:val="9"/>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6.其他功能：根据实际业务需求，定制化开发公告、知识文库、消息通知等功能。</w:t>
      </w:r>
    </w:p>
    <w:p>
      <w:pPr>
        <w:spacing w:line="560" w:lineRule="exact"/>
        <w:ind w:left="0" w:leftChars="0" w:firstLine="0" w:firstLineChars="0"/>
        <w:jc w:val="left"/>
        <w:outlineLvl w:val="2"/>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三、项目服务要求：</w:t>
      </w:r>
    </w:p>
    <w:p>
      <w:pPr>
        <w:spacing w:line="560" w:lineRule="exact"/>
        <w:ind w:left="0" w:leftChars="0" w:firstLine="0" w:firstLineChars="0"/>
        <w:jc w:val="left"/>
        <w:outlineLvl w:val="9"/>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1.项目实施周期：</w:t>
      </w:r>
    </w:p>
    <w:p>
      <w:pPr>
        <w:spacing w:line="560" w:lineRule="exact"/>
        <w:ind w:left="0" w:leftChars="0" w:firstLine="0" w:firstLineChars="0"/>
        <w:jc w:val="left"/>
        <w:outlineLvl w:val="9"/>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 xml:space="preserve">自合同签订之日起3个月内完成系统开发并上线运行。 </w:t>
      </w:r>
    </w:p>
    <w:p>
      <w:pPr>
        <w:spacing w:line="560" w:lineRule="exact"/>
        <w:ind w:left="0" w:leftChars="0" w:firstLine="0" w:firstLineChars="0"/>
        <w:jc w:val="left"/>
        <w:outlineLvl w:val="9"/>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2.服务要求：</w:t>
      </w:r>
    </w:p>
    <w:p>
      <w:pPr>
        <w:spacing w:line="560" w:lineRule="exact"/>
        <w:ind w:left="0" w:leftChars="0" w:firstLine="0" w:firstLineChars="0"/>
        <w:jc w:val="left"/>
        <w:outlineLvl w:val="9"/>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（1）供应商应根据需求内容，制定有针对性的技术服务方案。</w:t>
      </w:r>
    </w:p>
    <w:p>
      <w:pPr>
        <w:spacing w:line="560" w:lineRule="exact"/>
        <w:ind w:left="0" w:leftChars="0" w:firstLine="0" w:firstLineChars="0"/>
        <w:jc w:val="left"/>
        <w:outlineLvl w:val="9"/>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（2）供应商应当明确项目工期时间进度，确保按时按要求完成全部项目工作。</w:t>
      </w:r>
    </w:p>
    <w:p>
      <w:pPr>
        <w:spacing w:line="560" w:lineRule="exact"/>
        <w:ind w:left="0" w:leftChars="0" w:firstLine="0" w:firstLineChars="0"/>
        <w:jc w:val="left"/>
        <w:outlineLvl w:val="9"/>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 xml:space="preserve">（3）供应商在服务期内必须做好系统安全及相关数据安全保障。  </w:t>
      </w:r>
    </w:p>
    <w:p>
      <w:pPr>
        <w:spacing w:line="560" w:lineRule="exact"/>
        <w:ind w:left="0" w:leftChars="0" w:firstLine="0" w:firstLineChars="0"/>
        <w:jc w:val="left"/>
        <w:outlineLvl w:val="9"/>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（4）如系统出现故障，在接到故障信息后及时响应，一般问题，半小时内解决，较严重问题，4小时内解决.</w:t>
      </w:r>
    </w:p>
    <w:p>
      <w:pPr>
        <w:jc w:val="center"/>
        <w:outlineLvl w:val="0"/>
        <w:rPr>
          <w:rFonts w:hint="eastAsia" w:ascii="宋体" w:hAnsi="宋体" w:eastAsia="宋体" w:cs="宋体"/>
          <w:highlight w:val="none"/>
        </w:rPr>
      </w:pPr>
      <w:r>
        <w:rPr>
          <w:rFonts w:hint="eastAsia" w:ascii="宋体" w:hAnsi="宋体" w:eastAsia="宋体" w:cs="宋体"/>
          <w:kern w:val="0"/>
          <w:sz w:val="24"/>
          <w:szCs w:val="24"/>
          <w:highlight w:val="none"/>
          <w:lang w:val="en-US" w:eastAsia="zh-CN" w:bidi="ar-SA"/>
        </w:rPr>
        <w:br w:type="page"/>
      </w:r>
      <w:bookmarkStart w:id="73" w:name="_Toc14342"/>
      <w:r>
        <w:rPr>
          <w:rFonts w:hint="eastAsia" w:ascii="宋体" w:hAnsi="宋体" w:eastAsia="宋体" w:cs="宋体"/>
          <w:b/>
          <w:bCs/>
          <w:w w:val="95"/>
          <w:kern w:val="0"/>
          <w:sz w:val="32"/>
          <w:szCs w:val="32"/>
          <w:highlight w:val="none"/>
          <w:lang w:val="en-US" w:eastAsia="zh-CN" w:bidi="ar-SA"/>
        </w:rPr>
        <w:t>第五章</w:t>
      </w:r>
      <w:r>
        <w:rPr>
          <w:rFonts w:hint="eastAsia" w:ascii="宋体" w:hAnsi="宋体" w:eastAsia="宋体" w:cs="宋体"/>
          <w:b/>
          <w:bCs/>
          <w:w w:val="95"/>
          <w:kern w:val="0"/>
          <w:sz w:val="32"/>
          <w:szCs w:val="32"/>
          <w:highlight w:val="none"/>
          <w:lang w:val="en-US" w:eastAsia="zh-CN" w:bidi="ar-SA"/>
        </w:rPr>
        <w:tab/>
      </w:r>
      <w:r>
        <w:rPr>
          <w:rFonts w:hint="eastAsia" w:ascii="宋体" w:hAnsi="宋体" w:eastAsia="宋体" w:cs="宋体"/>
          <w:b/>
          <w:bCs/>
          <w:w w:val="95"/>
          <w:kern w:val="0"/>
          <w:sz w:val="32"/>
          <w:szCs w:val="32"/>
          <w:highlight w:val="none"/>
          <w:lang w:val="en-US" w:eastAsia="zh-CN" w:bidi="ar-SA"/>
        </w:rPr>
        <w:t>合同条款及合同格式</w:t>
      </w:r>
      <w:bookmarkEnd w:id="73"/>
    </w:p>
    <w:p>
      <w:pPr>
        <w:jc w:val="center"/>
        <w:rPr>
          <w:rFonts w:hint="eastAsia" w:ascii="宋体" w:hAnsi="宋体" w:cs="宋体"/>
          <w:highlight w:val="none"/>
          <w:lang w:eastAsia="zh-CN"/>
        </w:rPr>
      </w:pPr>
      <w:r>
        <w:rPr>
          <w:rFonts w:hint="eastAsia" w:ascii="宋体" w:hAnsi="宋体" w:cs="宋体"/>
          <w:highlight w:val="none"/>
          <w:lang w:eastAsia="zh-CN"/>
        </w:rPr>
        <w:t>此合同格式为参考模板，以实际签订合同为准</w:t>
      </w:r>
    </w:p>
    <w:p>
      <w:pPr>
        <w:pStyle w:val="20"/>
        <w:rPr>
          <w:rFonts w:hint="eastAsia" w:ascii="宋体" w:hAnsi="宋体" w:cs="宋体"/>
          <w:highlight w:val="none"/>
          <w:lang w:eastAsia="zh-CN"/>
        </w:rPr>
      </w:pPr>
    </w:p>
    <w:p>
      <w:pPr>
        <w:pStyle w:val="20"/>
        <w:rPr>
          <w:rFonts w:hint="eastAsia" w:ascii="宋体" w:hAnsi="宋体" w:cs="宋体"/>
          <w:highlight w:val="none"/>
          <w:lang w:eastAsia="zh-CN"/>
        </w:rPr>
      </w:pPr>
    </w:p>
    <w:p>
      <w:pPr>
        <w:pStyle w:val="8"/>
        <w:pageBreakBefore w:val="0"/>
        <w:widowControl w:val="0"/>
        <w:kinsoku/>
        <w:wordWrap/>
        <w:overflowPunct/>
        <w:topLinePunct w:val="0"/>
        <w:bidi w:val="0"/>
        <w:snapToGrid/>
        <w:spacing w:before="0" w:line="360" w:lineRule="auto"/>
        <w:ind w:left="0" w:leftChars="0" w:right="0" w:firstLine="45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本合同条款将作为中标合同的基础，具体合同内容在签订合同时由甲乙双方协商</w:t>
      </w:r>
      <w:r>
        <w:rPr>
          <w:rFonts w:hint="eastAsia" w:asciiTheme="minorEastAsia" w:hAnsiTheme="minorEastAsia" w:eastAsiaTheme="minorEastAsia" w:cstheme="minorEastAsia"/>
          <w:sz w:val="24"/>
          <w:szCs w:val="24"/>
        </w:rPr>
        <w:t xml:space="preserve">确定。 </w:t>
      </w:r>
    </w:p>
    <w:p>
      <w:pPr>
        <w:pStyle w:val="8"/>
        <w:pageBreakBefore w:val="0"/>
        <w:widowControl w:val="0"/>
        <w:kinsoku/>
        <w:wordWrap/>
        <w:overflowPunct/>
        <w:topLinePunct w:val="0"/>
        <w:bidi w:val="0"/>
        <w:snapToGrid/>
        <w:spacing w:before="0" w:line="360" w:lineRule="auto"/>
        <w:ind w:left="0" w:right="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pPr>
        <w:pStyle w:val="8"/>
        <w:pageBreakBefore w:val="0"/>
        <w:widowControl w:val="0"/>
        <w:kinsoku/>
        <w:wordWrap/>
        <w:overflowPunct/>
        <w:topLinePunct w:val="0"/>
        <w:bidi w:val="0"/>
        <w:snapToGrid/>
        <w:spacing w:before="0" w:line="480" w:lineRule="auto"/>
        <w:ind w:left="0" w:right="0" w:hanging="12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pacing w:val="-12"/>
          <w:sz w:val="24"/>
          <w:szCs w:val="24"/>
        </w:rPr>
        <w:t>简称“      ”</w:t>
      </w:r>
      <w:r>
        <w:rPr>
          <w:rFonts w:hint="eastAsia" w:asciiTheme="minorEastAsia" w:hAnsiTheme="minorEastAsia" w:eastAsiaTheme="minorEastAsia" w:cstheme="minorEastAsia"/>
          <w:sz w:val="24"/>
          <w:szCs w:val="24"/>
        </w:rPr>
        <w:t xml:space="preserve">） </w:t>
      </w:r>
    </w:p>
    <w:p>
      <w:pPr>
        <w:pStyle w:val="8"/>
        <w:pageBreakBefore w:val="0"/>
        <w:widowControl w:val="0"/>
        <w:kinsoku/>
        <w:wordWrap/>
        <w:overflowPunct/>
        <w:topLinePunct w:val="0"/>
        <w:bidi w:val="0"/>
        <w:snapToGrid/>
        <w:spacing w:before="0" w:line="480" w:lineRule="auto"/>
        <w:ind w:left="0" w:right="0" w:hanging="12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乙方：</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pacing w:val="-12"/>
          <w:sz w:val="24"/>
          <w:szCs w:val="24"/>
        </w:rPr>
        <w:t>简称“      ”</w:t>
      </w:r>
      <w:r>
        <w:rPr>
          <w:rFonts w:hint="eastAsia" w:asciiTheme="minorEastAsia" w:hAnsiTheme="minorEastAsia" w:eastAsiaTheme="minorEastAsia" w:cstheme="minorEastAsia"/>
          <w:sz w:val="24"/>
          <w:szCs w:val="24"/>
        </w:rPr>
        <w:t xml:space="preserve">） </w:t>
      </w:r>
    </w:p>
    <w:p>
      <w:pPr>
        <w:pStyle w:val="8"/>
        <w:pageBreakBefore w:val="0"/>
        <w:widowControl w:val="0"/>
        <w:kinsoku/>
        <w:wordWrap/>
        <w:overflowPunct/>
        <w:topLinePunct w:val="0"/>
        <w:bidi w:val="0"/>
        <w:snapToGrid/>
        <w:spacing w:before="0" w:line="360" w:lineRule="auto"/>
        <w:ind w:left="0" w:right="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pPr>
        <w:pStyle w:val="8"/>
        <w:pageBreakBefore w:val="0"/>
        <w:widowControl w:val="0"/>
        <w:kinsoku/>
        <w:wordWrap/>
        <w:overflowPunct/>
        <w:topLinePunct w:val="0"/>
        <w:bidi w:val="0"/>
        <w:snapToGrid/>
        <w:spacing w:before="0" w:line="360" w:lineRule="auto"/>
        <w:ind w:left="0" w:right="0" w:firstLine="44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根据《中华人民共和国合同法》及相关法律法规的规定，经甲、乙双方协商</w:t>
      </w:r>
      <w:r>
        <w:rPr>
          <w:rFonts w:hint="eastAsia" w:asciiTheme="minorEastAsia" w:hAnsiTheme="minorEastAsia" w:eastAsiaTheme="minorEastAsia" w:cstheme="minorEastAsia"/>
          <w:spacing w:val="-5"/>
          <w:sz w:val="24"/>
          <w:szCs w:val="24"/>
        </w:rPr>
        <w:t xml:space="preserve">一致，就甲方委托乙方承担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pacing w:val="-8"/>
          <w:sz w:val="24"/>
          <w:szCs w:val="24"/>
        </w:rPr>
        <w:t>事宜达成如下协议，共同遵守。</w:t>
      </w:r>
    </w:p>
    <w:p>
      <w:pPr>
        <w:pStyle w:val="4"/>
        <w:pageBreakBefore w:val="0"/>
        <w:widowControl w:val="0"/>
        <w:kinsoku/>
        <w:wordWrap/>
        <w:overflowPunct/>
        <w:topLinePunct w:val="0"/>
        <w:bidi w:val="0"/>
        <w:snapToGrid/>
        <w:spacing w:line="360" w:lineRule="auto"/>
        <w:ind w:left="0" w:right="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第一条 委托内容及要求</w:t>
      </w:r>
      <w:r>
        <w:rPr>
          <w:rFonts w:hint="eastAsia" w:asciiTheme="minorEastAsia" w:hAnsiTheme="minorEastAsia" w:eastAsiaTheme="minorEastAsia" w:cstheme="minorEastAsia"/>
          <w:w w:val="99"/>
          <w:sz w:val="24"/>
          <w:szCs w:val="24"/>
        </w:rPr>
        <w:t xml:space="preserve"> </w:t>
      </w:r>
    </w:p>
    <w:p>
      <w:pPr>
        <w:pStyle w:val="8"/>
        <w:pageBreakBefore w:val="0"/>
        <w:widowControl w:val="0"/>
        <w:kinsoku/>
        <w:wordWrap/>
        <w:overflowPunct/>
        <w:topLinePunct w:val="0"/>
        <w:bidi w:val="0"/>
        <w:snapToGrid/>
        <w:spacing w:before="0" w:line="480" w:lineRule="auto"/>
        <w:ind w:left="0" w:right="0" w:firstLine="456"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 xml:space="preserve">甲方委托乙方全面承担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 xml:space="preserve">，具体包括： </w:t>
      </w:r>
    </w:p>
    <w:p>
      <w:pPr>
        <w:pStyle w:val="4"/>
        <w:pageBreakBefore w:val="0"/>
        <w:widowControl w:val="0"/>
        <w:kinsoku/>
        <w:wordWrap/>
        <w:overflowPunct/>
        <w:topLinePunct w:val="0"/>
        <w:bidi w:val="0"/>
        <w:snapToGrid/>
        <w:spacing w:line="360" w:lineRule="auto"/>
        <w:ind w:left="0" w:right="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第二条 时间进度 </w:t>
      </w:r>
    </w:p>
    <w:p>
      <w:pPr>
        <w:pStyle w:val="8"/>
        <w:pageBreakBefore w:val="0"/>
        <w:widowControl w:val="0"/>
        <w:kinsoku/>
        <w:wordWrap/>
        <w:overflowPunct/>
        <w:topLinePunct w:val="0"/>
        <w:bidi w:val="0"/>
        <w:snapToGrid/>
        <w:spacing w:before="0" w:line="480" w:lineRule="auto"/>
        <w:ind w:left="0" w:righ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本项目服务期限为：</w:t>
      </w:r>
      <w:r>
        <w:rPr>
          <w:rFonts w:hint="eastAsia" w:asciiTheme="minorEastAsia" w:hAnsiTheme="minorEastAsia" w:eastAsiaTheme="minorEastAsia" w:cstheme="minorEastAsia"/>
          <w:sz w:val="24"/>
          <w:szCs w:val="24"/>
          <w:u w:val="single"/>
          <w:lang w:eastAsia="zh-CN"/>
        </w:rPr>
        <w:t>2022</w:t>
      </w:r>
      <w:r>
        <w:rPr>
          <w:rFonts w:hint="eastAsia" w:asciiTheme="minorEastAsia" w:hAnsiTheme="minorEastAsia" w:eastAsiaTheme="minorEastAsia" w:cstheme="minorEastAsia"/>
          <w:spacing w:val="-30"/>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pacing w:val="-15"/>
          <w:sz w:val="24"/>
          <w:szCs w:val="24"/>
        </w:rPr>
        <w:t xml:space="preserve">日起至 </w:t>
      </w:r>
      <w:r>
        <w:rPr>
          <w:rFonts w:hint="eastAsia" w:asciiTheme="minorEastAsia" w:hAnsiTheme="minorEastAsia" w:eastAsiaTheme="minorEastAsia" w:cstheme="minorEastAsia"/>
          <w:sz w:val="24"/>
          <w:szCs w:val="24"/>
          <w:u w:val="single"/>
          <w:lang w:eastAsia="zh-CN"/>
        </w:rPr>
        <w:t>2022</w:t>
      </w:r>
      <w:r>
        <w:rPr>
          <w:rFonts w:hint="eastAsia" w:asciiTheme="minorEastAsia" w:hAnsiTheme="minorEastAsia" w:eastAsiaTheme="minorEastAsia" w:cstheme="minorEastAsia"/>
          <w:spacing w:val="-30"/>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日止。</w:t>
      </w:r>
    </w:p>
    <w:p>
      <w:pPr>
        <w:pStyle w:val="8"/>
        <w:pageBreakBefore w:val="0"/>
        <w:widowControl w:val="0"/>
        <w:kinsoku/>
        <w:wordWrap/>
        <w:overflowPunct/>
        <w:topLinePunct w:val="0"/>
        <w:bidi w:val="0"/>
        <w:snapToGrid/>
        <w:spacing w:before="0" w:line="360" w:lineRule="auto"/>
        <w:ind w:left="0" w:leftChars="0" w:right="0" w:firstLine="0" w:firstLineChars="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第三条 合同价款</w:t>
      </w:r>
    </w:p>
    <w:p>
      <w:pPr>
        <w:pStyle w:val="8"/>
        <w:pageBreakBefore w:val="0"/>
        <w:widowControl w:val="0"/>
        <w:kinsoku/>
        <w:wordWrap/>
        <w:overflowPunct/>
        <w:topLinePunct w:val="0"/>
        <w:bidi w:val="0"/>
        <w:snapToGrid/>
        <w:spacing w:before="0" w:line="480" w:lineRule="auto"/>
        <w:ind w:left="0" w:righ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经甲乙双方协商确定合同总价为人民币（大写）</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，计人民币（小写）￥</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元，最终支付费用以实际结算金额为准。 </w:t>
      </w:r>
    </w:p>
    <w:p>
      <w:pPr>
        <w:pStyle w:val="4"/>
        <w:pageBreakBefore w:val="0"/>
        <w:widowControl w:val="0"/>
        <w:tabs>
          <w:tab w:val="left" w:pos="396"/>
          <w:tab w:val="center" w:pos="5319"/>
        </w:tabs>
        <w:kinsoku/>
        <w:wordWrap/>
        <w:overflowPunct/>
        <w:topLinePunct w:val="0"/>
        <w:bidi w:val="0"/>
        <w:snapToGrid/>
        <w:spacing w:line="360" w:lineRule="auto"/>
        <w:ind w:left="0" w:right="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第四条 付款方式</w:t>
      </w:r>
      <w:r>
        <w:rPr>
          <w:rFonts w:hint="eastAsia" w:asciiTheme="minorEastAsia" w:hAnsiTheme="minorEastAsia" w:eastAsiaTheme="minorEastAsia" w:cstheme="minorEastAsia"/>
          <w:w w:val="99"/>
          <w:sz w:val="24"/>
          <w:szCs w:val="24"/>
        </w:rPr>
        <w:t xml:space="preserve"> </w:t>
      </w:r>
    </w:p>
    <w:p>
      <w:pPr>
        <w:pStyle w:val="8"/>
        <w:pageBreakBefore w:val="0"/>
        <w:widowControl w:val="0"/>
        <w:kinsoku/>
        <w:wordWrap/>
        <w:overflowPunct/>
        <w:topLinePunct w:val="0"/>
        <w:bidi w:val="0"/>
        <w:snapToGrid/>
        <w:spacing w:before="0" w:line="480" w:lineRule="auto"/>
        <w:ind w:left="0" w:leftChars="0" w:righ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（一）合同项下所有款额应通过甲乙双方指定的银行用人民币支付。 </w:t>
      </w:r>
    </w:p>
    <w:p>
      <w:pPr>
        <w:pStyle w:val="8"/>
        <w:pageBreakBefore w:val="0"/>
        <w:widowControl w:val="0"/>
        <w:kinsoku/>
        <w:wordWrap/>
        <w:overflowPunct/>
        <w:topLinePunct w:val="0"/>
        <w:bidi w:val="0"/>
        <w:snapToGrid/>
        <w:spacing w:before="0" w:line="480" w:lineRule="auto"/>
        <w:ind w:left="0" w:leftChars="0" w:righ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（二）甲方付款后，乙方应向甲方交付与本合同价款等额且符合合同性质的中华人民共和国法定国税通用机打发票。 </w:t>
      </w:r>
    </w:p>
    <w:p>
      <w:pPr>
        <w:pStyle w:val="8"/>
        <w:pageBreakBefore w:val="0"/>
        <w:widowControl w:val="0"/>
        <w:kinsoku/>
        <w:wordWrap/>
        <w:overflowPunct/>
        <w:topLinePunct w:val="0"/>
        <w:bidi w:val="0"/>
        <w:snapToGrid/>
        <w:spacing w:before="0" w:line="480" w:lineRule="auto"/>
        <w:ind w:left="0" w:leftChars="0" w:righ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（三）合同第三条中确定的合同总价由甲方向乙方按如下方式及比例支付： </w:t>
      </w:r>
    </w:p>
    <w:tbl>
      <w:tblPr>
        <w:tblStyle w:val="1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276"/>
        <w:gridCol w:w="1505"/>
        <w:gridCol w:w="1681"/>
        <w:gridCol w:w="296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2" w:hRule="atLeast"/>
          <w:jc w:val="center"/>
        </w:trPr>
        <w:tc>
          <w:tcPr>
            <w:tcW w:w="2276" w:type="dxa"/>
          </w:tcPr>
          <w:p>
            <w:pPr>
              <w:pStyle w:val="21"/>
              <w:spacing w:before="21"/>
              <w:ind w:left="695" w:right="557"/>
              <w:jc w:val="both"/>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付款节点</w:t>
            </w:r>
            <w:r>
              <w:rPr>
                <w:rFonts w:hint="eastAsia" w:asciiTheme="minorEastAsia" w:hAnsiTheme="minorEastAsia" w:eastAsiaTheme="minorEastAsia" w:cstheme="minorEastAsia"/>
                <w:b/>
                <w:w w:val="99"/>
                <w:sz w:val="24"/>
                <w:szCs w:val="24"/>
              </w:rPr>
              <w:t xml:space="preserve"> </w:t>
            </w:r>
          </w:p>
        </w:tc>
        <w:tc>
          <w:tcPr>
            <w:tcW w:w="1505" w:type="dxa"/>
          </w:tcPr>
          <w:p>
            <w:pPr>
              <w:pStyle w:val="21"/>
              <w:spacing w:before="21"/>
              <w:ind w:left="308" w:right="172"/>
              <w:jc w:val="both"/>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付款比例</w:t>
            </w:r>
            <w:r>
              <w:rPr>
                <w:rFonts w:hint="eastAsia" w:asciiTheme="minorEastAsia" w:hAnsiTheme="minorEastAsia" w:eastAsiaTheme="minorEastAsia" w:cstheme="minorEastAsia"/>
                <w:b/>
                <w:w w:val="99"/>
                <w:sz w:val="24"/>
                <w:szCs w:val="24"/>
              </w:rPr>
              <w:t xml:space="preserve"> </w:t>
            </w:r>
          </w:p>
        </w:tc>
        <w:tc>
          <w:tcPr>
            <w:tcW w:w="1681" w:type="dxa"/>
          </w:tcPr>
          <w:p>
            <w:pPr>
              <w:pStyle w:val="21"/>
              <w:spacing w:before="21"/>
              <w:ind w:left="154" w:right="3"/>
              <w:jc w:val="both"/>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pacing w:val="-26"/>
                <w:sz w:val="24"/>
                <w:szCs w:val="24"/>
              </w:rPr>
              <w:t>付款金额</w:t>
            </w:r>
            <w:r>
              <w:rPr>
                <w:rFonts w:hint="eastAsia" w:asciiTheme="minorEastAsia" w:hAnsiTheme="minorEastAsia" w:eastAsiaTheme="minorEastAsia" w:cstheme="minorEastAsia"/>
                <w:b/>
                <w:sz w:val="24"/>
                <w:szCs w:val="24"/>
              </w:rPr>
              <w:t>（元</w:t>
            </w:r>
            <w:r>
              <w:rPr>
                <w:rFonts w:hint="eastAsia" w:asciiTheme="minorEastAsia" w:hAnsiTheme="minorEastAsia" w:eastAsiaTheme="minorEastAsia" w:cstheme="minorEastAsia"/>
                <w:b/>
                <w:spacing w:val="-119"/>
                <w:sz w:val="24"/>
                <w:szCs w:val="24"/>
              </w:rPr>
              <w:t>）</w:t>
            </w:r>
            <w:r>
              <w:rPr>
                <w:rFonts w:hint="eastAsia" w:asciiTheme="minorEastAsia" w:hAnsiTheme="minorEastAsia" w:eastAsiaTheme="minorEastAsia" w:cstheme="minorEastAsia"/>
                <w:b/>
                <w:w w:val="99"/>
                <w:sz w:val="24"/>
                <w:szCs w:val="24"/>
              </w:rPr>
              <w:t xml:space="preserve"> </w:t>
            </w:r>
          </w:p>
        </w:tc>
        <w:tc>
          <w:tcPr>
            <w:tcW w:w="2963" w:type="dxa"/>
          </w:tcPr>
          <w:p>
            <w:pPr>
              <w:pStyle w:val="21"/>
              <w:spacing w:before="21"/>
              <w:ind w:left="1035" w:right="904"/>
              <w:jc w:val="both"/>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付款条件</w:t>
            </w:r>
            <w:r>
              <w:rPr>
                <w:rFonts w:hint="eastAsia" w:asciiTheme="minorEastAsia" w:hAnsiTheme="minorEastAsia" w:eastAsiaTheme="minorEastAsia" w:cstheme="minorEastAsia"/>
                <w:b/>
                <w:w w:val="99"/>
                <w:sz w:val="24"/>
                <w:szCs w:val="24"/>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jc w:val="center"/>
        </w:trPr>
        <w:tc>
          <w:tcPr>
            <w:tcW w:w="2276" w:type="dxa"/>
          </w:tcPr>
          <w:p>
            <w:pPr>
              <w:pStyle w:val="21"/>
              <w:spacing w:line="291" w:lineRule="exact"/>
              <w:ind w:left="138"/>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tc>
        <w:tc>
          <w:tcPr>
            <w:tcW w:w="1505" w:type="dxa"/>
          </w:tcPr>
          <w:p>
            <w:pPr>
              <w:pStyle w:val="21"/>
              <w:spacing w:line="291" w:lineRule="exact"/>
              <w:ind w:left="136"/>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tc>
        <w:tc>
          <w:tcPr>
            <w:tcW w:w="1681" w:type="dxa"/>
          </w:tcPr>
          <w:p>
            <w:pPr>
              <w:pStyle w:val="21"/>
              <w:spacing w:line="291" w:lineRule="exact"/>
              <w:ind w:left="138"/>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tc>
        <w:tc>
          <w:tcPr>
            <w:tcW w:w="2963" w:type="dxa"/>
          </w:tcPr>
          <w:p>
            <w:pPr>
              <w:pStyle w:val="21"/>
              <w:spacing w:line="291" w:lineRule="exact"/>
              <w:ind w:left="13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jc w:val="center"/>
        </w:trPr>
        <w:tc>
          <w:tcPr>
            <w:tcW w:w="2276" w:type="dxa"/>
          </w:tcPr>
          <w:p>
            <w:pPr>
              <w:pStyle w:val="21"/>
              <w:spacing w:line="291" w:lineRule="exact"/>
              <w:ind w:left="138"/>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tc>
        <w:tc>
          <w:tcPr>
            <w:tcW w:w="1505" w:type="dxa"/>
          </w:tcPr>
          <w:p>
            <w:pPr>
              <w:pStyle w:val="21"/>
              <w:spacing w:line="291" w:lineRule="exact"/>
              <w:ind w:left="136"/>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tc>
        <w:tc>
          <w:tcPr>
            <w:tcW w:w="1681" w:type="dxa"/>
          </w:tcPr>
          <w:p>
            <w:pPr>
              <w:pStyle w:val="21"/>
              <w:spacing w:line="291" w:lineRule="exact"/>
              <w:ind w:left="138"/>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tc>
        <w:tc>
          <w:tcPr>
            <w:tcW w:w="2963" w:type="dxa"/>
          </w:tcPr>
          <w:p>
            <w:pPr>
              <w:pStyle w:val="21"/>
              <w:spacing w:line="291" w:lineRule="exact"/>
              <w:ind w:left="13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jc w:val="center"/>
        </w:trPr>
        <w:tc>
          <w:tcPr>
            <w:tcW w:w="2276" w:type="dxa"/>
          </w:tcPr>
          <w:p>
            <w:pPr>
              <w:pStyle w:val="21"/>
              <w:spacing w:line="291" w:lineRule="exact"/>
              <w:ind w:left="692" w:right="557"/>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合计</w:t>
            </w:r>
            <w:r>
              <w:rPr>
                <w:rFonts w:hint="eastAsia" w:asciiTheme="minorEastAsia" w:hAnsiTheme="minorEastAsia" w:eastAsiaTheme="minorEastAsia" w:cstheme="minorEastAsia"/>
                <w:b/>
                <w:w w:val="99"/>
                <w:sz w:val="24"/>
                <w:szCs w:val="24"/>
              </w:rPr>
              <w:t xml:space="preserve"> </w:t>
            </w:r>
          </w:p>
        </w:tc>
        <w:tc>
          <w:tcPr>
            <w:tcW w:w="1505" w:type="dxa"/>
          </w:tcPr>
          <w:p>
            <w:pPr>
              <w:pStyle w:val="21"/>
              <w:spacing w:line="291" w:lineRule="exact"/>
              <w:ind w:left="136"/>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w w:val="99"/>
                <w:sz w:val="24"/>
                <w:szCs w:val="24"/>
              </w:rPr>
              <w:t xml:space="preserve"> </w:t>
            </w:r>
          </w:p>
        </w:tc>
        <w:tc>
          <w:tcPr>
            <w:tcW w:w="1681" w:type="dxa"/>
          </w:tcPr>
          <w:p>
            <w:pPr>
              <w:pStyle w:val="21"/>
              <w:spacing w:line="291" w:lineRule="exact"/>
              <w:ind w:left="138"/>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w w:val="99"/>
                <w:sz w:val="24"/>
                <w:szCs w:val="24"/>
              </w:rPr>
              <w:t xml:space="preserve"> </w:t>
            </w:r>
          </w:p>
        </w:tc>
        <w:tc>
          <w:tcPr>
            <w:tcW w:w="2963" w:type="dxa"/>
          </w:tcPr>
          <w:p>
            <w:pPr>
              <w:pStyle w:val="21"/>
              <w:spacing w:line="291" w:lineRule="exact"/>
              <w:ind w:left="13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w w:val="99"/>
                <w:sz w:val="24"/>
                <w:szCs w:val="24"/>
              </w:rPr>
              <w:t xml:space="preserve"> </w:t>
            </w:r>
          </w:p>
        </w:tc>
      </w:tr>
    </w:tbl>
    <w:p>
      <w:pPr>
        <w:pStyle w:val="8"/>
        <w:pageBreakBefore w:val="0"/>
        <w:widowControl w:val="0"/>
        <w:numPr>
          <w:ilvl w:val="0"/>
          <w:numId w:val="0"/>
        </w:numPr>
        <w:kinsoku/>
        <w:wordWrap/>
        <w:overflowPunct/>
        <w:topLinePunct w:val="0"/>
        <w:bidi w:val="0"/>
        <w:snapToGrid/>
        <w:spacing w:before="0" w:line="360" w:lineRule="auto"/>
        <w:ind w:left="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四</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在合同签订后，若甲方要求增加的服务，协商一致后，以书面形式约定，并由甲方追加相应的服务费，计入合同总价。</w:t>
      </w:r>
    </w:p>
    <w:p>
      <w:pPr>
        <w:pStyle w:val="8"/>
        <w:pageBreakBefore w:val="0"/>
        <w:widowControl w:val="0"/>
        <w:numPr>
          <w:ilvl w:val="0"/>
          <w:numId w:val="0"/>
        </w:numPr>
        <w:kinsoku/>
        <w:wordWrap/>
        <w:overflowPunct/>
        <w:topLinePunct w:val="0"/>
        <w:bidi w:val="0"/>
        <w:snapToGrid/>
        <w:spacing w:before="0" w:line="360" w:lineRule="auto"/>
        <w:ind w:left="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（五）若甲方中途变更委托要求，甲乙双方在平等协商的基础上，调整因变更引起的费用项目金额。 </w:t>
      </w:r>
    </w:p>
    <w:p>
      <w:pPr>
        <w:pStyle w:val="8"/>
        <w:pageBreakBefore w:val="0"/>
        <w:widowControl w:val="0"/>
        <w:numPr>
          <w:ilvl w:val="0"/>
          <w:numId w:val="0"/>
        </w:numPr>
        <w:kinsoku/>
        <w:wordWrap/>
        <w:overflowPunct/>
        <w:topLinePunct w:val="0"/>
        <w:bidi w:val="0"/>
        <w:snapToGrid/>
        <w:spacing w:before="0" w:line="360" w:lineRule="auto"/>
        <w:ind w:left="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（六）乙方指定的银行帐户信息： </w:t>
      </w:r>
    </w:p>
    <w:p>
      <w:pPr>
        <w:pStyle w:val="8"/>
        <w:pageBreakBefore w:val="0"/>
        <w:widowControl w:val="0"/>
        <w:numPr>
          <w:ilvl w:val="0"/>
          <w:numId w:val="0"/>
        </w:numPr>
        <w:kinsoku/>
        <w:wordWrap/>
        <w:overflowPunct/>
        <w:topLinePunct w:val="0"/>
        <w:bidi w:val="0"/>
        <w:snapToGrid/>
        <w:spacing w:before="0" w:line="360" w:lineRule="auto"/>
        <w:ind w:left="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账户名称： </w:t>
      </w:r>
    </w:p>
    <w:p>
      <w:pPr>
        <w:pStyle w:val="8"/>
        <w:pageBreakBefore w:val="0"/>
        <w:widowControl w:val="0"/>
        <w:kinsoku/>
        <w:wordWrap/>
        <w:overflowPunct/>
        <w:topLinePunct w:val="0"/>
        <w:bidi w:val="0"/>
        <w:snapToGrid/>
        <w:spacing w:before="0" w:line="360" w:lineRule="auto"/>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开户银行：</w:t>
      </w:r>
    </w:p>
    <w:p>
      <w:pPr>
        <w:pStyle w:val="8"/>
        <w:pageBreakBefore w:val="0"/>
        <w:widowControl w:val="0"/>
        <w:kinsoku/>
        <w:wordWrap/>
        <w:overflowPunct/>
        <w:topLinePunct w:val="0"/>
        <w:bidi w:val="0"/>
        <w:snapToGrid/>
        <w:spacing w:before="0" w:line="360" w:lineRule="auto"/>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账号： </w:t>
      </w:r>
    </w:p>
    <w:p>
      <w:pPr>
        <w:pStyle w:val="4"/>
        <w:pageBreakBefore w:val="0"/>
        <w:widowControl w:val="0"/>
        <w:kinsoku/>
        <w:wordWrap/>
        <w:overflowPunct/>
        <w:topLinePunct w:val="0"/>
        <w:bidi w:val="0"/>
        <w:snapToGrid/>
        <w:spacing w:line="360" w:lineRule="auto"/>
        <w:ind w:left="0" w:right="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第五条 双方权利义务</w:t>
      </w:r>
      <w:r>
        <w:rPr>
          <w:rFonts w:hint="eastAsia" w:asciiTheme="minorEastAsia" w:hAnsiTheme="minorEastAsia" w:eastAsiaTheme="minorEastAsia" w:cstheme="minorEastAsia"/>
          <w:spacing w:val="-1"/>
          <w:w w:val="99"/>
          <w:sz w:val="24"/>
          <w:szCs w:val="24"/>
        </w:rPr>
        <w:t xml:space="preserve"> </w:t>
      </w:r>
    </w:p>
    <w:p>
      <w:pPr>
        <w:pStyle w:val="8"/>
        <w:pageBreakBefore w:val="0"/>
        <w:widowControl w:val="0"/>
        <w:kinsoku/>
        <w:wordWrap/>
        <w:overflowPunct/>
        <w:topLinePunct w:val="0"/>
        <w:bidi w:val="0"/>
        <w:snapToGrid/>
        <w:spacing w:before="0" w:line="360" w:lineRule="auto"/>
        <w:ind w:left="0" w:leftChars="0" w:righ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（一）甲方权利和义务 </w:t>
      </w:r>
    </w:p>
    <w:p>
      <w:pPr>
        <w:pStyle w:val="22"/>
        <w:pageBreakBefore w:val="0"/>
        <w:widowControl w:val="0"/>
        <w:numPr>
          <w:ilvl w:val="0"/>
          <w:numId w:val="0"/>
        </w:numPr>
        <w:tabs>
          <w:tab w:val="left" w:pos="1182"/>
        </w:tabs>
        <w:kinsoku/>
        <w:wordWrap/>
        <w:overflowPunct/>
        <w:topLinePunct w:val="0"/>
        <w:bidi w:val="0"/>
        <w:snapToGrid/>
        <w:spacing w:before="0" w:after="0" w:line="360" w:lineRule="auto"/>
        <w:ind w:left="0" w:right="0" w:rightChars="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 xml:space="preserve">甲方有权要求乙方按照本合同约定提供各项服务。 </w:t>
      </w:r>
    </w:p>
    <w:p>
      <w:pPr>
        <w:pStyle w:val="22"/>
        <w:pageBreakBefore w:val="0"/>
        <w:widowControl w:val="0"/>
        <w:numPr>
          <w:ilvl w:val="0"/>
          <w:numId w:val="0"/>
        </w:numPr>
        <w:tabs>
          <w:tab w:val="left" w:pos="1182"/>
        </w:tabs>
        <w:kinsoku/>
        <w:wordWrap/>
        <w:overflowPunct/>
        <w:topLinePunct w:val="0"/>
        <w:bidi w:val="0"/>
        <w:snapToGrid/>
        <w:spacing w:before="0" w:after="0" w:line="360" w:lineRule="auto"/>
        <w:ind w:left="0" w:right="0" w:rightChars="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 xml:space="preserve">甲方有权对乙方提供各项服务的情况进行监督和检查。 </w:t>
      </w:r>
    </w:p>
    <w:p>
      <w:pPr>
        <w:pStyle w:val="22"/>
        <w:pageBreakBefore w:val="0"/>
        <w:widowControl w:val="0"/>
        <w:numPr>
          <w:ilvl w:val="0"/>
          <w:numId w:val="0"/>
        </w:numPr>
        <w:tabs>
          <w:tab w:val="left" w:pos="1182"/>
        </w:tabs>
        <w:kinsoku/>
        <w:wordWrap/>
        <w:overflowPunct/>
        <w:topLinePunct w:val="0"/>
        <w:bidi w:val="0"/>
        <w:snapToGrid/>
        <w:spacing w:before="0" w:after="0" w:line="360" w:lineRule="auto"/>
        <w:ind w:left="0" w:right="0" w:rightChars="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 xml:space="preserve">甲方应当按照本合同约定向乙方支付费用。 </w:t>
      </w:r>
    </w:p>
    <w:p>
      <w:pPr>
        <w:pStyle w:val="8"/>
        <w:pageBreakBefore w:val="0"/>
        <w:widowControl w:val="0"/>
        <w:numPr>
          <w:ilvl w:val="0"/>
          <w:numId w:val="0"/>
        </w:numPr>
        <w:kinsoku/>
        <w:wordWrap/>
        <w:overflowPunct/>
        <w:topLinePunct w:val="0"/>
        <w:bidi w:val="0"/>
        <w:snapToGrid/>
        <w:spacing w:before="0" w:line="360" w:lineRule="auto"/>
        <w:ind w:left="0" w:righ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 xml:space="preserve">其他：                              </w:t>
      </w:r>
    </w:p>
    <w:p>
      <w:pPr>
        <w:pStyle w:val="8"/>
        <w:pageBreakBefore w:val="0"/>
        <w:widowControl w:val="0"/>
        <w:numPr>
          <w:ilvl w:val="0"/>
          <w:numId w:val="0"/>
        </w:numPr>
        <w:kinsoku/>
        <w:wordWrap/>
        <w:overflowPunct/>
        <w:topLinePunct w:val="0"/>
        <w:bidi w:val="0"/>
        <w:snapToGrid/>
        <w:spacing w:before="0" w:line="360" w:lineRule="auto"/>
        <w:ind w:left="0" w:righ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（二）乙方权利和义务 </w:t>
      </w:r>
    </w:p>
    <w:p>
      <w:pPr>
        <w:pStyle w:val="22"/>
        <w:pageBreakBefore w:val="0"/>
        <w:widowControl w:val="0"/>
        <w:numPr>
          <w:ilvl w:val="0"/>
          <w:numId w:val="0"/>
        </w:numPr>
        <w:tabs>
          <w:tab w:val="left" w:pos="1122"/>
        </w:tabs>
        <w:kinsoku/>
        <w:wordWrap/>
        <w:overflowPunct/>
        <w:topLinePunct w:val="0"/>
        <w:bidi w:val="0"/>
        <w:snapToGrid/>
        <w:spacing w:before="0" w:after="0" w:line="360" w:lineRule="auto"/>
        <w:ind w:left="0" w:right="0" w:rightChars="0" w:firstLine="468"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1.</w:t>
      </w:r>
      <w:r>
        <w:rPr>
          <w:rFonts w:hint="eastAsia" w:asciiTheme="minorEastAsia" w:hAnsiTheme="minorEastAsia" w:eastAsiaTheme="minorEastAsia" w:cstheme="minorEastAsia"/>
          <w:spacing w:val="-3"/>
          <w:sz w:val="24"/>
          <w:szCs w:val="24"/>
        </w:rPr>
        <w:t>乙方应按照本合同约定向甲方提供本合同项下服务，确保服务质量符合本</w:t>
      </w:r>
      <w:r>
        <w:rPr>
          <w:rFonts w:hint="eastAsia" w:asciiTheme="minorEastAsia" w:hAnsiTheme="minorEastAsia" w:eastAsiaTheme="minorEastAsia" w:cstheme="minorEastAsia"/>
          <w:spacing w:val="-4"/>
          <w:sz w:val="24"/>
          <w:szCs w:val="24"/>
        </w:rPr>
        <w:t>合同约定或甲方要求；如因乙方提供服务质量不合格给甲方造成损失的，乙</w:t>
      </w:r>
      <w:r>
        <w:rPr>
          <w:rFonts w:hint="eastAsia" w:asciiTheme="minorEastAsia" w:hAnsiTheme="minorEastAsia" w:eastAsiaTheme="minorEastAsia" w:cstheme="minorEastAsia"/>
          <w:spacing w:val="-6"/>
          <w:sz w:val="24"/>
          <w:szCs w:val="24"/>
        </w:rPr>
        <w:t>方应予不超过合同总额</w:t>
      </w:r>
      <w:r>
        <w:rPr>
          <w:rFonts w:hint="eastAsia" w:asciiTheme="minorEastAsia" w:hAnsiTheme="minorEastAsia" w:eastAsiaTheme="minorEastAsia" w:cstheme="minorEastAsia"/>
          <w:spacing w:val="-6"/>
          <w:sz w:val="24"/>
          <w:szCs w:val="24"/>
          <w:u w:val="single"/>
          <w:lang w:val="en-US" w:eastAsia="zh-CN"/>
        </w:rPr>
        <w:t xml:space="preserve">  </w:t>
      </w:r>
      <w:r>
        <w:rPr>
          <w:rFonts w:hint="eastAsia" w:asciiTheme="minorEastAsia" w:hAnsiTheme="minorEastAsia" w:eastAsiaTheme="minorEastAsia" w:cstheme="minorEastAsia"/>
          <w:spacing w:val="-6"/>
          <w:sz w:val="24"/>
          <w:szCs w:val="24"/>
          <w:lang w:val="en-US" w:eastAsia="zh-CN"/>
        </w:rPr>
        <w:t xml:space="preserve"> </w:t>
      </w:r>
      <w:r>
        <w:rPr>
          <w:rFonts w:hint="eastAsia" w:asciiTheme="minorEastAsia" w:hAnsiTheme="minorEastAsia" w:eastAsiaTheme="minorEastAsia" w:cstheme="minorEastAsia"/>
          <w:sz w:val="24"/>
          <w:szCs w:val="24"/>
        </w:rPr>
        <w:t xml:space="preserve">%的赔偿。 </w:t>
      </w:r>
    </w:p>
    <w:p>
      <w:pPr>
        <w:pStyle w:val="22"/>
        <w:pageBreakBefore w:val="0"/>
        <w:widowControl w:val="0"/>
        <w:numPr>
          <w:ilvl w:val="0"/>
          <w:numId w:val="0"/>
        </w:numPr>
        <w:tabs>
          <w:tab w:val="left" w:pos="1122"/>
        </w:tabs>
        <w:kinsoku/>
        <w:wordWrap/>
        <w:overflowPunct/>
        <w:topLinePunct w:val="0"/>
        <w:bidi w:val="0"/>
        <w:snapToGrid/>
        <w:spacing w:before="0" w:after="0" w:line="360" w:lineRule="auto"/>
        <w:ind w:left="0" w:right="0" w:rightChars="0" w:firstLine="476"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2.</w:t>
      </w:r>
      <w:r>
        <w:rPr>
          <w:rFonts w:hint="eastAsia" w:asciiTheme="minorEastAsia" w:hAnsiTheme="minorEastAsia" w:eastAsiaTheme="minorEastAsia" w:cstheme="minorEastAsia"/>
          <w:spacing w:val="-1"/>
          <w:sz w:val="24"/>
          <w:szCs w:val="24"/>
        </w:rPr>
        <w:t xml:space="preserve">乙方的项目经费使用应当符合甲方资金使用的相关规定和有关审计要求， </w:t>
      </w:r>
      <w:r>
        <w:rPr>
          <w:rFonts w:hint="eastAsia" w:asciiTheme="minorEastAsia" w:hAnsiTheme="minorEastAsia" w:eastAsiaTheme="minorEastAsia" w:cstheme="minorEastAsia"/>
          <w:spacing w:val="-12"/>
          <w:sz w:val="24"/>
          <w:szCs w:val="24"/>
        </w:rPr>
        <w:t>专项用于</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等相关工</w:t>
      </w:r>
      <w:r>
        <w:rPr>
          <w:rFonts w:hint="eastAsia" w:asciiTheme="minorEastAsia" w:hAnsiTheme="minorEastAsia" w:eastAsiaTheme="minorEastAsia" w:cstheme="minorEastAsia"/>
          <w:spacing w:val="-6"/>
          <w:sz w:val="24"/>
          <w:szCs w:val="24"/>
        </w:rPr>
        <w:t xml:space="preserve">作，不得用于与本工作无关的活动支出，专款专用，并配合财政、审计等部门的监督检查。 </w:t>
      </w:r>
    </w:p>
    <w:p>
      <w:pPr>
        <w:pStyle w:val="22"/>
        <w:pageBreakBefore w:val="0"/>
        <w:widowControl w:val="0"/>
        <w:numPr>
          <w:ilvl w:val="0"/>
          <w:numId w:val="0"/>
        </w:numPr>
        <w:tabs>
          <w:tab w:val="left" w:pos="1122"/>
        </w:tabs>
        <w:kinsoku/>
        <w:wordWrap/>
        <w:overflowPunct/>
        <w:topLinePunct w:val="0"/>
        <w:bidi w:val="0"/>
        <w:snapToGrid/>
        <w:spacing w:before="0" w:after="0" w:line="360" w:lineRule="auto"/>
        <w:ind w:left="0" w:right="0" w:rightChars="0" w:firstLine="468"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3.</w:t>
      </w:r>
      <w:r>
        <w:rPr>
          <w:rFonts w:hint="eastAsia" w:asciiTheme="minorEastAsia" w:hAnsiTheme="minorEastAsia" w:eastAsiaTheme="minorEastAsia" w:cstheme="minorEastAsia"/>
          <w:spacing w:val="-3"/>
          <w:sz w:val="24"/>
          <w:szCs w:val="24"/>
        </w:rPr>
        <w:t>乙方保证其向甲方提供的服务不存在任何侵犯第三方著作权、商标权、专</w:t>
      </w:r>
      <w:r>
        <w:rPr>
          <w:rFonts w:hint="eastAsia" w:asciiTheme="minorEastAsia" w:hAnsiTheme="minorEastAsia" w:eastAsiaTheme="minorEastAsia" w:cstheme="minorEastAsia"/>
          <w:sz w:val="24"/>
          <w:szCs w:val="24"/>
        </w:rPr>
        <w:t xml:space="preserve">利权等合法权益的情形。 </w:t>
      </w:r>
    </w:p>
    <w:p>
      <w:pPr>
        <w:pStyle w:val="22"/>
        <w:pageBreakBefore w:val="0"/>
        <w:widowControl w:val="0"/>
        <w:numPr>
          <w:ilvl w:val="0"/>
          <w:numId w:val="0"/>
        </w:numPr>
        <w:tabs>
          <w:tab w:val="left" w:pos="1122"/>
        </w:tabs>
        <w:kinsoku/>
        <w:wordWrap/>
        <w:overflowPunct/>
        <w:topLinePunct w:val="0"/>
        <w:bidi w:val="0"/>
        <w:snapToGrid/>
        <w:spacing w:before="0" w:after="0" w:line="360" w:lineRule="auto"/>
        <w:ind w:left="0" w:right="0" w:rightChars="0" w:firstLine="468"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4.</w:t>
      </w:r>
      <w:r>
        <w:rPr>
          <w:rFonts w:hint="eastAsia" w:asciiTheme="minorEastAsia" w:hAnsiTheme="minorEastAsia" w:eastAsiaTheme="minorEastAsia" w:cstheme="minorEastAsia"/>
          <w:spacing w:val="-3"/>
          <w:sz w:val="24"/>
          <w:szCs w:val="24"/>
        </w:rPr>
        <w:t>乙方应接受甲方对其提供服务情况进行的监督和检查，并应及时按照甲方</w:t>
      </w:r>
      <w:r>
        <w:rPr>
          <w:rFonts w:hint="eastAsia" w:asciiTheme="minorEastAsia" w:hAnsiTheme="minorEastAsia" w:eastAsiaTheme="minorEastAsia" w:cstheme="minorEastAsia"/>
          <w:sz w:val="24"/>
          <w:szCs w:val="24"/>
        </w:rPr>
        <w:t xml:space="preserve">要求对所提供的服务进行改进或调整，使服务质量符合甲方要求。 </w:t>
      </w:r>
    </w:p>
    <w:p>
      <w:pPr>
        <w:pStyle w:val="22"/>
        <w:pageBreakBefore w:val="0"/>
        <w:widowControl w:val="0"/>
        <w:numPr>
          <w:ilvl w:val="0"/>
          <w:numId w:val="0"/>
        </w:numPr>
        <w:tabs>
          <w:tab w:val="left" w:pos="1122"/>
        </w:tabs>
        <w:kinsoku/>
        <w:wordWrap/>
        <w:overflowPunct/>
        <w:topLinePunct w:val="0"/>
        <w:bidi w:val="0"/>
        <w:snapToGrid/>
        <w:spacing w:before="0" w:after="0" w:line="360" w:lineRule="auto"/>
        <w:ind w:left="0" w:right="0" w:rightChars="0" w:firstLine="464"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5.</w:t>
      </w:r>
      <w:r>
        <w:rPr>
          <w:rFonts w:hint="eastAsia" w:asciiTheme="minorEastAsia" w:hAnsiTheme="minorEastAsia" w:eastAsiaTheme="minorEastAsia" w:cstheme="minorEastAsia"/>
          <w:spacing w:val="-4"/>
          <w:sz w:val="24"/>
          <w:szCs w:val="24"/>
        </w:rPr>
        <w:t>本项目知识产权归甲方所有。乙方承诺在工作过程中按照国家保密法律法规以及甲方的要求，做好有关保密工作。乙方对工作过程中甲方提供的有关</w:t>
      </w:r>
      <w:r>
        <w:rPr>
          <w:rFonts w:hint="eastAsia" w:asciiTheme="minorEastAsia" w:hAnsiTheme="minorEastAsia" w:eastAsiaTheme="minorEastAsia" w:cstheme="minorEastAsia"/>
          <w:spacing w:val="-8"/>
          <w:sz w:val="24"/>
          <w:szCs w:val="24"/>
        </w:rPr>
        <w:t>信息、文件、资料等有保密义务，非经甲方书面同意，不得公开或向第三方</w:t>
      </w:r>
      <w:r>
        <w:rPr>
          <w:rFonts w:hint="eastAsia" w:asciiTheme="minorEastAsia" w:hAnsiTheme="minorEastAsia" w:eastAsiaTheme="minorEastAsia" w:cstheme="minorEastAsia"/>
          <w:sz w:val="24"/>
          <w:szCs w:val="24"/>
        </w:rPr>
        <w:t xml:space="preserve">提供。 </w:t>
      </w:r>
    </w:p>
    <w:p>
      <w:pPr>
        <w:pStyle w:val="8"/>
        <w:pageBreakBefore w:val="0"/>
        <w:widowControl w:val="0"/>
        <w:kinsoku/>
        <w:wordWrap/>
        <w:overflowPunct/>
        <w:topLinePunct w:val="0"/>
        <w:bidi w:val="0"/>
        <w:snapToGrid/>
        <w:spacing w:before="0" w:line="360" w:lineRule="auto"/>
        <w:ind w:left="0" w:leftChars="0" w:right="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乙方应保证为甲方提供服务的员工具备提供本合同项下服务所需的相应</w:t>
      </w:r>
      <w:r>
        <w:rPr>
          <w:rFonts w:hint="eastAsia" w:asciiTheme="minorEastAsia" w:hAnsiTheme="minorEastAsia" w:eastAsiaTheme="minorEastAsia" w:cstheme="minorEastAsia"/>
          <w:spacing w:val="-5"/>
          <w:sz w:val="24"/>
          <w:szCs w:val="24"/>
        </w:rPr>
        <w:t>资质和许可，并保证乙方人员在为甲方提供服务的过程中，严格遵守甲方的</w:t>
      </w:r>
      <w:r>
        <w:rPr>
          <w:rFonts w:hint="eastAsia" w:asciiTheme="minorEastAsia" w:hAnsiTheme="minorEastAsia" w:eastAsiaTheme="minorEastAsia" w:cstheme="minorEastAsia"/>
          <w:spacing w:val="-6"/>
          <w:sz w:val="24"/>
          <w:szCs w:val="24"/>
        </w:rPr>
        <w:t>各项规定、服从甲方安排。如因乙方人员原因，给甲方或第三方造成人员人</w:t>
      </w:r>
      <w:r>
        <w:rPr>
          <w:rFonts w:hint="eastAsia" w:asciiTheme="minorEastAsia" w:hAnsiTheme="minorEastAsia" w:eastAsiaTheme="minorEastAsia" w:cstheme="minorEastAsia"/>
          <w:sz w:val="24"/>
          <w:szCs w:val="24"/>
        </w:rPr>
        <w:t xml:space="preserve">身伤害或财产损失的，乙方应承担赔偿责任。 </w:t>
      </w:r>
    </w:p>
    <w:p>
      <w:pPr>
        <w:pageBreakBefore w:val="0"/>
        <w:widowControl w:val="0"/>
        <w:numPr>
          <w:ilvl w:val="0"/>
          <w:numId w:val="0"/>
        </w:numPr>
        <w:kinsoku/>
        <w:wordWrap/>
        <w:overflowPunct/>
        <w:topLinePunct w:val="0"/>
        <w:bidi w:val="0"/>
        <w:snapToGrid/>
        <w:spacing w:line="360" w:lineRule="auto"/>
        <w:ind w:left="0" w:right="0" w:rightChars="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 xml:space="preserve">其他：                                    </w:t>
      </w:r>
    </w:p>
    <w:p>
      <w:pPr>
        <w:pageBreakBefore w:val="0"/>
        <w:widowControl w:val="0"/>
        <w:numPr>
          <w:ilvl w:val="0"/>
          <w:numId w:val="0"/>
        </w:numPr>
        <w:kinsoku/>
        <w:wordWrap/>
        <w:overflowPunct/>
        <w:topLinePunct w:val="0"/>
        <w:bidi w:val="0"/>
        <w:snapToGrid/>
        <w:spacing w:line="360" w:lineRule="auto"/>
        <w:ind w:left="0" w:right="0" w:rightChars="0"/>
        <w:jc w:val="lef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第六条 合同的变更、补充和解除</w:t>
      </w:r>
      <w:r>
        <w:rPr>
          <w:rFonts w:hint="eastAsia" w:asciiTheme="minorEastAsia" w:hAnsiTheme="minorEastAsia" w:eastAsiaTheme="minorEastAsia" w:cstheme="minorEastAsia"/>
          <w:b/>
          <w:w w:val="99"/>
          <w:sz w:val="24"/>
          <w:szCs w:val="24"/>
        </w:rPr>
        <w:t xml:space="preserve"> </w:t>
      </w:r>
    </w:p>
    <w:p>
      <w:pPr>
        <w:pStyle w:val="8"/>
        <w:pageBreakBefore w:val="0"/>
        <w:widowControl w:val="0"/>
        <w:kinsoku/>
        <w:wordWrap/>
        <w:overflowPunct/>
        <w:topLinePunct w:val="0"/>
        <w:bidi w:val="0"/>
        <w:snapToGrid/>
        <w:spacing w:before="0" w:line="360" w:lineRule="auto"/>
        <w:ind w:left="0" w:righ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（一）本合同的变更或补充必须由双方协商一致，并以书面形式确定。 </w:t>
      </w:r>
    </w:p>
    <w:p>
      <w:pPr>
        <w:pStyle w:val="8"/>
        <w:pageBreakBefore w:val="0"/>
        <w:widowControl w:val="0"/>
        <w:kinsoku/>
        <w:wordWrap/>
        <w:overflowPunct/>
        <w:topLinePunct w:val="0"/>
        <w:bidi w:val="0"/>
        <w:snapToGrid/>
        <w:spacing w:before="0" w:line="360" w:lineRule="auto"/>
        <w:ind w:left="0" w:righ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w:t>
      </w:r>
      <w:r>
        <w:rPr>
          <w:rFonts w:hint="eastAsia" w:asciiTheme="minorEastAsia" w:hAnsiTheme="minorEastAsia" w:eastAsiaTheme="minorEastAsia" w:cstheme="minorEastAsia"/>
          <w:spacing w:val="-32"/>
          <w:sz w:val="24"/>
          <w:szCs w:val="24"/>
        </w:rPr>
        <w:t>）</w:t>
      </w:r>
      <w:r>
        <w:rPr>
          <w:rFonts w:hint="eastAsia" w:asciiTheme="minorEastAsia" w:hAnsiTheme="minorEastAsia" w:eastAsiaTheme="minorEastAsia" w:cstheme="minorEastAsia"/>
          <w:spacing w:val="-10"/>
          <w:sz w:val="24"/>
          <w:szCs w:val="24"/>
        </w:rPr>
        <w:t xml:space="preserve">双方确定，出现下列情形，致使本合同的履行成为不必要或不可能的， </w:t>
      </w:r>
      <w:r>
        <w:rPr>
          <w:rFonts w:hint="eastAsia" w:asciiTheme="minorEastAsia" w:hAnsiTheme="minorEastAsia" w:eastAsiaTheme="minorEastAsia" w:cstheme="minorEastAsia"/>
          <w:sz w:val="24"/>
          <w:szCs w:val="24"/>
        </w:rPr>
        <w:t xml:space="preserve">可以解除本合同： </w:t>
      </w:r>
    </w:p>
    <w:p>
      <w:pPr>
        <w:pStyle w:val="22"/>
        <w:pageBreakBefore w:val="0"/>
        <w:widowControl w:val="0"/>
        <w:numPr>
          <w:ilvl w:val="0"/>
          <w:numId w:val="0"/>
        </w:numPr>
        <w:tabs>
          <w:tab w:val="left" w:pos="1182"/>
        </w:tabs>
        <w:kinsoku/>
        <w:wordWrap/>
        <w:overflowPunct/>
        <w:topLinePunct w:val="0"/>
        <w:bidi w:val="0"/>
        <w:snapToGrid/>
        <w:spacing w:before="0" w:after="0" w:line="360" w:lineRule="auto"/>
        <w:ind w:right="0" w:rightChars="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 xml:space="preserve">发生不可抗力。 </w:t>
      </w:r>
    </w:p>
    <w:p>
      <w:pPr>
        <w:pStyle w:val="22"/>
        <w:pageBreakBefore w:val="0"/>
        <w:widowControl w:val="0"/>
        <w:numPr>
          <w:ilvl w:val="0"/>
          <w:numId w:val="0"/>
        </w:numPr>
        <w:tabs>
          <w:tab w:val="left" w:pos="1182"/>
        </w:tabs>
        <w:kinsoku/>
        <w:wordWrap/>
        <w:overflowPunct/>
        <w:topLinePunct w:val="0"/>
        <w:bidi w:val="0"/>
        <w:snapToGrid/>
        <w:spacing w:before="0" w:after="0" w:line="360" w:lineRule="auto"/>
        <w:ind w:right="0" w:rightChars="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 xml:space="preserve">与本项目直接相关的国家政策发生重大变更，双方同意解除合同。 </w:t>
      </w:r>
    </w:p>
    <w:p>
      <w:pPr>
        <w:pStyle w:val="22"/>
        <w:pageBreakBefore w:val="0"/>
        <w:widowControl w:val="0"/>
        <w:numPr>
          <w:ilvl w:val="0"/>
          <w:numId w:val="0"/>
        </w:numPr>
        <w:tabs>
          <w:tab w:val="left" w:pos="1182"/>
        </w:tabs>
        <w:kinsoku/>
        <w:wordWrap/>
        <w:overflowPunct/>
        <w:topLinePunct w:val="0"/>
        <w:bidi w:val="0"/>
        <w:snapToGrid/>
        <w:spacing w:before="0" w:after="0" w:line="360" w:lineRule="auto"/>
        <w:ind w:right="0" w:rightChars="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一方严重违约。</w:t>
      </w:r>
    </w:p>
    <w:p>
      <w:pPr>
        <w:pStyle w:val="22"/>
        <w:pageBreakBefore w:val="0"/>
        <w:widowControl w:val="0"/>
        <w:numPr>
          <w:ilvl w:val="0"/>
          <w:numId w:val="0"/>
        </w:numPr>
        <w:tabs>
          <w:tab w:val="left" w:pos="1182"/>
        </w:tabs>
        <w:kinsoku/>
        <w:wordWrap/>
        <w:overflowPunct/>
        <w:topLinePunct w:val="0"/>
        <w:bidi w:val="0"/>
        <w:snapToGrid/>
        <w:spacing w:before="0" w:after="0" w:line="360" w:lineRule="auto"/>
        <w:ind w:left="0" w:right="0" w:rightChars="0"/>
        <w:jc w:val="lef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第七条 违约责任</w:t>
      </w:r>
      <w:r>
        <w:rPr>
          <w:rFonts w:hint="eastAsia" w:asciiTheme="minorEastAsia" w:hAnsiTheme="minorEastAsia" w:eastAsiaTheme="minorEastAsia" w:cstheme="minorEastAsia"/>
          <w:b/>
          <w:w w:val="99"/>
          <w:sz w:val="24"/>
          <w:szCs w:val="24"/>
        </w:rPr>
        <w:t xml:space="preserve"> </w:t>
      </w:r>
    </w:p>
    <w:p>
      <w:pPr>
        <w:pStyle w:val="8"/>
        <w:pageBreakBefore w:val="0"/>
        <w:widowControl w:val="0"/>
        <w:kinsoku/>
        <w:wordWrap/>
        <w:overflowPunct/>
        <w:topLinePunct w:val="0"/>
        <w:bidi w:val="0"/>
        <w:snapToGrid/>
        <w:spacing w:before="0" w:line="360" w:lineRule="auto"/>
        <w:ind w:left="0" w:righ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（一）甲方未按约定的期限向乙方支付服务费，应在最后付款日的次日起每日按照服务费总额的千分之一向乙方支付违约金，乙方并有权顺延相应工作期限。 </w:t>
      </w:r>
    </w:p>
    <w:p>
      <w:pPr>
        <w:pStyle w:val="8"/>
        <w:pageBreakBefore w:val="0"/>
        <w:widowControl w:val="0"/>
        <w:kinsoku/>
        <w:wordWrap/>
        <w:overflowPunct/>
        <w:topLinePunct w:val="0"/>
        <w:bidi w:val="0"/>
        <w:snapToGrid/>
        <w:spacing w:before="0" w:line="360" w:lineRule="auto"/>
        <w:ind w:left="0" w:right="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w:t>
      </w:r>
      <w:r>
        <w:rPr>
          <w:rFonts w:hint="eastAsia" w:asciiTheme="minorEastAsia" w:hAnsiTheme="minorEastAsia" w:eastAsiaTheme="minorEastAsia" w:cstheme="minorEastAsia"/>
          <w:spacing w:val="-32"/>
          <w:sz w:val="24"/>
          <w:szCs w:val="24"/>
        </w:rPr>
        <w:t>）</w:t>
      </w:r>
      <w:r>
        <w:rPr>
          <w:rFonts w:hint="eastAsia" w:asciiTheme="minorEastAsia" w:hAnsiTheme="minorEastAsia" w:eastAsiaTheme="minorEastAsia" w:cstheme="minorEastAsia"/>
          <w:spacing w:val="-6"/>
          <w:sz w:val="24"/>
          <w:szCs w:val="24"/>
        </w:rPr>
        <w:t>乙方未按合同约定完成委托工作，每逾期一日，按照服务费总额的千</w:t>
      </w:r>
      <w:r>
        <w:rPr>
          <w:rFonts w:hint="eastAsia" w:asciiTheme="minorEastAsia" w:hAnsiTheme="minorEastAsia" w:eastAsiaTheme="minorEastAsia" w:cstheme="minorEastAsia"/>
          <w:spacing w:val="-9"/>
          <w:sz w:val="24"/>
          <w:szCs w:val="24"/>
        </w:rPr>
        <w:t>分之一向甲方支付违约金，但因甲方未按期提供资料或资金等甲方或第三方原因</w:t>
      </w:r>
      <w:r>
        <w:rPr>
          <w:rFonts w:hint="eastAsia" w:asciiTheme="minorEastAsia" w:hAnsiTheme="minorEastAsia" w:eastAsiaTheme="minorEastAsia" w:cstheme="minorEastAsia"/>
          <w:sz w:val="24"/>
          <w:szCs w:val="24"/>
        </w:rPr>
        <w:t xml:space="preserve">而导致延误的，不视为乙方违约，可以顺延相应期限。 </w:t>
      </w:r>
    </w:p>
    <w:p>
      <w:pPr>
        <w:pStyle w:val="4"/>
        <w:pageBreakBefore w:val="0"/>
        <w:widowControl w:val="0"/>
        <w:kinsoku/>
        <w:wordWrap/>
        <w:overflowPunct/>
        <w:topLinePunct w:val="0"/>
        <w:bidi w:val="0"/>
        <w:snapToGrid/>
        <w:spacing w:line="360" w:lineRule="auto"/>
        <w:ind w:left="0" w:right="0"/>
        <w:jc w:val="both"/>
        <w:textAlignment w:val="auto"/>
        <w:rPr>
          <w:rFonts w:hint="eastAsia" w:asciiTheme="minorEastAsia" w:hAnsiTheme="minorEastAsia" w:eastAsiaTheme="minorEastAsia" w:cstheme="minorEastAsia"/>
          <w:b/>
          <w:bCs w:val="0"/>
          <w:kern w:val="0"/>
          <w:sz w:val="24"/>
          <w:szCs w:val="24"/>
          <w:lang w:val="zh-CN" w:eastAsia="zh-CN" w:bidi="ar-SA"/>
        </w:rPr>
      </w:pPr>
      <w:r>
        <w:rPr>
          <w:rFonts w:hint="eastAsia" w:asciiTheme="minorEastAsia" w:hAnsiTheme="minorEastAsia" w:eastAsiaTheme="minorEastAsia" w:cstheme="minorEastAsia"/>
          <w:b/>
          <w:bCs w:val="0"/>
          <w:kern w:val="0"/>
          <w:sz w:val="24"/>
          <w:szCs w:val="24"/>
          <w:lang w:val="zh-CN" w:eastAsia="zh-CN" w:bidi="ar-SA"/>
        </w:rPr>
        <w:t xml:space="preserve">第八条 争议解决和法律适用 </w:t>
      </w:r>
    </w:p>
    <w:p>
      <w:pPr>
        <w:pStyle w:val="8"/>
        <w:pageBreakBefore w:val="0"/>
        <w:widowControl w:val="0"/>
        <w:kinsoku/>
        <w:wordWrap/>
        <w:overflowPunct/>
        <w:topLinePunct w:val="0"/>
        <w:bidi w:val="0"/>
        <w:snapToGrid/>
        <w:spacing w:before="0" w:line="360" w:lineRule="auto"/>
        <w:ind w:left="0" w:righ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（一）在任何争议解决期间，乙方应该继续提供不在争议项目范围内、并完全不受争议所影响的服务。甲方亦应该按照合同继续支付不在争议项目范围内、并完全不受争议所影响的部分服务费用。 </w:t>
      </w:r>
    </w:p>
    <w:p>
      <w:pPr>
        <w:pStyle w:val="8"/>
        <w:pageBreakBefore w:val="0"/>
        <w:widowControl w:val="0"/>
        <w:kinsoku/>
        <w:wordWrap/>
        <w:overflowPunct/>
        <w:topLinePunct w:val="0"/>
        <w:bidi w:val="0"/>
        <w:snapToGrid/>
        <w:spacing w:before="0" w:line="360" w:lineRule="auto"/>
        <w:ind w:left="0" w:right="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w:t>
      </w:r>
      <w:r>
        <w:rPr>
          <w:rFonts w:hint="eastAsia" w:asciiTheme="minorEastAsia" w:hAnsiTheme="minorEastAsia" w:eastAsiaTheme="minorEastAsia" w:cstheme="minorEastAsia"/>
          <w:spacing w:val="-48"/>
          <w:sz w:val="24"/>
          <w:szCs w:val="24"/>
        </w:rPr>
        <w:t>）</w:t>
      </w:r>
      <w:r>
        <w:rPr>
          <w:rFonts w:hint="eastAsia" w:asciiTheme="minorEastAsia" w:hAnsiTheme="minorEastAsia" w:eastAsiaTheme="minorEastAsia" w:cstheme="minorEastAsia"/>
          <w:spacing w:val="-4"/>
          <w:sz w:val="24"/>
          <w:szCs w:val="24"/>
        </w:rPr>
        <w:t>所有与合同有关的争议将通过各方友好协商解决。如果不能通过友好</w:t>
      </w:r>
      <w:r>
        <w:rPr>
          <w:rFonts w:hint="eastAsia" w:asciiTheme="minorEastAsia" w:hAnsiTheme="minorEastAsia" w:eastAsiaTheme="minorEastAsia" w:cstheme="minorEastAsia"/>
          <w:spacing w:val="-10"/>
          <w:sz w:val="24"/>
          <w:szCs w:val="24"/>
        </w:rPr>
        <w:t>协商解决争议，则该争议应提交北京仲裁委员会进行仲裁。仲裁应依据该委员会</w:t>
      </w:r>
      <w:r>
        <w:rPr>
          <w:rFonts w:hint="eastAsia" w:asciiTheme="minorEastAsia" w:hAnsiTheme="minorEastAsia" w:eastAsiaTheme="minorEastAsia" w:cstheme="minorEastAsia"/>
          <w:sz w:val="24"/>
          <w:szCs w:val="24"/>
        </w:rPr>
        <w:t xml:space="preserve">的仲裁规则和程序进行。 </w:t>
      </w:r>
    </w:p>
    <w:p>
      <w:pPr>
        <w:pStyle w:val="8"/>
        <w:pageBreakBefore w:val="0"/>
        <w:widowControl w:val="0"/>
        <w:kinsoku/>
        <w:wordWrap/>
        <w:overflowPunct/>
        <w:topLinePunct w:val="0"/>
        <w:bidi w:val="0"/>
        <w:snapToGrid/>
        <w:spacing w:before="0" w:line="360" w:lineRule="auto"/>
        <w:ind w:left="0" w:righ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（三）仲裁为终局，对双方均有约束力，仲裁费用由败诉方承担。 </w:t>
      </w:r>
    </w:p>
    <w:p>
      <w:pPr>
        <w:pStyle w:val="8"/>
        <w:pageBreakBefore w:val="0"/>
        <w:widowControl w:val="0"/>
        <w:kinsoku/>
        <w:wordWrap/>
        <w:overflowPunct/>
        <w:topLinePunct w:val="0"/>
        <w:bidi w:val="0"/>
        <w:snapToGrid/>
        <w:spacing w:before="0" w:line="360" w:lineRule="auto"/>
        <w:ind w:left="0" w:righ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（四）仲裁进行过程中，双方将继续执行仲裁部分以外的合同其他部分。 </w:t>
      </w:r>
    </w:p>
    <w:p>
      <w:pPr>
        <w:pageBreakBefore w:val="0"/>
        <w:widowControl w:val="0"/>
        <w:kinsoku/>
        <w:wordWrap/>
        <w:overflowPunct/>
        <w:topLinePunct w:val="0"/>
        <w:bidi w:val="0"/>
        <w:snapToGrid/>
        <w:spacing w:line="360" w:lineRule="auto"/>
        <w:ind w:left="0" w:righ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（五）本合同适用中华人民共和国相关法律。</w:t>
      </w:r>
    </w:p>
    <w:p>
      <w:pPr>
        <w:pStyle w:val="8"/>
        <w:pageBreakBefore w:val="0"/>
        <w:widowControl w:val="0"/>
        <w:kinsoku/>
        <w:wordWrap/>
        <w:overflowPunct/>
        <w:topLinePunct w:val="0"/>
        <w:bidi w:val="0"/>
        <w:snapToGrid/>
        <w:spacing w:before="0" w:line="360" w:lineRule="auto"/>
        <w:ind w:left="0" w:right="0"/>
        <w:textAlignment w:val="auto"/>
        <w:rPr>
          <w:rFonts w:hint="eastAsia" w:asciiTheme="minorEastAsia" w:hAnsiTheme="minorEastAsia" w:eastAsiaTheme="minorEastAsia" w:cstheme="minorEastAsia"/>
          <w:b/>
          <w:w w:val="99"/>
          <w:sz w:val="24"/>
          <w:szCs w:val="24"/>
        </w:rPr>
      </w:pPr>
      <w:r>
        <w:rPr>
          <w:rFonts w:hint="eastAsia" w:asciiTheme="minorEastAsia" w:hAnsiTheme="minorEastAsia" w:eastAsiaTheme="minorEastAsia" w:cstheme="minorEastAsia"/>
          <w:b/>
          <w:sz w:val="24"/>
          <w:szCs w:val="24"/>
        </w:rPr>
        <w:t>第九条 合同的生效、终止及其他</w:t>
      </w:r>
      <w:r>
        <w:rPr>
          <w:rFonts w:hint="eastAsia" w:asciiTheme="minorEastAsia" w:hAnsiTheme="minorEastAsia" w:eastAsiaTheme="minorEastAsia" w:cstheme="minorEastAsia"/>
          <w:b/>
          <w:w w:val="99"/>
          <w:sz w:val="24"/>
          <w:szCs w:val="24"/>
        </w:rPr>
        <w:t xml:space="preserve"> </w:t>
      </w:r>
    </w:p>
    <w:p>
      <w:pPr>
        <w:pStyle w:val="8"/>
        <w:pageBreakBefore w:val="0"/>
        <w:widowControl w:val="0"/>
        <w:kinsoku/>
        <w:wordWrap/>
        <w:overflowPunct/>
        <w:topLinePunct w:val="0"/>
        <w:bidi w:val="0"/>
        <w:snapToGrid/>
        <w:spacing w:before="0" w:line="360" w:lineRule="auto"/>
        <w:ind w:left="0" w:righ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（一）本合同由双方代表签字盖章后生效。 </w:t>
      </w:r>
    </w:p>
    <w:p>
      <w:pPr>
        <w:pStyle w:val="8"/>
        <w:pageBreakBefore w:val="0"/>
        <w:widowControl w:val="0"/>
        <w:kinsoku/>
        <w:wordWrap/>
        <w:overflowPunct/>
        <w:topLinePunct w:val="0"/>
        <w:bidi w:val="0"/>
        <w:snapToGrid/>
        <w:spacing w:before="0" w:line="360" w:lineRule="auto"/>
        <w:ind w:left="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w:t>
      </w:r>
      <w:r>
        <w:rPr>
          <w:rFonts w:hint="eastAsia" w:asciiTheme="minorEastAsia" w:hAnsiTheme="minorEastAsia" w:eastAsiaTheme="minorEastAsia" w:cstheme="minorEastAsia"/>
          <w:spacing w:val="-4"/>
          <w:sz w:val="24"/>
          <w:szCs w:val="24"/>
        </w:rPr>
        <w:t>合同双方同意所有附件是合同不可分割的一部分，与合同正文具有同</w:t>
      </w:r>
      <w:r>
        <w:rPr>
          <w:rFonts w:hint="eastAsia" w:asciiTheme="minorEastAsia" w:hAnsiTheme="minorEastAsia" w:eastAsiaTheme="minorEastAsia" w:cstheme="minorEastAsia"/>
          <w:sz w:val="24"/>
          <w:szCs w:val="24"/>
        </w:rPr>
        <w:t xml:space="preserve">等效力。若附件与合同正文有任何不一致，以合同正文为准。 </w:t>
      </w:r>
    </w:p>
    <w:p>
      <w:pPr>
        <w:pStyle w:val="8"/>
        <w:pageBreakBefore w:val="0"/>
        <w:widowControl w:val="0"/>
        <w:kinsoku/>
        <w:wordWrap/>
        <w:overflowPunct/>
        <w:topLinePunct w:val="0"/>
        <w:bidi w:val="0"/>
        <w:snapToGrid/>
        <w:spacing w:before="0" w:line="360" w:lineRule="auto"/>
        <w:ind w:left="0" w:righ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（三）本合同及其附件为中文文本，一式四份，甲乙双方各执两份。 </w:t>
      </w:r>
    </w:p>
    <w:p>
      <w:pPr>
        <w:pStyle w:val="8"/>
        <w:pageBreakBefore w:val="0"/>
        <w:widowControl w:val="0"/>
        <w:tabs>
          <w:tab w:val="left" w:pos="7980"/>
        </w:tabs>
        <w:kinsoku/>
        <w:wordWrap/>
        <w:overflowPunct/>
        <w:topLinePunct w:val="0"/>
        <w:bidi w:val="0"/>
        <w:snapToGrid/>
        <w:spacing w:before="0" w:line="360" w:lineRule="auto"/>
        <w:ind w:left="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w:t>
      </w:r>
      <w:r>
        <w:rPr>
          <w:rFonts w:hint="eastAsia" w:asciiTheme="minorEastAsia" w:hAnsiTheme="minorEastAsia" w:eastAsiaTheme="minorEastAsia" w:cstheme="minorEastAsia"/>
          <w:spacing w:val="-4"/>
          <w:sz w:val="24"/>
          <w:szCs w:val="24"/>
        </w:rPr>
        <w:t>对合同内容做出的任何修改和补充应为书面形式，由双方授权代表签</w:t>
      </w:r>
      <w:r>
        <w:rPr>
          <w:rFonts w:hint="eastAsia" w:asciiTheme="minorEastAsia" w:hAnsiTheme="minorEastAsia" w:eastAsiaTheme="minorEastAsia" w:cstheme="minorEastAsia"/>
          <w:sz w:val="24"/>
          <w:szCs w:val="24"/>
        </w:rPr>
        <w:t xml:space="preserve">字后成为合同不可分割的部分。 </w:t>
      </w:r>
    </w:p>
    <w:p>
      <w:pPr>
        <w:pStyle w:val="8"/>
        <w:pageBreakBefore w:val="0"/>
        <w:widowControl w:val="0"/>
        <w:kinsoku/>
        <w:wordWrap/>
        <w:overflowPunct/>
        <w:topLinePunct w:val="0"/>
        <w:bidi w:val="0"/>
        <w:snapToGrid/>
        <w:spacing w:before="0" w:line="360" w:lineRule="auto"/>
        <w:ind w:left="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w:t>
      </w:r>
      <w:r>
        <w:rPr>
          <w:rFonts w:hint="eastAsia" w:asciiTheme="minorEastAsia" w:hAnsiTheme="minorEastAsia" w:eastAsiaTheme="minorEastAsia" w:cstheme="minorEastAsia"/>
          <w:spacing w:val="-1"/>
          <w:sz w:val="24"/>
          <w:szCs w:val="24"/>
        </w:rPr>
        <w:t>任何与合同相关但未在合同中明确规定的事项将由双方友好协商并以</w:t>
      </w:r>
      <w:r>
        <w:rPr>
          <w:rFonts w:hint="eastAsia" w:asciiTheme="minorEastAsia" w:hAnsiTheme="minorEastAsia" w:eastAsiaTheme="minorEastAsia" w:cstheme="minorEastAsia"/>
          <w:sz w:val="24"/>
          <w:szCs w:val="24"/>
        </w:rPr>
        <w:t xml:space="preserve">补充协议予以解决。 </w:t>
      </w:r>
    </w:p>
    <w:p>
      <w:pPr>
        <w:pStyle w:val="8"/>
        <w:spacing w:before="2"/>
        <w:ind w:left="94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pPr>
        <w:pStyle w:val="8"/>
        <w:spacing w:before="161"/>
        <w:ind w:left="46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[以下无正文，供双方签字盖章] </w:t>
      </w:r>
    </w:p>
    <w:p>
      <w:pPr>
        <w:pStyle w:val="8"/>
        <w:spacing w:before="160"/>
        <w:ind w:left="46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pPr>
        <w:pStyle w:val="8"/>
        <w:spacing w:before="161"/>
        <w:ind w:left="46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甲方（公章</w:t>
      </w:r>
      <w:r>
        <w:rPr>
          <w:rFonts w:hint="eastAsia" w:asciiTheme="minorEastAsia" w:hAnsiTheme="minorEastAsia" w:eastAsiaTheme="minorEastAsia" w:cstheme="minorEastAsia"/>
          <w:spacing w:val="-120"/>
          <w:sz w:val="24"/>
          <w:szCs w:val="24"/>
        </w:rPr>
        <w:t>）</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pacing w:val="-1"/>
          <w:sz w:val="24"/>
          <w:szCs w:val="24"/>
        </w:rPr>
        <w:t xml:space="preserve">                             乙方</w:t>
      </w:r>
      <w:r>
        <w:rPr>
          <w:rFonts w:hint="eastAsia" w:asciiTheme="minorEastAsia" w:hAnsiTheme="minorEastAsia" w:eastAsiaTheme="minorEastAsia" w:cstheme="minorEastAsia"/>
          <w:sz w:val="24"/>
          <w:szCs w:val="24"/>
        </w:rPr>
        <w:t>（公章</w:t>
      </w:r>
      <w:r>
        <w:rPr>
          <w:rFonts w:hint="eastAsia" w:asciiTheme="minorEastAsia" w:hAnsiTheme="minorEastAsia" w:eastAsiaTheme="minorEastAsia" w:cstheme="minorEastAsia"/>
          <w:spacing w:val="-120"/>
          <w:sz w:val="24"/>
          <w:szCs w:val="24"/>
        </w:rPr>
        <w:t>）</w:t>
      </w:r>
      <w:r>
        <w:rPr>
          <w:rFonts w:hint="eastAsia" w:asciiTheme="minorEastAsia" w:hAnsiTheme="minorEastAsia" w:eastAsiaTheme="minorEastAsia" w:cstheme="minorEastAsia"/>
          <w:sz w:val="24"/>
          <w:szCs w:val="24"/>
        </w:rPr>
        <w:t xml:space="preserve">） </w:t>
      </w:r>
    </w:p>
    <w:p>
      <w:pPr>
        <w:pStyle w:val="8"/>
        <w:spacing w:before="160"/>
        <w:ind w:left="46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pPr>
        <w:pStyle w:val="8"/>
        <w:spacing w:before="160"/>
        <w:ind w:left="46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 定 代 表 人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法 定 代 表 人 ： </w:t>
      </w:r>
    </w:p>
    <w:p>
      <w:pPr>
        <w:pStyle w:val="8"/>
        <w:spacing w:before="161"/>
        <w:ind w:left="46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pPr>
        <w:pStyle w:val="8"/>
        <w:spacing w:before="161"/>
        <w:ind w:left="46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(或授权代表人)签字：</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(或授权代表)签字： </w:t>
      </w:r>
    </w:p>
    <w:p>
      <w:pPr>
        <w:pStyle w:val="8"/>
        <w:spacing w:before="161"/>
        <w:ind w:left="46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pPr>
        <w:pStyle w:val="8"/>
        <w:tabs>
          <w:tab w:val="left" w:pos="3820"/>
        </w:tabs>
        <w:spacing w:before="160"/>
        <w:ind w:left="460"/>
        <w:jc w:val="both"/>
        <w:outlineLvl w:val="9"/>
        <w:rPr>
          <w:rFonts w:hint="eastAsia" w:ascii="宋体" w:hAnsi="宋体" w:eastAsia="宋体" w:cs="宋体"/>
          <w:kern w:val="0"/>
          <w:sz w:val="24"/>
          <w:szCs w:val="24"/>
          <w:highlight w:val="none"/>
        </w:rPr>
      </w:pPr>
      <w:r>
        <w:rPr>
          <w:rFonts w:hint="eastAsia" w:asciiTheme="minorEastAsia" w:hAnsiTheme="minorEastAsia" w:eastAsiaTheme="minorEastAsia" w:cstheme="minorEastAsia"/>
          <w:sz w:val="24"/>
          <w:szCs w:val="24"/>
        </w:rPr>
        <w:t>日 期 ：</w:t>
      </w:r>
      <w:r>
        <w:rPr>
          <w:rFonts w:hint="eastAsia" w:asciiTheme="minorEastAsia" w:hAnsiTheme="minorEastAsia" w:eastAsiaTheme="minorEastAsia" w:cstheme="minorEastAsia"/>
          <w:sz w:val="24"/>
          <w:szCs w:val="24"/>
          <w:lang w:eastAsia="zh-CN"/>
        </w:rPr>
        <w:t>2022</w:t>
      </w:r>
      <w:r>
        <w:rPr>
          <w:rFonts w:hint="eastAsia" w:asciiTheme="minorEastAsia" w:hAnsiTheme="minorEastAsia" w:eastAsiaTheme="minorEastAsia" w:cstheme="minorEastAsia"/>
          <w:sz w:val="24"/>
          <w:szCs w:val="24"/>
        </w:rPr>
        <w:t xml:space="preserve"> 年</w:t>
      </w:r>
      <w:r>
        <w:rPr>
          <w:rFonts w:hint="eastAsia" w:asciiTheme="minorEastAsia" w:hAnsiTheme="minorEastAsia" w:eastAsiaTheme="minorEastAsia" w:cstheme="minorEastAsia"/>
          <w:spacing w:val="59"/>
          <w:sz w:val="24"/>
          <w:szCs w:val="24"/>
        </w:rPr>
        <w:t xml:space="preserve"> </w:t>
      </w:r>
      <w:r>
        <w:rPr>
          <w:rFonts w:hint="eastAsia" w:asciiTheme="minorEastAsia" w:hAnsiTheme="minorEastAsia" w:eastAsiaTheme="minorEastAsia" w:cstheme="minorEastAsia"/>
          <w:sz w:val="24"/>
          <w:szCs w:val="24"/>
        </w:rPr>
        <w:t>月    日</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日 期 ：</w:t>
      </w:r>
      <w:r>
        <w:rPr>
          <w:rFonts w:hint="eastAsia" w:asciiTheme="minorEastAsia" w:hAnsiTheme="minorEastAsia" w:eastAsiaTheme="minorEastAsia" w:cstheme="minorEastAsia"/>
          <w:sz w:val="24"/>
          <w:szCs w:val="24"/>
          <w:lang w:eastAsia="zh-CN"/>
        </w:rPr>
        <w:t>2022</w:t>
      </w:r>
      <w:r>
        <w:rPr>
          <w:rFonts w:hint="eastAsia" w:asciiTheme="minorEastAsia" w:hAnsiTheme="minorEastAsia" w:eastAsiaTheme="minorEastAsia" w:cstheme="minorEastAsia"/>
          <w:sz w:val="24"/>
          <w:szCs w:val="24"/>
        </w:rPr>
        <w:t xml:space="preserve"> 年 月</w:t>
      </w:r>
      <w:r>
        <w:rPr>
          <w:rFonts w:hint="eastAsia" w:asciiTheme="minorEastAsia" w:hAnsiTheme="minorEastAsia" w:eastAsiaTheme="minorEastAsia" w:cstheme="minorEastAsia"/>
          <w:spacing w:val="60"/>
          <w:sz w:val="24"/>
          <w:szCs w:val="24"/>
        </w:rPr>
        <w:t xml:space="preserve"> </w:t>
      </w:r>
      <w:r>
        <w:rPr>
          <w:rFonts w:hint="eastAsia" w:asciiTheme="minorEastAsia" w:hAnsiTheme="minorEastAsia" w:eastAsiaTheme="minorEastAsia" w:cstheme="minorEastAsia"/>
          <w:sz w:val="24"/>
          <w:szCs w:val="24"/>
        </w:rPr>
        <w:t>日</w:t>
      </w:r>
      <w:r>
        <w:rPr>
          <w:rFonts w:hint="eastAsia" w:ascii="宋体" w:hAnsi="宋体" w:eastAsia="宋体" w:cs="宋体"/>
          <w:kern w:val="0"/>
          <w:sz w:val="24"/>
          <w:szCs w:val="24"/>
          <w:highlight w:val="none"/>
        </w:rPr>
        <w:br w:type="page"/>
      </w:r>
      <w:bookmarkStart w:id="74" w:name="_Toc8733"/>
    </w:p>
    <w:p>
      <w:pPr>
        <w:pStyle w:val="8"/>
        <w:tabs>
          <w:tab w:val="left" w:pos="3820"/>
        </w:tabs>
        <w:spacing w:before="160"/>
        <w:ind w:left="460"/>
        <w:jc w:val="center"/>
        <w:outlineLvl w:val="0"/>
        <w:rPr>
          <w:rFonts w:hint="eastAsia" w:ascii="宋体" w:hAnsi="宋体" w:eastAsia="宋体" w:cs="宋体"/>
          <w:highlight w:val="none"/>
        </w:rPr>
      </w:pPr>
      <w:r>
        <w:rPr>
          <w:rFonts w:hint="eastAsia" w:ascii="宋体" w:hAnsi="宋体" w:eastAsia="宋体" w:cs="宋体"/>
          <w:b/>
          <w:bCs/>
          <w:w w:val="95"/>
          <w:sz w:val="32"/>
          <w:szCs w:val="32"/>
          <w:highlight w:val="none"/>
        </w:rPr>
        <w:t>第六章</w:t>
      </w:r>
      <w:r>
        <w:rPr>
          <w:rFonts w:hint="eastAsia" w:ascii="宋体" w:hAnsi="宋体" w:eastAsia="宋体" w:cs="宋体"/>
          <w:b/>
          <w:bCs/>
          <w:w w:val="95"/>
          <w:sz w:val="32"/>
          <w:szCs w:val="32"/>
          <w:highlight w:val="none"/>
          <w:lang w:val="en-US" w:eastAsia="zh-CN"/>
        </w:rPr>
        <w:t xml:space="preserve"> </w:t>
      </w:r>
      <w:r>
        <w:rPr>
          <w:rFonts w:hint="eastAsia" w:ascii="宋体" w:hAnsi="宋体" w:eastAsia="宋体" w:cs="宋体"/>
          <w:b/>
          <w:bCs/>
          <w:sz w:val="32"/>
          <w:szCs w:val="32"/>
          <w:highlight w:val="none"/>
        </w:rPr>
        <w:t>磋商响应性文件格式</w:t>
      </w:r>
      <w:bookmarkEnd w:id="74"/>
    </w:p>
    <w:p>
      <w:pPr>
        <w:rPr>
          <w:rFonts w:hint="eastAsia" w:ascii="宋体" w:hAnsi="宋体" w:eastAsia="宋体" w:cs="宋体"/>
          <w:highlight w:val="none"/>
        </w:rPr>
      </w:pPr>
    </w:p>
    <w:p>
      <w:pPr>
        <w:widowControl/>
        <w:spacing w:line="460" w:lineRule="exact"/>
        <w:jc w:val="right"/>
        <w:rPr>
          <w:rFonts w:hint="eastAsia" w:ascii="宋体" w:hAnsi="宋体" w:cs="宋体"/>
          <w:sz w:val="36"/>
          <w:szCs w:val="36"/>
          <w:highlight w:val="none"/>
        </w:rPr>
      </w:pPr>
      <w:r>
        <w:rPr>
          <w:rFonts w:hint="eastAsia" w:ascii="宋体" w:hAnsi="宋体" w:cs="宋体"/>
          <w:sz w:val="36"/>
          <w:szCs w:val="36"/>
          <w:highlight w:val="none"/>
        </w:rPr>
        <w:t xml:space="preserve"> 正/副本 </w:t>
      </w:r>
    </w:p>
    <w:p>
      <w:pPr>
        <w:widowControl/>
        <w:spacing w:line="460" w:lineRule="exact"/>
        <w:jc w:val="center"/>
        <w:rPr>
          <w:rFonts w:hint="eastAsia" w:ascii="宋体" w:hAnsi="宋体" w:cs="宋体"/>
          <w:sz w:val="36"/>
          <w:szCs w:val="36"/>
          <w:highlight w:val="none"/>
        </w:rPr>
      </w:pPr>
    </w:p>
    <w:p>
      <w:pPr>
        <w:widowControl/>
        <w:spacing w:line="460" w:lineRule="exact"/>
        <w:jc w:val="center"/>
        <w:rPr>
          <w:rFonts w:hint="eastAsia" w:ascii="宋体" w:hAnsi="宋体" w:cs="宋体"/>
          <w:sz w:val="36"/>
          <w:szCs w:val="36"/>
          <w:highlight w:val="none"/>
        </w:rPr>
      </w:pPr>
    </w:p>
    <w:p>
      <w:pPr>
        <w:widowControl/>
        <w:spacing w:line="460" w:lineRule="exact"/>
        <w:jc w:val="center"/>
        <w:rPr>
          <w:rFonts w:hint="eastAsia" w:ascii="宋体" w:hAnsi="宋体" w:cs="宋体"/>
          <w:sz w:val="36"/>
          <w:szCs w:val="36"/>
          <w:highlight w:val="none"/>
        </w:rPr>
      </w:pPr>
    </w:p>
    <w:p>
      <w:pPr>
        <w:widowControl/>
        <w:spacing w:line="460" w:lineRule="exact"/>
        <w:jc w:val="center"/>
        <w:rPr>
          <w:rFonts w:hint="eastAsia" w:ascii="宋体" w:hAnsi="宋体" w:cs="宋体"/>
          <w:sz w:val="36"/>
          <w:szCs w:val="36"/>
          <w:highlight w:val="none"/>
        </w:rPr>
      </w:pPr>
    </w:p>
    <w:p>
      <w:pPr>
        <w:widowControl/>
        <w:spacing w:line="460" w:lineRule="exact"/>
        <w:jc w:val="center"/>
        <w:rPr>
          <w:rFonts w:hint="eastAsia" w:ascii="宋体" w:hAnsi="宋体" w:cs="宋体"/>
          <w:sz w:val="36"/>
          <w:szCs w:val="36"/>
          <w:highlight w:val="none"/>
        </w:rPr>
      </w:pPr>
    </w:p>
    <w:p>
      <w:pPr>
        <w:widowControl/>
        <w:spacing w:line="460" w:lineRule="exact"/>
        <w:jc w:val="center"/>
        <w:rPr>
          <w:rFonts w:hint="eastAsia" w:ascii="宋体" w:hAnsi="宋体" w:cs="宋体"/>
          <w:sz w:val="36"/>
          <w:szCs w:val="36"/>
          <w:highlight w:val="none"/>
        </w:rPr>
      </w:pPr>
    </w:p>
    <w:p>
      <w:pPr>
        <w:widowControl/>
        <w:spacing w:line="480" w:lineRule="auto"/>
        <w:jc w:val="center"/>
        <w:rPr>
          <w:rFonts w:hint="eastAsia" w:ascii="宋体" w:hAnsi="宋体" w:cs="宋体"/>
          <w:b/>
          <w:sz w:val="84"/>
          <w:szCs w:val="84"/>
          <w:highlight w:val="none"/>
        </w:rPr>
      </w:pPr>
      <w:r>
        <w:rPr>
          <w:rFonts w:hint="eastAsia" w:ascii="宋体" w:hAnsi="宋体" w:eastAsia="宋体" w:cs="宋体"/>
          <w:b/>
          <w:bCs/>
          <w:spacing w:val="2"/>
          <w:sz w:val="96"/>
          <w:szCs w:val="96"/>
          <w:highlight w:val="none"/>
        </w:rPr>
        <w:t>磋商响应性文件</w:t>
      </w:r>
    </w:p>
    <w:p>
      <w:pPr>
        <w:widowControl/>
        <w:spacing w:line="460" w:lineRule="exact"/>
        <w:jc w:val="center"/>
        <w:rPr>
          <w:rFonts w:hint="eastAsia" w:ascii="宋体" w:hAnsi="宋体" w:cs="宋体"/>
          <w:sz w:val="36"/>
          <w:szCs w:val="36"/>
          <w:highlight w:val="none"/>
        </w:rPr>
      </w:pPr>
    </w:p>
    <w:p>
      <w:pPr>
        <w:pStyle w:val="23"/>
        <w:spacing w:line="460" w:lineRule="exact"/>
        <w:rPr>
          <w:rFonts w:hint="eastAsia"/>
          <w:highlight w:val="none"/>
        </w:rPr>
      </w:pPr>
    </w:p>
    <w:p>
      <w:pPr>
        <w:widowControl/>
        <w:spacing w:line="460" w:lineRule="exact"/>
        <w:ind w:firstLine="1792" w:firstLineChars="850"/>
        <w:rPr>
          <w:rFonts w:hint="eastAsia" w:ascii="宋体" w:hAnsi="宋体" w:cs="宋体"/>
          <w:b/>
          <w:szCs w:val="30"/>
          <w:highlight w:val="none"/>
        </w:rPr>
      </w:pPr>
    </w:p>
    <w:p>
      <w:pPr>
        <w:widowControl/>
        <w:spacing w:line="460" w:lineRule="exact"/>
        <w:rPr>
          <w:rFonts w:hint="eastAsia" w:ascii="宋体" w:hAnsi="宋体" w:cs="宋体"/>
          <w:b/>
          <w:szCs w:val="30"/>
          <w:highlight w:val="none"/>
        </w:rPr>
      </w:pPr>
      <w:r>
        <w:rPr>
          <w:rFonts w:hint="eastAsia" w:ascii="宋体" w:hAnsi="宋体" w:cs="宋体"/>
          <w:b/>
          <w:sz w:val="30"/>
          <w:szCs w:val="30"/>
          <w:highlight w:val="none"/>
          <w:lang w:bidi="ar"/>
        </w:rPr>
        <w:t xml:space="preserve">    项目名称：</w:t>
      </w:r>
    </w:p>
    <w:p>
      <w:pPr>
        <w:widowControl/>
        <w:spacing w:line="460" w:lineRule="exact"/>
        <w:ind w:firstLine="600"/>
        <w:rPr>
          <w:rFonts w:hint="eastAsia" w:ascii="宋体" w:hAnsi="宋体" w:cs="宋体"/>
          <w:b/>
          <w:sz w:val="30"/>
          <w:szCs w:val="30"/>
          <w:highlight w:val="none"/>
          <w:lang w:bidi="ar"/>
        </w:rPr>
      </w:pPr>
      <w:r>
        <w:rPr>
          <w:rFonts w:hint="eastAsia" w:ascii="宋体" w:hAnsi="宋体" w:cs="宋体"/>
          <w:b/>
          <w:sz w:val="30"/>
          <w:szCs w:val="30"/>
          <w:highlight w:val="none"/>
          <w:lang w:bidi="ar"/>
        </w:rPr>
        <w:t>项目编号：</w:t>
      </w:r>
    </w:p>
    <w:p>
      <w:pPr>
        <w:widowControl/>
        <w:spacing w:line="460" w:lineRule="exact"/>
        <w:ind w:firstLine="600"/>
        <w:rPr>
          <w:rFonts w:hint="eastAsia" w:ascii="宋体" w:hAnsi="宋体" w:cs="宋体"/>
          <w:b/>
          <w:sz w:val="30"/>
          <w:szCs w:val="30"/>
          <w:highlight w:val="none"/>
          <w:lang w:bidi="ar"/>
        </w:rPr>
      </w:pPr>
    </w:p>
    <w:p>
      <w:pPr>
        <w:widowControl/>
        <w:spacing w:line="460" w:lineRule="exact"/>
        <w:jc w:val="center"/>
        <w:rPr>
          <w:rFonts w:hint="eastAsia" w:ascii="宋体" w:hAnsi="宋体" w:cs="宋体"/>
          <w:sz w:val="36"/>
          <w:szCs w:val="36"/>
          <w:highlight w:val="none"/>
        </w:rPr>
      </w:pPr>
    </w:p>
    <w:p>
      <w:pPr>
        <w:pStyle w:val="23"/>
        <w:spacing w:line="460" w:lineRule="exact"/>
        <w:rPr>
          <w:rFonts w:hint="eastAsia"/>
          <w:highlight w:val="none"/>
        </w:rPr>
      </w:pPr>
    </w:p>
    <w:p>
      <w:pPr>
        <w:widowControl/>
        <w:spacing w:line="460" w:lineRule="exact"/>
        <w:ind w:firstLine="562" w:firstLineChars="200"/>
        <w:rPr>
          <w:rFonts w:hint="eastAsia" w:ascii="宋体" w:hAnsi="宋体" w:cs="宋体"/>
          <w:b/>
          <w:sz w:val="28"/>
          <w:szCs w:val="28"/>
          <w:highlight w:val="none"/>
          <w:lang w:bidi="ar"/>
        </w:rPr>
      </w:pPr>
      <w:r>
        <w:rPr>
          <w:rFonts w:hint="eastAsia" w:ascii="宋体" w:hAnsi="宋体" w:cs="宋体"/>
          <w:b/>
          <w:sz w:val="28"/>
          <w:szCs w:val="28"/>
          <w:highlight w:val="none"/>
          <w:lang w:bidi="ar"/>
        </w:rPr>
        <w:t>供应商（加盖公章）：</w:t>
      </w:r>
    </w:p>
    <w:p>
      <w:pPr>
        <w:widowControl/>
        <w:spacing w:line="460" w:lineRule="exact"/>
        <w:ind w:firstLine="562" w:firstLineChars="200"/>
        <w:rPr>
          <w:rFonts w:hint="eastAsia" w:ascii="宋体" w:hAnsi="宋体" w:cs="宋体"/>
          <w:b/>
          <w:sz w:val="28"/>
          <w:szCs w:val="28"/>
          <w:highlight w:val="none"/>
        </w:rPr>
      </w:pPr>
      <w:r>
        <w:rPr>
          <w:rFonts w:hint="eastAsia" w:ascii="宋体" w:hAnsi="宋体" w:eastAsia="宋体" w:cs="宋体"/>
          <w:b/>
          <w:sz w:val="28"/>
          <w:szCs w:val="28"/>
          <w:highlight w:val="none"/>
          <w:lang w:bidi="ar"/>
        </w:rPr>
        <w:t>法定代表人（或授权委托人）：</w:t>
      </w:r>
      <w:r>
        <w:rPr>
          <w:rFonts w:hint="eastAsia" w:ascii="宋体" w:hAnsi="宋体" w:eastAsia="宋体" w:cs="宋体"/>
          <w:spacing w:val="-1"/>
          <w:sz w:val="30"/>
          <w:szCs w:val="30"/>
          <w:highlight w:val="none"/>
          <w:u w:val="single"/>
        </w:rPr>
        <w:tab/>
      </w:r>
      <w:r>
        <w:rPr>
          <w:rFonts w:hint="eastAsia" w:ascii="宋体" w:hAnsi="宋体" w:eastAsia="宋体" w:cs="宋体"/>
          <w:sz w:val="30"/>
          <w:szCs w:val="30"/>
          <w:highlight w:val="none"/>
          <w:u w:val="single"/>
        </w:rPr>
        <w:t>（签字）</w:t>
      </w:r>
      <w:r>
        <w:rPr>
          <w:rFonts w:hint="eastAsia" w:ascii="宋体" w:hAnsi="宋体" w:cs="宋体"/>
          <w:b/>
          <w:sz w:val="28"/>
          <w:szCs w:val="28"/>
          <w:highlight w:val="none"/>
          <w:lang w:bidi="ar"/>
        </w:rPr>
        <w:t xml:space="preserve">                 </w:t>
      </w:r>
    </w:p>
    <w:p>
      <w:pPr>
        <w:widowControl/>
        <w:spacing w:line="460" w:lineRule="exact"/>
        <w:ind w:firstLine="422" w:firstLineChars="150"/>
        <w:rPr>
          <w:rFonts w:hint="eastAsia" w:ascii="宋体" w:hAnsi="宋体" w:cs="宋体"/>
          <w:b/>
          <w:sz w:val="28"/>
          <w:szCs w:val="28"/>
          <w:highlight w:val="none"/>
        </w:rPr>
      </w:pPr>
      <w:r>
        <w:rPr>
          <w:rFonts w:hint="eastAsia" w:ascii="宋体" w:hAnsi="宋体" w:cs="宋体"/>
          <w:b/>
          <w:sz w:val="28"/>
          <w:szCs w:val="28"/>
          <w:highlight w:val="none"/>
          <w:lang w:bidi="ar"/>
        </w:rPr>
        <w:t xml:space="preserve"> 电    话：</w:t>
      </w:r>
    </w:p>
    <w:p>
      <w:pPr>
        <w:widowControl/>
        <w:spacing w:line="460" w:lineRule="exact"/>
        <w:ind w:firstLine="422" w:firstLineChars="150"/>
        <w:rPr>
          <w:rFonts w:hint="eastAsia" w:ascii="宋体" w:hAnsi="宋体" w:cs="宋体"/>
          <w:b/>
          <w:sz w:val="28"/>
          <w:szCs w:val="28"/>
          <w:highlight w:val="none"/>
        </w:rPr>
      </w:pPr>
      <w:r>
        <w:rPr>
          <w:rFonts w:hint="eastAsia" w:ascii="宋体" w:hAnsi="宋体" w:cs="宋体"/>
          <w:b/>
          <w:sz w:val="28"/>
          <w:szCs w:val="28"/>
          <w:highlight w:val="none"/>
          <w:lang w:bidi="ar"/>
        </w:rPr>
        <w:t xml:space="preserve"> 日</w:t>
      </w:r>
      <w:r>
        <w:rPr>
          <w:rFonts w:hint="eastAsia" w:ascii="宋体" w:hAnsi="宋体" w:cs="宋体"/>
          <w:b/>
          <w:sz w:val="28"/>
          <w:szCs w:val="28"/>
          <w:highlight w:val="none"/>
          <w:lang w:val="en-US" w:eastAsia="zh-CN" w:bidi="ar"/>
        </w:rPr>
        <w:t xml:space="preserve">    </w:t>
      </w:r>
      <w:r>
        <w:rPr>
          <w:rFonts w:hint="eastAsia" w:ascii="宋体" w:hAnsi="宋体" w:cs="宋体"/>
          <w:b/>
          <w:sz w:val="28"/>
          <w:szCs w:val="28"/>
          <w:highlight w:val="none"/>
          <w:lang w:bidi="ar"/>
        </w:rPr>
        <w:t>期：</w:t>
      </w:r>
    </w:p>
    <w:p>
      <w:pPr>
        <w:pStyle w:val="8"/>
        <w:kinsoku w:val="0"/>
        <w:overflowPunct w:val="0"/>
        <w:spacing w:before="4"/>
        <w:ind w:left="0"/>
        <w:jc w:val="center"/>
        <w:rPr>
          <w:rFonts w:hint="eastAsia" w:ascii="宋体" w:hAnsi="宋体" w:eastAsia="宋体" w:cs="宋体"/>
          <w:b/>
          <w:sz w:val="36"/>
          <w:szCs w:val="36"/>
          <w:highlight w:val="none"/>
        </w:rPr>
      </w:pPr>
    </w:p>
    <w:p>
      <w:pPr>
        <w:rPr>
          <w:rFonts w:hint="eastAsia"/>
          <w:highlight w:val="none"/>
        </w:rPr>
      </w:pPr>
    </w:p>
    <w:p>
      <w:pPr>
        <w:rPr>
          <w:rFonts w:hint="eastAsia" w:ascii="宋体" w:hAnsi="宋体" w:eastAsia="宋体" w:cs="宋体"/>
          <w:highlight w:val="none"/>
        </w:rPr>
      </w:pPr>
    </w:p>
    <w:p>
      <w:pPr>
        <w:pStyle w:val="8"/>
        <w:kinsoku w:val="0"/>
        <w:overflowPunct w:val="0"/>
        <w:spacing w:before="130" w:line="355" w:lineRule="auto"/>
        <w:ind w:right="7" w:firstLine="480"/>
        <w:jc w:val="center"/>
        <w:rPr>
          <w:rFonts w:hint="eastAsia" w:ascii="宋体" w:hAnsi="宋体" w:eastAsia="宋体" w:cs="宋体"/>
          <w:b/>
          <w:spacing w:val="4"/>
          <w:highlight w:val="none"/>
        </w:rPr>
      </w:pPr>
      <w:r>
        <w:rPr>
          <w:rFonts w:hint="eastAsia" w:ascii="宋体" w:hAnsi="宋体" w:eastAsia="宋体" w:cs="宋体"/>
          <w:highlight w:val="none"/>
        </w:rPr>
        <w:br w:type="page"/>
      </w:r>
      <w:r>
        <w:rPr>
          <w:rFonts w:hint="eastAsia" w:ascii="宋体" w:hAnsi="宋体" w:eastAsia="宋体" w:cs="宋体"/>
          <w:b/>
          <w:spacing w:val="4"/>
          <w:highlight w:val="none"/>
        </w:rPr>
        <w:t>目录</w:t>
      </w:r>
    </w:p>
    <w:p>
      <w:pPr>
        <w:pStyle w:val="8"/>
        <w:spacing w:before="0"/>
        <w:ind w:left="0" w:firstLine="482" w:firstLineChars="200"/>
        <w:rPr>
          <w:rFonts w:hint="eastAsia" w:ascii="宋体" w:hAnsi="宋体" w:eastAsia="宋体" w:cs="宋体"/>
          <w:b/>
          <w:highlight w:val="none"/>
        </w:rPr>
      </w:pPr>
      <w:r>
        <w:rPr>
          <w:rFonts w:hint="eastAsia" w:ascii="宋体" w:hAnsi="宋体" w:eastAsia="宋体" w:cs="宋体"/>
          <w:b/>
          <w:highlight w:val="none"/>
        </w:rPr>
        <w:t>一、商务部分</w:t>
      </w:r>
    </w:p>
    <w:p>
      <w:pPr>
        <w:pStyle w:val="8"/>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(1)投标函；</w:t>
      </w:r>
    </w:p>
    <w:p>
      <w:pPr>
        <w:pStyle w:val="8"/>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 xml:space="preserve">(2)法定代表人身份证明（附法定代表人身份证复印件）； </w:t>
      </w:r>
    </w:p>
    <w:p>
      <w:pPr>
        <w:pStyle w:val="8"/>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 xml:space="preserve">(3)委托授权书（附被授权人身份证复印件）； </w:t>
      </w:r>
    </w:p>
    <w:p>
      <w:pPr>
        <w:pStyle w:val="8"/>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 xml:space="preserve">(4)投标保证金缴纳凭证（复印件加盖公章）； </w:t>
      </w:r>
    </w:p>
    <w:p>
      <w:pPr>
        <w:pStyle w:val="8"/>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(5</w:t>
      </w:r>
      <w:r>
        <w:rPr>
          <w:rFonts w:hint="eastAsia" w:ascii="宋体" w:hAnsi="宋体" w:eastAsia="宋体" w:cs="宋体"/>
          <w:highlight w:val="none"/>
          <w:lang w:val="en-US" w:eastAsia="zh-CN"/>
        </w:rPr>
        <w:t xml:space="preserve"> </w:t>
      </w:r>
      <w:r>
        <w:rPr>
          <w:rFonts w:hint="eastAsia" w:ascii="宋体" w:hAnsi="宋体" w:eastAsia="宋体" w:cs="宋体"/>
          <w:highlight w:val="none"/>
        </w:rPr>
        <w:t>报价一览表；</w:t>
      </w:r>
    </w:p>
    <w:p>
      <w:pPr>
        <w:pStyle w:val="8"/>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 xml:space="preserve">(6)投标报价汇总表； </w:t>
      </w:r>
    </w:p>
    <w:p>
      <w:pPr>
        <w:pStyle w:val="8"/>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(7)供应商基本情况；</w:t>
      </w:r>
    </w:p>
    <w:p>
      <w:pPr>
        <w:pStyle w:val="8"/>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1）供应商基本情况表；</w:t>
      </w:r>
    </w:p>
    <w:p>
      <w:pPr>
        <w:pStyle w:val="8"/>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2）营业执照副本、税务登记证、组织机构代码证、（三证合一的提供统一社会信用代码的营业执照）；</w:t>
      </w:r>
    </w:p>
    <w:p>
      <w:pPr>
        <w:pStyle w:val="8"/>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3）近一年财务状况报告相关材料（复印件加盖公章）；</w:t>
      </w:r>
    </w:p>
    <w:p>
      <w:pPr>
        <w:pStyle w:val="8"/>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4）税收缴纳证明（复印件加盖公章）</w:t>
      </w:r>
    </w:p>
    <w:p>
      <w:pPr>
        <w:pStyle w:val="8"/>
        <w:spacing w:before="0"/>
        <w:ind w:left="0"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5</w:t>
      </w:r>
      <w:r>
        <w:rPr>
          <w:rFonts w:hint="eastAsia" w:ascii="宋体" w:hAnsi="宋体" w:eastAsia="宋体" w:cs="宋体"/>
          <w:highlight w:val="none"/>
        </w:rPr>
        <w:t>）单位社会保障缴费证明（复印件加盖公章）</w:t>
      </w:r>
    </w:p>
    <w:p>
      <w:pPr>
        <w:pStyle w:val="8"/>
        <w:spacing w:before="0"/>
        <w:ind w:left="0"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6</w:t>
      </w:r>
      <w:r>
        <w:rPr>
          <w:rFonts w:hint="eastAsia" w:ascii="宋体" w:hAnsi="宋体" w:eastAsia="宋体" w:cs="宋体"/>
          <w:highlight w:val="none"/>
        </w:rPr>
        <w:t>）</w:t>
      </w:r>
      <w:r>
        <w:rPr>
          <w:rFonts w:hint="eastAsia" w:ascii="宋体" w:hAnsi="宋体" w:eastAsia="宋体" w:cs="宋体"/>
          <w:highlight w:val="none"/>
          <w:lang w:eastAsia="zh-CN"/>
        </w:rPr>
        <w:t>资质证书证明材料</w:t>
      </w:r>
      <w:r>
        <w:rPr>
          <w:rFonts w:hint="eastAsia" w:ascii="宋体" w:hAnsi="宋体" w:eastAsia="宋体" w:cs="宋体"/>
          <w:highlight w:val="none"/>
        </w:rPr>
        <w:t>（复印件加盖公章）</w:t>
      </w:r>
    </w:p>
    <w:p>
      <w:pPr>
        <w:pStyle w:val="8"/>
        <w:spacing w:before="0"/>
        <w:ind w:left="0"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7</w:t>
      </w:r>
      <w:r>
        <w:rPr>
          <w:rFonts w:hint="eastAsia" w:ascii="宋体" w:hAnsi="宋体" w:eastAsia="宋体" w:cs="宋体"/>
          <w:highlight w:val="none"/>
        </w:rPr>
        <w:t>）其他证明材料（复印件加盖公章）</w:t>
      </w:r>
    </w:p>
    <w:p>
      <w:pPr>
        <w:pStyle w:val="8"/>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 xml:space="preserve">(8)一般商务条款偏离表； </w:t>
      </w:r>
    </w:p>
    <w:p>
      <w:pPr>
        <w:pStyle w:val="8"/>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 xml:space="preserve">(9)同类项目业绩介绍； </w:t>
      </w:r>
    </w:p>
    <w:p>
      <w:pPr>
        <w:pStyle w:val="8"/>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(10)中小企业声明函（符合本声明函填写）；</w:t>
      </w:r>
    </w:p>
    <w:p>
      <w:pPr>
        <w:pStyle w:val="8"/>
        <w:spacing w:before="0"/>
        <w:ind w:left="0" w:firstLine="480" w:firstLineChars="200"/>
        <w:rPr>
          <w:rFonts w:hint="eastAsia" w:ascii="宋体" w:hAnsi="宋体" w:eastAsia="宋体" w:cs="宋体"/>
          <w:color w:val="FF0000"/>
          <w:highlight w:val="none"/>
        </w:rPr>
      </w:pPr>
      <w:r>
        <w:rPr>
          <w:rFonts w:hint="eastAsia" w:ascii="宋体" w:hAnsi="宋体" w:eastAsia="宋体" w:cs="宋体"/>
          <w:highlight w:val="none"/>
        </w:rPr>
        <w:t>(11)残疾人福利性单位声明函（符合本声明函填写） ；</w:t>
      </w:r>
    </w:p>
    <w:p>
      <w:pPr>
        <w:pStyle w:val="8"/>
        <w:spacing w:before="0"/>
        <w:ind w:leftChars="56" w:firstLine="240" w:firstLineChars="100"/>
        <w:rPr>
          <w:rFonts w:hint="eastAsia" w:ascii="宋体" w:hAnsi="宋体" w:eastAsia="宋体" w:cs="宋体"/>
          <w:highlight w:val="none"/>
        </w:rPr>
      </w:pPr>
      <w:r>
        <w:rPr>
          <w:rFonts w:hint="eastAsia" w:ascii="宋体" w:hAnsi="宋体" w:eastAsia="宋体" w:cs="宋体"/>
          <w:highlight w:val="none"/>
        </w:rPr>
        <w:t xml:space="preserve"> (12)缴纳招标代理服务费承诺书；</w:t>
      </w:r>
    </w:p>
    <w:p>
      <w:pPr>
        <w:pStyle w:val="8"/>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(13)退还保证金说明函；</w:t>
      </w:r>
    </w:p>
    <w:p>
      <w:pPr>
        <w:pStyle w:val="8"/>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(14)其他商务资格证明资料（格式自定）。</w:t>
      </w:r>
    </w:p>
    <w:p>
      <w:pPr>
        <w:pStyle w:val="8"/>
        <w:spacing w:before="0"/>
        <w:ind w:left="0" w:firstLine="482" w:firstLineChars="200"/>
        <w:rPr>
          <w:rFonts w:hint="eastAsia" w:ascii="宋体" w:hAnsi="宋体" w:eastAsia="宋体" w:cs="宋体"/>
          <w:b/>
          <w:highlight w:val="none"/>
        </w:rPr>
      </w:pPr>
      <w:r>
        <w:rPr>
          <w:rFonts w:hint="eastAsia" w:ascii="宋体" w:hAnsi="宋体" w:eastAsia="宋体" w:cs="宋体"/>
          <w:b/>
          <w:highlight w:val="none"/>
        </w:rPr>
        <w:t>二、技术部分</w:t>
      </w:r>
    </w:p>
    <w:p>
      <w:pPr>
        <w:pStyle w:val="8"/>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(15)项目实施方案；</w:t>
      </w:r>
    </w:p>
    <w:p>
      <w:pPr>
        <w:pStyle w:val="8"/>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(16)供应商认为需要提交的技术资料；</w:t>
      </w:r>
    </w:p>
    <w:p>
      <w:pPr>
        <w:pStyle w:val="8"/>
        <w:spacing w:before="0"/>
        <w:ind w:left="0" w:firstLine="480" w:firstLineChars="200"/>
        <w:rPr>
          <w:rFonts w:hint="eastAsia" w:ascii="宋体" w:hAnsi="宋体" w:eastAsia="宋体" w:cs="宋体"/>
          <w:highlight w:val="none"/>
        </w:rPr>
      </w:pPr>
    </w:p>
    <w:p>
      <w:pPr>
        <w:pStyle w:val="8"/>
        <w:spacing w:before="0"/>
        <w:ind w:left="0" w:firstLine="480" w:firstLineChars="200"/>
        <w:rPr>
          <w:rFonts w:hint="eastAsia" w:ascii="宋体" w:hAnsi="宋体" w:eastAsia="宋体" w:cs="宋体"/>
          <w:highlight w:val="none"/>
        </w:rPr>
      </w:pPr>
    </w:p>
    <w:p>
      <w:pPr>
        <w:pStyle w:val="8"/>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注：1.请投标供应商按照以下文件的要求格式、内容，顺序制作投标文件，并请编制目录及页码，否则可能将影响对投标文件的评价。</w:t>
      </w:r>
    </w:p>
    <w:p>
      <w:pPr>
        <w:pStyle w:val="8"/>
        <w:spacing w:before="0"/>
        <w:ind w:left="0" w:firstLine="960" w:firstLineChars="400"/>
        <w:rPr>
          <w:rFonts w:hint="eastAsia" w:ascii="宋体" w:hAnsi="宋体" w:eastAsia="宋体" w:cs="宋体"/>
          <w:highlight w:val="none"/>
        </w:rPr>
      </w:pPr>
      <w:r>
        <w:rPr>
          <w:rFonts w:hint="eastAsia" w:ascii="宋体" w:hAnsi="宋体" w:eastAsia="宋体" w:cs="宋体"/>
          <w:highlight w:val="none"/>
        </w:rPr>
        <w:t>2.按以下顺序装订：</w:t>
      </w:r>
    </w:p>
    <w:p>
      <w:pPr>
        <w:pStyle w:val="8"/>
        <w:spacing w:before="0"/>
        <w:ind w:left="0" w:firstLine="960" w:firstLineChars="400"/>
        <w:rPr>
          <w:rFonts w:hint="eastAsia" w:ascii="宋体" w:hAnsi="宋体" w:eastAsia="宋体" w:cs="宋体"/>
          <w:highlight w:val="none"/>
        </w:rPr>
      </w:pPr>
      <w:r>
        <w:rPr>
          <w:rFonts w:hint="eastAsia" w:ascii="宋体" w:hAnsi="宋体" w:eastAsia="宋体" w:cs="宋体"/>
          <w:highlight w:val="none"/>
        </w:rPr>
        <w:t xml:space="preserve">2.1 </w:t>
      </w:r>
      <w:r>
        <w:rPr>
          <w:rFonts w:hint="eastAsia" w:ascii="宋体" w:hAnsi="宋体" w:eastAsia="宋体" w:cs="宋体"/>
          <w:highlight w:val="none"/>
          <w:lang w:eastAsia="zh-CN"/>
        </w:rPr>
        <w:t>报价</w:t>
      </w:r>
      <w:r>
        <w:rPr>
          <w:rFonts w:hint="eastAsia" w:ascii="宋体" w:hAnsi="宋体" w:eastAsia="宋体" w:cs="宋体"/>
          <w:highlight w:val="none"/>
        </w:rPr>
        <w:t>一览表</w:t>
      </w:r>
    </w:p>
    <w:p>
      <w:pPr>
        <w:pStyle w:val="8"/>
        <w:spacing w:before="0"/>
        <w:ind w:left="0" w:firstLine="960" w:firstLineChars="400"/>
        <w:rPr>
          <w:rFonts w:hint="eastAsia" w:ascii="宋体" w:hAnsi="宋体" w:eastAsia="宋体" w:cs="宋体"/>
          <w:highlight w:val="none"/>
        </w:rPr>
      </w:pPr>
      <w:r>
        <w:rPr>
          <w:rFonts w:hint="eastAsia" w:ascii="宋体" w:hAnsi="宋体" w:eastAsia="宋体" w:cs="宋体"/>
          <w:highlight w:val="none"/>
        </w:rPr>
        <w:t>2.2 投标保证金交纳凭证</w:t>
      </w:r>
    </w:p>
    <w:p>
      <w:pPr>
        <w:pStyle w:val="8"/>
        <w:spacing w:before="0"/>
        <w:ind w:left="0" w:firstLine="960" w:firstLineChars="400"/>
        <w:rPr>
          <w:rFonts w:hint="eastAsia" w:ascii="宋体" w:hAnsi="宋体" w:eastAsia="宋体" w:cs="宋体"/>
          <w:highlight w:val="none"/>
        </w:rPr>
      </w:pPr>
      <w:r>
        <w:rPr>
          <w:rFonts w:hint="eastAsia" w:ascii="宋体" w:hAnsi="宋体" w:eastAsia="宋体" w:cs="宋体"/>
          <w:highlight w:val="none"/>
        </w:rPr>
        <w:t>2.3 法定代表人/负责人资格证明书及身份证复印件</w:t>
      </w:r>
    </w:p>
    <w:p>
      <w:pPr>
        <w:pStyle w:val="8"/>
        <w:spacing w:before="0"/>
        <w:ind w:left="0" w:firstLine="960" w:firstLineChars="400"/>
        <w:rPr>
          <w:rFonts w:hint="eastAsia" w:ascii="宋体" w:hAnsi="宋体" w:eastAsia="宋体" w:cs="宋体"/>
          <w:highlight w:val="none"/>
        </w:rPr>
      </w:pPr>
      <w:r>
        <w:rPr>
          <w:rFonts w:hint="eastAsia" w:ascii="宋体" w:hAnsi="宋体" w:eastAsia="宋体" w:cs="宋体"/>
          <w:highlight w:val="none"/>
        </w:rPr>
        <w:t>2.4 委托授权书及被授权人身份证复印件</w:t>
      </w:r>
    </w:p>
    <w:p>
      <w:pPr>
        <w:pStyle w:val="8"/>
        <w:kinsoku w:val="0"/>
        <w:overflowPunct w:val="0"/>
        <w:spacing w:before="130" w:line="360" w:lineRule="exact"/>
        <w:ind w:left="119" w:right="6" w:firstLine="480"/>
        <w:rPr>
          <w:rFonts w:hint="eastAsia" w:ascii="宋体" w:hAnsi="宋体" w:eastAsia="宋体" w:cs="宋体"/>
          <w:spacing w:val="4"/>
          <w:highlight w:val="none"/>
        </w:rPr>
      </w:pPr>
    </w:p>
    <w:p>
      <w:pPr>
        <w:pStyle w:val="24"/>
        <w:kinsoku w:val="0"/>
        <w:overflowPunct w:val="0"/>
        <w:spacing w:line="940" w:lineRule="exact"/>
        <w:jc w:val="center"/>
        <w:outlineLvl w:val="9"/>
        <w:rPr>
          <w:rFonts w:hint="eastAsia" w:ascii="宋体" w:hAnsi="宋体" w:eastAsia="宋体" w:cs="宋体"/>
          <w:highlight w:val="none"/>
        </w:rPr>
      </w:pPr>
    </w:p>
    <w:p>
      <w:pPr>
        <w:pStyle w:val="24"/>
        <w:kinsoku w:val="0"/>
        <w:overflowPunct w:val="0"/>
        <w:spacing w:line="940" w:lineRule="exact"/>
        <w:jc w:val="center"/>
        <w:outlineLvl w:val="9"/>
        <w:rPr>
          <w:rFonts w:hint="eastAsia" w:ascii="宋体" w:hAnsi="宋体" w:eastAsia="宋体" w:cs="宋体"/>
          <w:highlight w:val="none"/>
        </w:rPr>
      </w:pPr>
    </w:p>
    <w:p>
      <w:pPr>
        <w:pStyle w:val="8"/>
        <w:kinsoku w:val="0"/>
        <w:overflowPunct w:val="0"/>
        <w:spacing w:before="130" w:line="355" w:lineRule="auto"/>
        <w:ind w:left="0" w:leftChars="0" w:right="7" w:firstLine="0" w:firstLineChars="0"/>
        <w:jc w:val="center"/>
        <w:outlineLvl w:val="1"/>
        <w:rPr>
          <w:rFonts w:hint="eastAsia" w:ascii="宋体" w:hAnsi="宋体" w:eastAsia="宋体" w:cs="宋体"/>
          <w:b/>
          <w:bCs/>
          <w:sz w:val="36"/>
          <w:szCs w:val="36"/>
          <w:highlight w:val="none"/>
        </w:rPr>
      </w:pPr>
      <w:r>
        <w:rPr>
          <w:rFonts w:hint="eastAsia" w:ascii="宋体" w:hAnsi="宋体" w:eastAsia="宋体" w:cs="宋体"/>
          <w:highlight w:val="none"/>
        </w:rPr>
        <w:br w:type="page"/>
      </w:r>
      <w:r>
        <w:rPr>
          <w:rFonts w:hint="eastAsia" w:ascii="宋体" w:hAnsi="宋体" w:eastAsia="宋体" w:cs="宋体"/>
          <w:b/>
          <w:bCs/>
          <w:sz w:val="36"/>
          <w:szCs w:val="36"/>
          <w:highlight w:val="none"/>
        </w:rPr>
        <w:t>一、投标函</w:t>
      </w:r>
    </w:p>
    <w:p>
      <w:pPr>
        <w:spacing w:line="480" w:lineRule="exact"/>
        <w:ind w:firstLine="480" w:firstLineChars="20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致：</w:t>
      </w:r>
      <w:r>
        <w:rPr>
          <w:rFonts w:hint="eastAsia" w:ascii="宋体" w:hAnsi="宋体" w:eastAsia="宋体" w:cs="宋体"/>
          <w:kern w:val="0"/>
          <w:sz w:val="24"/>
          <w:szCs w:val="24"/>
          <w:highlight w:val="none"/>
          <w:u w:val="single"/>
        </w:rPr>
        <w:t xml:space="preserve">                     </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为响应你方组织的</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项目的招标[项目编号为：</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]，我方愿参与投标。</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我方确认收到贵方提供的</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磋商文件的全部内容。</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我方在参与投标前已详细研究了招标文件的所有内容，包括澄清、修改文件（如果有）和所有已提供的参考资料以及有关附件，我方完全明白并认为此招标文件没有倾向性，也不存在排斥潜在报价供应商的内容，我方同意招标文件的相关条款，放弃对招标文件提出误解和质疑的一切权力。</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u w:val="single"/>
        </w:rPr>
        <w:t xml:space="preserve">      (磋商供应商名称)      </w:t>
      </w:r>
      <w:r>
        <w:rPr>
          <w:rFonts w:hint="eastAsia" w:ascii="宋体" w:hAnsi="宋体" w:eastAsia="宋体" w:cs="宋体"/>
          <w:kern w:val="0"/>
          <w:sz w:val="24"/>
          <w:szCs w:val="24"/>
          <w:highlight w:val="none"/>
        </w:rPr>
        <w:t>作为投标供应商正式授权</w:t>
      </w:r>
      <w:r>
        <w:rPr>
          <w:rFonts w:hint="eastAsia" w:ascii="宋体" w:hAnsi="宋体" w:eastAsia="宋体" w:cs="宋体"/>
          <w:kern w:val="0"/>
          <w:sz w:val="24"/>
          <w:szCs w:val="24"/>
          <w:highlight w:val="none"/>
          <w:u w:val="single"/>
        </w:rPr>
        <w:t xml:space="preserve">  (授权代表全名, 职务)  </w:t>
      </w:r>
      <w:r>
        <w:rPr>
          <w:rFonts w:hint="eastAsia" w:ascii="宋体" w:hAnsi="宋体" w:eastAsia="宋体" w:cs="宋体"/>
          <w:kern w:val="0"/>
          <w:sz w:val="24"/>
          <w:szCs w:val="24"/>
          <w:highlight w:val="none"/>
        </w:rPr>
        <w:t>代表我方全权处理有关本报价的一切事宜。</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在此提交的投标文件，正本壹份，副本</w:t>
      </w:r>
      <w:r>
        <w:rPr>
          <w:rFonts w:hint="eastAsia" w:ascii="宋体" w:hAnsi="宋体" w:cs="宋体"/>
          <w:kern w:val="0"/>
          <w:sz w:val="24"/>
          <w:szCs w:val="24"/>
          <w:highlight w:val="none"/>
          <w:lang w:eastAsia="zh-CN"/>
        </w:rPr>
        <w:t>肆</w:t>
      </w:r>
      <w:r>
        <w:rPr>
          <w:rFonts w:hint="eastAsia" w:ascii="宋体" w:hAnsi="宋体" w:eastAsia="宋体" w:cs="宋体"/>
          <w:kern w:val="0"/>
          <w:sz w:val="24"/>
          <w:szCs w:val="24"/>
          <w:highlight w:val="none"/>
        </w:rPr>
        <w:t>份。</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我方已完全明白招标文件的所有条款要求，并申明如下：</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（一）按招标文件提供的全部货物与相关服务</w:t>
      </w:r>
      <w:r>
        <w:rPr>
          <w:rFonts w:hint="eastAsia" w:ascii="宋体" w:hAnsi="宋体" w:cs="宋体"/>
          <w:kern w:val="0"/>
          <w:sz w:val="24"/>
          <w:szCs w:val="24"/>
          <w:highlight w:val="none"/>
          <w:lang w:val="en-US" w:eastAsia="zh-CN"/>
        </w:rPr>
        <w:t xml:space="preserve"> </w:t>
      </w:r>
      <w:r>
        <w:rPr>
          <w:rFonts w:hint="eastAsia" w:ascii="宋体" w:hAnsi="宋体" w:eastAsia="宋体" w:cs="宋体"/>
          <w:kern w:val="0"/>
          <w:sz w:val="24"/>
          <w:szCs w:val="24"/>
          <w:highlight w:val="none"/>
        </w:rPr>
        <w:t>的投标总价详见《报价一览表》。</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（二）本投标文件的有效期为投标截止时间起</w:t>
      </w:r>
      <w:r>
        <w:rPr>
          <w:rFonts w:hint="eastAsia" w:ascii="宋体" w:hAnsi="宋体" w:cs="宋体"/>
          <w:kern w:val="0"/>
          <w:sz w:val="24"/>
          <w:szCs w:val="24"/>
          <w:highlight w:val="none"/>
          <w:u w:val="single"/>
          <w:lang w:val="en-US" w:eastAsia="zh-CN"/>
        </w:rPr>
        <w:t>9</w:t>
      </w:r>
      <w:r>
        <w:rPr>
          <w:rFonts w:hint="eastAsia" w:ascii="宋体" w:hAnsi="宋体" w:eastAsia="宋体" w:cs="宋体"/>
          <w:kern w:val="0"/>
          <w:sz w:val="24"/>
          <w:szCs w:val="24"/>
          <w:highlight w:val="none"/>
          <w:u w:val="single"/>
        </w:rPr>
        <w:t>0天</w:t>
      </w:r>
      <w:r>
        <w:rPr>
          <w:rFonts w:hint="eastAsia" w:ascii="宋体" w:hAnsi="宋体" w:eastAsia="宋体" w:cs="宋体"/>
          <w:kern w:val="0"/>
          <w:sz w:val="24"/>
          <w:szCs w:val="24"/>
          <w:highlight w:val="none"/>
        </w:rPr>
        <w:t>。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（三）我方明白并同意，在规定的开标日之后，投标有效期之内撤回投标或中标后不按规定与采购人签订合同或不提交履约保证金, 则贵方将不予退还投标保证金。</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（四）我方同意按照贵方可能提出的要求而提供与投标有关的任何其它数据、信息或资料。</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（五）我方理解贵方不一定接受最低投标价或任何贵方可能收到的投标。</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（六）我方如果中标，将保证履行招标文件及其澄清、修改文件（如果有）中的全部责任和义务，按质、按量、按期完成《磋商内容》及《合同书》中的全部任务。</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（七）如我方被授予合同，我方承诺支付就本次招标应支付或将支付的中标服务费（详见按招标文件要求格式填写的《中标服务费支付承诺书》）。</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（八）我方作为</w:t>
      </w:r>
      <w:r>
        <w:rPr>
          <w:rFonts w:hint="eastAsia" w:ascii="宋体" w:hAnsi="宋体" w:eastAsia="宋体" w:cs="宋体"/>
          <w:kern w:val="0"/>
          <w:sz w:val="24"/>
          <w:szCs w:val="24"/>
          <w:highlight w:val="none"/>
          <w:u w:val="single"/>
        </w:rPr>
        <w:t xml:space="preserve">   （制造商/代理商）   </w:t>
      </w:r>
      <w:r>
        <w:rPr>
          <w:rFonts w:hint="eastAsia" w:ascii="宋体" w:hAnsi="宋体" w:eastAsia="宋体" w:cs="宋体"/>
          <w:kern w:val="0"/>
          <w:sz w:val="24"/>
          <w:szCs w:val="24"/>
          <w:highlight w:val="none"/>
        </w:rPr>
        <w:t>是在法律、财务和运作上独立于采购人、招标代理机构的投标供应商，在此保证所提交的所有文件和全部说明是真实的和正确的。</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（九）我方投标报价已包含应向知识产权所有权人支付的所有相关税费，并保证采购人在中国使用我方提供的货物时，如有第三方提出侵犯其知识产权主张的，责任由我方承担。</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（十）我方与其他投标供应商不存在单位负责人为同一人或者存在直接控股、管理关系。</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（十一）我方承诺未为本项目提供整体设计、规范编制或者项目管理、监理、检测等服务。</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（十二）我方具备《政府采购法》第二十二条规定的条件，承诺如下：</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（1）我方已依法缴纳了各项税费及社会保险费用，如有需要，可随时向采购人提供近三个月内的相关缴费证明，以便核查。</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（2）我方已依法建立健全的财务会计制度，如有需要，可随时向采购人提供相关的证明材料，以便核查。</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（3）我方参加本项目政府采购活动前3年内在经营活动中没有重大违法记录。</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（4）我方具备履行合同所必需的设备和专业技术能力。</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（5）我方符合法律、行政法规规定的其他条件。</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以上内容如有虚假或与事实不符的，评审委员会可将我方做无效投标处理，我方愿意承担相应的法律责任。</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（十三）我方对在本函及投标文件中所作的所有承诺承担法律责任。</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（十四）所有与本招标有关的函件请发往下列地址：</w:t>
      </w:r>
    </w:p>
    <w:p>
      <w:pPr>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地    址：</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.邮政编码：</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w:t>
      </w:r>
    </w:p>
    <w:p>
      <w:pPr>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电    话：</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w:t>
      </w:r>
    </w:p>
    <w:p>
      <w:pPr>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传    真：</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w:t>
      </w:r>
    </w:p>
    <w:p>
      <w:pPr>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代表姓名：</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.职    务：</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w:t>
      </w:r>
    </w:p>
    <w:p>
      <w:pPr>
        <w:rPr>
          <w:rFonts w:hint="eastAsia" w:ascii="宋体" w:hAnsi="宋体" w:eastAsia="宋体" w:cs="宋体"/>
          <w:color w:val="000000"/>
          <w:szCs w:val="21"/>
          <w:highlight w:val="none"/>
          <w:u w:val="single"/>
        </w:rPr>
      </w:pPr>
    </w:p>
    <w:p>
      <w:pPr>
        <w:spacing w:line="420" w:lineRule="exact"/>
        <w:ind w:firstLine="480" w:firstLineChars="200"/>
        <w:rPr>
          <w:rFonts w:hint="eastAsia" w:ascii="宋体" w:hAnsi="宋体" w:eastAsia="宋体" w:cs="宋体"/>
          <w:kern w:val="0"/>
          <w:sz w:val="24"/>
          <w:szCs w:val="24"/>
          <w:highlight w:val="none"/>
        </w:rPr>
      </w:pPr>
    </w:p>
    <w:p>
      <w:pPr>
        <w:spacing w:line="420" w:lineRule="exact"/>
        <w:ind w:right="480"/>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供应商：</w:t>
      </w:r>
      <w:r>
        <w:rPr>
          <w:rFonts w:hint="eastAsia" w:ascii="宋体" w:hAnsi="宋体" w:eastAsia="宋体" w:cs="宋体"/>
          <w:kern w:val="0"/>
          <w:sz w:val="24"/>
          <w:szCs w:val="24"/>
          <w:highlight w:val="none"/>
          <w:u w:val="single"/>
        </w:rPr>
        <w:tab/>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（公章） </w:t>
      </w:r>
    </w:p>
    <w:p>
      <w:pPr>
        <w:wordWrap w:val="0"/>
        <w:spacing w:line="420" w:lineRule="exact"/>
        <w:ind w:firstLine="480" w:firstLineChars="200"/>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法定代表人或委托人：</w:t>
      </w:r>
      <w:r>
        <w:rPr>
          <w:rFonts w:hint="eastAsia" w:ascii="宋体" w:hAnsi="宋体" w:eastAsia="宋体" w:cs="宋体"/>
          <w:kern w:val="0"/>
          <w:sz w:val="24"/>
          <w:szCs w:val="24"/>
          <w:highlight w:val="none"/>
        </w:rPr>
        <w:tab/>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（签字）    </w:t>
      </w:r>
    </w:p>
    <w:p>
      <w:pPr>
        <w:spacing w:line="420" w:lineRule="exact"/>
        <w:ind w:right="480" w:firstLine="5280" w:firstLineChars="2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rPr>
        <w:tab/>
      </w:r>
      <w:r>
        <w:rPr>
          <w:rFonts w:hint="eastAsia" w:ascii="宋体" w:hAnsi="宋体" w:eastAsia="宋体" w:cs="宋体"/>
          <w:kern w:val="0"/>
          <w:sz w:val="24"/>
          <w:szCs w:val="24"/>
          <w:highlight w:val="none"/>
        </w:rPr>
        <w:t>年</w:t>
      </w:r>
      <w:r>
        <w:rPr>
          <w:rFonts w:hint="eastAsia" w:ascii="宋体" w:hAnsi="宋体" w:eastAsia="宋体" w:cs="宋体"/>
          <w:kern w:val="0"/>
          <w:sz w:val="24"/>
          <w:szCs w:val="24"/>
          <w:highlight w:val="none"/>
          <w:u w:val="single"/>
        </w:rPr>
        <w:tab/>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月</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日</w:t>
      </w:r>
    </w:p>
    <w:p>
      <w:pPr>
        <w:pStyle w:val="8"/>
        <w:kinsoku w:val="0"/>
        <w:overflowPunct w:val="0"/>
        <w:spacing w:before="34" w:line="357" w:lineRule="auto"/>
        <w:ind w:right="126" w:firstLine="480"/>
        <w:jc w:val="center"/>
        <w:outlineLvl w:val="1"/>
        <w:rPr>
          <w:rFonts w:hint="eastAsia" w:ascii="宋体" w:hAnsi="宋体" w:eastAsia="宋体" w:cs="宋体"/>
          <w:sz w:val="36"/>
          <w:szCs w:val="36"/>
          <w:highlight w:val="none"/>
        </w:rPr>
      </w:pPr>
      <w:r>
        <w:rPr>
          <w:rFonts w:hint="eastAsia" w:ascii="宋体" w:hAnsi="宋体" w:eastAsia="宋体" w:cs="宋体"/>
          <w:highlight w:val="none"/>
        </w:rPr>
        <w:br w:type="page"/>
      </w:r>
      <w:r>
        <w:rPr>
          <w:rFonts w:hint="eastAsia" w:ascii="宋体" w:hAnsi="宋体" w:eastAsia="宋体" w:cs="宋体"/>
          <w:b/>
          <w:bCs/>
          <w:sz w:val="36"/>
          <w:szCs w:val="36"/>
          <w:highlight w:val="none"/>
        </w:rPr>
        <w:t>二、法定代表人身份证明</w:t>
      </w:r>
    </w:p>
    <w:p>
      <w:pPr>
        <w:spacing w:line="420" w:lineRule="exact"/>
        <w:ind w:firstLine="480" w:firstLineChars="20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投标单位名称：</w:t>
      </w:r>
      <w:r>
        <w:rPr>
          <w:rFonts w:hint="eastAsia" w:ascii="宋体" w:hAnsi="宋体" w:eastAsia="宋体" w:cs="宋体"/>
          <w:kern w:val="0"/>
          <w:sz w:val="24"/>
          <w:szCs w:val="24"/>
          <w:highlight w:val="none"/>
          <w:u w:val="single"/>
        </w:rPr>
        <w:t xml:space="preserve">                       </w:t>
      </w:r>
    </w:p>
    <w:p>
      <w:pPr>
        <w:spacing w:line="420" w:lineRule="exact"/>
        <w:ind w:firstLine="480" w:firstLineChars="20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单位性质：</w:t>
      </w:r>
      <w:r>
        <w:rPr>
          <w:rFonts w:hint="eastAsia" w:ascii="宋体" w:hAnsi="宋体" w:eastAsia="宋体" w:cs="宋体"/>
          <w:kern w:val="0"/>
          <w:sz w:val="24"/>
          <w:szCs w:val="24"/>
          <w:highlight w:val="none"/>
          <w:u w:val="single"/>
        </w:rPr>
        <w:t xml:space="preserve">                           </w:t>
      </w:r>
    </w:p>
    <w:p>
      <w:pPr>
        <w:spacing w:line="420" w:lineRule="exact"/>
        <w:ind w:firstLine="480" w:firstLineChars="20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地址：</w:t>
      </w:r>
      <w:r>
        <w:rPr>
          <w:rFonts w:hint="eastAsia" w:ascii="宋体" w:hAnsi="宋体" w:eastAsia="宋体" w:cs="宋体"/>
          <w:kern w:val="0"/>
          <w:sz w:val="24"/>
          <w:szCs w:val="24"/>
          <w:highlight w:val="none"/>
          <w:u w:val="single"/>
        </w:rPr>
        <w:t xml:space="preserve">                               </w:t>
      </w:r>
    </w:p>
    <w:p>
      <w:pPr>
        <w:spacing w:line="42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成立时间：</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年</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月</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日</w:t>
      </w:r>
    </w:p>
    <w:p>
      <w:pPr>
        <w:spacing w:line="420" w:lineRule="exact"/>
        <w:ind w:firstLine="480" w:firstLineChars="20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经营期限：</w:t>
      </w:r>
      <w:r>
        <w:rPr>
          <w:rFonts w:hint="eastAsia" w:ascii="宋体" w:hAnsi="宋体" w:eastAsia="宋体" w:cs="宋体"/>
          <w:kern w:val="0"/>
          <w:sz w:val="24"/>
          <w:szCs w:val="24"/>
          <w:highlight w:val="none"/>
          <w:u w:val="single"/>
        </w:rPr>
        <w:t xml:space="preserve">             </w:t>
      </w:r>
    </w:p>
    <w:p>
      <w:pPr>
        <w:spacing w:line="420" w:lineRule="exact"/>
        <w:ind w:firstLine="480" w:firstLineChars="20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姓名：</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 性别：</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 年龄：</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 职务：</w:t>
      </w:r>
      <w:r>
        <w:rPr>
          <w:rFonts w:hint="eastAsia" w:ascii="宋体" w:hAnsi="宋体" w:eastAsia="宋体" w:cs="宋体"/>
          <w:kern w:val="0"/>
          <w:sz w:val="24"/>
          <w:szCs w:val="24"/>
          <w:highlight w:val="none"/>
          <w:u w:val="single"/>
        </w:rPr>
        <w:t xml:space="preserve">           </w:t>
      </w:r>
    </w:p>
    <w:p>
      <w:pPr>
        <w:spacing w:line="42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身份证号码：</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系</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（投标单位名称）的法定代表人。</w:t>
      </w:r>
    </w:p>
    <w:p>
      <w:pPr>
        <w:spacing w:line="420" w:lineRule="exact"/>
        <w:ind w:firstLine="960" w:firstLineChars="4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特此证明。</w:t>
      </w:r>
    </w:p>
    <w:p>
      <w:pPr>
        <w:pStyle w:val="8"/>
        <w:kinsoku w:val="0"/>
        <w:overflowPunct w:val="0"/>
        <w:spacing w:before="0"/>
        <w:ind w:left="0"/>
        <w:rPr>
          <w:rFonts w:hint="eastAsia" w:ascii="宋体" w:hAnsi="宋体" w:eastAsia="宋体" w:cs="宋体"/>
          <w:sz w:val="20"/>
          <w:szCs w:val="20"/>
          <w:highlight w:val="none"/>
        </w:rPr>
      </w:pPr>
    </w:p>
    <w:p>
      <w:pPr>
        <w:pStyle w:val="8"/>
        <w:kinsoku w:val="0"/>
        <w:overflowPunct w:val="0"/>
        <w:spacing w:before="7"/>
        <w:ind w:left="0"/>
        <w:rPr>
          <w:rFonts w:hint="eastAsia" w:ascii="宋体" w:hAnsi="宋体" w:eastAsia="宋体" w:cs="宋体"/>
          <w:sz w:val="25"/>
          <w:szCs w:val="25"/>
          <w:highlight w:val="none"/>
        </w:rPr>
      </w:pPr>
    </w:p>
    <w:p>
      <w:pPr>
        <w:pStyle w:val="8"/>
        <w:kinsoku w:val="0"/>
        <w:overflowPunct w:val="0"/>
        <w:spacing w:before="0" w:line="200" w:lineRule="atLeast"/>
        <w:ind w:left="608"/>
        <w:rPr>
          <w:rFonts w:hint="eastAsia" w:ascii="宋体" w:hAnsi="宋体" w:eastAsia="宋体" w:cs="宋体"/>
          <w:sz w:val="20"/>
          <w:szCs w:val="20"/>
          <w:highlight w:val="none"/>
        </w:rPr>
      </w:pPr>
      <w:r>
        <w:rPr>
          <w:rFonts w:hint="eastAsia" w:ascii="宋体" w:hAnsi="宋体" w:eastAsia="宋体" w:cs="宋体"/>
          <w:sz w:val="20"/>
          <w:szCs w:val="20"/>
          <w:highlight w:val="none"/>
        </w:rPr>
        <mc:AlternateContent>
          <mc:Choice Requires="wpg">
            <w:drawing>
              <wp:inline distT="0" distB="0" distL="114300" distR="114300">
                <wp:extent cx="5136515" cy="1458595"/>
                <wp:effectExtent l="0" t="0" r="8255" b="9525"/>
                <wp:docPr id="120" name="组合 120"/>
                <wp:cNvGraphicFramePr/>
                <a:graphic xmlns:a="http://schemas.openxmlformats.org/drawingml/2006/main">
                  <a:graphicData uri="http://schemas.microsoft.com/office/word/2010/wordprocessingGroup">
                    <wpg:wgp>
                      <wpg:cNvGrpSpPr>
                        <a:grpSpLocks noRot="1"/>
                      </wpg:cNvGrpSpPr>
                      <wpg:grpSpPr>
                        <a:xfrm>
                          <a:off x="0" y="0"/>
                          <a:ext cx="5136515" cy="1458595"/>
                          <a:chOff x="0" y="0"/>
                          <a:chExt cx="8089" cy="2297"/>
                        </a:xfrm>
                      </wpg:grpSpPr>
                      <wps:wsp>
                        <wps:cNvPr id="108" name="任意多边形 108"/>
                        <wps:cNvSpPr/>
                        <wps:spPr>
                          <a:xfrm>
                            <a:off x="4" y="9"/>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109" name="任意多边形 109"/>
                        <wps:cNvSpPr/>
                        <wps:spPr>
                          <a:xfrm>
                            <a:off x="24" y="28"/>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110" name="任意多边形 110"/>
                        <wps:cNvSpPr/>
                        <wps:spPr>
                          <a:xfrm>
                            <a:off x="24" y="2267"/>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111" name="任意多边形 111"/>
                        <wps:cNvSpPr/>
                        <wps:spPr>
                          <a:xfrm>
                            <a:off x="4" y="2286"/>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112" name="任意多边形 112"/>
                        <wps:cNvSpPr/>
                        <wps:spPr>
                          <a:xfrm>
                            <a:off x="9" y="4"/>
                            <a:ext cx="20" cy="2287"/>
                          </a:xfrm>
                          <a:custGeom>
                            <a:avLst/>
                            <a:gdLst/>
                            <a:ahLst/>
                            <a:cxnLst/>
                            <a:pathLst>
                              <a:path w="20" h="2287">
                                <a:moveTo>
                                  <a:pt x="0" y="0"/>
                                </a:moveTo>
                                <a:lnTo>
                                  <a:pt x="0" y="2286"/>
                                </a:lnTo>
                              </a:path>
                            </a:pathLst>
                          </a:custGeom>
                          <a:noFill/>
                          <a:ln w="6096" cap="flat" cmpd="sng">
                            <a:solidFill>
                              <a:srgbClr val="000000"/>
                            </a:solidFill>
                            <a:prstDash val="solid"/>
                            <a:headEnd type="none" w="med" len="med"/>
                            <a:tailEnd type="none" w="med" len="med"/>
                          </a:ln>
                        </wps:spPr>
                        <wps:bodyPr upright="1"/>
                      </wps:wsp>
                      <wps:wsp>
                        <wps:cNvPr id="113" name="任意多边形 113"/>
                        <wps:cNvSpPr/>
                        <wps:spPr>
                          <a:xfrm>
                            <a:off x="28" y="24"/>
                            <a:ext cx="20" cy="2249"/>
                          </a:xfrm>
                          <a:custGeom>
                            <a:avLst/>
                            <a:gdLst/>
                            <a:ahLst/>
                            <a:cxnLst/>
                            <a:pathLst>
                              <a:path w="20" h="2249">
                                <a:moveTo>
                                  <a:pt x="0" y="0"/>
                                </a:moveTo>
                                <a:lnTo>
                                  <a:pt x="0" y="2248"/>
                                </a:lnTo>
                              </a:path>
                            </a:pathLst>
                          </a:custGeom>
                          <a:noFill/>
                          <a:ln w="6096" cap="flat" cmpd="sng">
                            <a:solidFill>
                              <a:srgbClr val="000000"/>
                            </a:solidFill>
                            <a:prstDash val="solid"/>
                            <a:headEnd type="none" w="med" len="med"/>
                            <a:tailEnd type="none" w="med" len="med"/>
                          </a:ln>
                        </wps:spPr>
                        <wps:bodyPr upright="1"/>
                      </wps:wsp>
                      <wps:wsp>
                        <wps:cNvPr id="114" name="任意多边形 114"/>
                        <wps:cNvSpPr/>
                        <wps:spPr>
                          <a:xfrm>
                            <a:off x="4034" y="24"/>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115" name="任意多边形 115"/>
                        <wps:cNvSpPr/>
                        <wps:spPr>
                          <a:xfrm>
                            <a:off x="4053" y="24"/>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116" name="任意多边形 116"/>
                        <wps:cNvSpPr/>
                        <wps:spPr>
                          <a:xfrm>
                            <a:off x="8059" y="33"/>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117" name="任意多边形 117"/>
                        <wps:cNvSpPr/>
                        <wps:spPr>
                          <a:xfrm>
                            <a:off x="8078" y="14"/>
                            <a:ext cx="20" cy="2278"/>
                          </a:xfrm>
                          <a:custGeom>
                            <a:avLst/>
                            <a:gdLst/>
                            <a:ahLst/>
                            <a:cxnLst/>
                            <a:pathLst>
                              <a:path w="20" h="2278">
                                <a:moveTo>
                                  <a:pt x="0" y="0"/>
                                </a:moveTo>
                                <a:lnTo>
                                  <a:pt x="0" y="2277"/>
                                </a:lnTo>
                              </a:path>
                            </a:pathLst>
                          </a:custGeom>
                          <a:noFill/>
                          <a:ln w="6096" cap="flat" cmpd="sng">
                            <a:solidFill>
                              <a:srgbClr val="000000"/>
                            </a:solidFill>
                            <a:prstDash val="solid"/>
                            <a:headEnd type="none" w="med" len="med"/>
                            <a:tailEnd type="none" w="med" len="med"/>
                          </a:ln>
                        </wps:spPr>
                        <wps:bodyPr upright="1"/>
                      </wps:wsp>
                      <wps:wsp>
                        <wps:cNvPr id="118" name="文本框 118"/>
                        <wps:cNvSpPr txBox="1"/>
                        <wps:spPr>
                          <a:xfrm>
                            <a:off x="19" y="19"/>
                            <a:ext cx="4025" cy="2258"/>
                          </a:xfrm>
                          <a:prstGeom prst="rect">
                            <a:avLst/>
                          </a:prstGeom>
                          <a:noFill/>
                          <a:ln>
                            <a:noFill/>
                          </a:ln>
                        </wps:spPr>
                        <wps:txbx>
                          <w:txbxContent>
                            <w:p>
                              <w:pPr>
                                <w:pStyle w:val="8"/>
                                <w:kinsoku w:val="0"/>
                                <w:overflowPunct w:val="0"/>
                                <w:spacing w:before="0"/>
                                <w:ind w:left="0"/>
                              </w:pPr>
                            </w:p>
                            <w:p>
                              <w:pPr>
                                <w:pStyle w:val="8"/>
                                <w:kinsoku w:val="0"/>
                                <w:overflowPunct w:val="0"/>
                                <w:spacing w:before="0"/>
                                <w:ind w:left="0"/>
                              </w:pPr>
                            </w:p>
                            <w:p>
                              <w:pPr>
                                <w:pStyle w:val="8"/>
                                <w:kinsoku w:val="0"/>
                                <w:overflowPunct w:val="0"/>
                                <w:spacing w:before="13"/>
                                <w:ind w:left="0"/>
                                <w:rPr>
                                  <w:sz w:val="28"/>
                                  <w:szCs w:val="28"/>
                                </w:rPr>
                              </w:pPr>
                            </w:p>
                            <w:p>
                              <w:pPr>
                                <w:pStyle w:val="8"/>
                                <w:kinsoku w:val="0"/>
                                <w:overflowPunct w:val="0"/>
                                <w:spacing w:before="0"/>
                                <w:ind w:left="107"/>
                              </w:pPr>
                              <w:r>
                                <w:rPr>
                                  <w:rFonts w:hint="eastAsia"/>
                                </w:rPr>
                                <w:t>法定代表人身份证复印件（正面）</w:t>
                              </w:r>
                            </w:p>
                          </w:txbxContent>
                        </wps:txbx>
                        <wps:bodyPr lIns="0" tIns="0" rIns="0" bIns="0" upright="1"/>
                      </wps:wsp>
                      <wps:wsp>
                        <wps:cNvPr id="119" name="文本框 119"/>
                        <wps:cNvSpPr txBox="1"/>
                        <wps:spPr>
                          <a:xfrm>
                            <a:off x="4044" y="19"/>
                            <a:ext cx="4025" cy="2258"/>
                          </a:xfrm>
                          <a:prstGeom prst="rect">
                            <a:avLst/>
                          </a:prstGeom>
                          <a:noFill/>
                          <a:ln>
                            <a:noFill/>
                          </a:ln>
                        </wps:spPr>
                        <wps:txbx>
                          <w:txbxContent>
                            <w:p>
                              <w:pPr>
                                <w:pStyle w:val="8"/>
                                <w:kinsoku w:val="0"/>
                                <w:overflowPunct w:val="0"/>
                                <w:spacing w:before="0"/>
                                <w:ind w:left="0"/>
                              </w:pPr>
                            </w:p>
                            <w:p>
                              <w:pPr>
                                <w:pStyle w:val="8"/>
                                <w:kinsoku w:val="0"/>
                                <w:overflowPunct w:val="0"/>
                                <w:spacing w:before="0"/>
                                <w:ind w:left="0"/>
                              </w:pPr>
                            </w:p>
                            <w:p>
                              <w:pPr>
                                <w:pStyle w:val="8"/>
                                <w:kinsoku w:val="0"/>
                                <w:overflowPunct w:val="0"/>
                                <w:spacing w:before="13"/>
                                <w:ind w:left="0"/>
                                <w:rPr>
                                  <w:sz w:val="28"/>
                                  <w:szCs w:val="28"/>
                                </w:rPr>
                              </w:pPr>
                            </w:p>
                            <w:p>
                              <w:pPr>
                                <w:pStyle w:val="8"/>
                                <w:kinsoku w:val="0"/>
                                <w:overflowPunct w:val="0"/>
                                <w:spacing w:before="0"/>
                                <w:ind w:left="107"/>
                              </w:pPr>
                              <w:r>
                                <w:rPr>
                                  <w:rFonts w:hint="eastAsia"/>
                                </w:rPr>
                                <w:t>法定代表人身份证复印件（反面）</w:t>
                              </w:r>
                            </w:p>
                          </w:txbxContent>
                        </wps:txbx>
                        <wps:bodyPr lIns="0" tIns="0" rIns="0" bIns="0" upright="1"/>
                      </wps:wsp>
                    </wpg:wgp>
                  </a:graphicData>
                </a:graphic>
              </wp:inline>
            </w:drawing>
          </mc:Choice>
          <mc:Fallback>
            <w:pict>
              <v:group id="_x0000_s1026" o:spid="_x0000_s1026" o:spt="203" style="height:114.85pt;width:404.45pt;" coordsize="8089,2297" o:gfxdata="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">
                <o:lock v:ext="edit" rotation="t" aspectratio="f"/>
                <v:shape id="_x0000_s1026" o:spid="_x0000_s1026" o:spt="100" style="position:absolute;left:4;top:9;height:20;width:8079;" filled="f" stroked="t" coordsize="8079,20" o:gfxdata="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8omSb4A&#10;AADcAAAADwAAAAAAAAABACAAAAAiAAAAZHJzL2Rvd25yZXYueG1sUEsBAhQAFAAAAAgAh07iQDMv&#10;BZ47AAAAOQAAABAAAAAAAAAAAQAgAAAADQEAAGRycy9zaGFwZXhtbC54bWxQSwUGAAAAAAYABgBb&#10;AQAAtwMAAAAA&#10;" path="m0,0l8078,0e">
                  <v:fill on="f" focussize="0,0"/>
                  <v:stroke weight="0.48pt" color="#000000" joinstyle="round"/>
                  <v:imagedata o:title=""/>
                  <o:lock v:ext="edit" aspectratio="f"/>
                </v:shape>
                <v:shape id="_x0000_s1026" o:spid="_x0000_s1026" o:spt="100" style="position:absolute;left:24;top:28;height:20;width:8041;" filled="f" stroked="t" coordsize="8041,20" o:gfxdata="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zdCdrsAAADc&#10;AAAADwAAAAAAAAABACAAAAAiAAAAZHJzL2Rvd25yZXYueG1sUEsBAhQAFAAAAAgAh07iQDMvBZ47&#10;AAAAOQAAABAAAAAAAAAAAQAgAAAACgEAAGRycy9zaGFwZXhtbC54bWxQSwUGAAAAAAYABgBbAQAA&#10;tAMAAAAA&#10;" path="m0,0l8040,0e">
                  <v:fill on="f" focussize="0,0"/>
                  <v:stroke weight="0.48pt" color="#000000" joinstyle="round"/>
                  <v:imagedata o:title=""/>
                  <o:lock v:ext="edit" aspectratio="f"/>
                </v:shape>
                <v:shape id="_x0000_s1026" o:spid="_x0000_s1026" o:spt="100" style="position:absolute;left:24;top:2267;height:20;width:8041;" filled="f" stroked="t" coordsize="8041,20" o:gfxdata="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9R9Nr4A&#10;AADcAAAADwAAAAAAAAABACAAAAAiAAAAZHJzL2Rvd25yZXYueG1sUEsBAhQAFAAAAAgAh07iQDMv&#10;BZ47AAAAOQAAABAAAAAAAAAAAQAgAAAADQEAAGRycy9zaGFwZXhtbC54bWxQSwUGAAAAAAYABgBb&#10;AQAAtwMAAAAA&#10;" path="m0,0l8040,0e">
                  <v:fill on="f" focussize="0,0"/>
                  <v:stroke weight="0.48pt" color="#000000" joinstyle="round"/>
                  <v:imagedata o:title=""/>
                  <o:lock v:ext="edit" aspectratio="f"/>
                </v:shape>
                <v:shape id="_x0000_s1026" o:spid="_x0000_s1026" o:spt="100" style="position:absolute;left:4;top:2286;height:20;width:8079;" filled="f" stroked="t" coordsize="8079,20" o:gfxdata="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ykZCbsAAADc&#10;AAAADwAAAAAAAAABACAAAAAiAAAAZHJzL2Rvd25yZXYueG1sUEsBAhQAFAAAAAgAh07iQDMvBZ47&#10;AAAAOQAAABAAAAAAAAAAAQAgAAAACgEAAGRycy9zaGFwZXhtbC54bWxQSwUGAAAAAAYABgBbAQAA&#10;tAMAAAAA&#10;" path="m0,0l8078,0e">
                  <v:fill on="f" focussize="0,0"/>
                  <v:stroke weight="0.48pt" color="#000000" joinstyle="round"/>
                  <v:imagedata o:title=""/>
                  <o:lock v:ext="edit" aspectratio="f"/>
                </v:shape>
                <v:shape id="_x0000_s1026" o:spid="_x0000_s1026" o:spt="100" style="position:absolute;left:9;top:4;height:2287;width:20;" filled="f" stroked="t" coordsize="20,2287" o:gfxdata="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Ptzx7sAAADc&#10;AAAADwAAAAAAAAABACAAAAAiAAAAZHJzL2Rvd25yZXYueG1sUEsBAhQAFAAAAAgAh07iQDMvBZ47&#10;AAAAOQAAABAAAAAAAAAAAQAgAAAACgEAAGRycy9zaGFwZXhtbC54bWxQSwUGAAAAAAYABgBbAQAA&#10;tAMAAAAA&#10;" path="m0,0l0,2286e">
                  <v:fill on="f" focussize="0,0"/>
                  <v:stroke weight="0.48pt" color="#000000" joinstyle="round"/>
                  <v:imagedata o:title=""/>
                  <o:lock v:ext="edit" aspectratio="f"/>
                </v:shape>
                <v:shape id="_x0000_s1026" o:spid="_x0000_s1026" o:spt="100" style="position:absolute;left:28;top:24;height:2249;width:20;" filled="f" stroked="t" coordsize="20,2249" o:gfxdata="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5lnMr4A&#10;AADcAAAADwAAAAAAAAABACAAAAAiAAAAZHJzL2Rvd25yZXYueG1sUEsBAhQAFAAAAAgAh07iQDMv&#10;BZ47AAAAOQAAABAAAAAAAAAAAQAgAAAADQEAAGRycy9zaGFwZXhtbC54bWxQSwUGAAAAAAYABgBb&#10;AQAAtwMAAAAA&#10;" path="m0,0l0,2248e">
                  <v:fill on="f" focussize="0,0"/>
                  <v:stroke weight="0.48pt" color="#000000" joinstyle="round"/>
                  <v:imagedata o:title=""/>
                  <o:lock v:ext="edit" aspectratio="f"/>
                </v:shape>
                <v:shape id="_x0000_s1026" o:spid="_x0000_s1026" o:spt="100" style="position:absolute;left:4034;top:24;height:2239;width:20;" filled="f" stroked="t" coordsize="20,2239" o:gfxdata="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bJBF3LgAAADcAAAA&#10;DwAAAAAAAAABACAAAAAiAAAAZHJzL2Rvd25yZXYueG1sUEsBAhQAFAAAAAgAh07iQDMvBZ47AAAA&#10;OQAAABAAAAAAAAAAAQAgAAAABwEAAGRycy9zaGFwZXhtbC54bWxQSwUGAAAAAAYABgBbAQAAsQMA&#10;AAAA&#10;" path="m0,0l0,2238e">
                  <v:fill on="f" focussize="0,0"/>
                  <v:stroke weight="0.48pt" color="#000000" joinstyle="round"/>
                  <v:imagedata o:title=""/>
                  <o:lock v:ext="edit" aspectratio="f"/>
                </v:shape>
                <v:shape id="_x0000_s1026" o:spid="_x0000_s1026" o:spt="100" style="position:absolute;left:4053;top:24;height:2239;width:20;" filled="f" stroked="t" coordsize="20,2239" o:gfxdata="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Pc4Ee5AAAA3AAA&#10;AA8AAAAAAAAAAQAgAAAAIgAAAGRycy9kb3ducmV2LnhtbFBLAQIUABQAAAAIAIdO4kAzLwWeOwAA&#10;ADkAAAAQAAAAAAAAAAEAIAAAAAgBAABkcnMvc2hhcGV4bWwueG1sUEsFBgAAAAAGAAYAWwEAALID&#10;AAAAAA==&#10;" path="m0,0l0,2238e">
                  <v:fill on="f" focussize="0,0"/>
                  <v:stroke weight="0.48pt" color="#000000" joinstyle="round"/>
                  <v:imagedata o:title=""/>
                  <o:lock v:ext="edit" aspectratio="f"/>
                </v:shape>
                <v:shape id="_x0000_s1026" o:spid="_x0000_s1026" o:spt="100" style="position:absolute;left:8059;top:33;height:2239;width:20;" filled="f" stroked="t" coordsize="20,2239" o:gfxdata="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8w5+MLgAAADcAAAA&#10;DwAAAAAAAAABACAAAAAiAAAAZHJzL2Rvd25yZXYueG1sUEsBAhQAFAAAAAgAh07iQDMvBZ47AAAA&#10;OQAAABAAAAAAAAAAAQAgAAAABwEAAGRycy9zaGFwZXhtbC54bWxQSwUGAAAAAAYABgBbAQAAsQMA&#10;AAAA&#10;" path="m0,0l0,2238e">
                  <v:fill on="f" focussize="0,0"/>
                  <v:stroke weight="0.48pt" color="#000000" joinstyle="round"/>
                  <v:imagedata o:title=""/>
                  <o:lock v:ext="edit" aspectratio="f"/>
                </v:shape>
                <v:shape id="_x0000_s1026" o:spid="_x0000_s1026" o:spt="100" style="position:absolute;left:8078;top:14;height:2278;width:20;" filled="f" stroked="t" coordsize="20,2278" o:gfxdata="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piLArvQAA&#10;ANwAAAAPAAAAAAAAAAEAIAAAACIAAABkcnMvZG93bnJldi54bWxQSwECFAAUAAAACACHTuJAMy8F&#10;njsAAAA5AAAAEAAAAAAAAAABACAAAAAMAQAAZHJzL3NoYXBleG1sLnhtbFBLBQYAAAAABgAGAFsB&#10;AAC2AwAAAAA=&#10;" path="m0,0l0,2277e">
                  <v:fill on="f" focussize="0,0"/>
                  <v:stroke weight="0.48pt" color="#000000" joinstyle="round"/>
                  <v:imagedata o:title=""/>
                  <o:lock v:ext="edit" aspectratio="f"/>
                </v:shape>
                <v:shape id="_x0000_s1026" o:spid="_x0000_s1026" o:spt="202" type="#_x0000_t202" style="position:absolute;left:19;top:19;height:2258;width:4025;" filled="f" stroked="f" coordsize="21600,21600" o:gfxdata="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wvzLm/&#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pStyle w:val="8"/>
                          <w:kinsoku w:val="0"/>
                          <w:overflowPunct w:val="0"/>
                          <w:spacing w:before="0"/>
                          <w:ind w:left="0"/>
                        </w:pPr>
                      </w:p>
                      <w:p>
                        <w:pPr>
                          <w:pStyle w:val="8"/>
                          <w:kinsoku w:val="0"/>
                          <w:overflowPunct w:val="0"/>
                          <w:spacing w:before="0"/>
                          <w:ind w:left="0"/>
                        </w:pPr>
                      </w:p>
                      <w:p>
                        <w:pPr>
                          <w:pStyle w:val="8"/>
                          <w:kinsoku w:val="0"/>
                          <w:overflowPunct w:val="0"/>
                          <w:spacing w:before="13"/>
                          <w:ind w:left="0"/>
                          <w:rPr>
                            <w:sz w:val="28"/>
                            <w:szCs w:val="28"/>
                          </w:rPr>
                        </w:pPr>
                      </w:p>
                      <w:p>
                        <w:pPr>
                          <w:pStyle w:val="8"/>
                          <w:kinsoku w:val="0"/>
                          <w:overflowPunct w:val="0"/>
                          <w:spacing w:before="0"/>
                          <w:ind w:left="107"/>
                        </w:pPr>
                        <w:r>
                          <w:rPr>
                            <w:rFonts w:hint="eastAsia"/>
                          </w:rPr>
                          <w:t>法定代表人身份证复印件（正面）</w:t>
                        </w:r>
                      </w:p>
                    </w:txbxContent>
                  </v:textbox>
                </v:shape>
                <v:shape id="_x0000_s1026" o:spid="_x0000_s1026" o:spt="202" type="#_x0000_t202" style="position:absolute;left:4044;top:19;height:2258;width:4025;" filled="f" stroked="f" coordsize="21600,21600" o:gfxdata="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NjaSK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pStyle w:val="8"/>
                          <w:kinsoku w:val="0"/>
                          <w:overflowPunct w:val="0"/>
                          <w:spacing w:before="0"/>
                          <w:ind w:left="0"/>
                        </w:pPr>
                      </w:p>
                      <w:p>
                        <w:pPr>
                          <w:pStyle w:val="8"/>
                          <w:kinsoku w:val="0"/>
                          <w:overflowPunct w:val="0"/>
                          <w:spacing w:before="0"/>
                          <w:ind w:left="0"/>
                        </w:pPr>
                      </w:p>
                      <w:p>
                        <w:pPr>
                          <w:pStyle w:val="8"/>
                          <w:kinsoku w:val="0"/>
                          <w:overflowPunct w:val="0"/>
                          <w:spacing w:before="13"/>
                          <w:ind w:left="0"/>
                          <w:rPr>
                            <w:sz w:val="28"/>
                            <w:szCs w:val="28"/>
                          </w:rPr>
                        </w:pPr>
                      </w:p>
                      <w:p>
                        <w:pPr>
                          <w:pStyle w:val="8"/>
                          <w:kinsoku w:val="0"/>
                          <w:overflowPunct w:val="0"/>
                          <w:spacing w:before="0"/>
                          <w:ind w:left="107"/>
                        </w:pPr>
                        <w:r>
                          <w:rPr>
                            <w:rFonts w:hint="eastAsia"/>
                          </w:rPr>
                          <w:t>法定代表人身份证复印件（反面）</w:t>
                        </w:r>
                      </w:p>
                    </w:txbxContent>
                  </v:textbox>
                </v:shape>
                <w10:wrap type="none"/>
                <w10:anchorlock/>
              </v:group>
            </w:pict>
          </mc:Fallback>
        </mc:AlternateContent>
      </w:r>
    </w:p>
    <w:p>
      <w:pPr>
        <w:pStyle w:val="8"/>
        <w:kinsoku w:val="0"/>
        <w:overflowPunct w:val="0"/>
        <w:spacing w:before="0"/>
        <w:ind w:left="0"/>
        <w:rPr>
          <w:rFonts w:hint="eastAsia" w:ascii="宋体" w:hAnsi="宋体" w:eastAsia="宋体" w:cs="宋体"/>
          <w:sz w:val="20"/>
          <w:szCs w:val="20"/>
          <w:highlight w:val="none"/>
        </w:rPr>
      </w:pPr>
    </w:p>
    <w:p>
      <w:pPr>
        <w:wordWrap w:val="0"/>
        <w:spacing w:line="420" w:lineRule="exact"/>
        <w:ind w:firstLine="480" w:firstLineChars="200"/>
        <w:jc w:val="right"/>
        <w:rPr>
          <w:rFonts w:hint="eastAsia" w:ascii="宋体" w:hAnsi="宋体" w:eastAsia="宋体" w:cs="宋体"/>
          <w:kern w:val="0"/>
          <w:sz w:val="24"/>
          <w:szCs w:val="24"/>
          <w:highlight w:val="none"/>
        </w:rPr>
      </w:pPr>
    </w:p>
    <w:p>
      <w:pPr>
        <w:spacing w:line="420" w:lineRule="exact"/>
        <w:ind w:firstLine="480" w:firstLineChars="200"/>
        <w:jc w:val="right"/>
        <w:rPr>
          <w:rFonts w:hint="eastAsia" w:ascii="宋体" w:hAnsi="宋体" w:eastAsia="宋体" w:cs="宋体"/>
          <w:kern w:val="0"/>
          <w:sz w:val="24"/>
          <w:szCs w:val="24"/>
          <w:highlight w:val="none"/>
        </w:rPr>
      </w:pPr>
    </w:p>
    <w:p>
      <w:pPr>
        <w:spacing w:line="420" w:lineRule="exact"/>
        <w:ind w:firstLine="480" w:firstLineChars="200"/>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供应商：</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（公章）</w:t>
      </w:r>
    </w:p>
    <w:p>
      <w:pPr>
        <w:wordWrap w:val="0"/>
        <w:spacing w:line="420" w:lineRule="exact"/>
        <w:ind w:right="480" w:firstLine="480" w:firstLineChars="20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年</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月</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日 </w:t>
      </w:r>
    </w:p>
    <w:p>
      <w:pPr>
        <w:pStyle w:val="8"/>
        <w:kinsoku w:val="0"/>
        <w:overflowPunct w:val="0"/>
        <w:spacing w:before="34" w:line="357" w:lineRule="auto"/>
        <w:ind w:right="126" w:firstLine="480"/>
        <w:jc w:val="center"/>
        <w:outlineLvl w:val="1"/>
        <w:rPr>
          <w:rFonts w:hint="eastAsia" w:ascii="宋体" w:hAnsi="宋体" w:eastAsia="宋体" w:cs="宋体"/>
          <w:b/>
          <w:bCs/>
          <w:highlight w:val="none"/>
        </w:rPr>
      </w:pPr>
      <w:r>
        <w:rPr>
          <w:rFonts w:hint="eastAsia" w:ascii="宋体" w:hAnsi="宋体" w:eastAsia="宋体" w:cs="宋体"/>
          <w:highlight w:val="none"/>
        </w:rPr>
        <w:br w:type="page"/>
      </w:r>
      <w:r>
        <w:rPr>
          <w:rFonts w:hint="eastAsia" w:ascii="宋体" w:hAnsi="宋体" w:eastAsia="宋体" w:cs="宋体"/>
          <w:b/>
          <w:bCs/>
          <w:sz w:val="36"/>
          <w:szCs w:val="36"/>
          <w:highlight w:val="none"/>
        </w:rPr>
        <w:t>三、授权委托书</w:t>
      </w:r>
    </w:p>
    <w:p>
      <w:pPr>
        <w:pStyle w:val="8"/>
        <w:kinsoku w:val="0"/>
        <w:overflowPunct w:val="0"/>
        <w:spacing w:before="2"/>
        <w:ind w:left="0"/>
        <w:rPr>
          <w:rFonts w:hint="eastAsia" w:ascii="宋体" w:hAnsi="宋体" w:eastAsia="宋体" w:cs="宋体"/>
          <w:b/>
          <w:bCs/>
          <w:sz w:val="21"/>
          <w:szCs w:val="21"/>
          <w:highlight w:val="none"/>
        </w:rPr>
      </w:pPr>
    </w:p>
    <w:p>
      <w:pPr>
        <w:spacing w:line="420" w:lineRule="exac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致：采购人名称 </w:t>
      </w:r>
    </w:p>
    <w:p>
      <w:pPr>
        <w:spacing w:line="42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本授权书声明：注册于</w:t>
      </w:r>
      <w:r>
        <w:rPr>
          <w:rFonts w:hint="eastAsia" w:ascii="宋体" w:hAnsi="宋体" w:eastAsia="宋体" w:cs="宋体"/>
          <w:kern w:val="0"/>
          <w:sz w:val="24"/>
          <w:szCs w:val="24"/>
          <w:highlight w:val="none"/>
          <w:u w:val="single"/>
        </w:rPr>
        <w:t>（投标人地址）</w:t>
      </w:r>
      <w:r>
        <w:rPr>
          <w:rFonts w:hint="eastAsia" w:ascii="宋体" w:hAnsi="宋体" w:eastAsia="宋体" w:cs="宋体"/>
          <w:kern w:val="0"/>
          <w:sz w:val="24"/>
          <w:szCs w:val="24"/>
          <w:highlight w:val="none"/>
        </w:rPr>
        <w:t>的</w:t>
      </w:r>
      <w:r>
        <w:rPr>
          <w:rFonts w:hint="eastAsia" w:ascii="宋体" w:hAnsi="宋体" w:eastAsia="宋体" w:cs="宋体"/>
          <w:kern w:val="0"/>
          <w:sz w:val="24"/>
          <w:szCs w:val="24"/>
          <w:highlight w:val="none"/>
          <w:u w:val="single"/>
        </w:rPr>
        <w:t>（投标人名称）</w:t>
      </w:r>
      <w:r>
        <w:rPr>
          <w:rFonts w:hint="eastAsia" w:ascii="宋体" w:hAnsi="宋体" w:eastAsia="宋体" w:cs="宋体"/>
          <w:kern w:val="0"/>
          <w:sz w:val="24"/>
          <w:szCs w:val="24"/>
          <w:highlight w:val="none"/>
        </w:rPr>
        <w:t>法定代表人（负责人）</w:t>
      </w:r>
      <w:r>
        <w:rPr>
          <w:rFonts w:hint="eastAsia" w:ascii="宋体" w:hAnsi="宋体" w:eastAsia="宋体" w:cs="宋体"/>
          <w:kern w:val="0"/>
          <w:sz w:val="24"/>
          <w:szCs w:val="24"/>
          <w:highlight w:val="none"/>
          <w:u w:val="single"/>
        </w:rPr>
        <w:t>姓名、职务或职称）</w:t>
      </w:r>
      <w:r>
        <w:rPr>
          <w:rFonts w:hint="eastAsia" w:ascii="宋体" w:hAnsi="宋体" w:eastAsia="宋体" w:cs="宋体"/>
          <w:kern w:val="0"/>
          <w:sz w:val="24"/>
          <w:szCs w:val="24"/>
          <w:highlight w:val="none"/>
        </w:rPr>
        <w:t>代表本公司授权</w:t>
      </w:r>
      <w:r>
        <w:rPr>
          <w:rFonts w:hint="eastAsia" w:ascii="宋体" w:hAnsi="宋体" w:eastAsia="宋体" w:cs="宋体"/>
          <w:kern w:val="0"/>
          <w:sz w:val="24"/>
          <w:szCs w:val="24"/>
          <w:highlight w:val="none"/>
          <w:u w:val="single"/>
        </w:rPr>
        <w:t>（姓名）</w:t>
      </w:r>
      <w:r>
        <w:rPr>
          <w:rFonts w:hint="eastAsia" w:ascii="宋体" w:hAnsi="宋体" w:eastAsia="宋体" w:cs="宋体"/>
          <w:kern w:val="0"/>
          <w:sz w:val="24"/>
          <w:szCs w:val="24"/>
          <w:highlight w:val="none"/>
        </w:rPr>
        <w:t>为本单位的合法代理人，参与贵方组织的</w:t>
      </w:r>
      <w:r>
        <w:rPr>
          <w:rFonts w:hint="eastAsia" w:ascii="宋体" w:hAnsi="宋体" w:eastAsia="宋体" w:cs="宋体"/>
          <w:kern w:val="0"/>
          <w:sz w:val="24"/>
          <w:szCs w:val="24"/>
          <w:highlight w:val="none"/>
          <w:u w:val="single"/>
        </w:rPr>
        <w:t>（项目名称及项目编号）</w:t>
      </w:r>
      <w:r>
        <w:rPr>
          <w:rFonts w:hint="eastAsia" w:ascii="宋体" w:hAnsi="宋体" w:eastAsia="宋体" w:cs="宋体"/>
          <w:kern w:val="0"/>
          <w:sz w:val="24"/>
          <w:szCs w:val="24"/>
          <w:highlight w:val="none"/>
        </w:rPr>
        <w:t xml:space="preserve"> 的投标、谈判、签约等具体工作，并签署全部有关文件、协议及合同。</w:t>
      </w:r>
    </w:p>
    <w:p>
      <w:pPr>
        <w:spacing w:line="42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我单位对被授权人的上述经济活动负全部责任。在撤销授权的书面通知前，本授权书一直有效。被授权人在授权书有效期内签署的所有文件不因授权的撤消而失效。</w:t>
      </w:r>
    </w:p>
    <w:p>
      <w:pPr>
        <w:pStyle w:val="8"/>
        <w:kinsoku w:val="0"/>
        <w:overflowPunct w:val="0"/>
        <w:spacing w:before="12"/>
        <w:ind w:left="0"/>
        <w:rPr>
          <w:rFonts w:hint="eastAsia" w:ascii="宋体" w:hAnsi="宋体" w:eastAsia="宋体" w:cs="宋体"/>
          <w:sz w:val="4"/>
          <w:szCs w:val="4"/>
          <w:highlight w:val="none"/>
        </w:rPr>
      </w:pPr>
    </w:p>
    <w:p>
      <w:pPr>
        <w:pStyle w:val="8"/>
        <w:kinsoku w:val="0"/>
        <w:overflowPunct w:val="0"/>
        <w:spacing w:before="0" w:line="200" w:lineRule="atLeast"/>
        <w:ind w:left="628"/>
        <w:rPr>
          <w:rFonts w:hint="eastAsia" w:ascii="宋体" w:hAnsi="宋体" w:eastAsia="宋体" w:cs="宋体"/>
          <w:sz w:val="20"/>
          <w:szCs w:val="20"/>
          <w:highlight w:val="none"/>
        </w:rPr>
      </w:pPr>
      <w:r>
        <w:rPr>
          <w:rFonts w:hint="eastAsia" w:ascii="宋体" w:hAnsi="宋体" w:eastAsia="宋体" w:cs="宋体"/>
          <w:sz w:val="20"/>
          <w:szCs w:val="20"/>
          <w:highlight w:val="none"/>
        </w:rPr>
        <mc:AlternateContent>
          <mc:Choice Requires="wpg">
            <w:drawing>
              <wp:inline distT="0" distB="0" distL="114300" distR="114300">
                <wp:extent cx="5136515" cy="1458595"/>
                <wp:effectExtent l="0" t="0" r="8255" b="9525"/>
                <wp:docPr id="107" name="组合 107"/>
                <wp:cNvGraphicFramePr/>
                <a:graphic xmlns:a="http://schemas.openxmlformats.org/drawingml/2006/main">
                  <a:graphicData uri="http://schemas.microsoft.com/office/word/2010/wordprocessingGroup">
                    <wpg:wgp>
                      <wpg:cNvGrpSpPr>
                        <a:grpSpLocks noRot="1"/>
                      </wpg:cNvGrpSpPr>
                      <wpg:grpSpPr>
                        <a:xfrm>
                          <a:off x="0" y="0"/>
                          <a:ext cx="5136515" cy="1458595"/>
                          <a:chOff x="0" y="0"/>
                          <a:chExt cx="8089" cy="2297"/>
                        </a:xfrm>
                      </wpg:grpSpPr>
                      <wps:wsp>
                        <wps:cNvPr id="95" name="任意多边形 95"/>
                        <wps:cNvSpPr/>
                        <wps:spPr>
                          <a:xfrm>
                            <a:off x="4" y="9"/>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96" name="任意多边形 96"/>
                        <wps:cNvSpPr/>
                        <wps:spPr>
                          <a:xfrm>
                            <a:off x="24" y="28"/>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97" name="任意多边形 97"/>
                        <wps:cNvSpPr/>
                        <wps:spPr>
                          <a:xfrm>
                            <a:off x="24" y="2267"/>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98" name="任意多边形 98"/>
                        <wps:cNvSpPr/>
                        <wps:spPr>
                          <a:xfrm>
                            <a:off x="4" y="2286"/>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99" name="任意多边形 99"/>
                        <wps:cNvSpPr/>
                        <wps:spPr>
                          <a:xfrm>
                            <a:off x="9" y="4"/>
                            <a:ext cx="20" cy="2287"/>
                          </a:xfrm>
                          <a:custGeom>
                            <a:avLst/>
                            <a:gdLst/>
                            <a:ahLst/>
                            <a:cxnLst/>
                            <a:pathLst>
                              <a:path w="20" h="2287">
                                <a:moveTo>
                                  <a:pt x="0" y="0"/>
                                </a:moveTo>
                                <a:lnTo>
                                  <a:pt x="0" y="2286"/>
                                </a:lnTo>
                              </a:path>
                            </a:pathLst>
                          </a:custGeom>
                          <a:noFill/>
                          <a:ln w="6096" cap="flat" cmpd="sng">
                            <a:solidFill>
                              <a:srgbClr val="000000"/>
                            </a:solidFill>
                            <a:prstDash val="solid"/>
                            <a:headEnd type="none" w="med" len="med"/>
                            <a:tailEnd type="none" w="med" len="med"/>
                          </a:ln>
                        </wps:spPr>
                        <wps:bodyPr upright="1"/>
                      </wps:wsp>
                      <wps:wsp>
                        <wps:cNvPr id="100" name="任意多边形 100"/>
                        <wps:cNvSpPr/>
                        <wps:spPr>
                          <a:xfrm>
                            <a:off x="28" y="24"/>
                            <a:ext cx="20" cy="2249"/>
                          </a:xfrm>
                          <a:custGeom>
                            <a:avLst/>
                            <a:gdLst/>
                            <a:ahLst/>
                            <a:cxnLst/>
                            <a:pathLst>
                              <a:path w="20" h="2249">
                                <a:moveTo>
                                  <a:pt x="0" y="0"/>
                                </a:moveTo>
                                <a:lnTo>
                                  <a:pt x="0" y="2248"/>
                                </a:lnTo>
                              </a:path>
                            </a:pathLst>
                          </a:custGeom>
                          <a:noFill/>
                          <a:ln w="6096" cap="flat" cmpd="sng">
                            <a:solidFill>
                              <a:srgbClr val="000000"/>
                            </a:solidFill>
                            <a:prstDash val="solid"/>
                            <a:headEnd type="none" w="med" len="med"/>
                            <a:tailEnd type="none" w="med" len="med"/>
                          </a:ln>
                        </wps:spPr>
                        <wps:bodyPr upright="1"/>
                      </wps:wsp>
                      <wps:wsp>
                        <wps:cNvPr id="101" name="任意多边形 101"/>
                        <wps:cNvSpPr/>
                        <wps:spPr>
                          <a:xfrm>
                            <a:off x="4034" y="24"/>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102" name="任意多边形 102"/>
                        <wps:cNvSpPr/>
                        <wps:spPr>
                          <a:xfrm>
                            <a:off x="4053" y="24"/>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103" name="任意多边形 103"/>
                        <wps:cNvSpPr/>
                        <wps:spPr>
                          <a:xfrm>
                            <a:off x="8059" y="33"/>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104" name="任意多边形 104"/>
                        <wps:cNvSpPr/>
                        <wps:spPr>
                          <a:xfrm>
                            <a:off x="8078" y="14"/>
                            <a:ext cx="20" cy="2278"/>
                          </a:xfrm>
                          <a:custGeom>
                            <a:avLst/>
                            <a:gdLst/>
                            <a:ahLst/>
                            <a:cxnLst/>
                            <a:pathLst>
                              <a:path w="20" h="2278">
                                <a:moveTo>
                                  <a:pt x="0" y="0"/>
                                </a:moveTo>
                                <a:lnTo>
                                  <a:pt x="0" y="2277"/>
                                </a:lnTo>
                              </a:path>
                            </a:pathLst>
                          </a:custGeom>
                          <a:noFill/>
                          <a:ln w="6096" cap="flat" cmpd="sng">
                            <a:solidFill>
                              <a:srgbClr val="000000"/>
                            </a:solidFill>
                            <a:prstDash val="solid"/>
                            <a:headEnd type="none" w="med" len="med"/>
                            <a:tailEnd type="none" w="med" len="med"/>
                          </a:ln>
                        </wps:spPr>
                        <wps:bodyPr upright="1"/>
                      </wps:wsp>
                      <wps:wsp>
                        <wps:cNvPr id="105" name="文本框 105"/>
                        <wps:cNvSpPr txBox="1"/>
                        <wps:spPr>
                          <a:xfrm>
                            <a:off x="19" y="19"/>
                            <a:ext cx="4025" cy="2258"/>
                          </a:xfrm>
                          <a:prstGeom prst="rect">
                            <a:avLst/>
                          </a:prstGeom>
                          <a:noFill/>
                          <a:ln>
                            <a:noFill/>
                          </a:ln>
                        </wps:spPr>
                        <wps:txbx>
                          <w:txbxContent>
                            <w:p>
                              <w:pPr>
                                <w:pStyle w:val="8"/>
                                <w:kinsoku w:val="0"/>
                                <w:overflowPunct w:val="0"/>
                                <w:spacing w:before="0"/>
                                <w:ind w:left="0"/>
                              </w:pPr>
                            </w:p>
                            <w:p>
                              <w:pPr>
                                <w:pStyle w:val="8"/>
                                <w:kinsoku w:val="0"/>
                                <w:overflowPunct w:val="0"/>
                                <w:spacing w:before="0"/>
                                <w:ind w:left="0"/>
                              </w:pPr>
                            </w:p>
                            <w:p>
                              <w:pPr>
                                <w:pStyle w:val="8"/>
                                <w:kinsoku w:val="0"/>
                                <w:overflowPunct w:val="0"/>
                                <w:spacing w:before="12"/>
                                <w:ind w:left="0"/>
                                <w:rPr>
                                  <w:sz w:val="28"/>
                                  <w:szCs w:val="28"/>
                                </w:rPr>
                              </w:pPr>
                            </w:p>
                            <w:p>
                              <w:pPr>
                                <w:pStyle w:val="8"/>
                                <w:kinsoku w:val="0"/>
                                <w:overflowPunct w:val="0"/>
                                <w:spacing w:before="0"/>
                                <w:ind w:left="107"/>
                              </w:pPr>
                              <w:r>
                                <w:rPr>
                                  <w:rFonts w:hint="eastAsia"/>
                                </w:rPr>
                                <w:t>授权人身份证复印件（正面）</w:t>
                              </w:r>
                            </w:p>
                          </w:txbxContent>
                        </wps:txbx>
                        <wps:bodyPr lIns="0" tIns="0" rIns="0" bIns="0" upright="1"/>
                      </wps:wsp>
                      <wps:wsp>
                        <wps:cNvPr id="106" name="文本框 106"/>
                        <wps:cNvSpPr txBox="1"/>
                        <wps:spPr>
                          <a:xfrm>
                            <a:off x="4044" y="19"/>
                            <a:ext cx="4025" cy="2258"/>
                          </a:xfrm>
                          <a:prstGeom prst="rect">
                            <a:avLst/>
                          </a:prstGeom>
                          <a:noFill/>
                          <a:ln>
                            <a:noFill/>
                          </a:ln>
                        </wps:spPr>
                        <wps:txbx>
                          <w:txbxContent>
                            <w:p>
                              <w:pPr>
                                <w:pStyle w:val="8"/>
                                <w:kinsoku w:val="0"/>
                                <w:overflowPunct w:val="0"/>
                                <w:spacing w:before="0"/>
                                <w:ind w:left="0"/>
                              </w:pPr>
                            </w:p>
                            <w:p>
                              <w:pPr>
                                <w:pStyle w:val="8"/>
                                <w:kinsoku w:val="0"/>
                                <w:overflowPunct w:val="0"/>
                                <w:spacing w:before="0"/>
                                <w:ind w:left="0"/>
                              </w:pPr>
                            </w:p>
                            <w:p>
                              <w:pPr>
                                <w:pStyle w:val="8"/>
                                <w:kinsoku w:val="0"/>
                                <w:overflowPunct w:val="0"/>
                                <w:spacing w:before="12"/>
                                <w:ind w:left="0"/>
                                <w:rPr>
                                  <w:sz w:val="28"/>
                                  <w:szCs w:val="28"/>
                                </w:rPr>
                              </w:pPr>
                            </w:p>
                            <w:p>
                              <w:pPr>
                                <w:pStyle w:val="8"/>
                                <w:kinsoku w:val="0"/>
                                <w:overflowPunct w:val="0"/>
                                <w:spacing w:before="0"/>
                                <w:ind w:left="107"/>
                              </w:pPr>
                              <w:r>
                                <w:rPr>
                                  <w:rFonts w:hint="eastAsia"/>
                                </w:rPr>
                                <w:t>授权人身份证复印件（反面）</w:t>
                              </w:r>
                            </w:p>
                          </w:txbxContent>
                        </wps:txbx>
                        <wps:bodyPr lIns="0" tIns="0" rIns="0" bIns="0" upright="1"/>
                      </wps:wsp>
                    </wpg:wgp>
                  </a:graphicData>
                </a:graphic>
              </wp:inline>
            </w:drawing>
          </mc:Choice>
          <mc:Fallback>
            <w:pict>
              <v:group id="_x0000_s1026" o:spid="_x0000_s1026" o:spt="203" style="height:114.85pt;width:404.45pt;" coordsize="8089,2297" o:gfxdata="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">
                <o:lock v:ext="edit" rotation="t" aspectratio="f"/>
                <v:shape id="_x0000_s1026" o:spid="_x0000_s1026" o:spt="100" style="position:absolute;left:4;top:9;height:20;width:8079;" filled="f" stroked="t" coordsize="8079,20" o:gfxdata="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AYIEvQAA&#10;ANsAAAAPAAAAAAAAAAEAIAAAACIAAABkcnMvZG93bnJldi54bWxQSwECFAAUAAAACACHTuJAMy8F&#10;njsAAAA5AAAAEAAAAAAAAAABACAAAAAMAQAAZHJzL3NoYXBleG1sLnhtbFBLBQYAAAAABgAGAFsB&#10;AAC2AwAAAAA=&#10;" path="m0,0l8078,0e">
                  <v:fill on="f" focussize="0,0"/>
                  <v:stroke weight="0.48pt" color="#000000" joinstyle="round"/>
                  <v:imagedata o:title=""/>
                  <o:lock v:ext="edit" aspectratio="f"/>
                </v:shape>
                <v:shape id="_x0000_s1026" o:spid="_x0000_s1026" o:spt="100" style="position:absolute;left:24;top:28;height:20;width:8041;" filled="f" stroked="t" coordsize="8041,20" o:gfxdata="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7taWO8AAAA&#10;2wAAAA8AAAAAAAAAAQAgAAAAIgAAAGRycy9kb3ducmV2LnhtbFBLAQIUABQAAAAIAIdO4kAzLwWe&#10;OwAAADkAAAAQAAAAAAAAAAEAIAAAAAsBAABkcnMvc2hhcGV4bWwueG1sUEsFBgAAAAAGAAYAWwEA&#10;ALUDAAAAAA==&#10;" path="m0,0l8040,0e">
                  <v:fill on="f" focussize="0,0"/>
                  <v:stroke weight="0.48pt" color="#000000" joinstyle="round"/>
                  <v:imagedata o:title=""/>
                  <o:lock v:ext="edit" aspectratio="f"/>
                </v:shape>
                <v:shape id="_x0000_s1026" o:spid="_x0000_s1026" o:spt="100" style="position:absolute;left:24;top:2267;height:20;width:8041;" filled="f" stroked="t" coordsize="8041,20" o:gfxdata="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ocz4vQAA&#10;ANsAAAAPAAAAAAAAAAEAIAAAACIAAABkcnMvZG93bnJldi54bWxQSwECFAAUAAAACACHTuJAMy8F&#10;njsAAAA5AAAAEAAAAAAAAAABACAAAAAMAQAAZHJzL3NoYXBleG1sLnhtbFBLBQYAAAAABgAGAFsB&#10;AAC2AwAAAAA=&#10;" path="m0,0l8040,0e">
                  <v:fill on="f" focussize="0,0"/>
                  <v:stroke weight="0.48pt" color="#000000" joinstyle="round"/>
                  <v:imagedata o:title=""/>
                  <o:lock v:ext="edit" aspectratio="f"/>
                </v:shape>
                <v:shape id="_x0000_s1026" o:spid="_x0000_s1026" o:spt="100" style="position:absolute;left:4;top:2286;height:20;width:8079;" filled="f" stroked="t" coordsize="8079,20" o:gfxdata="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YALZq5AAAA2wAA&#10;AA8AAAAAAAAAAQAgAAAAIgAAAGRycy9kb3ducmV2LnhtbFBLAQIUABQAAAAIAIdO4kAzLwWeOwAA&#10;ADkAAAAQAAAAAAAAAAEAIAAAAAgBAABkcnMvc2hhcGV4bWwueG1sUEsFBgAAAAAGAAYAWwEAALID&#10;AAAAAA==&#10;" path="m0,0l8078,0e">
                  <v:fill on="f" focussize="0,0"/>
                  <v:stroke weight="0.48pt" color="#000000" joinstyle="round"/>
                  <v:imagedata o:title=""/>
                  <o:lock v:ext="edit" aspectratio="f"/>
                </v:shape>
                <v:shape id="_x0000_s1026" o:spid="_x0000_s1026" o:spt="100" style="position:absolute;left:9;top:4;height:2287;width:20;" filled="f" stroked="t" coordsize="20,2287" o:gfxdata="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lyTvQAA&#10;ANsAAAAPAAAAAAAAAAEAIAAAACIAAABkcnMvZG93bnJldi54bWxQSwECFAAUAAAACACHTuJAMy8F&#10;njsAAAA5AAAAEAAAAAAAAAABACAAAAAMAQAAZHJzL3NoYXBleG1sLnhtbFBLBQYAAAAABgAGAFsB&#10;AAC2AwAAAAA=&#10;" path="m0,0l0,2286e">
                  <v:fill on="f" focussize="0,0"/>
                  <v:stroke weight="0.48pt" color="#000000" joinstyle="round"/>
                  <v:imagedata o:title=""/>
                  <o:lock v:ext="edit" aspectratio="f"/>
                </v:shape>
                <v:shape id="_x0000_s1026" o:spid="_x0000_s1026" o:spt="100" style="position:absolute;left:28;top:24;height:2249;width:20;" filled="f" stroked="t" coordsize="20,2249" o:gfxdata="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Wkm+Y&#10;wAAAANwAAAAPAAAAAAAAAAEAIAAAACIAAABkcnMvZG93bnJldi54bWxQSwECFAAUAAAACACHTuJA&#10;My8FnjsAAAA5AAAAEAAAAAAAAAABACAAAAAPAQAAZHJzL3NoYXBleG1sLnhtbFBLBQYAAAAABgAG&#10;AFsBAAC5AwAAAAA=&#10;" path="m0,0l0,2248e">
                  <v:fill on="f" focussize="0,0"/>
                  <v:stroke weight="0.48pt" color="#000000" joinstyle="round"/>
                  <v:imagedata o:title=""/>
                  <o:lock v:ext="edit" aspectratio="f"/>
                </v:shape>
                <v:shape id="_x0000_s1026" o:spid="_x0000_s1026" o:spt="100" style="position:absolute;left:4034;top:24;height:2239;width:20;" filled="f" stroked="t" coordsize="20,2239" o:gfxdata="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k+cJm5AAAA3AAA&#10;AA8AAAAAAAAAAQAgAAAAIgAAAGRycy9kb3ducmV2LnhtbFBLAQIUABQAAAAIAIdO4kAzLwWeOwAA&#10;ADkAAAAQAAAAAAAAAAEAIAAAAAgBAABkcnMvc2hhcGV4bWwueG1sUEsFBgAAAAAGAAYAWwEAALID&#10;AAAAAA==&#10;" path="m0,0l0,2238e">
                  <v:fill on="f" focussize="0,0"/>
                  <v:stroke weight="0.48pt" color="#000000" joinstyle="round"/>
                  <v:imagedata o:title=""/>
                  <o:lock v:ext="edit" aspectratio="f"/>
                </v:shape>
                <v:shape id="_x0000_s1026" o:spid="_x0000_s1026" o:spt="100" style="position:absolute;left:4053;top:24;height:2239;width:20;" filled="f" stroked="t" coordsize="20,2239" o:gfxdata="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Cezu7rgAAADcAAAA&#10;DwAAAAAAAAABACAAAAAiAAAAZHJzL2Rvd25yZXYueG1sUEsBAhQAFAAAAAgAh07iQDMvBZ47AAAA&#10;OQAAABAAAAAAAAAAAQAgAAAABwEAAGRycy9zaGFwZXhtbC54bWxQSwUGAAAAAAYABgBbAQAAsQMA&#10;AAAA&#10;" path="m0,0l0,2238e">
                  <v:fill on="f" focussize="0,0"/>
                  <v:stroke weight="0.48pt" color="#000000" joinstyle="round"/>
                  <v:imagedata o:title=""/>
                  <o:lock v:ext="edit" aspectratio="f"/>
                </v:shape>
                <v:shape id="_x0000_s1026" o:spid="_x0000_s1026" o:spt="100" style="position:absolute;left:8059;top:33;height:2239;width:20;" filled="f" stroked="t" coordsize="20,2239" o:gfxdata="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agS3W5AAAA3AAA&#10;AA8AAAAAAAAAAQAgAAAAIgAAAGRycy9kb3ducmV2LnhtbFBLAQIUABQAAAAIAIdO4kAzLwWeOwAA&#10;ADkAAAAQAAAAAAAAAAEAIAAAAAgBAABkcnMvc2hhcGV4bWwueG1sUEsFBgAAAAAGAAYAWwEAALID&#10;AAAAAA==&#10;" path="m0,0l0,2238e">
                  <v:fill on="f" focussize="0,0"/>
                  <v:stroke weight="0.48pt" color="#000000" joinstyle="round"/>
                  <v:imagedata o:title=""/>
                  <o:lock v:ext="edit" aspectratio="f"/>
                </v:shape>
                <v:shape id="_x0000_s1026" o:spid="_x0000_s1026" o:spt="100" style="position:absolute;left:8078;top:14;height:2278;width:20;" filled="f" stroked="t" coordsize="20,2278" o:gfxdata="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yDuIG8AAAA&#10;3AAAAA8AAAAAAAAAAQAgAAAAIgAAAGRycy9kb3ducmV2LnhtbFBLAQIUABQAAAAIAIdO4kAzLwWe&#10;OwAAADkAAAAQAAAAAAAAAAEAIAAAAAsBAABkcnMvc2hhcGV4bWwueG1sUEsFBgAAAAAGAAYAWwEA&#10;ALUDAAAAAA==&#10;" path="m0,0l0,2277e">
                  <v:fill on="f" focussize="0,0"/>
                  <v:stroke weight="0.48pt" color="#000000" joinstyle="round"/>
                  <v:imagedata o:title=""/>
                  <o:lock v:ext="edit" aspectratio="f"/>
                </v:shape>
                <v:shape id="_x0000_s1026" o:spid="_x0000_s1026" o:spt="202" type="#_x0000_t202" style="position:absolute;left:19;top:19;height:2258;width:4025;" filled="f" stroked="f" coordsize="21600,21600" o:gfxdata="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f39fq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pStyle w:val="8"/>
                          <w:kinsoku w:val="0"/>
                          <w:overflowPunct w:val="0"/>
                          <w:spacing w:before="0"/>
                          <w:ind w:left="0"/>
                        </w:pPr>
                      </w:p>
                      <w:p>
                        <w:pPr>
                          <w:pStyle w:val="8"/>
                          <w:kinsoku w:val="0"/>
                          <w:overflowPunct w:val="0"/>
                          <w:spacing w:before="0"/>
                          <w:ind w:left="0"/>
                        </w:pPr>
                      </w:p>
                      <w:p>
                        <w:pPr>
                          <w:pStyle w:val="8"/>
                          <w:kinsoku w:val="0"/>
                          <w:overflowPunct w:val="0"/>
                          <w:spacing w:before="12"/>
                          <w:ind w:left="0"/>
                          <w:rPr>
                            <w:sz w:val="28"/>
                            <w:szCs w:val="28"/>
                          </w:rPr>
                        </w:pPr>
                      </w:p>
                      <w:p>
                        <w:pPr>
                          <w:pStyle w:val="8"/>
                          <w:kinsoku w:val="0"/>
                          <w:overflowPunct w:val="0"/>
                          <w:spacing w:before="0"/>
                          <w:ind w:left="107"/>
                        </w:pPr>
                        <w:r>
                          <w:rPr>
                            <w:rFonts w:hint="eastAsia"/>
                          </w:rPr>
                          <w:t>授权人身份证复印件（正面）</w:t>
                        </w:r>
                      </w:p>
                    </w:txbxContent>
                  </v:textbox>
                </v:shape>
                <v:shape id="_x0000_s1026" o:spid="_x0000_s1026" o:spt="202" type="#_x0000_t202" style="position:absolute;left:4044;top:19;height:2258;width:4025;" filled="f" stroked="f" coordsize="21600,21600" o:gfxdata="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cla42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pStyle w:val="8"/>
                          <w:kinsoku w:val="0"/>
                          <w:overflowPunct w:val="0"/>
                          <w:spacing w:before="0"/>
                          <w:ind w:left="0"/>
                        </w:pPr>
                      </w:p>
                      <w:p>
                        <w:pPr>
                          <w:pStyle w:val="8"/>
                          <w:kinsoku w:val="0"/>
                          <w:overflowPunct w:val="0"/>
                          <w:spacing w:before="0"/>
                          <w:ind w:left="0"/>
                        </w:pPr>
                      </w:p>
                      <w:p>
                        <w:pPr>
                          <w:pStyle w:val="8"/>
                          <w:kinsoku w:val="0"/>
                          <w:overflowPunct w:val="0"/>
                          <w:spacing w:before="12"/>
                          <w:ind w:left="0"/>
                          <w:rPr>
                            <w:sz w:val="28"/>
                            <w:szCs w:val="28"/>
                          </w:rPr>
                        </w:pPr>
                      </w:p>
                      <w:p>
                        <w:pPr>
                          <w:pStyle w:val="8"/>
                          <w:kinsoku w:val="0"/>
                          <w:overflowPunct w:val="0"/>
                          <w:spacing w:before="0"/>
                          <w:ind w:left="107"/>
                        </w:pPr>
                        <w:r>
                          <w:rPr>
                            <w:rFonts w:hint="eastAsia"/>
                          </w:rPr>
                          <w:t>授权人身份证复印件（反面）</w:t>
                        </w:r>
                      </w:p>
                    </w:txbxContent>
                  </v:textbox>
                </v:shape>
                <w10:wrap type="none"/>
                <w10:anchorlock/>
              </v:group>
            </w:pict>
          </mc:Fallback>
        </mc:AlternateContent>
      </w:r>
    </w:p>
    <w:p>
      <w:pPr>
        <w:pStyle w:val="8"/>
        <w:kinsoku w:val="0"/>
        <w:overflowPunct w:val="0"/>
        <w:spacing w:before="0"/>
        <w:ind w:left="0"/>
        <w:rPr>
          <w:rFonts w:hint="eastAsia" w:ascii="宋体" w:hAnsi="宋体" w:eastAsia="宋体" w:cs="宋体"/>
          <w:sz w:val="20"/>
          <w:szCs w:val="20"/>
          <w:highlight w:val="none"/>
        </w:rPr>
      </w:pPr>
    </w:p>
    <w:p>
      <w:pPr>
        <w:pStyle w:val="8"/>
        <w:kinsoku w:val="0"/>
        <w:overflowPunct w:val="0"/>
        <w:spacing w:before="1"/>
        <w:ind w:left="0"/>
        <w:rPr>
          <w:rFonts w:hint="eastAsia" w:ascii="宋体" w:hAnsi="宋体" w:eastAsia="宋体" w:cs="宋体"/>
          <w:sz w:val="19"/>
          <w:szCs w:val="19"/>
          <w:highlight w:val="none"/>
        </w:rPr>
      </w:pPr>
    </w:p>
    <w:p>
      <w:pPr>
        <w:pStyle w:val="8"/>
        <w:kinsoku w:val="0"/>
        <w:overflowPunct w:val="0"/>
        <w:spacing w:before="0" w:line="200" w:lineRule="atLeast"/>
        <w:ind w:left="628"/>
        <w:rPr>
          <w:rFonts w:hint="eastAsia" w:ascii="宋体" w:hAnsi="宋体" w:eastAsia="宋体" w:cs="宋体"/>
          <w:sz w:val="20"/>
          <w:szCs w:val="20"/>
          <w:highlight w:val="none"/>
        </w:rPr>
      </w:pPr>
      <w:r>
        <w:rPr>
          <w:rFonts w:hint="eastAsia" w:ascii="宋体" w:hAnsi="宋体" w:eastAsia="宋体" w:cs="宋体"/>
          <w:sz w:val="20"/>
          <w:szCs w:val="20"/>
          <w:highlight w:val="none"/>
        </w:rPr>
        <mc:AlternateContent>
          <mc:Choice Requires="wpg">
            <w:drawing>
              <wp:inline distT="0" distB="0" distL="114300" distR="114300">
                <wp:extent cx="5136515" cy="1384935"/>
                <wp:effectExtent l="0" t="0" r="7620" b="6985"/>
                <wp:docPr id="94" name="组合 94"/>
                <wp:cNvGraphicFramePr/>
                <a:graphic xmlns:a="http://schemas.openxmlformats.org/drawingml/2006/main">
                  <a:graphicData uri="http://schemas.microsoft.com/office/word/2010/wordprocessingGroup">
                    <wpg:wgp>
                      <wpg:cNvGrpSpPr>
                        <a:grpSpLocks noRot="1"/>
                      </wpg:cNvGrpSpPr>
                      <wpg:grpSpPr>
                        <a:xfrm>
                          <a:off x="0" y="0"/>
                          <a:ext cx="5136515" cy="1384935"/>
                          <a:chOff x="0" y="0"/>
                          <a:chExt cx="8089" cy="2181"/>
                        </a:xfrm>
                      </wpg:grpSpPr>
                      <wps:wsp>
                        <wps:cNvPr id="82" name="任意多边形 82"/>
                        <wps:cNvSpPr/>
                        <wps:spPr>
                          <a:xfrm>
                            <a:off x="4" y="9"/>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83" name="任意多边形 83"/>
                        <wps:cNvSpPr/>
                        <wps:spPr>
                          <a:xfrm>
                            <a:off x="24" y="28"/>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84" name="任意多边形 84"/>
                        <wps:cNvSpPr/>
                        <wps:spPr>
                          <a:xfrm>
                            <a:off x="24" y="2151"/>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85" name="任意多边形 85"/>
                        <wps:cNvSpPr/>
                        <wps:spPr>
                          <a:xfrm>
                            <a:off x="4" y="2170"/>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86" name="任意多边形 86"/>
                        <wps:cNvSpPr/>
                        <wps:spPr>
                          <a:xfrm>
                            <a:off x="9" y="4"/>
                            <a:ext cx="20" cy="2171"/>
                          </a:xfrm>
                          <a:custGeom>
                            <a:avLst/>
                            <a:gdLst/>
                            <a:ahLst/>
                            <a:cxnLst/>
                            <a:pathLst>
                              <a:path w="20" h="2171">
                                <a:moveTo>
                                  <a:pt x="0" y="0"/>
                                </a:moveTo>
                                <a:lnTo>
                                  <a:pt x="0" y="2170"/>
                                </a:lnTo>
                              </a:path>
                            </a:pathLst>
                          </a:custGeom>
                          <a:noFill/>
                          <a:ln w="6096" cap="flat" cmpd="sng">
                            <a:solidFill>
                              <a:srgbClr val="000000"/>
                            </a:solidFill>
                            <a:prstDash val="solid"/>
                            <a:headEnd type="none" w="med" len="med"/>
                            <a:tailEnd type="none" w="med" len="med"/>
                          </a:ln>
                        </wps:spPr>
                        <wps:bodyPr upright="1"/>
                      </wps:wsp>
                      <wps:wsp>
                        <wps:cNvPr id="87" name="任意多边形 87"/>
                        <wps:cNvSpPr/>
                        <wps:spPr>
                          <a:xfrm>
                            <a:off x="28" y="24"/>
                            <a:ext cx="20" cy="2133"/>
                          </a:xfrm>
                          <a:custGeom>
                            <a:avLst/>
                            <a:gdLst/>
                            <a:ahLst/>
                            <a:cxnLst/>
                            <a:pathLst>
                              <a:path w="20" h="2133">
                                <a:moveTo>
                                  <a:pt x="0" y="0"/>
                                </a:moveTo>
                                <a:lnTo>
                                  <a:pt x="0" y="2132"/>
                                </a:lnTo>
                              </a:path>
                            </a:pathLst>
                          </a:custGeom>
                          <a:noFill/>
                          <a:ln w="6096" cap="flat" cmpd="sng">
                            <a:solidFill>
                              <a:srgbClr val="000000"/>
                            </a:solidFill>
                            <a:prstDash val="solid"/>
                            <a:headEnd type="none" w="med" len="med"/>
                            <a:tailEnd type="none" w="med" len="med"/>
                          </a:ln>
                        </wps:spPr>
                        <wps:bodyPr upright="1"/>
                      </wps:wsp>
                      <wps:wsp>
                        <wps:cNvPr id="88" name="任意多边形 88"/>
                        <wps:cNvSpPr/>
                        <wps:spPr>
                          <a:xfrm>
                            <a:off x="4034" y="24"/>
                            <a:ext cx="20" cy="2123"/>
                          </a:xfrm>
                          <a:custGeom>
                            <a:avLst/>
                            <a:gdLst/>
                            <a:ahLst/>
                            <a:cxnLst/>
                            <a:pathLst>
                              <a:path w="20" h="2123">
                                <a:moveTo>
                                  <a:pt x="0" y="0"/>
                                </a:moveTo>
                                <a:lnTo>
                                  <a:pt x="0" y="2122"/>
                                </a:lnTo>
                              </a:path>
                            </a:pathLst>
                          </a:custGeom>
                          <a:noFill/>
                          <a:ln w="6096" cap="flat" cmpd="sng">
                            <a:solidFill>
                              <a:srgbClr val="000000"/>
                            </a:solidFill>
                            <a:prstDash val="solid"/>
                            <a:headEnd type="none" w="med" len="med"/>
                            <a:tailEnd type="none" w="med" len="med"/>
                          </a:ln>
                        </wps:spPr>
                        <wps:bodyPr upright="1"/>
                      </wps:wsp>
                      <wps:wsp>
                        <wps:cNvPr id="89" name="任意多边形 89"/>
                        <wps:cNvSpPr/>
                        <wps:spPr>
                          <a:xfrm>
                            <a:off x="4053" y="24"/>
                            <a:ext cx="20" cy="2123"/>
                          </a:xfrm>
                          <a:custGeom>
                            <a:avLst/>
                            <a:gdLst/>
                            <a:ahLst/>
                            <a:cxnLst/>
                            <a:pathLst>
                              <a:path w="20" h="2123">
                                <a:moveTo>
                                  <a:pt x="0" y="0"/>
                                </a:moveTo>
                                <a:lnTo>
                                  <a:pt x="0" y="2122"/>
                                </a:lnTo>
                              </a:path>
                            </a:pathLst>
                          </a:custGeom>
                          <a:noFill/>
                          <a:ln w="6096" cap="flat" cmpd="sng">
                            <a:solidFill>
                              <a:srgbClr val="000000"/>
                            </a:solidFill>
                            <a:prstDash val="solid"/>
                            <a:headEnd type="none" w="med" len="med"/>
                            <a:tailEnd type="none" w="med" len="med"/>
                          </a:ln>
                        </wps:spPr>
                        <wps:bodyPr upright="1"/>
                      </wps:wsp>
                      <wps:wsp>
                        <wps:cNvPr id="90" name="任意多边形 90"/>
                        <wps:cNvSpPr/>
                        <wps:spPr>
                          <a:xfrm>
                            <a:off x="8059" y="33"/>
                            <a:ext cx="20" cy="2123"/>
                          </a:xfrm>
                          <a:custGeom>
                            <a:avLst/>
                            <a:gdLst/>
                            <a:ahLst/>
                            <a:cxnLst/>
                            <a:pathLst>
                              <a:path w="20" h="2123">
                                <a:moveTo>
                                  <a:pt x="0" y="0"/>
                                </a:moveTo>
                                <a:lnTo>
                                  <a:pt x="0" y="2122"/>
                                </a:lnTo>
                              </a:path>
                            </a:pathLst>
                          </a:custGeom>
                          <a:noFill/>
                          <a:ln w="6096" cap="flat" cmpd="sng">
                            <a:solidFill>
                              <a:srgbClr val="000000"/>
                            </a:solidFill>
                            <a:prstDash val="solid"/>
                            <a:headEnd type="none" w="med" len="med"/>
                            <a:tailEnd type="none" w="med" len="med"/>
                          </a:ln>
                        </wps:spPr>
                        <wps:bodyPr upright="1"/>
                      </wps:wsp>
                      <wps:wsp>
                        <wps:cNvPr id="91" name="任意多边形 91"/>
                        <wps:cNvSpPr/>
                        <wps:spPr>
                          <a:xfrm>
                            <a:off x="8078" y="14"/>
                            <a:ext cx="20" cy="2162"/>
                          </a:xfrm>
                          <a:custGeom>
                            <a:avLst/>
                            <a:gdLst/>
                            <a:ahLst/>
                            <a:cxnLst/>
                            <a:pathLst>
                              <a:path w="20" h="2162">
                                <a:moveTo>
                                  <a:pt x="0" y="0"/>
                                </a:moveTo>
                                <a:lnTo>
                                  <a:pt x="0" y="2161"/>
                                </a:lnTo>
                              </a:path>
                            </a:pathLst>
                          </a:custGeom>
                          <a:noFill/>
                          <a:ln w="6096" cap="flat" cmpd="sng">
                            <a:solidFill>
                              <a:srgbClr val="000000"/>
                            </a:solidFill>
                            <a:prstDash val="solid"/>
                            <a:headEnd type="none" w="med" len="med"/>
                            <a:tailEnd type="none" w="med" len="med"/>
                          </a:ln>
                        </wps:spPr>
                        <wps:bodyPr upright="1"/>
                      </wps:wsp>
                      <wps:wsp>
                        <wps:cNvPr id="92" name="文本框 92"/>
                        <wps:cNvSpPr txBox="1"/>
                        <wps:spPr>
                          <a:xfrm>
                            <a:off x="19" y="19"/>
                            <a:ext cx="4025" cy="2142"/>
                          </a:xfrm>
                          <a:prstGeom prst="rect">
                            <a:avLst/>
                          </a:prstGeom>
                          <a:noFill/>
                          <a:ln>
                            <a:noFill/>
                          </a:ln>
                        </wps:spPr>
                        <wps:txbx>
                          <w:txbxContent>
                            <w:p>
                              <w:pPr>
                                <w:pStyle w:val="8"/>
                                <w:kinsoku w:val="0"/>
                                <w:overflowPunct w:val="0"/>
                                <w:spacing w:before="0"/>
                                <w:ind w:left="0"/>
                              </w:pPr>
                            </w:p>
                            <w:p>
                              <w:pPr>
                                <w:pStyle w:val="8"/>
                                <w:kinsoku w:val="0"/>
                                <w:overflowPunct w:val="0"/>
                                <w:spacing w:before="0"/>
                                <w:ind w:left="0"/>
                              </w:pPr>
                            </w:p>
                            <w:p>
                              <w:pPr>
                                <w:pStyle w:val="8"/>
                                <w:kinsoku w:val="0"/>
                                <w:overflowPunct w:val="0"/>
                                <w:spacing w:before="7"/>
                                <w:ind w:left="0"/>
                              </w:pPr>
                            </w:p>
                            <w:p>
                              <w:pPr>
                                <w:pStyle w:val="8"/>
                                <w:kinsoku w:val="0"/>
                                <w:overflowPunct w:val="0"/>
                                <w:spacing w:before="0"/>
                                <w:ind w:left="107"/>
                              </w:pPr>
                              <w:r>
                                <w:rPr>
                                  <w:rFonts w:hint="eastAsia"/>
                                </w:rPr>
                                <w:t>被授权代表身份证复印件（正面）</w:t>
                              </w:r>
                            </w:p>
                          </w:txbxContent>
                        </wps:txbx>
                        <wps:bodyPr lIns="0" tIns="0" rIns="0" bIns="0" upright="1"/>
                      </wps:wsp>
                      <wps:wsp>
                        <wps:cNvPr id="93" name="文本框 93"/>
                        <wps:cNvSpPr txBox="1"/>
                        <wps:spPr>
                          <a:xfrm>
                            <a:off x="4044" y="19"/>
                            <a:ext cx="4025" cy="2142"/>
                          </a:xfrm>
                          <a:prstGeom prst="rect">
                            <a:avLst/>
                          </a:prstGeom>
                          <a:noFill/>
                          <a:ln>
                            <a:noFill/>
                          </a:ln>
                        </wps:spPr>
                        <wps:txbx>
                          <w:txbxContent>
                            <w:p>
                              <w:pPr>
                                <w:pStyle w:val="8"/>
                                <w:kinsoku w:val="0"/>
                                <w:overflowPunct w:val="0"/>
                                <w:spacing w:before="0"/>
                                <w:ind w:left="0"/>
                              </w:pPr>
                            </w:p>
                            <w:p>
                              <w:pPr>
                                <w:pStyle w:val="8"/>
                                <w:kinsoku w:val="0"/>
                                <w:overflowPunct w:val="0"/>
                                <w:spacing w:before="0"/>
                                <w:ind w:left="0"/>
                              </w:pPr>
                            </w:p>
                            <w:p>
                              <w:pPr>
                                <w:pStyle w:val="8"/>
                                <w:kinsoku w:val="0"/>
                                <w:overflowPunct w:val="0"/>
                                <w:spacing w:before="7"/>
                                <w:ind w:left="0"/>
                              </w:pPr>
                            </w:p>
                            <w:p>
                              <w:pPr>
                                <w:pStyle w:val="8"/>
                                <w:kinsoku w:val="0"/>
                                <w:overflowPunct w:val="0"/>
                                <w:spacing w:before="0"/>
                                <w:ind w:left="107"/>
                              </w:pPr>
                              <w:r>
                                <w:rPr>
                                  <w:rFonts w:hint="eastAsia"/>
                                </w:rPr>
                                <w:t>被授权代表身份证复印件（反面）</w:t>
                              </w:r>
                            </w:p>
                          </w:txbxContent>
                        </wps:txbx>
                        <wps:bodyPr lIns="0" tIns="0" rIns="0" bIns="0" upright="1"/>
                      </wps:wsp>
                    </wpg:wgp>
                  </a:graphicData>
                </a:graphic>
              </wp:inline>
            </w:drawing>
          </mc:Choice>
          <mc:Fallback>
            <w:pict>
              <v:group id="_x0000_s1026" o:spid="_x0000_s1026" o:spt="203" style="height:109.05pt;width:404.45pt;" coordsize="8089,2181" o:gfxdata="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">
                <o:lock v:ext="edit" rotation="t" aspectratio="f"/>
                <v:shape id="_x0000_s1026" o:spid="_x0000_s1026" o:spt="100" style="position:absolute;left:4;top:9;height:20;width:8079;" filled="f" stroked="t" coordsize="8079,20" o:gfxdata="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IxjK28AAAA&#10;2wAAAA8AAAAAAAAAAQAgAAAAIgAAAGRycy9kb3ducmV2LnhtbFBLAQIUABQAAAAIAIdO4kAzLwWe&#10;OwAAADkAAAAQAAAAAAAAAAEAIAAAAAsBAABkcnMvc2hhcGV4bWwueG1sUEsFBgAAAAAGAAYAWwEA&#10;ALUDAAAAAA==&#10;" path="m0,0l8078,0e">
                  <v:fill on="f" focussize="0,0"/>
                  <v:stroke weight="0.48pt" color="#000000" joinstyle="round"/>
                  <v:imagedata o:title=""/>
                  <o:lock v:ext="edit" aspectratio="f"/>
                </v:shape>
                <v:shape id="_x0000_s1026" o:spid="_x0000_s1026" o:spt="100" style="position:absolute;left:24;top:28;height:20;width:8041;" filled="f" stroked="t" coordsize="8041,20" o:gfxdata="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LQ1wmvQAA&#10;ANsAAAAPAAAAAAAAAAEAIAAAACIAAABkcnMvZG93bnJldi54bWxQSwECFAAUAAAACACHTuJAMy8F&#10;njsAAAA5AAAAEAAAAAAAAAABACAAAAAMAQAAZHJzL3NoYXBleG1sLnhtbFBLBQYAAAAABgAGAFsB&#10;AAC2AwAAAAA=&#10;" path="m0,0l8040,0e">
                  <v:fill on="f" focussize="0,0"/>
                  <v:stroke weight="0.48pt" color="#000000" joinstyle="round"/>
                  <v:imagedata o:title=""/>
                  <o:lock v:ext="edit" aspectratio="f"/>
                </v:shape>
                <v:shape id="_x0000_s1026" o:spid="_x0000_s1026" o:spt="100" style="position:absolute;left:24;top:2151;height:20;width:8041;" filled="f" stroked="t" coordsize="8041,20" o:gfxdata="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qsRSvQAA&#10;ANsAAAAPAAAAAAAAAAEAIAAAACIAAABkcnMvZG93bnJldi54bWxQSwECFAAUAAAACACHTuJAMy8F&#10;njsAAAA5AAAAEAAAAAAAAAABACAAAAAMAQAAZHJzL3NoYXBleG1sLnhtbFBLBQYAAAAABgAGAFsB&#10;AAC2AwAAAAA=&#10;" path="m0,0l8040,0e">
                  <v:fill on="f" focussize="0,0"/>
                  <v:stroke weight="0.48pt" color="#000000" joinstyle="round"/>
                  <v:imagedata o:title=""/>
                  <o:lock v:ext="edit" aspectratio="f"/>
                </v:shape>
                <v:shape id="_x0000_s1026" o:spid="_x0000_s1026" o:spt="100" style="position:absolute;left:4;top:2170;height:20;width:8079;" filled="f" stroked="t" coordsize="8079,20" o:gfxdata="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3YFNm8AAAA&#10;2wAAAA8AAAAAAAAAAQAgAAAAIgAAAGRycy9kb3ducmV2LnhtbFBLAQIUABQAAAAIAIdO4kAzLwWe&#10;OwAAADkAAAAQAAAAAAAAAAEAIAAAAAsBAABkcnMvc2hhcGV4bWwueG1sUEsFBgAAAAAGAAYAWwEA&#10;ALUDAAAAAA==&#10;" path="m0,0l8078,0e">
                  <v:fill on="f" focussize="0,0"/>
                  <v:stroke weight="0.48pt" color="#000000" joinstyle="round"/>
                  <v:imagedata o:title=""/>
                  <o:lock v:ext="edit" aspectratio="f"/>
                </v:shape>
                <v:shape id="_x0000_s1026" o:spid="_x0000_s1026" o:spt="100" style="position:absolute;left:9;top:4;height:2171;width:20;" filled="f" stroked="t" coordsize="20,2171" o:gfxdata="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0OvqhtwAAANsAAAAP&#10;AAAAAAAAAAEAIAAAACIAAABkcnMvZG93bnJldi54bWxQSwECFAAUAAAACACHTuJAMy8FnjsAAAA5&#10;AAAAEAAAAAAAAAABACAAAAAGAQAAZHJzL3NoYXBleG1sLnhtbFBLBQYAAAAABgAGAFsBAACwAwAA&#10;AAA=&#10;" path="m0,0l0,2170e">
                  <v:fill on="f" focussize="0,0"/>
                  <v:stroke weight="0.48pt" color="#000000" joinstyle="round"/>
                  <v:imagedata o:title=""/>
                  <o:lock v:ext="edit" aspectratio="f"/>
                </v:shape>
                <v:shape id="_x0000_s1026" o:spid="_x0000_s1026" o:spt="100" style="position:absolute;left:28;top:24;height:2133;width:20;" filled="f" stroked="t" coordsize="20,2133" o:gfxdata="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2Goq+vQAA&#10;ANsAAAAPAAAAAAAAAAEAIAAAACIAAABkcnMvZG93bnJldi54bWxQSwECFAAUAAAACACHTuJAMy8F&#10;njsAAAA5AAAAEAAAAAAAAAABACAAAAAMAQAAZHJzL3NoYXBleG1sLnhtbFBLBQYAAAAABgAGAFsB&#10;AAC2AwAAAAA=&#10;" path="m0,0l0,2132e">
                  <v:fill on="f" focussize="0,0"/>
                  <v:stroke weight="0.48pt" color="#000000" joinstyle="round"/>
                  <v:imagedata o:title=""/>
                  <o:lock v:ext="edit" aspectratio="f"/>
                </v:shape>
                <v:shape id="_x0000_s1026" o:spid="_x0000_s1026" o:spt="100" style="position:absolute;left:4034;top:24;height:2123;width:20;" filled="f" stroked="t" coordsize="20,2123" o:gfxdata="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MoNV+5AAAA2wAA&#10;AA8AAAAAAAAAAQAgAAAAIgAAAGRycy9kb3ducmV2LnhtbFBLAQIUABQAAAAIAIdO4kAzLwWeOwAA&#10;ADkAAAAQAAAAAAAAAAEAIAAAAAgBAABkcnMvc2hhcGV4bWwueG1sUEsFBgAAAAAGAAYAWwEAALID&#10;AAAAAA==&#10;" path="m0,0l0,2122e">
                  <v:fill on="f" focussize="0,0"/>
                  <v:stroke weight="0.48pt" color="#000000" joinstyle="round"/>
                  <v:imagedata o:title=""/>
                  <o:lock v:ext="edit" aspectratio="f"/>
                </v:shape>
                <v:shape id="_x0000_s1026" o:spid="_x0000_s1026" o:spt="100" style="position:absolute;left:4053;top:24;height:2123;width:20;" filled="f" stroked="t" coordsize="20,2123" o:gfxdata="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xkkMS8AAAA&#10;2wAAAA8AAAAAAAAAAQAgAAAAIgAAAGRycy9kb3ducmV2LnhtbFBLAQIUABQAAAAIAIdO4kAzLwWe&#10;OwAAADkAAAAQAAAAAAAAAAEAIAAAAAsBAABkcnMvc2hhcGV4bWwueG1sUEsFBgAAAAAGAAYAWwEA&#10;ALUDAAAAAA==&#10;" path="m0,0l0,2122e">
                  <v:fill on="f" focussize="0,0"/>
                  <v:stroke weight="0.48pt" color="#000000" joinstyle="round"/>
                  <v:imagedata o:title=""/>
                  <o:lock v:ext="edit" aspectratio="f"/>
                </v:shape>
                <v:shape id="_x0000_s1026" o:spid="_x0000_s1026" o:spt="100" style="position:absolute;left:8059;top:33;height:2123;width:20;" filled="f" stroked="t" coordsize="20,2123" o:gfxdata="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iHr4S5AAAA2wAA&#10;AA8AAAAAAAAAAQAgAAAAIgAAAGRycy9kb3ducmV2LnhtbFBLAQIUABQAAAAIAIdO4kAzLwWeOwAA&#10;ADkAAAAQAAAAAAAAAAEAIAAAAAgBAABkcnMvc2hhcGV4bWwueG1sUEsFBgAAAAAGAAYAWwEAALID&#10;AAAAAA==&#10;" path="m0,0l0,2122e">
                  <v:fill on="f" focussize="0,0"/>
                  <v:stroke weight="0.48pt" color="#000000" joinstyle="round"/>
                  <v:imagedata o:title=""/>
                  <o:lock v:ext="edit" aspectratio="f"/>
                </v:shape>
                <v:shape id="_x0000_s1026" o:spid="_x0000_s1026" o:spt="100" style="position:absolute;left:8078;top:14;height:2162;width:20;" filled="f" stroked="t" coordsize="20,2162" o:gfxdata="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H+9kAtwAAANsAAAAP&#10;AAAAAAAAAAEAIAAAACIAAABkcnMvZG93bnJldi54bWxQSwECFAAUAAAACACHTuJAMy8FnjsAAAA5&#10;AAAAEAAAAAAAAAABACAAAAAGAQAAZHJzL3NoYXBleG1sLnhtbFBLBQYAAAAABgAGAFsBAACwAwAA&#10;AAA=&#10;" path="m0,0l0,2161e">
                  <v:fill on="f" focussize="0,0"/>
                  <v:stroke weight="0.48pt" color="#000000" joinstyle="round"/>
                  <v:imagedata o:title=""/>
                  <o:lock v:ext="edit" aspectratio="f"/>
                </v:shape>
                <v:shape id="_x0000_s1026" o:spid="_x0000_s1026" o:spt="202" type="#_x0000_t202" style="position:absolute;left:19;top:19;height:2142;width:4025;" filled="f" stroked="f" coordsize="21600,21600" o:gfxdata="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R8kO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pStyle w:val="8"/>
                          <w:kinsoku w:val="0"/>
                          <w:overflowPunct w:val="0"/>
                          <w:spacing w:before="0"/>
                          <w:ind w:left="0"/>
                        </w:pPr>
                      </w:p>
                      <w:p>
                        <w:pPr>
                          <w:pStyle w:val="8"/>
                          <w:kinsoku w:val="0"/>
                          <w:overflowPunct w:val="0"/>
                          <w:spacing w:before="0"/>
                          <w:ind w:left="0"/>
                        </w:pPr>
                      </w:p>
                      <w:p>
                        <w:pPr>
                          <w:pStyle w:val="8"/>
                          <w:kinsoku w:val="0"/>
                          <w:overflowPunct w:val="0"/>
                          <w:spacing w:before="7"/>
                          <w:ind w:left="0"/>
                        </w:pPr>
                      </w:p>
                      <w:p>
                        <w:pPr>
                          <w:pStyle w:val="8"/>
                          <w:kinsoku w:val="0"/>
                          <w:overflowPunct w:val="0"/>
                          <w:spacing w:before="0"/>
                          <w:ind w:left="107"/>
                        </w:pPr>
                        <w:r>
                          <w:rPr>
                            <w:rFonts w:hint="eastAsia"/>
                          </w:rPr>
                          <w:t>被授权代表身份证复印件（正面）</w:t>
                        </w:r>
                      </w:p>
                    </w:txbxContent>
                  </v:textbox>
                </v:shape>
                <v:shape id="_x0000_s1026" o:spid="_x0000_s1026" o:spt="202" type="#_x0000_t202" style="position:absolute;left:4044;top:19;height:2142;width:4025;" filled="f" stroked="f" coordsize="21600,21600" o:gfxdata="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C2yV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pStyle w:val="8"/>
                          <w:kinsoku w:val="0"/>
                          <w:overflowPunct w:val="0"/>
                          <w:spacing w:before="0"/>
                          <w:ind w:left="0"/>
                        </w:pPr>
                      </w:p>
                      <w:p>
                        <w:pPr>
                          <w:pStyle w:val="8"/>
                          <w:kinsoku w:val="0"/>
                          <w:overflowPunct w:val="0"/>
                          <w:spacing w:before="0"/>
                          <w:ind w:left="0"/>
                        </w:pPr>
                      </w:p>
                      <w:p>
                        <w:pPr>
                          <w:pStyle w:val="8"/>
                          <w:kinsoku w:val="0"/>
                          <w:overflowPunct w:val="0"/>
                          <w:spacing w:before="7"/>
                          <w:ind w:left="0"/>
                        </w:pPr>
                      </w:p>
                      <w:p>
                        <w:pPr>
                          <w:pStyle w:val="8"/>
                          <w:kinsoku w:val="0"/>
                          <w:overflowPunct w:val="0"/>
                          <w:spacing w:before="0"/>
                          <w:ind w:left="107"/>
                        </w:pPr>
                        <w:r>
                          <w:rPr>
                            <w:rFonts w:hint="eastAsia"/>
                          </w:rPr>
                          <w:t>被授权代表身份证复印件（反面）</w:t>
                        </w:r>
                      </w:p>
                    </w:txbxContent>
                  </v:textbox>
                </v:shape>
                <w10:wrap type="none"/>
                <w10:anchorlock/>
              </v:group>
            </w:pict>
          </mc:Fallback>
        </mc:AlternateContent>
      </w:r>
    </w:p>
    <w:p>
      <w:pPr>
        <w:pStyle w:val="8"/>
        <w:kinsoku w:val="0"/>
        <w:overflowPunct w:val="0"/>
        <w:spacing w:before="0"/>
        <w:ind w:left="0"/>
        <w:rPr>
          <w:rFonts w:hint="eastAsia" w:ascii="宋体" w:hAnsi="宋体" w:eastAsia="宋体" w:cs="宋体"/>
          <w:sz w:val="20"/>
          <w:szCs w:val="20"/>
          <w:highlight w:val="none"/>
        </w:rPr>
      </w:pPr>
    </w:p>
    <w:p>
      <w:pPr>
        <w:pStyle w:val="8"/>
        <w:kinsoku w:val="0"/>
        <w:overflowPunct w:val="0"/>
        <w:spacing w:before="7"/>
        <w:ind w:left="0"/>
        <w:rPr>
          <w:rFonts w:hint="eastAsia" w:ascii="宋体" w:hAnsi="宋体" w:eastAsia="宋体" w:cs="宋体"/>
          <w:sz w:val="20"/>
          <w:szCs w:val="20"/>
          <w:highlight w:val="none"/>
        </w:rPr>
      </w:pPr>
    </w:p>
    <w:p>
      <w:pPr>
        <w:pStyle w:val="8"/>
        <w:tabs>
          <w:tab w:val="left" w:pos="5295"/>
        </w:tabs>
        <w:kinsoku w:val="0"/>
        <w:overflowPunct w:val="0"/>
        <w:spacing w:before="26"/>
        <w:ind w:left="618"/>
        <w:rPr>
          <w:rFonts w:hint="eastAsia" w:ascii="宋体" w:hAnsi="宋体" w:eastAsia="宋体" w:cs="宋体"/>
          <w:highlight w:val="none"/>
        </w:rPr>
      </w:pPr>
      <w:r>
        <w:rPr>
          <w:rFonts w:hint="eastAsia" w:ascii="宋体" w:hAnsi="宋体" w:eastAsia="宋体" w:cs="宋体"/>
          <w:highlight w:val="none"/>
        </w:rPr>
        <w:t>被授权代表（签字）：</w:t>
      </w:r>
      <w:r>
        <w:rPr>
          <w:rFonts w:hint="eastAsia" w:ascii="宋体" w:hAnsi="宋体" w:eastAsia="宋体" w:cs="宋体"/>
          <w:highlight w:val="none"/>
        </w:rPr>
        <w:tab/>
      </w:r>
      <w:r>
        <w:rPr>
          <w:rFonts w:hint="eastAsia" w:ascii="宋体" w:hAnsi="宋体" w:eastAsia="宋体" w:cs="宋体"/>
          <w:highlight w:val="none"/>
        </w:rPr>
        <w:t>供应商法定代表人（签字）：</w:t>
      </w:r>
    </w:p>
    <w:p>
      <w:pPr>
        <w:pStyle w:val="8"/>
        <w:tabs>
          <w:tab w:val="left" w:pos="1098"/>
          <w:tab w:val="left" w:pos="5298"/>
          <w:tab w:val="left" w:pos="5778"/>
        </w:tabs>
        <w:kinsoku w:val="0"/>
        <w:overflowPunct w:val="0"/>
        <w:spacing w:before="86"/>
        <w:ind w:left="618"/>
        <w:rPr>
          <w:rFonts w:hint="eastAsia" w:ascii="宋体" w:hAnsi="宋体" w:eastAsia="宋体" w:cs="宋体"/>
          <w:highlight w:val="none"/>
        </w:rPr>
      </w:pPr>
      <w:r>
        <w:rPr>
          <w:rFonts w:hint="eastAsia" w:ascii="宋体" w:hAnsi="宋体" w:eastAsia="宋体" w:cs="宋体"/>
          <w:highlight w:val="none"/>
        </w:rPr>
        <w:t>职</w:t>
      </w:r>
      <w:r>
        <w:rPr>
          <w:rFonts w:hint="eastAsia" w:ascii="宋体" w:hAnsi="宋体" w:eastAsia="宋体" w:cs="宋体"/>
          <w:highlight w:val="none"/>
        </w:rPr>
        <w:tab/>
      </w:r>
      <w:r>
        <w:rPr>
          <w:rFonts w:hint="eastAsia" w:ascii="宋体" w:hAnsi="宋体" w:eastAsia="宋体" w:cs="宋体"/>
          <w:highlight w:val="none"/>
        </w:rPr>
        <w:t>务：</w:t>
      </w:r>
      <w:r>
        <w:rPr>
          <w:rFonts w:hint="eastAsia" w:ascii="宋体" w:hAnsi="宋体" w:eastAsia="宋体" w:cs="宋体"/>
          <w:highlight w:val="none"/>
        </w:rPr>
        <w:tab/>
      </w:r>
      <w:r>
        <w:rPr>
          <w:rFonts w:hint="eastAsia" w:ascii="宋体" w:hAnsi="宋体" w:eastAsia="宋体" w:cs="宋体"/>
          <w:highlight w:val="none"/>
        </w:rPr>
        <w:t>职</w:t>
      </w:r>
      <w:r>
        <w:rPr>
          <w:rFonts w:hint="eastAsia" w:ascii="宋体" w:hAnsi="宋体" w:eastAsia="宋体" w:cs="宋体"/>
          <w:highlight w:val="none"/>
        </w:rPr>
        <w:tab/>
      </w:r>
      <w:r>
        <w:rPr>
          <w:rFonts w:hint="eastAsia" w:ascii="宋体" w:hAnsi="宋体" w:eastAsia="宋体" w:cs="宋体"/>
          <w:highlight w:val="none"/>
        </w:rPr>
        <w:t>务：</w:t>
      </w:r>
    </w:p>
    <w:p>
      <w:pPr>
        <w:pStyle w:val="8"/>
        <w:tabs>
          <w:tab w:val="left" w:pos="1098"/>
          <w:tab w:val="left" w:pos="5298"/>
          <w:tab w:val="left" w:pos="5778"/>
        </w:tabs>
        <w:kinsoku w:val="0"/>
        <w:overflowPunct w:val="0"/>
        <w:spacing w:before="84"/>
        <w:ind w:left="618"/>
        <w:rPr>
          <w:rFonts w:hint="eastAsia" w:ascii="宋体" w:hAnsi="宋体" w:eastAsia="宋体" w:cs="宋体"/>
          <w:highlight w:val="none"/>
        </w:rPr>
      </w:pPr>
      <w:r>
        <w:rPr>
          <w:rFonts w:hint="eastAsia" w:ascii="宋体" w:hAnsi="宋体" w:eastAsia="宋体" w:cs="宋体"/>
          <w:highlight w:val="none"/>
        </w:rPr>
        <w:t>电</w:t>
      </w:r>
      <w:r>
        <w:rPr>
          <w:rFonts w:hint="eastAsia" w:ascii="宋体" w:hAnsi="宋体" w:eastAsia="宋体" w:cs="宋体"/>
          <w:highlight w:val="none"/>
        </w:rPr>
        <w:tab/>
      </w:r>
      <w:r>
        <w:rPr>
          <w:rFonts w:hint="eastAsia" w:ascii="宋体" w:hAnsi="宋体" w:eastAsia="宋体" w:cs="宋体"/>
          <w:highlight w:val="none"/>
        </w:rPr>
        <w:t>话：</w:t>
      </w:r>
      <w:r>
        <w:rPr>
          <w:rFonts w:hint="eastAsia" w:ascii="宋体" w:hAnsi="宋体" w:eastAsia="宋体" w:cs="宋体"/>
          <w:highlight w:val="none"/>
        </w:rPr>
        <w:tab/>
      </w:r>
      <w:r>
        <w:rPr>
          <w:rFonts w:hint="eastAsia" w:ascii="宋体" w:hAnsi="宋体" w:eastAsia="宋体" w:cs="宋体"/>
          <w:highlight w:val="none"/>
        </w:rPr>
        <w:t>电</w:t>
      </w:r>
      <w:r>
        <w:rPr>
          <w:rFonts w:hint="eastAsia" w:ascii="宋体" w:hAnsi="宋体" w:eastAsia="宋体" w:cs="宋体"/>
          <w:highlight w:val="none"/>
        </w:rPr>
        <w:tab/>
      </w:r>
      <w:r>
        <w:rPr>
          <w:rFonts w:hint="eastAsia" w:ascii="宋体" w:hAnsi="宋体" w:eastAsia="宋体" w:cs="宋体"/>
          <w:highlight w:val="none"/>
        </w:rPr>
        <w:t>话：</w:t>
      </w:r>
    </w:p>
    <w:p>
      <w:pPr>
        <w:pStyle w:val="8"/>
        <w:tabs>
          <w:tab w:val="left" w:pos="5631"/>
          <w:tab w:val="left" w:pos="6591"/>
          <w:tab w:val="left" w:pos="7191"/>
          <w:tab w:val="left" w:pos="7791"/>
          <w:tab w:val="left" w:pos="8247"/>
        </w:tabs>
        <w:kinsoku w:val="0"/>
        <w:overflowPunct w:val="0"/>
        <w:spacing w:before="166" w:line="383" w:lineRule="auto"/>
        <w:ind w:left="4912" w:right="238" w:hanging="384"/>
        <w:rPr>
          <w:rFonts w:hint="eastAsia" w:ascii="宋体" w:hAnsi="宋体" w:eastAsia="宋体" w:cs="宋体"/>
          <w:highlight w:val="none"/>
        </w:rPr>
      </w:pPr>
      <w:r>
        <w:rPr>
          <w:rFonts w:hint="eastAsia" w:ascii="宋体" w:hAnsi="宋体" w:eastAsia="宋体" w:cs="宋体"/>
          <w:highlight w:val="none"/>
        </w:rPr>
        <w:t>供应商：</w:t>
      </w:r>
      <w:r>
        <w:rPr>
          <w:rFonts w:hint="eastAsia" w:ascii="宋体" w:hAnsi="宋体" w:eastAsia="宋体" w:cs="宋体"/>
          <w:highlight w:val="none"/>
          <w:u w:val="single"/>
        </w:rPr>
        <w:tab/>
      </w:r>
      <w:r>
        <w:rPr>
          <w:rFonts w:hint="eastAsia" w:ascii="宋体" w:hAnsi="宋体" w:eastAsia="宋体" w:cs="宋体"/>
          <w:highlight w:val="none"/>
          <w:u w:val="single"/>
        </w:rPr>
        <w:tab/>
      </w:r>
      <w:r>
        <w:rPr>
          <w:rFonts w:hint="eastAsia" w:ascii="宋体" w:hAnsi="宋体" w:eastAsia="宋体" w:cs="宋体"/>
          <w:highlight w:val="none"/>
          <w:u w:val="single"/>
        </w:rPr>
        <w:tab/>
      </w:r>
      <w:r>
        <w:rPr>
          <w:rFonts w:hint="eastAsia" w:ascii="宋体" w:hAnsi="宋体" w:eastAsia="宋体" w:cs="宋体"/>
          <w:highlight w:val="none"/>
        </w:rPr>
        <w:t xml:space="preserve">（盖章） </w:t>
      </w:r>
    </w:p>
    <w:p>
      <w:pPr>
        <w:pStyle w:val="8"/>
        <w:tabs>
          <w:tab w:val="left" w:pos="5631"/>
          <w:tab w:val="left" w:pos="6591"/>
          <w:tab w:val="left" w:pos="7191"/>
          <w:tab w:val="left" w:pos="7791"/>
          <w:tab w:val="left" w:pos="8247"/>
        </w:tabs>
        <w:kinsoku w:val="0"/>
        <w:overflowPunct w:val="0"/>
        <w:spacing w:before="166" w:line="383" w:lineRule="auto"/>
        <w:ind w:left="4912" w:right="238" w:hanging="384"/>
        <w:rPr>
          <w:rFonts w:hint="eastAsia" w:ascii="宋体" w:hAnsi="宋体" w:eastAsia="宋体" w:cs="宋体"/>
          <w:highlight w:val="none"/>
        </w:rPr>
      </w:pPr>
      <w:r>
        <w:rPr>
          <w:rFonts w:hint="eastAsia" w:ascii="宋体" w:hAnsi="宋体" w:eastAsia="宋体" w:cs="宋体"/>
          <w:highlight w:val="none"/>
        </w:rPr>
        <w:t>日期：</w:t>
      </w:r>
      <w:r>
        <w:rPr>
          <w:rFonts w:hint="eastAsia" w:ascii="宋体" w:hAnsi="宋体" w:eastAsia="宋体" w:cs="宋体"/>
          <w:highlight w:val="none"/>
          <w:u w:val="single"/>
        </w:rPr>
        <w:t xml:space="preserve">     </w:t>
      </w:r>
      <w:r>
        <w:rPr>
          <w:rFonts w:hint="eastAsia" w:ascii="宋体" w:hAnsi="宋体" w:eastAsia="宋体" w:cs="宋体"/>
          <w:highlight w:val="none"/>
        </w:rPr>
        <w:t>年</w:t>
      </w:r>
      <w:r>
        <w:rPr>
          <w:rFonts w:hint="eastAsia" w:ascii="宋体" w:hAnsi="宋体" w:eastAsia="宋体" w:cs="宋体"/>
          <w:highlight w:val="none"/>
          <w:u w:val="single"/>
        </w:rPr>
        <w:t xml:space="preserve">   </w:t>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highlight w:val="none"/>
        </w:rPr>
        <w:t xml:space="preserve">日                </w:t>
      </w:r>
    </w:p>
    <w:p>
      <w:pPr>
        <w:pStyle w:val="8"/>
        <w:kinsoku w:val="0"/>
        <w:overflowPunct w:val="0"/>
        <w:spacing w:before="7"/>
        <w:ind w:left="0"/>
        <w:rPr>
          <w:rFonts w:hint="eastAsia" w:ascii="宋体" w:hAnsi="宋体" w:eastAsia="宋体" w:cs="宋体"/>
          <w:sz w:val="22"/>
          <w:szCs w:val="22"/>
          <w:highlight w:val="none"/>
        </w:rPr>
      </w:pPr>
    </w:p>
    <w:p>
      <w:pPr>
        <w:pStyle w:val="8"/>
        <w:tabs>
          <w:tab w:val="left" w:pos="5418"/>
        </w:tabs>
        <w:kinsoku w:val="0"/>
        <w:overflowPunct w:val="0"/>
        <w:spacing w:before="26"/>
        <w:ind w:left="618"/>
        <w:jc w:val="both"/>
        <w:rPr>
          <w:rFonts w:hint="eastAsia" w:ascii="宋体" w:hAnsi="宋体" w:eastAsia="宋体" w:cs="宋体"/>
          <w:b/>
          <w:highlight w:val="none"/>
        </w:rPr>
      </w:pPr>
      <w:r>
        <w:rPr>
          <w:rFonts w:hint="eastAsia" w:ascii="宋体" w:hAnsi="宋体" w:eastAsia="宋体" w:cs="宋体"/>
          <w:b/>
          <w:highlight w:val="none"/>
        </w:rPr>
        <w:t>★备注 ：后 附〖 法定代表人资格证明及委托代理人（被授权人）身份证复印件（现场核查）〗，递交投标文件时需递交一份。</w:t>
      </w:r>
    </w:p>
    <w:p>
      <w:pPr>
        <w:pStyle w:val="8"/>
        <w:kinsoku w:val="0"/>
        <w:overflowPunct w:val="0"/>
        <w:spacing w:before="34" w:line="357" w:lineRule="auto"/>
        <w:ind w:right="126" w:firstLine="480"/>
        <w:jc w:val="center"/>
        <w:outlineLvl w:val="1"/>
        <w:rPr>
          <w:rFonts w:hint="eastAsia" w:ascii="宋体" w:hAnsi="宋体" w:eastAsia="宋体" w:cs="宋体"/>
          <w:b/>
          <w:bCs/>
          <w:highlight w:val="none"/>
        </w:rPr>
      </w:pPr>
      <w:r>
        <w:rPr>
          <w:rFonts w:hint="eastAsia" w:ascii="宋体" w:hAnsi="宋体" w:eastAsia="宋体" w:cs="宋体"/>
          <w:highlight w:val="none"/>
        </w:rPr>
        <w:br w:type="page"/>
      </w:r>
      <w:r>
        <w:rPr>
          <w:rFonts w:hint="eastAsia" w:ascii="宋体" w:hAnsi="宋体" w:eastAsia="宋体" w:cs="宋体"/>
          <w:b/>
          <w:bCs/>
          <w:sz w:val="36"/>
          <w:szCs w:val="36"/>
          <w:highlight w:val="none"/>
        </w:rPr>
        <w:t>四、投标保证金缴纳凭证</w:t>
      </w:r>
    </w:p>
    <w:p>
      <w:pPr>
        <w:pStyle w:val="8"/>
        <w:kinsoku w:val="0"/>
        <w:overflowPunct w:val="0"/>
        <w:spacing w:before="0"/>
        <w:ind w:left="0"/>
        <w:rPr>
          <w:rFonts w:hint="eastAsia" w:ascii="宋体" w:hAnsi="宋体" w:eastAsia="宋体" w:cs="宋体"/>
          <w:b/>
          <w:bCs/>
          <w:sz w:val="20"/>
          <w:szCs w:val="20"/>
          <w:highlight w:val="none"/>
        </w:rPr>
      </w:pPr>
    </w:p>
    <w:p>
      <w:pPr>
        <w:pStyle w:val="8"/>
        <w:kinsoku w:val="0"/>
        <w:overflowPunct w:val="0"/>
        <w:spacing w:before="4"/>
        <w:ind w:left="0"/>
        <w:rPr>
          <w:rFonts w:hint="eastAsia" w:ascii="宋体" w:hAnsi="宋体" w:eastAsia="宋体" w:cs="宋体"/>
          <w:b/>
          <w:bCs/>
          <w:sz w:val="23"/>
          <w:szCs w:val="23"/>
          <w:highlight w:val="none"/>
        </w:rPr>
      </w:pPr>
    </w:p>
    <w:p>
      <w:pPr>
        <w:spacing w:line="420" w:lineRule="exac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致：（采购人）</w:t>
      </w:r>
    </w:p>
    <w:p>
      <w:pPr>
        <w:spacing w:line="42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我方于</w:t>
      </w:r>
      <w:r>
        <w:rPr>
          <w:rFonts w:hint="eastAsia" w:ascii="宋体" w:hAnsi="宋体" w:eastAsia="宋体" w:cs="宋体"/>
          <w:kern w:val="0"/>
          <w:sz w:val="24"/>
          <w:szCs w:val="24"/>
          <w:highlight w:val="none"/>
        </w:rPr>
        <w:tab/>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年</w:t>
      </w:r>
      <w:r>
        <w:rPr>
          <w:rFonts w:hint="eastAsia" w:ascii="宋体" w:hAnsi="宋体" w:eastAsia="宋体" w:cs="宋体"/>
          <w:kern w:val="0"/>
          <w:sz w:val="24"/>
          <w:szCs w:val="24"/>
          <w:highlight w:val="none"/>
          <w:u w:val="single"/>
        </w:rPr>
        <w:tab/>
      </w:r>
      <w:r>
        <w:rPr>
          <w:rFonts w:hint="eastAsia" w:ascii="宋体" w:hAnsi="宋体" w:eastAsia="宋体" w:cs="宋体"/>
          <w:kern w:val="0"/>
          <w:sz w:val="24"/>
          <w:szCs w:val="24"/>
          <w:highlight w:val="none"/>
        </w:rPr>
        <w:t>月</w:t>
      </w:r>
      <w:r>
        <w:rPr>
          <w:rFonts w:hint="eastAsia" w:ascii="宋体" w:hAnsi="宋体" w:eastAsia="宋体" w:cs="宋体"/>
          <w:kern w:val="0"/>
          <w:sz w:val="24"/>
          <w:szCs w:val="24"/>
          <w:highlight w:val="none"/>
          <w:u w:val="single"/>
        </w:rPr>
        <w:tab/>
      </w:r>
      <w:r>
        <w:rPr>
          <w:rFonts w:hint="eastAsia" w:ascii="宋体" w:hAnsi="宋体" w:eastAsia="宋体" w:cs="宋体"/>
          <w:kern w:val="0"/>
          <w:sz w:val="24"/>
          <w:szCs w:val="24"/>
          <w:highlight w:val="none"/>
        </w:rPr>
        <w:t xml:space="preserve"> 日参加</w:t>
      </w:r>
      <w:r>
        <w:rPr>
          <w:rFonts w:hint="eastAsia" w:ascii="宋体" w:hAnsi="宋体" w:eastAsia="宋体" w:cs="宋体"/>
          <w:kern w:val="0"/>
          <w:sz w:val="24"/>
          <w:szCs w:val="24"/>
          <w:highlight w:val="none"/>
          <w:u w:val="single"/>
        </w:rPr>
        <w:tab/>
      </w:r>
      <w:r>
        <w:rPr>
          <w:rFonts w:hint="eastAsia" w:ascii="宋体" w:hAnsi="宋体" w:eastAsia="宋体" w:cs="宋体"/>
          <w:kern w:val="0"/>
          <w:sz w:val="24"/>
          <w:szCs w:val="24"/>
          <w:highlight w:val="none"/>
          <w:u w:val="single"/>
        </w:rPr>
        <w:t xml:space="preserve">（项目名称）   </w:t>
      </w:r>
      <w:r>
        <w:rPr>
          <w:rFonts w:hint="eastAsia" w:ascii="宋体" w:hAnsi="宋体" w:eastAsia="宋体" w:cs="宋体"/>
          <w:kern w:val="0"/>
          <w:sz w:val="24"/>
          <w:szCs w:val="24"/>
          <w:highlight w:val="none"/>
        </w:rPr>
        <w:t>的投标，现保证：我方在规定的投标有效期内撤销或修改投标文件的，或者在收到中标通知书后无正当理由拒签合同或拒交规定履约担保的，投标保证金不予退还。</w:t>
      </w:r>
    </w:p>
    <w:p>
      <w:pPr>
        <w:pStyle w:val="8"/>
        <w:kinsoku w:val="0"/>
        <w:overflowPunct w:val="0"/>
        <w:spacing w:before="0"/>
        <w:ind w:left="0"/>
        <w:rPr>
          <w:rFonts w:hint="eastAsia" w:ascii="宋体" w:hAnsi="宋体" w:eastAsia="宋体" w:cs="宋体"/>
          <w:highlight w:val="none"/>
        </w:rPr>
      </w:pPr>
    </w:p>
    <w:p>
      <w:pPr>
        <w:pStyle w:val="8"/>
        <w:kinsoku w:val="0"/>
        <w:overflowPunct w:val="0"/>
        <w:spacing w:before="0"/>
        <w:ind w:left="0"/>
        <w:rPr>
          <w:rFonts w:hint="eastAsia" w:ascii="宋体" w:hAnsi="宋体" w:eastAsia="宋体" w:cs="宋体"/>
          <w:highlight w:val="none"/>
        </w:rPr>
      </w:pPr>
    </w:p>
    <w:p>
      <w:pPr>
        <w:pStyle w:val="8"/>
        <w:kinsoku w:val="0"/>
        <w:overflowPunct w:val="0"/>
        <w:spacing w:before="4"/>
        <w:ind w:left="0"/>
        <w:rPr>
          <w:rFonts w:hint="eastAsia" w:ascii="宋体" w:hAnsi="宋体" w:eastAsia="宋体" w:cs="宋体"/>
          <w:sz w:val="34"/>
          <w:szCs w:val="34"/>
          <w:highlight w:val="none"/>
        </w:rPr>
      </w:pPr>
    </w:p>
    <w:p>
      <w:pPr>
        <w:spacing w:line="420" w:lineRule="exact"/>
        <w:ind w:right="480"/>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供应商：</w:t>
      </w:r>
      <w:r>
        <w:rPr>
          <w:rFonts w:hint="eastAsia" w:ascii="宋体" w:hAnsi="宋体" w:eastAsia="宋体" w:cs="宋体"/>
          <w:kern w:val="0"/>
          <w:sz w:val="24"/>
          <w:szCs w:val="24"/>
          <w:highlight w:val="none"/>
          <w:u w:val="single"/>
        </w:rPr>
        <w:tab/>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（公章） </w:t>
      </w:r>
    </w:p>
    <w:p>
      <w:pPr>
        <w:wordWrap w:val="0"/>
        <w:spacing w:line="420" w:lineRule="exact"/>
        <w:ind w:firstLine="480" w:firstLineChars="200"/>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法定代表人或委托人：</w:t>
      </w:r>
      <w:r>
        <w:rPr>
          <w:rFonts w:hint="eastAsia" w:ascii="宋体" w:hAnsi="宋体" w:eastAsia="宋体" w:cs="宋体"/>
          <w:kern w:val="0"/>
          <w:sz w:val="24"/>
          <w:szCs w:val="24"/>
          <w:highlight w:val="none"/>
        </w:rPr>
        <w:tab/>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（签字）    </w:t>
      </w:r>
    </w:p>
    <w:p>
      <w:pPr>
        <w:spacing w:line="420" w:lineRule="exact"/>
        <w:ind w:right="480" w:firstLine="5280" w:firstLineChars="2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rPr>
        <w:tab/>
      </w:r>
      <w:r>
        <w:rPr>
          <w:rFonts w:hint="eastAsia" w:ascii="宋体" w:hAnsi="宋体" w:eastAsia="宋体" w:cs="宋体"/>
          <w:kern w:val="0"/>
          <w:sz w:val="24"/>
          <w:szCs w:val="24"/>
          <w:highlight w:val="none"/>
        </w:rPr>
        <w:t>年</w:t>
      </w:r>
      <w:r>
        <w:rPr>
          <w:rFonts w:hint="eastAsia" w:ascii="宋体" w:hAnsi="宋体" w:eastAsia="宋体" w:cs="宋体"/>
          <w:kern w:val="0"/>
          <w:sz w:val="24"/>
          <w:szCs w:val="24"/>
          <w:highlight w:val="none"/>
          <w:u w:val="single"/>
        </w:rPr>
        <w:tab/>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月</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日</w:t>
      </w:r>
    </w:p>
    <w:p>
      <w:pPr>
        <w:pStyle w:val="8"/>
        <w:tabs>
          <w:tab w:val="left" w:pos="5551"/>
          <w:tab w:val="left" w:pos="6511"/>
          <w:tab w:val="left" w:pos="7111"/>
          <w:tab w:val="left" w:pos="7711"/>
        </w:tabs>
        <w:kinsoku w:val="0"/>
        <w:overflowPunct w:val="0"/>
        <w:spacing w:before="46"/>
        <w:ind w:left="2583" w:firstLine="2248"/>
        <w:rPr>
          <w:rFonts w:hint="eastAsia" w:ascii="宋体" w:hAnsi="宋体" w:eastAsia="宋体" w:cs="宋体"/>
          <w:highlight w:val="none"/>
        </w:rPr>
      </w:pPr>
    </w:p>
    <w:p>
      <w:pPr>
        <w:pStyle w:val="8"/>
        <w:kinsoku w:val="0"/>
        <w:overflowPunct w:val="0"/>
        <w:spacing w:before="0"/>
        <w:ind w:left="0"/>
        <w:rPr>
          <w:rFonts w:hint="eastAsia" w:ascii="宋体" w:hAnsi="宋体" w:eastAsia="宋体" w:cs="宋体"/>
          <w:highlight w:val="none"/>
        </w:rPr>
      </w:pPr>
    </w:p>
    <w:p>
      <w:pPr>
        <w:pStyle w:val="8"/>
        <w:kinsoku w:val="0"/>
        <w:overflowPunct w:val="0"/>
        <w:spacing w:before="5"/>
        <w:ind w:left="0"/>
        <w:rPr>
          <w:rFonts w:hint="eastAsia" w:ascii="宋体" w:hAnsi="宋体" w:eastAsia="宋体" w:cs="宋体"/>
          <w:sz w:val="25"/>
          <w:szCs w:val="25"/>
          <w:highlight w:val="none"/>
        </w:rPr>
      </w:pPr>
    </w:p>
    <w:p>
      <w:pPr>
        <w:pStyle w:val="8"/>
        <w:kinsoku w:val="0"/>
        <w:overflowPunct w:val="0"/>
        <w:spacing w:before="0"/>
        <w:jc w:val="center"/>
        <w:rPr>
          <w:rFonts w:hint="eastAsia" w:ascii="宋体" w:hAnsi="宋体" w:eastAsia="宋体" w:cs="宋体"/>
          <w:highlight w:val="none"/>
        </w:rPr>
      </w:pPr>
      <w:r>
        <w:rPr>
          <w:rFonts w:hint="eastAsia" w:ascii="宋体" w:hAnsi="宋体" w:eastAsia="宋体" w:cs="宋体"/>
          <w:highlight w:val="none"/>
        </w:rPr>
        <w:t>缴费</w:t>
      </w:r>
      <w:r>
        <w:rPr>
          <w:rFonts w:hint="eastAsia" w:ascii="宋体" w:hAnsi="宋体" w:eastAsia="宋体" w:cs="宋体"/>
          <w:highlight w:val="none"/>
          <w:lang w:eastAsia="zh-CN"/>
        </w:rPr>
        <w:t>证明</w:t>
      </w:r>
      <w:r>
        <w:rPr>
          <w:rFonts w:hint="eastAsia" w:ascii="宋体" w:hAnsi="宋体" w:eastAsia="宋体" w:cs="宋体"/>
          <w:highlight w:val="none"/>
        </w:rPr>
        <w:t>（复印件应附在投标文件中）</w:t>
      </w:r>
    </w:p>
    <w:p>
      <w:pPr>
        <w:pStyle w:val="8"/>
        <w:kinsoku w:val="0"/>
        <w:overflowPunct w:val="0"/>
        <w:spacing w:before="0"/>
        <w:ind w:left="0"/>
        <w:rPr>
          <w:rFonts w:hint="eastAsia" w:ascii="宋体" w:hAnsi="宋体" w:eastAsia="宋体" w:cs="宋体"/>
          <w:sz w:val="20"/>
          <w:szCs w:val="20"/>
          <w:highlight w:val="none"/>
        </w:rPr>
      </w:pPr>
    </w:p>
    <w:p>
      <w:pPr>
        <w:pStyle w:val="8"/>
        <w:kinsoku w:val="0"/>
        <w:overflowPunct w:val="0"/>
        <w:spacing w:before="0" w:line="200" w:lineRule="atLeast"/>
        <w:ind w:left="0" w:leftChars="0" w:firstLine="0" w:firstLineChars="0"/>
        <w:rPr>
          <w:rFonts w:hint="eastAsia" w:ascii="宋体" w:hAnsi="宋体" w:eastAsia="宋体" w:cs="宋体"/>
          <w:sz w:val="20"/>
          <w:szCs w:val="20"/>
          <w:highlight w:val="none"/>
        </w:rPr>
      </w:pPr>
      <w:r>
        <w:rPr>
          <w:rFonts w:hint="eastAsia" w:ascii="宋体" w:hAnsi="宋体" w:eastAsia="宋体" w:cs="宋体"/>
          <w:sz w:val="20"/>
          <w:szCs w:val="20"/>
          <w:highlight w:val="none"/>
        </w:rPr>
        <mc:AlternateContent>
          <mc:Choice Requires="wpg">
            <w:drawing>
              <wp:inline distT="0" distB="0" distL="114300" distR="114300">
                <wp:extent cx="5695950" cy="3213100"/>
                <wp:effectExtent l="0" t="0" r="0" b="6350"/>
                <wp:docPr id="80" name="组合 80"/>
                <wp:cNvGraphicFramePr/>
                <a:graphic xmlns:a="http://schemas.openxmlformats.org/drawingml/2006/main">
                  <a:graphicData uri="http://schemas.microsoft.com/office/word/2010/wordprocessingGroup">
                    <wpg:wgp>
                      <wpg:cNvGrpSpPr>
                        <a:grpSpLocks noRot="1"/>
                      </wpg:cNvGrpSpPr>
                      <wpg:grpSpPr>
                        <a:xfrm>
                          <a:off x="0" y="0"/>
                          <a:ext cx="5695950" cy="3213100"/>
                          <a:chOff x="0" y="0"/>
                          <a:chExt cx="7425" cy="5060"/>
                        </a:xfrm>
                      </wpg:grpSpPr>
                      <wpg:grpSp>
                        <wpg:cNvPr id="81" name="组合 80"/>
                        <wpg:cNvGrpSpPr/>
                        <wpg:grpSpPr>
                          <a:xfrm>
                            <a:off x="0" y="0"/>
                            <a:ext cx="7425" cy="5060"/>
                            <a:chOff x="0" y="0"/>
                            <a:chExt cx="7425" cy="5060"/>
                          </a:xfrm>
                        </wpg:grpSpPr>
                        <wps:wsp>
                          <wps:cNvPr id="1" name="任意多边形 1"/>
                          <wps:cNvSpPr/>
                          <wps:spPr>
                            <a:xfrm>
                              <a:off x="0" y="0"/>
                              <a:ext cx="7425" cy="5060"/>
                            </a:xfrm>
                            <a:custGeom>
                              <a:avLst/>
                              <a:gdLst/>
                              <a:ahLst/>
                              <a:cxnLst/>
                              <a:pathLst>
                                <a:path w="7425" h="5060">
                                  <a:moveTo>
                                    <a:pt x="483" y="19"/>
                                  </a:moveTo>
                                  <a:lnTo>
                                    <a:pt x="412" y="19"/>
                                  </a:lnTo>
                                  <a:lnTo>
                                    <a:pt x="426" y="0"/>
                                  </a:lnTo>
                                  <a:lnTo>
                                    <a:pt x="497" y="0"/>
                                  </a:lnTo>
                                  <a:lnTo>
                                    <a:pt x="483" y="19"/>
                                  </a:lnTo>
                                  <a:close/>
                                </a:path>
                              </a:pathLst>
                            </a:custGeom>
                            <a:solidFill>
                              <a:srgbClr val="000000"/>
                            </a:solidFill>
                            <a:ln>
                              <a:noFill/>
                            </a:ln>
                          </wps:spPr>
                          <wps:bodyPr upright="1"/>
                        </wps:wsp>
                        <wps:wsp>
                          <wps:cNvPr id="2" name="任意多边形 2"/>
                          <wps:cNvSpPr/>
                          <wps:spPr>
                            <a:xfrm>
                              <a:off x="0" y="0"/>
                              <a:ext cx="7425" cy="5060"/>
                            </a:xfrm>
                            <a:custGeom>
                              <a:avLst/>
                              <a:gdLst/>
                              <a:ahLst/>
                              <a:cxnLst/>
                              <a:pathLst>
                                <a:path w="7425" h="5060">
                                  <a:moveTo>
                                    <a:pt x="7011" y="19"/>
                                  </a:moveTo>
                                  <a:lnTo>
                                    <a:pt x="6940" y="19"/>
                                  </a:lnTo>
                                  <a:lnTo>
                                    <a:pt x="6926" y="0"/>
                                  </a:lnTo>
                                  <a:lnTo>
                                    <a:pt x="6998" y="0"/>
                                  </a:lnTo>
                                  <a:lnTo>
                                    <a:pt x="7011" y="19"/>
                                  </a:lnTo>
                                  <a:close/>
                                </a:path>
                              </a:pathLst>
                            </a:custGeom>
                            <a:solidFill>
                              <a:srgbClr val="000000"/>
                            </a:solidFill>
                            <a:ln>
                              <a:noFill/>
                            </a:ln>
                          </wps:spPr>
                          <wps:bodyPr upright="1"/>
                        </wps:wsp>
                        <wps:wsp>
                          <wps:cNvPr id="3" name="任意多边形 3"/>
                          <wps:cNvSpPr/>
                          <wps:spPr>
                            <a:xfrm>
                              <a:off x="0" y="0"/>
                              <a:ext cx="7425" cy="5060"/>
                            </a:xfrm>
                            <a:custGeom>
                              <a:avLst/>
                              <a:gdLst/>
                              <a:ahLst/>
                              <a:cxnLst/>
                              <a:pathLst>
                                <a:path w="7425" h="5060">
                                  <a:moveTo>
                                    <a:pt x="390" y="39"/>
                                  </a:moveTo>
                                  <a:lnTo>
                                    <a:pt x="346" y="39"/>
                                  </a:lnTo>
                                  <a:lnTo>
                                    <a:pt x="359" y="19"/>
                                  </a:lnTo>
                                  <a:lnTo>
                                    <a:pt x="403" y="19"/>
                                  </a:lnTo>
                                  <a:lnTo>
                                    <a:pt x="390" y="39"/>
                                  </a:lnTo>
                                  <a:close/>
                                </a:path>
                              </a:pathLst>
                            </a:custGeom>
                            <a:solidFill>
                              <a:srgbClr val="000000"/>
                            </a:solidFill>
                            <a:ln>
                              <a:noFill/>
                            </a:ln>
                          </wps:spPr>
                          <wps:bodyPr upright="1"/>
                        </wps:wsp>
                        <wps:wsp>
                          <wps:cNvPr id="4" name="任意多边形 4"/>
                          <wps:cNvSpPr/>
                          <wps:spPr>
                            <a:xfrm>
                              <a:off x="0" y="0"/>
                              <a:ext cx="7425" cy="5060"/>
                            </a:xfrm>
                            <a:custGeom>
                              <a:avLst/>
                              <a:gdLst/>
                              <a:ahLst/>
                              <a:cxnLst/>
                              <a:pathLst>
                                <a:path w="7425" h="5060">
                                  <a:moveTo>
                                    <a:pt x="7077" y="39"/>
                                  </a:moveTo>
                                  <a:lnTo>
                                    <a:pt x="7033" y="39"/>
                                  </a:lnTo>
                                  <a:lnTo>
                                    <a:pt x="7020" y="19"/>
                                  </a:lnTo>
                                  <a:lnTo>
                                    <a:pt x="7064" y="19"/>
                                  </a:lnTo>
                                  <a:lnTo>
                                    <a:pt x="7077" y="39"/>
                                  </a:lnTo>
                                  <a:close/>
                                </a:path>
                              </a:pathLst>
                            </a:custGeom>
                            <a:solidFill>
                              <a:srgbClr val="000000"/>
                            </a:solidFill>
                            <a:ln>
                              <a:noFill/>
                            </a:ln>
                          </wps:spPr>
                          <wps:bodyPr upright="1"/>
                        </wps:wsp>
                        <wps:wsp>
                          <wps:cNvPr id="5" name="任意多边形 5"/>
                          <wps:cNvSpPr/>
                          <wps:spPr>
                            <a:xfrm>
                              <a:off x="0" y="0"/>
                              <a:ext cx="7425" cy="5060"/>
                            </a:xfrm>
                            <a:custGeom>
                              <a:avLst/>
                              <a:gdLst/>
                              <a:ahLst/>
                              <a:cxnLst/>
                              <a:pathLst>
                                <a:path w="7425" h="5060">
                                  <a:moveTo>
                                    <a:pt x="340" y="59"/>
                                  </a:moveTo>
                                  <a:lnTo>
                                    <a:pt x="309" y="59"/>
                                  </a:lnTo>
                                  <a:lnTo>
                                    <a:pt x="321" y="39"/>
                                  </a:lnTo>
                                  <a:lnTo>
                                    <a:pt x="352" y="39"/>
                                  </a:lnTo>
                                  <a:lnTo>
                                    <a:pt x="340" y="59"/>
                                  </a:lnTo>
                                  <a:close/>
                                </a:path>
                              </a:pathLst>
                            </a:custGeom>
                            <a:solidFill>
                              <a:srgbClr val="000000"/>
                            </a:solidFill>
                            <a:ln>
                              <a:noFill/>
                            </a:ln>
                          </wps:spPr>
                          <wps:bodyPr upright="1"/>
                        </wps:wsp>
                        <wps:wsp>
                          <wps:cNvPr id="6" name="任意多边形 6"/>
                          <wps:cNvSpPr/>
                          <wps:spPr>
                            <a:xfrm>
                              <a:off x="0" y="0"/>
                              <a:ext cx="7425" cy="5060"/>
                            </a:xfrm>
                            <a:custGeom>
                              <a:avLst/>
                              <a:gdLst/>
                              <a:ahLst/>
                              <a:cxnLst/>
                              <a:pathLst>
                                <a:path w="7425" h="5060">
                                  <a:moveTo>
                                    <a:pt x="7115" y="59"/>
                                  </a:moveTo>
                                  <a:lnTo>
                                    <a:pt x="7084" y="59"/>
                                  </a:lnTo>
                                  <a:lnTo>
                                    <a:pt x="7071" y="39"/>
                                  </a:lnTo>
                                  <a:lnTo>
                                    <a:pt x="7102" y="39"/>
                                  </a:lnTo>
                                  <a:lnTo>
                                    <a:pt x="7115" y="59"/>
                                  </a:lnTo>
                                  <a:close/>
                                </a:path>
                              </a:pathLst>
                            </a:custGeom>
                            <a:solidFill>
                              <a:srgbClr val="000000"/>
                            </a:solidFill>
                            <a:ln>
                              <a:noFill/>
                            </a:ln>
                          </wps:spPr>
                          <wps:bodyPr upright="1"/>
                        </wps:wsp>
                        <wps:wsp>
                          <wps:cNvPr id="7" name="任意多边形 7"/>
                          <wps:cNvSpPr/>
                          <wps:spPr>
                            <a:xfrm>
                              <a:off x="0" y="0"/>
                              <a:ext cx="7425" cy="5060"/>
                            </a:xfrm>
                            <a:custGeom>
                              <a:avLst/>
                              <a:gdLst/>
                              <a:ahLst/>
                              <a:cxnLst/>
                              <a:pathLst>
                                <a:path w="7425" h="5060">
                                  <a:moveTo>
                                    <a:pt x="304" y="79"/>
                                  </a:moveTo>
                                  <a:lnTo>
                                    <a:pt x="273" y="79"/>
                                  </a:lnTo>
                                  <a:lnTo>
                                    <a:pt x="285" y="59"/>
                                  </a:lnTo>
                                  <a:lnTo>
                                    <a:pt x="316" y="59"/>
                                  </a:lnTo>
                                  <a:lnTo>
                                    <a:pt x="304" y="79"/>
                                  </a:lnTo>
                                  <a:close/>
                                </a:path>
                              </a:pathLst>
                            </a:custGeom>
                            <a:solidFill>
                              <a:srgbClr val="000000"/>
                            </a:solidFill>
                            <a:ln>
                              <a:noFill/>
                            </a:ln>
                          </wps:spPr>
                          <wps:bodyPr upright="1"/>
                        </wps:wsp>
                        <wps:wsp>
                          <wps:cNvPr id="8" name="任意多边形 8"/>
                          <wps:cNvSpPr/>
                          <wps:spPr>
                            <a:xfrm>
                              <a:off x="0" y="0"/>
                              <a:ext cx="7425" cy="5060"/>
                            </a:xfrm>
                            <a:custGeom>
                              <a:avLst/>
                              <a:gdLst/>
                              <a:ahLst/>
                              <a:cxnLst/>
                              <a:pathLst>
                                <a:path w="7425" h="5060">
                                  <a:moveTo>
                                    <a:pt x="7151" y="79"/>
                                  </a:moveTo>
                                  <a:lnTo>
                                    <a:pt x="7120" y="79"/>
                                  </a:lnTo>
                                  <a:lnTo>
                                    <a:pt x="7108" y="59"/>
                                  </a:lnTo>
                                  <a:lnTo>
                                    <a:pt x="7139" y="59"/>
                                  </a:lnTo>
                                  <a:lnTo>
                                    <a:pt x="7151" y="79"/>
                                  </a:lnTo>
                                  <a:close/>
                                </a:path>
                              </a:pathLst>
                            </a:custGeom>
                            <a:solidFill>
                              <a:srgbClr val="000000"/>
                            </a:solidFill>
                            <a:ln>
                              <a:noFill/>
                            </a:ln>
                          </wps:spPr>
                          <wps:bodyPr upright="1"/>
                        </wps:wsp>
                        <wps:wsp>
                          <wps:cNvPr id="9" name="任意多边形 9"/>
                          <wps:cNvSpPr/>
                          <wps:spPr>
                            <a:xfrm>
                              <a:off x="0" y="0"/>
                              <a:ext cx="7425" cy="5060"/>
                            </a:xfrm>
                            <a:custGeom>
                              <a:avLst/>
                              <a:gdLst/>
                              <a:ahLst/>
                              <a:cxnLst/>
                              <a:pathLst>
                                <a:path w="7425" h="5060">
                                  <a:moveTo>
                                    <a:pt x="269" y="99"/>
                                  </a:moveTo>
                                  <a:lnTo>
                                    <a:pt x="239" y="99"/>
                                  </a:lnTo>
                                  <a:lnTo>
                                    <a:pt x="250" y="79"/>
                                  </a:lnTo>
                                  <a:lnTo>
                                    <a:pt x="281" y="79"/>
                                  </a:lnTo>
                                  <a:lnTo>
                                    <a:pt x="269" y="99"/>
                                  </a:lnTo>
                                  <a:close/>
                                </a:path>
                              </a:pathLst>
                            </a:custGeom>
                            <a:solidFill>
                              <a:srgbClr val="000000"/>
                            </a:solidFill>
                            <a:ln>
                              <a:noFill/>
                            </a:ln>
                          </wps:spPr>
                          <wps:bodyPr upright="1"/>
                        </wps:wsp>
                        <wps:wsp>
                          <wps:cNvPr id="10" name="任意多边形 10"/>
                          <wps:cNvSpPr/>
                          <wps:spPr>
                            <a:xfrm>
                              <a:off x="0" y="0"/>
                              <a:ext cx="7425" cy="5060"/>
                            </a:xfrm>
                            <a:custGeom>
                              <a:avLst/>
                              <a:gdLst/>
                              <a:ahLst/>
                              <a:cxnLst/>
                              <a:pathLst>
                                <a:path w="7425" h="5060">
                                  <a:moveTo>
                                    <a:pt x="7185" y="99"/>
                                  </a:moveTo>
                                  <a:lnTo>
                                    <a:pt x="7154" y="99"/>
                                  </a:lnTo>
                                  <a:lnTo>
                                    <a:pt x="7143" y="79"/>
                                  </a:lnTo>
                                  <a:lnTo>
                                    <a:pt x="7174" y="79"/>
                                  </a:lnTo>
                                  <a:lnTo>
                                    <a:pt x="7185" y="99"/>
                                  </a:lnTo>
                                  <a:close/>
                                </a:path>
                              </a:pathLst>
                            </a:custGeom>
                            <a:solidFill>
                              <a:srgbClr val="000000"/>
                            </a:solidFill>
                            <a:ln>
                              <a:noFill/>
                            </a:ln>
                          </wps:spPr>
                          <wps:bodyPr upright="1"/>
                        </wps:wsp>
                        <wps:wsp>
                          <wps:cNvPr id="11" name="任意多边形 11"/>
                          <wps:cNvSpPr/>
                          <wps:spPr>
                            <a:xfrm>
                              <a:off x="0" y="0"/>
                              <a:ext cx="7425" cy="5060"/>
                            </a:xfrm>
                            <a:custGeom>
                              <a:avLst/>
                              <a:gdLst/>
                              <a:ahLst/>
                              <a:cxnLst/>
                              <a:pathLst>
                                <a:path w="7425" h="5060">
                                  <a:moveTo>
                                    <a:pt x="237" y="119"/>
                                  </a:moveTo>
                                  <a:lnTo>
                                    <a:pt x="217" y="119"/>
                                  </a:lnTo>
                                  <a:lnTo>
                                    <a:pt x="228" y="99"/>
                                  </a:lnTo>
                                  <a:lnTo>
                                    <a:pt x="247" y="99"/>
                                  </a:lnTo>
                                  <a:lnTo>
                                    <a:pt x="237" y="119"/>
                                  </a:lnTo>
                                  <a:close/>
                                </a:path>
                              </a:pathLst>
                            </a:custGeom>
                            <a:solidFill>
                              <a:srgbClr val="000000"/>
                            </a:solidFill>
                            <a:ln>
                              <a:noFill/>
                            </a:ln>
                          </wps:spPr>
                          <wps:bodyPr upright="1"/>
                        </wps:wsp>
                        <wps:wsp>
                          <wps:cNvPr id="12" name="任意多边形 12"/>
                          <wps:cNvSpPr/>
                          <wps:spPr>
                            <a:xfrm>
                              <a:off x="0" y="0"/>
                              <a:ext cx="7425" cy="5060"/>
                            </a:xfrm>
                            <a:custGeom>
                              <a:avLst/>
                              <a:gdLst/>
                              <a:ahLst/>
                              <a:cxnLst/>
                              <a:pathLst>
                                <a:path w="7425" h="5060">
                                  <a:moveTo>
                                    <a:pt x="7207" y="119"/>
                                  </a:moveTo>
                                  <a:lnTo>
                                    <a:pt x="7187" y="119"/>
                                  </a:lnTo>
                                  <a:lnTo>
                                    <a:pt x="7176" y="99"/>
                                  </a:lnTo>
                                  <a:lnTo>
                                    <a:pt x="7196" y="99"/>
                                  </a:lnTo>
                                  <a:lnTo>
                                    <a:pt x="7207" y="119"/>
                                  </a:lnTo>
                                  <a:close/>
                                </a:path>
                              </a:pathLst>
                            </a:custGeom>
                            <a:solidFill>
                              <a:srgbClr val="000000"/>
                            </a:solidFill>
                            <a:ln>
                              <a:noFill/>
                            </a:ln>
                          </wps:spPr>
                          <wps:bodyPr upright="1"/>
                        </wps:wsp>
                        <wps:wsp>
                          <wps:cNvPr id="13" name="任意多边形 13"/>
                          <wps:cNvSpPr/>
                          <wps:spPr>
                            <a:xfrm>
                              <a:off x="0" y="0"/>
                              <a:ext cx="7425" cy="5060"/>
                            </a:xfrm>
                            <a:custGeom>
                              <a:avLst/>
                              <a:gdLst/>
                              <a:ahLst/>
                              <a:cxnLst/>
                              <a:pathLst>
                                <a:path w="7425" h="5060">
                                  <a:moveTo>
                                    <a:pt x="216" y="139"/>
                                  </a:moveTo>
                                  <a:lnTo>
                                    <a:pt x="186" y="139"/>
                                  </a:lnTo>
                                  <a:lnTo>
                                    <a:pt x="196" y="119"/>
                                  </a:lnTo>
                                  <a:lnTo>
                                    <a:pt x="226" y="119"/>
                                  </a:lnTo>
                                  <a:lnTo>
                                    <a:pt x="216" y="139"/>
                                  </a:lnTo>
                                  <a:close/>
                                </a:path>
                              </a:pathLst>
                            </a:custGeom>
                            <a:solidFill>
                              <a:srgbClr val="000000"/>
                            </a:solidFill>
                            <a:ln>
                              <a:noFill/>
                            </a:ln>
                          </wps:spPr>
                          <wps:bodyPr upright="1"/>
                        </wps:wsp>
                        <wps:wsp>
                          <wps:cNvPr id="14" name="任意多边形 14"/>
                          <wps:cNvSpPr/>
                          <wps:spPr>
                            <a:xfrm>
                              <a:off x="0" y="0"/>
                              <a:ext cx="7425" cy="5060"/>
                            </a:xfrm>
                            <a:custGeom>
                              <a:avLst/>
                              <a:gdLst/>
                              <a:ahLst/>
                              <a:cxnLst/>
                              <a:pathLst>
                                <a:path w="7425" h="5060">
                                  <a:moveTo>
                                    <a:pt x="7238" y="139"/>
                                  </a:moveTo>
                                  <a:lnTo>
                                    <a:pt x="7208" y="139"/>
                                  </a:lnTo>
                                  <a:lnTo>
                                    <a:pt x="7197" y="119"/>
                                  </a:lnTo>
                                  <a:lnTo>
                                    <a:pt x="7228" y="119"/>
                                  </a:lnTo>
                                  <a:lnTo>
                                    <a:pt x="7238" y="139"/>
                                  </a:lnTo>
                                  <a:close/>
                                </a:path>
                              </a:pathLst>
                            </a:custGeom>
                            <a:solidFill>
                              <a:srgbClr val="000000"/>
                            </a:solidFill>
                            <a:ln>
                              <a:noFill/>
                            </a:ln>
                          </wps:spPr>
                          <wps:bodyPr upright="1"/>
                        </wps:wsp>
                        <wps:wsp>
                          <wps:cNvPr id="15" name="任意多边形 15"/>
                          <wps:cNvSpPr/>
                          <wps:spPr>
                            <a:xfrm>
                              <a:off x="0" y="0"/>
                              <a:ext cx="7425" cy="5060"/>
                            </a:xfrm>
                            <a:custGeom>
                              <a:avLst/>
                              <a:gdLst/>
                              <a:ahLst/>
                              <a:cxnLst/>
                              <a:pathLst>
                                <a:path w="7425" h="5060">
                                  <a:moveTo>
                                    <a:pt x="186" y="159"/>
                                  </a:moveTo>
                                  <a:lnTo>
                                    <a:pt x="166" y="159"/>
                                  </a:lnTo>
                                  <a:lnTo>
                                    <a:pt x="176" y="139"/>
                                  </a:lnTo>
                                  <a:lnTo>
                                    <a:pt x="196" y="139"/>
                                  </a:lnTo>
                                  <a:lnTo>
                                    <a:pt x="186" y="159"/>
                                  </a:lnTo>
                                  <a:close/>
                                </a:path>
                              </a:pathLst>
                            </a:custGeom>
                            <a:solidFill>
                              <a:srgbClr val="000000"/>
                            </a:solidFill>
                            <a:ln>
                              <a:noFill/>
                            </a:ln>
                          </wps:spPr>
                          <wps:bodyPr upright="1"/>
                        </wps:wsp>
                        <wps:wsp>
                          <wps:cNvPr id="16" name="任意多边形 16"/>
                          <wps:cNvSpPr/>
                          <wps:spPr>
                            <a:xfrm>
                              <a:off x="0" y="0"/>
                              <a:ext cx="7425" cy="5060"/>
                            </a:xfrm>
                            <a:custGeom>
                              <a:avLst/>
                              <a:gdLst/>
                              <a:ahLst/>
                              <a:cxnLst/>
                              <a:pathLst>
                                <a:path w="7425" h="5060">
                                  <a:moveTo>
                                    <a:pt x="7258" y="159"/>
                                  </a:moveTo>
                                  <a:lnTo>
                                    <a:pt x="7238" y="159"/>
                                  </a:lnTo>
                                  <a:lnTo>
                                    <a:pt x="7228" y="139"/>
                                  </a:lnTo>
                                  <a:lnTo>
                                    <a:pt x="7248" y="139"/>
                                  </a:lnTo>
                                  <a:lnTo>
                                    <a:pt x="7258" y="159"/>
                                  </a:lnTo>
                                  <a:close/>
                                </a:path>
                              </a:pathLst>
                            </a:custGeom>
                            <a:solidFill>
                              <a:srgbClr val="000000"/>
                            </a:solidFill>
                            <a:ln>
                              <a:noFill/>
                            </a:ln>
                          </wps:spPr>
                          <wps:bodyPr upright="1"/>
                        </wps:wsp>
                        <wps:wsp>
                          <wps:cNvPr id="17" name="任意多边形 17"/>
                          <wps:cNvSpPr/>
                          <wps:spPr>
                            <a:xfrm>
                              <a:off x="0" y="0"/>
                              <a:ext cx="7425" cy="5060"/>
                            </a:xfrm>
                            <a:custGeom>
                              <a:avLst/>
                              <a:gdLst/>
                              <a:ahLst/>
                              <a:cxnLst/>
                              <a:pathLst>
                                <a:path w="7425" h="5060">
                                  <a:moveTo>
                                    <a:pt x="167" y="179"/>
                                  </a:moveTo>
                                  <a:lnTo>
                                    <a:pt x="147" y="179"/>
                                  </a:lnTo>
                                  <a:lnTo>
                                    <a:pt x="156" y="159"/>
                                  </a:lnTo>
                                  <a:lnTo>
                                    <a:pt x="176" y="159"/>
                                  </a:lnTo>
                                  <a:lnTo>
                                    <a:pt x="167" y="179"/>
                                  </a:lnTo>
                                  <a:close/>
                                </a:path>
                              </a:pathLst>
                            </a:custGeom>
                            <a:solidFill>
                              <a:srgbClr val="000000"/>
                            </a:solidFill>
                            <a:ln>
                              <a:noFill/>
                            </a:ln>
                          </wps:spPr>
                          <wps:bodyPr upright="1"/>
                        </wps:wsp>
                        <wps:wsp>
                          <wps:cNvPr id="18" name="任意多边形 18"/>
                          <wps:cNvSpPr/>
                          <wps:spPr>
                            <a:xfrm>
                              <a:off x="0" y="0"/>
                              <a:ext cx="7425" cy="5060"/>
                            </a:xfrm>
                            <a:custGeom>
                              <a:avLst/>
                              <a:gdLst/>
                              <a:ahLst/>
                              <a:cxnLst/>
                              <a:pathLst>
                                <a:path w="7425" h="5060">
                                  <a:moveTo>
                                    <a:pt x="7277" y="179"/>
                                  </a:moveTo>
                                  <a:lnTo>
                                    <a:pt x="7256" y="179"/>
                                  </a:lnTo>
                                  <a:lnTo>
                                    <a:pt x="7247" y="159"/>
                                  </a:lnTo>
                                  <a:lnTo>
                                    <a:pt x="7267" y="159"/>
                                  </a:lnTo>
                                  <a:lnTo>
                                    <a:pt x="7277" y="179"/>
                                  </a:lnTo>
                                  <a:close/>
                                </a:path>
                              </a:pathLst>
                            </a:custGeom>
                            <a:solidFill>
                              <a:srgbClr val="000000"/>
                            </a:solidFill>
                            <a:ln>
                              <a:noFill/>
                            </a:ln>
                          </wps:spPr>
                          <wps:bodyPr upright="1"/>
                        </wps:wsp>
                        <wps:wsp>
                          <wps:cNvPr id="19" name="任意多边形 19"/>
                          <wps:cNvSpPr/>
                          <wps:spPr>
                            <a:xfrm>
                              <a:off x="0" y="0"/>
                              <a:ext cx="7425" cy="5060"/>
                            </a:xfrm>
                            <a:custGeom>
                              <a:avLst/>
                              <a:gdLst/>
                              <a:ahLst/>
                              <a:cxnLst/>
                              <a:pathLst>
                                <a:path w="7425" h="5060">
                                  <a:moveTo>
                                    <a:pt x="149" y="199"/>
                                  </a:moveTo>
                                  <a:lnTo>
                                    <a:pt x="129" y="199"/>
                                  </a:lnTo>
                                  <a:lnTo>
                                    <a:pt x="138" y="179"/>
                                  </a:lnTo>
                                  <a:lnTo>
                                    <a:pt x="158" y="179"/>
                                  </a:lnTo>
                                  <a:lnTo>
                                    <a:pt x="149" y="199"/>
                                  </a:lnTo>
                                  <a:close/>
                                </a:path>
                              </a:pathLst>
                            </a:custGeom>
                            <a:solidFill>
                              <a:srgbClr val="000000"/>
                            </a:solidFill>
                            <a:ln>
                              <a:noFill/>
                            </a:ln>
                          </wps:spPr>
                          <wps:bodyPr upright="1"/>
                        </wps:wsp>
                        <wps:wsp>
                          <wps:cNvPr id="20" name="任意多边形 20"/>
                          <wps:cNvSpPr/>
                          <wps:spPr>
                            <a:xfrm>
                              <a:off x="0" y="0"/>
                              <a:ext cx="7425" cy="5060"/>
                            </a:xfrm>
                            <a:custGeom>
                              <a:avLst/>
                              <a:gdLst/>
                              <a:ahLst/>
                              <a:cxnLst/>
                              <a:pathLst>
                                <a:path w="7425" h="5060">
                                  <a:moveTo>
                                    <a:pt x="7294" y="199"/>
                                  </a:moveTo>
                                  <a:lnTo>
                                    <a:pt x="7274" y="199"/>
                                  </a:lnTo>
                                  <a:lnTo>
                                    <a:pt x="7265" y="179"/>
                                  </a:lnTo>
                                  <a:lnTo>
                                    <a:pt x="7286" y="179"/>
                                  </a:lnTo>
                                  <a:lnTo>
                                    <a:pt x="7294" y="199"/>
                                  </a:lnTo>
                                  <a:close/>
                                </a:path>
                              </a:pathLst>
                            </a:custGeom>
                            <a:solidFill>
                              <a:srgbClr val="000000"/>
                            </a:solidFill>
                            <a:ln>
                              <a:noFill/>
                            </a:ln>
                          </wps:spPr>
                          <wps:bodyPr upright="1"/>
                        </wps:wsp>
                        <wps:wsp>
                          <wps:cNvPr id="21" name="任意多边形 21"/>
                          <wps:cNvSpPr/>
                          <wps:spPr>
                            <a:xfrm>
                              <a:off x="0" y="0"/>
                              <a:ext cx="7425" cy="5060"/>
                            </a:xfrm>
                            <a:custGeom>
                              <a:avLst/>
                              <a:gdLst/>
                              <a:ahLst/>
                              <a:cxnLst/>
                              <a:pathLst>
                                <a:path w="7425" h="5060">
                                  <a:moveTo>
                                    <a:pt x="132" y="219"/>
                                  </a:moveTo>
                                  <a:lnTo>
                                    <a:pt x="112" y="219"/>
                                  </a:lnTo>
                                  <a:lnTo>
                                    <a:pt x="121" y="199"/>
                                  </a:lnTo>
                                  <a:lnTo>
                                    <a:pt x="141" y="199"/>
                                  </a:lnTo>
                                  <a:lnTo>
                                    <a:pt x="132" y="219"/>
                                  </a:lnTo>
                                  <a:close/>
                                </a:path>
                              </a:pathLst>
                            </a:custGeom>
                            <a:solidFill>
                              <a:srgbClr val="000000"/>
                            </a:solidFill>
                            <a:ln>
                              <a:noFill/>
                            </a:ln>
                          </wps:spPr>
                          <wps:bodyPr upright="1"/>
                        </wps:wsp>
                        <wps:wsp>
                          <wps:cNvPr id="22" name="任意多边形 22"/>
                          <wps:cNvSpPr/>
                          <wps:spPr>
                            <a:xfrm>
                              <a:off x="0" y="0"/>
                              <a:ext cx="7425" cy="5060"/>
                            </a:xfrm>
                            <a:custGeom>
                              <a:avLst/>
                              <a:gdLst/>
                              <a:ahLst/>
                              <a:cxnLst/>
                              <a:pathLst>
                                <a:path w="7425" h="5060">
                                  <a:moveTo>
                                    <a:pt x="7311" y="219"/>
                                  </a:moveTo>
                                  <a:lnTo>
                                    <a:pt x="7291" y="219"/>
                                  </a:lnTo>
                                  <a:lnTo>
                                    <a:pt x="7283" y="199"/>
                                  </a:lnTo>
                                  <a:lnTo>
                                    <a:pt x="7303" y="199"/>
                                  </a:lnTo>
                                  <a:lnTo>
                                    <a:pt x="7311" y="219"/>
                                  </a:lnTo>
                                  <a:close/>
                                </a:path>
                              </a:pathLst>
                            </a:custGeom>
                            <a:solidFill>
                              <a:srgbClr val="000000"/>
                            </a:solidFill>
                            <a:ln>
                              <a:noFill/>
                            </a:ln>
                          </wps:spPr>
                          <wps:bodyPr upright="1"/>
                        </wps:wsp>
                        <wps:wsp>
                          <wps:cNvPr id="23" name="任意多边形 23"/>
                          <wps:cNvSpPr/>
                          <wps:spPr>
                            <a:xfrm>
                              <a:off x="0" y="0"/>
                              <a:ext cx="7425" cy="5060"/>
                            </a:xfrm>
                            <a:custGeom>
                              <a:avLst/>
                              <a:gdLst/>
                              <a:ahLst/>
                              <a:cxnLst/>
                              <a:pathLst>
                                <a:path w="7425" h="5060">
                                  <a:moveTo>
                                    <a:pt x="101" y="259"/>
                                  </a:moveTo>
                                  <a:lnTo>
                                    <a:pt x="89" y="259"/>
                                  </a:lnTo>
                                  <a:lnTo>
                                    <a:pt x="96" y="239"/>
                                  </a:lnTo>
                                  <a:lnTo>
                                    <a:pt x="104" y="219"/>
                                  </a:lnTo>
                                  <a:lnTo>
                                    <a:pt x="124" y="219"/>
                                  </a:lnTo>
                                  <a:lnTo>
                                    <a:pt x="116" y="239"/>
                                  </a:lnTo>
                                  <a:lnTo>
                                    <a:pt x="109" y="239"/>
                                  </a:lnTo>
                                  <a:lnTo>
                                    <a:pt x="101" y="259"/>
                                  </a:lnTo>
                                  <a:close/>
                                </a:path>
                              </a:pathLst>
                            </a:custGeom>
                            <a:solidFill>
                              <a:srgbClr val="000000"/>
                            </a:solidFill>
                            <a:ln>
                              <a:noFill/>
                            </a:ln>
                          </wps:spPr>
                          <wps:bodyPr upright="1"/>
                        </wps:wsp>
                        <wps:wsp>
                          <wps:cNvPr id="24" name="任意多边形 24"/>
                          <wps:cNvSpPr/>
                          <wps:spPr>
                            <a:xfrm>
                              <a:off x="0" y="0"/>
                              <a:ext cx="7425" cy="5060"/>
                            </a:xfrm>
                            <a:custGeom>
                              <a:avLst/>
                              <a:gdLst/>
                              <a:ahLst/>
                              <a:cxnLst/>
                              <a:pathLst>
                                <a:path w="7425" h="5060">
                                  <a:moveTo>
                                    <a:pt x="7335" y="259"/>
                                  </a:moveTo>
                                  <a:lnTo>
                                    <a:pt x="7322" y="259"/>
                                  </a:lnTo>
                                  <a:lnTo>
                                    <a:pt x="7315" y="239"/>
                                  </a:lnTo>
                                  <a:lnTo>
                                    <a:pt x="7307" y="239"/>
                                  </a:lnTo>
                                  <a:lnTo>
                                    <a:pt x="7299" y="219"/>
                                  </a:lnTo>
                                  <a:lnTo>
                                    <a:pt x="7319" y="219"/>
                                  </a:lnTo>
                                  <a:lnTo>
                                    <a:pt x="7327" y="239"/>
                                  </a:lnTo>
                                  <a:lnTo>
                                    <a:pt x="7335" y="259"/>
                                  </a:lnTo>
                                  <a:close/>
                                </a:path>
                              </a:pathLst>
                            </a:custGeom>
                            <a:solidFill>
                              <a:srgbClr val="000000"/>
                            </a:solidFill>
                            <a:ln>
                              <a:noFill/>
                            </a:ln>
                          </wps:spPr>
                          <wps:bodyPr upright="1"/>
                        </wps:wsp>
                        <wps:wsp>
                          <wps:cNvPr id="25" name="任意多边形 25"/>
                          <wps:cNvSpPr/>
                          <wps:spPr>
                            <a:xfrm>
                              <a:off x="0" y="0"/>
                              <a:ext cx="7425" cy="5060"/>
                            </a:xfrm>
                            <a:custGeom>
                              <a:avLst/>
                              <a:gdLst/>
                              <a:ahLst/>
                              <a:cxnLst/>
                              <a:pathLst>
                                <a:path w="7425" h="5060">
                                  <a:moveTo>
                                    <a:pt x="94" y="279"/>
                                  </a:moveTo>
                                  <a:lnTo>
                                    <a:pt x="75" y="279"/>
                                  </a:lnTo>
                                  <a:lnTo>
                                    <a:pt x="82" y="259"/>
                                  </a:lnTo>
                                  <a:lnTo>
                                    <a:pt x="102" y="259"/>
                                  </a:lnTo>
                                  <a:lnTo>
                                    <a:pt x="94" y="279"/>
                                  </a:lnTo>
                                  <a:close/>
                                </a:path>
                              </a:pathLst>
                            </a:custGeom>
                            <a:solidFill>
                              <a:srgbClr val="000000"/>
                            </a:solidFill>
                            <a:ln>
                              <a:noFill/>
                            </a:ln>
                          </wps:spPr>
                          <wps:bodyPr upright="1"/>
                        </wps:wsp>
                        <wps:wsp>
                          <wps:cNvPr id="26" name="任意多边形 26"/>
                          <wps:cNvSpPr/>
                          <wps:spPr>
                            <a:xfrm>
                              <a:off x="0" y="0"/>
                              <a:ext cx="7425" cy="5060"/>
                            </a:xfrm>
                            <a:custGeom>
                              <a:avLst/>
                              <a:gdLst/>
                              <a:ahLst/>
                              <a:cxnLst/>
                              <a:pathLst>
                                <a:path w="7425" h="5060">
                                  <a:moveTo>
                                    <a:pt x="7349" y="279"/>
                                  </a:moveTo>
                                  <a:lnTo>
                                    <a:pt x="7329" y="279"/>
                                  </a:lnTo>
                                  <a:lnTo>
                                    <a:pt x="7322" y="259"/>
                                  </a:lnTo>
                                  <a:lnTo>
                                    <a:pt x="7342" y="259"/>
                                  </a:lnTo>
                                  <a:lnTo>
                                    <a:pt x="7349" y="279"/>
                                  </a:lnTo>
                                  <a:close/>
                                </a:path>
                              </a:pathLst>
                            </a:custGeom>
                            <a:solidFill>
                              <a:srgbClr val="000000"/>
                            </a:solidFill>
                            <a:ln>
                              <a:noFill/>
                            </a:ln>
                          </wps:spPr>
                          <wps:bodyPr upright="1"/>
                        </wps:wsp>
                        <wps:wsp>
                          <wps:cNvPr id="27" name="任意多边形 27"/>
                          <wps:cNvSpPr/>
                          <wps:spPr>
                            <a:xfrm>
                              <a:off x="0" y="0"/>
                              <a:ext cx="7425" cy="5060"/>
                            </a:xfrm>
                            <a:custGeom>
                              <a:avLst/>
                              <a:gdLst/>
                              <a:ahLst/>
                              <a:cxnLst/>
                              <a:pathLst>
                                <a:path w="7425" h="5060">
                                  <a:moveTo>
                                    <a:pt x="69" y="319"/>
                                  </a:moveTo>
                                  <a:lnTo>
                                    <a:pt x="55" y="319"/>
                                  </a:lnTo>
                                  <a:lnTo>
                                    <a:pt x="62" y="299"/>
                                  </a:lnTo>
                                  <a:lnTo>
                                    <a:pt x="68" y="279"/>
                                  </a:lnTo>
                                  <a:lnTo>
                                    <a:pt x="88" y="279"/>
                                  </a:lnTo>
                                  <a:lnTo>
                                    <a:pt x="81" y="299"/>
                                  </a:lnTo>
                                  <a:lnTo>
                                    <a:pt x="75" y="299"/>
                                  </a:lnTo>
                                  <a:lnTo>
                                    <a:pt x="69" y="319"/>
                                  </a:lnTo>
                                  <a:close/>
                                </a:path>
                              </a:pathLst>
                            </a:custGeom>
                            <a:solidFill>
                              <a:srgbClr val="000000"/>
                            </a:solidFill>
                            <a:ln>
                              <a:noFill/>
                            </a:ln>
                          </wps:spPr>
                          <wps:bodyPr upright="1"/>
                        </wps:wsp>
                        <wps:wsp>
                          <wps:cNvPr id="28" name="任意多边形 28"/>
                          <wps:cNvSpPr/>
                          <wps:spPr>
                            <a:xfrm>
                              <a:off x="0" y="0"/>
                              <a:ext cx="7425" cy="5060"/>
                            </a:xfrm>
                            <a:custGeom>
                              <a:avLst/>
                              <a:gdLst/>
                              <a:ahLst/>
                              <a:cxnLst/>
                              <a:pathLst>
                                <a:path w="7425" h="5060">
                                  <a:moveTo>
                                    <a:pt x="7368" y="319"/>
                                  </a:moveTo>
                                  <a:lnTo>
                                    <a:pt x="7355" y="319"/>
                                  </a:lnTo>
                                  <a:lnTo>
                                    <a:pt x="7349" y="299"/>
                                  </a:lnTo>
                                  <a:lnTo>
                                    <a:pt x="7342" y="299"/>
                                  </a:lnTo>
                                  <a:lnTo>
                                    <a:pt x="7336" y="279"/>
                                  </a:lnTo>
                                  <a:lnTo>
                                    <a:pt x="7356" y="279"/>
                                  </a:lnTo>
                                  <a:lnTo>
                                    <a:pt x="7362" y="299"/>
                                  </a:lnTo>
                                  <a:lnTo>
                                    <a:pt x="7368" y="319"/>
                                  </a:lnTo>
                                  <a:close/>
                                </a:path>
                              </a:pathLst>
                            </a:custGeom>
                            <a:solidFill>
                              <a:srgbClr val="000000"/>
                            </a:solidFill>
                            <a:ln>
                              <a:noFill/>
                            </a:ln>
                          </wps:spPr>
                          <wps:bodyPr upright="1"/>
                        </wps:wsp>
                        <wps:wsp>
                          <wps:cNvPr id="29" name="任意多边形 29"/>
                          <wps:cNvSpPr/>
                          <wps:spPr>
                            <a:xfrm>
                              <a:off x="0" y="0"/>
                              <a:ext cx="7425" cy="5060"/>
                            </a:xfrm>
                            <a:custGeom>
                              <a:avLst/>
                              <a:gdLst/>
                              <a:ahLst/>
                              <a:cxnLst/>
                              <a:pathLst>
                                <a:path w="7425" h="5060">
                                  <a:moveTo>
                                    <a:pt x="63" y="339"/>
                                  </a:moveTo>
                                  <a:lnTo>
                                    <a:pt x="44" y="339"/>
                                  </a:lnTo>
                                  <a:lnTo>
                                    <a:pt x="50" y="319"/>
                                  </a:lnTo>
                                  <a:lnTo>
                                    <a:pt x="69" y="319"/>
                                  </a:lnTo>
                                  <a:lnTo>
                                    <a:pt x="63" y="339"/>
                                  </a:lnTo>
                                  <a:close/>
                                </a:path>
                              </a:pathLst>
                            </a:custGeom>
                            <a:solidFill>
                              <a:srgbClr val="000000"/>
                            </a:solidFill>
                            <a:ln>
                              <a:noFill/>
                            </a:ln>
                          </wps:spPr>
                          <wps:bodyPr upright="1"/>
                        </wps:wsp>
                        <wps:wsp>
                          <wps:cNvPr id="30" name="任意多边形 30"/>
                          <wps:cNvSpPr/>
                          <wps:spPr>
                            <a:xfrm>
                              <a:off x="0" y="0"/>
                              <a:ext cx="7425" cy="5060"/>
                            </a:xfrm>
                            <a:custGeom>
                              <a:avLst/>
                              <a:gdLst/>
                              <a:ahLst/>
                              <a:cxnLst/>
                              <a:pathLst>
                                <a:path w="7425" h="5060">
                                  <a:moveTo>
                                    <a:pt x="7380" y="339"/>
                                  </a:moveTo>
                                  <a:lnTo>
                                    <a:pt x="7360" y="339"/>
                                  </a:lnTo>
                                  <a:lnTo>
                                    <a:pt x="7355" y="319"/>
                                  </a:lnTo>
                                  <a:lnTo>
                                    <a:pt x="7374" y="319"/>
                                  </a:lnTo>
                                  <a:lnTo>
                                    <a:pt x="7380" y="339"/>
                                  </a:lnTo>
                                  <a:close/>
                                </a:path>
                              </a:pathLst>
                            </a:custGeom>
                            <a:solidFill>
                              <a:srgbClr val="000000"/>
                            </a:solidFill>
                            <a:ln>
                              <a:noFill/>
                            </a:ln>
                          </wps:spPr>
                          <wps:bodyPr upright="1"/>
                        </wps:wsp>
                        <wps:wsp>
                          <wps:cNvPr id="31" name="任意多边形 31"/>
                          <wps:cNvSpPr/>
                          <wps:spPr>
                            <a:xfrm>
                              <a:off x="0" y="0"/>
                              <a:ext cx="7425" cy="5060"/>
                            </a:xfrm>
                            <a:custGeom>
                              <a:avLst/>
                              <a:gdLst/>
                              <a:ahLst/>
                              <a:cxnLst/>
                              <a:pathLst>
                                <a:path w="7425" h="5060">
                                  <a:moveTo>
                                    <a:pt x="43" y="379"/>
                                  </a:moveTo>
                                  <a:lnTo>
                                    <a:pt x="29" y="379"/>
                                  </a:lnTo>
                                  <a:lnTo>
                                    <a:pt x="34" y="359"/>
                                  </a:lnTo>
                                  <a:lnTo>
                                    <a:pt x="39" y="339"/>
                                  </a:lnTo>
                                  <a:lnTo>
                                    <a:pt x="58" y="339"/>
                                  </a:lnTo>
                                  <a:lnTo>
                                    <a:pt x="53" y="359"/>
                                  </a:lnTo>
                                  <a:lnTo>
                                    <a:pt x="48" y="359"/>
                                  </a:lnTo>
                                  <a:lnTo>
                                    <a:pt x="43" y="379"/>
                                  </a:lnTo>
                                  <a:close/>
                                </a:path>
                              </a:pathLst>
                            </a:custGeom>
                            <a:solidFill>
                              <a:srgbClr val="000000"/>
                            </a:solidFill>
                            <a:ln>
                              <a:noFill/>
                            </a:ln>
                          </wps:spPr>
                          <wps:bodyPr upright="1"/>
                        </wps:wsp>
                        <wps:wsp>
                          <wps:cNvPr id="32" name="任意多边形 32"/>
                          <wps:cNvSpPr/>
                          <wps:spPr>
                            <a:xfrm>
                              <a:off x="0" y="0"/>
                              <a:ext cx="7425" cy="5060"/>
                            </a:xfrm>
                            <a:custGeom>
                              <a:avLst/>
                              <a:gdLst/>
                              <a:ahLst/>
                              <a:cxnLst/>
                              <a:pathLst>
                                <a:path w="7425" h="5060">
                                  <a:moveTo>
                                    <a:pt x="7394" y="379"/>
                                  </a:moveTo>
                                  <a:lnTo>
                                    <a:pt x="7380" y="379"/>
                                  </a:lnTo>
                                  <a:lnTo>
                                    <a:pt x="7376" y="359"/>
                                  </a:lnTo>
                                  <a:lnTo>
                                    <a:pt x="7371" y="359"/>
                                  </a:lnTo>
                                  <a:lnTo>
                                    <a:pt x="7366" y="339"/>
                                  </a:lnTo>
                                  <a:lnTo>
                                    <a:pt x="7385" y="339"/>
                                  </a:lnTo>
                                  <a:lnTo>
                                    <a:pt x="7390" y="359"/>
                                  </a:lnTo>
                                  <a:lnTo>
                                    <a:pt x="7394" y="379"/>
                                  </a:lnTo>
                                  <a:close/>
                                </a:path>
                              </a:pathLst>
                            </a:custGeom>
                            <a:solidFill>
                              <a:srgbClr val="000000"/>
                            </a:solidFill>
                            <a:ln>
                              <a:noFill/>
                            </a:ln>
                          </wps:spPr>
                          <wps:bodyPr upright="1"/>
                        </wps:wsp>
                        <wps:wsp>
                          <wps:cNvPr id="33" name="任意多边形 33"/>
                          <wps:cNvSpPr/>
                          <wps:spPr>
                            <a:xfrm>
                              <a:off x="0" y="0"/>
                              <a:ext cx="7425" cy="5060"/>
                            </a:xfrm>
                            <a:custGeom>
                              <a:avLst/>
                              <a:gdLst/>
                              <a:ahLst/>
                              <a:cxnLst/>
                              <a:pathLst>
                                <a:path w="7425" h="5060">
                                  <a:moveTo>
                                    <a:pt x="32" y="419"/>
                                  </a:moveTo>
                                  <a:lnTo>
                                    <a:pt x="17" y="419"/>
                                  </a:lnTo>
                                  <a:lnTo>
                                    <a:pt x="21" y="399"/>
                                  </a:lnTo>
                                  <a:lnTo>
                                    <a:pt x="25" y="379"/>
                                  </a:lnTo>
                                  <a:lnTo>
                                    <a:pt x="43" y="379"/>
                                  </a:lnTo>
                                  <a:lnTo>
                                    <a:pt x="39" y="399"/>
                                  </a:lnTo>
                                  <a:lnTo>
                                    <a:pt x="35" y="399"/>
                                  </a:lnTo>
                                  <a:lnTo>
                                    <a:pt x="32" y="419"/>
                                  </a:lnTo>
                                  <a:close/>
                                </a:path>
                              </a:pathLst>
                            </a:custGeom>
                            <a:solidFill>
                              <a:srgbClr val="000000"/>
                            </a:solidFill>
                            <a:ln>
                              <a:noFill/>
                            </a:ln>
                          </wps:spPr>
                          <wps:bodyPr upright="1"/>
                        </wps:wsp>
                        <wps:wsp>
                          <wps:cNvPr id="34" name="任意多边形 34"/>
                          <wps:cNvSpPr/>
                          <wps:spPr>
                            <a:xfrm>
                              <a:off x="0" y="0"/>
                              <a:ext cx="7425" cy="5060"/>
                            </a:xfrm>
                            <a:custGeom>
                              <a:avLst/>
                              <a:gdLst/>
                              <a:ahLst/>
                              <a:cxnLst/>
                              <a:pathLst>
                                <a:path w="7425" h="5060">
                                  <a:moveTo>
                                    <a:pt x="7406" y="419"/>
                                  </a:moveTo>
                                  <a:lnTo>
                                    <a:pt x="7392" y="419"/>
                                  </a:lnTo>
                                  <a:lnTo>
                                    <a:pt x="7388" y="399"/>
                                  </a:lnTo>
                                  <a:lnTo>
                                    <a:pt x="7384" y="399"/>
                                  </a:lnTo>
                                  <a:lnTo>
                                    <a:pt x="7380" y="379"/>
                                  </a:lnTo>
                                  <a:lnTo>
                                    <a:pt x="7399" y="379"/>
                                  </a:lnTo>
                                  <a:lnTo>
                                    <a:pt x="7403" y="399"/>
                                  </a:lnTo>
                                  <a:lnTo>
                                    <a:pt x="7406" y="419"/>
                                  </a:lnTo>
                                  <a:close/>
                                </a:path>
                              </a:pathLst>
                            </a:custGeom>
                            <a:solidFill>
                              <a:srgbClr val="000000"/>
                            </a:solidFill>
                            <a:ln>
                              <a:noFill/>
                            </a:ln>
                          </wps:spPr>
                          <wps:bodyPr upright="1"/>
                        </wps:wsp>
                        <wps:wsp>
                          <wps:cNvPr id="35" name="任意多边形 35"/>
                          <wps:cNvSpPr/>
                          <wps:spPr>
                            <a:xfrm>
                              <a:off x="0" y="0"/>
                              <a:ext cx="7425" cy="5060"/>
                            </a:xfrm>
                            <a:custGeom>
                              <a:avLst/>
                              <a:gdLst/>
                              <a:ahLst/>
                              <a:cxnLst/>
                              <a:pathLst>
                                <a:path w="7425" h="5060">
                                  <a:moveTo>
                                    <a:pt x="21" y="479"/>
                                  </a:moveTo>
                                  <a:lnTo>
                                    <a:pt x="6" y="479"/>
                                  </a:lnTo>
                                  <a:lnTo>
                                    <a:pt x="8" y="459"/>
                                  </a:lnTo>
                                  <a:lnTo>
                                    <a:pt x="11" y="439"/>
                                  </a:lnTo>
                                  <a:lnTo>
                                    <a:pt x="14" y="419"/>
                                  </a:lnTo>
                                  <a:lnTo>
                                    <a:pt x="32" y="419"/>
                                  </a:lnTo>
                                  <a:lnTo>
                                    <a:pt x="28" y="439"/>
                                  </a:lnTo>
                                  <a:lnTo>
                                    <a:pt x="26" y="439"/>
                                  </a:lnTo>
                                  <a:lnTo>
                                    <a:pt x="23" y="459"/>
                                  </a:lnTo>
                                  <a:lnTo>
                                    <a:pt x="23" y="459"/>
                                  </a:lnTo>
                                  <a:lnTo>
                                    <a:pt x="21" y="479"/>
                                  </a:lnTo>
                                  <a:close/>
                                </a:path>
                              </a:pathLst>
                            </a:custGeom>
                            <a:solidFill>
                              <a:srgbClr val="000000"/>
                            </a:solidFill>
                            <a:ln>
                              <a:noFill/>
                            </a:ln>
                          </wps:spPr>
                          <wps:bodyPr upright="1"/>
                        </wps:wsp>
                        <wps:wsp>
                          <wps:cNvPr id="36" name="任意多边形 36"/>
                          <wps:cNvSpPr/>
                          <wps:spPr>
                            <a:xfrm>
                              <a:off x="0" y="0"/>
                              <a:ext cx="7425" cy="5060"/>
                            </a:xfrm>
                            <a:custGeom>
                              <a:avLst/>
                              <a:gdLst/>
                              <a:ahLst/>
                              <a:cxnLst/>
                              <a:pathLst>
                                <a:path w="7425" h="5060">
                                  <a:moveTo>
                                    <a:pt x="7418" y="479"/>
                                  </a:moveTo>
                                  <a:lnTo>
                                    <a:pt x="7403" y="479"/>
                                  </a:lnTo>
                                  <a:lnTo>
                                    <a:pt x="7401" y="459"/>
                                  </a:lnTo>
                                  <a:lnTo>
                                    <a:pt x="7401" y="459"/>
                                  </a:lnTo>
                                  <a:lnTo>
                                    <a:pt x="7398" y="439"/>
                                  </a:lnTo>
                                  <a:lnTo>
                                    <a:pt x="7395" y="439"/>
                                  </a:lnTo>
                                  <a:lnTo>
                                    <a:pt x="7392" y="419"/>
                                  </a:lnTo>
                                  <a:lnTo>
                                    <a:pt x="7410" y="419"/>
                                  </a:lnTo>
                                  <a:lnTo>
                                    <a:pt x="7413" y="439"/>
                                  </a:lnTo>
                                  <a:lnTo>
                                    <a:pt x="7415" y="459"/>
                                  </a:lnTo>
                                  <a:lnTo>
                                    <a:pt x="7418" y="479"/>
                                  </a:lnTo>
                                  <a:close/>
                                </a:path>
                              </a:pathLst>
                            </a:custGeom>
                            <a:solidFill>
                              <a:srgbClr val="000000"/>
                            </a:solidFill>
                            <a:ln>
                              <a:noFill/>
                            </a:ln>
                          </wps:spPr>
                          <wps:bodyPr upright="1"/>
                        </wps:wsp>
                        <wps:wsp>
                          <wps:cNvPr id="37" name="任意多边形 37"/>
                          <wps:cNvSpPr/>
                          <wps:spPr>
                            <a:xfrm>
                              <a:off x="0" y="0"/>
                              <a:ext cx="7425" cy="5060"/>
                            </a:xfrm>
                            <a:custGeom>
                              <a:avLst/>
                              <a:gdLst/>
                              <a:ahLst/>
                              <a:cxnLst/>
                              <a:pathLst>
                                <a:path w="7425" h="5060">
                                  <a:moveTo>
                                    <a:pt x="16" y="519"/>
                                  </a:moveTo>
                                  <a:lnTo>
                                    <a:pt x="1" y="519"/>
                                  </a:lnTo>
                                  <a:lnTo>
                                    <a:pt x="2" y="499"/>
                                  </a:lnTo>
                                  <a:lnTo>
                                    <a:pt x="4" y="479"/>
                                  </a:lnTo>
                                  <a:lnTo>
                                    <a:pt x="19" y="479"/>
                                  </a:lnTo>
                                  <a:lnTo>
                                    <a:pt x="17" y="499"/>
                                  </a:lnTo>
                                  <a:lnTo>
                                    <a:pt x="17" y="499"/>
                                  </a:lnTo>
                                  <a:lnTo>
                                    <a:pt x="16" y="519"/>
                                  </a:lnTo>
                                  <a:close/>
                                </a:path>
                              </a:pathLst>
                            </a:custGeom>
                            <a:solidFill>
                              <a:srgbClr val="000000"/>
                            </a:solidFill>
                            <a:ln>
                              <a:noFill/>
                            </a:ln>
                          </wps:spPr>
                          <wps:bodyPr upright="1"/>
                        </wps:wsp>
                        <wps:wsp>
                          <wps:cNvPr id="38" name="任意多边形 38"/>
                          <wps:cNvSpPr/>
                          <wps:spPr>
                            <a:xfrm>
                              <a:off x="0" y="0"/>
                              <a:ext cx="7425" cy="5060"/>
                            </a:xfrm>
                            <a:custGeom>
                              <a:avLst/>
                              <a:gdLst/>
                              <a:ahLst/>
                              <a:cxnLst/>
                              <a:pathLst>
                                <a:path w="7425" h="5060">
                                  <a:moveTo>
                                    <a:pt x="7423" y="519"/>
                                  </a:moveTo>
                                  <a:lnTo>
                                    <a:pt x="7408" y="519"/>
                                  </a:lnTo>
                                  <a:lnTo>
                                    <a:pt x="7406" y="499"/>
                                  </a:lnTo>
                                  <a:lnTo>
                                    <a:pt x="7406" y="499"/>
                                  </a:lnTo>
                                  <a:lnTo>
                                    <a:pt x="7405" y="479"/>
                                  </a:lnTo>
                                  <a:lnTo>
                                    <a:pt x="7420" y="479"/>
                                  </a:lnTo>
                                  <a:lnTo>
                                    <a:pt x="7421" y="499"/>
                                  </a:lnTo>
                                  <a:lnTo>
                                    <a:pt x="7423" y="519"/>
                                  </a:lnTo>
                                  <a:close/>
                                </a:path>
                              </a:pathLst>
                            </a:custGeom>
                            <a:solidFill>
                              <a:srgbClr val="000000"/>
                            </a:solidFill>
                            <a:ln>
                              <a:noFill/>
                            </a:ln>
                          </wps:spPr>
                          <wps:bodyPr upright="1"/>
                        </wps:wsp>
                        <wps:wsp>
                          <wps:cNvPr id="39" name="任意多边形 39"/>
                          <wps:cNvSpPr/>
                          <wps:spPr>
                            <a:xfrm>
                              <a:off x="0" y="0"/>
                              <a:ext cx="7425" cy="5060"/>
                            </a:xfrm>
                            <a:custGeom>
                              <a:avLst/>
                              <a:gdLst/>
                              <a:ahLst/>
                              <a:cxnLst/>
                              <a:pathLst>
                                <a:path w="7425" h="5060">
                                  <a:moveTo>
                                    <a:pt x="19" y="4559"/>
                                  </a:moveTo>
                                  <a:lnTo>
                                    <a:pt x="2" y="4559"/>
                                  </a:lnTo>
                                  <a:lnTo>
                                    <a:pt x="1" y="4539"/>
                                  </a:lnTo>
                                  <a:lnTo>
                                    <a:pt x="0" y="4519"/>
                                  </a:lnTo>
                                  <a:lnTo>
                                    <a:pt x="0" y="4499"/>
                                  </a:lnTo>
                                  <a:lnTo>
                                    <a:pt x="0" y="539"/>
                                  </a:lnTo>
                                  <a:lnTo>
                                    <a:pt x="0" y="519"/>
                                  </a:lnTo>
                                  <a:lnTo>
                                    <a:pt x="15" y="519"/>
                                  </a:lnTo>
                                  <a:lnTo>
                                    <a:pt x="15" y="539"/>
                                  </a:lnTo>
                                  <a:lnTo>
                                    <a:pt x="15" y="4499"/>
                                  </a:lnTo>
                                  <a:lnTo>
                                    <a:pt x="15" y="4519"/>
                                  </a:lnTo>
                                  <a:lnTo>
                                    <a:pt x="16" y="4539"/>
                                  </a:lnTo>
                                  <a:lnTo>
                                    <a:pt x="17" y="4539"/>
                                  </a:lnTo>
                                  <a:lnTo>
                                    <a:pt x="19" y="4559"/>
                                  </a:lnTo>
                                  <a:close/>
                                </a:path>
                              </a:pathLst>
                            </a:custGeom>
                            <a:solidFill>
                              <a:srgbClr val="000000"/>
                            </a:solidFill>
                            <a:ln>
                              <a:noFill/>
                            </a:ln>
                          </wps:spPr>
                          <wps:bodyPr upright="1"/>
                        </wps:wsp>
                        <wps:wsp>
                          <wps:cNvPr id="40" name="任意多边形 40"/>
                          <wps:cNvSpPr/>
                          <wps:spPr>
                            <a:xfrm>
                              <a:off x="0" y="0"/>
                              <a:ext cx="7425" cy="5060"/>
                            </a:xfrm>
                            <a:custGeom>
                              <a:avLst/>
                              <a:gdLst/>
                              <a:ahLst/>
                              <a:cxnLst/>
                              <a:pathLst>
                                <a:path w="7425" h="5060">
                                  <a:moveTo>
                                    <a:pt x="7421" y="4559"/>
                                  </a:moveTo>
                                  <a:lnTo>
                                    <a:pt x="7405" y="4559"/>
                                  </a:lnTo>
                                  <a:lnTo>
                                    <a:pt x="7406" y="4539"/>
                                  </a:lnTo>
                                  <a:lnTo>
                                    <a:pt x="7408" y="4539"/>
                                  </a:lnTo>
                                  <a:lnTo>
                                    <a:pt x="7408" y="4519"/>
                                  </a:lnTo>
                                  <a:lnTo>
                                    <a:pt x="7408" y="4519"/>
                                  </a:lnTo>
                                  <a:lnTo>
                                    <a:pt x="7409" y="4499"/>
                                  </a:lnTo>
                                  <a:lnTo>
                                    <a:pt x="7409" y="539"/>
                                  </a:lnTo>
                                  <a:lnTo>
                                    <a:pt x="7408" y="519"/>
                                  </a:lnTo>
                                  <a:lnTo>
                                    <a:pt x="7423" y="519"/>
                                  </a:lnTo>
                                  <a:lnTo>
                                    <a:pt x="7424" y="539"/>
                                  </a:lnTo>
                                  <a:lnTo>
                                    <a:pt x="7424" y="4499"/>
                                  </a:lnTo>
                                  <a:lnTo>
                                    <a:pt x="7423" y="4519"/>
                                  </a:lnTo>
                                  <a:lnTo>
                                    <a:pt x="7423" y="4539"/>
                                  </a:lnTo>
                                  <a:lnTo>
                                    <a:pt x="7421" y="4559"/>
                                  </a:lnTo>
                                  <a:close/>
                                </a:path>
                              </a:pathLst>
                            </a:custGeom>
                            <a:solidFill>
                              <a:srgbClr val="000000"/>
                            </a:solidFill>
                            <a:ln>
                              <a:noFill/>
                            </a:ln>
                          </wps:spPr>
                          <wps:bodyPr upright="1"/>
                        </wps:wsp>
                        <wps:wsp>
                          <wps:cNvPr id="41" name="任意多边形 41"/>
                          <wps:cNvSpPr/>
                          <wps:spPr>
                            <a:xfrm>
                              <a:off x="0" y="0"/>
                              <a:ext cx="7425" cy="5060"/>
                            </a:xfrm>
                            <a:custGeom>
                              <a:avLst/>
                              <a:gdLst/>
                              <a:ahLst/>
                              <a:cxnLst/>
                              <a:pathLst>
                                <a:path w="7425" h="5060">
                                  <a:moveTo>
                                    <a:pt x="23" y="4599"/>
                                  </a:moveTo>
                                  <a:lnTo>
                                    <a:pt x="8" y="4599"/>
                                  </a:lnTo>
                                  <a:lnTo>
                                    <a:pt x="6" y="4579"/>
                                  </a:lnTo>
                                  <a:lnTo>
                                    <a:pt x="4" y="4559"/>
                                  </a:lnTo>
                                  <a:lnTo>
                                    <a:pt x="19" y="4559"/>
                                  </a:lnTo>
                                  <a:lnTo>
                                    <a:pt x="21" y="4579"/>
                                  </a:lnTo>
                                  <a:lnTo>
                                    <a:pt x="21" y="4579"/>
                                  </a:lnTo>
                                  <a:lnTo>
                                    <a:pt x="23" y="4599"/>
                                  </a:lnTo>
                                  <a:close/>
                                </a:path>
                              </a:pathLst>
                            </a:custGeom>
                            <a:solidFill>
                              <a:srgbClr val="000000"/>
                            </a:solidFill>
                            <a:ln>
                              <a:noFill/>
                            </a:ln>
                          </wps:spPr>
                          <wps:bodyPr upright="1"/>
                        </wps:wsp>
                        <wps:wsp>
                          <wps:cNvPr id="42" name="任意多边形 42"/>
                          <wps:cNvSpPr/>
                          <wps:spPr>
                            <a:xfrm>
                              <a:off x="0" y="0"/>
                              <a:ext cx="7425" cy="5060"/>
                            </a:xfrm>
                            <a:custGeom>
                              <a:avLst/>
                              <a:gdLst/>
                              <a:ahLst/>
                              <a:cxnLst/>
                              <a:pathLst>
                                <a:path w="7425" h="5060">
                                  <a:moveTo>
                                    <a:pt x="7415" y="4599"/>
                                  </a:moveTo>
                                  <a:lnTo>
                                    <a:pt x="7401" y="4599"/>
                                  </a:lnTo>
                                  <a:lnTo>
                                    <a:pt x="7403" y="4579"/>
                                  </a:lnTo>
                                  <a:lnTo>
                                    <a:pt x="7403" y="4579"/>
                                  </a:lnTo>
                                  <a:lnTo>
                                    <a:pt x="7405" y="4559"/>
                                  </a:lnTo>
                                  <a:lnTo>
                                    <a:pt x="7420" y="4559"/>
                                  </a:lnTo>
                                  <a:lnTo>
                                    <a:pt x="7418" y="4579"/>
                                  </a:lnTo>
                                  <a:lnTo>
                                    <a:pt x="7415" y="4599"/>
                                  </a:lnTo>
                                  <a:close/>
                                </a:path>
                              </a:pathLst>
                            </a:custGeom>
                            <a:solidFill>
                              <a:srgbClr val="000000"/>
                            </a:solidFill>
                            <a:ln>
                              <a:noFill/>
                            </a:ln>
                          </wps:spPr>
                          <wps:bodyPr upright="1"/>
                        </wps:wsp>
                        <wps:wsp>
                          <wps:cNvPr id="43" name="任意多边形 43"/>
                          <wps:cNvSpPr/>
                          <wps:spPr>
                            <a:xfrm>
                              <a:off x="0" y="0"/>
                              <a:ext cx="7425" cy="5060"/>
                            </a:xfrm>
                            <a:custGeom>
                              <a:avLst/>
                              <a:gdLst/>
                              <a:ahLst/>
                              <a:cxnLst/>
                              <a:pathLst>
                                <a:path w="7425" h="5060">
                                  <a:moveTo>
                                    <a:pt x="32" y="4639"/>
                                  </a:moveTo>
                                  <a:lnTo>
                                    <a:pt x="17" y="4639"/>
                                  </a:lnTo>
                                  <a:lnTo>
                                    <a:pt x="14" y="4619"/>
                                  </a:lnTo>
                                  <a:lnTo>
                                    <a:pt x="11" y="4599"/>
                                  </a:lnTo>
                                  <a:lnTo>
                                    <a:pt x="26" y="4599"/>
                                  </a:lnTo>
                                  <a:lnTo>
                                    <a:pt x="29" y="4619"/>
                                  </a:lnTo>
                                  <a:lnTo>
                                    <a:pt x="28" y="4619"/>
                                  </a:lnTo>
                                  <a:lnTo>
                                    <a:pt x="32" y="4639"/>
                                  </a:lnTo>
                                  <a:close/>
                                </a:path>
                              </a:pathLst>
                            </a:custGeom>
                            <a:solidFill>
                              <a:srgbClr val="000000"/>
                            </a:solidFill>
                            <a:ln>
                              <a:noFill/>
                            </a:ln>
                          </wps:spPr>
                          <wps:bodyPr upright="1"/>
                        </wps:wsp>
                        <wps:wsp>
                          <wps:cNvPr id="44" name="任意多边形 44"/>
                          <wps:cNvSpPr/>
                          <wps:spPr>
                            <a:xfrm>
                              <a:off x="0" y="0"/>
                              <a:ext cx="7425" cy="5060"/>
                            </a:xfrm>
                            <a:custGeom>
                              <a:avLst/>
                              <a:gdLst/>
                              <a:ahLst/>
                              <a:cxnLst/>
                              <a:pathLst>
                                <a:path w="7425" h="5060">
                                  <a:moveTo>
                                    <a:pt x="7406" y="4639"/>
                                  </a:moveTo>
                                  <a:lnTo>
                                    <a:pt x="7392" y="4639"/>
                                  </a:lnTo>
                                  <a:lnTo>
                                    <a:pt x="7395" y="4619"/>
                                  </a:lnTo>
                                  <a:lnTo>
                                    <a:pt x="7395" y="4619"/>
                                  </a:lnTo>
                                  <a:lnTo>
                                    <a:pt x="7398" y="4599"/>
                                  </a:lnTo>
                                  <a:lnTo>
                                    <a:pt x="7413" y="4599"/>
                                  </a:lnTo>
                                  <a:lnTo>
                                    <a:pt x="7410" y="4619"/>
                                  </a:lnTo>
                                  <a:lnTo>
                                    <a:pt x="7406" y="4639"/>
                                  </a:lnTo>
                                  <a:close/>
                                </a:path>
                              </a:pathLst>
                            </a:custGeom>
                            <a:solidFill>
                              <a:srgbClr val="000000"/>
                            </a:solidFill>
                            <a:ln>
                              <a:noFill/>
                            </a:ln>
                          </wps:spPr>
                          <wps:bodyPr upright="1"/>
                        </wps:wsp>
                        <wps:wsp>
                          <wps:cNvPr id="45" name="任意多边形 45"/>
                          <wps:cNvSpPr/>
                          <wps:spPr>
                            <a:xfrm>
                              <a:off x="0" y="0"/>
                              <a:ext cx="7425" cy="5060"/>
                            </a:xfrm>
                            <a:custGeom>
                              <a:avLst/>
                              <a:gdLst/>
                              <a:ahLst/>
                              <a:cxnLst/>
                              <a:pathLst>
                                <a:path w="7425" h="5060">
                                  <a:moveTo>
                                    <a:pt x="43" y="4679"/>
                                  </a:moveTo>
                                  <a:lnTo>
                                    <a:pt x="29" y="4679"/>
                                  </a:lnTo>
                                  <a:lnTo>
                                    <a:pt x="25" y="4659"/>
                                  </a:lnTo>
                                  <a:lnTo>
                                    <a:pt x="21" y="4639"/>
                                  </a:lnTo>
                                  <a:lnTo>
                                    <a:pt x="35" y="4639"/>
                                  </a:lnTo>
                                  <a:lnTo>
                                    <a:pt x="39" y="4659"/>
                                  </a:lnTo>
                                  <a:lnTo>
                                    <a:pt x="39" y="4659"/>
                                  </a:lnTo>
                                  <a:lnTo>
                                    <a:pt x="43" y="4679"/>
                                  </a:lnTo>
                                  <a:close/>
                                </a:path>
                              </a:pathLst>
                            </a:custGeom>
                            <a:solidFill>
                              <a:srgbClr val="000000"/>
                            </a:solidFill>
                            <a:ln>
                              <a:noFill/>
                            </a:ln>
                          </wps:spPr>
                          <wps:bodyPr upright="1"/>
                        </wps:wsp>
                        <wps:wsp>
                          <wps:cNvPr id="46" name="任意多边形 46"/>
                          <wps:cNvSpPr/>
                          <wps:spPr>
                            <a:xfrm>
                              <a:off x="0" y="0"/>
                              <a:ext cx="7425" cy="5060"/>
                            </a:xfrm>
                            <a:custGeom>
                              <a:avLst/>
                              <a:gdLst/>
                              <a:ahLst/>
                              <a:cxnLst/>
                              <a:pathLst>
                                <a:path w="7425" h="5060">
                                  <a:moveTo>
                                    <a:pt x="7394" y="4679"/>
                                  </a:moveTo>
                                  <a:lnTo>
                                    <a:pt x="7380" y="4679"/>
                                  </a:lnTo>
                                  <a:lnTo>
                                    <a:pt x="7384" y="4659"/>
                                  </a:lnTo>
                                  <a:lnTo>
                                    <a:pt x="7384" y="4659"/>
                                  </a:lnTo>
                                  <a:lnTo>
                                    <a:pt x="7388" y="4639"/>
                                  </a:lnTo>
                                  <a:lnTo>
                                    <a:pt x="7403" y="4639"/>
                                  </a:lnTo>
                                  <a:lnTo>
                                    <a:pt x="7399" y="4659"/>
                                  </a:lnTo>
                                  <a:lnTo>
                                    <a:pt x="7394" y="4679"/>
                                  </a:lnTo>
                                  <a:close/>
                                </a:path>
                              </a:pathLst>
                            </a:custGeom>
                            <a:solidFill>
                              <a:srgbClr val="000000"/>
                            </a:solidFill>
                            <a:ln>
                              <a:noFill/>
                            </a:ln>
                          </wps:spPr>
                          <wps:bodyPr upright="1"/>
                        </wps:wsp>
                        <wps:wsp>
                          <wps:cNvPr id="47" name="任意多边形 47"/>
                          <wps:cNvSpPr/>
                          <wps:spPr>
                            <a:xfrm>
                              <a:off x="0" y="0"/>
                              <a:ext cx="7425" cy="5060"/>
                            </a:xfrm>
                            <a:custGeom>
                              <a:avLst/>
                              <a:gdLst/>
                              <a:ahLst/>
                              <a:cxnLst/>
                              <a:pathLst>
                                <a:path w="7425" h="5060">
                                  <a:moveTo>
                                    <a:pt x="48" y="4679"/>
                                  </a:moveTo>
                                  <a:lnTo>
                                    <a:pt x="43" y="4679"/>
                                  </a:lnTo>
                                  <a:lnTo>
                                    <a:pt x="43" y="4659"/>
                                  </a:lnTo>
                                  <a:lnTo>
                                    <a:pt x="48" y="4679"/>
                                  </a:lnTo>
                                  <a:close/>
                                </a:path>
                              </a:pathLst>
                            </a:custGeom>
                            <a:solidFill>
                              <a:srgbClr val="000000"/>
                            </a:solidFill>
                            <a:ln>
                              <a:noFill/>
                            </a:ln>
                          </wps:spPr>
                          <wps:bodyPr upright="1"/>
                        </wps:wsp>
                        <wps:wsp>
                          <wps:cNvPr id="48" name="任意多边形 48"/>
                          <wps:cNvSpPr/>
                          <wps:spPr>
                            <a:xfrm>
                              <a:off x="0" y="0"/>
                              <a:ext cx="7425" cy="5060"/>
                            </a:xfrm>
                            <a:custGeom>
                              <a:avLst/>
                              <a:gdLst/>
                              <a:ahLst/>
                              <a:cxnLst/>
                              <a:pathLst>
                                <a:path w="7425" h="5060">
                                  <a:moveTo>
                                    <a:pt x="7380" y="4679"/>
                                  </a:moveTo>
                                  <a:lnTo>
                                    <a:pt x="7376" y="4679"/>
                                  </a:lnTo>
                                  <a:lnTo>
                                    <a:pt x="7380" y="4659"/>
                                  </a:lnTo>
                                  <a:lnTo>
                                    <a:pt x="7380" y="4679"/>
                                  </a:lnTo>
                                  <a:close/>
                                </a:path>
                              </a:pathLst>
                            </a:custGeom>
                            <a:solidFill>
                              <a:srgbClr val="000000"/>
                            </a:solidFill>
                            <a:ln>
                              <a:noFill/>
                            </a:ln>
                          </wps:spPr>
                          <wps:bodyPr upright="1"/>
                        </wps:wsp>
                        <wps:wsp>
                          <wps:cNvPr id="49" name="任意多边形 49"/>
                          <wps:cNvSpPr/>
                          <wps:spPr>
                            <a:xfrm>
                              <a:off x="0" y="0"/>
                              <a:ext cx="7425" cy="5060"/>
                            </a:xfrm>
                            <a:custGeom>
                              <a:avLst/>
                              <a:gdLst/>
                              <a:ahLst/>
                              <a:cxnLst/>
                              <a:pathLst>
                                <a:path w="7425" h="5060">
                                  <a:moveTo>
                                    <a:pt x="63" y="4719"/>
                                  </a:moveTo>
                                  <a:lnTo>
                                    <a:pt x="44" y="4719"/>
                                  </a:lnTo>
                                  <a:lnTo>
                                    <a:pt x="39" y="4699"/>
                                  </a:lnTo>
                                  <a:lnTo>
                                    <a:pt x="34" y="4679"/>
                                  </a:lnTo>
                                  <a:lnTo>
                                    <a:pt x="48" y="4679"/>
                                  </a:lnTo>
                                  <a:lnTo>
                                    <a:pt x="53" y="4699"/>
                                  </a:lnTo>
                                  <a:lnTo>
                                    <a:pt x="58" y="4699"/>
                                  </a:lnTo>
                                  <a:lnTo>
                                    <a:pt x="63" y="4719"/>
                                  </a:lnTo>
                                  <a:close/>
                                </a:path>
                              </a:pathLst>
                            </a:custGeom>
                            <a:solidFill>
                              <a:srgbClr val="000000"/>
                            </a:solidFill>
                            <a:ln>
                              <a:noFill/>
                            </a:ln>
                          </wps:spPr>
                          <wps:bodyPr upright="1"/>
                        </wps:wsp>
                        <wps:wsp>
                          <wps:cNvPr id="50" name="任意多边形 50"/>
                          <wps:cNvSpPr/>
                          <wps:spPr>
                            <a:xfrm>
                              <a:off x="0" y="0"/>
                              <a:ext cx="7425" cy="5060"/>
                            </a:xfrm>
                            <a:custGeom>
                              <a:avLst/>
                              <a:gdLst/>
                              <a:ahLst/>
                              <a:cxnLst/>
                              <a:pathLst>
                                <a:path w="7425" h="5060">
                                  <a:moveTo>
                                    <a:pt x="7380" y="4719"/>
                                  </a:moveTo>
                                  <a:lnTo>
                                    <a:pt x="7360" y="4719"/>
                                  </a:lnTo>
                                  <a:lnTo>
                                    <a:pt x="7366" y="4699"/>
                                  </a:lnTo>
                                  <a:lnTo>
                                    <a:pt x="7371" y="4699"/>
                                  </a:lnTo>
                                  <a:lnTo>
                                    <a:pt x="7376" y="4679"/>
                                  </a:lnTo>
                                  <a:lnTo>
                                    <a:pt x="7390" y="4679"/>
                                  </a:lnTo>
                                  <a:lnTo>
                                    <a:pt x="7385" y="4699"/>
                                  </a:lnTo>
                                  <a:lnTo>
                                    <a:pt x="7380" y="4719"/>
                                  </a:lnTo>
                                  <a:close/>
                                </a:path>
                              </a:pathLst>
                            </a:custGeom>
                            <a:solidFill>
                              <a:srgbClr val="000000"/>
                            </a:solidFill>
                            <a:ln>
                              <a:noFill/>
                            </a:ln>
                          </wps:spPr>
                          <wps:bodyPr upright="1"/>
                        </wps:wsp>
                        <wps:wsp>
                          <wps:cNvPr id="51" name="任意多边形 51"/>
                          <wps:cNvSpPr/>
                          <wps:spPr>
                            <a:xfrm>
                              <a:off x="0" y="0"/>
                              <a:ext cx="7425" cy="5060"/>
                            </a:xfrm>
                            <a:custGeom>
                              <a:avLst/>
                              <a:gdLst/>
                              <a:ahLst/>
                              <a:cxnLst/>
                              <a:pathLst>
                                <a:path w="7425" h="5060">
                                  <a:moveTo>
                                    <a:pt x="81" y="4759"/>
                                  </a:moveTo>
                                  <a:lnTo>
                                    <a:pt x="62" y="4759"/>
                                  </a:lnTo>
                                  <a:lnTo>
                                    <a:pt x="55" y="4739"/>
                                  </a:lnTo>
                                  <a:lnTo>
                                    <a:pt x="50" y="4719"/>
                                  </a:lnTo>
                                  <a:lnTo>
                                    <a:pt x="63" y="4719"/>
                                  </a:lnTo>
                                  <a:lnTo>
                                    <a:pt x="69" y="4739"/>
                                  </a:lnTo>
                                  <a:lnTo>
                                    <a:pt x="75" y="4739"/>
                                  </a:lnTo>
                                  <a:lnTo>
                                    <a:pt x="81" y="4759"/>
                                  </a:lnTo>
                                  <a:close/>
                                </a:path>
                              </a:pathLst>
                            </a:custGeom>
                            <a:solidFill>
                              <a:srgbClr val="000000"/>
                            </a:solidFill>
                            <a:ln>
                              <a:noFill/>
                            </a:ln>
                          </wps:spPr>
                          <wps:bodyPr upright="1"/>
                        </wps:wsp>
                        <wps:wsp>
                          <wps:cNvPr id="52" name="任意多边形 52"/>
                          <wps:cNvSpPr/>
                          <wps:spPr>
                            <a:xfrm>
                              <a:off x="0" y="0"/>
                              <a:ext cx="7425" cy="5060"/>
                            </a:xfrm>
                            <a:custGeom>
                              <a:avLst/>
                              <a:gdLst/>
                              <a:ahLst/>
                              <a:cxnLst/>
                              <a:pathLst>
                                <a:path w="7425" h="5060">
                                  <a:moveTo>
                                    <a:pt x="7362" y="4759"/>
                                  </a:moveTo>
                                  <a:lnTo>
                                    <a:pt x="7342" y="4759"/>
                                  </a:lnTo>
                                  <a:lnTo>
                                    <a:pt x="7349" y="4739"/>
                                  </a:lnTo>
                                  <a:lnTo>
                                    <a:pt x="7355" y="4739"/>
                                  </a:lnTo>
                                  <a:lnTo>
                                    <a:pt x="7360" y="4719"/>
                                  </a:lnTo>
                                  <a:lnTo>
                                    <a:pt x="7374" y="4719"/>
                                  </a:lnTo>
                                  <a:lnTo>
                                    <a:pt x="7368" y="4739"/>
                                  </a:lnTo>
                                  <a:lnTo>
                                    <a:pt x="7362" y="4759"/>
                                  </a:lnTo>
                                  <a:close/>
                                </a:path>
                              </a:pathLst>
                            </a:custGeom>
                            <a:solidFill>
                              <a:srgbClr val="000000"/>
                            </a:solidFill>
                            <a:ln>
                              <a:noFill/>
                            </a:ln>
                          </wps:spPr>
                          <wps:bodyPr upright="1"/>
                        </wps:wsp>
                        <wps:wsp>
                          <wps:cNvPr id="53" name="任意多边形 53"/>
                          <wps:cNvSpPr/>
                          <wps:spPr>
                            <a:xfrm>
                              <a:off x="0" y="0"/>
                              <a:ext cx="7425" cy="5060"/>
                            </a:xfrm>
                            <a:custGeom>
                              <a:avLst/>
                              <a:gdLst/>
                              <a:ahLst/>
                              <a:cxnLst/>
                              <a:pathLst>
                                <a:path w="7425" h="5060">
                                  <a:moveTo>
                                    <a:pt x="94" y="4779"/>
                                  </a:moveTo>
                                  <a:lnTo>
                                    <a:pt x="75" y="4779"/>
                                  </a:lnTo>
                                  <a:lnTo>
                                    <a:pt x="68" y="4759"/>
                                  </a:lnTo>
                                  <a:lnTo>
                                    <a:pt x="88" y="4759"/>
                                  </a:lnTo>
                                  <a:lnTo>
                                    <a:pt x="94" y="4779"/>
                                  </a:lnTo>
                                  <a:close/>
                                </a:path>
                              </a:pathLst>
                            </a:custGeom>
                            <a:solidFill>
                              <a:srgbClr val="000000"/>
                            </a:solidFill>
                            <a:ln>
                              <a:noFill/>
                            </a:ln>
                          </wps:spPr>
                          <wps:bodyPr upright="1"/>
                        </wps:wsp>
                        <wps:wsp>
                          <wps:cNvPr id="54" name="任意多边形 54"/>
                          <wps:cNvSpPr/>
                          <wps:spPr>
                            <a:xfrm>
                              <a:off x="0" y="0"/>
                              <a:ext cx="7425" cy="5060"/>
                            </a:xfrm>
                            <a:custGeom>
                              <a:avLst/>
                              <a:gdLst/>
                              <a:ahLst/>
                              <a:cxnLst/>
                              <a:pathLst>
                                <a:path w="7425" h="5060">
                                  <a:moveTo>
                                    <a:pt x="7349" y="4779"/>
                                  </a:moveTo>
                                  <a:lnTo>
                                    <a:pt x="7329" y="4779"/>
                                  </a:lnTo>
                                  <a:lnTo>
                                    <a:pt x="7336" y="4759"/>
                                  </a:lnTo>
                                  <a:lnTo>
                                    <a:pt x="7356" y="4759"/>
                                  </a:lnTo>
                                  <a:lnTo>
                                    <a:pt x="7349" y="4779"/>
                                  </a:lnTo>
                                  <a:close/>
                                </a:path>
                              </a:pathLst>
                            </a:custGeom>
                            <a:solidFill>
                              <a:srgbClr val="000000"/>
                            </a:solidFill>
                            <a:ln>
                              <a:noFill/>
                            </a:ln>
                          </wps:spPr>
                          <wps:bodyPr upright="1"/>
                        </wps:wsp>
                        <wps:wsp>
                          <wps:cNvPr id="55" name="任意多边形 55"/>
                          <wps:cNvSpPr/>
                          <wps:spPr>
                            <a:xfrm>
                              <a:off x="0" y="0"/>
                              <a:ext cx="7425" cy="5060"/>
                            </a:xfrm>
                            <a:custGeom>
                              <a:avLst/>
                              <a:gdLst/>
                              <a:ahLst/>
                              <a:cxnLst/>
                              <a:pathLst>
                                <a:path w="7425" h="5060">
                                  <a:moveTo>
                                    <a:pt x="116" y="4819"/>
                                  </a:moveTo>
                                  <a:lnTo>
                                    <a:pt x="96" y="4819"/>
                                  </a:lnTo>
                                  <a:lnTo>
                                    <a:pt x="89" y="4799"/>
                                  </a:lnTo>
                                  <a:lnTo>
                                    <a:pt x="82" y="4779"/>
                                  </a:lnTo>
                                  <a:lnTo>
                                    <a:pt x="94" y="4779"/>
                                  </a:lnTo>
                                  <a:lnTo>
                                    <a:pt x="102" y="4799"/>
                                  </a:lnTo>
                                  <a:lnTo>
                                    <a:pt x="109" y="4799"/>
                                  </a:lnTo>
                                  <a:lnTo>
                                    <a:pt x="116" y="4819"/>
                                  </a:lnTo>
                                  <a:close/>
                                </a:path>
                              </a:pathLst>
                            </a:custGeom>
                            <a:solidFill>
                              <a:srgbClr val="000000"/>
                            </a:solidFill>
                            <a:ln>
                              <a:noFill/>
                            </a:ln>
                          </wps:spPr>
                          <wps:bodyPr upright="1"/>
                        </wps:wsp>
                        <wps:wsp>
                          <wps:cNvPr id="56" name="任意多边形 56"/>
                          <wps:cNvSpPr/>
                          <wps:spPr>
                            <a:xfrm>
                              <a:off x="0" y="0"/>
                              <a:ext cx="7425" cy="5060"/>
                            </a:xfrm>
                            <a:custGeom>
                              <a:avLst/>
                              <a:gdLst/>
                              <a:ahLst/>
                              <a:cxnLst/>
                              <a:pathLst>
                                <a:path w="7425" h="5060">
                                  <a:moveTo>
                                    <a:pt x="7327" y="4819"/>
                                  </a:moveTo>
                                  <a:lnTo>
                                    <a:pt x="7307" y="4819"/>
                                  </a:lnTo>
                                  <a:lnTo>
                                    <a:pt x="7315" y="4799"/>
                                  </a:lnTo>
                                  <a:lnTo>
                                    <a:pt x="7322" y="4799"/>
                                  </a:lnTo>
                                  <a:lnTo>
                                    <a:pt x="7329" y="4779"/>
                                  </a:lnTo>
                                  <a:lnTo>
                                    <a:pt x="7342" y="4779"/>
                                  </a:lnTo>
                                  <a:lnTo>
                                    <a:pt x="7335" y="4799"/>
                                  </a:lnTo>
                                  <a:lnTo>
                                    <a:pt x="7327" y="4819"/>
                                  </a:lnTo>
                                  <a:close/>
                                </a:path>
                              </a:pathLst>
                            </a:custGeom>
                            <a:solidFill>
                              <a:srgbClr val="000000"/>
                            </a:solidFill>
                            <a:ln>
                              <a:noFill/>
                            </a:ln>
                          </wps:spPr>
                          <wps:bodyPr upright="1"/>
                        </wps:wsp>
                        <wps:wsp>
                          <wps:cNvPr id="57" name="任意多边形 57"/>
                          <wps:cNvSpPr/>
                          <wps:spPr>
                            <a:xfrm>
                              <a:off x="0" y="0"/>
                              <a:ext cx="7425" cy="5060"/>
                            </a:xfrm>
                            <a:custGeom>
                              <a:avLst/>
                              <a:gdLst/>
                              <a:ahLst/>
                              <a:cxnLst/>
                              <a:pathLst>
                                <a:path w="7425" h="5060">
                                  <a:moveTo>
                                    <a:pt x="132" y="4839"/>
                                  </a:moveTo>
                                  <a:lnTo>
                                    <a:pt x="112" y="4839"/>
                                  </a:lnTo>
                                  <a:lnTo>
                                    <a:pt x="104" y="4819"/>
                                  </a:lnTo>
                                  <a:lnTo>
                                    <a:pt x="124" y="4819"/>
                                  </a:lnTo>
                                  <a:lnTo>
                                    <a:pt x="132" y="4839"/>
                                  </a:lnTo>
                                  <a:close/>
                                </a:path>
                              </a:pathLst>
                            </a:custGeom>
                            <a:solidFill>
                              <a:srgbClr val="000000"/>
                            </a:solidFill>
                            <a:ln>
                              <a:noFill/>
                            </a:ln>
                          </wps:spPr>
                          <wps:bodyPr upright="1"/>
                        </wps:wsp>
                        <wps:wsp>
                          <wps:cNvPr id="58" name="任意多边形 58"/>
                          <wps:cNvSpPr/>
                          <wps:spPr>
                            <a:xfrm>
                              <a:off x="0" y="0"/>
                              <a:ext cx="7425" cy="5060"/>
                            </a:xfrm>
                            <a:custGeom>
                              <a:avLst/>
                              <a:gdLst/>
                              <a:ahLst/>
                              <a:cxnLst/>
                              <a:pathLst>
                                <a:path w="7425" h="5060">
                                  <a:moveTo>
                                    <a:pt x="7311" y="4839"/>
                                  </a:moveTo>
                                  <a:lnTo>
                                    <a:pt x="7291" y="4839"/>
                                  </a:lnTo>
                                  <a:lnTo>
                                    <a:pt x="7299" y="4819"/>
                                  </a:lnTo>
                                  <a:lnTo>
                                    <a:pt x="7319" y="4819"/>
                                  </a:lnTo>
                                  <a:lnTo>
                                    <a:pt x="7311" y="4839"/>
                                  </a:lnTo>
                                  <a:close/>
                                </a:path>
                              </a:pathLst>
                            </a:custGeom>
                            <a:solidFill>
                              <a:srgbClr val="000000"/>
                            </a:solidFill>
                            <a:ln>
                              <a:noFill/>
                            </a:ln>
                          </wps:spPr>
                          <wps:bodyPr upright="1"/>
                        </wps:wsp>
                        <wps:wsp>
                          <wps:cNvPr id="59" name="任意多边形 59"/>
                          <wps:cNvSpPr/>
                          <wps:spPr>
                            <a:xfrm>
                              <a:off x="0" y="0"/>
                              <a:ext cx="7425" cy="5060"/>
                            </a:xfrm>
                            <a:custGeom>
                              <a:avLst/>
                              <a:gdLst/>
                              <a:ahLst/>
                              <a:cxnLst/>
                              <a:pathLst>
                                <a:path w="7425" h="5060">
                                  <a:moveTo>
                                    <a:pt x="149" y="4859"/>
                                  </a:moveTo>
                                  <a:lnTo>
                                    <a:pt x="129" y="4859"/>
                                  </a:lnTo>
                                  <a:lnTo>
                                    <a:pt x="121" y="4839"/>
                                  </a:lnTo>
                                  <a:lnTo>
                                    <a:pt x="141" y="4839"/>
                                  </a:lnTo>
                                  <a:lnTo>
                                    <a:pt x="149" y="4859"/>
                                  </a:lnTo>
                                  <a:close/>
                                </a:path>
                              </a:pathLst>
                            </a:custGeom>
                            <a:solidFill>
                              <a:srgbClr val="000000"/>
                            </a:solidFill>
                            <a:ln>
                              <a:noFill/>
                            </a:ln>
                          </wps:spPr>
                          <wps:bodyPr upright="1"/>
                        </wps:wsp>
                        <wps:wsp>
                          <wps:cNvPr id="60" name="任意多边形 60"/>
                          <wps:cNvSpPr/>
                          <wps:spPr>
                            <a:xfrm>
                              <a:off x="0" y="0"/>
                              <a:ext cx="7425" cy="5060"/>
                            </a:xfrm>
                            <a:custGeom>
                              <a:avLst/>
                              <a:gdLst/>
                              <a:ahLst/>
                              <a:cxnLst/>
                              <a:pathLst>
                                <a:path w="7425" h="5060">
                                  <a:moveTo>
                                    <a:pt x="7294" y="4859"/>
                                  </a:moveTo>
                                  <a:lnTo>
                                    <a:pt x="7274" y="4859"/>
                                  </a:lnTo>
                                  <a:lnTo>
                                    <a:pt x="7283" y="4839"/>
                                  </a:lnTo>
                                  <a:lnTo>
                                    <a:pt x="7303" y="4839"/>
                                  </a:lnTo>
                                  <a:lnTo>
                                    <a:pt x="7294" y="4859"/>
                                  </a:lnTo>
                                  <a:close/>
                                </a:path>
                              </a:pathLst>
                            </a:custGeom>
                            <a:solidFill>
                              <a:srgbClr val="000000"/>
                            </a:solidFill>
                            <a:ln>
                              <a:noFill/>
                            </a:ln>
                          </wps:spPr>
                          <wps:bodyPr upright="1"/>
                        </wps:wsp>
                        <wps:wsp>
                          <wps:cNvPr id="61" name="任意多边形 61"/>
                          <wps:cNvSpPr/>
                          <wps:spPr>
                            <a:xfrm>
                              <a:off x="0" y="0"/>
                              <a:ext cx="7425" cy="5060"/>
                            </a:xfrm>
                            <a:custGeom>
                              <a:avLst/>
                              <a:gdLst/>
                              <a:ahLst/>
                              <a:cxnLst/>
                              <a:pathLst>
                                <a:path w="7425" h="5060">
                                  <a:moveTo>
                                    <a:pt x="167" y="4879"/>
                                  </a:moveTo>
                                  <a:lnTo>
                                    <a:pt x="147" y="4879"/>
                                  </a:lnTo>
                                  <a:lnTo>
                                    <a:pt x="138" y="4859"/>
                                  </a:lnTo>
                                  <a:lnTo>
                                    <a:pt x="158" y="4859"/>
                                  </a:lnTo>
                                  <a:lnTo>
                                    <a:pt x="167" y="4879"/>
                                  </a:lnTo>
                                  <a:close/>
                                </a:path>
                              </a:pathLst>
                            </a:custGeom>
                            <a:solidFill>
                              <a:srgbClr val="000000"/>
                            </a:solidFill>
                            <a:ln>
                              <a:noFill/>
                            </a:ln>
                          </wps:spPr>
                          <wps:bodyPr upright="1"/>
                        </wps:wsp>
                        <wps:wsp>
                          <wps:cNvPr id="62" name="任意多边形 62"/>
                          <wps:cNvSpPr/>
                          <wps:spPr>
                            <a:xfrm>
                              <a:off x="0" y="0"/>
                              <a:ext cx="7425" cy="5060"/>
                            </a:xfrm>
                            <a:custGeom>
                              <a:avLst/>
                              <a:gdLst/>
                              <a:ahLst/>
                              <a:cxnLst/>
                              <a:pathLst>
                                <a:path w="7425" h="5060">
                                  <a:moveTo>
                                    <a:pt x="7277" y="4879"/>
                                  </a:moveTo>
                                  <a:lnTo>
                                    <a:pt x="7256" y="4879"/>
                                  </a:lnTo>
                                  <a:lnTo>
                                    <a:pt x="7265" y="4859"/>
                                  </a:lnTo>
                                  <a:lnTo>
                                    <a:pt x="7286" y="4859"/>
                                  </a:lnTo>
                                  <a:lnTo>
                                    <a:pt x="7277" y="4879"/>
                                  </a:lnTo>
                                  <a:close/>
                                </a:path>
                              </a:pathLst>
                            </a:custGeom>
                            <a:solidFill>
                              <a:srgbClr val="000000"/>
                            </a:solidFill>
                            <a:ln>
                              <a:noFill/>
                            </a:ln>
                          </wps:spPr>
                          <wps:bodyPr upright="1"/>
                        </wps:wsp>
                        <wps:wsp>
                          <wps:cNvPr id="63" name="任意多边形 63"/>
                          <wps:cNvSpPr/>
                          <wps:spPr>
                            <a:xfrm>
                              <a:off x="0" y="0"/>
                              <a:ext cx="7425" cy="5060"/>
                            </a:xfrm>
                            <a:custGeom>
                              <a:avLst/>
                              <a:gdLst/>
                              <a:ahLst/>
                              <a:cxnLst/>
                              <a:pathLst>
                                <a:path w="7425" h="5060">
                                  <a:moveTo>
                                    <a:pt x="186" y="4899"/>
                                  </a:moveTo>
                                  <a:lnTo>
                                    <a:pt x="166" y="4899"/>
                                  </a:lnTo>
                                  <a:lnTo>
                                    <a:pt x="156" y="4879"/>
                                  </a:lnTo>
                                  <a:lnTo>
                                    <a:pt x="176" y="4879"/>
                                  </a:lnTo>
                                  <a:lnTo>
                                    <a:pt x="186" y="4899"/>
                                  </a:lnTo>
                                  <a:close/>
                                </a:path>
                              </a:pathLst>
                            </a:custGeom>
                            <a:solidFill>
                              <a:srgbClr val="000000"/>
                            </a:solidFill>
                            <a:ln>
                              <a:noFill/>
                            </a:ln>
                          </wps:spPr>
                          <wps:bodyPr upright="1"/>
                        </wps:wsp>
                        <wps:wsp>
                          <wps:cNvPr id="64" name="任意多边形 64"/>
                          <wps:cNvSpPr/>
                          <wps:spPr>
                            <a:xfrm>
                              <a:off x="0" y="0"/>
                              <a:ext cx="7425" cy="5060"/>
                            </a:xfrm>
                            <a:custGeom>
                              <a:avLst/>
                              <a:gdLst/>
                              <a:ahLst/>
                              <a:cxnLst/>
                              <a:pathLst>
                                <a:path w="7425" h="5060">
                                  <a:moveTo>
                                    <a:pt x="7258" y="4899"/>
                                  </a:moveTo>
                                  <a:lnTo>
                                    <a:pt x="7238" y="4899"/>
                                  </a:lnTo>
                                  <a:lnTo>
                                    <a:pt x="7247" y="4879"/>
                                  </a:lnTo>
                                  <a:lnTo>
                                    <a:pt x="7267" y="4879"/>
                                  </a:lnTo>
                                  <a:lnTo>
                                    <a:pt x="7258" y="4899"/>
                                  </a:lnTo>
                                  <a:close/>
                                </a:path>
                              </a:pathLst>
                            </a:custGeom>
                            <a:solidFill>
                              <a:srgbClr val="000000"/>
                            </a:solidFill>
                            <a:ln>
                              <a:noFill/>
                            </a:ln>
                          </wps:spPr>
                          <wps:bodyPr upright="1"/>
                        </wps:wsp>
                        <wps:wsp>
                          <wps:cNvPr id="65" name="任意多边形 65"/>
                          <wps:cNvSpPr/>
                          <wps:spPr>
                            <a:xfrm>
                              <a:off x="0" y="0"/>
                              <a:ext cx="7425" cy="5060"/>
                            </a:xfrm>
                            <a:custGeom>
                              <a:avLst/>
                              <a:gdLst/>
                              <a:ahLst/>
                              <a:cxnLst/>
                              <a:pathLst>
                                <a:path w="7425" h="5060">
                                  <a:moveTo>
                                    <a:pt x="206" y="4919"/>
                                  </a:moveTo>
                                  <a:lnTo>
                                    <a:pt x="186" y="4919"/>
                                  </a:lnTo>
                                  <a:lnTo>
                                    <a:pt x="176" y="4899"/>
                                  </a:lnTo>
                                  <a:lnTo>
                                    <a:pt x="196" y="4899"/>
                                  </a:lnTo>
                                  <a:lnTo>
                                    <a:pt x="206" y="4919"/>
                                  </a:lnTo>
                                  <a:close/>
                                </a:path>
                              </a:pathLst>
                            </a:custGeom>
                            <a:solidFill>
                              <a:srgbClr val="000000"/>
                            </a:solidFill>
                            <a:ln>
                              <a:noFill/>
                            </a:ln>
                          </wps:spPr>
                          <wps:bodyPr upright="1"/>
                        </wps:wsp>
                        <wps:wsp>
                          <wps:cNvPr id="66" name="任意多边形 66"/>
                          <wps:cNvSpPr/>
                          <wps:spPr>
                            <a:xfrm>
                              <a:off x="0" y="0"/>
                              <a:ext cx="7425" cy="5060"/>
                            </a:xfrm>
                            <a:custGeom>
                              <a:avLst/>
                              <a:gdLst/>
                              <a:ahLst/>
                              <a:cxnLst/>
                              <a:pathLst>
                                <a:path w="7425" h="5060">
                                  <a:moveTo>
                                    <a:pt x="7238" y="4919"/>
                                  </a:moveTo>
                                  <a:lnTo>
                                    <a:pt x="7218" y="4919"/>
                                  </a:lnTo>
                                  <a:lnTo>
                                    <a:pt x="7228" y="4899"/>
                                  </a:lnTo>
                                  <a:lnTo>
                                    <a:pt x="7248" y="4899"/>
                                  </a:lnTo>
                                  <a:lnTo>
                                    <a:pt x="7238" y="4919"/>
                                  </a:lnTo>
                                  <a:close/>
                                </a:path>
                              </a:pathLst>
                            </a:custGeom>
                            <a:solidFill>
                              <a:srgbClr val="000000"/>
                            </a:solidFill>
                            <a:ln>
                              <a:noFill/>
                            </a:ln>
                          </wps:spPr>
                          <wps:bodyPr upright="1"/>
                        </wps:wsp>
                        <wps:wsp>
                          <wps:cNvPr id="67" name="任意多边形 67"/>
                          <wps:cNvSpPr/>
                          <wps:spPr>
                            <a:xfrm>
                              <a:off x="0" y="0"/>
                              <a:ext cx="7425" cy="5060"/>
                            </a:xfrm>
                            <a:custGeom>
                              <a:avLst/>
                              <a:gdLst/>
                              <a:ahLst/>
                              <a:cxnLst/>
                              <a:pathLst>
                                <a:path w="7425" h="5060">
                                  <a:moveTo>
                                    <a:pt x="237" y="4939"/>
                                  </a:moveTo>
                                  <a:lnTo>
                                    <a:pt x="206" y="4939"/>
                                  </a:lnTo>
                                  <a:lnTo>
                                    <a:pt x="196" y="4919"/>
                                  </a:lnTo>
                                  <a:lnTo>
                                    <a:pt x="226" y="4919"/>
                                  </a:lnTo>
                                  <a:lnTo>
                                    <a:pt x="237" y="4939"/>
                                  </a:lnTo>
                                  <a:close/>
                                </a:path>
                              </a:pathLst>
                            </a:custGeom>
                            <a:solidFill>
                              <a:srgbClr val="000000"/>
                            </a:solidFill>
                            <a:ln>
                              <a:noFill/>
                            </a:ln>
                          </wps:spPr>
                          <wps:bodyPr upright="1"/>
                        </wps:wsp>
                        <wps:wsp>
                          <wps:cNvPr id="68" name="任意多边形 68"/>
                          <wps:cNvSpPr/>
                          <wps:spPr>
                            <a:xfrm>
                              <a:off x="0" y="0"/>
                              <a:ext cx="7425" cy="5060"/>
                            </a:xfrm>
                            <a:custGeom>
                              <a:avLst/>
                              <a:gdLst/>
                              <a:ahLst/>
                              <a:cxnLst/>
                              <a:pathLst>
                                <a:path w="7425" h="5060">
                                  <a:moveTo>
                                    <a:pt x="7217" y="4939"/>
                                  </a:moveTo>
                                  <a:lnTo>
                                    <a:pt x="7187" y="4939"/>
                                  </a:lnTo>
                                  <a:lnTo>
                                    <a:pt x="7198" y="4919"/>
                                  </a:lnTo>
                                  <a:lnTo>
                                    <a:pt x="7228" y="4919"/>
                                  </a:lnTo>
                                  <a:lnTo>
                                    <a:pt x="7217" y="4939"/>
                                  </a:lnTo>
                                  <a:close/>
                                </a:path>
                              </a:pathLst>
                            </a:custGeom>
                            <a:solidFill>
                              <a:srgbClr val="000000"/>
                            </a:solidFill>
                            <a:ln>
                              <a:noFill/>
                            </a:ln>
                          </wps:spPr>
                          <wps:bodyPr upright="1"/>
                        </wps:wsp>
                        <wps:wsp>
                          <wps:cNvPr id="69" name="任意多边形 69"/>
                          <wps:cNvSpPr/>
                          <wps:spPr>
                            <a:xfrm>
                              <a:off x="0" y="0"/>
                              <a:ext cx="7425" cy="5060"/>
                            </a:xfrm>
                            <a:custGeom>
                              <a:avLst/>
                              <a:gdLst/>
                              <a:ahLst/>
                              <a:cxnLst/>
                              <a:pathLst>
                                <a:path w="7425" h="5060">
                                  <a:moveTo>
                                    <a:pt x="258" y="4959"/>
                                  </a:moveTo>
                                  <a:lnTo>
                                    <a:pt x="239" y="4959"/>
                                  </a:lnTo>
                                  <a:lnTo>
                                    <a:pt x="228" y="4939"/>
                                  </a:lnTo>
                                  <a:lnTo>
                                    <a:pt x="247" y="4939"/>
                                  </a:lnTo>
                                  <a:lnTo>
                                    <a:pt x="258" y="4959"/>
                                  </a:lnTo>
                                  <a:close/>
                                </a:path>
                              </a:pathLst>
                            </a:custGeom>
                            <a:solidFill>
                              <a:srgbClr val="000000"/>
                            </a:solidFill>
                            <a:ln>
                              <a:noFill/>
                            </a:ln>
                          </wps:spPr>
                          <wps:bodyPr upright="1"/>
                        </wps:wsp>
                        <wps:wsp>
                          <wps:cNvPr id="70" name="任意多边形 70"/>
                          <wps:cNvSpPr/>
                          <wps:spPr>
                            <a:xfrm>
                              <a:off x="0" y="0"/>
                              <a:ext cx="7425" cy="5060"/>
                            </a:xfrm>
                            <a:custGeom>
                              <a:avLst/>
                              <a:gdLst/>
                              <a:ahLst/>
                              <a:cxnLst/>
                              <a:pathLst>
                                <a:path w="7425" h="5060">
                                  <a:moveTo>
                                    <a:pt x="7185" y="4959"/>
                                  </a:moveTo>
                                  <a:lnTo>
                                    <a:pt x="7165" y="4959"/>
                                  </a:lnTo>
                                  <a:lnTo>
                                    <a:pt x="7176" y="4939"/>
                                  </a:lnTo>
                                  <a:lnTo>
                                    <a:pt x="7196" y="4939"/>
                                  </a:lnTo>
                                  <a:lnTo>
                                    <a:pt x="7185" y="4959"/>
                                  </a:lnTo>
                                  <a:close/>
                                </a:path>
                              </a:pathLst>
                            </a:custGeom>
                            <a:solidFill>
                              <a:srgbClr val="000000"/>
                            </a:solidFill>
                            <a:ln>
                              <a:noFill/>
                            </a:ln>
                          </wps:spPr>
                          <wps:bodyPr upright="1"/>
                        </wps:wsp>
                        <wps:wsp>
                          <wps:cNvPr id="71" name="任意多边形 71"/>
                          <wps:cNvSpPr/>
                          <wps:spPr>
                            <a:xfrm>
                              <a:off x="0" y="0"/>
                              <a:ext cx="7425" cy="5060"/>
                            </a:xfrm>
                            <a:custGeom>
                              <a:avLst/>
                              <a:gdLst/>
                              <a:ahLst/>
                              <a:cxnLst/>
                              <a:pathLst>
                                <a:path w="7425" h="5060">
                                  <a:moveTo>
                                    <a:pt x="292" y="4979"/>
                                  </a:moveTo>
                                  <a:lnTo>
                                    <a:pt x="261" y="4979"/>
                                  </a:lnTo>
                                  <a:lnTo>
                                    <a:pt x="250" y="4959"/>
                                  </a:lnTo>
                                  <a:lnTo>
                                    <a:pt x="281" y="4959"/>
                                  </a:lnTo>
                                  <a:lnTo>
                                    <a:pt x="292" y="4979"/>
                                  </a:lnTo>
                                  <a:close/>
                                </a:path>
                              </a:pathLst>
                            </a:custGeom>
                            <a:solidFill>
                              <a:srgbClr val="000000"/>
                            </a:solidFill>
                            <a:ln>
                              <a:noFill/>
                            </a:ln>
                          </wps:spPr>
                          <wps:bodyPr upright="1"/>
                        </wps:wsp>
                        <wps:wsp>
                          <wps:cNvPr id="72" name="任意多边形 72"/>
                          <wps:cNvSpPr/>
                          <wps:spPr>
                            <a:xfrm>
                              <a:off x="0" y="0"/>
                              <a:ext cx="7425" cy="5060"/>
                            </a:xfrm>
                            <a:custGeom>
                              <a:avLst/>
                              <a:gdLst/>
                              <a:ahLst/>
                              <a:cxnLst/>
                              <a:pathLst>
                                <a:path w="7425" h="5060">
                                  <a:moveTo>
                                    <a:pt x="7162" y="4979"/>
                                  </a:moveTo>
                                  <a:lnTo>
                                    <a:pt x="7131" y="4979"/>
                                  </a:lnTo>
                                  <a:lnTo>
                                    <a:pt x="7143" y="4959"/>
                                  </a:lnTo>
                                  <a:lnTo>
                                    <a:pt x="7174" y="4959"/>
                                  </a:lnTo>
                                  <a:lnTo>
                                    <a:pt x="7162" y="4979"/>
                                  </a:lnTo>
                                  <a:close/>
                                </a:path>
                              </a:pathLst>
                            </a:custGeom>
                            <a:solidFill>
                              <a:srgbClr val="000000"/>
                            </a:solidFill>
                            <a:ln>
                              <a:noFill/>
                            </a:ln>
                          </wps:spPr>
                          <wps:bodyPr upright="1"/>
                        </wps:wsp>
                        <wps:wsp>
                          <wps:cNvPr id="73" name="任意多边形 73"/>
                          <wps:cNvSpPr/>
                          <wps:spPr>
                            <a:xfrm>
                              <a:off x="0" y="0"/>
                              <a:ext cx="7425" cy="5060"/>
                            </a:xfrm>
                            <a:custGeom>
                              <a:avLst/>
                              <a:gdLst/>
                              <a:ahLst/>
                              <a:cxnLst/>
                              <a:pathLst>
                                <a:path w="7425" h="5060">
                                  <a:moveTo>
                                    <a:pt x="328" y="4999"/>
                                  </a:moveTo>
                                  <a:lnTo>
                                    <a:pt x="297" y="4999"/>
                                  </a:lnTo>
                                  <a:lnTo>
                                    <a:pt x="285" y="4979"/>
                                  </a:lnTo>
                                  <a:lnTo>
                                    <a:pt x="316" y="4979"/>
                                  </a:lnTo>
                                  <a:lnTo>
                                    <a:pt x="328" y="4999"/>
                                  </a:lnTo>
                                  <a:close/>
                                </a:path>
                              </a:pathLst>
                            </a:custGeom>
                            <a:solidFill>
                              <a:srgbClr val="000000"/>
                            </a:solidFill>
                            <a:ln>
                              <a:noFill/>
                            </a:ln>
                          </wps:spPr>
                          <wps:bodyPr upright="1"/>
                        </wps:wsp>
                        <wps:wsp>
                          <wps:cNvPr id="74" name="任意多边形 74"/>
                          <wps:cNvSpPr/>
                          <wps:spPr>
                            <a:xfrm>
                              <a:off x="0" y="0"/>
                              <a:ext cx="7425" cy="5060"/>
                            </a:xfrm>
                            <a:custGeom>
                              <a:avLst/>
                              <a:gdLst/>
                              <a:ahLst/>
                              <a:cxnLst/>
                              <a:pathLst>
                                <a:path w="7425" h="5060">
                                  <a:moveTo>
                                    <a:pt x="7127" y="4999"/>
                                  </a:moveTo>
                                  <a:lnTo>
                                    <a:pt x="7096" y="4999"/>
                                  </a:lnTo>
                                  <a:lnTo>
                                    <a:pt x="7108" y="4979"/>
                                  </a:lnTo>
                                  <a:lnTo>
                                    <a:pt x="7139" y="4979"/>
                                  </a:lnTo>
                                  <a:lnTo>
                                    <a:pt x="7127" y="4999"/>
                                  </a:lnTo>
                                  <a:close/>
                                </a:path>
                              </a:pathLst>
                            </a:custGeom>
                            <a:solidFill>
                              <a:srgbClr val="000000"/>
                            </a:solidFill>
                            <a:ln>
                              <a:noFill/>
                            </a:ln>
                          </wps:spPr>
                          <wps:bodyPr upright="1"/>
                        </wps:wsp>
                        <wps:wsp>
                          <wps:cNvPr id="75" name="任意多边形 75"/>
                          <wps:cNvSpPr/>
                          <wps:spPr>
                            <a:xfrm>
                              <a:off x="0" y="0"/>
                              <a:ext cx="7425" cy="5060"/>
                            </a:xfrm>
                            <a:custGeom>
                              <a:avLst/>
                              <a:gdLst/>
                              <a:ahLst/>
                              <a:cxnLst/>
                              <a:pathLst>
                                <a:path w="7425" h="5060">
                                  <a:moveTo>
                                    <a:pt x="378" y="5019"/>
                                  </a:moveTo>
                                  <a:lnTo>
                                    <a:pt x="334" y="5019"/>
                                  </a:lnTo>
                                  <a:lnTo>
                                    <a:pt x="321" y="4999"/>
                                  </a:lnTo>
                                  <a:lnTo>
                                    <a:pt x="365" y="4999"/>
                                  </a:lnTo>
                                  <a:lnTo>
                                    <a:pt x="378" y="5019"/>
                                  </a:lnTo>
                                  <a:close/>
                                </a:path>
                              </a:pathLst>
                            </a:custGeom>
                            <a:solidFill>
                              <a:srgbClr val="000000"/>
                            </a:solidFill>
                            <a:ln>
                              <a:noFill/>
                            </a:ln>
                          </wps:spPr>
                          <wps:bodyPr upright="1"/>
                        </wps:wsp>
                        <wps:wsp>
                          <wps:cNvPr id="76" name="任意多边形 76"/>
                          <wps:cNvSpPr/>
                          <wps:spPr>
                            <a:xfrm>
                              <a:off x="0" y="0"/>
                              <a:ext cx="7425" cy="5060"/>
                            </a:xfrm>
                            <a:custGeom>
                              <a:avLst/>
                              <a:gdLst/>
                              <a:ahLst/>
                              <a:cxnLst/>
                              <a:pathLst>
                                <a:path w="7425" h="5060">
                                  <a:moveTo>
                                    <a:pt x="7090" y="5019"/>
                                  </a:moveTo>
                                  <a:lnTo>
                                    <a:pt x="7046" y="5019"/>
                                  </a:lnTo>
                                  <a:lnTo>
                                    <a:pt x="7059" y="4999"/>
                                  </a:lnTo>
                                  <a:lnTo>
                                    <a:pt x="7102" y="4999"/>
                                  </a:lnTo>
                                  <a:lnTo>
                                    <a:pt x="7090" y="5019"/>
                                  </a:lnTo>
                                  <a:close/>
                                </a:path>
                              </a:pathLst>
                            </a:custGeom>
                            <a:solidFill>
                              <a:srgbClr val="000000"/>
                            </a:solidFill>
                            <a:ln>
                              <a:noFill/>
                            </a:ln>
                          </wps:spPr>
                          <wps:bodyPr upright="1"/>
                        </wps:wsp>
                        <wps:wsp>
                          <wps:cNvPr id="77" name="任意多边形 77"/>
                          <wps:cNvSpPr/>
                          <wps:spPr>
                            <a:xfrm>
                              <a:off x="0" y="0"/>
                              <a:ext cx="7425" cy="5060"/>
                            </a:xfrm>
                            <a:custGeom>
                              <a:avLst/>
                              <a:gdLst/>
                              <a:ahLst/>
                              <a:cxnLst/>
                              <a:pathLst>
                                <a:path w="7425" h="5060">
                                  <a:moveTo>
                                    <a:pt x="443" y="5039"/>
                                  </a:moveTo>
                                  <a:lnTo>
                                    <a:pt x="385" y="5039"/>
                                  </a:lnTo>
                                  <a:lnTo>
                                    <a:pt x="372" y="5019"/>
                                  </a:lnTo>
                                  <a:lnTo>
                                    <a:pt x="429" y="5019"/>
                                  </a:lnTo>
                                  <a:lnTo>
                                    <a:pt x="443" y="5039"/>
                                  </a:lnTo>
                                  <a:close/>
                                </a:path>
                              </a:pathLst>
                            </a:custGeom>
                            <a:solidFill>
                              <a:srgbClr val="000000"/>
                            </a:solidFill>
                            <a:ln>
                              <a:noFill/>
                            </a:ln>
                          </wps:spPr>
                          <wps:bodyPr upright="1"/>
                        </wps:wsp>
                        <wps:wsp>
                          <wps:cNvPr id="78" name="任意多边形 78"/>
                          <wps:cNvSpPr/>
                          <wps:spPr>
                            <a:xfrm>
                              <a:off x="0" y="0"/>
                              <a:ext cx="7425" cy="5060"/>
                            </a:xfrm>
                            <a:custGeom>
                              <a:avLst/>
                              <a:gdLst/>
                              <a:ahLst/>
                              <a:cxnLst/>
                              <a:pathLst>
                                <a:path w="7425" h="5060">
                                  <a:moveTo>
                                    <a:pt x="7038" y="5039"/>
                                  </a:moveTo>
                                  <a:lnTo>
                                    <a:pt x="6981" y="5039"/>
                                  </a:lnTo>
                                  <a:lnTo>
                                    <a:pt x="6994" y="5019"/>
                                  </a:lnTo>
                                  <a:lnTo>
                                    <a:pt x="7051" y="5019"/>
                                  </a:lnTo>
                                  <a:lnTo>
                                    <a:pt x="7038" y="5039"/>
                                  </a:lnTo>
                                  <a:close/>
                                </a:path>
                              </a:pathLst>
                            </a:custGeom>
                            <a:solidFill>
                              <a:srgbClr val="000000"/>
                            </a:solidFill>
                            <a:ln>
                              <a:noFill/>
                            </a:ln>
                          </wps:spPr>
                          <wps:bodyPr upright="1"/>
                        </wps:wsp>
                        <wps:wsp>
                          <wps:cNvPr id="79" name="任意多边形 79"/>
                          <wps:cNvSpPr/>
                          <wps:spPr>
                            <a:xfrm>
                              <a:off x="0" y="0"/>
                              <a:ext cx="7425" cy="5060"/>
                            </a:xfrm>
                            <a:custGeom>
                              <a:avLst/>
                              <a:gdLst/>
                              <a:ahLst/>
                              <a:cxnLst/>
                              <a:pathLst>
                                <a:path w="7425" h="5060">
                                  <a:moveTo>
                                    <a:pt x="6956" y="5059"/>
                                  </a:moveTo>
                                  <a:lnTo>
                                    <a:pt x="467" y="5059"/>
                                  </a:lnTo>
                                  <a:lnTo>
                                    <a:pt x="453" y="5039"/>
                                  </a:lnTo>
                                  <a:lnTo>
                                    <a:pt x="6970" y="5039"/>
                                  </a:lnTo>
                                  <a:lnTo>
                                    <a:pt x="6956" y="5059"/>
                                  </a:lnTo>
                                  <a:close/>
                                </a:path>
                              </a:pathLst>
                            </a:custGeom>
                            <a:solidFill>
                              <a:srgbClr val="000000"/>
                            </a:solidFill>
                            <a:ln>
                              <a:noFill/>
                            </a:ln>
                          </wps:spPr>
                          <wps:bodyPr upright="1"/>
                        </wps:wsp>
                      </wpg:grpSp>
                    </wpg:wgp>
                  </a:graphicData>
                </a:graphic>
              </wp:inline>
            </w:drawing>
          </mc:Choice>
          <mc:Fallback>
            <w:pict>
              <v:group id="_x0000_s1026" o:spid="_x0000_s1026" o:spt="203" style="height:253pt;width:448.5pt;" coordsize="7425,5060" o:gfxdata="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">
                <o:lock v:ext="edit" rotation="t" aspectratio="f"/>
                <v:group id="组合 80" o:spid="_x0000_s1026" o:spt="203" style="position:absolute;left:0;top:0;height:5060;width:7425;" coordsize="7425,5060" o:gfxdata="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HVIoQm+AAAA2wAAAA8AAAAAAAAAAQAgAAAAIgAAAGRycy9kb3ducmV2Lnht&#10;bFBLAQIUABQAAAAIAIdO4kAzLwWeOwAAADkAAAAVAAAAAAAAAAEAIAAAAA0BAABkcnMvZ3JvdXBz&#10;aGFwZXhtbC54bWxQSwUGAAAAAAYABgBgAQAAygMAAAAA&#10;">
                  <o:lock v:ext="edit" aspectratio="f"/>
                  <v:shape id="_x0000_s1026" o:spid="_x0000_s1026" o:spt="100" style="position:absolute;left:0;top:0;height:5060;width:7425;" fillcolor="#000000" filled="t" stroked="f" coordsize="7425,5060" o:gfxdata="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83tze5AAAA2gAA&#10;AA8AAAAAAAAAAQAgAAAAIgAAAGRycy9kb3ducmV2LnhtbFBLAQIUABQAAAAIAIdO4kAzLwWeOwAA&#10;ADkAAAAQAAAAAAAAAAEAIAAAAAgBAABkcnMvc2hhcGV4bWwueG1sUEsFBgAAAAAGAAYAWwEAALID&#10;AAAAAA==&#10;" path="m483,19l412,19,426,0,497,0,483,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r+UpQL0AAADa&#10;AAAADwAAAGRycy9kb3ducmV2LnhtbEWPwWrDMBBE74H+g9hCLqGRY2goTpQQCgYfHEqd9r5YG9vU&#10;WglLsd1+fVQo9DjMzBtmf5xNL0YafGdZwWadgCCure64UfBxyZ9eQPiArLG3TAq+ycPx8LDYY6bt&#10;xO80VqEREcI+QwVtCC6T0tctGfRr64ijd7WDwRDl0Eg94BThppdpkmylwY7jQouOXluqv6qbUfBZ&#10;leWPy1euOL+lPvjytH2mk1LLx02yAxFoDv/hv3ahFaTweyXeAHm4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v5SlAvQAA&#10;ANoAAAAPAAAAAAAAAAEAIAAAACIAAABkcnMvZG93bnJldi54bWxQSwECFAAUAAAACACHTuJAMy8F&#10;njsAAAA5AAAAEAAAAAAAAAABACAAAAAMAQAAZHJzL3NoYXBleG1sLnhtbFBLBQYAAAAABgAGAFsB&#10;AAC2AwAAAAA=&#10;" path="m7011,19l6940,19,6926,0,6998,0,7011,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wKmM27sAAADa&#10;AAAADwAAAGRycy9kb3ducmV2LnhtbEWPT4vCMBTE7wt+h/AEL4umKitSjSKC4KEiW/X+aJ5tsXkJ&#10;Tfz76Y2wsMdhZn7DzJcP04gbtb62rGA4SEAQF1bXXCo4Hjb9KQgfkDU2lknBkzwsF52vOaba3vmX&#10;bnkoRYSwT1FBFYJLpfRFRQb9wDri6J1tazBE2ZZSt3iPcNPIUZJMpMGa40KFjtYVFZf8ahSc8ix7&#10;uc232+72Ix98tpr80EqpXneYzEAEeoT/8F97qxWM4XMl3gC5e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KmM27sAAADa&#10;AAAADwAAAAAAAAABACAAAAAiAAAAZHJzL2Rvd25yZXYueG1sUEsBAhQAFAAAAAgAh07iQDMvBZ47&#10;AAAAOQAAABAAAAAAAAAAAQAgAAAACgEAAGRycy9zaGFwZXhtbC54bWxQSwUGAAAAAAYABgBbAQAA&#10;tAMAAAAA&#10;" path="m390,39l346,39,359,19,403,19,390,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T0AUr7sAAADa&#10;AAAADwAAAGRycy9kb3ducmV2LnhtbEWPT4vCMBTE7wt+h/AEL4umiitSjSKC4KEiW/X+aJ5tsXkJ&#10;Tfz76Y2wsMdhZn7DzJcP04gbtb62rGA4SEAQF1bXXCo4Hjb9KQgfkDU2lknBkzwsF52vOaba3vmX&#10;bnkoRYSwT1FBFYJLpfRFRQb9wDri6J1tazBE2ZZSt3iPcNPIUZJMpMGa40KFjtYVFZf8ahSc8ix7&#10;uc232+72Ix98tpr80EqpXneYzEAEeoT/8F97qxWM4XMl3gC5e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0AUr7sAAADa&#10;AAAADwAAAAAAAAABACAAAAAiAAAAZHJzL2Rvd25yZXYueG1sUEsBAhQAFAAAAAgAh07iQDMvBZ47&#10;AAAAOQAAABAAAAAAAAAAAQAgAAAACgEAAGRycy9zaGFwZXhtbC54bWxQSwUGAAAAAAYABgBbAQAA&#10;tAMAAAAA&#10;" path="m7077,39l7033,39,7020,19,7064,19,7077,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IAyxNLoAAADa&#10;AAAADwAAAGRycy9kb3ducmV2LnhtbEWPzarCMBSE94LvEI7gRjRVUKQaRQTBRUVu73V/aI5tsTkJ&#10;Tfx9eiMIdznMzDfMcv0wjbhR62vLCsajBARxYXXNpYK/391wDsIHZI2NZVLwJA/rVbezxFTbO//Q&#10;LQ+liBD2KSqoQnCplL6oyKAfWUccvbNtDYYo21LqFu8Rbho5SZKZNFhzXKjQ0bai4pJfjYJTnmUv&#10;txu4/eE48cFnm9mUNkr1e+NkASLQI/yHv+29VjCFz5V4A+Tq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gDLE0ugAAANoA&#10;AAAPAAAAAAAAAAEAIAAAACIAAABkcnMvZG93bnJldi54bWxQSwECFAAUAAAACACHTuJAMy8FnjsA&#10;AAA5AAAAEAAAAAAAAAABACAAAAAJAQAAZHJzL3NoYXBleG1sLnhtbFBLBQYAAAAABgAGAFsBAACz&#10;AwAAAAA=&#10;" path="m340,59l309,59,321,39,352,39,340,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0N4vQ70AAADa&#10;AAAADwAAAGRycy9kb3ducmV2LnhtbEWPwWrDMBBE74X+g9hCL6WRbYgpTpRgCgEfHEKd9r5YG9vU&#10;WglLjdN+fRQI9DjMzBtmvb2YUZxp8oNlBekiAUHcWj1wp+DzuHt9A+EDssbRMin4JQ/bzePDGgtt&#10;Z/6gcxM6ESHsC1TQh+AKKX3bk0G/sI44eic7GQxRTp3UE84RbkaZJUkuDQ4cF3p09N5T+938GAVf&#10;TV3/ud2Lq/aHzAdfl/mSSqWen9JkBSLQJfyH7+1KK8jhdiXeALm5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Q3i9DvQAA&#10;ANoAAAAPAAAAAAAAAAEAIAAAACIAAABkcnMvZG93bnJldi54bWxQSwECFAAUAAAACACHTuJAMy8F&#10;njsAAAA5AAAAEAAAAAAAAAABACAAAAAMAQAAZHJzL3NoYXBleG1sLnhtbFBLBQYAAAAABgAGAFsB&#10;AAC2AwAAAAA=&#10;" path="m7115,59l7084,59,7071,39,7102,39,7115,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v5KK2LsAAADa&#10;AAAADwAAAGRycy9kb3ducmV2LnhtbEWPT4vCMBTE7wt+h/CEvSyaKuhKNYoIgoeK2NX7o3m2xeYl&#10;NFn/fXojCB6HmfkNM1vcTCMu1PrasoJBPwFBXFhdc6ng8LfuTUD4gKyxsUwK7uRhMe98zTDV9sp7&#10;uuShFBHCPkUFVQguldIXFRn0feuIo3eyrcEQZVtK3eI1wk0jh0kylgZrjgsVOlpVVJzzf6PgmGfZ&#10;w61/3Ga7G/rgs+V4REulvruDZAoi0C18wu/2Riv4hdeVeAPk/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5KK2LsAAADa&#10;AAAADwAAAAAAAAABACAAAAAiAAAAZHJzL2Rvd25yZXYueG1sUEsBAhQAFAAAAAgAh07iQDMvBZ47&#10;AAAAOQAAABAAAAAAAAAAAQAgAAAACgEAAGRycy9zaGFwZXhtbC54bWxQSwUGAAAAAAYABgBbAQAA&#10;tAMAAAAA&#10;" path="m304,79l273,79,285,59,316,59,304,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zg0eqroAAADa&#10;AAAADwAAAGRycy9kb3ducmV2LnhtbEVPz2vCMBS+D/Y/hDfwMmxqwSLVVEQQPHSMdfP+aN7asuYl&#10;NNHW/fXLQdjx4/u9289mEDcafW9ZwSpJQRA3VvfcKvj6PC03IHxA1jhYJgV38rAvn592WGg78Qfd&#10;6tCKGMK+QAVdCK6Q0jcdGfSJdcSR+7ajwRDh2Eo94hTDzSCzNM2lwZ5jQ4eOjh01P/XVKLjUVfXr&#10;Tq/u/Pae+eCrQ76mg1KLl1W6BRFoDv/ih/usFcSt8Uq8AbL8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ODR6qugAAANoA&#10;AAAPAAAAAAAAAAEAIAAAACIAAABkcnMvZG93bnJldi54bWxQSwECFAAUAAAACACHTuJAMy8FnjsA&#10;AAA5AAAAEAAAAAAAAAABACAAAAAJAQAAZHJzL3NoYXBleG1sLnhtbFBLBQYAAAAABgAGAFsBAACz&#10;AwAAAAA=&#10;" path="m7151,79l7120,79,7108,59,7139,59,7151,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oUG7MbsAAADa&#10;AAAADwAAAGRycy9kb3ducmV2LnhtbEWPT4vCMBTE7wt+h/CEvSyaKihrNYoIgoeK2NX7o3m2xeYl&#10;NFn/fXojCB6HmfkNM1vcTCMu1PrasoJBPwFBXFhdc6ng8Lfu/YLwAVljY5kU3MnDYt75mmGq7ZX3&#10;dMlDKSKEfYoKqhBcKqUvKjLo+9YRR+9kW4MhyraUusVrhJtGDpNkLA3WHBcqdLSqqDjn/0bBMc+y&#10;h1v/uM12N/TBZ8vxiJZKfXcHyRREoFv4hN/tjVYwgdeVeAPk/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UG7MbsAAADa&#10;AAAADwAAAAAAAAABACAAAAAiAAAAZHJzL2Rvd25yZXYueG1sUEsBAhQAFAAAAAgAh07iQDMvBZ47&#10;AAAAOQAAABAAAAAAAAAAAQAgAAAACgEAAGRycy9zaGFwZXhtbC54bWxQSwUGAAAAAAYABgBbAQAA&#10;tAMAAAAA&#10;" path="m269,99l239,99,250,79,281,79,269,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4WPYeb4AAADb&#10;AAAADwAAAGRycy9kb3ducmV2LnhtbEWPT2vCQBDF70K/wzKFXkQ3ChWJriKCkEOKmNb7kJ0modnZ&#10;Jbv+aT+9cyh4m+G9ee836+3d9epKQ+w8G5hNM1DEtbcdNwa+Pg+TJaiYkC32nsnAL0XYbl5Ga8yt&#10;v/GJrlVqlIRwzNFAm1LItY51Sw7j1Adi0b794DDJOjTaDniTcNfreZYttMOOpaHFQPuW6p/q4gyc&#10;q7L8C4dxKD6O85hiuVu8086Yt9dZtgKV6J6e5v/rwgq+0MsvMoDeP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WPYeb4A&#10;AADbAAAADwAAAAAAAAABACAAAAAiAAAAZHJzL2Rvd25yZXYueG1sUEsBAhQAFAAAAAgAh07iQDMv&#10;BZ47AAAAOQAAABAAAAAAAAAAAQAgAAAADQEAAGRycy9zaGFwZXhtbC54bWxQSwUGAAAAAAYABgBb&#10;AQAAtwMAAAAA&#10;" path="m7185,99l7154,99,7143,79,7174,79,7185,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ji994rsAAADb&#10;AAAADwAAAGRycy9kb3ducmV2LnhtbEVPTWvDMAy9F/YfjAa9lNVJYGWkcUsZBHJIGUu3u4jVJCyW&#10;Teym3X59PRjspsf7VLG/mVHMNPnBsoJ0nYAgbq0euFPwcSqfXkD4gKxxtEwKvsnDfvewKDDX9srv&#10;NDehEzGEfY4K+hBcLqVvezLo19YRR+5sJ4MhwqmTesJrDDejzJJkIw0OHBt6dPTaU/vVXIyCz6au&#10;f1y5ctXxLfPB14fNMx2UWj6myRZEoFv4F/+5Kx3np/D7SzxA7u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i994rsAAADb&#10;AAAADwAAAAAAAAABACAAAAAiAAAAZHJzL2Rvd25yZXYueG1sUEsBAhQAFAAAAAgAh07iQDMvBZ47&#10;AAAAOQAAABAAAAAAAAAAAQAgAAAACgEAAGRycy9zaGFwZXhtbC54bWxQSwUGAAAAAAYABgBbAQAA&#10;tAMAAAAA&#10;" path="m237,119l217,119,228,99,247,99,237,1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fv3jlbsAAADb&#10;AAAADwAAAGRycy9kb3ducmV2LnhtbEVPTWvDMAy9F/YfjAa9lNVpYGWkdUsZBHJIGUu3u4jVJCyW&#10;Tewm2X59PRjspsf71P44m16MNPjOsoLNOgFBXFvdcaPg45I/vYDwAVljb5kUfJOH4+FhscdM24nf&#10;aaxCI2II+wwVtCG4TEpft2TQr60jjtzVDgZDhEMj9YBTDDe9TJNkKw12HBtadPTaUv1V3YyCz6os&#10;f1y+csX5LfXBl6ftM52UWj5ukh2IQHP4F/+5Cx3np/D7SzxAHu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v3jlbsAAADb&#10;AAAADwAAAAAAAAABACAAAAAiAAAAZHJzL2Rvd25yZXYueG1sUEsBAhQAFAAAAAgAh07iQDMvBZ47&#10;AAAAOQAAABAAAAAAAAAAAQAgAAAACgEAAGRycy9zaGFwZXhtbC54bWxQSwUGAAAAAAYABgBbAQAA&#10;tAMAAAAA&#10;" path="m7207,119l7187,119,7176,99,7196,99,7207,1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EbFGDrkAAADb&#10;AAAADwAAAGRycy9kb3ducmV2LnhtbEVPS4vCMBC+L/gfwgheFk1VVqQaRQTBQ0W26n1oxrbYTEIT&#10;n7/eCAt7m4/vOfPlwzTiRq2vLSsYDhIQxIXVNZcKjodNfwrCB2SNjWVS8CQPy0Xna46ptnf+pVse&#10;ShFD2KeooArBpVL6oiKDfmAdceTOtjUYImxLqVu8x3DTyFGSTKTBmmNDhY7WFRWX/GoUnPIse7nN&#10;t9vu9iMffLaa/NBKqV53mMxABHqEf/Gfe6vj/DF8fokHyMU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GxRg65AAAA2wAA&#10;AA8AAAAAAAAAAQAgAAAAIgAAAGRycy9kb3ducmV2LnhtbFBLAQIUABQAAAAIAIdO4kAzLwWeOwAA&#10;ADkAAAAQAAAAAAAAAAEAIAAAAAgBAABkcnMvc2hhcGV4bWwueG1sUEsFBgAAAAAGAAYAWwEAALID&#10;AAAAAA==&#10;" path="m216,139l186,139,196,119,226,119,216,1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nljeerkAAADb&#10;AAAADwAAAGRycy9kb3ducmV2LnhtbEVPS4vCMBC+L/gfwgheFk0VV6QaRQTBQ0W26n1oxrbYTEIT&#10;n7/eCAt7m4/vOfPlwzTiRq2vLSsYDhIQxIXVNZcKjodNfwrCB2SNjWVS8CQPy0Xna46ptnf+pVse&#10;ShFD2KeooArBpVL6oiKDfmAdceTOtjUYImxLqVu8x3DTyFGSTKTBmmNDhY7WFRWX/GoUnPIse7nN&#10;t9vu9iMffLaa/NBKqV53mMxABHqEf/Gfe6vj/DF8fokHyMU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5Y3nq5AAAA2wAA&#10;AA8AAAAAAAAAAQAgAAAAIgAAAGRycy9kb3ducmV2LnhtbFBLAQIUABQAAAAIAIdO4kAzLwWeOwAA&#10;ADkAAAAQAAAAAAAAAAEAIAAAAAgBAABkcnMvc2hhcGV4bWwueG1sUEsFBgAAAAAGAAYAWwEAALID&#10;AAAAAA==&#10;" path="m7238,139l7208,139,7197,119,7228,119,7238,1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8RR74bsAAADb&#10;AAAADwAAAGRycy9kb3ducmV2LnhtbEVPTWvCQBC9F/wPywheSt0oJEjqKiIIHiKlab0P2WkSmp1d&#10;squJ/vquIPQ2j/c56+1oOnGl3reWFSzmCQjiyuqWawXfX4e3FQgfkDV2lknBjTxsN5OXNebaDvxJ&#10;1zLUIoawz1FBE4LLpfRVQwb93DriyP3Y3mCIsK+l7nGI4aaTyyTJpMGWY0ODjvYNVb/lxSg4l0Vx&#10;d4dXdzx9LH3wxS5LaafUbLpI3kEEGsO/+Ok+6jg/hccv8QC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RR74bsAAADb&#10;AAAADwAAAAAAAAABACAAAAAiAAAAZHJzL2Rvd25yZXYueG1sUEsBAhQAFAAAAAgAh07iQDMvBZ47&#10;AAAAOQAAABAAAAAAAAAAAQAgAAAACgEAAGRycy9zaGFwZXhtbC54bWxQSwUGAAAAAAYABgBbAQAA&#10;tAMAAAAA&#10;" path="m186,159l166,159,176,139,196,139,186,1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AcbllrkAAADb&#10;AAAADwAAAGRycy9kb3ducmV2LnhtbEVPS4vCMBC+C/6HMIIX0VRhi1SjiCB46LJY9T40Y1tsJqGJ&#10;z1+/WVjwNh/fc5brp2nFnTrfWFYwnSQgiEurG64UnI678RyED8gaW8uk4EUe1qt+b4mZtg8+0L0I&#10;lYgh7DNUUIfgMil9WZNBP7GOOHIX2xkMEXaV1B0+Yrhp5SxJUmmw4dhQo6NtTeW1uBkF5yLP3243&#10;cvvvn5kPPt+kX7RRajiYJgsQgZ7hI/5373Wcn8LfL/EAufo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HG5Za5AAAA2wAA&#10;AA8AAAAAAAAAAQAgAAAAIgAAAGRycy9kb3ducmV2LnhtbFBLAQIUABQAAAAIAIdO4kAzLwWeOwAA&#10;ADkAAAAQAAAAAAAAAAEAIAAAAAgBAABkcnMvc2hhcGV4bWwueG1sUEsFBgAAAAAGAAYAWwEAALID&#10;AAAAAA==&#10;" path="m7258,159l7238,159,7228,139,7248,139,7258,1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bopADbkAAADb&#10;AAAADwAAAGRycy9kb3ducmV2LnhtbEVPS4vCMBC+L/gfwgh7WTRV0JVqFBEEDxWxq/ehGdtiMwlN&#10;1tevN4LgbT6+58wWN9OIC7W+tqxg0E9AEBdW11wqOPytexMQPiBrbCyTgjt5WMw7XzNMtb3yni55&#10;KEUMYZ+igioEl0rpi4oM+r51xJE72dZgiLAtpW7xGsNNI4dJMpYGa44NFTpaVVSc83+j4Jhn2cOt&#10;f9xmuxv64LPleERLpb67g2QKItAtfMRv90bH+b/w+iUeIOd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6KQA25AAAA2wAA&#10;AA8AAAAAAAAAAQAgAAAAIgAAAGRycy9kb3ducmV2LnhtbFBLAQIUABQAAAAIAIdO4kAzLwWeOwAA&#10;ADkAAAAQAAAAAAAAAAEAIAAAAAgBAABkcnMvc2hhcGV4bWwueG1sUEsFBgAAAAAGAAYAWwEAALID&#10;AAAAAA==&#10;" path="m167,179l147,179,156,159,176,159,167,1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HxXUf74AAADb&#10;AAAADwAAAGRycy9kb3ducmV2LnhtbEWPT2vCQBDF70K/wzKFXkQ3ChWJriKCkEOKmNb7kJ0modnZ&#10;Jbv+aT+9cyh4m+G9ee836+3d9epKQ+w8G5hNM1DEtbcdNwa+Pg+TJaiYkC32nsnAL0XYbl5Ga8yt&#10;v/GJrlVqlIRwzNFAm1LItY51Sw7j1Adi0b794DDJOjTaDniTcNfreZYttMOOpaHFQPuW6p/q4gyc&#10;q7L8C4dxKD6O85hiuVu8086Yt9dZtgKV6J6e5v/rwgq+wMovMoDeP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xXUf74A&#10;AADbAAAADwAAAAAAAAABACAAAAAiAAAAZHJzL2Rvd25yZXYueG1sUEsBAhQAFAAAAAgAh07iQDMv&#10;BZ47AAAAOQAAABAAAAAAAAAAAQAgAAAADQEAAGRycy9zaGFwZXhtbC54bWxQSwUGAAAAAAYABgBb&#10;AQAAtwMAAAAA&#10;" path="m7277,179l7256,179,7247,159,7267,159,7277,1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cFlx5LkAAADb&#10;AAAADwAAAGRycy9kb3ducmV2LnhtbEVPS4vCMBC+L/gfwgh7WTRVUNZqFBEEDxWxq/ehGdtiMwlN&#10;1tevN4LgbT6+58wWN9OIC7W+tqxg0E9AEBdW11wqOPyte78gfEDW2FgmBXfysJh3vmaYanvlPV3y&#10;UIoYwj5FBVUILpXSFxUZ9H3riCN3sq3BEGFbSt3iNYabRg6TZCwN1hwbKnS0qqg45/9GwTHPsodb&#10;/7jNdjf0wWfL8YiWSn13B8kURKBb+Ijf7o2O8yfw+iUeIOd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BZceS5AAAA2wAA&#10;AA8AAAAAAAAAAQAgAAAAIgAAAGRycy9kb3ducmV2LnhtbFBLAQIUABQAAAAIAIdO4kAzLwWeOwAA&#10;ADkAAAAQAAAAAAAAAAEAIAAAAAgBAABkcnMvc2hhcGV4bWwueG1sUEsFBgAAAAAGAAYAWwEAALID&#10;AAAAAA==&#10;" path="m149,199l129,199,138,179,158,179,149,1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Lw8SxLgAAADb&#10;AAAADwAAAGRycy9kb3ducmV2LnhtbEVPy4rCMBTdC/5DuIIbGVMLinSMIoLgoiJW3V+aO22Z5iY0&#10;8fn1ZiG4PJz3YvUwrbhR5xvLCibjBARxaXXDlYLzafszB+EDssbWMil4kofVst9bYKbtnY90K0Il&#10;Ygj7DBXUIbhMSl/WZNCPrSOO3J/tDIYIu0rqDu8x3LQyTZKZNNhwbKjR0aam8r+4GgWXIs9fbjty&#10;u/0h9cHn69mU1koNB5PkF0SgR/iKP+6dVpDG9fFL/AFy+QZ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Lw8SxLgAAADbAAAA&#10;DwAAAAAAAAABACAAAAAiAAAAZHJzL2Rvd25yZXYueG1sUEsBAhQAFAAAAAgAh07iQDMvBZ47AAAA&#10;OQAAABAAAAAAAAAAAQAgAAAABwEAAGRycy9zaGFwZXhtbC54bWxQSwUGAAAAAAYABgBbAQAAsQMA&#10;AAAA&#10;" path="m7294,199l7274,199,7265,179,7286,179,7294,1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QEO3X7wAAADb&#10;AAAADwAAAGRycy9kb3ducmV2LnhtbEWPT4vCMBTE78J+h/AWvIimLShLNYosCB4qYl3vj+bZlm1e&#10;QhP/7H56Iwgeh5n5DbNY3U0nrtT71rKCdJKAIK6sbrlW8HPcjL9A+ICssbNMCv7Iw2r5MVhgru2N&#10;D3QtQy0ihH2OCpoQXC6lrxoy6CfWEUfvbHuDIcq+lrrHW4SbTmZJMpMGW44LDTr6bqj6LS9Gwaks&#10;in+3Gbntbp/54Iv1bEprpYafaTIHEege3uFXe6sVZCk8v8QfIJ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BDt1+8AAAA&#10;2wAAAA8AAAAAAAAAAQAgAAAAIgAAAGRycy9kb3ducmV2LnhtbFBLAQIUABQAAAAIAIdO4kAzLwWe&#10;OwAAADkAAAAQAAAAAAAAAAEAIAAAAAsBAABkcnMvc2hhcGV4bWwueG1sUEsFBgAAAAAGAAYAWwEA&#10;ALUDAAAAAA==&#10;" path="m132,219l112,219,121,199,141,199,132,2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sJEpKL0AAADb&#10;AAAADwAAAGRycy9kb3ducmV2LnhtbEWPwWrDMBBE74H+g9hCLqGRY2goTpQQCgYfHEqd9r5YG9vU&#10;WglLsd1+fVQo9DjMzBtmf5xNL0YafGdZwWadgCCure64UfBxyZ9eQPiArLG3TAq+ycPx8LDYY6bt&#10;xO80VqEREcI+QwVtCC6T0tctGfRr64ijd7WDwRDl0Eg94BThppdpkmylwY7jQouOXluqv6qbUfBZ&#10;leWPy1euOL+lPvjytH2mk1LLx02yAxFoDv/hv3ahFaQp/H6JP0Ae7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kSkovQAA&#10;ANsAAAAPAAAAAAAAAAEAIAAAACIAAABkcnMvZG93bnJldi54bWxQSwECFAAUAAAACACHTuJAMy8F&#10;njsAAAA5AAAAEAAAAAAAAAABACAAAAAMAQAAZHJzL3NoYXBleG1sLnhtbFBLBQYAAAAABgAGAFsB&#10;AAC2AwAAAAA=&#10;" path="m7311,219l7291,219,7283,199,7303,199,7311,2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392Ms7wAAADb&#10;AAAADwAAAGRycy9kb3ducmV2LnhtbEWPT4vCMBTE7wt+h/AEL4umVlakGkUEwUNl2ar3R/Nsi81L&#10;aOLfT28WFvY4zMxvmMXqYVpxo843lhWMRwkI4tLqhisFx8N2OAPhA7LG1jIpeJKH1bL3scBM2zv/&#10;0K0IlYgQ9hkqqENwmZS+rMmgH1lHHL2z7QyGKLtK6g7vEW5amSbJVBpsOC7U6GhTU3kprkbBqcjz&#10;l9t+ut3+O/XB5+vpF62VGvTHyRxEoEf4D/+1d1pBOoHfL/EHyO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djLO8AAAA&#10;2wAAAA8AAAAAAAAAAQAgAAAAIgAAAGRycy9kb3ducmV2LnhtbFBLAQIUABQAAAAIAIdO4kAzLwWe&#10;OwAAADkAAAAQAAAAAAAAAAEAIAAAAAsBAABkcnMvc2hhcGV4bWwueG1sUEsFBgAAAAAGAAYAWwEA&#10;ALUDAAAAAA==&#10;" path="m101,259l89,259,96,239,104,219,124,219,116,239,109,239,101,2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UDQUx7wAAADb&#10;AAAADwAAAGRycy9kb3ducmV2LnhtbEWPT4vCMBTE7wt+h/AEL4umFlekGkUEwUNl2ar3R/Nsi81L&#10;aOLfT28WFvY4zMxvmMXqYVpxo843lhWMRwkI4tLqhisFx8N2OAPhA7LG1jIpeJKH1bL3scBM2zv/&#10;0K0IlYgQ9hkqqENwmZS+rMmgH1lHHL2z7QyGKLtK6g7vEW5amSbJVBpsOC7U6GhTU3kprkbBqcjz&#10;l9t+ut3+O/XB5+vpF62VGvTHyRxEoEf4D/+1d1pBOoHfL/EHyO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A0FMe8AAAA&#10;2wAAAA8AAAAAAAAAAQAgAAAAIgAAAGRycy9kb3ducmV2LnhtbFBLAQIUABQAAAAIAIdO4kAzLwWe&#10;OwAAADkAAAAQAAAAAAAAAAEAIAAAAAsBAABkcnMvc2hhcGV4bWwueG1sUEsFBgAAAAAGAAYAWwEA&#10;ALUDAAAAAA==&#10;" path="m7335,259l7322,259,7315,239,7307,239,7299,219,7319,219,7327,239,7335,2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P3ixXLwAAADb&#10;AAAADwAAAGRycy9kb3ducmV2LnhtbEWPQYvCMBSE78L+h/AW9iKaWlCWahRZEHqoiNW9P5pnW2xe&#10;QpNV119vBMHjMDPfMIvVzXTiQr1vLSuYjBMQxJXVLdcKjofN6BuED8gaO8uk4J88rJYfgwVm2l55&#10;T5cy1CJC2GeooAnBZVL6qiGDfmwdcfROtjcYouxrqXu8RrjpZJokM2mw5bjQoKOfhqpz+WcU/JZF&#10;cXebocu3u9QHX6xnU1or9fU5SeYgAt3CO/xq51pBOoXnl/gD5PI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94sVy8AAAA&#10;2wAAAA8AAAAAAAAAAQAgAAAAIgAAAGRycy9kb3ducmV2LnhtbFBLAQIUABQAAAAIAIdO4kAzLwWe&#10;OwAAADkAAAAQAAAAAAAAAAEAIAAAAAsBAABkcnMvc2hhcGV4bWwueG1sUEsFBgAAAAAGAAYAWwEA&#10;ALUDAAAAAA==&#10;" path="m94,279l75,279,82,259,102,259,94,2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z6ovK7wAAADb&#10;AAAADwAAAGRycy9kb3ducmV2LnhtbEWPT4vCMBTE7wt+h/CEvSyaWrBI1ygiCB66iFXvj+ZtW2xe&#10;QpP136ffCILHYWZ+w8yXN9OJC/W+taxgMk5AEFdWt1wrOB42oxkIH5A1dpZJwZ08LBeDjznm2l55&#10;T5cy1CJC2OeooAnB5VL6qiGDfmwdcfR+bW8wRNnXUvd4jXDTyTRJMmmw5bjQoKN1Q9W5/DMKTmVR&#10;PNzmy21/dqkPvlhlU1op9TmcJN8gAt3CO/xqb7WCNIPnl/gD5OI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qLyu8AAAA&#10;2wAAAA8AAAAAAAAAAQAgAAAAIgAAAGRycy9kb3ducmV2LnhtbFBLAQIUABQAAAAIAIdO4kAzLwWe&#10;OwAAADkAAAAQAAAAAAAAAAEAIAAAAAsBAABkcnMvc2hhcGV4bWwueG1sUEsFBgAAAAAGAAYAWwEA&#10;ALUDAAAAAA==&#10;" path="m7349,279l7329,279,7322,259,7342,259,7349,2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oOaKsL4AAADb&#10;AAAADwAAAGRycy9kb3ducmV2LnhtbEWPQWvCQBSE7wX/w/IKvRTdGDCV1FVECHhIKU31/si+JqHZ&#10;t0t2G6O/visUehxm5htms5tML0YafGdZwXKRgCCure64UXD6LOZrED4ga+wtk4IredhtZw8bzLW9&#10;8AeNVWhEhLDPUUEbgsul9HVLBv3COuLofdnBYIhyaKQe8BLhppdpkmTSYMdxoUVHh5bq7+rHKDhX&#10;ZXlzxbM7vr2nPvhyn61or9TT4zJ5BRFoCv/hv/ZRK0hf4P4l/gC5/Q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OaKsL4A&#10;AADbAAAADwAAAAAAAAABACAAAAAiAAAAZHJzL2Rvd25yZXYueG1sUEsBAhQAFAAAAAgAh07iQDMv&#10;BZ47AAAAOQAAABAAAAAAAAAAAQAgAAAADQEAAGRycy9zaGFwZXhtbC54bWxQSwUGAAAAAAYABgBb&#10;AQAAtwMAAAAA&#10;" path="m69,319l55,319,62,299,68,279,88,279,81,299,75,299,69,3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0XkewrgAAADb&#10;AAAADwAAAGRycy9kb3ducmV2LnhtbEVPy4rCMBTdC/5DuIIbGVMLinSMIoLgoiJW3V+aO22Z5iY0&#10;8fn1ZiG4PJz3YvUwrbhR5xvLCibjBARxaXXDlYLzafszB+EDssbWMil4kofVst9bYKbtnY90K0Il&#10;Ygj7DBXUIbhMSl/WZNCPrSOO3J/tDIYIu0rqDu8x3LQyTZKZNNhwbKjR0aam8r+4GgWXIs9fbjty&#10;u/0h9cHn69mU1koNB5PkF0SgR/iKP+6dVpDGsfFL/AFy+QZ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0XkewrgAAADbAAAA&#10;DwAAAAAAAAABACAAAAAiAAAAZHJzL2Rvd25yZXYueG1sUEsBAhQAFAAAAAgAh07iQDMvBZ47AAAA&#10;OQAAABAAAAAAAAAAAQAgAAAABwEAAGRycy9zaGFwZXhtbC54bWxQSwUGAAAAAAYABgBbAQAAsQMA&#10;AAAA&#10;" path="m7368,319l7355,319,7349,299,7342,299,7336,279,7356,279,7362,299,7368,3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vjW7Wb4AAADb&#10;AAAADwAAAGRycy9kb3ducmV2LnhtbEWPQWvCQBSE7wX/w/IKvRTdGDDU1FVECHhIKU31/si+JqHZ&#10;t0t2G6O/visUehxm5htms5tML0YafGdZwXKRgCCure64UXD6LOYvIHxA1thbJgVX8rDbzh42mGt7&#10;4Q8aq9CICGGfo4I2BJdL6euWDPqFdcTR+7KDwRDl0Eg94CXCTS/TJMmkwY7jQouODi3V39WPUXCu&#10;yvLmimd3fHtPffDlPlvRXqmnx2XyCiLQFP7Df+2jVpCu4f4l/gC5/Q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jW7Wb4A&#10;AADbAAAADwAAAAAAAAABACAAAAAiAAAAZHJzL2Rvd25yZXYueG1sUEsBAhQAFAAAAAgAh07iQDMv&#10;BZ47AAAAOQAAABAAAAAAAAAAAQAgAAAADQEAAGRycy9zaGFwZXhtbC54bWxQSwUGAAAAAAYABgBb&#10;AQAAtwMAAAAA&#10;" path="m63,339l44,339,50,319,69,319,63,3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qtaEGbkAAADb&#10;AAAADwAAAGRycy9kb3ducmV2LnhtbEVPy4rCMBTdC/MP4Q64kTFVUYaOaZEBwUVFrLq/NHfaMs1N&#10;aOLz681CcHk472V+M524UO9bywom4wQEcWV1y7WC42H99Q3CB2SNnWVScCcPefYxWGKq7ZX3dClD&#10;LWII+xQVNCG4VEpfNWTQj60jjtyf7Q2GCPta6h6vMdx0cpokC2mw5djQoKPfhqr/8mwUnMqieLj1&#10;yG22u6kPvlgt5rRSavg5SX5ABLqFt/jl3mgFs7g+fok/QGZ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rWhBm5AAAA2wAA&#10;AA8AAAAAAAAAAQAgAAAAIgAAAGRycy9kb3ducmV2LnhtbFBLAQIUABQAAAAIAIdO4kAzLwWeOwAA&#10;ADkAAAAQAAAAAAAAAAEAIAAAAAgBAABkcnMvc2hhcGV4bWwueG1sUEsFBgAAAAAGAAYAWwEAALID&#10;AAAAAA==&#10;" path="m7380,339l7360,339,7355,319,7374,319,7380,3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xZohgr0AAADb&#10;AAAADwAAAGRycy9kb3ducmV2LnhtbEWPT4vCMBTE78J+h/AWvIimVZSlGkUWBA8Vsbr3R/Nsi81L&#10;aLL+2U+/EQSPw8z8hlms7qYVV+p8Y1lBOkpAEJdWN1wpOB03wy8QPiBrbC2Tggd5WC0/egvMtL3x&#10;ga5FqESEsM9QQR2Cy6T0ZU0G/cg64uidbWcwRNlVUnd4i3DTynGSzKTBhuNCjY6+ayovxa9R8FPk&#10;+Z/bDNx2tx/74PP1bEprpfqfaTIHEege3uFXe6sVTFJ4fok/QC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miGCvQAA&#10;ANsAAAAPAAAAAAAAAAEAIAAAACIAAABkcnMvZG93bnJldi54bWxQSwECFAAUAAAACACHTuJAMy8F&#10;njsAAAA5AAAAEAAAAAAAAAABACAAAAAMAQAAZHJzL3NoYXBleG1sLnhtbFBLBQYAAAAABgAGAFsB&#10;AAC2AwAAAAA=&#10;" path="m43,379l29,379,34,359,39,339,58,339,53,359,48,359,43,3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NUi/9bwAAADb&#10;AAAADwAAAGRycy9kb3ducmV2LnhtbEWPT4vCMBTE7wt+h/AEL4umVlakGkUEwUNl2ar3R/Nsi81L&#10;aOLfT28WFvY4zMxvmMXqYVpxo843lhWMRwkI4tLqhisFx8N2OAPhA7LG1jIpeJKH1bL3scBM2zv/&#10;0K0IlYgQ9hkqqENwmZS+rMmgH1lHHL2z7QyGKLtK6g7vEW5amSbJVBpsOC7U6GhTU3kprkbBqcjz&#10;l9t+ut3+O/XB5+vpF62VGvTHyRxEoEf4D/+1d1rBJIXfL/EHyO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VIv/W8AAAA&#10;2wAAAA8AAAAAAAAAAQAgAAAAIgAAAGRycy9kb3ducmV2LnhtbFBLAQIUABQAAAAIAIdO4kAzLwWe&#10;OwAAADkAAAAQAAAAAAAAAAEAIAAAAAsBAABkcnMvc2hhcGV4bWwueG1sUEsFBgAAAAAGAAYAWwEA&#10;ALUDAAAAAA==&#10;" path="m7394,379l7380,379,7376,359,7371,359,7366,339,7385,339,7390,359,7394,3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WgQabr4AAADb&#10;AAAADwAAAGRycy9kb3ducmV2LnhtbEWPQWvCQBSE7wX/w/KEXorZJFKR6CoiBDykSGN7f2SfSTD7&#10;dslu1fbXd4VCj8PMfMOst3cziCuNvresIEtSEMSN1T23Cj5O5WwJwgdkjYNlUvBNHrabydMaC21v&#10;/E7XOrQiQtgXqKALwRVS+qYjgz6xjjh6ZzsaDFGOrdQj3iLcDDJP04U02HNc6NDRvqPmUn8ZBZ91&#10;Vf248sUd3o65D77aLV5pp9TzNEtXIALdw3/4r33QCuZzeHyJP0Bu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gQabr4A&#10;AADbAAAADwAAAAAAAAABACAAAAAiAAAAZHJzL2Rvd25yZXYueG1sUEsBAhQAFAAAAAgAh07iQDMv&#10;BZ47AAAAOQAAABAAAAAAAAAAAQAgAAAADQEAAGRycy9zaGFwZXhtbC54bWxQSwUGAAAAAAYABgBb&#10;AQAAtwMAAAAA&#10;" path="m32,419l17,419,21,399,25,379,43,379,39,399,35,399,32,4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1e2CGr4AAADb&#10;AAAADwAAAGRycy9kb3ducmV2LnhtbEWPQWvCQBSE7wX/w/IKvZS6MVaR1FVEEDykFGO9P7KvSWj2&#10;7ZLdJtFf7xYKPQ4z8w2z3o6mFT11vrGsYDZNQBCXVjdcKfg8H15WIHxA1thaJgVX8rDdTB7WmGk7&#10;8In6IlQiQthnqKAOwWVS+rImg35qHXH0vmxnMETZVVJ3OES4aWWaJEtpsOG4UKOjfU3ld/FjFFyK&#10;PL+5w7M7vn+kPvh8t1zQTqmnx1nyBiLQGP7Df+2jVjB/hd8v8QfIz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e2CGr4A&#10;AADbAAAADwAAAAAAAAABACAAAAAiAAAAZHJzL2Rvd25yZXYueG1sUEsBAhQAFAAAAAgAh07iQDMv&#10;BZ47AAAAOQAAABAAAAAAAAAAAQAgAAAADQEAAGRycy9zaGFwZXhtbC54bWxQSwUGAAAAAAYABgBb&#10;AQAAtwMAAAAA&#10;" path="m7406,419l7392,419,7388,399,7384,399,7380,379,7399,379,7403,399,7406,4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uqEngbwAAADb&#10;AAAADwAAAGRycy9kb3ducmV2LnhtbEWPT4vCMBTE78J+h/AWvIimKhbpGkUWBA8Vse7eH83btmzz&#10;Epr499MbQfA4zMxvmMXqalpxps43lhWMRwkI4tLqhisFP8fNcA7CB2SNrWVScCMPq+VHb4GZthc+&#10;0LkIlYgQ9hkqqENwmZS+rMmgH1lHHL0/2xkMUXaV1B1eIty0cpIkqTTYcFyo0dF3TeV/cTIKfos8&#10;v7vNwG13+4kPPl+nM1or1f8cJ18gAl3DO/xqb7WC6QyeX+IPkM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qhJ4G8AAAA&#10;2wAAAA8AAAAAAAAAAQAgAAAAIgAAAGRycy9kb3ducmV2LnhtbFBLAQIUABQAAAAIAIdO4kAzLwWe&#10;OwAAADkAAAAQAAAAAAAAAAEAIAAAAAsBAABkcnMvc2hhcGV4bWwueG1sUEsFBgAAAAAGAAYAWwEA&#10;ALUDAAAAAA==&#10;" path="m21,479l6,479,8,459,11,439,14,419,32,419,28,439,26,439,23,459,23,459,21,4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SnO59rwAAADb&#10;AAAADwAAAGRycy9kb3ducmV2LnhtbEWPT4vCMBTE7wt+h/AEL4umKlukGkUEwUNl2ar3R/Nsi81L&#10;aOLfT28WFvY4zMxvmMXqYVpxo843lhWMRwkI4tLqhisFx8N2OAPhA7LG1jIpeJKH1bL3scBM2zv/&#10;0K0IlYgQ9hkqqENwmZS+rMmgH1lHHL2z7QyGKLtK6g7vEW5aOUmSVBpsOC7U6GhTU3kprkbBqcjz&#10;l9t+ut3+e+KDz9fpF62VGvTHyRxEoEf4D/+1d1rBNIXfL/EHyO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pzufa8AAAA&#10;2wAAAA8AAAAAAAAAAQAgAAAAIgAAAGRycy9kb3ducmV2LnhtbFBLAQIUABQAAAAIAIdO4kAzLwWe&#10;OwAAADkAAAAQAAAAAAAAAAEAIAAAAAsBAABkcnMvc2hhcGV4bWwueG1sUEsFBgAAAAAGAAYAWwEA&#10;ALUDAAAAAA==&#10;" path="m7418,479l7403,479,7401,459,7401,459,7398,439,7395,439,7392,419,7410,419,7413,439,7415,459,7418,4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JT8cbbwAAADb&#10;AAAADwAAAGRycy9kb3ducmV2LnhtbEWPT4vCMBTE78J+h/AWvIimKrrSNYoIgocuYl3vj+bZlm1e&#10;QhP/fvqNIHgcZuY3zHx5M424UOtrywqGgwQEcWF1zaWC38OmPwPhA7LGxjIpuJOH5eKjM8dU2yvv&#10;6ZKHUkQI+xQVVCG4VEpfVGTQD6wjjt7JtgZDlG0pdYvXCDeNHCXJVBqsOS5U6GhdUfGXn42CY55l&#10;D7fpue3PbuSDz1bTCa2U6n4Ok28QgW7hHX61t1rB+AueX+IP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U/HG28AAAA&#10;2wAAAA8AAAAAAAAAAQAgAAAAIgAAAGRycy9kb3ducmV2LnhtbFBLAQIUABQAAAAIAIdO4kAzLwWe&#10;OwAAADkAAAAQAAAAAAAAAAEAIAAAAAsBAABkcnMvc2hhcGV4bWwueG1sUEsFBgAAAAAGAAYAWwEA&#10;ALUDAAAAAA==&#10;" path="m16,519l1,519,2,499,4,479,19,479,17,499,17,499,16,5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VKCIH7kAAADb&#10;AAAADwAAAGRycy9kb3ducmV2LnhtbEVPy4rCMBTdC/MP4Q64kTFVUYaOaZEBwUVFrLq/NHfaMs1N&#10;aOLz681CcHk472V+M524UO9bywom4wQEcWV1y7WC42H99Q3CB2SNnWVScCcPefYxWGKq7ZX3dClD&#10;LWII+xQVNCG4VEpfNWTQj60jjtyf7Q2GCPta6h6vMdx0cpokC2mw5djQoKPfhqr/8mwUnMqieLj1&#10;yG22u6kPvlgt5rRSavg5SX5ABLqFt/jl3mgFszg2fok/QGZ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SgiB+5AAAA2wAA&#10;AA8AAAAAAAAAAQAgAAAAIgAAAGRycy9kb3ducmV2LnhtbFBLAQIUABQAAAAIAIdO4kAzLwWeOwAA&#10;ADkAAAAQAAAAAAAAAAEAIAAAAAgBAABkcnMvc2hhcGV4bWwueG1sUEsFBgAAAAAGAAYAWwEAALID&#10;AAAAAA==&#10;" path="m7423,519l7408,519,7406,499,7406,499,7405,479,7420,479,7421,499,7423,5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O+wthLwAAADb&#10;AAAADwAAAGRycy9kb3ducmV2LnhtbEWPT4vCMBTE78J+h/AWvIimKsraNYoIgocuYl3vj+bZlm1e&#10;QhP/fvqNIHgcZuY3zHx5M424UOtrywqGgwQEcWF1zaWC38Om/wXCB2SNjWVScCcPy8VHZ46ptlfe&#10;0yUPpYgQ9ikqqEJwqZS+qMigH1hHHL2TbQ2GKNtS6havEW4aOUqSqTRYc1yo0NG6ouIvPxsFxzzL&#10;Hm7Tc9uf3cgHn62mE1op1f0cJt8gAt3CO/xqb7WC8QyeX+IP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vsLYS8AAAA&#10;2wAAAA8AAAAAAAAAAQAgAAAAIgAAAGRycy9kb3ducmV2LnhtbFBLAQIUABQAAAAIAIdO4kAzLwWe&#10;OwAAADkAAAAQAAAAAAAAAAEAIAAAAAsBAABkcnMvc2hhcGV4bWwueG1sUEsFBgAAAAAGAAYAWwEA&#10;ALUDAAAAAA==&#10;" path="m19,4559l2,4559,1,4539,0,4519,0,4499,0,539,0,519,15,519,15,539,15,4499,15,4519,16,4539,17,4539,19,45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8tD3ZLkAAADb&#10;AAAADwAAAGRycy9kb3ducmV2LnhtbEVPy4rCMBTdC/MP4Q64kTFVVIaOaZEBwUVFrLq/NHfaMs1N&#10;aOLz681CcHk472V+M524UO9bywom4wQEcWV1y7WC42H99Q3CB2SNnWVScCcPefYxWGKq7ZX3dClD&#10;LWII+xQVNCG4VEpfNWTQj60jjtyf7Q2GCPta6h6vMdx0cpokC2mw5djQoKPfhqr/8mwUnMqieLj1&#10;yG22u6kPvlgt5rRSavg5SX5ABLqFt/jl3mgFs7g+fok/QGZ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LQ92S5AAAA2wAA&#10;AA8AAAAAAAAAAQAgAAAAIgAAAGRycy9kb3ducmV2LnhtbFBLAQIUABQAAAAIAIdO4kAzLwWeOwAA&#10;ADkAAAAQAAAAAAAAAAEAIAAAAAgBAABkcnMvc2hhcGV4bWwueG1sUEsFBgAAAAAGAAYAWwEAALID&#10;AAAAAA==&#10;" path="m7421,4559l7405,4559,7406,4539,7408,4539,7408,4519,7408,4519,7409,4499,7409,539,7408,519,7423,519,7424,539,7424,4499,7423,4519,7423,4539,7421,45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nZxS/70AAADb&#10;AAAADwAAAGRycy9kb3ducmV2LnhtbEWPT4vCMBTE78J+h/AWvIimFZWlGkUWBA8Vsbr3R/Nsi81L&#10;aLL+2U+/EQSPw8z8hlms7qYVV+p8Y1lBOkpAEJdWN1wpOB03wy8QPiBrbC2Tggd5WC0/egvMtL3x&#10;ga5FqESEsM9QQR2Cy6T0ZU0G/cg64uidbWcwRNlVUnd4i3DTynGSzKTBhuNCjY6+ayovxa9R8FPk&#10;+Z/bDNx2tx/74PP1bEprpfqfaTIHEege3uFXe6sVTFJ4fok/QC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dnFL/vQAA&#10;ANsAAAAPAAAAAAAAAAEAIAAAACIAAABkcnMvZG93bnJldi54bWxQSwECFAAUAAAACACHTuJAMy8F&#10;njsAAAA5AAAAEAAAAAAAAAABACAAAAAMAQAAZHJzL3NoYXBleG1sLnhtbFBLBQYAAAAABgAGAFsB&#10;AAC2AwAAAAA=&#10;" path="m23,4599l8,4599,6,4579,4,4559,19,4559,21,4579,21,4579,23,45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bU7MiLwAAADb&#10;AAAADwAAAGRycy9kb3ducmV2LnhtbEWPT4vCMBTE7wt+h/AEL4umFlekGkUEwUNl2ar3R/Nsi81L&#10;aOLfT28WFvY4zMxvmMXqYVpxo843lhWMRwkI4tLqhisFx8N2OAPhA7LG1jIpeJKH1bL3scBM2zv/&#10;0K0IlYgQ9hkqqENwmZS+rMmgH1lHHL2z7QyGKLtK6g7vEW5amSbJVBpsOC7U6GhTU3kprkbBqcjz&#10;l9t+ut3+O/XB5+vpF62VGvTHyRxEoEf4D/+1d1rBJIXfL/EHyO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1OzIi8AAAA&#10;2wAAAA8AAAAAAAAAAQAgAAAAIgAAAGRycy9kb3ducmV2LnhtbFBLAQIUABQAAAAIAIdO4kAzLwWe&#10;OwAAADkAAAAQAAAAAAAAAAEAIAAAAAsBAABkcnMvc2hhcGV4bWwueG1sUEsFBgAAAAAGAAYAWwEA&#10;ALUDAAAAAA==&#10;" path="m7415,4599l7401,4599,7403,4579,7403,4579,7405,4559,7420,4559,7418,4579,7415,45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AgJpE74AAADb&#10;AAAADwAAAGRycy9kb3ducmV2LnhtbEWPQWvCQBSE7wX/w/IKvZS6MVaR1FVEEDykFGO9P7KvSWj2&#10;7ZLdJtFf7xYKPQ4z8w2z3o6mFT11vrGsYDZNQBCXVjdcKfg8H15WIHxA1thaJgVX8rDdTB7WmGk7&#10;8In6IlQiQthnqKAOwWVS+rImg35qHXH0vmxnMETZVVJ3OES4aWWaJEtpsOG4UKOjfU3ld/FjFFyK&#10;PL+5w7M7vn+kPvh8t1zQTqmnx1nyBiLQGP7Df+2jVvA6h98v8QfIz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gJpE74A&#10;AADbAAAADwAAAAAAAAABACAAAAAiAAAAZHJzL2Rvd25yZXYueG1sUEsBAhQAFAAAAAgAh07iQDMv&#10;BZ47AAAAOQAAABAAAAAAAAAAAQAgAAAADQEAAGRycy9zaGFwZXhtbC54bWxQSwUGAAAAAAYABgBb&#10;AQAAtwMAAAAA&#10;" path="m32,4639l17,4639,14,4619,11,4599,26,4599,29,4619,28,4619,32,46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jevxZ74AAADb&#10;AAAADwAAAGRycy9kb3ducmV2LnhtbEWPQWvCQBSE7wX/w/KEXorZJFiR6CoiBDykSGN7f2SfSTD7&#10;dslu1fbXd4VCj8PMfMOst3cziCuNvresIEtSEMSN1T23Cj5O5WwJwgdkjYNlUvBNHrabydMaC21v&#10;/E7XOrQiQtgXqKALwRVS+qYjgz6xjjh6ZzsaDFGOrdQj3iLcDDJP04U02HNc6NDRvqPmUn8ZBZ91&#10;Vf248sUd3o65D77aLV5pp9TzNEtXIALdw3/4r33QCuZzeHyJP0Bu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evxZ74A&#10;AADbAAAADwAAAAAAAAABACAAAAAiAAAAZHJzL2Rvd25yZXYueG1sUEsBAhQAFAAAAAgAh07iQDMv&#10;BZ47AAAAOQAAABAAAAAAAAAAAQAgAAAADQEAAGRycy9zaGFwZXhtbC54bWxQSwUGAAAAAAYABgBb&#10;AQAAtwMAAAAA&#10;" path="m7406,4639l7392,4639,7395,4619,7395,4619,7398,4599,7413,4599,7410,4619,7406,46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4qdU/LwAAADb&#10;AAAADwAAAGRycy9kb3ducmV2LnhtbEWPT4vCMBTE78J+h/AWvIimihbpGkUWBA8Vse7eH83btmzz&#10;Epr499MbQfA4zMxvmMXqalpxps43lhWMRwkI4tLqhisFP8fNcA7CB2SNrWVScCMPq+VHb4GZthc+&#10;0LkIlYgQ9hkqqENwmZS+rMmgH1lHHL0/2xkMUXaV1B1eIty0cpIkqTTYcFyo0dF3TeV/cTIKfos8&#10;v7vNwG13+4kPPl+nM1or1f8cJ18gAl3DO/xqb7WC6QyeX+IPkM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KnVPy8AAAA&#10;2wAAAA8AAAAAAAAAAQAgAAAAIgAAAGRycy9kb3ducmV2LnhtbFBLAQIUABQAAAAIAIdO4kAzLwWe&#10;OwAAADkAAAAQAAAAAAAAAAEAIAAAAAsBAABkcnMvc2hhcGV4bWwueG1sUEsFBgAAAAAGAAYAWwEA&#10;ALUDAAAAAA==&#10;" path="m43,4679l29,4679,25,4659,21,4639,35,4639,39,4659,39,4659,43,46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EnXKi7wAAADb&#10;AAAADwAAAGRycy9kb3ducmV2LnhtbEWPT4vCMBTE7wt+h/AEL4umilukGkUEwUNl2ar3R/Nsi81L&#10;aOLfT28WFvY4zMxvmMXqYVpxo843lhWMRwkI4tLqhisFx8N2OAPhA7LG1jIpeJKH1bL3scBM2zv/&#10;0K0IlYgQ9hkqqENwmZS+rMmgH1lHHL2z7QyGKLtK6g7vEW5aOUmSVBpsOC7U6GhTU3kprkbBqcjz&#10;l9t+ut3+e+KDz9fpF62VGvTHyRxEoEf4D/+1d1rBNIXfL/EHyO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J1you8AAAA&#10;2wAAAA8AAAAAAAAAAQAgAAAAIgAAAGRycy9kb3ducmV2LnhtbFBLAQIUABQAAAAIAIdO4kAzLwWe&#10;OwAAADkAAAAQAAAAAAAAAAEAIAAAAAsBAABkcnMvc2hhcGV4bWwueG1sUEsFBgAAAAAGAAYAWwEA&#10;ALUDAAAAAA==&#10;" path="m7394,4679l7380,4679,7384,4659,7384,4659,7388,4639,7403,4639,7399,4659,7394,46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fTlvELwAAADb&#10;AAAADwAAAGRycy9kb3ducmV2LnhtbEWPT4vCMBTE78J+h/AWvIimirrSNYoIgocuYl3vj+bZlm1e&#10;QhP/fvqNIHgcZuY3zHx5M424UOtrywqGgwQEcWF1zaWC38OmPwPhA7LGxjIpuJOH5eKjM8dU2yvv&#10;6ZKHUkQI+xQVVCG4VEpfVGTQD6wjjt7JtgZDlG0pdYvXCDeNHCXJVBqsOS5U6GhdUfGXn42CY55l&#10;D7fpue3PbuSDz1bTCa2U6n4Ok28QgW7hHX61t1rB+AueX+IP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05bxC8AAAA&#10;2wAAAA8AAAAAAAAAAQAgAAAAIgAAAGRycy9kb3ducmV2LnhtbFBLAQIUABQAAAAIAIdO4kAzLwWe&#10;OwAAADkAAAAQAAAAAAAAAAEAIAAAAAsBAABkcnMvc2hhcGV4bWwueG1sUEsFBgAAAAAGAAYAWwEA&#10;ALUDAAAAAA==&#10;" path="m48,4679l43,4679,43,4659,48,46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DKb7YrkAAADb&#10;AAAADwAAAGRycy9kb3ducmV2LnhtbEVPy4rCMBTdC/MP4Q64kTFVVIaOaZEBwUVFrLq/NHfaMs1N&#10;aOLz681CcHk472V+M524UO9bywom4wQEcWV1y7WC42H99Q3CB2SNnWVScCcPefYxWGKq7ZX3dClD&#10;LWII+xQVNCG4VEpfNWTQj60jjtyf7Q2GCPta6h6vMdx0cpokC2mw5djQoKPfhqr/8mwUnMqieLj1&#10;yG22u6kPvlgt5rRSavg5SX5ABLqFt/jl3mgFszg2fok/QGZ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ym+2K5AAAA2wAA&#10;AA8AAAAAAAAAAQAgAAAAIgAAAGRycy9kb3ducmV2LnhtbFBLAQIUABQAAAAIAIdO4kAzLwWeOwAA&#10;ADkAAAAQAAAAAAAAAAEAIAAAAAgBAABkcnMvc2hhcGV4bWwueG1sUEsFBgAAAAAGAAYAWwEAALID&#10;AAAAAA==&#10;" path="m7380,4679l7376,4679,7380,4659,7380,46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Y+pe+bwAAADb&#10;AAAADwAAAGRycy9kb3ducmV2LnhtbEWPT4vCMBTE78J+h/AWvIimisraNYoIgocuYl3vj+bZlm1e&#10;QhP/fvqNIHgcZuY3zHx5M424UOtrywqGgwQEcWF1zaWC38Om/wXCB2SNjWVScCcPy8VHZ46ptlfe&#10;0yUPpYgQ9ikqqEJwqZS+qMigH1hHHL2TbQ2GKNtS6havEW4aOUqSqTRYc1yo0NG6ouIvPxsFxzzL&#10;Hm7Tc9uf3cgHn62mE1op1f0cJt8gAt3CO/xqb7WC8QyeX+IP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PqXvm8AAAA&#10;2wAAAA8AAAAAAAAAAQAgAAAAIgAAAGRycy9kb3ducmV2LnhtbFBLAQIUABQAAAAIAIdO4kAzLwWe&#10;OwAAADkAAAAQAAAAAAAAAAEAIAAAAAsBAABkcnMvc2hhcGV4bWwueG1sUEsFBgAAAAAGAAYAWwEA&#10;ALUDAAAAAA==&#10;" path="m63,4719l44,4719,39,4699,34,4679,48,4679,53,4699,58,4699,63,47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dwlhubkAAADb&#10;AAAADwAAAGRycy9kb3ducmV2LnhtbEVPy4rCMBTdC/5DuIIbmaYKinRMRQTBRQexOvtLc6ctNjeh&#10;ic+vnywEl4fzXq0fphM36n1rWcE0SUEQV1a3XCs4n3ZfSxA+IGvsLJOCJ3lY58PBCjNt73ykWxlq&#10;EUPYZ6igCcFlUvqqIYM+sY44cn+2Nxgi7Gupe7zHcNPJWZoupMGWY0ODjrYNVZfyahT8lkXxcruJ&#10;2/8cZj74YrOY00ap8WiafoMI9Agf8du91wrmcX38En+AzP8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cJYbm5AAAA2wAA&#10;AA8AAAAAAAAAAQAgAAAAIgAAAGRycy9kb3ducmV2LnhtbFBLAQIUABQAAAAIAIdO4kAzLwWeOwAA&#10;ADkAAAAQAAAAAAAAAAEAIAAAAAgBAABkcnMvc2hhcGV4bWwueG1sUEsFBgAAAAAGAAYAWwEAALID&#10;AAAAAA==&#10;" path="m7380,4719l7360,4719,7366,4699,7371,4699,7376,4679,7390,4679,7385,4699,7380,47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GEXEIr0AAADb&#10;AAAADwAAAGRycy9kb3ducmV2LnhtbEWPzWrDMBCE74W8g9hALiWRbUgIjpUQAgYfXErd5r5YW9vU&#10;WglL+evTV4VCj8PMfMMUh7sZxZUmP1hWkK4SEMSt1QN3Cj7ey+UWhA/IGkfLpOBBHg772VOBubY3&#10;fqNrEzoRIexzVNCH4HIpfduTQb+yjjh6n3YyGKKcOqknvEW4GWWWJBtpcOC40KOjU0/tV3MxCs5N&#10;XX+78tlVL6+ZD74+btZ0VGoxT5MdiED38B/+a1dawTqF3y/xB8j9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RcQivQAA&#10;ANsAAAAPAAAAAAAAAAEAIAAAACIAAABkcnMvZG93bnJldi54bWxQSwECFAAUAAAACACHTuJAMy8F&#10;njsAAAA5AAAAEAAAAAAAAAABACAAAAAMAQAAZHJzL3NoYXBleG1sLnhtbFBLBQYAAAAABgAGAFsB&#10;AAC2AwAAAAA=&#10;" path="m81,4759l62,4759,55,4739,50,4719,63,4719,69,4739,75,4739,81,47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6JdaVbwAAADb&#10;AAAADwAAAGRycy9kb3ducmV2LnhtbEWPQYvCMBSE78L+h/AW9iKaWlCWahRZEHqoiNW9P5pnW2xe&#10;QpNV119vBMHjMDPfMIvVzXTiQr1vLSuYjBMQxJXVLdcKjofN6BuED8gaO8uk4J88rJYfgwVm2l55&#10;T5cy1CJC2GeooAnBZVL6qiGDfmwdcfROtjcYouxrqXu8RrjpZJokM2mw5bjQoKOfhqpz+WcU/JZF&#10;cXebocu3u9QHX6xnU1or9fU5SeYgAt3CO/xq51rBNIXnl/gD5PI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iXWlW8AAAA&#10;2wAAAA8AAAAAAAAAAQAgAAAAIgAAAGRycy9kb3ducmV2LnhtbFBLAQIUABQAAAAIAIdO4kAzLwWe&#10;OwAAADkAAAAQAAAAAAAAAAEAIAAAAAsBAABkcnMvc2hhcGV4bWwueG1sUEsFBgAAAAAGAAYAWwEA&#10;ALUDAAAAAA==&#10;" path="m7362,4759l7342,4759,7349,4739,7355,4739,7360,4719,7374,4719,7368,4739,7362,47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h9v/zrwAAADb&#10;AAAADwAAAGRycy9kb3ducmV2LnhtbEWPT4vCMBTE78J+h/AWvIimKhbpGkUWBA8Vse7eH83btmzz&#10;Epr499MbQfA4zMxvmMXqalpxps43lhWMRwkI4tLqhisFP8fNcA7CB2SNrWVScCMPq+VHb4GZthc+&#10;0LkIlYgQ9hkqqENwmZS+rMmgH1lHHL0/2xkMUXaV1B1eIty0cpIkqTTYcFyo0dF3TeV/cTIKfos8&#10;v7vNwG13+4kPPl+nM1or1f8cJ18gAl3DO/xqb7WC2RSeX+IPkM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fb/868AAAA&#10;2wAAAA8AAAAAAAAAAQAgAAAAIgAAAGRycy9kb3ducmV2LnhtbFBLAQIUABQAAAAIAIdO4kAzLwWe&#10;OwAAADkAAAAQAAAAAAAAAAEAIAAAAAsBAABkcnMvc2hhcGV4bWwueG1sUEsFBgAAAAAGAAYAWwEA&#10;ALUDAAAAAA==&#10;" path="m94,4779l75,4779,68,4759,88,4759,94,47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CDJnurwAAADb&#10;AAAADwAAAGRycy9kb3ducmV2LnhtbEWPT4vCMBTE78J+h/AWvIimihbpGkUWBA8Vse7eH83btmzz&#10;Epr499MbQfA4zMxvmMXqalpxps43lhWMRwkI4tLqhisFP8fNcA7CB2SNrWVScCMPq+VHb4GZthc+&#10;0LkIlYgQ9hkqqENwmZS+rMmgH1lHHL0/2xkMUXaV1B1eIty0cpIkqTTYcFyo0dF3TeV/cTIKfos8&#10;v7vNwG13+4kPPl+nM1or1f8cJ18gAl3DO/xqb7WC2RSeX+IPkM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gyZ7q8AAAA&#10;2wAAAA8AAAAAAAAAAQAgAAAAIgAAAGRycy9kb3ducmV2LnhtbFBLAQIUABQAAAAIAIdO4kAzLwWe&#10;OwAAADkAAAAQAAAAAAAAAAEAIAAAAAsBAABkcnMvc2hhcGV4bWwueG1sUEsFBgAAAAAGAAYAWwEA&#10;ALUDAAAAAA==&#10;" path="m7349,4779l7329,4779,7336,4759,7356,4759,7349,47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Z37CIbwAAADb&#10;AAAADwAAAGRycy9kb3ducmV2LnhtbEWPT4vCMBTE78J+h/AWvIimCpWlGkUWBA8Vsbt7fzTPtti8&#10;hCZb/3x6Iwgeh5n5DbNcX00reup8Y1nBdJKAIC6tbrhS8PuzHX+B8AFZY2uZFNzIw3r1MVhipu2F&#10;j9QXoRIRwj5DBXUILpPSlzUZ9BPriKN3sp3BEGVXSd3hJcJNK2dJMpcGG44LNTr6rqk8F/9GwV+R&#10;53e3Hbnd/jDzweebeUobpYaf02QBItA1vMOv9k4rSFN4fok/QK4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d+wiG8AAAA&#10;2wAAAA8AAAAAAAAAAQAgAAAAIgAAAGRycy9kb3ducmV2LnhtbFBLAQIUABQAAAAIAIdO4kAzLwWe&#10;OwAAADkAAAAQAAAAAAAAAAEAIAAAAAsBAABkcnMvc2hhcGV4bWwueG1sUEsFBgAAAAAGAAYAWwEA&#10;ALUDAAAAAA==&#10;" path="m116,4819l96,4819,89,4799,82,4779,94,4779,102,4799,109,4799,116,48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l6xcVr4AAADb&#10;AAAADwAAAGRycy9kb3ducmV2LnhtbEWPwWrDMBBE74H+g9hCLiGRHYgpjpUQCgYfXErd9r5YW9vU&#10;WglLdZJ+fRUI9DjMzBumOF7MKGaa/GBZQbpJQBC3Vg/cKfh4L9dPIHxA1jhaJgVX8nA8PCwKzLU9&#10;8xvNTehEhLDPUUEfgsul9G1PBv3GOuLofdnJYIhy6qSe8BzhZpTbJMmkwYHjQo+Onntqv5sfo+Cz&#10;qetfV65c9fK69cHXp2xHJ6WWj2myBxHoEv7D93alFewyuH2JP0Ae/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6xcVr4A&#10;AADbAAAADwAAAAAAAAABACAAAAAiAAAAZHJzL2Rvd25yZXYueG1sUEsBAhQAFAAAAAgAh07iQDMv&#10;BZ47AAAAOQAAABAAAAAAAAAAAQAgAAAADQEAAGRycy9zaGFwZXhtbC54bWxQSwUGAAAAAAYABgBb&#10;AQAAtwMAAAAA&#10;" path="m7327,4819l7307,4819,7315,4799,7322,4799,7329,4779,7342,4779,7335,4799,7327,48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OD5zb4AAADb&#10;AAAADwAAAGRycy9kb3ducmV2LnhtbEWPQWvCQBSE70L/w/IKvYhuDGhLdBUpBHJIEWN7f2Rfk9Ds&#10;2yW7TWx/fbcgeBxm5htmd7iaXow0+M6ygtUyAUFcW91xo+D9ki9eQPiArLG3TAp+yMNh/zDbYabt&#10;xGcaq9CICGGfoYI2BJdJ6euWDPqldcTR+7SDwRDl0Eg94BThppdpkmykwY7jQouOXluqv6pvo+Cj&#10;Kstfl89d8XZKffDlcbOmo1JPj6tkCyLQNdzDt3ahFayf4f9L/AFy/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D5zb4A&#10;AADbAAAADwAAAAAAAAABACAAAAAiAAAAZHJzL2Rvd25yZXYueG1sUEsBAhQAFAAAAAgAh07iQDMv&#10;BZ47AAAAOQAAABAAAAAAAAAAAQAgAAAADQEAAGRycy9zaGFwZXhtbC54bWxQSwUGAAAAAAYABgBb&#10;AQAAtwMAAAAA&#10;" path="m132,4839l112,4839,104,4819,124,4819,132,48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iX9tv7kAAADb&#10;AAAADwAAAGRycy9kb3ducmV2LnhtbEVPy4rCMBTdC/5DuIIbmaYKinRMRQTBRQexOvtLc6ctNjeh&#10;ic+vnywEl4fzXq0fphM36n1rWcE0SUEQV1a3XCs4n3ZfSxA+IGvsLJOCJ3lY58PBCjNt73ykWxlq&#10;EUPYZ6igCcFlUvqqIYM+sY44cn+2Nxgi7Gupe7zHcNPJWZoupMGWY0ODjrYNVZfyahT8lkXxcruJ&#10;2/8cZj74YrOY00ap8WiafoMI9Agf8du91wrmcWz8En+AzP8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l/bb+5AAAA2wAA&#10;AA8AAAAAAAAAAQAgAAAAIgAAAGRycy9kb3ducmV2LnhtbFBLAQIUABQAAAAIAIdO4kAzLwWeOwAA&#10;ADkAAAAQAAAAAAAAAAEAIAAAAAgBAABkcnMvc2hhcGV4bWwueG1sUEsFBgAAAAAGAAYAWwEAALID&#10;AAAAAA==&#10;" path="m7311,4839l7291,4839,7299,4819,7319,4819,7311,48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5jPIJL4AAADb&#10;AAAADwAAAGRycy9kb3ducmV2LnhtbEWPQWvCQBSE70L/w/IKvYhuDChtdBUpBHJIEWN7f2Rfk9Ds&#10;2yW7TWx/fbcgeBxm5htmd7iaXow0+M6ygtUyAUFcW91xo+D9ki+eQfiArLG3TAp+yMNh/zDbYabt&#10;xGcaq9CICGGfoYI2BJdJ6euWDPqldcTR+7SDwRDl0Eg94BThppdpkmykwY7jQouOXluqv6pvo+Cj&#10;Kstfl89d8XZKffDlcbOmo1JPj6tkCyLQNdzDt3ahFaxf4P9L/AFy/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jPIJL4A&#10;AADbAAAADwAAAAAAAAABACAAAAAiAAAAZHJzL2Rvd25yZXYueG1sUEsBAhQAFAAAAAgAh07iQDMv&#10;BZ47AAAAOQAAABAAAAAAAAAAAQAgAAAADQEAAGRycy9zaGFwZXhtbC54bWxQSwUGAAAAAAYABgBb&#10;AQAAtwMAAAAA&#10;" path="m149,4859l129,4859,121,4839,141,4839,149,48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uWWrBLgAAADb&#10;AAAADwAAAGRycy9kb3ducmV2LnhtbEVPy4rCMBTdC/5DuIIbGVMFi3SMIoLgoiJW3V+aO22Z5iY0&#10;8fn1ZiG4PJz3YvUwrbhR5xvLCibjBARxaXXDlYLzafszB+EDssbWMil4kofVst9bYKbtnY90K0Il&#10;Ygj7DBXUIbhMSl/WZNCPrSOO3J/tDIYIu0rqDu8x3LRymiSpNNhwbKjR0aam8r+4GgWXIs9fbjty&#10;u/1h6oPP1+mM1koNB5PkF0SgR/iKP+6dVpDG9fFL/AFy+QZ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uWWrBLgAAADbAAAA&#10;DwAAAAAAAAABACAAAAAiAAAAZHJzL2Rvd25yZXYueG1sUEsBAhQAFAAAAAgAh07iQDMvBZ47AAAA&#10;OQAAABAAAAAAAAAAAQAgAAAABwEAAGRycy9zaGFwZXhtbC54bWxQSwUGAAAAAAYABgBbAQAAsQMA&#10;AAAA&#10;" path="m7294,4859l7274,4859,7283,4839,7303,4839,7294,48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1ikOn70AAADb&#10;AAAADwAAAGRycy9kb3ducmV2LnhtbEWPwWrDMBBE74X8g9hALyWRbagJrpUQAgEfXEqd5L5YW9vE&#10;WglLjdN+fVUo9DjMzBum3N3NKG40+cGygnSdgCBurR64U3A+HVcbED4gaxwtk4Iv8rDbLh5KLLSd&#10;+Z1uTehEhLAvUEEfgiuk9G1PBv3aOuLofdjJYIhy6qSecI5wM8osSXJpcOC40KOjQ0/ttfk0Ci5N&#10;XX+745OrXt8yH3y9z59pr9TjMk1eQAS6h//wX7vSCvIUfr/EHyC3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WKQ6fvQAA&#10;ANsAAAAPAAAAAAAAAAEAIAAAACIAAABkcnMvZG93bnJldi54bWxQSwECFAAUAAAACACHTuJAMy8F&#10;njsAAAA5AAAAEAAAAAAAAAABACAAAAAMAQAAZHJzL3NoYXBleG1sLnhtbFBLBQYAAAAABgAGAFsB&#10;AAC2AwAAAAA=&#10;" path="m167,4879l147,4879,138,4859,158,4859,167,48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JvuQ6LwAAADb&#10;AAAADwAAAGRycy9kb3ducmV2LnhtbEWPT4vCMBTE7wt+h/CEvSyaWrBI1ygiCB66iFXvj+ZtW2xe&#10;QpP136ffCILHYWZ+w8yXN9OJC/W+taxgMk5AEFdWt1wrOB42oxkIH5A1dpZJwZ08LBeDjznm2l55&#10;T5cy1CJC2OeooAnB5VL6qiGDfmwdcfR+bW8wRNnXUvd4jXDTyTRJMmmw5bjQoKN1Q9W5/DMKTmVR&#10;PNzmy21/dqkPvlhlU1op9TmcJN8gAt3CO/xqb7WCLIXnl/gD5OI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b7kOi8AAAA&#10;2wAAAA8AAAAAAAAAAQAgAAAAIgAAAGRycy9kb3ducmV2LnhtbFBLAQIUABQAAAAIAIdO4kAzLwWe&#10;OwAAADkAAAAQAAAAAAAAAAEAIAAAAAsBAABkcnMvc2hhcGV4bWwueG1sUEsFBgAAAAAGAAYAWwEA&#10;ALUDAAAAAA==&#10;" path="m7277,4879l7256,4879,7265,4859,7286,4859,7277,48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Sbc1c7wAAADb&#10;AAAADwAAAGRycy9kb3ducmV2LnhtbEWPT4vCMBTE7wt+h/AEL4umKlukGkUEwUNl2ar3R/Nsi81L&#10;aOLfT28WFvY4zMxvmMXqYVpxo843lhWMRwkI4tLqhisFx8N2OAPhA7LG1jIpeJKH1bL3scBM2zv/&#10;0K0IlYgQ9hkqqENwmZS+rMmgH1lHHL2z7QyGKLtK6g7vEW5aOUmSVBpsOC7U6GhTU3kprkbBqcjz&#10;l9t+ut3+e+KDz9fpF62VGvTHyRxEoEf4D/+1d1pBOoXfL/EHyO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m3NXO8AAAA&#10;2wAAAA8AAAAAAAAAAQAgAAAAIgAAAGRycy9kb3ducmV2LnhtbFBLAQIUABQAAAAIAIdO4kAzLwWe&#10;OwAAADkAAAAQAAAAAAAAAAEAIAAAAAsBAABkcnMvc2hhcGV4bWwueG1sUEsFBgAAAAAGAAYAWwEA&#10;ALUDAAAAAA==&#10;" path="m186,4899l166,4899,156,4879,176,4879,186,48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xl6tB7wAAADb&#10;AAAADwAAAGRycy9kb3ducmV2LnhtbEWPT4vCMBTE7wt+h/AEL4umilukGkUEwUNl2ar3R/Nsi81L&#10;aOLfT28WFvY4zMxvmMXqYVpxo843lhWMRwkI4tLqhisFx8N2OAPhA7LG1jIpeJKH1bL3scBM2zv/&#10;0K0IlYgQ9hkqqENwmZS+rMmgH1lHHL2z7QyGKLtK6g7vEW5aOUmSVBpsOC7U6GhTU3kprkbBqcjz&#10;l9t+ut3+e+KDz9fpF62VGvTHyRxEoEf4D/+1d1pBOoXfL/EHyO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ZerQe8AAAA&#10;2wAAAA8AAAAAAAAAAQAgAAAAIgAAAGRycy9kb3ducmV2LnhtbFBLAQIUABQAAAAIAIdO4kAzLwWe&#10;OwAAADkAAAAQAAAAAAAAAAEAIAAAAAsBAABkcnMvc2hhcGV4bWwueG1sUEsFBgAAAAAGAAYAWwEA&#10;ALUDAAAAAA==&#10;" path="m7258,4899l7238,4899,7247,4879,7267,4879,7258,48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qRIInL4AAADb&#10;AAAADwAAAGRycy9kb3ducmV2LnhtbEWPwWrDMBBE74H+g9hCLiGRHYgpjpUQCgYfXErd9r5YW9vU&#10;WglLdZJ+fRUI9DjMzBumOF7MKGaa/GBZQbpJQBC3Vg/cKfh4L9dPIHxA1jhaJgVX8nA8PCwKzLU9&#10;8xvNTehEhLDPUUEfgsul9G1PBv3GOuLofdnJYIhy6qSe8BzhZpTbJMmkwYHjQo+Onntqv5sfo+Cz&#10;qetfV65c9fK69cHXp2xHJ6WWj2myBxHoEv7D93alFWQ7uH2JP0Ae/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RIInL4A&#10;AADbAAAADwAAAAAAAAABACAAAAAiAAAAZHJzL2Rvd25yZXYueG1sUEsBAhQAFAAAAAgAh07iQDMv&#10;BZ47AAAAOQAAABAAAAAAAAAAAQAgAAAADQEAAGRycy9zaGFwZXhtbC54bWxQSwUGAAAAAAYABgBb&#10;AQAAtwMAAAAA&#10;" path="m206,4919l186,4919,176,4899,196,4899,206,49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WcCW670AAADb&#10;AAAADwAAAGRycy9kb3ducmV2LnhtbEWPwWrDMBBE74X+g9hCL6WRbYgpTpRgCgEfHEKd9r5YG9vU&#10;WglLjdN+fRQI9DjMzBtmvb2YUZxp8oNlBekiAUHcWj1wp+DzuHt9A+EDssbRMin4JQ/bzePDGgtt&#10;Z/6gcxM6ESHsC1TQh+AKKX3bk0G/sI44eic7GQxRTp3UE84RbkaZJUkuDQ4cF3p09N5T+938GAVf&#10;TV3/ud2Lq/aHzAdfl/mSSqWen9JkBSLQJfyH7+1KK8hzuH2JP0Bur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ZwJbrvQAA&#10;ANsAAAAPAAAAAAAAAAEAIAAAACIAAABkcnMvZG93bnJldi54bWxQSwECFAAUAAAACACHTuJAMy8F&#10;njsAAAA5AAAAEAAAAAAAAAABACAAAAAMAQAAZHJzL3NoYXBleG1sLnhtbFBLBQYAAAAABgAGAFsB&#10;AAC2AwAAAAA=&#10;" path="m7238,4919l7218,4919,7228,4899,7248,4899,7238,49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NowzcL4AAADb&#10;AAAADwAAAGRycy9kb3ducmV2LnhtbEWPzWrDMBCE74W8g9hCLyWWbagT3CghBAw5uJQ6yX2xtrap&#10;tRKWmr+nrwqFHoeZ+YZZba5mFGea/GBZQZakIIhbqwfuFBwP1XwJwgdkjaNlUnAjD5v17GGFpbYX&#10;/qBzEzoRIexLVNCH4EopfduTQZ9YRxy9TzsZDFFOndQTXiLcjDJP00IaHDgu9Oho11P71XwbBaem&#10;ru+uenb7t/fcB19vixfaKvX0mKWvIAJdw3/4r73XCooF/H6JP0Cu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owzcL4A&#10;AADbAAAADwAAAAAAAAABACAAAAAiAAAAZHJzL2Rvd25yZXYueG1sUEsBAhQAFAAAAAgAh07iQDMv&#10;BZ47AAAAOQAAABAAAAAAAAAAAQAgAAAADQEAAGRycy9zaGFwZXhtbC54bWxQSwUGAAAAAAYABgBb&#10;AQAAtwMAAAAA&#10;" path="m237,4939l206,4939,196,4919,226,4919,237,49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RxOnArgAAADb&#10;AAAADwAAAGRycy9kb3ducmV2LnhtbEVPy4rCMBTdC/5DuIIbGVMFi3SMIoLgoiJW3V+aO22Z5iY0&#10;8fn1ZiG4PJz3YvUwrbhR5xvLCibjBARxaXXDlYLzafszB+EDssbWMil4kofVst9bYKbtnY90K0Il&#10;Ygj7DBXUIbhMSl/WZNCPrSOO3J/tDIYIu0rqDu8x3LRymiSpNNhwbKjR0aam8r+4GgWXIs9fbjty&#10;u/1h6oPP1+mM1koNB5PkF0SgR/iKP+6dVpDGsfFL/AFy+QZ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RxOnArgAAADbAAAA&#10;DwAAAAAAAAABACAAAAAiAAAAZHJzL2Rvd25yZXYueG1sUEsBAhQAFAAAAAgAh07iQDMvBZ47AAAA&#10;OQAAABAAAAAAAAAAAQAgAAAABwEAAGRycy9zaGFwZXhtbC54bWxQSwUGAAAAAAYABgBbAQAAsQMA&#10;AAAA&#10;" path="m7217,4939l7187,4939,7198,4919,7228,4919,7217,49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KF8Cmb4AAADb&#10;AAAADwAAAGRycy9kb3ducmV2LnhtbEWPzWrDMBCE74W8g9hCLyWWbahJ3CghBAw5uJQ6yX2xtrap&#10;tRKWmr+nrwqFHoeZ+YZZba5mFGea/GBZQZakIIhbqwfuFBwP1XwBwgdkjaNlUnAjD5v17GGFpbYX&#10;/qBzEzoRIexLVNCH4EopfduTQZ9YRxy9TzsZDFFOndQTXiLcjDJP00IaHDgu9Oho11P71XwbBaem&#10;ru+uenb7t/fcB19vixfaKvX0mKWvIAJdw3/4r73XCool/H6JP0Cu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F8Cmb4A&#10;AADbAAAADwAAAAAAAAABACAAAAAiAAAAZHJzL2Rvd25yZXYueG1sUEsBAhQAFAAAAAgAh07iQDMv&#10;BZ47AAAAOQAAABAAAAAAAAAAAQAgAAAADQEAAGRycy9zaGFwZXhtbC54bWxQSwUGAAAAAAYABgBb&#10;AQAAtwMAAAAA&#10;" path="m258,4959l239,4959,228,4939,247,4939,258,49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PLw92bsAAADb&#10;AAAADwAAAGRycy9kb3ducmV2LnhtbEVPz2vCMBS+C/4P4Qm7yJoqzI2uqcig0EPHsG73R/PWljUv&#10;ocm08683h4HHj+93vp/NKM40+cGygk2SgiBurR64U/B5Kh9fQPiArHG0TAr+yMO+WC5yzLS98JHO&#10;TehEDGGfoYI+BJdJ6dueDPrEOuLIfdvJYIhw6qSe8BLDzSi3abqTBgeODT06euup/Wl+jYKvpq6v&#10;rly76v1j64OvD7snOij1sNqkryACzeEu/ndXWsFzXB+/xB8gix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Lw92bsAAADb&#10;AAAADwAAAAAAAAABACAAAAAiAAAAZHJzL2Rvd25yZXYueG1sUEsBAhQAFAAAAAgAh07iQDMvBZ47&#10;AAAAOQAAABAAAAAAAAAAAQAgAAAACgEAAGRycy9zaGFwZXhtbC54bWxQSwUGAAAAAAYABgBbAQAA&#10;tAMAAAAA&#10;" path="m7185,4959l7165,4959,7176,4939,7196,4939,7185,49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U/CYQr4AAADb&#10;AAAADwAAAGRycy9kb3ducmV2LnhtbEWPQWvCQBSE70L/w/IKvYjZRGiU1FWkEPAQKcb2/si+JqHZ&#10;t0t2q2l/vVsoeBxm5htms5vMIC40+t6ygixJQRA3VvfcKng/l4s1CB+QNQ6WScEPedhtH2YbLLS9&#10;8okudWhFhLAvUEEXgiuk9E1HBn1iHXH0Pu1oMEQ5tlKPeI1wM8hlmubSYM9xoUNHrx01X/W3UfBR&#10;V9WvK+fucHxb+uCrff5Me6WeHrP0BUSgKdzD/+2DVrDK4O9L/AFye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CYQr4A&#10;AADbAAAADwAAAAAAAAABACAAAAAiAAAAZHJzL2Rvd25yZXYueG1sUEsBAhQAFAAAAAgAh07iQDMv&#10;BZ47AAAAOQAAABAAAAAAAAAAAQAgAAAADQEAAGRycy9zaGFwZXhtbC54bWxQSwUGAAAAAAYABgBb&#10;AQAAtwMAAAAA&#10;" path="m292,4979l261,4979,250,4959,281,4959,292,49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oyIGNb4AAADb&#10;AAAADwAAAGRycy9kb3ducmV2LnhtbEWPQWvCQBSE7wX/w/IKvRTdGDCV1FVECHhIKU31/si+JqHZ&#10;t0t2G6O/visUehxm5htms5tML0YafGdZwXKRgCCure64UXD6LOZrED4ga+wtk4IredhtZw8bzLW9&#10;8AeNVWhEhLDPUUEbgsul9HVLBv3COuLofdnBYIhyaKQe8BLhppdpkmTSYMdxoUVHh5bq7+rHKDhX&#10;ZXlzxbM7vr2nPvhyn61or9TT4zJ5BRFoCv/hv/ZRK3hJ4f4l/gC5/Q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yIGNb4A&#10;AADbAAAADwAAAAAAAAABACAAAAAiAAAAZHJzL2Rvd25yZXYueG1sUEsBAhQAFAAAAAgAh07iQDMv&#10;BZ47AAAAOQAAABAAAAAAAAAAAQAgAAAADQEAAGRycy9zaGFwZXhtbC54bWxQSwUGAAAAAAYABgBb&#10;AQAAtwMAAAAA&#10;" path="m7162,4979l7131,4979,7143,4959,7174,4959,7162,49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zG6jrrwAAADb&#10;AAAADwAAAGRycy9kb3ducmV2LnhtbEWPT4vCMBTE78J+h/AWvIimKrrSNYoIgocuYl3vj+bZlm1e&#10;QhP/fvqNIHgcZuY3zHx5M424UOtrywqGgwQEcWF1zaWC38OmPwPhA7LGxjIpuJOH5eKjM8dU2yvv&#10;6ZKHUkQI+xQVVCG4VEpfVGTQD6wjjt7JtgZDlG0pdYvXCDeNHCXJVBqsOS5U6GhdUfGXn42CY55l&#10;D7fpue3PbuSDz1bTCa2U6n4Ok28QgW7hHX61t1rB1xieX+IP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xuo668AAAA&#10;2wAAAA8AAAAAAAAAAQAgAAAAIgAAAGRycy9kb3ducmV2LnhtbFBLAQIUABQAAAAIAIdO4kAzLwWe&#10;OwAAADkAAAAQAAAAAAAAAAEAIAAAAAsBAABkcnMvc2hhcGV4bWwueG1sUEsFBgAAAAAGAAYAWwEA&#10;ALUDAAAAAA==&#10;" path="m328,4999l297,4999,285,4979,316,4979,328,49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Q4c72rwAAADb&#10;AAAADwAAAGRycy9kb3ducmV2LnhtbEWPT4vCMBTE78J+h/AWvIimirrSNYoIgocuYl3vj+bZlm1e&#10;QhP/fvqNIHgcZuY3zHx5M424UOtrywqGgwQEcWF1zaWC38OmPwPhA7LGxjIpuJOH5eKjM8dU2yvv&#10;6ZKHUkQI+xQVVCG4VEpfVGTQD6wjjt7JtgZDlG0pdYvXCDeNHCXJVBqsOS5U6GhdUfGXn42CY55l&#10;D7fpue3PbuSDz1bTCa2U6n4Ok28QgW7hHX61t1rB1xieX+IP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OHO9q8AAAA&#10;2wAAAA8AAAAAAAAAAQAgAAAAIgAAAGRycy9kb3ducmV2LnhtbFBLAQIUABQAAAAIAIdO4kAzLwWe&#10;OwAAADkAAAAQAAAAAAAAAAEAIAAAAAsBAABkcnMvc2hhcGV4bWwueG1sUEsFBgAAAAAGAAYAWwEA&#10;ALUDAAAAAA==&#10;" path="m7127,4999l7096,4999,7108,4979,7139,4979,7127,49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LMueQb4AAADb&#10;AAAADwAAAGRycy9kb3ducmV2LnhtbEWPQWvCQBSE70L/w/IKvYhuDGhLdBUpBHJIEWN7f2Rfk9Ds&#10;2yW7TWx/fbcgeBxm5htmd7iaXow0+M6ygtUyAUFcW91xo+D9ki9eQPiArLG3TAp+yMNh/zDbYabt&#10;xGcaq9CICGGfoYI2BJdJ6euWDPqldcTR+7SDwRDl0Eg94BThppdpkmykwY7jQouOXluqv6pvo+Cj&#10;Kstfl89d8XZKffDlcbOmo1JPj6tkCyLQNdzDt3ahFTyv4f9L/AFy/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MueQb4A&#10;AADbAAAADwAAAAAAAAABACAAAAAiAAAAZHJzL2Rvd25yZXYueG1sUEsBAhQAFAAAAAgAh07iQDMv&#10;BZ47AAAAOQAAABAAAAAAAAAAAQAgAAAADQEAAGRycy9zaGFwZXhtbC54bWxQSwUGAAAAAAYABgBb&#10;AQAAtwMAAAAA&#10;" path="m378,5019l334,5019,321,4999,365,4999,378,50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3BkANr4AAADb&#10;AAAADwAAAGRycy9kb3ducmV2LnhtbEWPzWrDMBCE74W8g9hCLyWWbagT3CghBAw5uJQ6yX2xtrap&#10;tRKWmr+nrwqFHoeZ+YZZba5mFGea/GBZQZakIIhbqwfuFBwP1XwJwgdkjaNlUnAjD5v17GGFpbYX&#10;/qBzEzoRIexLVNCH4EopfduTQZ9YRxy9TzsZDFFOndQTXiLcjDJP00IaHDgu9Oho11P71XwbBaem&#10;ru+uenb7t/fcB19vixfaKvX0mKWvIAJdw3/4r73XChYF/H6JP0Cu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BkANr4A&#10;AADbAAAADwAAAAAAAAABACAAAAAiAAAAZHJzL2Rvd25yZXYueG1sUEsBAhQAFAAAAAgAh07iQDMv&#10;BZ47AAAAOQAAABAAAAAAAAAAAQAgAAAADQEAAGRycy9zaGFwZXhtbC54bWxQSwUGAAAAAAYABgBb&#10;AQAAtwMAAAAA&#10;" path="m7090,5019l7046,5019,7059,4999,7102,4999,7090,50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s1WlrbwAAADb&#10;AAAADwAAAGRycy9kb3ducmV2LnhtbEWPT4vCMBTE78J+h/AWvIimClrpGkUWBA8Vse7eH83btmzz&#10;Epr499MbQfA4zMxvmMXqalpxps43lhWMRwkI4tLqhisFP8fNcA7CB2SNrWVScCMPq+VHb4GZthc+&#10;0LkIlYgQ9hkqqENwmZS+rMmgH1lHHL0/2xkMUXaV1B1eIty0cpIkM2mw4bhQo6Pvmsr/4mQU/BZ5&#10;fnebgdvu9hMffL6eTWmtVP9znHyBCHQN7/CrvdUK0hSeX+IPkM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NVpa28AAAA&#10;2wAAAA8AAAAAAAAAAQAgAAAAIgAAAGRycy9kb3ducmV2LnhtbFBLAQIUABQAAAAIAIdO4kAzLwWe&#10;OwAAADkAAAAQAAAAAAAAAAEAIAAAAAsBAABkcnMvc2hhcGV4bWwueG1sUEsFBgAAAAAGAAYAWwEA&#10;ALUDAAAAAA==&#10;" path="m443,5039l385,5039,372,5019,429,5019,443,50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wsox37sAAADb&#10;AAAADwAAAGRycy9kb3ducmV2LnhtbEVPz2vCMBS+C/4P4Qm7yJoqzI2uqcig0EPHsG73R/PWljUv&#10;ocm08683h4HHj+93vp/NKM40+cGygk2SgiBurR64U/B5Kh9fQPiArHG0TAr+yMO+WC5yzLS98JHO&#10;TehEDGGfoYI+BJdJ6dueDPrEOuLIfdvJYIhw6qSe8BLDzSi3abqTBgeODT06euup/Wl+jYKvpq6v&#10;rly76v1j64OvD7snOij1sNqkryACzeEu/ndXWsFzHBu/xB8gix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sox37sAAADb&#10;AAAADwAAAAAAAAABACAAAAAiAAAAZHJzL2Rvd25yZXYueG1sUEsBAhQAFAAAAAgAh07iQDMvBZ47&#10;AAAAOQAAABAAAAAAAAAAAQAgAAAACgEAAGRycy9zaGFwZXhtbC54bWxQSwUGAAAAAAYABgBbAQAA&#10;tAMAAAAA&#10;" path="m7038,5039l6981,5039,6994,5019,7051,5019,7038,50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rYaURLwAAADb&#10;AAAADwAAAGRycy9kb3ducmV2LnhtbEWPT4vCMBTE78J+h/AWvIimCuraNYoIgocuYl3vj+bZlm1e&#10;QhP/fvqNIHgcZuY3zHx5M424UOtrywqGgwQEcWF1zaWC38Om/wXCB2SNjWVScCcPy8VHZ46ptlfe&#10;0yUPpYgQ9ikqqEJwqZS+qMigH1hHHL2TbQ2GKNtS6havEW4aOUqSiTRYc1yo0NG6ouIvPxsFxzzL&#10;Hm7Tc9uf3cgHn60mY1op1f0cJt8gAt3CO/xqb7WC6QyeX+IP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2GlES8AAAA&#10;2wAAAA8AAAAAAAAAAQAgAAAAIgAAAGRycy9kb3ducmV2LnhtbFBLAQIUABQAAAAIAIdO4kAzLwWe&#10;OwAAADkAAAAQAAAAAAAAAAEAIAAAAAsBAABkcnMvc2hhcGV4bWwueG1sUEsFBgAAAAAGAAYAWwEA&#10;ALUDAAAAAA==&#10;" path="m6956,5059l467,5059,453,5039,6970,5039,6956,5059xe">
                    <v:fill on="t" focussize="0,0"/>
                    <v:stroke on="f"/>
                    <v:imagedata o:title=""/>
                    <o:lock v:ext="edit" aspectratio="f"/>
                  </v:shape>
                </v:group>
                <w10:wrap type="none"/>
                <w10:anchorlock/>
              </v:group>
            </w:pict>
          </mc:Fallback>
        </mc:AlternateContent>
      </w:r>
    </w:p>
    <w:p>
      <w:pPr>
        <w:pStyle w:val="8"/>
        <w:kinsoku w:val="0"/>
        <w:overflowPunct w:val="0"/>
        <w:spacing w:before="174"/>
        <w:rPr>
          <w:rFonts w:hint="eastAsia" w:ascii="宋体" w:hAnsi="宋体" w:eastAsia="宋体" w:cs="宋体"/>
          <w:b/>
          <w:bCs/>
          <w:spacing w:val="1"/>
          <w:sz w:val="21"/>
          <w:szCs w:val="21"/>
          <w:highlight w:val="none"/>
        </w:rPr>
      </w:pPr>
    </w:p>
    <w:p>
      <w:pPr>
        <w:pStyle w:val="8"/>
        <w:kinsoku w:val="0"/>
        <w:overflowPunct w:val="0"/>
        <w:spacing w:before="174"/>
        <w:rPr>
          <w:rFonts w:hint="eastAsia" w:ascii="宋体" w:hAnsi="宋体" w:eastAsia="宋体" w:cs="宋体"/>
          <w:sz w:val="21"/>
          <w:szCs w:val="21"/>
          <w:highlight w:val="none"/>
        </w:rPr>
      </w:pPr>
      <w:r>
        <w:rPr>
          <w:rFonts w:hint="eastAsia" w:ascii="宋体" w:hAnsi="宋体" w:eastAsia="宋体" w:cs="宋体"/>
          <w:b/>
          <w:bCs/>
          <w:spacing w:val="1"/>
          <w:sz w:val="21"/>
          <w:szCs w:val="21"/>
          <w:highlight w:val="none"/>
        </w:rPr>
        <w:t>★备注：投标保证金缴费</w:t>
      </w:r>
      <w:r>
        <w:rPr>
          <w:rFonts w:hint="eastAsia" w:ascii="宋体" w:hAnsi="宋体" w:eastAsia="宋体" w:cs="宋体"/>
          <w:b/>
          <w:bCs/>
          <w:spacing w:val="1"/>
          <w:sz w:val="21"/>
          <w:szCs w:val="21"/>
          <w:highlight w:val="none"/>
          <w:lang w:eastAsia="zh-CN"/>
        </w:rPr>
        <w:t>证明</w:t>
      </w:r>
      <w:r>
        <w:rPr>
          <w:rFonts w:hint="eastAsia" w:ascii="宋体" w:hAnsi="宋体" w:eastAsia="宋体" w:cs="宋体"/>
          <w:b/>
          <w:bCs/>
          <w:spacing w:val="1"/>
          <w:sz w:val="21"/>
          <w:szCs w:val="21"/>
          <w:highlight w:val="none"/>
        </w:rPr>
        <w:t>复印件加盖公章</w:t>
      </w:r>
    </w:p>
    <w:p>
      <w:pPr>
        <w:pStyle w:val="8"/>
        <w:kinsoku w:val="0"/>
        <w:overflowPunct w:val="0"/>
        <w:spacing w:before="34" w:line="357" w:lineRule="auto"/>
        <w:ind w:right="126" w:firstLine="480"/>
        <w:jc w:val="center"/>
        <w:outlineLvl w:val="1"/>
        <w:rPr>
          <w:rFonts w:hint="eastAsia" w:ascii="宋体" w:hAnsi="宋体" w:eastAsia="宋体" w:cs="宋体"/>
          <w:b/>
          <w:bCs/>
          <w:highlight w:val="none"/>
        </w:rPr>
      </w:pPr>
      <w:r>
        <w:rPr>
          <w:rFonts w:hint="eastAsia" w:ascii="宋体" w:hAnsi="宋体" w:eastAsia="宋体" w:cs="宋体"/>
          <w:highlight w:val="none"/>
        </w:rPr>
        <w:br w:type="page"/>
      </w:r>
      <w:r>
        <w:rPr>
          <w:rFonts w:hint="eastAsia" w:ascii="宋体" w:hAnsi="宋体" w:eastAsia="宋体" w:cs="宋体"/>
          <w:b/>
          <w:bCs/>
          <w:sz w:val="36"/>
          <w:szCs w:val="36"/>
          <w:highlight w:val="none"/>
        </w:rPr>
        <w:t>五、</w:t>
      </w:r>
      <w:r>
        <w:rPr>
          <w:rFonts w:hint="eastAsia" w:ascii="宋体" w:hAnsi="宋体" w:eastAsia="宋体" w:cs="宋体"/>
          <w:b/>
          <w:bCs/>
          <w:sz w:val="36"/>
          <w:szCs w:val="36"/>
          <w:highlight w:val="none"/>
          <w:lang w:eastAsia="zh-CN"/>
        </w:rPr>
        <w:t>报价一览表</w:t>
      </w:r>
    </w:p>
    <w:p>
      <w:pPr>
        <w:pStyle w:val="8"/>
        <w:kinsoku w:val="0"/>
        <w:overflowPunct w:val="0"/>
        <w:spacing w:before="6"/>
        <w:ind w:left="0"/>
        <w:rPr>
          <w:rFonts w:hint="eastAsia" w:ascii="宋体" w:hAnsi="宋体" w:eastAsia="宋体" w:cs="宋体"/>
          <w:b/>
          <w:bCs/>
          <w:sz w:val="26"/>
          <w:szCs w:val="26"/>
          <w:highlight w:val="none"/>
        </w:rPr>
      </w:pPr>
    </w:p>
    <w:p>
      <w:pPr>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采购项目名称：</w:t>
      </w:r>
      <w:r>
        <w:rPr>
          <w:rFonts w:hint="eastAsia" w:ascii="宋体" w:hAnsi="宋体" w:eastAsia="宋体" w:cs="宋体"/>
          <w:kern w:val="0"/>
          <w:sz w:val="24"/>
          <w:szCs w:val="24"/>
          <w:highlight w:val="none"/>
          <w:u w:val="single"/>
        </w:rPr>
        <w:t>　                              　　</w:t>
      </w:r>
    </w:p>
    <w:p>
      <w:pPr>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采购项目编号：</w:t>
      </w:r>
      <w:r>
        <w:rPr>
          <w:rFonts w:hint="eastAsia" w:ascii="宋体" w:hAnsi="宋体" w:eastAsia="宋体" w:cs="宋体"/>
          <w:kern w:val="0"/>
          <w:sz w:val="24"/>
          <w:szCs w:val="24"/>
          <w:highlight w:val="none"/>
          <w:u w:val="single"/>
        </w:rPr>
        <w:t>　                              　　</w:t>
      </w:r>
    </w:p>
    <w:p>
      <w:pPr>
        <w:pStyle w:val="8"/>
        <w:rPr>
          <w:rFonts w:hint="eastAsia"/>
          <w:highlight w:val="none"/>
        </w:rPr>
      </w:pPr>
    </w:p>
    <w:tbl>
      <w:tblPr>
        <w:tblStyle w:val="17"/>
        <w:tblW w:w="9420" w:type="dxa"/>
        <w:jc w:val="center"/>
        <w:tblLayout w:type="fixed"/>
        <w:tblCellMar>
          <w:top w:w="0" w:type="dxa"/>
          <w:left w:w="108" w:type="dxa"/>
          <w:bottom w:w="0" w:type="dxa"/>
          <w:right w:w="108" w:type="dxa"/>
        </w:tblCellMar>
      </w:tblPr>
      <w:tblGrid>
        <w:gridCol w:w="1728"/>
        <w:gridCol w:w="7692"/>
      </w:tblGrid>
      <w:tr>
        <w:tblPrEx>
          <w:tblCellMar>
            <w:top w:w="0" w:type="dxa"/>
            <w:left w:w="108" w:type="dxa"/>
            <w:bottom w:w="0" w:type="dxa"/>
            <w:right w:w="108" w:type="dxa"/>
          </w:tblCellMar>
        </w:tblPrEx>
        <w:trPr>
          <w:cantSplit/>
          <w:trHeight w:val="567" w:hRule="atLeast"/>
          <w:jc w:val="center"/>
        </w:trPr>
        <w:tc>
          <w:tcPr>
            <w:tcW w:w="1728" w:type="dxa"/>
            <w:tcBorders>
              <w:top w:val="single" w:color="000000" w:sz="4" w:space="0"/>
              <w:left w:val="single" w:color="000000" w:sz="4" w:space="0"/>
              <w:bottom w:val="single" w:color="000000" w:sz="4" w:space="0"/>
            </w:tcBorders>
            <w:noWrap w:val="0"/>
            <w:vAlign w:val="center"/>
          </w:tcPr>
          <w:p>
            <w:pPr>
              <w:jc w:val="left"/>
              <w:rPr>
                <w:rFonts w:hint="default" w:ascii="宋体" w:hAnsi="宋体" w:eastAsia="宋体" w:cs="宋体"/>
                <w:b/>
                <w:bCs/>
                <w:kern w:val="0"/>
                <w:sz w:val="24"/>
                <w:szCs w:val="24"/>
                <w:highlight w:val="none"/>
                <w:lang w:val="en-US" w:eastAsia="zh-CN"/>
              </w:rPr>
            </w:pPr>
            <w:r>
              <w:rPr>
                <w:rFonts w:hint="eastAsia" w:ascii="宋体" w:hAnsi="宋体" w:cs="宋体"/>
                <w:b/>
                <w:bCs/>
                <w:kern w:val="0"/>
                <w:sz w:val="24"/>
                <w:szCs w:val="24"/>
                <w:highlight w:val="none"/>
                <w:lang w:val="en-US" w:eastAsia="zh-CN"/>
              </w:rPr>
              <w:t>供应商名称</w:t>
            </w:r>
          </w:p>
        </w:tc>
        <w:tc>
          <w:tcPr>
            <w:tcW w:w="769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kern w:val="0"/>
                <w:sz w:val="24"/>
                <w:szCs w:val="24"/>
                <w:highlight w:val="none"/>
              </w:rPr>
            </w:pPr>
          </w:p>
        </w:tc>
      </w:tr>
      <w:tr>
        <w:tblPrEx>
          <w:tblCellMar>
            <w:top w:w="0" w:type="dxa"/>
            <w:left w:w="108" w:type="dxa"/>
            <w:bottom w:w="0" w:type="dxa"/>
            <w:right w:w="108" w:type="dxa"/>
          </w:tblCellMar>
        </w:tblPrEx>
        <w:trPr>
          <w:cantSplit/>
          <w:trHeight w:val="567" w:hRule="atLeast"/>
          <w:jc w:val="center"/>
        </w:trPr>
        <w:tc>
          <w:tcPr>
            <w:tcW w:w="1728" w:type="dxa"/>
            <w:tcBorders>
              <w:top w:val="single" w:color="000000" w:sz="4" w:space="0"/>
              <w:left w:val="single" w:color="000000" w:sz="4" w:space="0"/>
              <w:bottom w:val="single" w:color="000000" w:sz="4" w:space="0"/>
            </w:tcBorders>
            <w:noWrap w:val="0"/>
            <w:vAlign w:val="center"/>
          </w:tcPr>
          <w:p>
            <w:pPr>
              <w:jc w:val="left"/>
              <w:rPr>
                <w:rFonts w:hint="default" w:ascii="宋体" w:hAnsi="宋体" w:eastAsia="宋体" w:cs="宋体"/>
                <w:b/>
                <w:bCs/>
                <w:kern w:val="0"/>
                <w:sz w:val="24"/>
                <w:szCs w:val="24"/>
                <w:highlight w:val="none"/>
                <w:lang w:val="en-US" w:eastAsia="zh-CN"/>
              </w:rPr>
            </w:pPr>
            <w:r>
              <w:rPr>
                <w:rFonts w:hint="eastAsia"/>
                <w:b/>
                <w:bCs/>
                <w:sz w:val="24"/>
                <w:highlight w:val="none"/>
                <w:lang w:val="en-US" w:eastAsia="zh-CN"/>
              </w:rPr>
              <w:t>项目服务期</w:t>
            </w:r>
          </w:p>
        </w:tc>
        <w:tc>
          <w:tcPr>
            <w:tcW w:w="769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kern w:val="0"/>
                <w:sz w:val="24"/>
                <w:szCs w:val="24"/>
                <w:highlight w:val="none"/>
              </w:rPr>
            </w:pPr>
          </w:p>
        </w:tc>
      </w:tr>
      <w:tr>
        <w:tblPrEx>
          <w:tblCellMar>
            <w:top w:w="0" w:type="dxa"/>
            <w:left w:w="108" w:type="dxa"/>
            <w:bottom w:w="0" w:type="dxa"/>
            <w:right w:w="108" w:type="dxa"/>
          </w:tblCellMar>
        </w:tblPrEx>
        <w:trPr>
          <w:cantSplit/>
          <w:trHeight w:val="567" w:hRule="atLeast"/>
          <w:jc w:val="center"/>
        </w:trPr>
        <w:tc>
          <w:tcPr>
            <w:tcW w:w="1728" w:type="dxa"/>
            <w:tcBorders>
              <w:top w:val="single" w:color="000000" w:sz="4" w:space="0"/>
              <w:left w:val="single" w:color="000000" w:sz="4" w:space="0"/>
              <w:bottom w:val="single" w:color="000000" w:sz="2" w:space="0"/>
            </w:tcBorders>
            <w:noWrap w:val="0"/>
            <w:vAlign w:val="center"/>
          </w:tcPr>
          <w:p>
            <w:pPr>
              <w:jc w:val="left"/>
              <w:rPr>
                <w:rFonts w:hint="eastAsia" w:ascii="宋体" w:hAnsi="宋体" w:eastAsia="宋体" w:cs="宋体"/>
                <w:kern w:val="0"/>
                <w:sz w:val="24"/>
                <w:szCs w:val="24"/>
                <w:highlight w:val="none"/>
                <w:lang w:val="en-US" w:eastAsia="zh-CN" w:bidi="ar-SA"/>
              </w:rPr>
            </w:pPr>
            <w:r>
              <w:rPr>
                <w:rFonts w:hint="eastAsia" w:ascii="宋体" w:hAnsi="宋体" w:eastAsia="宋体" w:cs="宋体"/>
                <w:b/>
                <w:bCs/>
                <w:kern w:val="0"/>
                <w:sz w:val="24"/>
                <w:szCs w:val="24"/>
                <w:highlight w:val="none"/>
              </w:rPr>
              <w:t>总报价</w:t>
            </w:r>
          </w:p>
        </w:tc>
        <w:tc>
          <w:tcPr>
            <w:tcW w:w="7692" w:type="dxa"/>
            <w:tcBorders>
              <w:top w:val="single" w:color="000000" w:sz="4" w:space="0"/>
              <w:left w:val="single" w:color="000000" w:sz="4" w:space="0"/>
              <w:bottom w:val="single" w:color="000000" w:sz="2" w:space="0"/>
              <w:right w:val="single" w:color="000000" w:sz="4" w:space="0"/>
            </w:tcBorders>
            <w:noWrap w:val="0"/>
            <w:vAlign w:val="center"/>
          </w:tcPr>
          <w:p>
            <w:pP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rPr>
              <w:t>（大写）人民币                      元整（￥           ）</w:t>
            </w:r>
          </w:p>
        </w:tc>
      </w:tr>
    </w:tbl>
    <w:p>
      <w:pPr>
        <w:spacing w:line="480" w:lineRule="exact"/>
        <w:ind w:firstLine="42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注：1.此表总报价是所有需采购人支付的金额总数，包括《磋商内容》要求的全部内容。</w:t>
      </w:r>
    </w:p>
    <w:p>
      <w:pPr>
        <w:spacing w:line="480" w:lineRule="exact"/>
        <w:ind w:firstLine="420"/>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2.</w:t>
      </w:r>
      <w:r>
        <w:rPr>
          <w:rFonts w:hint="eastAsia" w:ascii="宋体" w:hAnsi="宋体" w:eastAsia="宋体" w:cs="宋体"/>
          <w:color w:val="auto"/>
          <w:kern w:val="0"/>
          <w:sz w:val="24"/>
          <w:szCs w:val="24"/>
          <w:highlight w:val="none"/>
        </w:rPr>
        <w:t>此表应按“供应商须知”的规定密封标记并单独提交，同时在装订成册的响应文件中仍应提供本表。</w:t>
      </w:r>
    </w:p>
    <w:p>
      <w:pPr>
        <w:pStyle w:val="8"/>
        <w:tabs>
          <w:tab w:val="left" w:pos="8227"/>
        </w:tabs>
        <w:kinsoku w:val="0"/>
        <w:overflowPunct w:val="0"/>
        <w:spacing w:before="0" w:line="381" w:lineRule="auto"/>
        <w:ind w:left="4027" w:right="118"/>
        <w:rPr>
          <w:rFonts w:hint="eastAsia" w:ascii="宋体" w:hAnsi="宋体" w:eastAsia="宋体" w:cs="宋体"/>
          <w:highlight w:val="none"/>
        </w:rPr>
      </w:pPr>
    </w:p>
    <w:p>
      <w:pPr>
        <w:spacing w:line="420" w:lineRule="exact"/>
        <w:ind w:right="110" w:rightChars="0"/>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供应商：</w:t>
      </w:r>
      <w:r>
        <w:rPr>
          <w:rFonts w:hint="eastAsia" w:ascii="宋体" w:hAnsi="宋体" w:eastAsia="宋体" w:cs="宋体"/>
          <w:kern w:val="0"/>
          <w:sz w:val="24"/>
          <w:szCs w:val="24"/>
          <w:highlight w:val="none"/>
          <w:u w:val="single"/>
        </w:rPr>
        <w:tab/>
      </w:r>
      <w:r>
        <w:rPr>
          <w:rFonts w:hint="eastAsia" w:ascii="宋体" w:hAnsi="宋体" w:eastAsia="宋体" w:cs="宋体"/>
          <w:kern w:val="0"/>
          <w:sz w:val="24"/>
          <w:szCs w:val="24"/>
          <w:highlight w:val="none"/>
          <w:u w:val="single"/>
        </w:rPr>
        <w:t xml:space="preserve">        </w:t>
      </w:r>
      <w:r>
        <w:rPr>
          <w:rFonts w:hint="eastAsia" w:ascii="宋体" w:hAnsi="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rPr>
        <w:t xml:space="preserve">（公章） </w:t>
      </w:r>
    </w:p>
    <w:p>
      <w:pPr>
        <w:wordWrap w:val="0"/>
        <w:spacing w:line="420" w:lineRule="exact"/>
        <w:ind w:firstLine="480" w:firstLineChars="200"/>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法定代表人或委托人：</w:t>
      </w:r>
      <w:r>
        <w:rPr>
          <w:rFonts w:hint="eastAsia" w:ascii="宋体" w:hAnsi="宋体" w:eastAsia="宋体" w:cs="宋体"/>
          <w:kern w:val="0"/>
          <w:sz w:val="24"/>
          <w:szCs w:val="24"/>
          <w:highlight w:val="none"/>
        </w:rPr>
        <w:tab/>
      </w:r>
      <w:r>
        <w:rPr>
          <w:rFonts w:hint="eastAsia" w:ascii="宋体" w:hAnsi="宋体" w:eastAsia="宋体" w:cs="宋体"/>
          <w:kern w:val="0"/>
          <w:sz w:val="24"/>
          <w:szCs w:val="24"/>
          <w:highlight w:val="none"/>
          <w:u w:val="single"/>
        </w:rPr>
        <w:t xml:space="preserve">        </w:t>
      </w:r>
      <w:r>
        <w:rPr>
          <w:rFonts w:hint="eastAsia" w:ascii="宋体" w:hAnsi="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rPr>
        <w:t xml:space="preserve">（签字） </w:t>
      </w:r>
    </w:p>
    <w:p>
      <w:pPr>
        <w:spacing w:line="420" w:lineRule="exact"/>
        <w:ind w:right="110" w:rightChars="0" w:firstLine="5280" w:firstLineChars="2200"/>
        <w:jc w:val="left"/>
        <w:rPr>
          <w:rFonts w:hint="eastAsia" w:ascii="宋体" w:hAnsi="宋体" w:eastAsia="宋体" w:cs="宋体"/>
          <w:kern w:val="0"/>
          <w:sz w:val="24"/>
          <w:szCs w:val="24"/>
          <w:highlight w:val="none"/>
        </w:rPr>
      </w:pPr>
      <w:r>
        <w:rPr>
          <w:rFonts w:hint="eastAsia" w:ascii="宋体" w:hAnsi="宋体" w:cs="宋体"/>
          <w:kern w:val="0"/>
          <w:sz w:val="24"/>
          <w:szCs w:val="24"/>
          <w:highlight w:val="none"/>
          <w:u w:val="none"/>
          <w:lang w:eastAsia="zh-CN"/>
        </w:rPr>
        <w:t>日期：</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rPr>
        <w:tab/>
      </w:r>
      <w:r>
        <w:rPr>
          <w:rFonts w:hint="eastAsia" w:ascii="宋体" w:hAnsi="宋体" w:eastAsia="宋体" w:cs="宋体"/>
          <w:kern w:val="0"/>
          <w:sz w:val="24"/>
          <w:szCs w:val="24"/>
          <w:highlight w:val="none"/>
        </w:rPr>
        <w:t>年</w:t>
      </w:r>
      <w:r>
        <w:rPr>
          <w:rFonts w:hint="eastAsia" w:ascii="宋体" w:hAnsi="宋体" w:eastAsia="宋体" w:cs="宋体"/>
          <w:kern w:val="0"/>
          <w:sz w:val="24"/>
          <w:szCs w:val="24"/>
          <w:highlight w:val="none"/>
          <w:u w:val="single"/>
        </w:rPr>
        <w:tab/>
      </w:r>
      <w:r>
        <w:rPr>
          <w:rFonts w:hint="eastAsia" w:ascii="宋体" w:hAnsi="宋体" w:eastAsia="宋体" w:cs="宋体"/>
          <w:kern w:val="0"/>
          <w:sz w:val="24"/>
          <w:szCs w:val="24"/>
          <w:highlight w:val="none"/>
          <w:u w:val="single"/>
        </w:rPr>
        <w:t xml:space="preserve"> </w:t>
      </w:r>
      <w:r>
        <w:rPr>
          <w:rFonts w:hint="eastAsia" w:ascii="宋体" w:hAnsi="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rPr>
        <w:t>月</w:t>
      </w:r>
      <w:r>
        <w:rPr>
          <w:rFonts w:hint="eastAsia" w:ascii="宋体" w:hAnsi="宋体" w:eastAsia="宋体" w:cs="宋体"/>
          <w:kern w:val="0"/>
          <w:sz w:val="24"/>
          <w:szCs w:val="24"/>
          <w:highlight w:val="none"/>
          <w:u w:val="single"/>
        </w:rPr>
        <w:t xml:space="preserve">   </w:t>
      </w:r>
      <w:r>
        <w:rPr>
          <w:rFonts w:hint="eastAsia" w:ascii="宋体" w:hAnsi="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rPr>
        <w:t>日</w:t>
      </w:r>
    </w:p>
    <w:p>
      <w:pPr>
        <w:pStyle w:val="8"/>
        <w:kinsoku w:val="0"/>
        <w:overflowPunct w:val="0"/>
        <w:spacing w:before="34" w:line="357" w:lineRule="auto"/>
        <w:ind w:right="126" w:firstLine="480"/>
        <w:jc w:val="center"/>
        <w:outlineLvl w:val="1"/>
        <w:rPr>
          <w:rFonts w:hint="eastAsia" w:ascii="宋体" w:hAnsi="宋体" w:eastAsia="宋体" w:cs="宋体"/>
          <w:b/>
          <w:bCs/>
          <w:sz w:val="36"/>
          <w:szCs w:val="36"/>
          <w:highlight w:val="none"/>
        </w:rPr>
      </w:pPr>
      <w:r>
        <w:rPr>
          <w:rFonts w:hint="eastAsia" w:ascii="宋体" w:hAnsi="宋体" w:eastAsia="宋体" w:cs="宋体"/>
          <w:highlight w:val="none"/>
        </w:rPr>
        <w:br w:type="page"/>
      </w:r>
      <w:r>
        <w:rPr>
          <w:rFonts w:hint="eastAsia" w:ascii="宋体" w:hAnsi="宋体" w:eastAsia="宋体" w:cs="宋体"/>
          <w:b/>
          <w:bCs/>
          <w:sz w:val="36"/>
          <w:szCs w:val="36"/>
          <w:highlight w:val="none"/>
        </w:rPr>
        <w:t>六、</w:t>
      </w:r>
      <w:r>
        <w:rPr>
          <w:rFonts w:hint="eastAsia" w:ascii="宋体" w:hAnsi="宋体" w:eastAsia="宋体" w:cs="宋体"/>
          <w:b/>
          <w:bCs/>
          <w:sz w:val="36"/>
          <w:szCs w:val="36"/>
          <w:highlight w:val="none"/>
          <w:lang w:val="en-US" w:eastAsia="zh-CN"/>
        </w:rPr>
        <w:t>磋商</w:t>
      </w:r>
      <w:r>
        <w:rPr>
          <w:rFonts w:hint="eastAsia" w:ascii="宋体" w:hAnsi="宋体" w:eastAsia="宋体" w:cs="宋体"/>
          <w:b/>
          <w:bCs/>
          <w:sz w:val="36"/>
          <w:szCs w:val="36"/>
          <w:highlight w:val="none"/>
        </w:rPr>
        <w:t>报价汇总表</w:t>
      </w:r>
    </w:p>
    <w:p>
      <w:pPr>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项目名称：</w:t>
      </w:r>
      <w:r>
        <w:rPr>
          <w:rFonts w:hint="eastAsia" w:ascii="宋体" w:hAnsi="宋体" w:eastAsia="宋体" w:cs="宋体"/>
          <w:kern w:val="0"/>
          <w:sz w:val="24"/>
          <w:szCs w:val="24"/>
          <w:highlight w:val="none"/>
          <w:u w:val="single"/>
        </w:rPr>
        <w:t>　            　　</w:t>
      </w:r>
    </w:p>
    <w:p>
      <w:pPr>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项目编号：</w:t>
      </w:r>
      <w:r>
        <w:rPr>
          <w:rFonts w:hint="eastAsia" w:ascii="宋体" w:hAnsi="宋体" w:eastAsia="宋体" w:cs="宋体"/>
          <w:kern w:val="0"/>
          <w:sz w:val="24"/>
          <w:szCs w:val="24"/>
          <w:highlight w:val="none"/>
          <w:u w:val="single"/>
        </w:rPr>
        <w:t>　            　　</w:t>
      </w:r>
    </w:p>
    <w:tbl>
      <w:tblPr>
        <w:tblStyle w:val="17"/>
        <w:tblW w:w="9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1327"/>
        <w:gridCol w:w="1871"/>
        <w:gridCol w:w="1052"/>
        <w:gridCol w:w="1106"/>
        <w:gridCol w:w="929"/>
        <w:gridCol w:w="1158"/>
        <w:gridCol w:w="1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9620" w:type="dxa"/>
            <w:gridSpan w:val="8"/>
            <w:tcBorders>
              <w:left w:val="single" w:color="auto" w:sz="4" w:space="0"/>
              <w:right w:val="single" w:color="auto" w:sz="4" w:space="0"/>
            </w:tcBorders>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一、货物详列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633" w:type="dxa"/>
            <w:tcBorders>
              <w:left w:val="single" w:color="auto" w:sz="4" w:space="0"/>
            </w:tcBorders>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序号</w:t>
            </w:r>
          </w:p>
        </w:tc>
        <w:tc>
          <w:tcPr>
            <w:tcW w:w="1327" w:type="dxa"/>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分项名称</w:t>
            </w:r>
          </w:p>
        </w:tc>
        <w:tc>
          <w:tcPr>
            <w:tcW w:w="1871" w:type="dxa"/>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主要技术参数</w:t>
            </w:r>
          </w:p>
        </w:tc>
        <w:tc>
          <w:tcPr>
            <w:tcW w:w="1052" w:type="dxa"/>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制造商</w:t>
            </w:r>
          </w:p>
        </w:tc>
        <w:tc>
          <w:tcPr>
            <w:tcW w:w="1106" w:type="dxa"/>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数量</w:t>
            </w:r>
          </w:p>
        </w:tc>
        <w:tc>
          <w:tcPr>
            <w:tcW w:w="929" w:type="dxa"/>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单价</w:t>
            </w:r>
          </w:p>
        </w:tc>
        <w:tc>
          <w:tcPr>
            <w:tcW w:w="1158" w:type="dxa"/>
            <w:tcBorders>
              <w:right w:val="single" w:color="auto" w:sz="4" w:space="0"/>
            </w:tcBorders>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合计（元）</w:t>
            </w:r>
          </w:p>
        </w:tc>
        <w:tc>
          <w:tcPr>
            <w:tcW w:w="1544" w:type="dxa"/>
            <w:tcBorders>
              <w:left w:val="single" w:color="auto" w:sz="4" w:space="0"/>
              <w:right w:val="single" w:color="auto" w:sz="4" w:space="0"/>
            </w:tcBorders>
            <w:noWrap w:val="0"/>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633" w:type="dxa"/>
            <w:tcBorders>
              <w:left w:val="single" w:color="auto" w:sz="4" w:space="0"/>
            </w:tcBorders>
            <w:noWrap w:val="0"/>
            <w:vAlign w:val="center"/>
          </w:tcPr>
          <w:p>
            <w:pPr>
              <w:rPr>
                <w:rFonts w:hint="eastAsia" w:ascii="宋体" w:hAnsi="宋体" w:eastAsia="宋体" w:cs="宋体"/>
                <w:kern w:val="0"/>
                <w:sz w:val="24"/>
                <w:szCs w:val="24"/>
                <w:highlight w:val="none"/>
              </w:rPr>
            </w:pPr>
          </w:p>
        </w:tc>
        <w:tc>
          <w:tcPr>
            <w:tcW w:w="1327" w:type="dxa"/>
            <w:noWrap w:val="0"/>
            <w:vAlign w:val="center"/>
          </w:tcPr>
          <w:p>
            <w:pPr>
              <w:rPr>
                <w:rFonts w:hint="eastAsia" w:ascii="宋体" w:hAnsi="宋体" w:eastAsia="宋体" w:cs="宋体"/>
                <w:kern w:val="0"/>
                <w:sz w:val="24"/>
                <w:szCs w:val="24"/>
                <w:highlight w:val="none"/>
              </w:rPr>
            </w:pPr>
          </w:p>
        </w:tc>
        <w:tc>
          <w:tcPr>
            <w:tcW w:w="1871" w:type="dxa"/>
            <w:noWrap w:val="0"/>
            <w:vAlign w:val="center"/>
          </w:tcPr>
          <w:p>
            <w:pPr>
              <w:rPr>
                <w:rFonts w:hint="eastAsia" w:ascii="宋体" w:hAnsi="宋体" w:eastAsia="宋体" w:cs="宋体"/>
                <w:kern w:val="0"/>
                <w:sz w:val="24"/>
                <w:szCs w:val="24"/>
                <w:highlight w:val="none"/>
              </w:rPr>
            </w:pPr>
          </w:p>
        </w:tc>
        <w:tc>
          <w:tcPr>
            <w:tcW w:w="1052" w:type="dxa"/>
            <w:noWrap w:val="0"/>
            <w:vAlign w:val="center"/>
          </w:tcPr>
          <w:p>
            <w:pPr>
              <w:rPr>
                <w:rFonts w:hint="eastAsia" w:ascii="宋体" w:hAnsi="宋体" w:eastAsia="宋体" w:cs="宋体"/>
                <w:kern w:val="0"/>
                <w:sz w:val="24"/>
                <w:szCs w:val="24"/>
                <w:highlight w:val="none"/>
              </w:rPr>
            </w:pPr>
          </w:p>
        </w:tc>
        <w:tc>
          <w:tcPr>
            <w:tcW w:w="1106" w:type="dxa"/>
            <w:noWrap w:val="0"/>
            <w:vAlign w:val="center"/>
          </w:tcPr>
          <w:p>
            <w:pPr>
              <w:rPr>
                <w:rFonts w:hint="eastAsia" w:ascii="宋体" w:hAnsi="宋体" w:eastAsia="宋体" w:cs="宋体"/>
                <w:kern w:val="0"/>
                <w:sz w:val="24"/>
                <w:szCs w:val="24"/>
                <w:highlight w:val="none"/>
              </w:rPr>
            </w:pPr>
          </w:p>
        </w:tc>
        <w:tc>
          <w:tcPr>
            <w:tcW w:w="929" w:type="dxa"/>
            <w:noWrap w:val="0"/>
            <w:vAlign w:val="center"/>
          </w:tcPr>
          <w:p>
            <w:pPr>
              <w:rPr>
                <w:rFonts w:hint="eastAsia" w:ascii="宋体" w:hAnsi="宋体" w:eastAsia="宋体" w:cs="宋体"/>
                <w:kern w:val="0"/>
                <w:sz w:val="24"/>
                <w:szCs w:val="24"/>
                <w:highlight w:val="none"/>
              </w:rPr>
            </w:pPr>
          </w:p>
        </w:tc>
        <w:tc>
          <w:tcPr>
            <w:tcW w:w="1158" w:type="dxa"/>
            <w:tcBorders>
              <w:right w:val="single" w:color="auto" w:sz="4" w:space="0"/>
            </w:tcBorders>
            <w:noWrap w:val="0"/>
            <w:vAlign w:val="center"/>
          </w:tcPr>
          <w:p>
            <w:pPr>
              <w:rPr>
                <w:rFonts w:hint="eastAsia" w:ascii="宋体" w:hAnsi="宋体" w:eastAsia="宋体" w:cs="宋体"/>
                <w:kern w:val="0"/>
                <w:sz w:val="24"/>
                <w:szCs w:val="24"/>
                <w:highlight w:val="none"/>
              </w:rPr>
            </w:pPr>
          </w:p>
        </w:tc>
        <w:tc>
          <w:tcPr>
            <w:tcW w:w="1544" w:type="dxa"/>
            <w:tcBorders>
              <w:left w:val="single" w:color="auto" w:sz="4" w:space="0"/>
              <w:right w:val="single" w:color="auto" w:sz="4" w:space="0"/>
            </w:tcBorders>
            <w:noWrap w:val="0"/>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633" w:type="dxa"/>
            <w:tcBorders>
              <w:left w:val="single" w:color="auto" w:sz="4" w:space="0"/>
            </w:tcBorders>
            <w:noWrap w:val="0"/>
            <w:vAlign w:val="center"/>
          </w:tcPr>
          <w:p>
            <w:pPr>
              <w:rPr>
                <w:rFonts w:hint="eastAsia" w:ascii="宋体" w:hAnsi="宋体" w:eastAsia="宋体" w:cs="宋体"/>
                <w:kern w:val="0"/>
                <w:sz w:val="24"/>
                <w:szCs w:val="24"/>
                <w:highlight w:val="none"/>
              </w:rPr>
            </w:pPr>
          </w:p>
        </w:tc>
        <w:tc>
          <w:tcPr>
            <w:tcW w:w="1327" w:type="dxa"/>
            <w:noWrap w:val="0"/>
            <w:vAlign w:val="center"/>
          </w:tcPr>
          <w:p>
            <w:pPr>
              <w:rPr>
                <w:rFonts w:hint="eastAsia" w:ascii="宋体" w:hAnsi="宋体" w:eastAsia="宋体" w:cs="宋体"/>
                <w:kern w:val="0"/>
                <w:sz w:val="24"/>
                <w:szCs w:val="24"/>
                <w:highlight w:val="none"/>
              </w:rPr>
            </w:pPr>
          </w:p>
        </w:tc>
        <w:tc>
          <w:tcPr>
            <w:tcW w:w="1871" w:type="dxa"/>
            <w:noWrap w:val="0"/>
            <w:vAlign w:val="center"/>
          </w:tcPr>
          <w:p>
            <w:pPr>
              <w:rPr>
                <w:rFonts w:hint="eastAsia" w:ascii="宋体" w:hAnsi="宋体" w:eastAsia="宋体" w:cs="宋体"/>
                <w:kern w:val="0"/>
                <w:sz w:val="24"/>
                <w:szCs w:val="24"/>
                <w:highlight w:val="none"/>
              </w:rPr>
            </w:pPr>
          </w:p>
        </w:tc>
        <w:tc>
          <w:tcPr>
            <w:tcW w:w="1052" w:type="dxa"/>
            <w:noWrap w:val="0"/>
            <w:vAlign w:val="center"/>
          </w:tcPr>
          <w:p>
            <w:pPr>
              <w:rPr>
                <w:rFonts w:hint="eastAsia" w:ascii="宋体" w:hAnsi="宋体" w:eastAsia="宋体" w:cs="宋体"/>
                <w:kern w:val="0"/>
                <w:sz w:val="24"/>
                <w:szCs w:val="24"/>
                <w:highlight w:val="none"/>
              </w:rPr>
            </w:pPr>
          </w:p>
        </w:tc>
        <w:tc>
          <w:tcPr>
            <w:tcW w:w="1106" w:type="dxa"/>
            <w:noWrap w:val="0"/>
            <w:vAlign w:val="center"/>
          </w:tcPr>
          <w:p>
            <w:pPr>
              <w:rPr>
                <w:rFonts w:hint="eastAsia" w:ascii="宋体" w:hAnsi="宋体" w:eastAsia="宋体" w:cs="宋体"/>
                <w:kern w:val="0"/>
                <w:sz w:val="24"/>
                <w:szCs w:val="24"/>
                <w:highlight w:val="none"/>
              </w:rPr>
            </w:pPr>
          </w:p>
        </w:tc>
        <w:tc>
          <w:tcPr>
            <w:tcW w:w="929" w:type="dxa"/>
            <w:noWrap w:val="0"/>
            <w:vAlign w:val="center"/>
          </w:tcPr>
          <w:p>
            <w:pPr>
              <w:rPr>
                <w:rFonts w:hint="eastAsia" w:ascii="宋体" w:hAnsi="宋体" w:eastAsia="宋体" w:cs="宋体"/>
                <w:kern w:val="0"/>
                <w:sz w:val="24"/>
                <w:szCs w:val="24"/>
                <w:highlight w:val="none"/>
              </w:rPr>
            </w:pPr>
          </w:p>
        </w:tc>
        <w:tc>
          <w:tcPr>
            <w:tcW w:w="1158" w:type="dxa"/>
            <w:tcBorders>
              <w:right w:val="single" w:color="auto" w:sz="4" w:space="0"/>
            </w:tcBorders>
            <w:noWrap w:val="0"/>
            <w:vAlign w:val="center"/>
          </w:tcPr>
          <w:p>
            <w:pPr>
              <w:rPr>
                <w:rFonts w:hint="eastAsia" w:ascii="宋体" w:hAnsi="宋体" w:eastAsia="宋体" w:cs="宋体"/>
                <w:kern w:val="0"/>
                <w:sz w:val="24"/>
                <w:szCs w:val="24"/>
                <w:highlight w:val="none"/>
              </w:rPr>
            </w:pPr>
          </w:p>
        </w:tc>
        <w:tc>
          <w:tcPr>
            <w:tcW w:w="1544" w:type="dxa"/>
            <w:tcBorders>
              <w:left w:val="single" w:color="auto" w:sz="4" w:space="0"/>
              <w:right w:val="single" w:color="auto" w:sz="4" w:space="0"/>
            </w:tcBorders>
            <w:noWrap w:val="0"/>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633" w:type="dxa"/>
            <w:tcBorders>
              <w:left w:val="single" w:color="auto" w:sz="4" w:space="0"/>
            </w:tcBorders>
            <w:noWrap w:val="0"/>
            <w:vAlign w:val="center"/>
          </w:tcPr>
          <w:p>
            <w:pPr>
              <w:rPr>
                <w:rFonts w:hint="eastAsia" w:ascii="宋体" w:hAnsi="宋体" w:eastAsia="宋体" w:cs="宋体"/>
                <w:kern w:val="0"/>
                <w:sz w:val="24"/>
                <w:szCs w:val="24"/>
                <w:highlight w:val="none"/>
              </w:rPr>
            </w:pPr>
          </w:p>
        </w:tc>
        <w:tc>
          <w:tcPr>
            <w:tcW w:w="1327" w:type="dxa"/>
            <w:noWrap w:val="0"/>
            <w:vAlign w:val="center"/>
          </w:tcPr>
          <w:p>
            <w:pPr>
              <w:rPr>
                <w:rFonts w:hint="eastAsia" w:ascii="宋体" w:hAnsi="宋体" w:eastAsia="宋体" w:cs="宋体"/>
                <w:kern w:val="0"/>
                <w:sz w:val="24"/>
                <w:szCs w:val="24"/>
                <w:highlight w:val="none"/>
              </w:rPr>
            </w:pPr>
          </w:p>
        </w:tc>
        <w:tc>
          <w:tcPr>
            <w:tcW w:w="1871" w:type="dxa"/>
            <w:noWrap w:val="0"/>
            <w:vAlign w:val="center"/>
          </w:tcPr>
          <w:p>
            <w:pPr>
              <w:rPr>
                <w:rFonts w:hint="eastAsia" w:ascii="宋体" w:hAnsi="宋体" w:eastAsia="宋体" w:cs="宋体"/>
                <w:kern w:val="0"/>
                <w:sz w:val="24"/>
                <w:szCs w:val="24"/>
                <w:highlight w:val="none"/>
              </w:rPr>
            </w:pPr>
          </w:p>
        </w:tc>
        <w:tc>
          <w:tcPr>
            <w:tcW w:w="1052" w:type="dxa"/>
            <w:noWrap w:val="0"/>
            <w:vAlign w:val="center"/>
          </w:tcPr>
          <w:p>
            <w:pPr>
              <w:rPr>
                <w:rFonts w:hint="eastAsia" w:ascii="宋体" w:hAnsi="宋体" w:eastAsia="宋体" w:cs="宋体"/>
                <w:kern w:val="0"/>
                <w:sz w:val="24"/>
                <w:szCs w:val="24"/>
                <w:highlight w:val="none"/>
              </w:rPr>
            </w:pPr>
          </w:p>
        </w:tc>
        <w:tc>
          <w:tcPr>
            <w:tcW w:w="1106" w:type="dxa"/>
            <w:noWrap w:val="0"/>
            <w:vAlign w:val="center"/>
          </w:tcPr>
          <w:p>
            <w:pPr>
              <w:rPr>
                <w:rFonts w:hint="eastAsia" w:ascii="宋体" w:hAnsi="宋体" w:eastAsia="宋体" w:cs="宋体"/>
                <w:kern w:val="0"/>
                <w:sz w:val="24"/>
                <w:szCs w:val="24"/>
                <w:highlight w:val="none"/>
              </w:rPr>
            </w:pPr>
          </w:p>
        </w:tc>
        <w:tc>
          <w:tcPr>
            <w:tcW w:w="929" w:type="dxa"/>
            <w:noWrap w:val="0"/>
            <w:vAlign w:val="center"/>
          </w:tcPr>
          <w:p>
            <w:pPr>
              <w:rPr>
                <w:rFonts w:hint="eastAsia" w:ascii="宋体" w:hAnsi="宋体" w:eastAsia="宋体" w:cs="宋体"/>
                <w:kern w:val="0"/>
                <w:sz w:val="24"/>
                <w:szCs w:val="24"/>
                <w:highlight w:val="none"/>
              </w:rPr>
            </w:pPr>
          </w:p>
        </w:tc>
        <w:tc>
          <w:tcPr>
            <w:tcW w:w="1158" w:type="dxa"/>
            <w:tcBorders>
              <w:right w:val="single" w:color="auto" w:sz="4" w:space="0"/>
            </w:tcBorders>
            <w:noWrap w:val="0"/>
            <w:vAlign w:val="center"/>
          </w:tcPr>
          <w:p>
            <w:pPr>
              <w:rPr>
                <w:rFonts w:hint="eastAsia" w:ascii="宋体" w:hAnsi="宋体" w:eastAsia="宋体" w:cs="宋体"/>
                <w:kern w:val="0"/>
                <w:sz w:val="24"/>
                <w:szCs w:val="24"/>
                <w:highlight w:val="none"/>
              </w:rPr>
            </w:pPr>
          </w:p>
        </w:tc>
        <w:tc>
          <w:tcPr>
            <w:tcW w:w="1544" w:type="dxa"/>
            <w:tcBorders>
              <w:left w:val="single" w:color="auto" w:sz="4" w:space="0"/>
              <w:right w:val="single" w:color="auto" w:sz="4" w:space="0"/>
            </w:tcBorders>
            <w:noWrap w:val="0"/>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3831" w:type="dxa"/>
            <w:gridSpan w:val="3"/>
            <w:tcBorders>
              <w:left w:val="single" w:color="auto" w:sz="4" w:space="0"/>
              <w:bottom w:val="single" w:color="auto" w:sz="4" w:space="0"/>
            </w:tcBorders>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合　　计</w:t>
            </w:r>
          </w:p>
        </w:tc>
        <w:tc>
          <w:tcPr>
            <w:tcW w:w="3087" w:type="dxa"/>
            <w:gridSpan w:val="3"/>
            <w:tcBorders>
              <w:bottom w:val="single" w:color="auto" w:sz="4" w:space="0"/>
            </w:tcBorders>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数量合计：</w:t>
            </w:r>
          </w:p>
        </w:tc>
        <w:tc>
          <w:tcPr>
            <w:tcW w:w="2702" w:type="dxa"/>
            <w:gridSpan w:val="2"/>
            <w:tcBorders>
              <w:bottom w:val="single" w:color="auto" w:sz="4" w:space="0"/>
              <w:right w:val="single" w:color="auto" w:sz="4" w:space="0"/>
            </w:tcBorders>
            <w:noWrap w:val="0"/>
            <w:vAlign w:val="center"/>
          </w:tcPr>
          <w:p>
            <w:pPr>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报价合计：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9620" w:type="dxa"/>
            <w:gridSpan w:val="8"/>
            <w:tcBorders>
              <w:left w:val="single" w:color="auto" w:sz="4" w:space="0"/>
              <w:right w:val="single" w:color="auto" w:sz="4" w:space="0"/>
            </w:tcBorders>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二、伴随服务详列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633" w:type="dxa"/>
            <w:tcBorders>
              <w:left w:val="single" w:color="auto" w:sz="4" w:space="0"/>
            </w:tcBorders>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序号</w:t>
            </w:r>
          </w:p>
        </w:tc>
        <w:tc>
          <w:tcPr>
            <w:tcW w:w="1327" w:type="dxa"/>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分项名称</w:t>
            </w:r>
          </w:p>
        </w:tc>
        <w:tc>
          <w:tcPr>
            <w:tcW w:w="1871" w:type="dxa"/>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具体服务内容</w:t>
            </w:r>
          </w:p>
        </w:tc>
        <w:tc>
          <w:tcPr>
            <w:tcW w:w="1052" w:type="dxa"/>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单位</w:t>
            </w:r>
          </w:p>
        </w:tc>
        <w:tc>
          <w:tcPr>
            <w:tcW w:w="1106" w:type="dxa"/>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数量</w:t>
            </w:r>
          </w:p>
        </w:tc>
        <w:tc>
          <w:tcPr>
            <w:tcW w:w="929" w:type="dxa"/>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单价</w:t>
            </w:r>
          </w:p>
        </w:tc>
        <w:tc>
          <w:tcPr>
            <w:tcW w:w="1158" w:type="dxa"/>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合计（元）</w:t>
            </w:r>
          </w:p>
        </w:tc>
        <w:tc>
          <w:tcPr>
            <w:tcW w:w="1544" w:type="dxa"/>
            <w:tcBorders>
              <w:right w:val="single" w:color="auto" w:sz="4" w:space="0"/>
            </w:tcBorders>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633" w:type="dxa"/>
            <w:tcBorders>
              <w:left w:val="single" w:color="auto" w:sz="4" w:space="0"/>
            </w:tcBorders>
            <w:noWrap w:val="0"/>
            <w:vAlign w:val="center"/>
          </w:tcPr>
          <w:p>
            <w:pPr>
              <w:rPr>
                <w:rFonts w:hint="eastAsia" w:ascii="宋体" w:hAnsi="宋体" w:eastAsia="宋体" w:cs="宋体"/>
                <w:kern w:val="0"/>
                <w:sz w:val="24"/>
                <w:szCs w:val="24"/>
                <w:highlight w:val="none"/>
              </w:rPr>
            </w:pPr>
          </w:p>
        </w:tc>
        <w:tc>
          <w:tcPr>
            <w:tcW w:w="1327" w:type="dxa"/>
            <w:noWrap w:val="0"/>
            <w:vAlign w:val="center"/>
          </w:tcPr>
          <w:p>
            <w:pPr>
              <w:rPr>
                <w:rFonts w:hint="eastAsia" w:ascii="宋体" w:hAnsi="宋体" w:eastAsia="宋体" w:cs="宋体"/>
                <w:kern w:val="0"/>
                <w:sz w:val="24"/>
                <w:szCs w:val="24"/>
                <w:highlight w:val="none"/>
              </w:rPr>
            </w:pPr>
          </w:p>
        </w:tc>
        <w:tc>
          <w:tcPr>
            <w:tcW w:w="1871" w:type="dxa"/>
            <w:noWrap w:val="0"/>
            <w:vAlign w:val="center"/>
          </w:tcPr>
          <w:p>
            <w:pPr>
              <w:rPr>
                <w:rFonts w:hint="eastAsia" w:ascii="宋体" w:hAnsi="宋体" w:eastAsia="宋体" w:cs="宋体"/>
                <w:kern w:val="0"/>
                <w:sz w:val="24"/>
                <w:szCs w:val="24"/>
                <w:highlight w:val="none"/>
              </w:rPr>
            </w:pPr>
          </w:p>
        </w:tc>
        <w:tc>
          <w:tcPr>
            <w:tcW w:w="1052" w:type="dxa"/>
            <w:noWrap w:val="0"/>
            <w:vAlign w:val="center"/>
          </w:tcPr>
          <w:p>
            <w:pPr>
              <w:rPr>
                <w:rFonts w:hint="eastAsia" w:ascii="宋体" w:hAnsi="宋体" w:eastAsia="宋体" w:cs="宋体"/>
                <w:kern w:val="0"/>
                <w:sz w:val="24"/>
                <w:szCs w:val="24"/>
                <w:highlight w:val="none"/>
              </w:rPr>
            </w:pPr>
          </w:p>
        </w:tc>
        <w:tc>
          <w:tcPr>
            <w:tcW w:w="1106" w:type="dxa"/>
            <w:noWrap w:val="0"/>
            <w:vAlign w:val="center"/>
          </w:tcPr>
          <w:p>
            <w:pPr>
              <w:rPr>
                <w:rFonts w:hint="eastAsia" w:ascii="宋体" w:hAnsi="宋体" w:eastAsia="宋体" w:cs="宋体"/>
                <w:kern w:val="0"/>
                <w:sz w:val="24"/>
                <w:szCs w:val="24"/>
                <w:highlight w:val="none"/>
              </w:rPr>
            </w:pPr>
          </w:p>
        </w:tc>
        <w:tc>
          <w:tcPr>
            <w:tcW w:w="929" w:type="dxa"/>
            <w:noWrap w:val="0"/>
            <w:vAlign w:val="center"/>
          </w:tcPr>
          <w:p>
            <w:pPr>
              <w:rPr>
                <w:rFonts w:hint="eastAsia" w:ascii="宋体" w:hAnsi="宋体" w:eastAsia="宋体" w:cs="宋体"/>
                <w:kern w:val="0"/>
                <w:sz w:val="24"/>
                <w:szCs w:val="24"/>
                <w:highlight w:val="none"/>
              </w:rPr>
            </w:pPr>
          </w:p>
        </w:tc>
        <w:tc>
          <w:tcPr>
            <w:tcW w:w="1158" w:type="dxa"/>
            <w:noWrap w:val="0"/>
            <w:vAlign w:val="center"/>
          </w:tcPr>
          <w:p>
            <w:pPr>
              <w:rPr>
                <w:rFonts w:hint="eastAsia" w:ascii="宋体" w:hAnsi="宋体" w:eastAsia="宋体" w:cs="宋体"/>
                <w:kern w:val="0"/>
                <w:sz w:val="24"/>
                <w:szCs w:val="24"/>
                <w:highlight w:val="none"/>
              </w:rPr>
            </w:pPr>
          </w:p>
        </w:tc>
        <w:tc>
          <w:tcPr>
            <w:tcW w:w="1544" w:type="dxa"/>
            <w:tcBorders>
              <w:right w:val="single" w:color="auto" w:sz="4" w:space="0"/>
            </w:tcBorders>
            <w:noWrap w:val="0"/>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633" w:type="dxa"/>
            <w:tcBorders>
              <w:left w:val="single" w:color="auto" w:sz="4" w:space="0"/>
            </w:tcBorders>
            <w:noWrap w:val="0"/>
            <w:vAlign w:val="center"/>
          </w:tcPr>
          <w:p>
            <w:pPr>
              <w:rPr>
                <w:rFonts w:hint="eastAsia" w:ascii="宋体" w:hAnsi="宋体" w:eastAsia="宋体" w:cs="宋体"/>
                <w:kern w:val="0"/>
                <w:sz w:val="24"/>
                <w:szCs w:val="24"/>
                <w:highlight w:val="none"/>
              </w:rPr>
            </w:pPr>
          </w:p>
        </w:tc>
        <w:tc>
          <w:tcPr>
            <w:tcW w:w="1327" w:type="dxa"/>
            <w:noWrap w:val="0"/>
            <w:vAlign w:val="center"/>
          </w:tcPr>
          <w:p>
            <w:pPr>
              <w:rPr>
                <w:rFonts w:hint="eastAsia" w:ascii="宋体" w:hAnsi="宋体" w:eastAsia="宋体" w:cs="宋体"/>
                <w:kern w:val="0"/>
                <w:sz w:val="24"/>
                <w:szCs w:val="24"/>
                <w:highlight w:val="none"/>
              </w:rPr>
            </w:pPr>
          </w:p>
        </w:tc>
        <w:tc>
          <w:tcPr>
            <w:tcW w:w="1871" w:type="dxa"/>
            <w:noWrap w:val="0"/>
            <w:vAlign w:val="center"/>
          </w:tcPr>
          <w:p>
            <w:pPr>
              <w:rPr>
                <w:rFonts w:hint="eastAsia" w:ascii="宋体" w:hAnsi="宋体" w:eastAsia="宋体" w:cs="宋体"/>
                <w:kern w:val="0"/>
                <w:sz w:val="24"/>
                <w:szCs w:val="24"/>
                <w:highlight w:val="none"/>
              </w:rPr>
            </w:pPr>
          </w:p>
        </w:tc>
        <w:tc>
          <w:tcPr>
            <w:tcW w:w="1052" w:type="dxa"/>
            <w:noWrap w:val="0"/>
            <w:vAlign w:val="center"/>
          </w:tcPr>
          <w:p>
            <w:pPr>
              <w:rPr>
                <w:rFonts w:hint="eastAsia" w:ascii="宋体" w:hAnsi="宋体" w:eastAsia="宋体" w:cs="宋体"/>
                <w:kern w:val="0"/>
                <w:sz w:val="24"/>
                <w:szCs w:val="24"/>
                <w:highlight w:val="none"/>
              </w:rPr>
            </w:pPr>
          </w:p>
        </w:tc>
        <w:tc>
          <w:tcPr>
            <w:tcW w:w="1106" w:type="dxa"/>
            <w:noWrap w:val="0"/>
            <w:vAlign w:val="center"/>
          </w:tcPr>
          <w:p>
            <w:pPr>
              <w:rPr>
                <w:rFonts w:hint="eastAsia" w:ascii="宋体" w:hAnsi="宋体" w:eastAsia="宋体" w:cs="宋体"/>
                <w:kern w:val="0"/>
                <w:sz w:val="24"/>
                <w:szCs w:val="24"/>
                <w:highlight w:val="none"/>
              </w:rPr>
            </w:pPr>
          </w:p>
        </w:tc>
        <w:tc>
          <w:tcPr>
            <w:tcW w:w="929" w:type="dxa"/>
            <w:noWrap w:val="0"/>
            <w:vAlign w:val="center"/>
          </w:tcPr>
          <w:p>
            <w:pPr>
              <w:rPr>
                <w:rFonts w:hint="eastAsia" w:ascii="宋体" w:hAnsi="宋体" w:eastAsia="宋体" w:cs="宋体"/>
                <w:kern w:val="0"/>
                <w:sz w:val="24"/>
                <w:szCs w:val="24"/>
                <w:highlight w:val="none"/>
              </w:rPr>
            </w:pPr>
          </w:p>
        </w:tc>
        <w:tc>
          <w:tcPr>
            <w:tcW w:w="1158" w:type="dxa"/>
            <w:noWrap w:val="0"/>
            <w:vAlign w:val="center"/>
          </w:tcPr>
          <w:p>
            <w:pPr>
              <w:rPr>
                <w:rFonts w:hint="eastAsia" w:ascii="宋体" w:hAnsi="宋体" w:eastAsia="宋体" w:cs="宋体"/>
                <w:kern w:val="0"/>
                <w:sz w:val="24"/>
                <w:szCs w:val="24"/>
                <w:highlight w:val="none"/>
              </w:rPr>
            </w:pPr>
          </w:p>
        </w:tc>
        <w:tc>
          <w:tcPr>
            <w:tcW w:w="1544" w:type="dxa"/>
            <w:tcBorders>
              <w:right w:val="single" w:color="auto" w:sz="4" w:space="0"/>
            </w:tcBorders>
            <w:noWrap w:val="0"/>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633" w:type="dxa"/>
            <w:tcBorders>
              <w:left w:val="single" w:color="auto" w:sz="4" w:space="0"/>
            </w:tcBorders>
            <w:noWrap w:val="0"/>
            <w:vAlign w:val="center"/>
          </w:tcPr>
          <w:p>
            <w:pPr>
              <w:rPr>
                <w:rFonts w:hint="eastAsia" w:ascii="宋体" w:hAnsi="宋体" w:eastAsia="宋体" w:cs="宋体"/>
                <w:kern w:val="0"/>
                <w:sz w:val="24"/>
                <w:szCs w:val="24"/>
                <w:highlight w:val="none"/>
              </w:rPr>
            </w:pPr>
          </w:p>
        </w:tc>
        <w:tc>
          <w:tcPr>
            <w:tcW w:w="1327" w:type="dxa"/>
            <w:noWrap w:val="0"/>
            <w:vAlign w:val="center"/>
          </w:tcPr>
          <w:p>
            <w:pPr>
              <w:rPr>
                <w:rFonts w:hint="eastAsia" w:ascii="宋体" w:hAnsi="宋体" w:eastAsia="宋体" w:cs="宋体"/>
                <w:kern w:val="0"/>
                <w:sz w:val="24"/>
                <w:szCs w:val="24"/>
                <w:highlight w:val="none"/>
              </w:rPr>
            </w:pPr>
          </w:p>
        </w:tc>
        <w:tc>
          <w:tcPr>
            <w:tcW w:w="1871" w:type="dxa"/>
            <w:noWrap w:val="0"/>
            <w:vAlign w:val="center"/>
          </w:tcPr>
          <w:p>
            <w:pPr>
              <w:rPr>
                <w:rFonts w:hint="eastAsia" w:ascii="宋体" w:hAnsi="宋体" w:eastAsia="宋体" w:cs="宋体"/>
                <w:kern w:val="0"/>
                <w:sz w:val="24"/>
                <w:szCs w:val="24"/>
                <w:highlight w:val="none"/>
              </w:rPr>
            </w:pPr>
          </w:p>
        </w:tc>
        <w:tc>
          <w:tcPr>
            <w:tcW w:w="1052" w:type="dxa"/>
            <w:noWrap w:val="0"/>
            <w:vAlign w:val="center"/>
          </w:tcPr>
          <w:p>
            <w:pPr>
              <w:rPr>
                <w:rFonts w:hint="eastAsia" w:ascii="宋体" w:hAnsi="宋体" w:eastAsia="宋体" w:cs="宋体"/>
                <w:kern w:val="0"/>
                <w:sz w:val="24"/>
                <w:szCs w:val="24"/>
                <w:highlight w:val="none"/>
              </w:rPr>
            </w:pPr>
          </w:p>
        </w:tc>
        <w:tc>
          <w:tcPr>
            <w:tcW w:w="1106" w:type="dxa"/>
            <w:noWrap w:val="0"/>
            <w:vAlign w:val="center"/>
          </w:tcPr>
          <w:p>
            <w:pPr>
              <w:rPr>
                <w:rFonts w:hint="eastAsia" w:ascii="宋体" w:hAnsi="宋体" w:eastAsia="宋体" w:cs="宋体"/>
                <w:kern w:val="0"/>
                <w:sz w:val="24"/>
                <w:szCs w:val="24"/>
                <w:highlight w:val="none"/>
              </w:rPr>
            </w:pPr>
          </w:p>
        </w:tc>
        <w:tc>
          <w:tcPr>
            <w:tcW w:w="929" w:type="dxa"/>
            <w:noWrap w:val="0"/>
            <w:vAlign w:val="center"/>
          </w:tcPr>
          <w:p>
            <w:pPr>
              <w:rPr>
                <w:rFonts w:hint="eastAsia" w:ascii="宋体" w:hAnsi="宋体" w:eastAsia="宋体" w:cs="宋体"/>
                <w:kern w:val="0"/>
                <w:sz w:val="24"/>
                <w:szCs w:val="24"/>
                <w:highlight w:val="none"/>
              </w:rPr>
            </w:pPr>
          </w:p>
        </w:tc>
        <w:tc>
          <w:tcPr>
            <w:tcW w:w="1158" w:type="dxa"/>
            <w:noWrap w:val="0"/>
            <w:vAlign w:val="center"/>
          </w:tcPr>
          <w:p>
            <w:pPr>
              <w:rPr>
                <w:rFonts w:hint="eastAsia" w:ascii="宋体" w:hAnsi="宋体" w:eastAsia="宋体" w:cs="宋体"/>
                <w:kern w:val="0"/>
                <w:sz w:val="24"/>
                <w:szCs w:val="24"/>
                <w:highlight w:val="none"/>
              </w:rPr>
            </w:pPr>
          </w:p>
        </w:tc>
        <w:tc>
          <w:tcPr>
            <w:tcW w:w="1544" w:type="dxa"/>
            <w:tcBorders>
              <w:right w:val="single" w:color="auto" w:sz="4" w:space="0"/>
            </w:tcBorders>
            <w:noWrap w:val="0"/>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3831" w:type="dxa"/>
            <w:gridSpan w:val="3"/>
            <w:tcBorders>
              <w:left w:val="single" w:color="auto" w:sz="4" w:space="0"/>
            </w:tcBorders>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合　　计</w:t>
            </w:r>
          </w:p>
        </w:tc>
        <w:tc>
          <w:tcPr>
            <w:tcW w:w="3087" w:type="dxa"/>
            <w:gridSpan w:val="3"/>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数量合计：</w:t>
            </w:r>
          </w:p>
        </w:tc>
        <w:tc>
          <w:tcPr>
            <w:tcW w:w="2702" w:type="dxa"/>
            <w:gridSpan w:val="2"/>
            <w:tcBorders>
              <w:right w:val="single" w:color="auto" w:sz="4" w:space="0"/>
            </w:tcBorders>
            <w:noWrap w:val="0"/>
            <w:vAlign w:val="center"/>
          </w:tcPr>
          <w:p>
            <w:pPr>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报价合计：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9620" w:type="dxa"/>
            <w:gridSpan w:val="8"/>
            <w:tcBorders>
              <w:left w:val="single" w:color="auto" w:sz="4" w:space="0"/>
              <w:right w:val="single" w:color="auto" w:sz="4" w:space="0"/>
            </w:tcBorders>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三、其他费用详列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633" w:type="dxa"/>
            <w:tcBorders>
              <w:left w:val="single" w:color="auto" w:sz="4" w:space="0"/>
            </w:tcBorders>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序号</w:t>
            </w:r>
          </w:p>
        </w:tc>
        <w:tc>
          <w:tcPr>
            <w:tcW w:w="1327" w:type="dxa"/>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分项名称</w:t>
            </w:r>
          </w:p>
        </w:tc>
        <w:tc>
          <w:tcPr>
            <w:tcW w:w="1871" w:type="dxa"/>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具体内容</w:t>
            </w:r>
          </w:p>
        </w:tc>
        <w:tc>
          <w:tcPr>
            <w:tcW w:w="1052" w:type="dxa"/>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单位</w:t>
            </w:r>
          </w:p>
        </w:tc>
        <w:tc>
          <w:tcPr>
            <w:tcW w:w="1106" w:type="dxa"/>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数量</w:t>
            </w:r>
          </w:p>
        </w:tc>
        <w:tc>
          <w:tcPr>
            <w:tcW w:w="929" w:type="dxa"/>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单价</w:t>
            </w:r>
          </w:p>
        </w:tc>
        <w:tc>
          <w:tcPr>
            <w:tcW w:w="1158" w:type="dxa"/>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合计（元）</w:t>
            </w:r>
          </w:p>
        </w:tc>
        <w:tc>
          <w:tcPr>
            <w:tcW w:w="1544" w:type="dxa"/>
            <w:tcBorders>
              <w:right w:val="single" w:color="auto" w:sz="4" w:space="0"/>
            </w:tcBorders>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633" w:type="dxa"/>
            <w:tcBorders>
              <w:left w:val="single" w:color="auto" w:sz="4" w:space="0"/>
            </w:tcBorders>
            <w:noWrap w:val="0"/>
            <w:vAlign w:val="center"/>
          </w:tcPr>
          <w:p>
            <w:pPr>
              <w:rPr>
                <w:rFonts w:hint="eastAsia" w:ascii="宋体" w:hAnsi="宋体" w:eastAsia="宋体" w:cs="宋体"/>
                <w:kern w:val="0"/>
                <w:sz w:val="24"/>
                <w:szCs w:val="24"/>
                <w:highlight w:val="none"/>
              </w:rPr>
            </w:pPr>
          </w:p>
        </w:tc>
        <w:tc>
          <w:tcPr>
            <w:tcW w:w="1327" w:type="dxa"/>
            <w:noWrap w:val="0"/>
            <w:vAlign w:val="center"/>
          </w:tcPr>
          <w:p>
            <w:pPr>
              <w:rPr>
                <w:rFonts w:hint="eastAsia" w:ascii="宋体" w:hAnsi="宋体" w:eastAsia="宋体" w:cs="宋体"/>
                <w:kern w:val="0"/>
                <w:sz w:val="24"/>
                <w:szCs w:val="24"/>
                <w:highlight w:val="none"/>
              </w:rPr>
            </w:pPr>
          </w:p>
        </w:tc>
        <w:tc>
          <w:tcPr>
            <w:tcW w:w="1871" w:type="dxa"/>
            <w:noWrap w:val="0"/>
            <w:vAlign w:val="center"/>
          </w:tcPr>
          <w:p>
            <w:pPr>
              <w:rPr>
                <w:rFonts w:hint="eastAsia" w:ascii="宋体" w:hAnsi="宋体" w:eastAsia="宋体" w:cs="宋体"/>
                <w:kern w:val="0"/>
                <w:sz w:val="24"/>
                <w:szCs w:val="24"/>
                <w:highlight w:val="none"/>
              </w:rPr>
            </w:pPr>
          </w:p>
        </w:tc>
        <w:tc>
          <w:tcPr>
            <w:tcW w:w="1052" w:type="dxa"/>
            <w:noWrap w:val="0"/>
            <w:vAlign w:val="center"/>
          </w:tcPr>
          <w:p>
            <w:pPr>
              <w:rPr>
                <w:rFonts w:hint="eastAsia" w:ascii="宋体" w:hAnsi="宋体" w:eastAsia="宋体" w:cs="宋体"/>
                <w:kern w:val="0"/>
                <w:sz w:val="24"/>
                <w:szCs w:val="24"/>
                <w:highlight w:val="none"/>
              </w:rPr>
            </w:pPr>
          </w:p>
        </w:tc>
        <w:tc>
          <w:tcPr>
            <w:tcW w:w="1106" w:type="dxa"/>
            <w:noWrap w:val="0"/>
            <w:vAlign w:val="center"/>
          </w:tcPr>
          <w:p>
            <w:pPr>
              <w:rPr>
                <w:rFonts w:hint="eastAsia" w:ascii="宋体" w:hAnsi="宋体" w:eastAsia="宋体" w:cs="宋体"/>
                <w:kern w:val="0"/>
                <w:sz w:val="24"/>
                <w:szCs w:val="24"/>
                <w:highlight w:val="none"/>
              </w:rPr>
            </w:pPr>
          </w:p>
        </w:tc>
        <w:tc>
          <w:tcPr>
            <w:tcW w:w="929" w:type="dxa"/>
            <w:noWrap w:val="0"/>
            <w:vAlign w:val="center"/>
          </w:tcPr>
          <w:p>
            <w:pPr>
              <w:rPr>
                <w:rFonts w:hint="eastAsia" w:ascii="宋体" w:hAnsi="宋体" w:eastAsia="宋体" w:cs="宋体"/>
                <w:kern w:val="0"/>
                <w:sz w:val="24"/>
                <w:szCs w:val="24"/>
                <w:highlight w:val="none"/>
              </w:rPr>
            </w:pPr>
          </w:p>
        </w:tc>
        <w:tc>
          <w:tcPr>
            <w:tcW w:w="1158" w:type="dxa"/>
            <w:noWrap w:val="0"/>
            <w:vAlign w:val="center"/>
          </w:tcPr>
          <w:p>
            <w:pPr>
              <w:rPr>
                <w:rFonts w:hint="eastAsia" w:ascii="宋体" w:hAnsi="宋体" w:eastAsia="宋体" w:cs="宋体"/>
                <w:kern w:val="0"/>
                <w:sz w:val="24"/>
                <w:szCs w:val="24"/>
                <w:highlight w:val="none"/>
              </w:rPr>
            </w:pPr>
          </w:p>
        </w:tc>
        <w:tc>
          <w:tcPr>
            <w:tcW w:w="1544" w:type="dxa"/>
            <w:tcBorders>
              <w:right w:val="single" w:color="auto" w:sz="4" w:space="0"/>
            </w:tcBorders>
            <w:noWrap w:val="0"/>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633" w:type="dxa"/>
            <w:tcBorders>
              <w:left w:val="single" w:color="auto" w:sz="4" w:space="0"/>
            </w:tcBorders>
            <w:noWrap w:val="0"/>
            <w:vAlign w:val="center"/>
          </w:tcPr>
          <w:p>
            <w:pPr>
              <w:rPr>
                <w:rFonts w:hint="eastAsia" w:ascii="宋体" w:hAnsi="宋体" w:eastAsia="宋体" w:cs="宋体"/>
                <w:kern w:val="0"/>
                <w:sz w:val="24"/>
                <w:szCs w:val="24"/>
                <w:highlight w:val="none"/>
              </w:rPr>
            </w:pPr>
          </w:p>
        </w:tc>
        <w:tc>
          <w:tcPr>
            <w:tcW w:w="1327" w:type="dxa"/>
            <w:noWrap w:val="0"/>
            <w:vAlign w:val="center"/>
          </w:tcPr>
          <w:p>
            <w:pPr>
              <w:rPr>
                <w:rFonts w:hint="eastAsia" w:ascii="宋体" w:hAnsi="宋体" w:eastAsia="宋体" w:cs="宋体"/>
                <w:kern w:val="0"/>
                <w:sz w:val="24"/>
                <w:szCs w:val="24"/>
                <w:highlight w:val="none"/>
              </w:rPr>
            </w:pPr>
          </w:p>
        </w:tc>
        <w:tc>
          <w:tcPr>
            <w:tcW w:w="1871" w:type="dxa"/>
            <w:noWrap w:val="0"/>
            <w:vAlign w:val="center"/>
          </w:tcPr>
          <w:p>
            <w:pPr>
              <w:rPr>
                <w:rFonts w:hint="eastAsia" w:ascii="宋体" w:hAnsi="宋体" w:eastAsia="宋体" w:cs="宋体"/>
                <w:kern w:val="0"/>
                <w:sz w:val="24"/>
                <w:szCs w:val="24"/>
                <w:highlight w:val="none"/>
              </w:rPr>
            </w:pPr>
          </w:p>
        </w:tc>
        <w:tc>
          <w:tcPr>
            <w:tcW w:w="1052" w:type="dxa"/>
            <w:noWrap w:val="0"/>
            <w:vAlign w:val="center"/>
          </w:tcPr>
          <w:p>
            <w:pPr>
              <w:rPr>
                <w:rFonts w:hint="eastAsia" w:ascii="宋体" w:hAnsi="宋体" w:eastAsia="宋体" w:cs="宋体"/>
                <w:kern w:val="0"/>
                <w:sz w:val="24"/>
                <w:szCs w:val="24"/>
                <w:highlight w:val="none"/>
              </w:rPr>
            </w:pPr>
          </w:p>
        </w:tc>
        <w:tc>
          <w:tcPr>
            <w:tcW w:w="1106" w:type="dxa"/>
            <w:noWrap w:val="0"/>
            <w:vAlign w:val="center"/>
          </w:tcPr>
          <w:p>
            <w:pPr>
              <w:rPr>
                <w:rFonts w:hint="eastAsia" w:ascii="宋体" w:hAnsi="宋体" w:eastAsia="宋体" w:cs="宋体"/>
                <w:kern w:val="0"/>
                <w:sz w:val="24"/>
                <w:szCs w:val="24"/>
                <w:highlight w:val="none"/>
              </w:rPr>
            </w:pPr>
          </w:p>
        </w:tc>
        <w:tc>
          <w:tcPr>
            <w:tcW w:w="929" w:type="dxa"/>
            <w:noWrap w:val="0"/>
            <w:vAlign w:val="center"/>
          </w:tcPr>
          <w:p>
            <w:pPr>
              <w:rPr>
                <w:rFonts w:hint="eastAsia" w:ascii="宋体" w:hAnsi="宋体" w:eastAsia="宋体" w:cs="宋体"/>
                <w:kern w:val="0"/>
                <w:sz w:val="24"/>
                <w:szCs w:val="24"/>
                <w:highlight w:val="none"/>
              </w:rPr>
            </w:pPr>
          </w:p>
        </w:tc>
        <w:tc>
          <w:tcPr>
            <w:tcW w:w="1158" w:type="dxa"/>
            <w:noWrap w:val="0"/>
            <w:vAlign w:val="center"/>
          </w:tcPr>
          <w:p>
            <w:pPr>
              <w:rPr>
                <w:rFonts w:hint="eastAsia" w:ascii="宋体" w:hAnsi="宋体" w:eastAsia="宋体" w:cs="宋体"/>
                <w:kern w:val="0"/>
                <w:sz w:val="24"/>
                <w:szCs w:val="24"/>
                <w:highlight w:val="none"/>
              </w:rPr>
            </w:pPr>
          </w:p>
        </w:tc>
        <w:tc>
          <w:tcPr>
            <w:tcW w:w="1544" w:type="dxa"/>
            <w:tcBorders>
              <w:right w:val="single" w:color="auto" w:sz="4" w:space="0"/>
            </w:tcBorders>
            <w:noWrap w:val="0"/>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633" w:type="dxa"/>
            <w:tcBorders>
              <w:left w:val="single" w:color="auto" w:sz="4" w:space="0"/>
            </w:tcBorders>
            <w:noWrap w:val="0"/>
            <w:vAlign w:val="center"/>
          </w:tcPr>
          <w:p>
            <w:pPr>
              <w:rPr>
                <w:rFonts w:hint="eastAsia" w:ascii="宋体" w:hAnsi="宋体" w:eastAsia="宋体" w:cs="宋体"/>
                <w:kern w:val="0"/>
                <w:sz w:val="24"/>
                <w:szCs w:val="24"/>
                <w:highlight w:val="none"/>
              </w:rPr>
            </w:pPr>
          </w:p>
        </w:tc>
        <w:tc>
          <w:tcPr>
            <w:tcW w:w="1327" w:type="dxa"/>
            <w:noWrap w:val="0"/>
            <w:vAlign w:val="center"/>
          </w:tcPr>
          <w:p>
            <w:pPr>
              <w:rPr>
                <w:rFonts w:hint="eastAsia" w:ascii="宋体" w:hAnsi="宋体" w:eastAsia="宋体" w:cs="宋体"/>
                <w:kern w:val="0"/>
                <w:sz w:val="24"/>
                <w:szCs w:val="24"/>
                <w:highlight w:val="none"/>
              </w:rPr>
            </w:pPr>
          </w:p>
        </w:tc>
        <w:tc>
          <w:tcPr>
            <w:tcW w:w="1871" w:type="dxa"/>
            <w:noWrap w:val="0"/>
            <w:vAlign w:val="center"/>
          </w:tcPr>
          <w:p>
            <w:pPr>
              <w:rPr>
                <w:rFonts w:hint="eastAsia" w:ascii="宋体" w:hAnsi="宋体" w:eastAsia="宋体" w:cs="宋体"/>
                <w:kern w:val="0"/>
                <w:sz w:val="24"/>
                <w:szCs w:val="24"/>
                <w:highlight w:val="none"/>
              </w:rPr>
            </w:pPr>
          </w:p>
        </w:tc>
        <w:tc>
          <w:tcPr>
            <w:tcW w:w="1052" w:type="dxa"/>
            <w:noWrap w:val="0"/>
            <w:vAlign w:val="center"/>
          </w:tcPr>
          <w:p>
            <w:pPr>
              <w:rPr>
                <w:rFonts w:hint="eastAsia" w:ascii="宋体" w:hAnsi="宋体" w:eastAsia="宋体" w:cs="宋体"/>
                <w:kern w:val="0"/>
                <w:sz w:val="24"/>
                <w:szCs w:val="24"/>
                <w:highlight w:val="none"/>
              </w:rPr>
            </w:pPr>
          </w:p>
        </w:tc>
        <w:tc>
          <w:tcPr>
            <w:tcW w:w="1106" w:type="dxa"/>
            <w:noWrap w:val="0"/>
            <w:vAlign w:val="center"/>
          </w:tcPr>
          <w:p>
            <w:pPr>
              <w:rPr>
                <w:rFonts w:hint="eastAsia" w:ascii="宋体" w:hAnsi="宋体" w:eastAsia="宋体" w:cs="宋体"/>
                <w:kern w:val="0"/>
                <w:sz w:val="24"/>
                <w:szCs w:val="24"/>
                <w:highlight w:val="none"/>
              </w:rPr>
            </w:pPr>
          </w:p>
        </w:tc>
        <w:tc>
          <w:tcPr>
            <w:tcW w:w="929" w:type="dxa"/>
            <w:noWrap w:val="0"/>
            <w:vAlign w:val="center"/>
          </w:tcPr>
          <w:p>
            <w:pPr>
              <w:rPr>
                <w:rFonts w:hint="eastAsia" w:ascii="宋体" w:hAnsi="宋体" w:eastAsia="宋体" w:cs="宋体"/>
                <w:kern w:val="0"/>
                <w:sz w:val="24"/>
                <w:szCs w:val="24"/>
                <w:highlight w:val="none"/>
              </w:rPr>
            </w:pPr>
          </w:p>
        </w:tc>
        <w:tc>
          <w:tcPr>
            <w:tcW w:w="1158" w:type="dxa"/>
            <w:noWrap w:val="0"/>
            <w:vAlign w:val="center"/>
          </w:tcPr>
          <w:p>
            <w:pPr>
              <w:rPr>
                <w:rFonts w:hint="eastAsia" w:ascii="宋体" w:hAnsi="宋体" w:eastAsia="宋体" w:cs="宋体"/>
                <w:kern w:val="0"/>
                <w:sz w:val="24"/>
                <w:szCs w:val="24"/>
                <w:highlight w:val="none"/>
              </w:rPr>
            </w:pPr>
          </w:p>
        </w:tc>
        <w:tc>
          <w:tcPr>
            <w:tcW w:w="1544" w:type="dxa"/>
            <w:tcBorders>
              <w:right w:val="single" w:color="auto" w:sz="4" w:space="0"/>
            </w:tcBorders>
            <w:noWrap w:val="0"/>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3831" w:type="dxa"/>
            <w:gridSpan w:val="3"/>
            <w:tcBorders>
              <w:left w:val="single" w:color="auto" w:sz="4" w:space="0"/>
            </w:tcBorders>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合　　计</w:t>
            </w:r>
          </w:p>
        </w:tc>
        <w:tc>
          <w:tcPr>
            <w:tcW w:w="3087" w:type="dxa"/>
            <w:gridSpan w:val="3"/>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数量合计：</w:t>
            </w:r>
          </w:p>
        </w:tc>
        <w:tc>
          <w:tcPr>
            <w:tcW w:w="2702" w:type="dxa"/>
            <w:gridSpan w:val="2"/>
            <w:tcBorders>
              <w:right w:val="single" w:color="auto" w:sz="4" w:space="0"/>
            </w:tcBorders>
            <w:noWrap w:val="0"/>
            <w:vAlign w:val="center"/>
          </w:tcPr>
          <w:p>
            <w:pPr>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报价合计：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9620" w:type="dxa"/>
            <w:gridSpan w:val="8"/>
            <w:tcBorders>
              <w:left w:val="single" w:color="auto" w:sz="4" w:space="0"/>
              <w:bottom w:val="single" w:color="auto" w:sz="4" w:space="0"/>
              <w:right w:val="single" w:color="auto" w:sz="4" w:space="0"/>
            </w:tcBorders>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四、总报价：人民币    元。（以上各合计项与报价一览表中的对应项均一致相符，如不一致以报价一览表为准）</w:t>
            </w:r>
          </w:p>
        </w:tc>
      </w:tr>
    </w:tbl>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注：1）以上内容必须与《</w:t>
      </w:r>
      <w:r>
        <w:rPr>
          <w:rFonts w:hint="eastAsia" w:ascii="宋体" w:hAnsi="宋体" w:cs="宋体"/>
          <w:kern w:val="0"/>
          <w:sz w:val="24"/>
          <w:szCs w:val="24"/>
          <w:highlight w:val="none"/>
          <w:lang w:val="en-US" w:eastAsia="zh-CN"/>
        </w:rPr>
        <w:t>磋商</w:t>
      </w:r>
      <w:r>
        <w:rPr>
          <w:rFonts w:hint="eastAsia" w:ascii="宋体" w:hAnsi="宋体" w:eastAsia="宋体" w:cs="宋体"/>
          <w:kern w:val="0"/>
          <w:sz w:val="24"/>
          <w:szCs w:val="24"/>
          <w:highlight w:val="none"/>
        </w:rPr>
        <w:t>报价单》一致</w:t>
      </w:r>
      <w:r>
        <w:rPr>
          <w:rFonts w:hint="eastAsia" w:ascii="宋体" w:hAnsi="宋体" w:cs="宋体"/>
          <w:kern w:val="0"/>
          <w:sz w:val="24"/>
          <w:szCs w:val="24"/>
          <w:highlight w:val="none"/>
          <w:lang w:eastAsia="zh-CN"/>
        </w:rPr>
        <w:t>；</w:t>
      </w:r>
      <w:r>
        <w:rPr>
          <w:rFonts w:hint="eastAsia" w:ascii="宋体" w:hAnsi="宋体" w:eastAsia="宋体" w:cs="宋体"/>
          <w:kern w:val="0"/>
          <w:sz w:val="24"/>
          <w:szCs w:val="24"/>
          <w:highlight w:val="none"/>
        </w:rPr>
        <w:t>2)</w:t>
      </w:r>
      <w:r>
        <w:rPr>
          <w:rFonts w:hint="eastAsia" w:ascii="宋体" w:hAnsi="宋体" w:eastAsia="宋体" w:cs="宋体"/>
          <w:kern w:val="0"/>
          <w:sz w:val="24"/>
          <w:szCs w:val="24"/>
          <w:highlight w:val="none"/>
        </w:rPr>
        <w:tab/>
      </w:r>
      <w:r>
        <w:rPr>
          <w:rFonts w:hint="eastAsia" w:ascii="宋体" w:hAnsi="宋体" w:eastAsia="宋体" w:cs="宋体"/>
          <w:kern w:val="0"/>
          <w:sz w:val="24"/>
          <w:szCs w:val="24"/>
          <w:highlight w:val="none"/>
        </w:rPr>
        <w:t>对于报价免费的项目必须标明“免费”；3)</w:t>
      </w:r>
      <w:r>
        <w:rPr>
          <w:rFonts w:hint="eastAsia" w:ascii="宋体" w:hAnsi="宋体" w:eastAsia="宋体" w:cs="宋体"/>
          <w:kern w:val="0"/>
          <w:sz w:val="24"/>
          <w:szCs w:val="24"/>
          <w:highlight w:val="none"/>
        </w:rPr>
        <w:tab/>
      </w:r>
      <w:r>
        <w:rPr>
          <w:rFonts w:hint="eastAsia" w:ascii="宋体" w:hAnsi="宋体" w:eastAsia="宋体" w:cs="宋体"/>
          <w:kern w:val="0"/>
          <w:sz w:val="24"/>
          <w:szCs w:val="24"/>
          <w:highlight w:val="none"/>
        </w:rPr>
        <w:t>所有根据合同或其它原因应由报价供应商支付的税款和其它应交纳的费用都要包括在报价供应商提交的报价价格中；4)</w:t>
      </w:r>
      <w:r>
        <w:rPr>
          <w:rFonts w:hint="eastAsia" w:ascii="宋体" w:hAnsi="宋体" w:eastAsia="宋体" w:cs="宋体"/>
          <w:kern w:val="0"/>
          <w:sz w:val="24"/>
          <w:szCs w:val="24"/>
          <w:highlight w:val="none"/>
        </w:rPr>
        <w:tab/>
      </w:r>
      <w:r>
        <w:rPr>
          <w:rFonts w:hint="eastAsia" w:ascii="宋体" w:hAnsi="宋体" w:eastAsia="宋体" w:cs="宋体"/>
          <w:kern w:val="0"/>
          <w:sz w:val="24"/>
          <w:szCs w:val="24"/>
          <w:highlight w:val="none"/>
        </w:rPr>
        <w:t>应包含货物运至最终目的地的运输、保险和伴随货物服务的其他所有费用。</w:t>
      </w:r>
    </w:p>
    <w:p>
      <w:pPr>
        <w:pStyle w:val="8"/>
        <w:tabs>
          <w:tab w:val="left" w:pos="8227"/>
        </w:tabs>
        <w:kinsoku w:val="0"/>
        <w:overflowPunct w:val="0"/>
        <w:spacing w:before="0" w:line="381" w:lineRule="auto"/>
        <w:ind w:right="118" w:firstLine="4080" w:firstLineChars="1700"/>
        <w:rPr>
          <w:rFonts w:hint="eastAsia" w:ascii="宋体" w:hAnsi="宋体" w:eastAsia="宋体" w:cs="宋体"/>
          <w:highlight w:val="none"/>
        </w:rPr>
      </w:pPr>
      <w:r>
        <w:rPr>
          <w:rFonts w:hint="eastAsia" w:ascii="宋体" w:hAnsi="宋体" w:eastAsia="宋体" w:cs="宋体"/>
          <w:highlight w:val="none"/>
        </w:rPr>
        <w:t>供应商：</w:t>
      </w:r>
      <w:r>
        <w:rPr>
          <w:rFonts w:hint="eastAsia" w:ascii="宋体" w:hAnsi="宋体" w:eastAsia="宋体" w:cs="宋体"/>
          <w:w w:val="95"/>
          <w:highlight w:val="none"/>
        </w:rPr>
        <w:t>（盖章）</w:t>
      </w:r>
      <w:r>
        <w:rPr>
          <w:rFonts w:hint="eastAsia" w:ascii="宋体" w:hAnsi="宋体" w:eastAsia="宋体" w:cs="宋体"/>
          <w:highlight w:val="none"/>
        </w:rPr>
        <w:t xml:space="preserve"> </w:t>
      </w:r>
    </w:p>
    <w:p>
      <w:pPr>
        <w:pStyle w:val="8"/>
        <w:tabs>
          <w:tab w:val="left" w:pos="8227"/>
        </w:tabs>
        <w:kinsoku w:val="0"/>
        <w:overflowPunct w:val="0"/>
        <w:spacing w:before="0" w:line="381" w:lineRule="auto"/>
        <w:ind w:right="118" w:firstLine="4080" w:firstLineChars="1700"/>
        <w:rPr>
          <w:rFonts w:hint="eastAsia" w:ascii="宋体" w:hAnsi="宋体" w:eastAsia="宋体" w:cs="宋体"/>
          <w:w w:val="95"/>
          <w:highlight w:val="none"/>
        </w:rPr>
      </w:pPr>
      <w:r>
        <w:rPr>
          <w:rFonts w:hint="eastAsia" w:ascii="宋体" w:hAnsi="宋体" w:eastAsia="宋体" w:cs="宋体"/>
          <w:highlight w:val="none"/>
        </w:rPr>
        <w:t>法定代表人或被授权人：</w:t>
      </w:r>
      <w:r>
        <w:rPr>
          <w:rFonts w:hint="eastAsia" w:ascii="宋体" w:hAnsi="宋体" w:eastAsia="宋体" w:cs="宋体"/>
          <w:w w:val="95"/>
          <w:highlight w:val="none"/>
        </w:rPr>
        <w:t>（签字）</w:t>
      </w:r>
    </w:p>
    <w:p>
      <w:pPr>
        <w:pStyle w:val="8"/>
        <w:tabs>
          <w:tab w:val="left" w:pos="5551"/>
          <w:tab w:val="left" w:pos="6511"/>
          <w:tab w:val="left" w:pos="7111"/>
          <w:tab w:val="left" w:pos="7711"/>
        </w:tabs>
        <w:kinsoku w:val="0"/>
        <w:overflowPunct w:val="0"/>
        <w:spacing w:before="46"/>
        <w:ind w:firstLine="4080" w:firstLineChars="1700"/>
        <w:rPr>
          <w:rFonts w:hint="eastAsia" w:ascii="宋体" w:hAnsi="宋体" w:eastAsia="宋体" w:cs="宋体"/>
          <w:highlight w:val="none"/>
        </w:rPr>
      </w:pPr>
      <w:r>
        <w:rPr>
          <w:rFonts w:hint="eastAsia" w:ascii="宋体" w:hAnsi="宋体" w:eastAsia="宋体" w:cs="宋体"/>
          <w:highlight w:val="none"/>
        </w:rPr>
        <w:t>日期：</w:t>
      </w:r>
      <w:r>
        <w:rPr>
          <w:rFonts w:hint="eastAsia" w:ascii="宋体" w:hAnsi="宋体" w:eastAsia="宋体" w:cs="宋体"/>
          <w:highlight w:val="none"/>
          <w:lang w:val="en-US" w:eastAsia="zh-CN"/>
        </w:rPr>
        <w:t xml:space="preserve"> </w:t>
      </w:r>
      <w:r>
        <w:rPr>
          <w:rFonts w:hint="eastAsia" w:ascii="宋体" w:hAnsi="宋体" w:eastAsia="宋体" w:cs="宋体"/>
          <w:highlight w:val="none"/>
        </w:rPr>
        <w:t>年</w:t>
      </w:r>
      <w:r>
        <w:rPr>
          <w:rFonts w:hint="eastAsia" w:ascii="宋体" w:hAnsi="宋体" w:eastAsia="宋体" w:cs="宋体"/>
          <w:highlight w:val="none"/>
          <w:lang w:val="en-US" w:eastAsia="zh-CN"/>
        </w:rPr>
        <w:t xml:space="preserve"> </w:t>
      </w:r>
      <w:r>
        <w:rPr>
          <w:rFonts w:hint="eastAsia" w:ascii="宋体" w:hAnsi="宋体" w:eastAsia="宋体" w:cs="宋体"/>
          <w:highlight w:val="none"/>
        </w:rPr>
        <w:t>月</w:t>
      </w:r>
      <w:r>
        <w:rPr>
          <w:rFonts w:hint="eastAsia" w:ascii="宋体" w:hAnsi="宋体" w:eastAsia="宋体" w:cs="宋体"/>
          <w:highlight w:val="none"/>
          <w:lang w:val="en-US" w:eastAsia="zh-CN"/>
        </w:rPr>
        <w:t xml:space="preserve"> </w:t>
      </w:r>
      <w:r>
        <w:rPr>
          <w:rFonts w:hint="eastAsia" w:ascii="宋体" w:hAnsi="宋体" w:eastAsia="宋体" w:cs="宋体"/>
          <w:highlight w:val="none"/>
        </w:rPr>
        <w:t>日</w:t>
      </w:r>
    </w:p>
    <w:p>
      <w:pPr>
        <w:jc w:val="center"/>
        <w:rPr>
          <w:rFonts w:hint="eastAsia" w:ascii="宋体" w:hAnsi="宋体" w:eastAsia="宋体" w:cs="宋体"/>
          <w:b/>
          <w:kern w:val="0"/>
          <w:sz w:val="24"/>
          <w:szCs w:val="24"/>
          <w:highlight w:val="none"/>
        </w:rPr>
      </w:pPr>
      <w:r>
        <w:rPr>
          <w:rFonts w:hint="eastAsia" w:ascii="宋体" w:hAnsi="宋体" w:eastAsia="宋体" w:cs="宋体"/>
          <w:highlight w:val="none"/>
        </w:rPr>
        <w:br w:type="page"/>
      </w:r>
      <w:r>
        <w:rPr>
          <w:rFonts w:hint="eastAsia" w:ascii="宋体" w:hAnsi="宋体" w:eastAsia="宋体" w:cs="宋体"/>
          <w:b/>
          <w:kern w:val="0"/>
          <w:sz w:val="24"/>
          <w:szCs w:val="24"/>
          <w:highlight w:val="none"/>
        </w:rPr>
        <w:t>政策适用性说明</w:t>
      </w:r>
    </w:p>
    <w:p>
      <w:pPr>
        <w:ind w:firstLine="482" w:firstLineChars="200"/>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按照政府采购有关政策的要求，在本次的技术方案中，采用符合政策的小型或微型企业产品、节能产品、环保标志产品，主要产品与核心技术介绍说明如下：</w:t>
      </w:r>
    </w:p>
    <w:tbl>
      <w:tblPr>
        <w:tblStyle w:val="17"/>
        <w:tblW w:w="89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0"/>
        <w:gridCol w:w="2379"/>
        <w:gridCol w:w="1121"/>
        <w:gridCol w:w="803"/>
        <w:gridCol w:w="876"/>
        <w:gridCol w:w="982"/>
        <w:gridCol w:w="1010"/>
        <w:gridCol w:w="1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5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序号</w:t>
            </w:r>
          </w:p>
        </w:tc>
        <w:tc>
          <w:tcPr>
            <w:tcW w:w="237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主要产品/技术名称</w:t>
            </w:r>
          </w:p>
          <w:p>
            <w:pPr>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（规格型号、注册商标）</w:t>
            </w:r>
          </w:p>
        </w:tc>
        <w:tc>
          <w:tcPr>
            <w:tcW w:w="11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lang w:eastAsia="zh-CN"/>
              </w:rPr>
            </w:pPr>
            <w:r>
              <w:rPr>
                <w:rFonts w:hint="eastAsia" w:ascii="宋体" w:hAnsi="宋体" w:eastAsia="宋体" w:cs="宋体"/>
                <w:b/>
                <w:bCs/>
                <w:kern w:val="0"/>
                <w:sz w:val="24"/>
                <w:szCs w:val="24"/>
                <w:highlight w:val="none"/>
              </w:rPr>
              <w:t>制造商</w:t>
            </w:r>
          </w:p>
          <w:p>
            <w:pPr>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(开发商)</w:t>
            </w:r>
          </w:p>
        </w:tc>
        <w:tc>
          <w:tcPr>
            <w:tcW w:w="80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企业类型</w:t>
            </w:r>
          </w:p>
        </w:tc>
        <w:tc>
          <w:tcPr>
            <w:tcW w:w="87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lang w:eastAsia="zh-CN"/>
              </w:rPr>
            </w:pPr>
            <w:r>
              <w:rPr>
                <w:rFonts w:hint="eastAsia" w:ascii="宋体" w:hAnsi="宋体" w:eastAsia="宋体" w:cs="宋体"/>
                <w:b/>
                <w:bCs/>
                <w:kern w:val="0"/>
                <w:sz w:val="24"/>
                <w:szCs w:val="24"/>
                <w:highlight w:val="none"/>
              </w:rPr>
              <w:t>节能</w:t>
            </w:r>
          </w:p>
          <w:p>
            <w:pPr>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产品</w:t>
            </w:r>
          </w:p>
        </w:tc>
        <w:tc>
          <w:tcPr>
            <w:tcW w:w="9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环保标志产品</w:t>
            </w:r>
          </w:p>
        </w:tc>
        <w:tc>
          <w:tcPr>
            <w:tcW w:w="101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认证证书编号</w:t>
            </w:r>
          </w:p>
        </w:tc>
        <w:tc>
          <w:tcPr>
            <w:tcW w:w="122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该产品报价（合计）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5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237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11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80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87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9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101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122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5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237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11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80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87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9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101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122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5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237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11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80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87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9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101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122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5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237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11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80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87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9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101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122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5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237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11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80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87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9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101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122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5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7171"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总合计（节能产品）</w:t>
            </w:r>
          </w:p>
        </w:tc>
        <w:tc>
          <w:tcPr>
            <w:tcW w:w="122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5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7171"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总合计（环保产品）</w:t>
            </w:r>
          </w:p>
        </w:tc>
        <w:tc>
          <w:tcPr>
            <w:tcW w:w="122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r>
    </w:tbl>
    <w:p>
      <w:pPr>
        <w:rPr>
          <w:rFonts w:hint="eastAsia" w:ascii="宋体" w:hAnsi="宋体" w:eastAsia="宋体" w:cs="宋体"/>
          <w:b/>
          <w:bCs/>
          <w:kern w:val="0"/>
          <w:sz w:val="24"/>
          <w:szCs w:val="24"/>
          <w:highlight w:val="none"/>
        </w:rPr>
      </w:pPr>
    </w:p>
    <w:p>
      <w:pPr>
        <w:spacing w:line="480" w:lineRule="exact"/>
        <w:ind w:firstLine="482" w:firstLineChars="200"/>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注：1</w:t>
      </w:r>
      <w:r>
        <w:rPr>
          <w:rFonts w:hint="eastAsia" w:ascii="宋体" w:hAnsi="宋体" w:cs="宋体"/>
          <w:b/>
          <w:bCs/>
          <w:kern w:val="0"/>
          <w:sz w:val="24"/>
          <w:szCs w:val="24"/>
          <w:highlight w:val="none"/>
          <w:lang w:eastAsia="zh-CN"/>
        </w:rPr>
        <w:t>、</w:t>
      </w:r>
      <w:r>
        <w:rPr>
          <w:rFonts w:hint="eastAsia" w:ascii="宋体" w:hAnsi="宋体" w:eastAsia="宋体" w:cs="宋体"/>
          <w:b/>
          <w:bCs/>
          <w:kern w:val="0"/>
          <w:sz w:val="24"/>
          <w:szCs w:val="24"/>
          <w:highlight w:val="none"/>
        </w:rPr>
        <w:t>企业为小型或微型企业时才需要填“企业类型”栏，填写内容为“小型”或“微型”；</w:t>
      </w:r>
    </w:p>
    <w:p>
      <w:pPr>
        <w:spacing w:line="480" w:lineRule="exact"/>
        <w:ind w:firstLine="482" w:firstLineChars="200"/>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2、“节能产品、环保标志产品”是属于国家行业主管部门颁布的清单目录中的产品，须填写认证证书编号，并在“节能产品”、“环保标志产品”栏中填写属于“第　  期清单”的产品（产品被列入多期清单的，以最新一期为准），同时提供有效期内的下述文件（均为复印件，加盖报价供应商公章）：</w:t>
      </w:r>
    </w:p>
    <w:p>
      <w:pPr>
        <w:spacing w:line="480" w:lineRule="exact"/>
        <w:ind w:firstLine="482" w:firstLineChars="200"/>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（1）属于“节能产品政府采购清单”中品目的产品，提供“节能产品政府采购清单（第___期）”中报价产品所在清单页并加盖报价供应商公章，节能清单在中国政府采购网（http：//www.ccgp.gov .cn/）、国家发展改革委网站（</w:t>
      </w:r>
      <w:r>
        <w:rPr>
          <w:rFonts w:hint="eastAsia" w:ascii="宋体" w:hAnsi="宋体" w:eastAsia="宋体" w:cs="宋体"/>
          <w:b/>
          <w:bCs/>
          <w:kern w:val="0"/>
          <w:sz w:val="24"/>
          <w:szCs w:val="24"/>
          <w:highlight w:val="none"/>
        </w:rPr>
        <w:fldChar w:fldCharType="begin"/>
      </w:r>
      <w:r>
        <w:rPr>
          <w:rFonts w:hint="eastAsia" w:ascii="宋体" w:hAnsi="宋体" w:eastAsia="宋体" w:cs="宋体"/>
          <w:b/>
          <w:bCs/>
          <w:kern w:val="0"/>
          <w:sz w:val="24"/>
          <w:szCs w:val="24"/>
          <w:highlight w:val="none"/>
        </w:rPr>
        <w:instrText xml:space="preserve"> HYPERLINK "http://hzs.nd/" </w:instrText>
      </w:r>
      <w:r>
        <w:rPr>
          <w:rFonts w:hint="eastAsia" w:ascii="宋体" w:hAnsi="宋体" w:eastAsia="宋体" w:cs="宋体"/>
          <w:b/>
          <w:bCs/>
          <w:kern w:val="0"/>
          <w:sz w:val="24"/>
          <w:szCs w:val="24"/>
          <w:highlight w:val="none"/>
        </w:rPr>
        <w:fldChar w:fldCharType="separate"/>
      </w:r>
      <w:r>
        <w:rPr>
          <w:rFonts w:hint="eastAsia" w:ascii="宋体" w:hAnsi="宋体" w:eastAsia="宋体" w:cs="宋体"/>
          <w:b/>
          <w:bCs/>
          <w:kern w:val="0"/>
          <w:sz w:val="24"/>
          <w:szCs w:val="24"/>
          <w:highlight w:val="none"/>
        </w:rPr>
        <w:t>http://hzs.nd</w:t>
      </w:r>
      <w:r>
        <w:rPr>
          <w:rFonts w:hint="eastAsia" w:ascii="宋体" w:hAnsi="宋体" w:eastAsia="宋体" w:cs="宋体"/>
          <w:b/>
          <w:bCs/>
          <w:kern w:val="0"/>
          <w:sz w:val="24"/>
          <w:szCs w:val="24"/>
          <w:highlight w:val="none"/>
        </w:rPr>
        <w:fldChar w:fldCharType="end"/>
      </w:r>
      <w:r>
        <w:rPr>
          <w:rFonts w:hint="eastAsia" w:ascii="宋体" w:hAnsi="宋体" w:eastAsia="宋体" w:cs="宋体"/>
          <w:b/>
          <w:bCs/>
          <w:kern w:val="0"/>
          <w:sz w:val="24"/>
          <w:szCs w:val="24"/>
          <w:highlight w:val="none"/>
        </w:rPr>
        <w:t xml:space="preserve"> rc.gv.cn/）和中国质量认证中心网站（http://www.cqc.com.cn/）上发布；</w:t>
      </w:r>
    </w:p>
    <w:p>
      <w:pPr>
        <w:spacing w:line="480" w:lineRule="exact"/>
        <w:ind w:firstLine="482" w:firstLineChars="200"/>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2）属于“环境标志产品政府采购清单”中品目的产品，提供最新“环境标志产品政府采购清单（第___期）”中报价产品所在清单页并加盖报价供应商公章，清单在中国政府采购网（http://www.ccgp.gov.cn/）、国家环境保护总局网（http://www.sepa.gov.cn/）、中国绿色采购网（http://www.cgpn. cn/）上发布；</w:t>
      </w:r>
    </w:p>
    <w:p>
      <w:pPr>
        <w:spacing w:line="480" w:lineRule="exact"/>
        <w:ind w:firstLine="482" w:firstLineChars="200"/>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3、如不填写或填写不全，后果自行承担。</w:t>
      </w:r>
    </w:p>
    <w:p>
      <w:pPr>
        <w:pStyle w:val="8"/>
        <w:tabs>
          <w:tab w:val="left" w:pos="8227"/>
        </w:tabs>
        <w:kinsoku w:val="0"/>
        <w:overflowPunct w:val="0"/>
        <w:spacing w:before="0" w:line="381" w:lineRule="auto"/>
        <w:ind w:left="4027" w:right="118"/>
        <w:rPr>
          <w:rFonts w:hint="eastAsia" w:ascii="宋体" w:hAnsi="宋体" w:eastAsia="宋体" w:cs="宋体"/>
          <w:b/>
          <w:bCs/>
          <w:highlight w:val="none"/>
        </w:rPr>
      </w:pPr>
    </w:p>
    <w:p>
      <w:pPr>
        <w:pStyle w:val="8"/>
        <w:tabs>
          <w:tab w:val="left" w:pos="8227"/>
        </w:tabs>
        <w:kinsoku w:val="0"/>
        <w:overflowPunct w:val="0"/>
        <w:spacing w:before="0" w:line="381" w:lineRule="auto"/>
        <w:ind w:right="118"/>
        <w:jc w:val="left"/>
        <w:rPr>
          <w:rFonts w:hint="eastAsia" w:ascii="宋体" w:hAnsi="宋体" w:eastAsia="宋体" w:cs="宋体"/>
          <w:b/>
          <w:bCs/>
          <w:highlight w:val="none"/>
        </w:rPr>
      </w:pPr>
      <w:r>
        <w:rPr>
          <w:rFonts w:hint="eastAsia" w:ascii="宋体" w:hAnsi="宋体" w:eastAsia="宋体" w:cs="宋体"/>
          <w:b/>
          <w:bCs/>
          <w:highlight w:val="none"/>
        </w:rPr>
        <w:t>供应商：</w:t>
      </w:r>
      <w:r>
        <w:rPr>
          <w:rFonts w:hint="eastAsia" w:ascii="宋体" w:hAnsi="宋体" w:eastAsia="宋体" w:cs="宋体"/>
          <w:b/>
          <w:bCs/>
          <w:w w:val="95"/>
          <w:highlight w:val="none"/>
        </w:rPr>
        <w:t>（盖章）</w:t>
      </w:r>
    </w:p>
    <w:p>
      <w:pPr>
        <w:pStyle w:val="8"/>
        <w:tabs>
          <w:tab w:val="left" w:pos="8227"/>
        </w:tabs>
        <w:kinsoku w:val="0"/>
        <w:overflowPunct w:val="0"/>
        <w:spacing w:before="0" w:line="381" w:lineRule="auto"/>
        <w:ind w:right="118"/>
        <w:jc w:val="left"/>
        <w:rPr>
          <w:rFonts w:hint="eastAsia" w:ascii="宋体" w:hAnsi="宋体" w:eastAsia="宋体" w:cs="宋体"/>
          <w:b/>
          <w:bCs/>
          <w:w w:val="95"/>
          <w:highlight w:val="none"/>
        </w:rPr>
      </w:pPr>
      <w:r>
        <w:rPr>
          <w:rFonts w:hint="eastAsia" w:ascii="宋体" w:hAnsi="宋体" w:eastAsia="宋体" w:cs="宋体"/>
          <w:b/>
          <w:bCs/>
          <w:highlight w:val="none"/>
        </w:rPr>
        <w:t>法定代表人或被授权人：</w:t>
      </w:r>
      <w:r>
        <w:rPr>
          <w:rFonts w:hint="eastAsia" w:ascii="宋体" w:hAnsi="宋体" w:eastAsia="宋体" w:cs="宋体"/>
          <w:b/>
          <w:bCs/>
          <w:w w:val="95"/>
          <w:highlight w:val="none"/>
        </w:rPr>
        <w:t>（签字）</w:t>
      </w:r>
    </w:p>
    <w:p>
      <w:pPr>
        <w:pStyle w:val="8"/>
        <w:tabs>
          <w:tab w:val="left" w:pos="5551"/>
          <w:tab w:val="left" w:pos="6511"/>
          <w:tab w:val="left" w:pos="7111"/>
          <w:tab w:val="left" w:pos="7711"/>
        </w:tabs>
        <w:kinsoku w:val="0"/>
        <w:overflowPunct w:val="0"/>
        <w:spacing w:before="46"/>
        <w:jc w:val="left"/>
        <w:rPr>
          <w:rFonts w:hint="eastAsia" w:ascii="宋体" w:hAnsi="宋体" w:eastAsia="宋体" w:cs="宋体"/>
          <w:b/>
          <w:bCs/>
          <w:highlight w:val="none"/>
        </w:rPr>
      </w:pPr>
      <w:r>
        <w:rPr>
          <w:rFonts w:hint="eastAsia" w:ascii="宋体" w:hAnsi="宋体" w:eastAsia="宋体" w:cs="宋体"/>
          <w:b/>
          <w:bCs/>
          <w:highlight w:val="none"/>
        </w:rPr>
        <w:t>日期：年月日</w:t>
      </w:r>
    </w:p>
    <w:p>
      <w:pPr>
        <w:pStyle w:val="8"/>
        <w:tabs>
          <w:tab w:val="left" w:pos="5551"/>
          <w:tab w:val="left" w:pos="6511"/>
          <w:tab w:val="left" w:pos="7111"/>
          <w:tab w:val="left" w:pos="7711"/>
        </w:tabs>
        <w:kinsoku w:val="0"/>
        <w:overflowPunct w:val="0"/>
        <w:spacing w:before="46"/>
        <w:ind w:left="0"/>
        <w:rPr>
          <w:rFonts w:hint="eastAsia" w:ascii="宋体" w:hAnsi="宋体" w:eastAsia="宋体" w:cs="宋体"/>
          <w:highlight w:val="none"/>
        </w:rPr>
      </w:pPr>
      <w:r>
        <w:rPr>
          <w:rFonts w:hint="eastAsia" w:ascii="宋体" w:hAnsi="宋体" w:eastAsia="宋体" w:cs="宋体"/>
          <w:highlight w:val="none"/>
        </w:rPr>
        <w:br w:type="page"/>
      </w:r>
    </w:p>
    <w:p>
      <w:pPr>
        <w:pStyle w:val="8"/>
        <w:kinsoku w:val="0"/>
        <w:overflowPunct w:val="0"/>
        <w:spacing w:before="34" w:line="357" w:lineRule="auto"/>
        <w:ind w:right="126" w:firstLine="480"/>
        <w:jc w:val="center"/>
        <w:outlineLvl w:val="1"/>
        <w:rPr>
          <w:rFonts w:hint="eastAsia" w:ascii="宋体" w:hAnsi="宋体" w:eastAsia="宋体" w:cs="宋体"/>
          <w:b/>
          <w:bCs/>
          <w:highlight w:val="none"/>
        </w:rPr>
      </w:pPr>
      <w:r>
        <w:rPr>
          <w:rFonts w:hint="eastAsia" w:ascii="宋体" w:hAnsi="宋体" w:eastAsia="宋体" w:cs="宋体"/>
          <w:b/>
          <w:bCs/>
          <w:sz w:val="36"/>
          <w:szCs w:val="36"/>
          <w:highlight w:val="none"/>
        </w:rPr>
        <w:t>七、供应商基本情况</w:t>
      </w:r>
    </w:p>
    <w:p>
      <w:pPr>
        <w:pStyle w:val="8"/>
        <w:kinsoku w:val="0"/>
        <w:overflowPunct w:val="0"/>
        <w:spacing w:before="0"/>
        <w:ind w:left="3104" w:right="2998"/>
        <w:jc w:val="center"/>
        <w:rPr>
          <w:rFonts w:hint="eastAsia" w:ascii="宋体" w:hAnsi="宋体" w:eastAsia="宋体" w:cs="宋体"/>
          <w:highlight w:val="none"/>
        </w:rPr>
      </w:pPr>
      <w:r>
        <w:rPr>
          <w:rFonts w:hint="eastAsia" w:ascii="宋体" w:hAnsi="宋体" w:eastAsia="宋体" w:cs="宋体"/>
          <w:b/>
          <w:bCs/>
          <w:highlight w:val="none"/>
        </w:rPr>
        <w:t>（一）供应商基本情况表</w:t>
      </w:r>
    </w:p>
    <w:p>
      <w:pPr>
        <w:pStyle w:val="8"/>
        <w:kinsoku w:val="0"/>
        <w:overflowPunct w:val="0"/>
        <w:spacing w:before="5"/>
        <w:ind w:left="0"/>
        <w:rPr>
          <w:rFonts w:hint="eastAsia" w:ascii="宋体" w:hAnsi="宋体" w:eastAsia="宋体" w:cs="宋体"/>
          <w:b/>
          <w:bCs/>
          <w:sz w:val="6"/>
          <w:szCs w:val="6"/>
          <w:highlight w:val="none"/>
        </w:rPr>
      </w:pPr>
    </w:p>
    <w:tbl>
      <w:tblPr>
        <w:tblStyle w:val="17"/>
        <w:tblW w:w="0" w:type="auto"/>
        <w:jc w:val="center"/>
        <w:tblLayout w:type="fixed"/>
        <w:tblCellMar>
          <w:top w:w="0" w:type="dxa"/>
          <w:left w:w="0" w:type="dxa"/>
          <w:bottom w:w="0" w:type="dxa"/>
          <w:right w:w="0" w:type="dxa"/>
        </w:tblCellMar>
      </w:tblPr>
      <w:tblGrid>
        <w:gridCol w:w="1242"/>
        <w:gridCol w:w="1445"/>
        <w:gridCol w:w="849"/>
        <w:gridCol w:w="493"/>
        <w:gridCol w:w="655"/>
        <w:gridCol w:w="688"/>
        <w:gridCol w:w="458"/>
        <w:gridCol w:w="367"/>
        <w:gridCol w:w="552"/>
        <w:gridCol w:w="1965"/>
      </w:tblGrid>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21"/>
              <w:kinsoku w:val="0"/>
              <w:overflowPunct w:val="0"/>
              <w:spacing w:before="145"/>
              <w:ind w:left="137"/>
              <w:rPr>
                <w:rFonts w:hint="eastAsia" w:ascii="宋体" w:hAnsi="宋体" w:eastAsia="宋体" w:cs="宋体"/>
                <w:highlight w:val="none"/>
              </w:rPr>
            </w:pPr>
            <w:r>
              <w:rPr>
                <w:rFonts w:hint="eastAsia" w:ascii="宋体" w:hAnsi="宋体" w:eastAsia="宋体" w:cs="宋体"/>
                <w:highlight w:val="none"/>
              </w:rPr>
              <w:t>单位名称</w:t>
            </w: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21"/>
              <w:kinsoku w:val="0"/>
              <w:overflowPunct w:val="0"/>
              <w:spacing w:before="145"/>
              <w:ind w:left="137"/>
              <w:rPr>
                <w:rFonts w:hint="eastAsia" w:ascii="宋体" w:hAnsi="宋体" w:eastAsia="宋体" w:cs="宋体"/>
                <w:highlight w:val="none"/>
              </w:rPr>
            </w:pPr>
            <w:r>
              <w:rPr>
                <w:rFonts w:hint="eastAsia" w:ascii="宋体" w:hAnsi="宋体" w:eastAsia="宋体" w:cs="宋体"/>
                <w:highlight w:val="none"/>
              </w:rPr>
              <w:t>单位地址</w:t>
            </w: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21"/>
              <w:kinsoku w:val="0"/>
              <w:overflowPunct w:val="0"/>
              <w:spacing w:before="145"/>
              <w:ind w:left="137"/>
              <w:rPr>
                <w:rFonts w:hint="eastAsia" w:ascii="宋体" w:hAnsi="宋体" w:eastAsia="宋体" w:cs="宋体"/>
                <w:highlight w:val="none"/>
              </w:rPr>
            </w:pPr>
            <w:r>
              <w:rPr>
                <w:rFonts w:hint="eastAsia" w:ascii="宋体" w:hAnsi="宋体" w:eastAsia="宋体" w:cs="宋体"/>
                <w:highlight w:val="none"/>
              </w:rPr>
              <w:t>主管部门</w:t>
            </w: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21"/>
              <w:kinsoku w:val="0"/>
              <w:overflowPunct w:val="0"/>
              <w:spacing w:before="145"/>
              <w:ind w:left="137"/>
              <w:rPr>
                <w:rFonts w:hint="eastAsia" w:ascii="宋体" w:hAnsi="宋体" w:eastAsia="宋体" w:cs="宋体"/>
                <w:highlight w:val="none"/>
              </w:rPr>
            </w:pPr>
            <w:r>
              <w:rPr>
                <w:rFonts w:hint="eastAsia" w:ascii="宋体" w:hAnsi="宋体" w:eastAsia="宋体" w:cs="宋体"/>
                <w:highlight w:val="none"/>
              </w:rPr>
              <w:t>成立时间</w:t>
            </w:r>
          </w:p>
        </w:tc>
        <w:tc>
          <w:tcPr>
            <w:tcW w:w="2294"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c>
          <w:tcPr>
            <w:tcW w:w="2294" w:type="dxa"/>
            <w:gridSpan w:val="4"/>
            <w:tcBorders>
              <w:top w:val="single" w:color="000000" w:sz="4" w:space="0"/>
              <w:left w:val="single" w:color="000000" w:sz="4" w:space="0"/>
              <w:bottom w:val="single" w:color="000000" w:sz="4" w:space="0"/>
              <w:right w:val="single" w:color="000000" w:sz="4" w:space="0"/>
            </w:tcBorders>
            <w:noWrap w:val="0"/>
            <w:vAlign w:val="top"/>
          </w:tcPr>
          <w:p>
            <w:pPr>
              <w:pStyle w:val="21"/>
              <w:kinsoku w:val="0"/>
              <w:overflowPunct w:val="0"/>
              <w:spacing w:before="145"/>
              <w:ind w:left="181"/>
              <w:rPr>
                <w:rFonts w:hint="eastAsia" w:ascii="宋体" w:hAnsi="宋体" w:eastAsia="宋体" w:cs="宋体"/>
                <w:highlight w:val="none"/>
              </w:rPr>
            </w:pPr>
            <w:r>
              <w:rPr>
                <w:rFonts w:hint="eastAsia" w:ascii="宋体" w:hAnsi="宋体" w:eastAsia="宋体" w:cs="宋体"/>
                <w:highlight w:val="none"/>
              </w:rPr>
              <w:t>注册资金（万元）</w:t>
            </w:r>
          </w:p>
        </w:tc>
        <w:tc>
          <w:tcPr>
            <w:tcW w:w="2884"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21"/>
              <w:kinsoku w:val="0"/>
              <w:overflowPunct w:val="0"/>
              <w:spacing w:before="146"/>
              <w:ind w:left="137"/>
              <w:rPr>
                <w:rFonts w:hint="eastAsia" w:ascii="宋体" w:hAnsi="宋体" w:eastAsia="宋体" w:cs="宋体"/>
                <w:highlight w:val="none"/>
              </w:rPr>
            </w:pPr>
            <w:r>
              <w:rPr>
                <w:rFonts w:hint="eastAsia" w:ascii="宋体" w:hAnsi="宋体" w:eastAsia="宋体" w:cs="宋体"/>
                <w:highlight w:val="none"/>
              </w:rPr>
              <w:t>单位性质</w:t>
            </w: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r>
      <w:tr>
        <w:tblPrEx>
          <w:tblCellMar>
            <w:top w:w="0" w:type="dxa"/>
            <w:left w:w="0" w:type="dxa"/>
            <w:bottom w:w="0" w:type="dxa"/>
            <w:right w:w="0" w:type="dxa"/>
          </w:tblCellMar>
        </w:tblPrEx>
        <w:trPr>
          <w:trHeight w:val="933"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21"/>
              <w:kinsoku w:val="0"/>
              <w:overflowPunct w:val="0"/>
              <w:spacing w:before="141" w:line="312" w:lineRule="exact"/>
              <w:ind w:left="257" w:right="133" w:hanging="120"/>
              <w:rPr>
                <w:rFonts w:hint="eastAsia" w:ascii="宋体" w:hAnsi="宋体" w:eastAsia="宋体" w:cs="宋体"/>
                <w:highlight w:val="none"/>
              </w:rPr>
            </w:pPr>
            <w:r>
              <w:rPr>
                <w:rFonts w:hint="eastAsia" w:ascii="宋体" w:hAnsi="宋体" w:eastAsia="宋体" w:cs="宋体"/>
                <w:highlight w:val="none"/>
              </w:rPr>
              <w:t>投标期间 联系人</w:t>
            </w: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c>
          <w:tcPr>
            <w:tcW w:w="1342" w:type="dxa"/>
            <w:gridSpan w:val="2"/>
            <w:tcBorders>
              <w:top w:val="single" w:color="000000" w:sz="4" w:space="0"/>
              <w:left w:val="single" w:color="000000" w:sz="4" w:space="0"/>
              <w:bottom w:val="single" w:color="000000" w:sz="4" w:space="0"/>
              <w:right w:val="single" w:color="000000" w:sz="4" w:space="0"/>
            </w:tcBorders>
            <w:noWrap w:val="0"/>
            <w:vAlign w:val="top"/>
          </w:tcPr>
          <w:p>
            <w:pPr>
              <w:pStyle w:val="21"/>
              <w:kinsoku w:val="0"/>
              <w:overflowPunct w:val="0"/>
              <w:spacing w:before="4"/>
              <w:rPr>
                <w:rFonts w:hint="eastAsia" w:ascii="宋体" w:hAnsi="宋体" w:eastAsia="宋体" w:cs="宋体"/>
                <w:b/>
                <w:bCs/>
                <w:sz w:val="20"/>
                <w:szCs w:val="20"/>
                <w:highlight w:val="none"/>
              </w:rPr>
            </w:pPr>
          </w:p>
          <w:p>
            <w:pPr>
              <w:pStyle w:val="21"/>
              <w:kinsoku w:val="0"/>
              <w:overflowPunct w:val="0"/>
              <w:ind w:left="366"/>
              <w:rPr>
                <w:rFonts w:hint="eastAsia" w:ascii="宋体" w:hAnsi="宋体" w:eastAsia="宋体" w:cs="宋体"/>
                <w:highlight w:val="none"/>
              </w:rPr>
            </w:pPr>
            <w:r>
              <w:rPr>
                <w:rFonts w:hint="eastAsia" w:ascii="宋体" w:hAnsi="宋体" w:eastAsia="宋体" w:cs="宋体"/>
                <w:highlight w:val="none"/>
              </w:rPr>
              <w:t>电 话</w:t>
            </w:r>
          </w:p>
        </w:tc>
        <w:tc>
          <w:tcPr>
            <w:tcW w:w="1343"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c>
          <w:tcPr>
            <w:tcW w:w="1377" w:type="dxa"/>
            <w:gridSpan w:val="3"/>
            <w:tcBorders>
              <w:top w:val="single" w:color="000000" w:sz="4" w:space="0"/>
              <w:left w:val="single" w:color="000000" w:sz="4" w:space="0"/>
              <w:bottom w:val="single" w:color="000000" w:sz="4" w:space="0"/>
              <w:right w:val="single" w:color="000000" w:sz="4" w:space="0"/>
            </w:tcBorders>
            <w:noWrap w:val="0"/>
            <w:vAlign w:val="top"/>
          </w:tcPr>
          <w:p>
            <w:pPr>
              <w:pStyle w:val="21"/>
              <w:kinsoku w:val="0"/>
              <w:overflowPunct w:val="0"/>
              <w:spacing w:before="4"/>
              <w:rPr>
                <w:rFonts w:hint="eastAsia" w:ascii="宋体" w:hAnsi="宋体" w:eastAsia="宋体" w:cs="宋体"/>
                <w:b/>
                <w:bCs/>
                <w:sz w:val="20"/>
                <w:szCs w:val="20"/>
                <w:highlight w:val="none"/>
              </w:rPr>
            </w:pPr>
          </w:p>
          <w:p>
            <w:pPr>
              <w:pStyle w:val="21"/>
              <w:kinsoku w:val="0"/>
              <w:overflowPunct w:val="0"/>
              <w:ind w:left="383"/>
              <w:rPr>
                <w:rFonts w:hint="eastAsia" w:ascii="宋体" w:hAnsi="宋体" w:eastAsia="宋体" w:cs="宋体"/>
                <w:highlight w:val="none"/>
              </w:rPr>
            </w:pPr>
            <w:r>
              <w:rPr>
                <w:rFonts w:hint="eastAsia" w:ascii="宋体" w:hAnsi="宋体" w:eastAsia="宋体" w:cs="宋体"/>
                <w:highlight w:val="none"/>
              </w:rPr>
              <w:t>传 真</w:t>
            </w:r>
          </w:p>
        </w:tc>
        <w:tc>
          <w:tcPr>
            <w:tcW w:w="196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r>
      <w:tr>
        <w:tblPrEx>
          <w:tblCellMar>
            <w:top w:w="0" w:type="dxa"/>
            <w:left w:w="0" w:type="dxa"/>
            <w:bottom w:w="0" w:type="dxa"/>
            <w:right w:w="0" w:type="dxa"/>
          </w:tblCellMar>
        </w:tblPrEx>
        <w:trPr>
          <w:trHeight w:val="691" w:hRule="exact"/>
          <w:jc w:val="center"/>
        </w:trPr>
        <w:tc>
          <w:tcPr>
            <w:tcW w:w="1242" w:type="dxa"/>
            <w:vMerge w:val="restart"/>
            <w:tcBorders>
              <w:top w:val="single" w:color="000000" w:sz="4" w:space="0"/>
              <w:left w:val="single" w:color="000000" w:sz="4" w:space="0"/>
              <w:bottom w:val="single" w:color="000000" w:sz="4" w:space="0"/>
              <w:right w:val="single" w:color="000000" w:sz="4" w:space="0"/>
            </w:tcBorders>
            <w:noWrap w:val="0"/>
            <w:vAlign w:val="top"/>
          </w:tcPr>
          <w:p>
            <w:pPr>
              <w:pStyle w:val="21"/>
              <w:kinsoku w:val="0"/>
              <w:overflowPunct w:val="0"/>
              <w:rPr>
                <w:rFonts w:hint="eastAsia" w:ascii="宋体" w:hAnsi="宋体" w:eastAsia="宋体" w:cs="宋体"/>
                <w:b/>
                <w:bCs/>
                <w:highlight w:val="none"/>
              </w:rPr>
            </w:pPr>
          </w:p>
          <w:p>
            <w:pPr>
              <w:pStyle w:val="21"/>
              <w:kinsoku w:val="0"/>
              <w:overflowPunct w:val="0"/>
              <w:rPr>
                <w:rFonts w:hint="eastAsia" w:ascii="宋体" w:hAnsi="宋体" w:eastAsia="宋体" w:cs="宋体"/>
                <w:b/>
                <w:bCs/>
                <w:highlight w:val="none"/>
              </w:rPr>
            </w:pPr>
          </w:p>
          <w:p>
            <w:pPr>
              <w:pStyle w:val="21"/>
              <w:kinsoku w:val="0"/>
              <w:overflowPunct w:val="0"/>
              <w:rPr>
                <w:rFonts w:hint="eastAsia" w:ascii="宋体" w:hAnsi="宋体" w:eastAsia="宋体" w:cs="宋体"/>
                <w:b/>
                <w:bCs/>
                <w:highlight w:val="none"/>
              </w:rPr>
            </w:pPr>
          </w:p>
          <w:p>
            <w:pPr>
              <w:pStyle w:val="21"/>
              <w:kinsoku w:val="0"/>
              <w:overflowPunct w:val="0"/>
              <w:spacing w:line="475" w:lineRule="auto"/>
              <w:ind w:left="497" w:right="493"/>
              <w:jc w:val="both"/>
              <w:rPr>
                <w:rFonts w:hint="eastAsia" w:ascii="宋体" w:hAnsi="宋体" w:eastAsia="宋体" w:cs="宋体"/>
                <w:highlight w:val="none"/>
              </w:rPr>
            </w:pPr>
            <w:r>
              <w:rPr>
                <w:rFonts w:hint="eastAsia" w:ascii="宋体" w:hAnsi="宋体" w:eastAsia="宋体" w:cs="宋体"/>
                <w:highlight w:val="none"/>
              </w:rPr>
              <w:t>职 工 概 况</w:t>
            </w: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pStyle w:val="21"/>
              <w:kinsoku w:val="0"/>
              <w:overflowPunct w:val="0"/>
              <w:spacing w:before="144"/>
              <w:ind w:left="236"/>
              <w:rPr>
                <w:rFonts w:hint="eastAsia" w:ascii="宋体" w:hAnsi="宋体" w:eastAsia="宋体" w:cs="宋体"/>
                <w:highlight w:val="none"/>
              </w:rPr>
            </w:pPr>
            <w:r>
              <w:rPr>
                <w:rFonts w:hint="eastAsia" w:ascii="宋体" w:hAnsi="宋体" w:eastAsia="宋体" w:cs="宋体"/>
                <w:highlight w:val="none"/>
              </w:rPr>
              <w:t>职工总数</w:t>
            </w:r>
          </w:p>
        </w:tc>
        <w:tc>
          <w:tcPr>
            <w:tcW w:w="1342"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c>
          <w:tcPr>
            <w:tcW w:w="2168" w:type="dxa"/>
            <w:gridSpan w:val="4"/>
            <w:tcBorders>
              <w:top w:val="single" w:color="000000" w:sz="4" w:space="0"/>
              <w:left w:val="single" w:color="000000" w:sz="4" w:space="0"/>
              <w:bottom w:val="single" w:color="000000" w:sz="4" w:space="0"/>
              <w:right w:val="single" w:color="000000" w:sz="4" w:space="0"/>
            </w:tcBorders>
            <w:noWrap w:val="0"/>
            <w:vAlign w:val="top"/>
          </w:tcPr>
          <w:p>
            <w:pPr>
              <w:pStyle w:val="21"/>
              <w:kinsoku w:val="0"/>
              <w:overflowPunct w:val="0"/>
              <w:spacing w:before="144"/>
              <w:ind w:left="118"/>
              <w:rPr>
                <w:rFonts w:hint="eastAsia" w:ascii="宋体" w:hAnsi="宋体" w:eastAsia="宋体" w:cs="宋体"/>
                <w:highlight w:val="none"/>
              </w:rPr>
            </w:pPr>
            <w:r>
              <w:rPr>
                <w:rFonts w:hint="eastAsia" w:ascii="宋体" w:hAnsi="宋体" w:eastAsia="宋体" w:cs="宋体"/>
                <w:highlight w:val="none"/>
              </w:rPr>
              <w:t>其中：技术人员数</w:t>
            </w:r>
          </w:p>
        </w:tc>
        <w:tc>
          <w:tcPr>
            <w:tcW w:w="2517"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pStyle w:val="21"/>
              <w:kinsoku w:val="0"/>
              <w:overflowPunct w:val="0"/>
              <w:spacing w:before="145"/>
              <w:jc w:val="center"/>
              <w:rPr>
                <w:rFonts w:hint="eastAsia" w:ascii="宋体" w:hAnsi="宋体" w:eastAsia="宋体" w:cs="宋体"/>
                <w:highlight w:val="none"/>
              </w:rPr>
            </w:pPr>
            <w:r>
              <w:rPr>
                <w:rFonts w:hint="eastAsia" w:ascii="宋体" w:hAnsi="宋体" w:eastAsia="宋体" w:cs="宋体"/>
                <w:highlight w:val="none"/>
              </w:rPr>
              <w:t>单位行政和技术负责人</w:t>
            </w: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0"/>
            <w:vAlign w:val="top"/>
          </w:tcPr>
          <w:p>
            <w:pPr>
              <w:pStyle w:val="21"/>
              <w:kinsoku w:val="0"/>
              <w:overflowPunct w:val="0"/>
              <w:spacing w:before="145"/>
              <w:jc w:val="center"/>
              <w:rPr>
                <w:rFonts w:hint="eastAsia" w:ascii="宋体" w:hAnsi="宋体" w:eastAsia="宋体" w:cs="宋体"/>
                <w:highlight w:val="none"/>
              </w:rPr>
            </w:pP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pStyle w:val="21"/>
              <w:kinsoku w:val="0"/>
              <w:overflowPunct w:val="0"/>
              <w:spacing w:before="145"/>
              <w:ind w:left="416"/>
              <w:rPr>
                <w:rFonts w:hint="eastAsia" w:ascii="宋体" w:hAnsi="宋体" w:eastAsia="宋体" w:cs="宋体"/>
                <w:highlight w:val="none"/>
              </w:rPr>
            </w:pPr>
            <w:r>
              <w:rPr>
                <w:rFonts w:hint="eastAsia" w:ascii="宋体" w:hAnsi="宋体" w:eastAsia="宋体" w:cs="宋体"/>
                <w:highlight w:val="none"/>
              </w:rPr>
              <w:t>姓 名</w:t>
            </w:r>
          </w:p>
        </w:tc>
        <w:tc>
          <w:tcPr>
            <w:tcW w:w="1997" w:type="dxa"/>
            <w:gridSpan w:val="3"/>
            <w:tcBorders>
              <w:top w:val="single" w:color="000000" w:sz="4" w:space="0"/>
              <w:left w:val="single" w:color="000000" w:sz="4" w:space="0"/>
              <w:bottom w:val="single" w:color="000000" w:sz="4" w:space="0"/>
              <w:right w:val="single" w:color="000000" w:sz="4" w:space="0"/>
            </w:tcBorders>
            <w:noWrap w:val="0"/>
            <w:vAlign w:val="top"/>
          </w:tcPr>
          <w:p>
            <w:pPr>
              <w:pStyle w:val="21"/>
              <w:kinsoku w:val="0"/>
              <w:overflowPunct w:val="0"/>
              <w:spacing w:before="145"/>
              <w:ind w:left="452"/>
              <w:rPr>
                <w:rFonts w:hint="eastAsia" w:ascii="宋体" w:hAnsi="宋体" w:eastAsia="宋体" w:cs="宋体"/>
                <w:highlight w:val="none"/>
              </w:rPr>
            </w:pPr>
            <w:r>
              <w:rPr>
                <w:rFonts w:hint="eastAsia" w:ascii="宋体" w:hAnsi="宋体" w:eastAsia="宋体" w:cs="宋体"/>
                <w:highlight w:val="none"/>
              </w:rPr>
              <w:t>职务/职称</w:t>
            </w:r>
          </w:p>
        </w:tc>
        <w:tc>
          <w:tcPr>
            <w:tcW w:w="1513" w:type="dxa"/>
            <w:gridSpan w:val="3"/>
            <w:tcBorders>
              <w:top w:val="single" w:color="000000" w:sz="4" w:space="0"/>
              <w:left w:val="single" w:color="000000" w:sz="4" w:space="0"/>
              <w:bottom w:val="single" w:color="000000" w:sz="4" w:space="0"/>
              <w:right w:val="single" w:color="000000" w:sz="4" w:space="0"/>
            </w:tcBorders>
            <w:noWrap w:val="0"/>
            <w:vAlign w:val="top"/>
          </w:tcPr>
          <w:p>
            <w:pPr>
              <w:pStyle w:val="21"/>
              <w:kinsoku w:val="0"/>
              <w:overflowPunct w:val="0"/>
              <w:spacing w:before="145"/>
              <w:ind w:left="450"/>
              <w:rPr>
                <w:rFonts w:hint="eastAsia" w:ascii="宋体" w:hAnsi="宋体" w:eastAsia="宋体" w:cs="宋体"/>
                <w:highlight w:val="none"/>
              </w:rPr>
            </w:pPr>
            <w:r>
              <w:rPr>
                <w:rFonts w:hint="eastAsia" w:ascii="宋体" w:hAnsi="宋体" w:eastAsia="宋体" w:cs="宋体"/>
                <w:highlight w:val="none"/>
              </w:rPr>
              <w:t>年 龄</w:t>
            </w:r>
          </w:p>
        </w:tc>
        <w:tc>
          <w:tcPr>
            <w:tcW w:w="2517" w:type="dxa"/>
            <w:gridSpan w:val="2"/>
            <w:tcBorders>
              <w:top w:val="single" w:color="000000" w:sz="4" w:space="0"/>
              <w:left w:val="single" w:color="000000" w:sz="4" w:space="0"/>
              <w:bottom w:val="single" w:color="000000" w:sz="4" w:space="0"/>
              <w:right w:val="single" w:color="000000" w:sz="4" w:space="0"/>
            </w:tcBorders>
            <w:noWrap w:val="0"/>
            <w:vAlign w:val="top"/>
          </w:tcPr>
          <w:p>
            <w:pPr>
              <w:pStyle w:val="21"/>
              <w:tabs>
                <w:tab w:val="left" w:pos="479"/>
              </w:tabs>
              <w:kinsoku w:val="0"/>
              <w:overflowPunct w:val="0"/>
              <w:spacing w:before="145"/>
              <w:ind w:right="1"/>
              <w:jc w:val="center"/>
              <w:rPr>
                <w:rFonts w:hint="eastAsia" w:ascii="宋体" w:hAnsi="宋体" w:eastAsia="宋体" w:cs="宋体"/>
                <w:highlight w:val="none"/>
              </w:rPr>
            </w:pPr>
            <w:r>
              <w:rPr>
                <w:rFonts w:hint="eastAsia" w:ascii="宋体" w:hAnsi="宋体" w:eastAsia="宋体" w:cs="宋体"/>
                <w:highlight w:val="none"/>
              </w:rPr>
              <w:t>专</w:t>
            </w:r>
            <w:r>
              <w:rPr>
                <w:rFonts w:hint="eastAsia" w:ascii="宋体" w:hAnsi="宋体" w:eastAsia="宋体" w:cs="宋体"/>
                <w:highlight w:val="none"/>
              </w:rPr>
              <w:tab/>
            </w:r>
            <w:r>
              <w:rPr>
                <w:rFonts w:hint="eastAsia" w:ascii="宋体" w:hAnsi="宋体" w:eastAsia="宋体" w:cs="宋体"/>
                <w:highlight w:val="none"/>
              </w:rPr>
              <w:t>业</w:t>
            </w: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0"/>
            <w:vAlign w:val="top"/>
          </w:tcPr>
          <w:p>
            <w:pPr>
              <w:pStyle w:val="21"/>
              <w:tabs>
                <w:tab w:val="left" w:pos="479"/>
              </w:tabs>
              <w:kinsoku w:val="0"/>
              <w:overflowPunct w:val="0"/>
              <w:spacing w:before="145"/>
              <w:ind w:right="1"/>
              <w:jc w:val="center"/>
              <w:rPr>
                <w:rFonts w:hint="eastAsia" w:ascii="宋体" w:hAnsi="宋体" w:eastAsia="宋体" w:cs="宋体"/>
                <w:highlight w:val="none"/>
              </w:rPr>
            </w:pP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c>
          <w:tcPr>
            <w:tcW w:w="1997"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c>
          <w:tcPr>
            <w:tcW w:w="1513"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c>
          <w:tcPr>
            <w:tcW w:w="2517"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c>
          <w:tcPr>
            <w:tcW w:w="1997"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c>
          <w:tcPr>
            <w:tcW w:w="1513"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c>
          <w:tcPr>
            <w:tcW w:w="2517"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c>
          <w:tcPr>
            <w:tcW w:w="1997"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c>
          <w:tcPr>
            <w:tcW w:w="1513"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c>
          <w:tcPr>
            <w:tcW w:w="2517"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r>
      <w:tr>
        <w:tblPrEx>
          <w:tblCellMar>
            <w:top w:w="0" w:type="dxa"/>
            <w:left w:w="0" w:type="dxa"/>
            <w:bottom w:w="0" w:type="dxa"/>
            <w:right w:w="0" w:type="dxa"/>
          </w:tblCellMar>
        </w:tblPrEx>
        <w:trPr>
          <w:trHeight w:val="2563"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21"/>
              <w:kinsoku w:val="0"/>
              <w:overflowPunct w:val="0"/>
              <w:rPr>
                <w:rFonts w:hint="eastAsia" w:ascii="宋体" w:hAnsi="宋体" w:eastAsia="宋体" w:cs="宋体"/>
                <w:b/>
                <w:bCs/>
                <w:highlight w:val="none"/>
              </w:rPr>
            </w:pPr>
          </w:p>
          <w:p>
            <w:pPr>
              <w:pStyle w:val="21"/>
              <w:kinsoku w:val="0"/>
              <w:overflowPunct w:val="0"/>
              <w:spacing w:before="1"/>
              <w:rPr>
                <w:rFonts w:hint="eastAsia" w:ascii="宋体" w:hAnsi="宋体" w:eastAsia="宋体" w:cs="宋体"/>
                <w:b/>
                <w:bCs/>
                <w:sz w:val="23"/>
                <w:szCs w:val="23"/>
                <w:highlight w:val="none"/>
              </w:rPr>
            </w:pPr>
          </w:p>
          <w:p>
            <w:pPr>
              <w:pStyle w:val="21"/>
              <w:kinsoku w:val="0"/>
              <w:overflowPunct w:val="0"/>
              <w:spacing w:line="237" w:lineRule="auto"/>
              <w:ind w:left="497" w:right="493"/>
              <w:jc w:val="both"/>
              <w:rPr>
                <w:rFonts w:hint="eastAsia" w:ascii="宋体" w:hAnsi="宋体" w:eastAsia="宋体" w:cs="宋体"/>
                <w:highlight w:val="none"/>
              </w:rPr>
            </w:pPr>
            <w:r>
              <w:rPr>
                <w:rFonts w:hint="eastAsia" w:ascii="宋体" w:hAnsi="宋体" w:eastAsia="宋体" w:cs="宋体"/>
                <w:highlight w:val="none"/>
              </w:rPr>
              <w:t>单 位 概 况</w:t>
            </w: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r>
    </w:tbl>
    <w:p>
      <w:pPr>
        <w:pStyle w:val="8"/>
        <w:kinsoku w:val="0"/>
        <w:overflowPunct w:val="0"/>
        <w:spacing w:before="26" w:line="320" w:lineRule="auto"/>
        <w:ind w:left="1772" w:hanging="1640"/>
        <w:rPr>
          <w:rFonts w:hint="eastAsia" w:ascii="宋体" w:hAnsi="宋体" w:eastAsia="宋体" w:cs="宋体"/>
          <w:b/>
          <w:bCs/>
          <w:w w:val="95"/>
          <w:highlight w:val="none"/>
        </w:rPr>
      </w:pPr>
    </w:p>
    <w:p>
      <w:pPr>
        <w:pStyle w:val="8"/>
        <w:kinsoku w:val="0"/>
        <w:overflowPunct w:val="0"/>
        <w:spacing w:before="26" w:line="320" w:lineRule="auto"/>
        <w:ind w:left="0"/>
        <w:jc w:val="center"/>
        <w:rPr>
          <w:rFonts w:hint="eastAsia" w:ascii="宋体" w:hAnsi="宋体" w:eastAsia="宋体" w:cs="宋体"/>
          <w:highlight w:val="none"/>
        </w:rPr>
      </w:pPr>
      <w:r>
        <w:rPr>
          <w:rFonts w:hint="eastAsia" w:ascii="宋体" w:hAnsi="宋体" w:eastAsia="宋体" w:cs="宋体"/>
          <w:b/>
          <w:bCs/>
          <w:w w:val="95"/>
          <w:highlight w:val="none"/>
        </w:rPr>
        <w:br w:type="page"/>
      </w:r>
      <w:r>
        <w:rPr>
          <w:rFonts w:hint="eastAsia" w:ascii="宋体" w:hAnsi="宋体" w:eastAsia="宋体" w:cs="宋体"/>
          <w:b/>
          <w:bCs/>
          <w:highlight w:val="none"/>
        </w:rPr>
        <w:t>（二）营业执照副本、税务登记证、组织机构代码证、（三证合一的提供统一社会信用代码的营业执照）</w:t>
      </w:r>
    </w:p>
    <w:p>
      <w:pPr>
        <w:spacing w:line="360" w:lineRule="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说明：</w:t>
      </w:r>
    </w:p>
    <w:p>
      <w:pPr>
        <w:spacing w:line="360" w:lineRule="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（1）企业单位投标提供有效的营业执照（3证合1或多证合1）；</w:t>
      </w:r>
    </w:p>
    <w:p>
      <w:pPr>
        <w:spacing w:line="360" w:lineRule="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（2）事业单位投标提供有效的法人证书（带有社会统一信用代码）；</w:t>
      </w:r>
    </w:p>
    <w:p>
      <w:pPr>
        <w:spacing w:line="360" w:lineRule="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（3）其他组织投标提供有效的登记证书（带有社会统一信用代码）；</w:t>
      </w:r>
    </w:p>
    <w:p>
      <w:pPr>
        <w:spacing w:line="360" w:lineRule="auto"/>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rPr>
        <w:t>（4）自然人投标提供有效的身份证复印件</w:t>
      </w:r>
      <w:r>
        <w:rPr>
          <w:rFonts w:hint="eastAsia" w:ascii="宋体" w:hAnsi="宋体" w:cs="宋体"/>
          <w:color w:val="000000"/>
          <w:kern w:val="0"/>
          <w:sz w:val="24"/>
          <w:highlight w:val="none"/>
          <w:lang w:eastAsia="zh-CN"/>
        </w:rPr>
        <w:t>。</w:t>
      </w:r>
    </w:p>
    <w:p>
      <w:pPr>
        <w:pStyle w:val="8"/>
        <w:kinsoku w:val="0"/>
        <w:overflowPunct w:val="0"/>
        <w:spacing w:before="26"/>
        <w:ind w:left="1051" w:right="118"/>
        <w:jc w:val="center"/>
        <w:rPr>
          <w:rFonts w:hint="eastAsia" w:ascii="宋体" w:hAnsi="宋体" w:eastAsia="宋体" w:cs="宋体"/>
          <w:b/>
          <w:bCs/>
          <w:highlight w:val="none"/>
        </w:rPr>
      </w:pPr>
      <w:bookmarkStart w:id="75" w:name="_GoBack"/>
      <w:bookmarkEnd w:id="75"/>
      <w:r>
        <w:rPr>
          <w:rFonts w:hint="eastAsia" w:ascii="宋体" w:hAnsi="宋体" w:eastAsia="宋体" w:cs="宋体"/>
          <w:highlight w:val="none"/>
        </w:rPr>
        <w:br w:type="page"/>
      </w:r>
      <w:r>
        <w:rPr>
          <w:rFonts w:hint="eastAsia" w:ascii="宋体" w:hAnsi="宋体" w:eastAsia="宋体" w:cs="宋体"/>
          <w:b/>
          <w:bCs/>
          <w:highlight w:val="none"/>
        </w:rPr>
        <w:t>（三）近一年财务状况报告相关材料（复印件加盖单位公章）</w:t>
      </w:r>
    </w:p>
    <w:p>
      <w:pPr>
        <w:pStyle w:val="9"/>
        <w:adjustRightInd w:val="0"/>
        <w:snapToGrid w:val="0"/>
        <w:spacing w:line="360" w:lineRule="auto"/>
        <w:jc w:val="left"/>
        <w:rPr>
          <w:rFonts w:hint="eastAsia" w:ascii="宋体" w:hAnsi="宋体" w:eastAsia="宋体" w:cs="宋体"/>
          <w:b/>
          <w:sz w:val="24"/>
          <w:szCs w:val="24"/>
          <w:highlight w:val="none"/>
        </w:rPr>
      </w:pPr>
    </w:p>
    <w:p>
      <w:pPr>
        <w:spacing w:line="360" w:lineRule="auto"/>
        <w:ind w:firstLine="480"/>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 xml:space="preserve"> 说明：</w:t>
      </w:r>
    </w:p>
    <w:p>
      <w:pPr>
        <w:spacing w:line="360" w:lineRule="auto"/>
        <w:ind w:firstLine="480"/>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rPr>
        <w:t>（1）</w:t>
      </w:r>
      <w:r>
        <w:rPr>
          <w:rFonts w:hint="eastAsia" w:ascii="宋体" w:hAnsi="宋体" w:eastAsia="宋体" w:cs="宋体"/>
          <w:color w:val="000000"/>
          <w:kern w:val="0"/>
          <w:sz w:val="24"/>
          <w:highlight w:val="none"/>
          <w:lang w:val="en-US" w:eastAsia="zh-CN"/>
        </w:rPr>
        <w:t>20</w:t>
      </w:r>
      <w:r>
        <w:rPr>
          <w:rFonts w:hint="eastAsia" w:ascii="宋体" w:hAnsi="宋体" w:cs="宋体"/>
          <w:color w:val="000000"/>
          <w:kern w:val="0"/>
          <w:sz w:val="24"/>
          <w:highlight w:val="none"/>
          <w:lang w:val="en-US" w:eastAsia="zh-CN"/>
        </w:rPr>
        <w:t>20</w:t>
      </w:r>
      <w:r>
        <w:rPr>
          <w:rFonts w:hint="eastAsia" w:ascii="宋体" w:hAnsi="宋体" w:eastAsia="宋体" w:cs="宋体"/>
          <w:color w:val="000000"/>
          <w:kern w:val="0"/>
          <w:sz w:val="24"/>
          <w:highlight w:val="none"/>
          <w:lang w:val="en-US" w:eastAsia="zh-CN"/>
        </w:rPr>
        <w:t>年</w:t>
      </w:r>
      <w:r>
        <w:rPr>
          <w:rFonts w:hint="eastAsia" w:ascii="宋体" w:hAnsi="宋体" w:cs="宋体"/>
          <w:color w:val="000000"/>
          <w:kern w:val="0"/>
          <w:sz w:val="24"/>
          <w:highlight w:val="none"/>
          <w:lang w:val="en-US" w:eastAsia="zh-CN"/>
        </w:rPr>
        <w:t>或2021年</w:t>
      </w:r>
      <w:r>
        <w:rPr>
          <w:rFonts w:hint="eastAsia" w:ascii="宋体" w:hAnsi="宋体" w:eastAsia="宋体" w:cs="宋体"/>
          <w:color w:val="000000"/>
          <w:kern w:val="0"/>
          <w:sz w:val="24"/>
          <w:highlight w:val="none"/>
          <w:lang w:val="en-US" w:eastAsia="zh-CN"/>
        </w:rPr>
        <w:t>审计报告（或基本开户银行出具的资信证明文件）</w:t>
      </w:r>
      <w:r>
        <w:rPr>
          <w:rFonts w:hint="eastAsia" w:ascii="宋体" w:hAnsi="宋体" w:eastAsia="宋体" w:cs="宋体"/>
          <w:color w:val="000000"/>
          <w:kern w:val="0"/>
          <w:sz w:val="24"/>
          <w:highlight w:val="none"/>
        </w:rPr>
        <w:t>，包括 “四表一注”即《资产负债表》《利润表》《现金流量表》《所有者权益变动表》及其附注复印件</w:t>
      </w:r>
      <w:r>
        <w:rPr>
          <w:rFonts w:hint="eastAsia" w:ascii="宋体" w:hAnsi="宋体" w:cs="宋体"/>
          <w:color w:val="000000"/>
          <w:kern w:val="0"/>
          <w:sz w:val="24"/>
          <w:highlight w:val="none"/>
          <w:lang w:eastAsia="zh-CN"/>
        </w:rPr>
        <w:t>；</w:t>
      </w:r>
    </w:p>
    <w:p>
      <w:pPr>
        <w:spacing w:line="360" w:lineRule="auto"/>
        <w:ind w:firstLine="480"/>
        <w:rPr>
          <w:rFonts w:hint="eastAsia" w:ascii="宋体" w:hAnsi="宋体" w:eastAsia="宋体" w:cs="宋体"/>
          <w:highlight w:val="none"/>
          <w:lang w:eastAsia="zh-CN"/>
        </w:rPr>
      </w:pPr>
      <w:r>
        <w:rPr>
          <w:rFonts w:hint="eastAsia" w:ascii="宋体" w:hAnsi="宋体" w:cs="宋体"/>
          <w:color w:val="000000"/>
          <w:kern w:val="0"/>
          <w:sz w:val="24"/>
          <w:highlight w:val="none"/>
          <w:lang w:eastAsia="zh-CN"/>
        </w:rPr>
        <w:t>（</w:t>
      </w:r>
      <w:r>
        <w:rPr>
          <w:rFonts w:hint="eastAsia" w:ascii="宋体" w:hAnsi="宋体" w:cs="宋体"/>
          <w:color w:val="000000"/>
          <w:kern w:val="0"/>
          <w:sz w:val="24"/>
          <w:highlight w:val="none"/>
          <w:lang w:val="en-US" w:eastAsia="zh-CN"/>
        </w:rPr>
        <w:t>2</w:t>
      </w:r>
      <w:r>
        <w:rPr>
          <w:rFonts w:hint="eastAsia" w:ascii="宋体" w:hAnsi="宋体" w:cs="宋体"/>
          <w:color w:val="000000"/>
          <w:kern w:val="0"/>
          <w:sz w:val="24"/>
          <w:highlight w:val="none"/>
          <w:lang w:eastAsia="zh-CN"/>
        </w:rPr>
        <w:t>）</w:t>
      </w:r>
      <w:r>
        <w:rPr>
          <w:rFonts w:hint="eastAsia" w:ascii="宋体" w:hAnsi="宋体" w:eastAsia="宋体" w:cs="宋体"/>
          <w:color w:val="000000"/>
          <w:kern w:val="0"/>
          <w:sz w:val="24"/>
          <w:highlight w:val="none"/>
        </w:rPr>
        <w:t>投标人成立不到1年的，提供季度或月份有关财务报表原件（不需审计）</w:t>
      </w:r>
      <w:r>
        <w:rPr>
          <w:rFonts w:hint="eastAsia" w:ascii="宋体" w:hAnsi="宋体" w:cs="宋体"/>
          <w:color w:val="000000"/>
          <w:kern w:val="0"/>
          <w:sz w:val="24"/>
          <w:highlight w:val="none"/>
          <w:lang w:eastAsia="zh-CN"/>
        </w:rPr>
        <w:t>；</w:t>
      </w:r>
    </w:p>
    <w:p>
      <w:pPr>
        <w:spacing w:line="360" w:lineRule="auto"/>
        <w:ind w:firstLine="480"/>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rPr>
        <w:t>（3）公益类事业单位、自然人无需提供</w:t>
      </w:r>
      <w:r>
        <w:rPr>
          <w:rFonts w:hint="eastAsia" w:ascii="宋体" w:hAnsi="宋体" w:cs="宋体"/>
          <w:color w:val="000000"/>
          <w:kern w:val="0"/>
          <w:sz w:val="24"/>
          <w:highlight w:val="none"/>
          <w:lang w:eastAsia="zh-CN"/>
        </w:rPr>
        <w:t>；</w:t>
      </w:r>
    </w:p>
    <w:p>
      <w:pPr>
        <w:spacing w:line="360" w:lineRule="auto"/>
        <w:ind w:firstLine="480"/>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 xml:space="preserve">（4）原件或复印件可直接装订，复印件加盖投标人单位章。 </w:t>
      </w:r>
    </w:p>
    <w:p>
      <w:pPr>
        <w:rPr>
          <w:rFonts w:hint="eastAsia"/>
          <w:highlight w:val="none"/>
        </w:rPr>
      </w:pPr>
    </w:p>
    <w:p>
      <w:pPr>
        <w:pStyle w:val="9"/>
        <w:adjustRightInd w:val="0"/>
        <w:snapToGrid w:val="0"/>
        <w:spacing w:line="360" w:lineRule="auto"/>
        <w:jc w:val="center"/>
        <w:rPr>
          <w:rFonts w:hint="eastAsia" w:ascii="宋体" w:hAnsi="宋体" w:eastAsia="宋体" w:cs="宋体"/>
          <w:b/>
          <w:sz w:val="36"/>
          <w:szCs w:val="36"/>
          <w:highlight w:val="none"/>
        </w:rPr>
      </w:pPr>
      <w:r>
        <w:rPr>
          <w:rFonts w:hint="eastAsia" w:ascii="宋体" w:hAnsi="宋体" w:eastAsia="宋体" w:cs="宋体"/>
          <w:highlight w:val="none"/>
        </w:rPr>
        <w:br w:type="page"/>
      </w:r>
      <w:r>
        <w:rPr>
          <w:rFonts w:hint="eastAsia" w:ascii="宋体" w:hAnsi="宋体" w:eastAsia="宋体" w:cs="宋体"/>
          <w:b/>
          <w:bCs/>
          <w:kern w:val="0"/>
          <w:sz w:val="24"/>
          <w:szCs w:val="24"/>
          <w:highlight w:val="none"/>
          <w:lang w:val="en-US" w:eastAsia="zh-CN" w:bidi="ar-SA"/>
        </w:rPr>
        <w:t>（四）税收缴纳证明</w:t>
      </w:r>
    </w:p>
    <w:p>
      <w:pPr>
        <w:pStyle w:val="9"/>
        <w:adjustRightInd w:val="0"/>
        <w:snapToGrid w:val="0"/>
        <w:spacing w:line="360" w:lineRule="auto"/>
        <w:jc w:val="left"/>
        <w:rPr>
          <w:rFonts w:hint="eastAsia" w:ascii="宋体" w:hAnsi="宋体" w:eastAsia="宋体" w:cs="宋体"/>
          <w:sz w:val="24"/>
          <w:szCs w:val="24"/>
          <w:highlight w:val="none"/>
        </w:rPr>
      </w:pPr>
    </w:p>
    <w:p>
      <w:pPr>
        <w:spacing w:line="360" w:lineRule="auto"/>
        <w:ind w:firstLine="480"/>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说明：</w:t>
      </w:r>
    </w:p>
    <w:p>
      <w:pPr>
        <w:spacing w:line="360" w:lineRule="auto"/>
        <w:ind w:firstLine="480"/>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（1）税收缴纳证明：提供供应商</w:t>
      </w:r>
      <w:r>
        <w:rPr>
          <w:rFonts w:hint="eastAsia" w:ascii="宋体" w:hAnsi="宋体" w:cs="宋体"/>
          <w:color w:val="000000"/>
          <w:kern w:val="0"/>
          <w:sz w:val="24"/>
          <w:highlight w:val="none"/>
          <w:lang w:eastAsia="zh-CN"/>
        </w:rPr>
        <w:t>近半年</w:t>
      </w:r>
      <w:r>
        <w:rPr>
          <w:rFonts w:hint="eastAsia" w:ascii="宋体" w:hAnsi="宋体" w:cs="宋体"/>
          <w:color w:val="000000"/>
          <w:kern w:val="0"/>
          <w:sz w:val="24"/>
          <w:highlight w:val="none"/>
          <w:lang w:val="en-US" w:eastAsia="zh-CN"/>
        </w:rPr>
        <w:t>内</w:t>
      </w:r>
      <w:r>
        <w:rPr>
          <w:rFonts w:hint="eastAsia" w:ascii="宋体" w:hAnsi="宋体" w:eastAsia="宋体" w:cs="宋体"/>
          <w:color w:val="000000"/>
          <w:kern w:val="0"/>
          <w:sz w:val="24"/>
          <w:highlight w:val="none"/>
        </w:rPr>
        <w:t xml:space="preserve">纳税证明； </w:t>
      </w:r>
    </w:p>
    <w:p>
      <w:pPr>
        <w:spacing w:line="360" w:lineRule="auto"/>
        <w:ind w:firstLine="480"/>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（2）依法免税的应提供相关文件证明；</w:t>
      </w:r>
    </w:p>
    <w:p>
      <w:pPr>
        <w:spacing w:line="360" w:lineRule="auto"/>
        <w:ind w:firstLine="480"/>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（3）公益类事业单位无需提供；</w:t>
      </w:r>
    </w:p>
    <w:p>
      <w:pPr>
        <w:spacing w:line="360" w:lineRule="auto"/>
        <w:ind w:firstLine="480"/>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（4）新成立未发生缴纳税收事项的投标人，应提供纳税书面承诺；</w:t>
      </w:r>
    </w:p>
    <w:p>
      <w:pPr>
        <w:spacing w:line="360" w:lineRule="auto"/>
        <w:ind w:firstLine="480"/>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（5）原件或复印件可直接装订，复印件加盖投标人单位章。</w:t>
      </w:r>
    </w:p>
    <w:p>
      <w:pPr>
        <w:rPr>
          <w:rFonts w:hint="eastAsia" w:ascii="宋体" w:hAnsi="宋体" w:eastAsia="宋体" w:cs="宋体"/>
          <w:b/>
          <w:bCs/>
          <w:highlight w:val="none"/>
        </w:rPr>
      </w:pPr>
      <w:r>
        <w:rPr>
          <w:rFonts w:hint="eastAsia" w:ascii="宋体" w:hAnsi="宋体" w:eastAsia="宋体" w:cs="宋体"/>
          <w:b/>
          <w:bCs/>
          <w:highlight w:val="none"/>
        </w:rPr>
        <w:br w:type="page"/>
      </w:r>
    </w:p>
    <w:p>
      <w:pPr>
        <w:pStyle w:val="8"/>
        <w:numPr>
          <w:ilvl w:val="0"/>
          <w:numId w:val="0"/>
        </w:numPr>
        <w:kinsoku w:val="0"/>
        <w:overflowPunct w:val="0"/>
        <w:spacing w:before="26"/>
        <w:ind w:right="118" w:rightChars="0"/>
        <w:jc w:val="center"/>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（五）单位社会保障缴费证明（复印件加盖公章）</w:t>
      </w:r>
    </w:p>
    <w:p>
      <w:pPr>
        <w:pStyle w:val="9"/>
        <w:adjustRightInd w:val="0"/>
        <w:snapToGrid w:val="0"/>
        <w:spacing w:line="360" w:lineRule="auto"/>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说明：</w:t>
      </w:r>
    </w:p>
    <w:p>
      <w:pPr>
        <w:spacing w:line="360" w:lineRule="auto"/>
        <w:ind w:firstLine="482"/>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（1）社会保障资金缴纳证明：</w:t>
      </w:r>
      <w:r>
        <w:rPr>
          <w:rFonts w:hint="eastAsia" w:ascii="宋体" w:hAnsi="宋体" w:cs="宋体"/>
          <w:color w:val="000000"/>
          <w:kern w:val="0"/>
          <w:sz w:val="24"/>
          <w:highlight w:val="none"/>
          <w:lang w:eastAsia="zh-CN"/>
        </w:rPr>
        <w:t>近半年</w:t>
      </w:r>
      <w:r>
        <w:rPr>
          <w:rFonts w:hint="eastAsia" w:ascii="宋体" w:hAnsi="宋体" w:cs="宋体"/>
          <w:color w:val="000000"/>
          <w:kern w:val="0"/>
          <w:sz w:val="24"/>
          <w:highlight w:val="none"/>
          <w:lang w:val="en-US" w:eastAsia="zh-CN"/>
        </w:rPr>
        <w:t>内</w:t>
      </w:r>
      <w:r>
        <w:rPr>
          <w:rFonts w:hint="eastAsia" w:ascii="宋体" w:hAnsi="宋体" w:eastAsia="宋体" w:cs="宋体"/>
          <w:color w:val="000000"/>
          <w:kern w:val="0"/>
          <w:sz w:val="24"/>
          <w:highlight w:val="none"/>
        </w:rPr>
        <w:t>社保缴纳证明；</w:t>
      </w:r>
    </w:p>
    <w:p>
      <w:pPr>
        <w:spacing w:line="360" w:lineRule="auto"/>
        <w:ind w:firstLine="482"/>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（2）依法不需要缴纳社会保障资金的供应商应提供相关文件证明；</w:t>
      </w:r>
    </w:p>
    <w:p>
      <w:pPr>
        <w:pStyle w:val="9"/>
        <w:adjustRightInd w:val="0"/>
        <w:snapToGrid w:val="0"/>
        <w:spacing w:line="360" w:lineRule="auto"/>
        <w:ind w:firstLine="482"/>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（3）公益类事业单位无需提供；</w:t>
      </w:r>
    </w:p>
    <w:p>
      <w:pPr>
        <w:pStyle w:val="9"/>
        <w:adjustRightInd w:val="0"/>
        <w:snapToGrid w:val="0"/>
        <w:spacing w:line="360" w:lineRule="auto"/>
        <w:ind w:firstLine="482"/>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（4）新成立未发生缴纳社保资金事项的投标人，应提供缴纳社保资金的书面承诺；</w:t>
      </w:r>
    </w:p>
    <w:p>
      <w:pPr>
        <w:pStyle w:val="9"/>
        <w:adjustRightInd w:val="0"/>
        <w:snapToGrid w:val="0"/>
        <w:spacing w:line="360" w:lineRule="auto"/>
        <w:ind w:firstLine="482"/>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（5）原件或复印件可直接装订，复印件加盖投标人单位章。</w:t>
      </w:r>
    </w:p>
    <w:p>
      <w:pPr>
        <w:rPr>
          <w:rFonts w:hint="eastAsia" w:ascii="宋体" w:hAnsi="宋体" w:eastAsia="宋体" w:cs="宋体"/>
          <w:b/>
          <w:bCs/>
          <w:highlight w:val="none"/>
        </w:rPr>
      </w:pPr>
      <w:r>
        <w:rPr>
          <w:rFonts w:hint="eastAsia" w:ascii="宋体" w:hAnsi="宋体" w:eastAsia="宋体" w:cs="宋体"/>
          <w:b/>
          <w:bCs/>
          <w:highlight w:val="none"/>
        </w:rPr>
        <w:br w:type="page"/>
      </w:r>
    </w:p>
    <w:p>
      <w:pPr>
        <w:pStyle w:val="9"/>
        <w:adjustRightInd w:val="0"/>
        <w:snapToGrid w:val="0"/>
        <w:spacing w:line="360" w:lineRule="auto"/>
        <w:ind w:firstLine="482"/>
        <w:jc w:val="center"/>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（六）</w:t>
      </w:r>
      <w:r>
        <w:rPr>
          <w:rFonts w:hint="eastAsia" w:hAnsi="宋体" w:cs="宋体"/>
          <w:b/>
          <w:bCs/>
          <w:kern w:val="0"/>
          <w:sz w:val="24"/>
          <w:szCs w:val="24"/>
          <w:highlight w:val="none"/>
          <w:lang w:val="en-US" w:eastAsia="zh-CN" w:bidi="ar-SA"/>
        </w:rPr>
        <w:t>资质证书证明材料</w:t>
      </w:r>
    </w:p>
    <w:p>
      <w:pPr>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br w:type="page"/>
      </w:r>
    </w:p>
    <w:p>
      <w:pPr>
        <w:pStyle w:val="9"/>
        <w:adjustRightInd w:val="0"/>
        <w:snapToGrid w:val="0"/>
        <w:spacing w:line="360" w:lineRule="auto"/>
        <w:ind w:firstLine="482"/>
        <w:jc w:val="center"/>
        <w:rPr>
          <w:rFonts w:hint="eastAsia" w:ascii="宋体" w:hAnsi="宋体" w:eastAsia="宋体" w:cs="宋体"/>
          <w:b/>
          <w:bCs/>
          <w:kern w:val="0"/>
          <w:sz w:val="24"/>
          <w:szCs w:val="24"/>
          <w:highlight w:val="none"/>
          <w:lang w:val="en-US" w:eastAsia="zh-CN" w:bidi="ar-SA"/>
        </w:rPr>
      </w:pPr>
    </w:p>
    <w:p>
      <w:pPr>
        <w:pStyle w:val="9"/>
        <w:adjustRightInd w:val="0"/>
        <w:snapToGrid w:val="0"/>
        <w:spacing w:line="360" w:lineRule="auto"/>
        <w:ind w:firstLine="482"/>
        <w:jc w:val="center"/>
        <w:rPr>
          <w:rFonts w:hint="eastAsia" w:ascii="宋体" w:hAnsi="宋体" w:eastAsia="宋体" w:cs="宋体"/>
          <w:color w:val="000000"/>
          <w:kern w:val="0"/>
          <w:sz w:val="24"/>
          <w:szCs w:val="24"/>
          <w:highlight w:val="none"/>
        </w:rPr>
      </w:pPr>
      <w:r>
        <w:rPr>
          <w:rFonts w:hint="eastAsia" w:ascii="宋体" w:hAnsi="宋体" w:eastAsia="宋体" w:cs="宋体"/>
          <w:b/>
          <w:bCs/>
          <w:kern w:val="0"/>
          <w:sz w:val="24"/>
          <w:szCs w:val="24"/>
          <w:highlight w:val="none"/>
          <w:lang w:val="en-US" w:eastAsia="zh-CN" w:bidi="ar-SA"/>
        </w:rPr>
        <w:t>（七）其他证明材料</w:t>
      </w:r>
    </w:p>
    <w:p>
      <w:pPr>
        <w:pStyle w:val="20"/>
        <w:ind w:firstLine="480"/>
        <w:rPr>
          <w:rFonts w:hint="eastAsia" w:ascii="宋体" w:hAnsi="宋体" w:eastAsia="宋体" w:cs="宋体"/>
          <w:color w:val="000000"/>
          <w:kern w:val="0"/>
          <w:sz w:val="24"/>
          <w:szCs w:val="24"/>
          <w:highlight w:val="none"/>
          <w:lang w:eastAsia="zh-CN"/>
        </w:rPr>
      </w:pPr>
      <w:r>
        <w:rPr>
          <w:rFonts w:hint="eastAsia" w:ascii="宋体" w:hAnsi="宋体" w:eastAsia="宋体" w:cs="宋体"/>
          <w:sz w:val="24"/>
          <w:szCs w:val="24"/>
          <w:highlight w:val="none"/>
        </w:rPr>
        <w:t>（1）</w:t>
      </w:r>
      <w:r>
        <w:rPr>
          <w:rFonts w:hint="eastAsia" w:ascii="宋体" w:hAnsi="宋体" w:eastAsia="宋体" w:cs="宋体"/>
          <w:color w:val="000000"/>
          <w:kern w:val="0"/>
          <w:sz w:val="24"/>
          <w:szCs w:val="24"/>
          <w:highlight w:val="none"/>
        </w:rPr>
        <w:t>参加政府采购活动前三年内，在经营活动中没有重大违法记录</w:t>
      </w:r>
      <w:r>
        <w:rPr>
          <w:rFonts w:hint="eastAsia" w:ascii="宋体" w:hAnsi="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rPr>
        <w:t>近三年经营活动中没有重大违法记录声明函</w:t>
      </w:r>
      <w:r>
        <w:rPr>
          <w:rFonts w:hint="eastAsia" w:ascii="宋体" w:hAnsi="宋体" w:cs="宋体"/>
          <w:color w:val="000000"/>
          <w:kern w:val="0"/>
          <w:sz w:val="24"/>
          <w:szCs w:val="24"/>
          <w:highlight w:val="none"/>
          <w:lang w:eastAsia="zh-CN"/>
        </w:rPr>
        <w:t>；</w:t>
      </w:r>
    </w:p>
    <w:p>
      <w:pPr>
        <w:pStyle w:val="20"/>
        <w:ind w:firstLine="480"/>
        <w:rPr>
          <w:rFonts w:hint="eastAsia" w:ascii="宋体" w:hAnsi="宋体" w:eastAsia="宋体" w:cs="宋体"/>
          <w:color w:val="000000"/>
          <w:kern w:val="0"/>
          <w:sz w:val="24"/>
          <w:szCs w:val="24"/>
          <w:highlight w:val="none"/>
        </w:rPr>
      </w:pPr>
      <w:r>
        <w:rPr>
          <w:rFonts w:hint="eastAsia" w:ascii="宋体" w:hAnsi="宋体" w:eastAsia="宋体" w:cs="宋体"/>
          <w:sz w:val="24"/>
          <w:szCs w:val="24"/>
          <w:highlight w:val="none"/>
        </w:rPr>
        <w:t>（2）</w:t>
      </w:r>
      <w:r>
        <w:rPr>
          <w:rFonts w:hint="eastAsia" w:ascii="宋体" w:hAnsi="宋体" w:eastAsia="宋体" w:cs="宋体"/>
          <w:color w:val="000000"/>
          <w:kern w:val="0"/>
          <w:sz w:val="24"/>
          <w:szCs w:val="24"/>
          <w:highlight w:val="none"/>
        </w:rPr>
        <w:t>法律、行政法规规定的其他条件。应商不得为“信用中国”网站（www.creditchina.gov.cn）中列入失信被执行人和</w:t>
      </w:r>
      <w:r>
        <w:rPr>
          <w:rFonts w:hint="eastAsia" w:ascii="宋体" w:hAnsi="宋体" w:cs="宋体"/>
          <w:color w:val="000000"/>
          <w:kern w:val="0"/>
          <w:sz w:val="24"/>
          <w:szCs w:val="24"/>
          <w:highlight w:val="none"/>
          <w:lang w:eastAsia="zh-CN"/>
        </w:rPr>
        <w:t>重大税收违法失信主体记录</w:t>
      </w:r>
      <w:r>
        <w:rPr>
          <w:rFonts w:hint="eastAsia" w:ascii="宋体" w:hAnsi="宋体" w:eastAsia="宋体" w:cs="宋体"/>
          <w:color w:val="000000"/>
          <w:kern w:val="0"/>
          <w:sz w:val="24"/>
          <w:szCs w:val="24"/>
          <w:highlight w:val="none"/>
        </w:rPr>
        <w:t>的供应商，不得为中国政府采购网（www.ccgp.gov.cn）政府采购严重违法失信行为记录名单中被财政部门禁止参加政府采购活动的供应商。（网站查询的截图，加盖供应商公章）</w:t>
      </w:r>
    </w:p>
    <w:p>
      <w:pPr>
        <w:pStyle w:val="20"/>
        <w:ind w:firstLine="480"/>
        <w:rPr>
          <w:rFonts w:hint="eastAsia" w:ascii="宋体" w:hAnsi="宋体" w:eastAsia="宋体" w:cs="宋体"/>
          <w:color w:val="000000"/>
          <w:kern w:val="0"/>
          <w:sz w:val="24"/>
          <w:szCs w:val="24"/>
          <w:highlight w:val="none"/>
          <w:lang w:eastAsia="zh-CN"/>
        </w:rPr>
      </w:pPr>
    </w:p>
    <w:p>
      <w:pPr>
        <w:pStyle w:val="20"/>
        <w:ind w:firstLine="480"/>
        <w:rPr>
          <w:rFonts w:hint="eastAsia" w:ascii="宋体" w:hAnsi="宋体" w:eastAsia="宋体" w:cs="宋体"/>
          <w:color w:val="000000"/>
          <w:kern w:val="0"/>
          <w:sz w:val="24"/>
          <w:szCs w:val="24"/>
          <w:highlight w:val="none"/>
          <w:lang w:eastAsia="zh-CN"/>
        </w:rPr>
        <w:sectPr>
          <w:footerReference r:id="rId6" w:type="default"/>
          <w:pgSz w:w="11906" w:h="16838"/>
          <w:pgMar w:top="1440" w:right="1588" w:bottom="1440" w:left="1588" w:header="851" w:footer="992" w:gutter="0"/>
          <w:pgBorders>
            <w:top w:val="none" w:sz="0" w:space="0"/>
            <w:left w:val="none" w:sz="0" w:space="0"/>
            <w:bottom w:val="none" w:sz="0" w:space="0"/>
            <w:right w:val="none" w:sz="0" w:space="0"/>
          </w:pgBorders>
          <w:pgNumType w:fmt="decimal"/>
          <w:cols w:space="720" w:num="1"/>
          <w:docGrid w:linePitch="312" w:charSpace="0"/>
        </w:sectPr>
      </w:pPr>
    </w:p>
    <w:p>
      <w:pPr>
        <w:jc w:val="center"/>
        <w:outlineLvl w:val="1"/>
        <w:rPr>
          <w:rFonts w:hint="eastAsia" w:ascii="宋体" w:hAnsi="宋体" w:eastAsia="宋体" w:cs="宋体"/>
          <w:b/>
          <w:szCs w:val="21"/>
          <w:highlight w:val="none"/>
        </w:rPr>
      </w:pPr>
      <w:r>
        <w:rPr>
          <w:rFonts w:hint="eastAsia" w:ascii="宋体" w:hAnsi="宋体" w:eastAsia="宋体" w:cs="宋体"/>
          <w:b/>
          <w:bCs/>
          <w:sz w:val="36"/>
          <w:szCs w:val="36"/>
          <w:highlight w:val="none"/>
        </w:rPr>
        <w:t>八、一般商务条款偏离表</w:t>
      </w:r>
    </w:p>
    <w:p>
      <w:pPr>
        <w:rPr>
          <w:rFonts w:hint="eastAsia" w:ascii="宋体" w:hAnsi="宋体" w:eastAsia="宋体" w:cs="宋体"/>
          <w:highlight w:val="none"/>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2154"/>
        <w:gridCol w:w="2269"/>
        <w:gridCol w:w="1510"/>
        <w:gridCol w:w="2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序号</w:t>
            </w:r>
          </w:p>
        </w:tc>
        <w:tc>
          <w:tcPr>
            <w:tcW w:w="2154" w:type="dxa"/>
            <w:noWrap w:val="0"/>
            <w:vAlign w:val="center"/>
          </w:tcPr>
          <w:p>
            <w:pP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一般商务条款序号</w:t>
            </w:r>
          </w:p>
        </w:tc>
        <w:tc>
          <w:tcPr>
            <w:tcW w:w="2269"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条款内容</w:t>
            </w:r>
          </w:p>
        </w:tc>
        <w:tc>
          <w:tcPr>
            <w:tcW w:w="1510"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是否响应</w:t>
            </w:r>
          </w:p>
        </w:tc>
        <w:tc>
          <w:tcPr>
            <w:tcW w:w="2282" w:type="dxa"/>
            <w:noWrap w:val="0"/>
            <w:vAlign w:val="center"/>
          </w:tcPr>
          <w:p>
            <w:pP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1</w:t>
            </w:r>
          </w:p>
        </w:tc>
        <w:tc>
          <w:tcPr>
            <w:tcW w:w="2154" w:type="dxa"/>
            <w:noWrap w:val="0"/>
            <w:vAlign w:val="center"/>
          </w:tcPr>
          <w:p>
            <w:pPr>
              <w:rPr>
                <w:rFonts w:hint="eastAsia" w:ascii="宋体" w:hAnsi="宋体" w:eastAsia="宋体" w:cs="宋体"/>
                <w:spacing w:val="-1"/>
                <w:kern w:val="0"/>
                <w:sz w:val="24"/>
                <w:szCs w:val="24"/>
                <w:highlight w:val="none"/>
              </w:rPr>
            </w:pPr>
          </w:p>
        </w:tc>
        <w:tc>
          <w:tcPr>
            <w:tcW w:w="2269" w:type="dxa"/>
            <w:noWrap w:val="0"/>
            <w:vAlign w:val="center"/>
          </w:tcPr>
          <w:p>
            <w:pPr>
              <w:rPr>
                <w:rFonts w:hint="eastAsia" w:ascii="宋体" w:hAnsi="宋体" w:eastAsia="宋体" w:cs="宋体"/>
                <w:spacing w:val="-1"/>
                <w:kern w:val="0"/>
                <w:sz w:val="24"/>
                <w:szCs w:val="24"/>
                <w:highlight w:val="none"/>
              </w:rPr>
            </w:pPr>
          </w:p>
        </w:tc>
        <w:tc>
          <w:tcPr>
            <w:tcW w:w="1510" w:type="dxa"/>
            <w:noWrap w:val="0"/>
            <w:vAlign w:val="center"/>
          </w:tcPr>
          <w:p>
            <w:pPr>
              <w:rPr>
                <w:rFonts w:hint="eastAsia" w:ascii="宋体" w:hAnsi="宋体" w:eastAsia="宋体" w:cs="宋体"/>
                <w:spacing w:val="-1"/>
                <w:kern w:val="0"/>
                <w:sz w:val="24"/>
                <w:szCs w:val="24"/>
                <w:highlight w:val="none"/>
              </w:rPr>
            </w:pPr>
          </w:p>
        </w:tc>
        <w:tc>
          <w:tcPr>
            <w:tcW w:w="2282" w:type="dxa"/>
            <w:noWrap w:val="0"/>
            <w:vAlign w:val="center"/>
          </w:tcPr>
          <w:p>
            <w:pP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2</w:t>
            </w:r>
          </w:p>
        </w:tc>
        <w:tc>
          <w:tcPr>
            <w:tcW w:w="2154" w:type="dxa"/>
            <w:noWrap w:val="0"/>
            <w:vAlign w:val="center"/>
          </w:tcPr>
          <w:p>
            <w:pPr>
              <w:rPr>
                <w:rFonts w:hint="eastAsia" w:ascii="宋体" w:hAnsi="宋体" w:eastAsia="宋体" w:cs="宋体"/>
                <w:spacing w:val="-1"/>
                <w:kern w:val="0"/>
                <w:sz w:val="24"/>
                <w:szCs w:val="24"/>
                <w:highlight w:val="none"/>
              </w:rPr>
            </w:pPr>
          </w:p>
        </w:tc>
        <w:tc>
          <w:tcPr>
            <w:tcW w:w="2269" w:type="dxa"/>
            <w:noWrap w:val="0"/>
            <w:vAlign w:val="center"/>
          </w:tcPr>
          <w:p>
            <w:pPr>
              <w:rPr>
                <w:rFonts w:hint="eastAsia" w:ascii="宋体" w:hAnsi="宋体" w:eastAsia="宋体" w:cs="宋体"/>
                <w:spacing w:val="-1"/>
                <w:kern w:val="0"/>
                <w:sz w:val="24"/>
                <w:szCs w:val="24"/>
                <w:highlight w:val="none"/>
              </w:rPr>
            </w:pPr>
          </w:p>
        </w:tc>
        <w:tc>
          <w:tcPr>
            <w:tcW w:w="1510" w:type="dxa"/>
            <w:noWrap w:val="0"/>
            <w:vAlign w:val="center"/>
          </w:tcPr>
          <w:p>
            <w:pPr>
              <w:rPr>
                <w:rFonts w:hint="eastAsia" w:ascii="宋体" w:hAnsi="宋体" w:eastAsia="宋体" w:cs="宋体"/>
                <w:spacing w:val="-1"/>
                <w:kern w:val="0"/>
                <w:sz w:val="24"/>
                <w:szCs w:val="24"/>
                <w:highlight w:val="none"/>
              </w:rPr>
            </w:pPr>
          </w:p>
        </w:tc>
        <w:tc>
          <w:tcPr>
            <w:tcW w:w="2282" w:type="dxa"/>
            <w:noWrap w:val="0"/>
            <w:vAlign w:val="center"/>
          </w:tcPr>
          <w:p>
            <w:pP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3</w:t>
            </w:r>
          </w:p>
        </w:tc>
        <w:tc>
          <w:tcPr>
            <w:tcW w:w="2154" w:type="dxa"/>
            <w:noWrap w:val="0"/>
            <w:vAlign w:val="center"/>
          </w:tcPr>
          <w:p>
            <w:pPr>
              <w:rPr>
                <w:rFonts w:hint="eastAsia" w:ascii="宋体" w:hAnsi="宋体" w:eastAsia="宋体" w:cs="宋体"/>
                <w:spacing w:val="-1"/>
                <w:kern w:val="0"/>
                <w:sz w:val="24"/>
                <w:szCs w:val="24"/>
                <w:highlight w:val="none"/>
              </w:rPr>
            </w:pPr>
          </w:p>
        </w:tc>
        <w:tc>
          <w:tcPr>
            <w:tcW w:w="2269" w:type="dxa"/>
            <w:noWrap w:val="0"/>
            <w:vAlign w:val="center"/>
          </w:tcPr>
          <w:p>
            <w:pPr>
              <w:rPr>
                <w:rFonts w:hint="eastAsia" w:ascii="宋体" w:hAnsi="宋体" w:eastAsia="宋体" w:cs="宋体"/>
                <w:spacing w:val="-1"/>
                <w:kern w:val="0"/>
                <w:sz w:val="24"/>
                <w:szCs w:val="24"/>
                <w:highlight w:val="none"/>
              </w:rPr>
            </w:pPr>
          </w:p>
        </w:tc>
        <w:tc>
          <w:tcPr>
            <w:tcW w:w="1510" w:type="dxa"/>
            <w:noWrap w:val="0"/>
            <w:vAlign w:val="center"/>
          </w:tcPr>
          <w:p>
            <w:pPr>
              <w:rPr>
                <w:rFonts w:hint="eastAsia" w:ascii="宋体" w:hAnsi="宋体" w:eastAsia="宋体" w:cs="宋体"/>
                <w:spacing w:val="-1"/>
                <w:kern w:val="0"/>
                <w:sz w:val="24"/>
                <w:szCs w:val="24"/>
                <w:highlight w:val="none"/>
              </w:rPr>
            </w:pPr>
          </w:p>
        </w:tc>
        <w:tc>
          <w:tcPr>
            <w:tcW w:w="2282" w:type="dxa"/>
            <w:noWrap w:val="0"/>
            <w:vAlign w:val="center"/>
          </w:tcPr>
          <w:p>
            <w:pP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4</w:t>
            </w:r>
          </w:p>
        </w:tc>
        <w:tc>
          <w:tcPr>
            <w:tcW w:w="2154" w:type="dxa"/>
            <w:noWrap w:val="0"/>
            <w:vAlign w:val="center"/>
          </w:tcPr>
          <w:p>
            <w:pPr>
              <w:rPr>
                <w:rFonts w:hint="eastAsia" w:ascii="宋体" w:hAnsi="宋体" w:eastAsia="宋体" w:cs="宋体"/>
                <w:spacing w:val="-1"/>
                <w:kern w:val="0"/>
                <w:sz w:val="24"/>
                <w:szCs w:val="24"/>
                <w:highlight w:val="none"/>
              </w:rPr>
            </w:pPr>
          </w:p>
        </w:tc>
        <w:tc>
          <w:tcPr>
            <w:tcW w:w="2269" w:type="dxa"/>
            <w:noWrap w:val="0"/>
            <w:vAlign w:val="center"/>
          </w:tcPr>
          <w:p>
            <w:pPr>
              <w:rPr>
                <w:rFonts w:hint="eastAsia" w:ascii="宋体" w:hAnsi="宋体" w:eastAsia="宋体" w:cs="宋体"/>
                <w:spacing w:val="-1"/>
                <w:kern w:val="0"/>
                <w:sz w:val="24"/>
                <w:szCs w:val="24"/>
                <w:highlight w:val="none"/>
              </w:rPr>
            </w:pPr>
          </w:p>
        </w:tc>
        <w:tc>
          <w:tcPr>
            <w:tcW w:w="1510" w:type="dxa"/>
            <w:noWrap w:val="0"/>
            <w:vAlign w:val="center"/>
          </w:tcPr>
          <w:p>
            <w:pPr>
              <w:rPr>
                <w:rFonts w:hint="eastAsia" w:ascii="宋体" w:hAnsi="宋体" w:eastAsia="宋体" w:cs="宋体"/>
                <w:spacing w:val="-1"/>
                <w:kern w:val="0"/>
                <w:sz w:val="24"/>
                <w:szCs w:val="24"/>
                <w:highlight w:val="none"/>
              </w:rPr>
            </w:pPr>
          </w:p>
        </w:tc>
        <w:tc>
          <w:tcPr>
            <w:tcW w:w="2282" w:type="dxa"/>
            <w:noWrap w:val="0"/>
            <w:vAlign w:val="center"/>
          </w:tcPr>
          <w:p>
            <w:pP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5</w:t>
            </w:r>
          </w:p>
        </w:tc>
        <w:tc>
          <w:tcPr>
            <w:tcW w:w="2154" w:type="dxa"/>
            <w:noWrap w:val="0"/>
            <w:vAlign w:val="center"/>
          </w:tcPr>
          <w:p>
            <w:pPr>
              <w:rPr>
                <w:rFonts w:hint="eastAsia" w:ascii="宋体" w:hAnsi="宋体" w:eastAsia="宋体" w:cs="宋体"/>
                <w:spacing w:val="-1"/>
                <w:kern w:val="0"/>
                <w:sz w:val="24"/>
                <w:szCs w:val="24"/>
                <w:highlight w:val="none"/>
              </w:rPr>
            </w:pPr>
          </w:p>
        </w:tc>
        <w:tc>
          <w:tcPr>
            <w:tcW w:w="2269" w:type="dxa"/>
            <w:noWrap w:val="0"/>
            <w:vAlign w:val="center"/>
          </w:tcPr>
          <w:p>
            <w:pPr>
              <w:rPr>
                <w:rFonts w:hint="eastAsia" w:ascii="宋体" w:hAnsi="宋体" w:eastAsia="宋体" w:cs="宋体"/>
                <w:spacing w:val="-1"/>
                <w:kern w:val="0"/>
                <w:sz w:val="24"/>
                <w:szCs w:val="24"/>
                <w:highlight w:val="none"/>
              </w:rPr>
            </w:pPr>
          </w:p>
        </w:tc>
        <w:tc>
          <w:tcPr>
            <w:tcW w:w="1510" w:type="dxa"/>
            <w:noWrap w:val="0"/>
            <w:vAlign w:val="center"/>
          </w:tcPr>
          <w:p>
            <w:pPr>
              <w:rPr>
                <w:rFonts w:hint="eastAsia" w:ascii="宋体" w:hAnsi="宋体" w:eastAsia="宋体" w:cs="宋体"/>
                <w:spacing w:val="-1"/>
                <w:kern w:val="0"/>
                <w:sz w:val="24"/>
                <w:szCs w:val="24"/>
                <w:highlight w:val="none"/>
              </w:rPr>
            </w:pPr>
          </w:p>
        </w:tc>
        <w:tc>
          <w:tcPr>
            <w:tcW w:w="2282" w:type="dxa"/>
            <w:noWrap w:val="0"/>
            <w:vAlign w:val="center"/>
          </w:tcPr>
          <w:p>
            <w:pP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6</w:t>
            </w:r>
          </w:p>
        </w:tc>
        <w:tc>
          <w:tcPr>
            <w:tcW w:w="2154" w:type="dxa"/>
            <w:noWrap w:val="0"/>
            <w:vAlign w:val="center"/>
          </w:tcPr>
          <w:p>
            <w:pPr>
              <w:rPr>
                <w:rFonts w:hint="eastAsia" w:ascii="宋体" w:hAnsi="宋体" w:eastAsia="宋体" w:cs="宋体"/>
                <w:spacing w:val="-1"/>
                <w:kern w:val="0"/>
                <w:sz w:val="24"/>
                <w:szCs w:val="24"/>
                <w:highlight w:val="none"/>
              </w:rPr>
            </w:pPr>
          </w:p>
        </w:tc>
        <w:tc>
          <w:tcPr>
            <w:tcW w:w="2269" w:type="dxa"/>
            <w:noWrap w:val="0"/>
            <w:vAlign w:val="center"/>
          </w:tcPr>
          <w:p>
            <w:pPr>
              <w:rPr>
                <w:rFonts w:hint="eastAsia" w:ascii="宋体" w:hAnsi="宋体" w:eastAsia="宋体" w:cs="宋体"/>
                <w:spacing w:val="-1"/>
                <w:kern w:val="0"/>
                <w:sz w:val="24"/>
                <w:szCs w:val="24"/>
                <w:highlight w:val="none"/>
              </w:rPr>
            </w:pPr>
          </w:p>
        </w:tc>
        <w:tc>
          <w:tcPr>
            <w:tcW w:w="1510" w:type="dxa"/>
            <w:noWrap w:val="0"/>
            <w:vAlign w:val="center"/>
          </w:tcPr>
          <w:p>
            <w:pPr>
              <w:rPr>
                <w:rFonts w:hint="eastAsia" w:ascii="宋体" w:hAnsi="宋体" w:eastAsia="宋体" w:cs="宋体"/>
                <w:spacing w:val="-1"/>
                <w:kern w:val="0"/>
                <w:sz w:val="24"/>
                <w:szCs w:val="24"/>
                <w:highlight w:val="none"/>
              </w:rPr>
            </w:pPr>
          </w:p>
        </w:tc>
        <w:tc>
          <w:tcPr>
            <w:tcW w:w="2282" w:type="dxa"/>
            <w:noWrap w:val="0"/>
            <w:vAlign w:val="center"/>
          </w:tcPr>
          <w:p>
            <w:pP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7</w:t>
            </w:r>
          </w:p>
        </w:tc>
        <w:tc>
          <w:tcPr>
            <w:tcW w:w="2154" w:type="dxa"/>
            <w:noWrap w:val="0"/>
            <w:vAlign w:val="center"/>
          </w:tcPr>
          <w:p>
            <w:pPr>
              <w:rPr>
                <w:rFonts w:hint="eastAsia" w:ascii="宋体" w:hAnsi="宋体" w:eastAsia="宋体" w:cs="宋体"/>
                <w:spacing w:val="-1"/>
                <w:kern w:val="0"/>
                <w:sz w:val="24"/>
                <w:szCs w:val="24"/>
                <w:highlight w:val="none"/>
              </w:rPr>
            </w:pPr>
          </w:p>
        </w:tc>
        <w:tc>
          <w:tcPr>
            <w:tcW w:w="2269" w:type="dxa"/>
            <w:noWrap w:val="0"/>
            <w:vAlign w:val="center"/>
          </w:tcPr>
          <w:p>
            <w:pPr>
              <w:rPr>
                <w:rFonts w:hint="eastAsia" w:ascii="宋体" w:hAnsi="宋体" w:eastAsia="宋体" w:cs="宋体"/>
                <w:spacing w:val="-1"/>
                <w:kern w:val="0"/>
                <w:sz w:val="24"/>
                <w:szCs w:val="24"/>
                <w:highlight w:val="none"/>
              </w:rPr>
            </w:pPr>
          </w:p>
        </w:tc>
        <w:tc>
          <w:tcPr>
            <w:tcW w:w="1510" w:type="dxa"/>
            <w:noWrap w:val="0"/>
            <w:vAlign w:val="center"/>
          </w:tcPr>
          <w:p>
            <w:pPr>
              <w:rPr>
                <w:rFonts w:hint="eastAsia" w:ascii="宋体" w:hAnsi="宋体" w:eastAsia="宋体" w:cs="宋体"/>
                <w:spacing w:val="-1"/>
                <w:kern w:val="0"/>
                <w:sz w:val="24"/>
                <w:szCs w:val="24"/>
                <w:highlight w:val="none"/>
              </w:rPr>
            </w:pPr>
          </w:p>
        </w:tc>
        <w:tc>
          <w:tcPr>
            <w:tcW w:w="2282" w:type="dxa"/>
            <w:noWrap w:val="0"/>
            <w:vAlign w:val="center"/>
          </w:tcPr>
          <w:p>
            <w:pP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8</w:t>
            </w:r>
          </w:p>
        </w:tc>
        <w:tc>
          <w:tcPr>
            <w:tcW w:w="2154" w:type="dxa"/>
            <w:noWrap w:val="0"/>
            <w:vAlign w:val="center"/>
          </w:tcPr>
          <w:p>
            <w:pPr>
              <w:rPr>
                <w:rFonts w:hint="eastAsia" w:ascii="宋体" w:hAnsi="宋体" w:eastAsia="宋体" w:cs="宋体"/>
                <w:spacing w:val="-1"/>
                <w:kern w:val="0"/>
                <w:sz w:val="24"/>
                <w:szCs w:val="24"/>
                <w:highlight w:val="none"/>
              </w:rPr>
            </w:pPr>
          </w:p>
        </w:tc>
        <w:tc>
          <w:tcPr>
            <w:tcW w:w="2269" w:type="dxa"/>
            <w:noWrap w:val="0"/>
            <w:vAlign w:val="center"/>
          </w:tcPr>
          <w:p>
            <w:pPr>
              <w:rPr>
                <w:rFonts w:hint="eastAsia" w:ascii="宋体" w:hAnsi="宋体" w:eastAsia="宋体" w:cs="宋体"/>
                <w:spacing w:val="-1"/>
                <w:kern w:val="0"/>
                <w:sz w:val="24"/>
                <w:szCs w:val="24"/>
                <w:highlight w:val="none"/>
              </w:rPr>
            </w:pPr>
          </w:p>
        </w:tc>
        <w:tc>
          <w:tcPr>
            <w:tcW w:w="1510" w:type="dxa"/>
            <w:noWrap w:val="0"/>
            <w:vAlign w:val="center"/>
          </w:tcPr>
          <w:p>
            <w:pPr>
              <w:rPr>
                <w:rFonts w:hint="eastAsia" w:ascii="宋体" w:hAnsi="宋体" w:eastAsia="宋体" w:cs="宋体"/>
                <w:spacing w:val="-1"/>
                <w:kern w:val="0"/>
                <w:sz w:val="24"/>
                <w:szCs w:val="24"/>
                <w:highlight w:val="none"/>
              </w:rPr>
            </w:pPr>
          </w:p>
        </w:tc>
        <w:tc>
          <w:tcPr>
            <w:tcW w:w="2282" w:type="dxa"/>
            <w:noWrap w:val="0"/>
            <w:vAlign w:val="center"/>
          </w:tcPr>
          <w:p>
            <w:pP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9</w:t>
            </w:r>
          </w:p>
        </w:tc>
        <w:tc>
          <w:tcPr>
            <w:tcW w:w="2154" w:type="dxa"/>
            <w:noWrap w:val="0"/>
            <w:vAlign w:val="center"/>
          </w:tcPr>
          <w:p>
            <w:pPr>
              <w:rPr>
                <w:rFonts w:hint="eastAsia" w:ascii="宋体" w:hAnsi="宋体" w:eastAsia="宋体" w:cs="宋体"/>
                <w:spacing w:val="-1"/>
                <w:kern w:val="0"/>
                <w:sz w:val="24"/>
                <w:szCs w:val="24"/>
                <w:highlight w:val="none"/>
              </w:rPr>
            </w:pPr>
          </w:p>
        </w:tc>
        <w:tc>
          <w:tcPr>
            <w:tcW w:w="2269" w:type="dxa"/>
            <w:noWrap w:val="0"/>
            <w:vAlign w:val="center"/>
          </w:tcPr>
          <w:p>
            <w:pPr>
              <w:rPr>
                <w:rFonts w:hint="eastAsia" w:ascii="宋体" w:hAnsi="宋体" w:eastAsia="宋体" w:cs="宋体"/>
                <w:spacing w:val="-1"/>
                <w:kern w:val="0"/>
                <w:sz w:val="24"/>
                <w:szCs w:val="24"/>
                <w:highlight w:val="none"/>
              </w:rPr>
            </w:pPr>
          </w:p>
        </w:tc>
        <w:tc>
          <w:tcPr>
            <w:tcW w:w="1510" w:type="dxa"/>
            <w:noWrap w:val="0"/>
            <w:vAlign w:val="center"/>
          </w:tcPr>
          <w:p>
            <w:pPr>
              <w:rPr>
                <w:rFonts w:hint="eastAsia" w:ascii="宋体" w:hAnsi="宋体" w:eastAsia="宋体" w:cs="宋体"/>
                <w:spacing w:val="-1"/>
                <w:kern w:val="0"/>
                <w:sz w:val="24"/>
                <w:szCs w:val="24"/>
                <w:highlight w:val="none"/>
              </w:rPr>
            </w:pPr>
          </w:p>
        </w:tc>
        <w:tc>
          <w:tcPr>
            <w:tcW w:w="2282" w:type="dxa"/>
            <w:noWrap w:val="0"/>
            <w:vAlign w:val="center"/>
          </w:tcPr>
          <w:p>
            <w:pP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10</w:t>
            </w:r>
          </w:p>
        </w:tc>
        <w:tc>
          <w:tcPr>
            <w:tcW w:w="2154" w:type="dxa"/>
            <w:noWrap w:val="0"/>
            <w:vAlign w:val="center"/>
          </w:tcPr>
          <w:p>
            <w:pPr>
              <w:rPr>
                <w:rFonts w:hint="eastAsia" w:ascii="宋体" w:hAnsi="宋体" w:eastAsia="宋体" w:cs="宋体"/>
                <w:spacing w:val="-1"/>
                <w:kern w:val="0"/>
                <w:sz w:val="24"/>
                <w:szCs w:val="24"/>
                <w:highlight w:val="none"/>
              </w:rPr>
            </w:pPr>
          </w:p>
        </w:tc>
        <w:tc>
          <w:tcPr>
            <w:tcW w:w="2269" w:type="dxa"/>
            <w:noWrap w:val="0"/>
            <w:vAlign w:val="center"/>
          </w:tcPr>
          <w:p>
            <w:pPr>
              <w:rPr>
                <w:rFonts w:hint="eastAsia" w:ascii="宋体" w:hAnsi="宋体" w:eastAsia="宋体" w:cs="宋体"/>
                <w:spacing w:val="-1"/>
                <w:kern w:val="0"/>
                <w:sz w:val="24"/>
                <w:szCs w:val="24"/>
                <w:highlight w:val="none"/>
              </w:rPr>
            </w:pPr>
          </w:p>
        </w:tc>
        <w:tc>
          <w:tcPr>
            <w:tcW w:w="1510" w:type="dxa"/>
            <w:noWrap w:val="0"/>
            <w:vAlign w:val="center"/>
          </w:tcPr>
          <w:p>
            <w:pPr>
              <w:rPr>
                <w:rFonts w:hint="eastAsia" w:ascii="宋体" w:hAnsi="宋体" w:eastAsia="宋体" w:cs="宋体"/>
                <w:spacing w:val="-1"/>
                <w:kern w:val="0"/>
                <w:sz w:val="24"/>
                <w:szCs w:val="24"/>
                <w:highlight w:val="none"/>
              </w:rPr>
            </w:pPr>
          </w:p>
        </w:tc>
        <w:tc>
          <w:tcPr>
            <w:tcW w:w="2282" w:type="dxa"/>
            <w:noWrap w:val="0"/>
            <w:vAlign w:val="center"/>
          </w:tcPr>
          <w:p>
            <w:pP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11</w:t>
            </w:r>
          </w:p>
        </w:tc>
        <w:tc>
          <w:tcPr>
            <w:tcW w:w="2154" w:type="dxa"/>
            <w:noWrap w:val="0"/>
            <w:vAlign w:val="center"/>
          </w:tcPr>
          <w:p>
            <w:pPr>
              <w:rPr>
                <w:rFonts w:hint="eastAsia" w:ascii="宋体" w:hAnsi="宋体" w:eastAsia="宋体" w:cs="宋体"/>
                <w:spacing w:val="-1"/>
                <w:kern w:val="0"/>
                <w:sz w:val="24"/>
                <w:szCs w:val="24"/>
                <w:highlight w:val="none"/>
              </w:rPr>
            </w:pPr>
          </w:p>
        </w:tc>
        <w:tc>
          <w:tcPr>
            <w:tcW w:w="2269" w:type="dxa"/>
            <w:noWrap w:val="0"/>
            <w:vAlign w:val="center"/>
          </w:tcPr>
          <w:p>
            <w:pPr>
              <w:rPr>
                <w:rFonts w:hint="eastAsia" w:ascii="宋体" w:hAnsi="宋体" w:eastAsia="宋体" w:cs="宋体"/>
                <w:spacing w:val="-1"/>
                <w:kern w:val="0"/>
                <w:sz w:val="24"/>
                <w:szCs w:val="24"/>
                <w:highlight w:val="none"/>
              </w:rPr>
            </w:pPr>
          </w:p>
        </w:tc>
        <w:tc>
          <w:tcPr>
            <w:tcW w:w="1510" w:type="dxa"/>
            <w:noWrap w:val="0"/>
            <w:vAlign w:val="center"/>
          </w:tcPr>
          <w:p>
            <w:pPr>
              <w:rPr>
                <w:rFonts w:hint="eastAsia" w:ascii="宋体" w:hAnsi="宋体" w:eastAsia="宋体" w:cs="宋体"/>
                <w:spacing w:val="-1"/>
                <w:kern w:val="0"/>
                <w:sz w:val="24"/>
                <w:szCs w:val="24"/>
                <w:highlight w:val="none"/>
              </w:rPr>
            </w:pPr>
          </w:p>
        </w:tc>
        <w:tc>
          <w:tcPr>
            <w:tcW w:w="2282" w:type="dxa"/>
            <w:noWrap w:val="0"/>
            <w:vAlign w:val="center"/>
          </w:tcPr>
          <w:p>
            <w:pP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12</w:t>
            </w:r>
          </w:p>
        </w:tc>
        <w:tc>
          <w:tcPr>
            <w:tcW w:w="2154" w:type="dxa"/>
            <w:noWrap w:val="0"/>
            <w:vAlign w:val="center"/>
          </w:tcPr>
          <w:p>
            <w:pPr>
              <w:rPr>
                <w:rFonts w:hint="eastAsia" w:ascii="宋体" w:hAnsi="宋体" w:eastAsia="宋体" w:cs="宋体"/>
                <w:spacing w:val="-1"/>
                <w:kern w:val="0"/>
                <w:sz w:val="24"/>
                <w:szCs w:val="24"/>
                <w:highlight w:val="none"/>
              </w:rPr>
            </w:pPr>
          </w:p>
        </w:tc>
        <w:tc>
          <w:tcPr>
            <w:tcW w:w="2269" w:type="dxa"/>
            <w:noWrap w:val="0"/>
            <w:vAlign w:val="center"/>
          </w:tcPr>
          <w:p>
            <w:pPr>
              <w:rPr>
                <w:rFonts w:hint="eastAsia" w:ascii="宋体" w:hAnsi="宋体" w:eastAsia="宋体" w:cs="宋体"/>
                <w:spacing w:val="-1"/>
                <w:kern w:val="0"/>
                <w:sz w:val="24"/>
                <w:szCs w:val="24"/>
                <w:highlight w:val="none"/>
              </w:rPr>
            </w:pPr>
          </w:p>
        </w:tc>
        <w:tc>
          <w:tcPr>
            <w:tcW w:w="1510" w:type="dxa"/>
            <w:noWrap w:val="0"/>
            <w:vAlign w:val="center"/>
          </w:tcPr>
          <w:p>
            <w:pPr>
              <w:rPr>
                <w:rFonts w:hint="eastAsia" w:ascii="宋体" w:hAnsi="宋体" w:eastAsia="宋体" w:cs="宋体"/>
                <w:spacing w:val="-1"/>
                <w:kern w:val="0"/>
                <w:sz w:val="24"/>
                <w:szCs w:val="24"/>
                <w:highlight w:val="none"/>
              </w:rPr>
            </w:pPr>
          </w:p>
        </w:tc>
        <w:tc>
          <w:tcPr>
            <w:tcW w:w="2282" w:type="dxa"/>
            <w:noWrap w:val="0"/>
            <w:vAlign w:val="center"/>
          </w:tcPr>
          <w:p>
            <w:pP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13</w:t>
            </w:r>
          </w:p>
        </w:tc>
        <w:tc>
          <w:tcPr>
            <w:tcW w:w="2154" w:type="dxa"/>
            <w:noWrap w:val="0"/>
            <w:vAlign w:val="center"/>
          </w:tcPr>
          <w:p>
            <w:pPr>
              <w:rPr>
                <w:rFonts w:hint="eastAsia" w:ascii="宋体" w:hAnsi="宋体" w:eastAsia="宋体" w:cs="宋体"/>
                <w:spacing w:val="-1"/>
                <w:kern w:val="0"/>
                <w:sz w:val="24"/>
                <w:szCs w:val="24"/>
                <w:highlight w:val="none"/>
              </w:rPr>
            </w:pPr>
          </w:p>
        </w:tc>
        <w:tc>
          <w:tcPr>
            <w:tcW w:w="2269" w:type="dxa"/>
            <w:noWrap w:val="0"/>
            <w:vAlign w:val="center"/>
          </w:tcPr>
          <w:p>
            <w:pPr>
              <w:rPr>
                <w:rFonts w:hint="eastAsia" w:ascii="宋体" w:hAnsi="宋体" w:eastAsia="宋体" w:cs="宋体"/>
                <w:spacing w:val="-1"/>
                <w:kern w:val="0"/>
                <w:sz w:val="24"/>
                <w:szCs w:val="24"/>
                <w:highlight w:val="none"/>
              </w:rPr>
            </w:pPr>
          </w:p>
        </w:tc>
        <w:tc>
          <w:tcPr>
            <w:tcW w:w="1510" w:type="dxa"/>
            <w:noWrap w:val="0"/>
            <w:vAlign w:val="center"/>
          </w:tcPr>
          <w:p>
            <w:pPr>
              <w:rPr>
                <w:rFonts w:hint="eastAsia" w:ascii="宋体" w:hAnsi="宋体" w:eastAsia="宋体" w:cs="宋体"/>
                <w:spacing w:val="-1"/>
                <w:kern w:val="0"/>
                <w:sz w:val="24"/>
                <w:szCs w:val="24"/>
                <w:highlight w:val="none"/>
              </w:rPr>
            </w:pPr>
          </w:p>
        </w:tc>
        <w:tc>
          <w:tcPr>
            <w:tcW w:w="2282" w:type="dxa"/>
            <w:noWrap w:val="0"/>
            <w:vAlign w:val="center"/>
          </w:tcPr>
          <w:p>
            <w:pP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14</w:t>
            </w:r>
          </w:p>
        </w:tc>
        <w:tc>
          <w:tcPr>
            <w:tcW w:w="2154" w:type="dxa"/>
            <w:noWrap w:val="0"/>
            <w:vAlign w:val="center"/>
          </w:tcPr>
          <w:p>
            <w:pPr>
              <w:rPr>
                <w:rFonts w:hint="eastAsia" w:ascii="宋体" w:hAnsi="宋体" w:eastAsia="宋体" w:cs="宋体"/>
                <w:spacing w:val="-1"/>
                <w:kern w:val="0"/>
                <w:sz w:val="24"/>
                <w:szCs w:val="24"/>
                <w:highlight w:val="none"/>
              </w:rPr>
            </w:pPr>
          </w:p>
        </w:tc>
        <w:tc>
          <w:tcPr>
            <w:tcW w:w="2269" w:type="dxa"/>
            <w:noWrap w:val="0"/>
            <w:vAlign w:val="center"/>
          </w:tcPr>
          <w:p>
            <w:pPr>
              <w:rPr>
                <w:rFonts w:hint="eastAsia" w:ascii="宋体" w:hAnsi="宋体" w:eastAsia="宋体" w:cs="宋体"/>
                <w:spacing w:val="-1"/>
                <w:kern w:val="0"/>
                <w:sz w:val="24"/>
                <w:szCs w:val="24"/>
                <w:highlight w:val="none"/>
              </w:rPr>
            </w:pPr>
          </w:p>
        </w:tc>
        <w:tc>
          <w:tcPr>
            <w:tcW w:w="1510" w:type="dxa"/>
            <w:noWrap w:val="0"/>
            <w:vAlign w:val="center"/>
          </w:tcPr>
          <w:p>
            <w:pPr>
              <w:rPr>
                <w:rFonts w:hint="eastAsia" w:ascii="宋体" w:hAnsi="宋体" w:eastAsia="宋体" w:cs="宋体"/>
                <w:spacing w:val="-1"/>
                <w:kern w:val="0"/>
                <w:sz w:val="24"/>
                <w:szCs w:val="24"/>
                <w:highlight w:val="none"/>
              </w:rPr>
            </w:pPr>
          </w:p>
        </w:tc>
        <w:tc>
          <w:tcPr>
            <w:tcW w:w="2282" w:type="dxa"/>
            <w:noWrap w:val="0"/>
            <w:vAlign w:val="center"/>
          </w:tcPr>
          <w:p>
            <w:pP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15</w:t>
            </w:r>
          </w:p>
        </w:tc>
        <w:tc>
          <w:tcPr>
            <w:tcW w:w="2154" w:type="dxa"/>
            <w:noWrap w:val="0"/>
            <w:vAlign w:val="center"/>
          </w:tcPr>
          <w:p>
            <w:pPr>
              <w:rPr>
                <w:rFonts w:hint="eastAsia" w:ascii="宋体" w:hAnsi="宋体" w:eastAsia="宋体" w:cs="宋体"/>
                <w:spacing w:val="-1"/>
                <w:kern w:val="0"/>
                <w:sz w:val="24"/>
                <w:szCs w:val="24"/>
                <w:highlight w:val="none"/>
              </w:rPr>
            </w:pPr>
          </w:p>
        </w:tc>
        <w:tc>
          <w:tcPr>
            <w:tcW w:w="2269" w:type="dxa"/>
            <w:noWrap w:val="0"/>
            <w:vAlign w:val="center"/>
          </w:tcPr>
          <w:p>
            <w:pPr>
              <w:rPr>
                <w:rFonts w:hint="eastAsia" w:ascii="宋体" w:hAnsi="宋体" w:eastAsia="宋体" w:cs="宋体"/>
                <w:spacing w:val="-1"/>
                <w:kern w:val="0"/>
                <w:sz w:val="24"/>
                <w:szCs w:val="24"/>
                <w:highlight w:val="none"/>
              </w:rPr>
            </w:pPr>
          </w:p>
        </w:tc>
        <w:tc>
          <w:tcPr>
            <w:tcW w:w="1510" w:type="dxa"/>
            <w:noWrap w:val="0"/>
            <w:vAlign w:val="center"/>
          </w:tcPr>
          <w:p>
            <w:pPr>
              <w:rPr>
                <w:rFonts w:hint="eastAsia" w:ascii="宋体" w:hAnsi="宋体" w:eastAsia="宋体" w:cs="宋体"/>
                <w:spacing w:val="-1"/>
                <w:kern w:val="0"/>
                <w:sz w:val="24"/>
                <w:szCs w:val="24"/>
                <w:highlight w:val="none"/>
              </w:rPr>
            </w:pPr>
          </w:p>
        </w:tc>
        <w:tc>
          <w:tcPr>
            <w:tcW w:w="2282" w:type="dxa"/>
            <w:noWrap w:val="0"/>
            <w:vAlign w:val="center"/>
          </w:tcPr>
          <w:p>
            <w:pPr>
              <w:rPr>
                <w:rFonts w:hint="eastAsia" w:ascii="宋体" w:hAnsi="宋体" w:eastAsia="宋体" w:cs="宋体"/>
                <w:spacing w:val="-1"/>
                <w:kern w:val="0"/>
                <w:sz w:val="24"/>
                <w:szCs w:val="24"/>
                <w:highlight w:val="none"/>
              </w:rPr>
            </w:pPr>
          </w:p>
        </w:tc>
      </w:tr>
    </w:tbl>
    <w:p>
      <w:pP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注：请在“偏离说明”栏内扼要说明偏离情况，如无偏离则不需列明。</w:t>
      </w:r>
    </w:p>
    <w:p>
      <w:pPr>
        <w:rPr>
          <w:rFonts w:hint="eastAsia" w:ascii="宋体" w:hAnsi="宋体" w:eastAsia="宋体" w:cs="宋体"/>
          <w:szCs w:val="21"/>
          <w:highlight w:val="none"/>
        </w:rPr>
      </w:pPr>
    </w:p>
    <w:p>
      <w:pPr>
        <w:pStyle w:val="8"/>
        <w:kinsoku w:val="0"/>
        <w:overflowPunct w:val="0"/>
        <w:spacing w:before="34" w:line="357" w:lineRule="auto"/>
        <w:ind w:right="126" w:firstLine="480"/>
        <w:jc w:val="center"/>
        <w:rPr>
          <w:rFonts w:hint="eastAsia" w:ascii="宋体" w:hAnsi="宋体" w:eastAsia="宋体" w:cs="宋体"/>
          <w:sz w:val="18"/>
          <w:szCs w:val="18"/>
          <w:highlight w:val="none"/>
        </w:rPr>
      </w:pPr>
    </w:p>
    <w:p>
      <w:pPr>
        <w:pStyle w:val="8"/>
        <w:tabs>
          <w:tab w:val="left" w:pos="6736"/>
        </w:tabs>
        <w:kinsoku w:val="0"/>
        <w:overflowPunct w:val="0"/>
        <w:spacing w:before="26" w:line="337" w:lineRule="auto"/>
        <w:ind w:right="33" w:rightChars="0" w:firstLine="4760" w:firstLineChars="2000"/>
        <w:rPr>
          <w:rFonts w:hint="eastAsia" w:ascii="宋体" w:hAnsi="宋体" w:eastAsia="宋体" w:cs="宋体"/>
          <w:spacing w:val="23"/>
          <w:highlight w:val="none"/>
        </w:rPr>
      </w:pPr>
      <w:r>
        <w:rPr>
          <w:rFonts w:hint="eastAsia" w:ascii="宋体" w:hAnsi="宋体" w:eastAsia="宋体" w:cs="宋体"/>
          <w:spacing w:val="-1"/>
          <w:highlight w:val="none"/>
        </w:rPr>
        <w:t>供应商：</w:t>
      </w:r>
      <w:r>
        <w:rPr>
          <w:rFonts w:hint="eastAsia" w:ascii="宋体" w:hAnsi="宋体" w:eastAsia="宋体" w:cs="宋体"/>
          <w:spacing w:val="-1"/>
          <w:highlight w:val="none"/>
          <w:u w:val="single"/>
        </w:rPr>
        <w:t xml:space="preserve">    </w:t>
      </w:r>
      <w:r>
        <w:rPr>
          <w:rFonts w:hint="eastAsia" w:ascii="宋体" w:hAnsi="宋体" w:eastAsia="宋体" w:cs="宋体"/>
          <w:spacing w:val="-1"/>
          <w:highlight w:val="none"/>
          <w:u w:val="single"/>
          <w:lang w:val="en-US" w:eastAsia="zh-CN"/>
        </w:rPr>
        <w:t xml:space="preserve"> </w:t>
      </w:r>
      <w:r>
        <w:rPr>
          <w:rFonts w:hint="eastAsia" w:ascii="宋体" w:hAnsi="宋体" w:eastAsia="宋体" w:cs="宋体"/>
          <w:spacing w:val="-1"/>
          <w:highlight w:val="none"/>
          <w:u w:val="single"/>
        </w:rPr>
        <w:t xml:space="preserve">           </w:t>
      </w:r>
      <w:r>
        <w:rPr>
          <w:rFonts w:hint="eastAsia" w:ascii="宋体" w:hAnsi="宋体" w:eastAsia="宋体" w:cs="宋体"/>
          <w:highlight w:val="none"/>
          <w:u w:val="single"/>
        </w:rPr>
        <w:t>（公章）</w:t>
      </w:r>
      <w:r>
        <w:rPr>
          <w:rFonts w:hint="eastAsia" w:ascii="宋体" w:hAnsi="宋体" w:eastAsia="宋体" w:cs="宋体"/>
          <w:spacing w:val="23"/>
          <w:highlight w:val="none"/>
        </w:rPr>
        <w:t xml:space="preserve"> </w:t>
      </w:r>
    </w:p>
    <w:p>
      <w:pPr>
        <w:pStyle w:val="8"/>
        <w:tabs>
          <w:tab w:val="left" w:pos="6736"/>
        </w:tabs>
        <w:kinsoku w:val="0"/>
        <w:overflowPunct w:val="0"/>
        <w:spacing w:before="26" w:line="337" w:lineRule="auto"/>
        <w:ind w:right="33" w:rightChars="0" w:firstLine="3451" w:firstLineChars="1450"/>
        <w:rPr>
          <w:rFonts w:hint="eastAsia" w:ascii="宋体" w:hAnsi="宋体" w:eastAsia="宋体" w:cs="宋体"/>
          <w:highlight w:val="none"/>
        </w:rPr>
      </w:pPr>
      <w:r>
        <w:rPr>
          <w:rFonts w:hint="eastAsia" w:ascii="宋体" w:hAnsi="宋体" w:eastAsia="宋体" w:cs="宋体"/>
          <w:spacing w:val="-1"/>
          <w:highlight w:val="none"/>
        </w:rPr>
        <w:t>法定代表人或委托人：</w:t>
      </w:r>
      <w:r>
        <w:rPr>
          <w:rFonts w:hint="eastAsia" w:ascii="宋体" w:hAnsi="宋体" w:eastAsia="宋体" w:cs="宋体"/>
          <w:spacing w:val="-1"/>
          <w:highlight w:val="none"/>
          <w:u w:val="single"/>
        </w:rPr>
        <w:t xml:space="preserve">               </w:t>
      </w:r>
      <w:r>
        <w:rPr>
          <w:rFonts w:hint="eastAsia" w:ascii="宋体" w:hAnsi="宋体" w:eastAsia="宋体" w:cs="宋体"/>
          <w:highlight w:val="none"/>
          <w:u w:val="single"/>
        </w:rPr>
        <w:t>（签字）</w:t>
      </w:r>
    </w:p>
    <w:p>
      <w:pPr>
        <w:pStyle w:val="8"/>
        <w:kinsoku w:val="0"/>
        <w:overflowPunct w:val="0"/>
        <w:spacing w:before="11"/>
        <w:ind w:left="0"/>
        <w:rPr>
          <w:rFonts w:hint="eastAsia" w:ascii="宋体" w:hAnsi="宋体" w:eastAsia="宋体" w:cs="宋体"/>
          <w:sz w:val="9"/>
          <w:szCs w:val="9"/>
          <w:highlight w:val="none"/>
        </w:rPr>
      </w:pPr>
    </w:p>
    <w:p>
      <w:pPr>
        <w:pStyle w:val="8"/>
        <w:tabs>
          <w:tab w:val="left" w:pos="5418"/>
          <w:tab w:val="left" w:pos="6258"/>
          <w:tab w:val="left" w:pos="7098"/>
        </w:tabs>
        <w:kinsoku w:val="0"/>
        <w:overflowPunct w:val="0"/>
        <w:spacing w:before="26"/>
        <w:ind w:firstLine="6240" w:firstLineChars="2600"/>
        <w:rPr>
          <w:rFonts w:hint="eastAsia" w:ascii="宋体" w:hAnsi="宋体" w:eastAsia="宋体" w:cs="宋体"/>
          <w:highlight w:val="none"/>
        </w:rPr>
      </w:pP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u w:val="single"/>
        </w:rPr>
        <w:tab/>
      </w:r>
      <w:r>
        <w:rPr>
          <w:rFonts w:hint="eastAsia" w:ascii="宋体" w:hAnsi="宋体" w:eastAsia="宋体" w:cs="宋体"/>
          <w:spacing w:val="-1"/>
          <w:highlight w:val="none"/>
        </w:rPr>
        <w:t>年</w:t>
      </w:r>
      <w:r>
        <w:rPr>
          <w:rFonts w:hint="eastAsia" w:ascii="宋体" w:hAnsi="宋体" w:eastAsia="宋体" w:cs="宋体"/>
          <w:spacing w:val="-1"/>
          <w:highlight w:val="none"/>
          <w:lang w:val="en-US" w:eastAsia="zh-CN"/>
        </w:rPr>
        <w:t xml:space="preserve"> </w:t>
      </w:r>
      <w:r>
        <w:rPr>
          <w:rFonts w:hint="eastAsia" w:ascii="宋体" w:hAnsi="宋体" w:eastAsia="宋体" w:cs="宋体"/>
          <w:spacing w:val="-1"/>
          <w:highlight w:val="none"/>
          <w:u w:val="single"/>
          <w:lang w:val="en-US" w:eastAsia="zh-CN"/>
        </w:rPr>
        <w:t xml:space="preserve">  </w:t>
      </w:r>
      <w:r>
        <w:rPr>
          <w:rFonts w:hint="eastAsia" w:ascii="宋体" w:hAnsi="宋体" w:eastAsia="宋体" w:cs="宋体"/>
          <w:spacing w:val="-1"/>
          <w:highlight w:val="none"/>
        </w:rPr>
        <w:t>月</w:t>
      </w:r>
      <w:r>
        <w:rPr>
          <w:rFonts w:hint="eastAsia" w:ascii="宋体" w:hAnsi="宋体" w:eastAsia="宋体" w:cs="宋体"/>
          <w:spacing w:val="-1"/>
          <w:highlight w:val="none"/>
          <w:u w:val="single"/>
        </w:rPr>
        <w:tab/>
      </w:r>
      <w:r>
        <w:rPr>
          <w:rFonts w:hint="eastAsia" w:ascii="宋体" w:hAnsi="宋体" w:eastAsia="宋体" w:cs="宋体"/>
          <w:spacing w:val="-1"/>
          <w:highlight w:val="none"/>
          <w:u w:val="single"/>
          <w:lang w:val="en-US" w:eastAsia="zh-CN"/>
        </w:rPr>
        <w:t xml:space="preserve">   </w:t>
      </w:r>
      <w:r>
        <w:rPr>
          <w:rFonts w:hint="eastAsia" w:ascii="宋体" w:hAnsi="宋体" w:eastAsia="宋体" w:cs="宋体"/>
          <w:highlight w:val="none"/>
        </w:rPr>
        <w:t>日</w:t>
      </w:r>
    </w:p>
    <w:p>
      <w:pPr>
        <w:pStyle w:val="8"/>
        <w:numPr>
          <w:ilvl w:val="0"/>
          <w:numId w:val="2"/>
        </w:numPr>
        <w:kinsoku w:val="0"/>
        <w:overflowPunct w:val="0"/>
        <w:spacing w:before="34" w:line="357" w:lineRule="auto"/>
        <w:ind w:right="126" w:firstLine="480"/>
        <w:jc w:val="center"/>
        <w:outlineLvl w:val="1"/>
        <w:rPr>
          <w:rFonts w:hint="eastAsia" w:ascii="宋体" w:hAnsi="宋体" w:eastAsia="宋体" w:cs="宋体"/>
          <w:b/>
          <w:bCs/>
          <w:sz w:val="36"/>
          <w:szCs w:val="36"/>
          <w:highlight w:val="none"/>
        </w:rPr>
      </w:pPr>
      <w:r>
        <w:rPr>
          <w:rFonts w:hint="eastAsia" w:ascii="宋体" w:hAnsi="宋体" w:eastAsia="宋体" w:cs="宋体"/>
          <w:highlight w:val="none"/>
        </w:rPr>
        <w:br w:type="page"/>
      </w:r>
      <w:r>
        <w:rPr>
          <w:rFonts w:hint="eastAsia" w:ascii="宋体" w:hAnsi="宋体" w:eastAsia="宋体" w:cs="宋体"/>
          <w:b/>
          <w:bCs/>
          <w:sz w:val="36"/>
          <w:szCs w:val="36"/>
          <w:highlight w:val="none"/>
        </w:rPr>
        <w:t>同类项目业绩介绍</w:t>
      </w:r>
    </w:p>
    <w:p>
      <w:pPr>
        <w:rPr>
          <w:rFonts w:hint="eastAsia" w:ascii="宋体" w:hAnsi="宋体" w:eastAsia="宋体" w:cs="宋体"/>
          <w:spacing w:val="-1"/>
          <w:kern w:val="0"/>
          <w:sz w:val="24"/>
          <w:szCs w:val="24"/>
          <w:highlight w:val="none"/>
          <w:lang w:eastAsia="zh-CN"/>
        </w:rPr>
      </w:pPr>
      <w:r>
        <w:rPr>
          <w:rFonts w:hint="eastAsia" w:ascii="宋体" w:hAnsi="宋体" w:eastAsia="宋体" w:cs="宋体"/>
          <w:spacing w:val="-1"/>
          <w:kern w:val="0"/>
          <w:sz w:val="24"/>
          <w:szCs w:val="24"/>
          <w:highlight w:val="none"/>
        </w:rPr>
        <w:t>供应商提供近</w:t>
      </w:r>
      <w:r>
        <w:rPr>
          <w:rFonts w:hint="eastAsia" w:ascii="宋体" w:hAnsi="宋体" w:cs="宋体"/>
          <w:spacing w:val="-1"/>
          <w:kern w:val="0"/>
          <w:sz w:val="24"/>
          <w:szCs w:val="24"/>
          <w:highlight w:val="none"/>
          <w:lang w:val="en-US" w:eastAsia="zh-CN"/>
        </w:rPr>
        <w:t>3</w:t>
      </w:r>
      <w:r>
        <w:rPr>
          <w:rFonts w:hint="eastAsia" w:ascii="宋体" w:hAnsi="宋体" w:eastAsia="宋体" w:cs="宋体"/>
          <w:spacing w:val="-1"/>
          <w:kern w:val="0"/>
          <w:sz w:val="24"/>
          <w:szCs w:val="24"/>
          <w:highlight w:val="none"/>
        </w:rPr>
        <w:t>年（201</w:t>
      </w:r>
      <w:r>
        <w:rPr>
          <w:rFonts w:hint="eastAsia" w:ascii="宋体" w:hAnsi="宋体" w:cs="宋体"/>
          <w:spacing w:val="-1"/>
          <w:kern w:val="0"/>
          <w:sz w:val="24"/>
          <w:szCs w:val="24"/>
          <w:highlight w:val="none"/>
          <w:lang w:val="en-US" w:eastAsia="zh-CN"/>
        </w:rPr>
        <w:t>9</w:t>
      </w:r>
      <w:r>
        <w:rPr>
          <w:rFonts w:hint="eastAsia" w:ascii="宋体" w:hAnsi="宋体" w:eastAsia="宋体" w:cs="宋体"/>
          <w:spacing w:val="-1"/>
          <w:kern w:val="0"/>
          <w:sz w:val="24"/>
          <w:szCs w:val="24"/>
          <w:highlight w:val="none"/>
        </w:rPr>
        <w:t>年</w:t>
      </w:r>
      <w:r>
        <w:rPr>
          <w:rFonts w:hint="eastAsia" w:ascii="宋体" w:hAnsi="宋体" w:cs="宋体"/>
          <w:spacing w:val="-1"/>
          <w:kern w:val="0"/>
          <w:sz w:val="24"/>
          <w:szCs w:val="24"/>
          <w:highlight w:val="none"/>
          <w:lang w:val="en-US" w:eastAsia="zh-CN"/>
        </w:rPr>
        <w:t>6</w:t>
      </w:r>
      <w:r>
        <w:rPr>
          <w:rFonts w:hint="eastAsia" w:ascii="宋体" w:hAnsi="宋体" w:eastAsia="宋体" w:cs="宋体"/>
          <w:spacing w:val="-1"/>
          <w:kern w:val="0"/>
          <w:sz w:val="24"/>
          <w:szCs w:val="24"/>
          <w:highlight w:val="none"/>
        </w:rPr>
        <w:t>月1日至投标文件递交截止日前）独立承担的与本项目类似的业绩</w:t>
      </w:r>
      <w:r>
        <w:rPr>
          <w:rFonts w:hint="eastAsia" w:ascii="宋体" w:hAnsi="宋体" w:eastAsia="宋体" w:cs="宋体"/>
          <w:spacing w:val="-1"/>
          <w:kern w:val="0"/>
          <w:sz w:val="24"/>
          <w:szCs w:val="24"/>
          <w:highlight w:val="none"/>
          <w:lang w:eastAsia="zh-CN"/>
        </w:rPr>
        <w:t>：</w:t>
      </w:r>
    </w:p>
    <w:p>
      <w:pPr>
        <w:pStyle w:val="8"/>
        <w:kinsoku w:val="0"/>
        <w:overflowPunct w:val="0"/>
        <w:spacing w:before="0"/>
        <w:ind w:left="0"/>
        <w:rPr>
          <w:rFonts w:hint="eastAsia" w:ascii="宋体" w:hAnsi="宋体" w:eastAsia="宋体" w:cs="宋体"/>
          <w:b/>
          <w:bCs/>
          <w:sz w:val="20"/>
          <w:szCs w:val="20"/>
          <w:highlight w:val="none"/>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373"/>
        <w:gridCol w:w="3118"/>
        <w:gridCol w:w="1372"/>
        <w:gridCol w:w="1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序号</w:t>
            </w:r>
          </w:p>
        </w:tc>
        <w:tc>
          <w:tcPr>
            <w:tcW w:w="2373"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客户名称</w:t>
            </w:r>
          </w:p>
        </w:tc>
        <w:tc>
          <w:tcPr>
            <w:tcW w:w="3118"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项目名称及合同金额（万元）</w:t>
            </w:r>
          </w:p>
        </w:tc>
        <w:tc>
          <w:tcPr>
            <w:tcW w:w="1372"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实施时间</w:t>
            </w:r>
          </w:p>
        </w:tc>
        <w:tc>
          <w:tcPr>
            <w:tcW w:w="1778"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1</w:t>
            </w:r>
          </w:p>
        </w:tc>
        <w:tc>
          <w:tcPr>
            <w:tcW w:w="2373" w:type="dxa"/>
            <w:noWrap w:val="0"/>
            <w:vAlign w:val="center"/>
          </w:tcPr>
          <w:p>
            <w:pPr>
              <w:jc w:val="center"/>
              <w:rPr>
                <w:rFonts w:hint="eastAsia" w:ascii="宋体" w:hAnsi="宋体" w:eastAsia="宋体" w:cs="宋体"/>
                <w:spacing w:val="-1"/>
                <w:kern w:val="0"/>
                <w:sz w:val="24"/>
                <w:szCs w:val="24"/>
                <w:highlight w:val="none"/>
              </w:rPr>
            </w:pPr>
          </w:p>
        </w:tc>
        <w:tc>
          <w:tcPr>
            <w:tcW w:w="3118" w:type="dxa"/>
            <w:noWrap w:val="0"/>
            <w:vAlign w:val="center"/>
          </w:tcPr>
          <w:p>
            <w:pPr>
              <w:jc w:val="center"/>
              <w:rPr>
                <w:rFonts w:hint="eastAsia" w:ascii="宋体" w:hAnsi="宋体" w:eastAsia="宋体" w:cs="宋体"/>
                <w:spacing w:val="-1"/>
                <w:kern w:val="0"/>
                <w:sz w:val="24"/>
                <w:szCs w:val="24"/>
                <w:highlight w:val="none"/>
              </w:rPr>
            </w:pPr>
          </w:p>
        </w:tc>
        <w:tc>
          <w:tcPr>
            <w:tcW w:w="1372" w:type="dxa"/>
            <w:noWrap w:val="0"/>
            <w:vAlign w:val="center"/>
          </w:tcPr>
          <w:p>
            <w:pPr>
              <w:jc w:val="center"/>
              <w:rPr>
                <w:rFonts w:hint="eastAsia" w:ascii="宋体" w:hAnsi="宋体" w:eastAsia="宋体" w:cs="宋体"/>
                <w:spacing w:val="-1"/>
                <w:kern w:val="0"/>
                <w:sz w:val="24"/>
                <w:szCs w:val="24"/>
                <w:highlight w:val="none"/>
              </w:rPr>
            </w:pPr>
          </w:p>
        </w:tc>
        <w:tc>
          <w:tcPr>
            <w:tcW w:w="1778" w:type="dxa"/>
            <w:noWrap w:val="0"/>
            <w:vAlign w:val="center"/>
          </w:tcPr>
          <w:p>
            <w:pPr>
              <w:jc w:val="cente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2</w:t>
            </w:r>
          </w:p>
        </w:tc>
        <w:tc>
          <w:tcPr>
            <w:tcW w:w="2373" w:type="dxa"/>
            <w:noWrap w:val="0"/>
            <w:vAlign w:val="center"/>
          </w:tcPr>
          <w:p>
            <w:pPr>
              <w:jc w:val="center"/>
              <w:rPr>
                <w:rFonts w:hint="eastAsia" w:ascii="宋体" w:hAnsi="宋体" w:eastAsia="宋体" w:cs="宋体"/>
                <w:spacing w:val="-1"/>
                <w:kern w:val="0"/>
                <w:sz w:val="24"/>
                <w:szCs w:val="24"/>
                <w:highlight w:val="none"/>
              </w:rPr>
            </w:pPr>
          </w:p>
        </w:tc>
        <w:tc>
          <w:tcPr>
            <w:tcW w:w="3118" w:type="dxa"/>
            <w:noWrap w:val="0"/>
            <w:vAlign w:val="center"/>
          </w:tcPr>
          <w:p>
            <w:pPr>
              <w:jc w:val="center"/>
              <w:rPr>
                <w:rFonts w:hint="eastAsia" w:ascii="宋体" w:hAnsi="宋体" w:eastAsia="宋体" w:cs="宋体"/>
                <w:spacing w:val="-1"/>
                <w:kern w:val="0"/>
                <w:sz w:val="24"/>
                <w:szCs w:val="24"/>
                <w:highlight w:val="none"/>
              </w:rPr>
            </w:pPr>
          </w:p>
        </w:tc>
        <w:tc>
          <w:tcPr>
            <w:tcW w:w="1372" w:type="dxa"/>
            <w:noWrap w:val="0"/>
            <w:vAlign w:val="center"/>
          </w:tcPr>
          <w:p>
            <w:pPr>
              <w:jc w:val="center"/>
              <w:rPr>
                <w:rFonts w:hint="eastAsia" w:ascii="宋体" w:hAnsi="宋体" w:eastAsia="宋体" w:cs="宋体"/>
                <w:spacing w:val="-1"/>
                <w:kern w:val="0"/>
                <w:sz w:val="24"/>
                <w:szCs w:val="24"/>
                <w:highlight w:val="none"/>
              </w:rPr>
            </w:pPr>
          </w:p>
        </w:tc>
        <w:tc>
          <w:tcPr>
            <w:tcW w:w="1778" w:type="dxa"/>
            <w:noWrap w:val="0"/>
            <w:vAlign w:val="center"/>
          </w:tcPr>
          <w:p>
            <w:pPr>
              <w:jc w:val="cente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3</w:t>
            </w:r>
          </w:p>
        </w:tc>
        <w:tc>
          <w:tcPr>
            <w:tcW w:w="2373" w:type="dxa"/>
            <w:noWrap w:val="0"/>
            <w:vAlign w:val="center"/>
          </w:tcPr>
          <w:p>
            <w:pPr>
              <w:jc w:val="center"/>
              <w:rPr>
                <w:rFonts w:hint="eastAsia" w:ascii="宋体" w:hAnsi="宋体" w:eastAsia="宋体" w:cs="宋体"/>
                <w:spacing w:val="-1"/>
                <w:kern w:val="0"/>
                <w:sz w:val="24"/>
                <w:szCs w:val="24"/>
                <w:highlight w:val="none"/>
              </w:rPr>
            </w:pPr>
          </w:p>
        </w:tc>
        <w:tc>
          <w:tcPr>
            <w:tcW w:w="3118" w:type="dxa"/>
            <w:noWrap w:val="0"/>
            <w:vAlign w:val="center"/>
          </w:tcPr>
          <w:p>
            <w:pPr>
              <w:jc w:val="center"/>
              <w:rPr>
                <w:rFonts w:hint="eastAsia" w:ascii="宋体" w:hAnsi="宋体" w:eastAsia="宋体" w:cs="宋体"/>
                <w:spacing w:val="-1"/>
                <w:kern w:val="0"/>
                <w:sz w:val="24"/>
                <w:szCs w:val="24"/>
                <w:highlight w:val="none"/>
              </w:rPr>
            </w:pPr>
          </w:p>
        </w:tc>
        <w:tc>
          <w:tcPr>
            <w:tcW w:w="1372" w:type="dxa"/>
            <w:noWrap w:val="0"/>
            <w:vAlign w:val="center"/>
          </w:tcPr>
          <w:p>
            <w:pPr>
              <w:jc w:val="center"/>
              <w:rPr>
                <w:rFonts w:hint="eastAsia" w:ascii="宋体" w:hAnsi="宋体" w:eastAsia="宋体" w:cs="宋体"/>
                <w:spacing w:val="-1"/>
                <w:kern w:val="0"/>
                <w:sz w:val="24"/>
                <w:szCs w:val="24"/>
                <w:highlight w:val="none"/>
              </w:rPr>
            </w:pPr>
          </w:p>
        </w:tc>
        <w:tc>
          <w:tcPr>
            <w:tcW w:w="1778" w:type="dxa"/>
            <w:noWrap w:val="0"/>
            <w:vAlign w:val="center"/>
          </w:tcPr>
          <w:p>
            <w:pPr>
              <w:jc w:val="cente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w:t>
            </w:r>
          </w:p>
        </w:tc>
        <w:tc>
          <w:tcPr>
            <w:tcW w:w="2373" w:type="dxa"/>
            <w:noWrap w:val="0"/>
            <w:vAlign w:val="center"/>
          </w:tcPr>
          <w:p>
            <w:pPr>
              <w:jc w:val="center"/>
              <w:rPr>
                <w:rFonts w:hint="eastAsia" w:ascii="宋体" w:hAnsi="宋体" w:eastAsia="宋体" w:cs="宋体"/>
                <w:spacing w:val="-1"/>
                <w:kern w:val="0"/>
                <w:sz w:val="24"/>
                <w:szCs w:val="24"/>
                <w:highlight w:val="none"/>
              </w:rPr>
            </w:pPr>
          </w:p>
        </w:tc>
        <w:tc>
          <w:tcPr>
            <w:tcW w:w="3118" w:type="dxa"/>
            <w:noWrap w:val="0"/>
            <w:vAlign w:val="center"/>
          </w:tcPr>
          <w:p>
            <w:pPr>
              <w:jc w:val="center"/>
              <w:rPr>
                <w:rFonts w:hint="eastAsia" w:ascii="宋体" w:hAnsi="宋体" w:eastAsia="宋体" w:cs="宋体"/>
                <w:spacing w:val="-1"/>
                <w:kern w:val="0"/>
                <w:sz w:val="24"/>
                <w:szCs w:val="24"/>
                <w:highlight w:val="none"/>
              </w:rPr>
            </w:pPr>
          </w:p>
        </w:tc>
        <w:tc>
          <w:tcPr>
            <w:tcW w:w="1372" w:type="dxa"/>
            <w:noWrap w:val="0"/>
            <w:vAlign w:val="center"/>
          </w:tcPr>
          <w:p>
            <w:pPr>
              <w:jc w:val="center"/>
              <w:rPr>
                <w:rFonts w:hint="eastAsia" w:ascii="宋体" w:hAnsi="宋体" w:eastAsia="宋体" w:cs="宋体"/>
                <w:spacing w:val="-1"/>
                <w:kern w:val="0"/>
                <w:sz w:val="24"/>
                <w:szCs w:val="24"/>
                <w:highlight w:val="none"/>
              </w:rPr>
            </w:pPr>
          </w:p>
        </w:tc>
        <w:tc>
          <w:tcPr>
            <w:tcW w:w="1778" w:type="dxa"/>
            <w:noWrap w:val="0"/>
            <w:vAlign w:val="center"/>
          </w:tcPr>
          <w:p>
            <w:pPr>
              <w:jc w:val="cente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noWrap w:val="0"/>
            <w:vAlign w:val="center"/>
          </w:tcPr>
          <w:p>
            <w:pPr>
              <w:jc w:val="center"/>
              <w:rPr>
                <w:rFonts w:hint="eastAsia" w:ascii="宋体" w:hAnsi="宋体" w:eastAsia="宋体" w:cs="宋体"/>
                <w:spacing w:val="-1"/>
                <w:kern w:val="0"/>
                <w:sz w:val="24"/>
                <w:szCs w:val="24"/>
                <w:highlight w:val="none"/>
              </w:rPr>
            </w:pPr>
          </w:p>
        </w:tc>
        <w:tc>
          <w:tcPr>
            <w:tcW w:w="2373" w:type="dxa"/>
            <w:noWrap w:val="0"/>
            <w:vAlign w:val="center"/>
          </w:tcPr>
          <w:p>
            <w:pPr>
              <w:jc w:val="center"/>
              <w:rPr>
                <w:rFonts w:hint="eastAsia" w:ascii="宋体" w:hAnsi="宋体" w:eastAsia="宋体" w:cs="宋体"/>
                <w:spacing w:val="-1"/>
                <w:kern w:val="0"/>
                <w:sz w:val="24"/>
                <w:szCs w:val="24"/>
                <w:highlight w:val="none"/>
              </w:rPr>
            </w:pPr>
          </w:p>
        </w:tc>
        <w:tc>
          <w:tcPr>
            <w:tcW w:w="3118" w:type="dxa"/>
            <w:noWrap w:val="0"/>
            <w:vAlign w:val="center"/>
          </w:tcPr>
          <w:p>
            <w:pPr>
              <w:jc w:val="center"/>
              <w:rPr>
                <w:rFonts w:hint="eastAsia" w:ascii="宋体" w:hAnsi="宋体" w:eastAsia="宋体" w:cs="宋体"/>
                <w:spacing w:val="-1"/>
                <w:kern w:val="0"/>
                <w:sz w:val="24"/>
                <w:szCs w:val="24"/>
                <w:highlight w:val="none"/>
              </w:rPr>
            </w:pPr>
          </w:p>
        </w:tc>
        <w:tc>
          <w:tcPr>
            <w:tcW w:w="1372" w:type="dxa"/>
            <w:noWrap w:val="0"/>
            <w:vAlign w:val="center"/>
          </w:tcPr>
          <w:p>
            <w:pPr>
              <w:jc w:val="center"/>
              <w:rPr>
                <w:rFonts w:hint="eastAsia" w:ascii="宋体" w:hAnsi="宋体" w:eastAsia="宋体" w:cs="宋体"/>
                <w:spacing w:val="-1"/>
                <w:kern w:val="0"/>
                <w:sz w:val="24"/>
                <w:szCs w:val="24"/>
                <w:highlight w:val="none"/>
              </w:rPr>
            </w:pPr>
          </w:p>
        </w:tc>
        <w:tc>
          <w:tcPr>
            <w:tcW w:w="1778" w:type="dxa"/>
            <w:noWrap w:val="0"/>
            <w:vAlign w:val="center"/>
          </w:tcPr>
          <w:p>
            <w:pPr>
              <w:jc w:val="center"/>
              <w:rPr>
                <w:rFonts w:hint="eastAsia" w:ascii="宋体" w:hAnsi="宋体" w:eastAsia="宋体" w:cs="宋体"/>
                <w:spacing w:val="-1"/>
                <w:kern w:val="0"/>
                <w:sz w:val="24"/>
                <w:szCs w:val="24"/>
                <w:highlight w:val="none"/>
              </w:rPr>
            </w:pPr>
          </w:p>
        </w:tc>
      </w:tr>
    </w:tbl>
    <w:p>
      <w:pP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注：根据评审表的要求提交相应资料。</w:t>
      </w:r>
    </w:p>
    <w:p>
      <w:pP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业绩证明（以合同或中标通知书为准，在投标文件中附合同扫描件或中标通知书扫描件加盖单位公章，须携带原件备查，弄虚作假者取消其投标资格）。</w:t>
      </w:r>
    </w:p>
    <w:p>
      <w:pPr>
        <w:pStyle w:val="8"/>
        <w:kinsoku w:val="0"/>
        <w:overflowPunct w:val="0"/>
        <w:spacing w:before="0"/>
        <w:ind w:left="0"/>
        <w:rPr>
          <w:rFonts w:hint="eastAsia" w:ascii="宋体" w:hAnsi="宋体" w:eastAsia="宋体" w:cs="宋体"/>
          <w:highlight w:val="none"/>
        </w:rPr>
      </w:pPr>
    </w:p>
    <w:p>
      <w:pPr>
        <w:pStyle w:val="8"/>
        <w:kinsoku w:val="0"/>
        <w:overflowPunct w:val="0"/>
        <w:spacing w:before="10"/>
        <w:ind w:left="0"/>
        <w:rPr>
          <w:rFonts w:hint="eastAsia" w:ascii="宋体" w:hAnsi="宋体" w:eastAsia="宋体" w:cs="宋体"/>
          <w:sz w:val="29"/>
          <w:szCs w:val="29"/>
          <w:highlight w:val="none"/>
        </w:rPr>
      </w:pPr>
    </w:p>
    <w:p>
      <w:pPr>
        <w:pStyle w:val="8"/>
        <w:tabs>
          <w:tab w:val="left" w:pos="7078"/>
        </w:tabs>
        <w:kinsoku w:val="0"/>
        <w:overflowPunct w:val="0"/>
        <w:spacing w:before="0" w:line="337" w:lineRule="auto"/>
        <w:ind w:right="1266" w:firstLine="3570" w:firstLineChars="1500"/>
        <w:rPr>
          <w:rFonts w:hint="eastAsia" w:ascii="宋体" w:hAnsi="宋体" w:eastAsia="宋体" w:cs="宋体"/>
          <w:spacing w:val="23"/>
          <w:highlight w:val="none"/>
        </w:rPr>
      </w:pPr>
      <w:r>
        <w:rPr>
          <w:rFonts w:hint="eastAsia" w:ascii="宋体" w:hAnsi="宋体" w:eastAsia="宋体" w:cs="宋体"/>
          <w:spacing w:val="-1"/>
          <w:highlight w:val="none"/>
        </w:rPr>
        <w:t>供应商：</w:t>
      </w:r>
      <w:r>
        <w:rPr>
          <w:rFonts w:hint="eastAsia" w:ascii="宋体" w:hAnsi="宋体" w:eastAsia="宋体" w:cs="宋体"/>
          <w:spacing w:val="-1"/>
          <w:highlight w:val="none"/>
          <w:u w:val="single"/>
        </w:rPr>
        <w:tab/>
      </w:r>
      <w:r>
        <w:rPr>
          <w:rFonts w:hint="eastAsia" w:ascii="宋体" w:hAnsi="宋体" w:eastAsia="宋体" w:cs="宋体"/>
          <w:highlight w:val="none"/>
          <w:u w:val="single"/>
        </w:rPr>
        <w:t>（公章）</w:t>
      </w:r>
      <w:r>
        <w:rPr>
          <w:rFonts w:hint="eastAsia" w:ascii="宋体" w:hAnsi="宋体" w:eastAsia="宋体" w:cs="宋体"/>
          <w:spacing w:val="23"/>
          <w:highlight w:val="none"/>
        </w:rPr>
        <w:t xml:space="preserve"> </w:t>
      </w:r>
    </w:p>
    <w:p>
      <w:pPr>
        <w:pStyle w:val="8"/>
        <w:tabs>
          <w:tab w:val="left" w:pos="7078"/>
        </w:tabs>
        <w:kinsoku w:val="0"/>
        <w:overflowPunct w:val="0"/>
        <w:spacing w:before="0" w:line="337" w:lineRule="auto"/>
        <w:ind w:left="3598" w:right="1266"/>
        <w:rPr>
          <w:rFonts w:hint="eastAsia" w:ascii="宋体" w:hAnsi="宋体" w:eastAsia="宋体" w:cs="宋体"/>
          <w:highlight w:val="none"/>
        </w:rPr>
      </w:pPr>
      <w:r>
        <w:rPr>
          <w:rFonts w:hint="eastAsia" w:ascii="宋体" w:hAnsi="宋体" w:eastAsia="宋体" w:cs="宋体"/>
          <w:spacing w:val="-1"/>
          <w:highlight w:val="none"/>
        </w:rPr>
        <w:t>法定代表人或委托人：</w:t>
      </w:r>
      <w:r>
        <w:rPr>
          <w:rFonts w:hint="eastAsia" w:ascii="宋体" w:hAnsi="宋体" w:eastAsia="宋体" w:cs="宋体"/>
          <w:spacing w:val="-1"/>
          <w:highlight w:val="none"/>
          <w:u w:val="single"/>
        </w:rPr>
        <w:tab/>
      </w:r>
      <w:r>
        <w:rPr>
          <w:rFonts w:hint="eastAsia" w:ascii="宋体" w:hAnsi="宋体" w:eastAsia="宋体" w:cs="宋体"/>
          <w:highlight w:val="none"/>
          <w:u w:val="single"/>
        </w:rPr>
        <w:t>（签字）</w:t>
      </w:r>
    </w:p>
    <w:p>
      <w:pPr>
        <w:pStyle w:val="8"/>
        <w:kinsoku w:val="0"/>
        <w:overflowPunct w:val="0"/>
        <w:spacing w:before="11"/>
        <w:ind w:left="0"/>
        <w:rPr>
          <w:rFonts w:hint="eastAsia" w:ascii="宋体" w:hAnsi="宋体" w:eastAsia="宋体" w:cs="宋体"/>
          <w:sz w:val="9"/>
          <w:szCs w:val="9"/>
          <w:highlight w:val="none"/>
        </w:rPr>
      </w:pPr>
    </w:p>
    <w:p>
      <w:pPr>
        <w:pStyle w:val="8"/>
        <w:tabs>
          <w:tab w:val="left" w:pos="5158"/>
          <w:tab w:val="left" w:pos="5998"/>
          <w:tab w:val="left" w:pos="6838"/>
        </w:tabs>
        <w:kinsoku w:val="0"/>
        <w:overflowPunct w:val="0"/>
        <w:spacing w:before="26"/>
        <w:ind w:left="4437" w:right="118"/>
        <w:rPr>
          <w:rFonts w:hint="eastAsia" w:ascii="宋体" w:hAnsi="宋体" w:eastAsia="宋体" w:cs="宋体"/>
          <w:highlight w:val="none"/>
        </w:rPr>
      </w:pP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spacing w:val="-1"/>
          <w:highlight w:val="none"/>
        </w:rPr>
        <w:t>年</w:t>
      </w:r>
      <w:r>
        <w:rPr>
          <w:rFonts w:hint="eastAsia" w:ascii="宋体" w:hAnsi="宋体" w:eastAsia="宋体" w:cs="宋体"/>
          <w:spacing w:val="-1"/>
          <w:highlight w:val="none"/>
          <w:u w:val="single"/>
        </w:rPr>
        <w:tab/>
      </w:r>
      <w:r>
        <w:rPr>
          <w:rFonts w:hint="eastAsia" w:ascii="宋体" w:hAnsi="宋体" w:eastAsia="宋体" w:cs="宋体"/>
          <w:spacing w:val="-1"/>
          <w:highlight w:val="none"/>
        </w:rPr>
        <w:t>月</w:t>
      </w:r>
      <w:r>
        <w:rPr>
          <w:rFonts w:hint="eastAsia" w:ascii="宋体" w:hAnsi="宋体" w:eastAsia="宋体" w:cs="宋体"/>
          <w:spacing w:val="-1"/>
          <w:highlight w:val="none"/>
          <w:u w:val="single"/>
        </w:rPr>
        <w:tab/>
      </w:r>
      <w:r>
        <w:rPr>
          <w:rFonts w:hint="eastAsia" w:ascii="宋体" w:hAnsi="宋体" w:eastAsia="宋体" w:cs="宋体"/>
          <w:highlight w:val="none"/>
        </w:rPr>
        <w:t>日</w:t>
      </w:r>
    </w:p>
    <w:p>
      <w:pPr>
        <w:pStyle w:val="8"/>
        <w:kinsoku w:val="0"/>
        <w:overflowPunct w:val="0"/>
        <w:spacing w:before="34" w:line="357" w:lineRule="auto"/>
        <w:ind w:right="126" w:firstLine="480"/>
        <w:jc w:val="center"/>
        <w:outlineLvl w:val="1"/>
        <w:rPr>
          <w:rFonts w:hint="eastAsia" w:ascii="宋体" w:hAnsi="宋体" w:eastAsia="宋体" w:cs="宋体"/>
          <w:b/>
          <w:bCs/>
          <w:highlight w:val="none"/>
        </w:rPr>
      </w:pPr>
      <w:r>
        <w:rPr>
          <w:rFonts w:hint="eastAsia" w:ascii="宋体" w:hAnsi="宋体" w:eastAsia="宋体" w:cs="宋体"/>
          <w:highlight w:val="none"/>
        </w:rPr>
        <w:br w:type="page"/>
      </w:r>
      <w:r>
        <w:rPr>
          <w:rFonts w:hint="eastAsia" w:ascii="宋体" w:hAnsi="宋体" w:eastAsia="宋体" w:cs="宋体"/>
          <w:b/>
          <w:bCs/>
          <w:sz w:val="36"/>
          <w:szCs w:val="36"/>
          <w:highlight w:val="none"/>
        </w:rPr>
        <w:t>十、中小企业声明函（符合本声明函填写）</w:t>
      </w:r>
    </w:p>
    <w:p>
      <w:pPr>
        <w:pStyle w:val="8"/>
        <w:kinsoku w:val="0"/>
        <w:overflowPunct w:val="0"/>
        <w:spacing w:before="0"/>
        <w:ind w:left="0"/>
        <w:rPr>
          <w:rFonts w:hint="eastAsia" w:ascii="宋体" w:hAnsi="宋体" w:eastAsia="宋体" w:cs="宋体"/>
          <w:b/>
          <w:bCs/>
          <w:sz w:val="32"/>
          <w:szCs w:val="32"/>
          <w:highlight w:val="none"/>
        </w:rPr>
      </w:pPr>
    </w:p>
    <w:p>
      <w:pPr>
        <w:pStyle w:val="8"/>
        <w:tabs>
          <w:tab w:val="left" w:pos="3943"/>
        </w:tabs>
        <w:kinsoku w:val="0"/>
        <w:overflowPunct w:val="0"/>
        <w:spacing w:before="0" w:line="475" w:lineRule="auto"/>
        <w:ind w:right="232" w:firstLine="480"/>
        <w:jc w:val="both"/>
        <w:rPr>
          <w:rFonts w:hint="eastAsia" w:ascii="宋体" w:hAnsi="宋体" w:eastAsia="宋体" w:cs="宋体"/>
          <w:highlight w:val="none"/>
        </w:rPr>
      </w:pPr>
      <w:r>
        <w:rPr>
          <w:rFonts w:hint="eastAsia" w:ascii="宋体" w:hAnsi="宋体" w:eastAsia="宋体" w:cs="宋体"/>
          <w:spacing w:val="1"/>
          <w:highlight w:val="none"/>
        </w:rPr>
        <w:t>本公司郑重声明，根据</w:t>
      </w:r>
      <w:r>
        <w:rPr>
          <w:rFonts w:hint="eastAsia" w:ascii="宋体" w:hAnsi="宋体" w:eastAsia="宋体" w:cs="宋体"/>
          <w:b w:val="0"/>
          <w:bCs w:val="0"/>
          <w:i w:val="0"/>
          <w:iCs w:val="0"/>
          <w:color w:val="auto"/>
          <w:sz w:val="24"/>
          <w:szCs w:val="24"/>
          <w:highlight w:val="none"/>
          <w:u w:val="none"/>
        </w:rPr>
        <w:t>《政府采购促进中小企业发展管理办法》（财库﹝2020﹞46 号）</w:t>
      </w:r>
      <w:r>
        <w:rPr>
          <w:rFonts w:hint="eastAsia" w:ascii="宋体" w:hAnsi="宋体" w:eastAsia="宋体" w:cs="宋体"/>
          <w:spacing w:val="-2"/>
          <w:highlight w:val="none"/>
        </w:rPr>
        <w:t>的规定，本公司为</w:t>
      </w:r>
      <w:r>
        <w:rPr>
          <w:rFonts w:hint="eastAsia" w:ascii="宋体" w:hAnsi="宋体" w:eastAsia="宋体" w:cs="宋体"/>
          <w:spacing w:val="-2"/>
          <w:highlight w:val="none"/>
          <w:u w:val="single"/>
        </w:rPr>
        <w:tab/>
      </w:r>
      <w:r>
        <w:rPr>
          <w:rFonts w:hint="eastAsia" w:ascii="宋体" w:hAnsi="宋体" w:eastAsia="宋体" w:cs="宋体"/>
          <w:spacing w:val="-2"/>
          <w:highlight w:val="none"/>
        </w:rPr>
        <w:t>（请填写：中型、小型、微型）企业。即，本公司</w:t>
      </w:r>
      <w:r>
        <w:rPr>
          <w:rFonts w:hint="eastAsia" w:ascii="宋体" w:hAnsi="宋体" w:eastAsia="宋体" w:cs="宋体"/>
          <w:spacing w:val="35"/>
          <w:highlight w:val="none"/>
        </w:rPr>
        <w:t xml:space="preserve"> </w:t>
      </w:r>
      <w:r>
        <w:rPr>
          <w:rFonts w:hint="eastAsia" w:ascii="宋体" w:hAnsi="宋体" w:eastAsia="宋体" w:cs="宋体"/>
          <w:highlight w:val="none"/>
        </w:rPr>
        <w:t>同时满足以下条件：</w:t>
      </w:r>
    </w:p>
    <w:p>
      <w:pPr>
        <w:pStyle w:val="8"/>
        <w:tabs>
          <w:tab w:val="left" w:pos="1558"/>
        </w:tabs>
        <w:kinsoku w:val="0"/>
        <w:overflowPunct w:val="0"/>
        <w:spacing w:before="71" w:line="475" w:lineRule="auto"/>
        <w:ind w:right="234" w:firstLine="480"/>
        <w:jc w:val="both"/>
        <w:rPr>
          <w:rFonts w:hint="eastAsia" w:ascii="宋体" w:hAnsi="宋体" w:eastAsia="宋体" w:cs="宋体"/>
          <w:highlight w:val="none"/>
        </w:rPr>
      </w:pPr>
      <w:r>
        <w:rPr>
          <w:rFonts w:hint="eastAsia" w:ascii="宋体" w:hAnsi="宋体" w:eastAsia="宋体" w:cs="宋体"/>
          <w:spacing w:val="-2"/>
          <w:highlight w:val="none"/>
        </w:rPr>
        <w:t>1.根据《工业和信息化部、国家统计局、国家发展和改革委员会、财政部关于印发</w:t>
      </w:r>
      <w:r>
        <w:rPr>
          <w:rFonts w:hint="eastAsia" w:ascii="宋体" w:hAnsi="宋体" w:eastAsia="宋体" w:cs="宋体"/>
          <w:spacing w:val="53"/>
          <w:highlight w:val="none"/>
        </w:rPr>
        <w:t xml:space="preserve"> </w:t>
      </w:r>
      <w:r>
        <w:rPr>
          <w:rFonts w:hint="eastAsia" w:ascii="宋体" w:hAnsi="宋体" w:eastAsia="宋体" w:cs="宋体"/>
          <w:highlight w:val="none"/>
        </w:rPr>
        <w:t>中小企业划型标准规定的通知》（工信部联企业[2011]300</w:t>
      </w:r>
      <w:r>
        <w:rPr>
          <w:rFonts w:hint="eastAsia" w:ascii="宋体" w:hAnsi="宋体" w:eastAsia="宋体" w:cs="宋体"/>
          <w:spacing w:val="-60"/>
          <w:highlight w:val="none"/>
        </w:rPr>
        <w:t xml:space="preserve"> </w:t>
      </w:r>
      <w:r>
        <w:rPr>
          <w:rFonts w:hint="eastAsia" w:ascii="宋体" w:hAnsi="宋体" w:eastAsia="宋体" w:cs="宋体"/>
          <w:highlight w:val="none"/>
        </w:rPr>
        <w:t>号）规定的划分标准，本公</w:t>
      </w:r>
      <w:r>
        <w:rPr>
          <w:rFonts w:hint="eastAsia" w:ascii="宋体" w:hAnsi="宋体" w:eastAsia="宋体" w:cs="宋体"/>
          <w:spacing w:val="30"/>
          <w:highlight w:val="none"/>
        </w:rPr>
        <w:t xml:space="preserve"> </w:t>
      </w:r>
      <w:r>
        <w:rPr>
          <w:rFonts w:hint="eastAsia" w:ascii="宋体" w:hAnsi="宋体" w:eastAsia="宋体" w:cs="宋体"/>
          <w:spacing w:val="-1"/>
          <w:highlight w:val="none"/>
        </w:rPr>
        <w:t>司为</w:t>
      </w:r>
      <w:r>
        <w:rPr>
          <w:rFonts w:hint="eastAsia" w:ascii="宋体" w:hAnsi="宋体" w:eastAsia="宋体" w:cs="宋体"/>
          <w:spacing w:val="-1"/>
          <w:highlight w:val="none"/>
          <w:u w:val="single"/>
        </w:rPr>
        <w:tab/>
      </w:r>
      <w:r>
        <w:rPr>
          <w:rFonts w:hint="eastAsia" w:ascii="宋体" w:hAnsi="宋体" w:eastAsia="宋体" w:cs="宋体"/>
          <w:highlight w:val="none"/>
        </w:rPr>
        <w:t>（请填写：中型、小型、微型）企业。</w:t>
      </w:r>
    </w:p>
    <w:p>
      <w:pPr>
        <w:pStyle w:val="8"/>
        <w:tabs>
          <w:tab w:val="left" w:pos="3919"/>
          <w:tab w:val="left" w:pos="6264"/>
          <w:tab w:val="left" w:pos="7399"/>
        </w:tabs>
        <w:kinsoku w:val="0"/>
        <w:overflowPunct w:val="0"/>
        <w:spacing w:before="71" w:line="475" w:lineRule="auto"/>
        <w:ind w:right="114" w:firstLine="480"/>
        <w:rPr>
          <w:rFonts w:hint="eastAsia" w:ascii="宋体" w:hAnsi="宋体" w:eastAsia="宋体" w:cs="宋体"/>
          <w:highlight w:val="none"/>
        </w:rPr>
      </w:pPr>
      <w:r>
        <w:rPr>
          <w:rFonts w:hint="eastAsia" w:ascii="宋体" w:hAnsi="宋体" w:eastAsia="宋体" w:cs="宋体"/>
          <w:spacing w:val="2"/>
          <w:highlight w:val="none"/>
        </w:rPr>
        <w:t>2.本公司参加</w:t>
      </w:r>
      <w:r>
        <w:rPr>
          <w:rFonts w:hint="eastAsia" w:ascii="宋体" w:hAnsi="宋体" w:eastAsia="宋体" w:cs="宋体"/>
          <w:spacing w:val="2"/>
          <w:highlight w:val="none"/>
          <w:u w:val="single"/>
        </w:rPr>
        <w:tab/>
      </w:r>
      <w:r>
        <w:rPr>
          <w:rFonts w:hint="eastAsia" w:ascii="宋体" w:hAnsi="宋体" w:eastAsia="宋体" w:cs="宋体"/>
          <w:spacing w:val="3"/>
          <w:highlight w:val="none"/>
        </w:rPr>
        <w:t>单位的</w:t>
      </w:r>
      <w:r>
        <w:rPr>
          <w:rFonts w:hint="eastAsia" w:ascii="宋体" w:hAnsi="宋体" w:eastAsia="宋体" w:cs="宋体"/>
          <w:spacing w:val="3"/>
          <w:highlight w:val="none"/>
          <w:u w:val="single"/>
        </w:rPr>
        <w:tab/>
      </w:r>
      <w:r>
        <w:rPr>
          <w:rFonts w:hint="eastAsia" w:ascii="宋体" w:hAnsi="宋体" w:eastAsia="宋体" w:cs="宋体"/>
          <w:spacing w:val="3"/>
          <w:highlight w:val="none"/>
        </w:rPr>
        <w:t>项目采购活动提供本企业制</w:t>
      </w:r>
      <w:r>
        <w:rPr>
          <w:rFonts w:hint="eastAsia" w:ascii="宋体" w:hAnsi="宋体" w:eastAsia="宋体" w:cs="宋体"/>
          <w:spacing w:val="25"/>
          <w:highlight w:val="none"/>
        </w:rPr>
        <w:t xml:space="preserve"> </w:t>
      </w:r>
      <w:r>
        <w:rPr>
          <w:rFonts w:hint="eastAsia" w:ascii="宋体" w:hAnsi="宋体" w:eastAsia="宋体" w:cs="宋体"/>
          <w:spacing w:val="-2"/>
          <w:highlight w:val="none"/>
        </w:rPr>
        <w:t>造的货物，由本企业承担工程、提供服务，或者提供其他</w:t>
      </w:r>
      <w:r>
        <w:rPr>
          <w:rFonts w:hint="eastAsia" w:ascii="宋体" w:hAnsi="宋体" w:eastAsia="宋体" w:cs="宋体"/>
          <w:spacing w:val="-2"/>
          <w:highlight w:val="none"/>
          <w:u w:val="single"/>
        </w:rPr>
        <w:tab/>
      </w:r>
      <w:r>
        <w:rPr>
          <w:rFonts w:hint="eastAsia" w:ascii="宋体" w:hAnsi="宋体" w:eastAsia="宋体" w:cs="宋体"/>
          <w:spacing w:val="-2"/>
          <w:highlight w:val="none"/>
          <w:u w:val="single"/>
        </w:rPr>
        <w:tab/>
      </w:r>
      <w:r>
        <w:rPr>
          <w:rFonts w:hint="eastAsia" w:ascii="宋体" w:hAnsi="宋体" w:eastAsia="宋体" w:cs="宋体"/>
          <w:spacing w:val="-2"/>
          <w:highlight w:val="none"/>
        </w:rPr>
        <w:t>（请填写：中型、</w:t>
      </w:r>
      <w:r>
        <w:rPr>
          <w:rFonts w:hint="eastAsia" w:ascii="宋体" w:hAnsi="宋体" w:eastAsia="宋体" w:cs="宋体"/>
          <w:spacing w:val="51"/>
          <w:highlight w:val="none"/>
        </w:rPr>
        <w:t xml:space="preserve"> </w:t>
      </w:r>
      <w:r>
        <w:rPr>
          <w:rFonts w:hint="eastAsia" w:ascii="宋体" w:hAnsi="宋体" w:eastAsia="宋体" w:cs="宋体"/>
          <w:highlight w:val="none"/>
        </w:rPr>
        <w:t>小型、微型）企业制造的货物。本条所称货物不包括使用大型企业注册商标的货物。</w:t>
      </w:r>
    </w:p>
    <w:p>
      <w:pPr>
        <w:pStyle w:val="8"/>
        <w:kinsoku w:val="0"/>
        <w:overflowPunct w:val="0"/>
        <w:spacing w:before="71" w:line="475" w:lineRule="auto"/>
        <w:ind w:right="234" w:firstLine="480"/>
        <w:jc w:val="both"/>
        <w:rPr>
          <w:rFonts w:hint="eastAsia" w:ascii="宋体" w:hAnsi="宋体" w:eastAsia="宋体" w:cs="宋体"/>
          <w:highlight w:val="none"/>
        </w:rPr>
      </w:pPr>
    </w:p>
    <w:p>
      <w:pPr>
        <w:pStyle w:val="8"/>
        <w:kinsoku w:val="0"/>
        <w:overflowPunct w:val="0"/>
        <w:spacing w:before="71"/>
        <w:ind w:left="598"/>
        <w:rPr>
          <w:rFonts w:hint="eastAsia" w:ascii="宋体" w:hAnsi="宋体" w:eastAsia="宋体" w:cs="宋体"/>
          <w:highlight w:val="none"/>
        </w:rPr>
      </w:pPr>
      <w:r>
        <w:rPr>
          <w:rFonts w:hint="eastAsia" w:ascii="宋体" w:hAnsi="宋体" w:eastAsia="宋体" w:cs="宋体"/>
          <w:highlight w:val="none"/>
        </w:rPr>
        <w:t>本公司对上述声明的真实性负责。如有虚假，将依法承担相应责任。</w:t>
      </w:r>
    </w:p>
    <w:p>
      <w:pPr>
        <w:pStyle w:val="8"/>
        <w:kinsoku w:val="0"/>
        <w:overflowPunct w:val="0"/>
        <w:spacing w:before="0"/>
        <w:ind w:left="0"/>
        <w:rPr>
          <w:rFonts w:hint="eastAsia" w:ascii="宋体" w:hAnsi="宋体" w:eastAsia="宋体" w:cs="宋体"/>
          <w:highlight w:val="none"/>
        </w:rPr>
      </w:pPr>
    </w:p>
    <w:p>
      <w:pPr>
        <w:pStyle w:val="8"/>
        <w:kinsoku w:val="0"/>
        <w:overflowPunct w:val="0"/>
        <w:spacing w:before="0"/>
        <w:ind w:left="0"/>
        <w:rPr>
          <w:rFonts w:hint="eastAsia" w:ascii="宋体" w:hAnsi="宋体" w:eastAsia="宋体" w:cs="宋体"/>
          <w:highlight w:val="none"/>
        </w:rPr>
      </w:pPr>
    </w:p>
    <w:p>
      <w:pPr>
        <w:pStyle w:val="8"/>
        <w:kinsoku w:val="0"/>
        <w:overflowPunct w:val="0"/>
        <w:spacing w:before="9"/>
        <w:ind w:left="0"/>
        <w:rPr>
          <w:rFonts w:hint="eastAsia" w:ascii="宋体" w:hAnsi="宋体" w:eastAsia="宋体" w:cs="宋体"/>
          <w:sz w:val="19"/>
          <w:szCs w:val="19"/>
          <w:highlight w:val="none"/>
        </w:rPr>
      </w:pPr>
    </w:p>
    <w:p>
      <w:pPr>
        <w:pStyle w:val="8"/>
        <w:tabs>
          <w:tab w:val="left" w:pos="8107"/>
          <w:tab w:val="left" w:pos="8227"/>
        </w:tabs>
        <w:kinsoku w:val="0"/>
        <w:overflowPunct w:val="0"/>
        <w:spacing w:before="0" w:line="381" w:lineRule="auto"/>
        <w:ind w:left="4027" w:right="118"/>
        <w:rPr>
          <w:rFonts w:hint="eastAsia" w:ascii="宋体" w:hAnsi="宋体" w:eastAsia="宋体" w:cs="宋体"/>
          <w:highlight w:val="none"/>
        </w:rPr>
      </w:pPr>
      <w:r>
        <w:rPr>
          <w:rFonts w:hint="eastAsia" w:ascii="宋体" w:hAnsi="宋体" w:eastAsia="宋体" w:cs="宋体"/>
          <w:highlight w:val="none"/>
        </w:rPr>
        <w:t>投标单位：</w:t>
      </w:r>
      <w:r>
        <w:rPr>
          <w:rFonts w:hint="eastAsia" w:ascii="宋体" w:hAnsi="宋体" w:eastAsia="宋体" w:cs="宋体"/>
          <w:highlight w:val="none"/>
          <w:u w:val="single"/>
        </w:rPr>
        <w:tab/>
      </w:r>
      <w:r>
        <w:rPr>
          <w:rFonts w:hint="eastAsia" w:ascii="宋体" w:hAnsi="宋体" w:eastAsia="宋体" w:cs="宋体"/>
          <w:highlight w:val="none"/>
        </w:rPr>
        <w:t xml:space="preserve">（盖章） </w:t>
      </w:r>
    </w:p>
    <w:p>
      <w:pPr>
        <w:pStyle w:val="8"/>
        <w:tabs>
          <w:tab w:val="left" w:pos="8107"/>
          <w:tab w:val="left" w:pos="8227"/>
        </w:tabs>
        <w:kinsoku w:val="0"/>
        <w:overflowPunct w:val="0"/>
        <w:spacing w:before="0" w:line="381" w:lineRule="auto"/>
        <w:ind w:left="4027" w:right="118"/>
        <w:rPr>
          <w:rFonts w:hint="eastAsia" w:ascii="宋体" w:hAnsi="宋体" w:eastAsia="宋体" w:cs="宋体"/>
          <w:w w:val="95"/>
          <w:highlight w:val="none"/>
        </w:rPr>
      </w:pPr>
      <w:r>
        <w:rPr>
          <w:rFonts w:hint="eastAsia" w:ascii="宋体" w:hAnsi="宋体" w:eastAsia="宋体" w:cs="宋体"/>
          <w:highlight w:val="none"/>
        </w:rPr>
        <w:t>法定代表人或被授权人：</w:t>
      </w:r>
      <w:r>
        <w:rPr>
          <w:rFonts w:hint="eastAsia" w:ascii="宋体" w:hAnsi="宋体" w:eastAsia="宋体" w:cs="宋体"/>
          <w:highlight w:val="none"/>
          <w:u w:val="single"/>
        </w:rPr>
        <w:tab/>
      </w:r>
      <w:r>
        <w:rPr>
          <w:rFonts w:hint="eastAsia" w:ascii="宋体" w:hAnsi="宋体" w:eastAsia="宋体" w:cs="宋体"/>
          <w:highlight w:val="none"/>
          <w:u w:val="single"/>
        </w:rPr>
        <w:tab/>
      </w:r>
      <w:r>
        <w:rPr>
          <w:rFonts w:hint="eastAsia" w:ascii="宋体" w:hAnsi="宋体" w:eastAsia="宋体" w:cs="宋体"/>
          <w:w w:val="95"/>
          <w:highlight w:val="none"/>
        </w:rPr>
        <w:t>（签字）</w:t>
      </w:r>
    </w:p>
    <w:p>
      <w:pPr>
        <w:pStyle w:val="8"/>
        <w:tabs>
          <w:tab w:val="left" w:pos="6187"/>
          <w:tab w:val="left" w:pos="7147"/>
          <w:tab w:val="left" w:pos="7747"/>
          <w:tab w:val="left" w:pos="8347"/>
        </w:tabs>
        <w:kinsoku w:val="0"/>
        <w:overflowPunct w:val="0"/>
        <w:spacing w:before="46"/>
        <w:ind w:left="5468"/>
        <w:rPr>
          <w:rFonts w:hint="eastAsia" w:ascii="宋体" w:hAnsi="宋体" w:eastAsia="宋体" w:cs="宋体"/>
          <w:highlight w:val="none"/>
        </w:rPr>
      </w:pPr>
      <w:r>
        <w:rPr>
          <w:rFonts w:hint="eastAsia" w:ascii="宋体" w:hAnsi="宋体" w:eastAsia="宋体" w:cs="宋体"/>
          <w:highlight w:val="none"/>
        </w:rPr>
        <w:t>日</w:t>
      </w:r>
      <w:r>
        <w:rPr>
          <w:rFonts w:hint="eastAsia" w:ascii="宋体" w:hAnsi="宋体" w:eastAsia="宋体" w:cs="宋体"/>
          <w:highlight w:val="none"/>
        </w:rPr>
        <w:tab/>
      </w:r>
      <w:r>
        <w:rPr>
          <w:rFonts w:hint="eastAsia" w:ascii="宋体" w:hAnsi="宋体" w:eastAsia="宋体" w:cs="宋体"/>
          <w:highlight w:val="none"/>
        </w:rPr>
        <w:t>期：</w:t>
      </w:r>
      <w:r>
        <w:rPr>
          <w:rFonts w:hint="eastAsia" w:ascii="宋体" w:hAnsi="宋体" w:eastAsia="宋体" w:cs="宋体"/>
          <w:highlight w:val="none"/>
          <w:u w:val="single"/>
        </w:rPr>
        <w:tab/>
      </w:r>
      <w:r>
        <w:rPr>
          <w:rFonts w:hint="eastAsia" w:ascii="宋体" w:hAnsi="宋体" w:eastAsia="宋体" w:cs="宋体"/>
          <w:highlight w:val="none"/>
        </w:rPr>
        <w:t>年</w:t>
      </w:r>
      <w:r>
        <w:rPr>
          <w:rFonts w:hint="eastAsia" w:ascii="宋体" w:hAnsi="宋体" w:eastAsia="宋体" w:cs="宋体"/>
          <w:highlight w:val="none"/>
          <w:u w:val="single"/>
        </w:rPr>
        <w:tab/>
      </w:r>
      <w:r>
        <w:rPr>
          <w:rFonts w:hint="eastAsia" w:ascii="宋体" w:hAnsi="宋体" w:eastAsia="宋体" w:cs="宋体"/>
          <w:highlight w:val="none"/>
        </w:rPr>
        <w:t>月</w:t>
      </w:r>
      <w:r>
        <w:rPr>
          <w:rFonts w:hint="eastAsia" w:ascii="宋体" w:hAnsi="宋体" w:eastAsia="宋体" w:cs="宋体"/>
          <w:highlight w:val="none"/>
          <w:u w:val="single"/>
        </w:rPr>
        <w:tab/>
      </w:r>
      <w:r>
        <w:rPr>
          <w:rFonts w:hint="eastAsia" w:ascii="宋体" w:hAnsi="宋体" w:eastAsia="宋体" w:cs="宋体"/>
          <w:highlight w:val="none"/>
        </w:rPr>
        <w:t>日</w:t>
      </w:r>
    </w:p>
    <w:p>
      <w:pPr>
        <w:pStyle w:val="8"/>
        <w:kinsoku w:val="0"/>
        <w:overflowPunct w:val="0"/>
        <w:spacing w:before="11"/>
        <w:ind w:left="0"/>
        <w:rPr>
          <w:rFonts w:hint="eastAsia" w:ascii="宋体" w:hAnsi="宋体" w:eastAsia="宋体" w:cs="宋体"/>
          <w:sz w:val="9"/>
          <w:szCs w:val="9"/>
          <w:highlight w:val="none"/>
        </w:rPr>
      </w:pPr>
    </w:p>
    <w:p>
      <w:pPr>
        <w:pStyle w:val="8"/>
        <w:kinsoku w:val="0"/>
        <w:overflowPunct w:val="0"/>
        <w:spacing w:before="0"/>
        <w:rPr>
          <w:rFonts w:hint="eastAsia" w:ascii="宋体" w:hAnsi="宋体" w:eastAsia="宋体" w:cs="宋体"/>
          <w:sz w:val="21"/>
          <w:szCs w:val="21"/>
          <w:highlight w:val="none"/>
        </w:rPr>
      </w:pPr>
      <w:r>
        <w:rPr>
          <w:rFonts w:hint="eastAsia" w:ascii="宋体" w:hAnsi="宋体" w:eastAsia="宋体" w:cs="宋体"/>
          <w:sz w:val="21"/>
          <w:szCs w:val="21"/>
          <w:highlight w:val="none"/>
        </w:rPr>
        <w:t>说明：</w:t>
      </w:r>
    </w:p>
    <w:p>
      <w:pPr>
        <w:pStyle w:val="8"/>
        <w:kinsoku w:val="0"/>
        <w:overflowPunct w:val="0"/>
        <w:spacing w:before="133" w:line="356" w:lineRule="auto"/>
        <w:ind w:right="248" w:firstLine="420"/>
        <w:jc w:val="both"/>
        <w:rPr>
          <w:rFonts w:hint="eastAsia" w:ascii="宋体" w:hAnsi="宋体" w:eastAsia="宋体" w:cs="宋体"/>
          <w:w w:val="95"/>
          <w:sz w:val="21"/>
          <w:szCs w:val="21"/>
          <w:highlight w:val="none"/>
        </w:rPr>
      </w:pPr>
      <w:r>
        <w:rPr>
          <w:rFonts w:hint="eastAsia" w:ascii="宋体" w:hAnsi="宋体" w:eastAsia="宋体" w:cs="宋体"/>
          <w:spacing w:val="8"/>
          <w:w w:val="95"/>
          <w:sz w:val="21"/>
          <w:szCs w:val="21"/>
          <w:highlight w:val="none"/>
        </w:rPr>
        <w:t>1、填写前请认真阅读《工业和信息化部、国家统计局、国家发展和改革委员会、财政部关于印发中小企业划型标准规定的通知》（工信部联企业[2011]300 号）和《财政部工业和信息</w:t>
      </w:r>
      <w:r>
        <w:rPr>
          <w:rFonts w:hint="eastAsia" w:ascii="宋体" w:hAnsi="宋体" w:eastAsia="宋体" w:cs="宋体"/>
          <w:w w:val="95"/>
          <w:sz w:val="21"/>
          <w:szCs w:val="21"/>
          <w:highlight w:val="none"/>
        </w:rPr>
        <w:t>化部关于印发《政府采购促进中小企业发展管理办法》（财库﹝2020﹞46 号）相关规定。</w:t>
      </w:r>
    </w:p>
    <w:p>
      <w:pPr>
        <w:pStyle w:val="8"/>
        <w:kinsoku w:val="0"/>
        <w:overflowPunct w:val="0"/>
        <w:spacing w:before="133" w:line="356" w:lineRule="auto"/>
        <w:ind w:right="248" w:firstLine="420"/>
        <w:jc w:val="both"/>
        <w:rPr>
          <w:rFonts w:hint="eastAsia" w:ascii="宋体" w:hAnsi="宋体" w:eastAsia="宋体" w:cs="宋体"/>
          <w:w w:val="95"/>
          <w:sz w:val="21"/>
          <w:szCs w:val="21"/>
          <w:highlight w:val="none"/>
        </w:rPr>
      </w:pPr>
      <w:r>
        <w:rPr>
          <w:rFonts w:hint="eastAsia" w:ascii="宋体" w:hAnsi="宋体" w:eastAsia="宋体" w:cs="宋体"/>
          <w:w w:val="95"/>
          <w:sz w:val="21"/>
          <w:szCs w:val="21"/>
          <w:highlight w:val="none"/>
        </w:rPr>
        <w:t>2、中小企业部分提供其他中小企业制造货物的应另附说明，并与开标一览表保持一致。</w:t>
      </w:r>
    </w:p>
    <w:p>
      <w:pPr>
        <w:pStyle w:val="8"/>
        <w:kinsoku w:val="0"/>
        <w:overflowPunct w:val="0"/>
        <w:spacing w:before="133" w:line="356" w:lineRule="auto"/>
        <w:ind w:right="248" w:firstLine="420"/>
        <w:jc w:val="both"/>
        <w:rPr>
          <w:rFonts w:hint="eastAsia" w:ascii="宋体" w:hAnsi="宋体" w:eastAsia="宋体" w:cs="宋体"/>
          <w:w w:val="95"/>
          <w:sz w:val="21"/>
          <w:szCs w:val="21"/>
          <w:highlight w:val="none"/>
        </w:rPr>
      </w:pPr>
      <w:r>
        <w:rPr>
          <w:rFonts w:hint="eastAsia" w:ascii="宋体" w:hAnsi="宋体" w:eastAsia="宋体" w:cs="宋体"/>
          <w:w w:val="95"/>
          <w:sz w:val="21"/>
          <w:szCs w:val="21"/>
          <w:highlight w:val="none"/>
        </w:rPr>
        <w:t>3、未按上述要求提供、填写的，评审时不予以考虑。</w:t>
      </w:r>
    </w:p>
    <w:p>
      <w:pPr>
        <w:pStyle w:val="8"/>
        <w:kinsoku w:val="0"/>
        <w:overflowPunct w:val="0"/>
        <w:spacing w:before="133" w:line="356" w:lineRule="auto"/>
        <w:ind w:right="248" w:firstLine="420"/>
        <w:jc w:val="both"/>
        <w:outlineLvl w:val="1"/>
        <w:rPr>
          <w:rFonts w:hint="eastAsia" w:ascii="宋体" w:hAnsi="宋体" w:eastAsia="宋体" w:cs="宋体"/>
          <w:b/>
          <w:bCs/>
          <w:highlight w:val="none"/>
        </w:rPr>
      </w:pPr>
      <w:r>
        <w:rPr>
          <w:rFonts w:hint="eastAsia" w:ascii="宋体" w:hAnsi="宋体" w:eastAsia="宋体" w:cs="宋体"/>
          <w:w w:val="95"/>
          <w:sz w:val="21"/>
          <w:szCs w:val="21"/>
          <w:highlight w:val="none"/>
        </w:rPr>
        <w:br w:type="page"/>
      </w:r>
      <w:r>
        <w:rPr>
          <w:rFonts w:hint="eastAsia" w:ascii="宋体" w:hAnsi="宋体" w:eastAsia="宋体" w:cs="宋体"/>
          <w:b/>
          <w:bCs/>
          <w:sz w:val="36"/>
          <w:szCs w:val="36"/>
          <w:highlight w:val="none"/>
        </w:rPr>
        <w:t>十一、残疾人福利性单位声明函（符合本声明函填写）</w:t>
      </w:r>
    </w:p>
    <w:p>
      <w:pPr>
        <w:pStyle w:val="8"/>
        <w:kinsoku w:val="0"/>
        <w:overflowPunct w:val="0"/>
        <w:spacing w:before="0"/>
        <w:ind w:left="0"/>
        <w:rPr>
          <w:rFonts w:hint="eastAsia" w:ascii="宋体" w:hAnsi="宋体" w:eastAsia="宋体" w:cs="宋体"/>
          <w:b/>
          <w:bCs/>
          <w:sz w:val="32"/>
          <w:szCs w:val="32"/>
          <w:highlight w:val="none"/>
        </w:rPr>
      </w:pPr>
    </w:p>
    <w:p>
      <w:pPr>
        <w:pStyle w:val="8"/>
        <w:tabs>
          <w:tab w:val="left" w:pos="3211"/>
          <w:tab w:val="left" w:pos="4651"/>
        </w:tabs>
        <w:kinsoku w:val="0"/>
        <w:overflowPunct w:val="0"/>
        <w:spacing w:before="264" w:line="356" w:lineRule="auto"/>
        <w:ind w:right="118" w:firstLine="480"/>
        <w:rPr>
          <w:rFonts w:hint="eastAsia" w:ascii="宋体" w:hAnsi="宋体" w:eastAsia="宋体" w:cs="宋体"/>
          <w:highlight w:val="none"/>
        </w:rPr>
      </w:pPr>
      <w:r>
        <w:rPr>
          <w:rFonts w:hint="eastAsia" w:ascii="宋体" w:hAnsi="宋体" w:eastAsia="宋体" w:cs="宋体"/>
          <w:highlight w:val="none"/>
        </w:rPr>
        <w:t>本单位郑重声明</w:t>
      </w:r>
      <w:r>
        <w:rPr>
          <w:rFonts w:hint="eastAsia" w:ascii="宋体" w:hAnsi="宋体" w:eastAsia="宋体" w:cs="宋体"/>
          <w:spacing w:val="-27"/>
          <w:highlight w:val="none"/>
        </w:rPr>
        <w:t>，</w:t>
      </w:r>
      <w:r>
        <w:rPr>
          <w:rFonts w:hint="eastAsia" w:ascii="宋体" w:hAnsi="宋体" w:eastAsia="宋体" w:cs="宋体"/>
          <w:highlight w:val="none"/>
        </w:rPr>
        <w:t>根</w:t>
      </w:r>
      <w:r>
        <w:rPr>
          <w:rFonts w:hint="eastAsia" w:ascii="宋体" w:hAnsi="宋体" w:eastAsia="宋体" w:cs="宋体"/>
          <w:spacing w:val="-24"/>
          <w:highlight w:val="none"/>
        </w:rPr>
        <w:t>据</w:t>
      </w:r>
      <w:r>
        <w:rPr>
          <w:rFonts w:hint="eastAsia" w:ascii="宋体" w:hAnsi="宋体" w:eastAsia="宋体" w:cs="宋体"/>
          <w:highlight w:val="none"/>
        </w:rPr>
        <w:t>《财政部 民政部 中国残疾人联合会关于促进残疾人就业政府采购政策的通知》（财库〔2017〕141</w:t>
      </w:r>
      <w:r>
        <w:rPr>
          <w:rFonts w:hint="eastAsia" w:ascii="宋体" w:hAnsi="宋体" w:eastAsia="宋体" w:cs="宋体"/>
          <w:spacing w:val="-58"/>
          <w:highlight w:val="none"/>
        </w:rPr>
        <w:t xml:space="preserve"> </w:t>
      </w:r>
      <w:r>
        <w:rPr>
          <w:rFonts w:hint="eastAsia" w:ascii="宋体" w:hAnsi="宋体" w:eastAsia="宋体" w:cs="宋体"/>
          <w:highlight w:val="none"/>
        </w:rPr>
        <w:t>号）的规定，本单位为符合条件的残疾人福利性单位</w:t>
      </w:r>
      <w:r>
        <w:rPr>
          <w:rFonts w:hint="eastAsia" w:ascii="宋体" w:hAnsi="宋体" w:eastAsia="宋体" w:cs="宋体"/>
          <w:spacing w:val="-27"/>
          <w:highlight w:val="none"/>
        </w:rPr>
        <w:t>，</w:t>
      </w:r>
      <w:r>
        <w:rPr>
          <w:rFonts w:hint="eastAsia" w:ascii="宋体" w:hAnsi="宋体" w:eastAsia="宋体" w:cs="宋体"/>
          <w:highlight w:val="none"/>
        </w:rPr>
        <w:t>且本单位参加</w:t>
      </w:r>
      <w:r>
        <w:rPr>
          <w:rFonts w:hint="eastAsia" w:ascii="宋体" w:hAnsi="宋体" w:eastAsia="宋体" w:cs="宋体"/>
          <w:highlight w:val="none"/>
          <w:u w:val="single"/>
        </w:rPr>
        <w:tab/>
      </w:r>
      <w:r>
        <w:rPr>
          <w:rFonts w:hint="eastAsia" w:ascii="宋体" w:hAnsi="宋体" w:eastAsia="宋体" w:cs="宋体"/>
          <w:highlight w:val="none"/>
        </w:rPr>
        <w:t>单位的</w:t>
      </w:r>
      <w:r>
        <w:rPr>
          <w:rFonts w:hint="eastAsia" w:ascii="宋体" w:hAnsi="宋体" w:eastAsia="宋体" w:cs="宋体"/>
          <w:highlight w:val="none"/>
          <w:u w:val="single"/>
        </w:rPr>
        <w:tab/>
      </w:r>
      <w:r>
        <w:rPr>
          <w:rFonts w:hint="eastAsia" w:ascii="宋体" w:hAnsi="宋体" w:eastAsia="宋体" w:cs="宋体"/>
          <w:highlight w:val="none"/>
        </w:rPr>
        <w:t>项目采购活动提供本单位制造的货</w:t>
      </w:r>
      <w:r>
        <w:rPr>
          <w:rFonts w:hint="eastAsia" w:ascii="宋体" w:hAnsi="宋体" w:eastAsia="宋体" w:cs="宋体"/>
          <w:spacing w:val="-22"/>
          <w:highlight w:val="none"/>
        </w:rPr>
        <w:t>物</w:t>
      </w:r>
      <w:r>
        <w:rPr>
          <w:rFonts w:hint="eastAsia" w:ascii="宋体" w:hAnsi="宋体" w:eastAsia="宋体" w:cs="宋体"/>
          <w:spacing w:val="-3"/>
          <w:highlight w:val="none"/>
        </w:rPr>
        <w:t>（</w:t>
      </w:r>
      <w:r>
        <w:rPr>
          <w:rFonts w:hint="eastAsia" w:ascii="宋体" w:hAnsi="宋体" w:eastAsia="宋体" w:cs="宋体"/>
          <w:highlight w:val="none"/>
        </w:rPr>
        <w:t>由本</w:t>
      </w:r>
      <w:r>
        <w:rPr>
          <w:rFonts w:hint="eastAsia" w:ascii="宋体" w:hAnsi="宋体" w:eastAsia="宋体" w:cs="宋体"/>
          <w:spacing w:val="1"/>
          <w:highlight w:val="none"/>
        </w:rPr>
        <w:t>单位承担工程/提供服务），或者提供其他残疾人福利性单位制造的货物（不包括使用</w:t>
      </w:r>
      <w:r>
        <w:rPr>
          <w:rFonts w:hint="eastAsia" w:ascii="宋体" w:hAnsi="宋体" w:eastAsia="宋体" w:cs="宋体"/>
          <w:highlight w:val="none"/>
        </w:rPr>
        <w:t>非残疾人福利性单位注册商标的货物）。 本单位对上述声明的真实性负责，如有虚假，将依法承担相应责任。</w:t>
      </w:r>
    </w:p>
    <w:p>
      <w:pPr>
        <w:pStyle w:val="8"/>
        <w:kinsoku w:val="0"/>
        <w:overflowPunct w:val="0"/>
        <w:spacing w:before="0"/>
        <w:ind w:left="0"/>
        <w:rPr>
          <w:rFonts w:hint="eastAsia" w:ascii="宋体" w:hAnsi="宋体" w:eastAsia="宋体" w:cs="宋体"/>
          <w:highlight w:val="none"/>
        </w:rPr>
      </w:pPr>
    </w:p>
    <w:p>
      <w:pPr>
        <w:pStyle w:val="8"/>
        <w:kinsoku w:val="0"/>
        <w:overflowPunct w:val="0"/>
        <w:spacing w:before="0"/>
        <w:ind w:left="0"/>
        <w:rPr>
          <w:rFonts w:hint="eastAsia" w:ascii="宋体" w:hAnsi="宋体" w:eastAsia="宋体" w:cs="宋体"/>
          <w:highlight w:val="none"/>
        </w:rPr>
      </w:pPr>
    </w:p>
    <w:p>
      <w:pPr>
        <w:pStyle w:val="8"/>
        <w:kinsoku w:val="0"/>
        <w:overflowPunct w:val="0"/>
        <w:spacing w:before="3"/>
        <w:ind w:left="0"/>
        <w:rPr>
          <w:rFonts w:hint="eastAsia" w:ascii="宋体" w:hAnsi="宋体" w:eastAsia="宋体" w:cs="宋体"/>
          <w:sz w:val="26"/>
          <w:szCs w:val="26"/>
          <w:highlight w:val="none"/>
        </w:rPr>
      </w:pPr>
    </w:p>
    <w:p>
      <w:pPr>
        <w:pStyle w:val="8"/>
        <w:tabs>
          <w:tab w:val="left" w:pos="8107"/>
          <w:tab w:val="left" w:pos="8227"/>
        </w:tabs>
        <w:kinsoku w:val="0"/>
        <w:overflowPunct w:val="0"/>
        <w:spacing w:before="0" w:line="381" w:lineRule="auto"/>
        <w:ind w:left="4027" w:right="118"/>
        <w:rPr>
          <w:rFonts w:hint="eastAsia" w:ascii="宋体" w:hAnsi="宋体" w:eastAsia="宋体" w:cs="宋体"/>
          <w:highlight w:val="none"/>
        </w:rPr>
      </w:pPr>
      <w:r>
        <w:rPr>
          <w:rFonts w:hint="eastAsia" w:ascii="宋体" w:hAnsi="宋体" w:eastAsia="宋体" w:cs="宋体"/>
          <w:highlight w:val="none"/>
        </w:rPr>
        <w:t>投标单位：</w:t>
      </w:r>
      <w:r>
        <w:rPr>
          <w:rFonts w:hint="eastAsia" w:ascii="宋体" w:hAnsi="宋体" w:eastAsia="宋体" w:cs="宋体"/>
          <w:highlight w:val="none"/>
          <w:u w:val="single"/>
        </w:rPr>
        <w:tab/>
      </w:r>
      <w:r>
        <w:rPr>
          <w:rFonts w:hint="eastAsia" w:ascii="宋体" w:hAnsi="宋体" w:eastAsia="宋体" w:cs="宋体"/>
          <w:highlight w:val="none"/>
        </w:rPr>
        <w:t xml:space="preserve">（盖章） </w:t>
      </w:r>
    </w:p>
    <w:p>
      <w:pPr>
        <w:pStyle w:val="8"/>
        <w:tabs>
          <w:tab w:val="left" w:pos="8107"/>
          <w:tab w:val="left" w:pos="8227"/>
        </w:tabs>
        <w:kinsoku w:val="0"/>
        <w:overflowPunct w:val="0"/>
        <w:spacing w:before="0" w:line="381" w:lineRule="auto"/>
        <w:ind w:left="4027" w:right="118"/>
        <w:rPr>
          <w:rFonts w:hint="eastAsia" w:ascii="宋体" w:hAnsi="宋体" w:eastAsia="宋体" w:cs="宋体"/>
          <w:w w:val="95"/>
          <w:highlight w:val="none"/>
        </w:rPr>
      </w:pPr>
      <w:r>
        <w:rPr>
          <w:rFonts w:hint="eastAsia" w:ascii="宋体" w:hAnsi="宋体" w:eastAsia="宋体" w:cs="宋体"/>
          <w:highlight w:val="none"/>
        </w:rPr>
        <w:t>法定代表人或被授权人：</w:t>
      </w:r>
      <w:r>
        <w:rPr>
          <w:rFonts w:hint="eastAsia" w:ascii="宋体" w:hAnsi="宋体" w:eastAsia="宋体" w:cs="宋体"/>
          <w:highlight w:val="none"/>
          <w:u w:val="single"/>
        </w:rPr>
        <w:tab/>
      </w:r>
      <w:r>
        <w:rPr>
          <w:rFonts w:hint="eastAsia" w:ascii="宋体" w:hAnsi="宋体" w:eastAsia="宋体" w:cs="宋体"/>
          <w:highlight w:val="none"/>
          <w:u w:val="single"/>
        </w:rPr>
        <w:tab/>
      </w:r>
      <w:r>
        <w:rPr>
          <w:rFonts w:hint="eastAsia" w:ascii="宋体" w:hAnsi="宋体" w:eastAsia="宋体" w:cs="宋体"/>
          <w:w w:val="95"/>
          <w:highlight w:val="none"/>
        </w:rPr>
        <w:t>（签字）</w:t>
      </w:r>
    </w:p>
    <w:p>
      <w:pPr>
        <w:pStyle w:val="8"/>
        <w:tabs>
          <w:tab w:val="left" w:pos="6187"/>
          <w:tab w:val="left" w:pos="7147"/>
          <w:tab w:val="left" w:pos="7747"/>
          <w:tab w:val="left" w:pos="8347"/>
        </w:tabs>
        <w:kinsoku w:val="0"/>
        <w:overflowPunct w:val="0"/>
        <w:spacing w:before="46"/>
        <w:ind w:left="5468"/>
        <w:rPr>
          <w:rFonts w:hint="eastAsia" w:ascii="宋体" w:hAnsi="宋体" w:eastAsia="宋体" w:cs="宋体"/>
          <w:highlight w:val="none"/>
        </w:rPr>
      </w:pPr>
      <w:r>
        <w:rPr>
          <w:rFonts w:hint="eastAsia" w:ascii="宋体" w:hAnsi="宋体" w:eastAsia="宋体" w:cs="宋体"/>
          <w:highlight w:val="none"/>
        </w:rPr>
        <w:t>日</w:t>
      </w:r>
      <w:r>
        <w:rPr>
          <w:rFonts w:hint="eastAsia" w:ascii="宋体" w:hAnsi="宋体" w:eastAsia="宋体" w:cs="宋体"/>
          <w:highlight w:val="none"/>
        </w:rPr>
        <w:tab/>
      </w:r>
      <w:r>
        <w:rPr>
          <w:rFonts w:hint="eastAsia" w:ascii="宋体" w:hAnsi="宋体" w:eastAsia="宋体" w:cs="宋体"/>
          <w:highlight w:val="none"/>
        </w:rPr>
        <w:t>期：</w:t>
      </w:r>
      <w:r>
        <w:rPr>
          <w:rFonts w:hint="eastAsia" w:ascii="宋体" w:hAnsi="宋体" w:eastAsia="宋体" w:cs="宋体"/>
          <w:highlight w:val="none"/>
          <w:u w:val="single"/>
        </w:rPr>
        <w:tab/>
      </w:r>
      <w:r>
        <w:rPr>
          <w:rFonts w:hint="eastAsia" w:ascii="宋体" w:hAnsi="宋体" w:eastAsia="宋体" w:cs="宋体"/>
          <w:highlight w:val="none"/>
        </w:rPr>
        <w:t>年</w:t>
      </w:r>
      <w:r>
        <w:rPr>
          <w:rFonts w:hint="eastAsia" w:ascii="宋体" w:hAnsi="宋体" w:eastAsia="宋体" w:cs="宋体"/>
          <w:highlight w:val="none"/>
          <w:u w:val="single"/>
        </w:rPr>
        <w:tab/>
      </w:r>
      <w:r>
        <w:rPr>
          <w:rFonts w:hint="eastAsia" w:ascii="宋体" w:hAnsi="宋体" w:eastAsia="宋体" w:cs="宋体"/>
          <w:highlight w:val="none"/>
        </w:rPr>
        <w:t>月</w:t>
      </w:r>
      <w:r>
        <w:rPr>
          <w:rFonts w:hint="eastAsia" w:ascii="宋体" w:hAnsi="宋体" w:eastAsia="宋体" w:cs="宋体"/>
          <w:highlight w:val="none"/>
          <w:u w:val="single"/>
        </w:rPr>
        <w:tab/>
      </w:r>
      <w:r>
        <w:rPr>
          <w:rFonts w:hint="eastAsia" w:ascii="宋体" w:hAnsi="宋体" w:eastAsia="宋体" w:cs="宋体"/>
          <w:highlight w:val="none"/>
        </w:rPr>
        <w:t>日</w:t>
      </w:r>
    </w:p>
    <w:p>
      <w:pPr>
        <w:pStyle w:val="8"/>
        <w:kinsoku w:val="0"/>
        <w:overflowPunct w:val="0"/>
        <w:spacing w:before="0"/>
        <w:ind w:left="0"/>
        <w:rPr>
          <w:rFonts w:hint="eastAsia" w:ascii="宋体" w:hAnsi="宋体" w:eastAsia="宋体" w:cs="宋体"/>
          <w:highlight w:val="none"/>
        </w:rPr>
      </w:pPr>
    </w:p>
    <w:p>
      <w:pPr>
        <w:pStyle w:val="8"/>
        <w:kinsoku w:val="0"/>
        <w:overflowPunct w:val="0"/>
        <w:spacing w:before="0"/>
        <w:ind w:left="0"/>
        <w:rPr>
          <w:rFonts w:hint="eastAsia" w:ascii="宋体" w:hAnsi="宋体" w:eastAsia="宋体" w:cs="宋体"/>
          <w:highlight w:val="none"/>
        </w:rPr>
      </w:pPr>
    </w:p>
    <w:p>
      <w:pPr>
        <w:pStyle w:val="8"/>
        <w:kinsoku w:val="0"/>
        <w:overflowPunct w:val="0"/>
        <w:spacing w:before="3"/>
        <w:ind w:left="0"/>
        <w:rPr>
          <w:rFonts w:hint="eastAsia" w:ascii="宋体" w:hAnsi="宋体" w:eastAsia="宋体" w:cs="宋体"/>
          <w:sz w:val="26"/>
          <w:szCs w:val="26"/>
          <w:highlight w:val="none"/>
        </w:rPr>
      </w:pPr>
    </w:p>
    <w:p>
      <w:pPr>
        <w:pStyle w:val="8"/>
        <w:kinsoku w:val="0"/>
        <w:overflowPunct w:val="0"/>
        <w:spacing w:before="0" w:line="313" w:lineRule="exact"/>
        <w:rPr>
          <w:rFonts w:hint="eastAsia" w:ascii="宋体" w:hAnsi="宋体" w:eastAsia="宋体" w:cs="宋体"/>
          <w:highlight w:val="none"/>
        </w:rPr>
      </w:pPr>
      <w:r>
        <w:rPr>
          <w:rFonts w:hint="eastAsia" w:ascii="宋体" w:hAnsi="宋体" w:eastAsia="宋体" w:cs="宋体"/>
          <w:highlight w:val="none"/>
        </w:rPr>
        <w:t>说明：</w:t>
      </w:r>
    </w:p>
    <w:p>
      <w:pPr>
        <w:pStyle w:val="8"/>
        <w:numPr>
          <w:ilvl w:val="0"/>
          <w:numId w:val="0"/>
        </w:numPr>
        <w:kinsoku w:val="0"/>
        <w:overflowPunct w:val="0"/>
        <w:spacing w:before="1" w:line="237" w:lineRule="auto"/>
        <w:ind w:right="118" w:rightChars="0"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1.</w:t>
      </w:r>
      <w:r>
        <w:rPr>
          <w:rFonts w:hint="eastAsia" w:ascii="宋体" w:hAnsi="宋体" w:eastAsia="宋体" w:cs="宋体"/>
          <w:highlight w:val="none"/>
        </w:rPr>
        <w:t>填写前请认真阅</w:t>
      </w:r>
      <w:r>
        <w:rPr>
          <w:rFonts w:hint="eastAsia" w:ascii="宋体" w:hAnsi="宋体" w:eastAsia="宋体" w:cs="宋体"/>
          <w:spacing w:val="-51"/>
          <w:highlight w:val="none"/>
        </w:rPr>
        <w:t>读</w:t>
      </w:r>
      <w:r>
        <w:rPr>
          <w:rFonts w:hint="eastAsia" w:ascii="宋体" w:hAnsi="宋体" w:eastAsia="宋体" w:cs="宋体"/>
          <w:highlight w:val="none"/>
        </w:rPr>
        <w:t>《财政部 民政部 中国残疾人联合会关于促进残疾人就业政府采购 政策的通知》（财库〔2017〕141</w:t>
      </w:r>
      <w:r>
        <w:rPr>
          <w:rFonts w:hint="eastAsia" w:ascii="宋体" w:hAnsi="宋体" w:eastAsia="宋体" w:cs="宋体"/>
          <w:spacing w:val="-60"/>
          <w:highlight w:val="none"/>
        </w:rPr>
        <w:t xml:space="preserve"> </w:t>
      </w:r>
      <w:r>
        <w:rPr>
          <w:rFonts w:hint="eastAsia" w:ascii="宋体" w:hAnsi="宋体" w:eastAsia="宋体" w:cs="宋体"/>
          <w:highlight w:val="none"/>
        </w:rPr>
        <w:t>号）相关规定。</w:t>
      </w:r>
    </w:p>
    <w:p>
      <w:pPr>
        <w:pStyle w:val="8"/>
        <w:numPr>
          <w:ilvl w:val="0"/>
          <w:numId w:val="0"/>
        </w:numPr>
        <w:kinsoku w:val="0"/>
        <w:overflowPunct w:val="0"/>
        <w:spacing w:before="1" w:line="237" w:lineRule="auto"/>
        <w:ind w:right="118" w:rightChars="0" w:firstLine="480" w:firstLineChars="200"/>
        <w:rPr>
          <w:rFonts w:hint="eastAsia" w:ascii="宋体" w:hAnsi="宋体" w:eastAsia="宋体" w:cs="宋体"/>
          <w:highlight w:val="none"/>
        </w:rPr>
      </w:pPr>
      <w:r>
        <w:rPr>
          <w:rFonts w:hint="eastAsia" w:ascii="宋体" w:hAnsi="宋体" w:eastAsia="宋体" w:cs="宋体"/>
          <w:highlight w:val="none"/>
        </w:rPr>
        <w:t>2.残疾人福利性单位应在本声明函后提供相关证明材料。</w:t>
      </w:r>
    </w:p>
    <w:p>
      <w:pPr>
        <w:pStyle w:val="8"/>
        <w:kinsoku w:val="0"/>
        <w:overflowPunct w:val="0"/>
        <w:spacing w:before="0" w:line="310" w:lineRule="exact"/>
        <w:ind w:left="0" w:leftChars="0"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3.</w:t>
      </w:r>
      <w:r>
        <w:rPr>
          <w:rFonts w:hint="eastAsia" w:ascii="宋体" w:hAnsi="宋体" w:eastAsia="宋体" w:cs="宋体"/>
          <w:highlight w:val="none"/>
        </w:rPr>
        <w:t>未按上述要求提供、填写的，评审时不予以考虑。</w:t>
      </w:r>
    </w:p>
    <w:p>
      <w:pPr>
        <w:pStyle w:val="8"/>
        <w:kinsoku w:val="0"/>
        <w:overflowPunct w:val="0"/>
        <w:spacing w:before="34" w:line="357" w:lineRule="auto"/>
        <w:ind w:right="126" w:firstLine="480"/>
        <w:jc w:val="center"/>
        <w:outlineLvl w:val="1"/>
        <w:rPr>
          <w:rFonts w:hint="eastAsia" w:ascii="宋体" w:hAnsi="宋体" w:eastAsia="宋体" w:cs="宋体"/>
          <w:b/>
          <w:bCs/>
          <w:highlight w:val="none"/>
        </w:rPr>
      </w:pPr>
      <w:r>
        <w:rPr>
          <w:rFonts w:hint="eastAsia" w:ascii="宋体" w:hAnsi="宋体" w:eastAsia="宋体" w:cs="宋体"/>
          <w:highlight w:val="none"/>
        </w:rPr>
        <w:br w:type="page"/>
      </w:r>
      <w:r>
        <w:rPr>
          <w:rFonts w:hint="eastAsia" w:ascii="宋体" w:hAnsi="宋体" w:eastAsia="宋体" w:cs="宋体"/>
          <w:b/>
          <w:bCs/>
          <w:sz w:val="36"/>
          <w:szCs w:val="36"/>
          <w:highlight w:val="none"/>
        </w:rPr>
        <w:t>十二、缴纳招标代理服务费承诺书</w:t>
      </w:r>
    </w:p>
    <w:p>
      <w:pPr>
        <w:pStyle w:val="8"/>
        <w:kinsoku w:val="0"/>
        <w:overflowPunct w:val="0"/>
        <w:spacing w:before="6"/>
        <w:ind w:left="0"/>
        <w:rPr>
          <w:rFonts w:hint="eastAsia" w:ascii="宋体" w:hAnsi="宋体" w:eastAsia="宋体" w:cs="宋体"/>
          <w:b/>
          <w:bCs/>
          <w:sz w:val="26"/>
          <w:szCs w:val="26"/>
          <w:highlight w:val="none"/>
        </w:rPr>
      </w:pPr>
    </w:p>
    <w:p>
      <w:pPr>
        <w:pStyle w:val="25"/>
        <w:kinsoku w:val="0"/>
        <w:overflowPunct w:val="0"/>
        <w:ind w:left="127"/>
        <w:outlineLvl w:val="9"/>
        <w:rPr>
          <w:rFonts w:hint="eastAsia" w:ascii="宋体" w:hAnsi="宋体" w:eastAsia="宋体" w:cs="宋体"/>
          <w:spacing w:val="1"/>
          <w:highlight w:val="none"/>
          <w:lang w:eastAsia="zh-CN"/>
        </w:rPr>
      </w:pPr>
      <w:r>
        <w:rPr>
          <w:rFonts w:hint="eastAsia" w:ascii="宋体" w:hAnsi="宋体" w:eastAsia="宋体" w:cs="宋体"/>
          <w:spacing w:val="1"/>
          <w:highlight w:val="none"/>
        </w:rPr>
        <w:t>致：</w:t>
      </w:r>
      <w:r>
        <w:rPr>
          <w:rFonts w:hint="eastAsia" w:hAnsi="宋体" w:cs="宋体"/>
          <w:spacing w:val="1"/>
          <w:highlight w:val="none"/>
          <w:lang w:eastAsia="zh-CN"/>
        </w:rPr>
        <w:t>新疆天之源项目管理集团有限公司</w:t>
      </w:r>
    </w:p>
    <w:p>
      <w:pPr>
        <w:pStyle w:val="8"/>
        <w:kinsoku w:val="0"/>
        <w:overflowPunct w:val="0"/>
        <w:spacing w:before="10"/>
        <w:ind w:left="0"/>
        <w:rPr>
          <w:rFonts w:hint="eastAsia" w:ascii="宋体" w:hAnsi="宋体" w:eastAsia="宋体" w:cs="宋体"/>
          <w:b/>
          <w:bCs/>
          <w:sz w:val="14"/>
          <w:szCs w:val="14"/>
          <w:highlight w:val="none"/>
        </w:rPr>
      </w:pPr>
    </w:p>
    <w:p>
      <w:pPr>
        <w:pStyle w:val="8"/>
        <w:kinsoku w:val="0"/>
        <w:overflowPunct w:val="0"/>
        <w:spacing w:before="34" w:line="358" w:lineRule="auto"/>
        <w:ind w:left="119" w:right="125" w:firstLine="480" w:firstLineChars="200"/>
        <w:rPr>
          <w:rFonts w:hint="eastAsia" w:ascii="宋体" w:hAnsi="宋体" w:eastAsia="宋体" w:cs="宋体"/>
          <w:highlight w:val="none"/>
        </w:rPr>
      </w:pPr>
      <w:r>
        <w:rPr>
          <w:rFonts w:hint="eastAsia" w:ascii="宋体" w:hAnsi="宋体" w:eastAsia="宋体" w:cs="宋体"/>
          <w:highlight w:val="none"/>
        </w:rPr>
        <w:t>如果我方在贵公司组织的项目名称：</w:t>
      </w:r>
      <w:r>
        <w:rPr>
          <w:rFonts w:hint="eastAsia" w:ascii="宋体" w:hAnsi="宋体" w:eastAsia="宋体" w:cs="宋体"/>
          <w:highlight w:val="none"/>
          <w:u w:val="single"/>
        </w:rPr>
        <w:tab/>
      </w:r>
      <w:r>
        <w:rPr>
          <w:rFonts w:hint="eastAsia" w:ascii="宋体" w:hAnsi="宋体" w:eastAsia="宋体" w:cs="宋体"/>
          <w:highlight w:val="none"/>
          <w:u w:val="single"/>
        </w:rPr>
        <w:t xml:space="preserve">       （项目编号：   </w:t>
      </w:r>
      <w:r>
        <w:rPr>
          <w:rFonts w:hint="eastAsia" w:ascii="宋体" w:hAnsi="宋体" w:eastAsia="宋体" w:cs="宋体"/>
          <w:highlight w:val="none"/>
          <w:u w:val="single"/>
        </w:rPr>
        <w:tab/>
      </w:r>
      <w:r>
        <w:rPr>
          <w:rFonts w:hint="eastAsia" w:ascii="宋体" w:hAnsi="宋体" w:eastAsia="宋体" w:cs="宋体"/>
          <w:highlight w:val="none"/>
          <w:u w:val="single"/>
        </w:rPr>
        <w:t>）</w:t>
      </w:r>
      <w:r>
        <w:rPr>
          <w:rFonts w:hint="eastAsia" w:ascii="宋体" w:hAnsi="宋体" w:eastAsia="宋体" w:cs="宋体"/>
          <w:highlight w:val="none"/>
        </w:rPr>
        <w:t>磋商采购项目中被确定为成交供应商候选人，我方保证在收到《成交通知书》前，按照磋商文件的规定向贵公司</w:t>
      </w:r>
      <w:r>
        <w:rPr>
          <w:rFonts w:hint="eastAsia" w:ascii="宋体" w:hAnsi="宋体" w:eastAsia="宋体" w:cs="宋体"/>
          <w:spacing w:val="4"/>
          <w:highlight w:val="none"/>
        </w:rPr>
        <w:t>缴纳</w:t>
      </w:r>
      <w:r>
        <w:rPr>
          <w:rFonts w:hint="eastAsia" w:ascii="宋体" w:hAnsi="宋体" w:eastAsia="宋体" w:cs="宋体"/>
          <w:highlight w:val="none"/>
        </w:rPr>
        <w:t>招标代理服务费。</w:t>
      </w:r>
    </w:p>
    <w:p>
      <w:pPr>
        <w:pStyle w:val="8"/>
        <w:kinsoku w:val="0"/>
        <w:overflowPunct w:val="0"/>
        <w:spacing w:before="34" w:line="358" w:lineRule="auto"/>
        <w:ind w:left="119" w:right="125" w:firstLine="480" w:firstLineChars="200"/>
        <w:rPr>
          <w:rFonts w:hint="eastAsia" w:ascii="宋体" w:hAnsi="宋体" w:eastAsia="宋体" w:cs="宋体"/>
          <w:highlight w:val="none"/>
        </w:rPr>
      </w:pPr>
      <w:r>
        <w:rPr>
          <w:rFonts w:hint="eastAsia" w:ascii="宋体" w:hAnsi="宋体" w:eastAsia="宋体" w:cs="宋体"/>
          <w:highlight w:val="none"/>
        </w:rPr>
        <w:t>我方如违约，愿凭贵公司开出的违约通知，按上述承诺金额的200％在采购人与我方签订的采购合同款项中扣付，并在此同意和要求采购人（应</w:t>
      </w:r>
      <w:r>
        <w:rPr>
          <w:rFonts w:hint="eastAsia" w:ascii="宋体" w:hAnsi="宋体" w:eastAsia="宋体" w:cs="宋体"/>
          <w:highlight w:val="none"/>
          <w:lang w:eastAsia="zh-CN"/>
        </w:rPr>
        <w:t>新疆天之源项目管理集团有限公司</w:t>
      </w:r>
      <w:r>
        <w:rPr>
          <w:rFonts w:hint="eastAsia" w:ascii="宋体" w:hAnsi="宋体" w:eastAsia="宋体" w:cs="宋体"/>
          <w:highlight w:val="none"/>
        </w:rPr>
        <w:t>的要求）办理支付手续。</w:t>
      </w:r>
    </w:p>
    <w:p>
      <w:pPr>
        <w:pStyle w:val="8"/>
        <w:kinsoku w:val="0"/>
        <w:overflowPunct w:val="0"/>
        <w:spacing w:before="34" w:line="358" w:lineRule="auto"/>
        <w:ind w:left="119" w:right="125" w:firstLine="480" w:firstLineChars="200"/>
        <w:rPr>
          <w:rFonts w:hint="eastAsia" w:ascii="宋体" w:hAnsi="宋体" w:eastAsia="宋体" w:cs="宋体"/>
          <w:spacing w:val="-1"/>
          <w:w w:val="95"/>
          <w:highlight w:val="none"/>
        </w:rPr>
      </w:pPr>
      <w:r>
        <w:rPr>
          <w:rFonts w:hint="eastAsia" w:ascii="宋体" w:hAnsi="宋体" w:eastAsia="宋体" w:cs="宋体"/>
          <w:highlight w:val="none"/>
        </w:rPr>
        <w:t>特此承诺！</w:t>
      </w:r>
    </w:p>
    <w:p>
      <w:pPr>
        <w:pStyle w:val="8"/>
        <w:tabs>
          <w:tab w:val="left" w:pos="8107"/>
          <w:tab w:val="left" w:pos="8227"/>
        </w:tabs>
        <w:kinsoku w:val="0"/>
        <w:overflowPunct w:val="0"/>
        <w:spacing w:before="0" w:line="381" w:lineRule="auto"/>
        <w:ind w:left="4027" w:right="118"/>
        <w:rPr>
          <w:rFonts w:hint="eastAsia" w:ascii="宋体" w:hAnsi="宋体" w:eastAsia="宋体" w:cs="宋体"/>
          <w:highlight w:val="none"/>
        </w:rPr>
      </w:pPr>
      <w:r>
        <w:rPr>
          <w:rFonts w:hint="eastAsia" w:ascii="宋体" w:hAnsi="宋体" w:eastAsia="宋体" w:cs="宋体"/>
          <w:highlight w:val="none"/>
          <w:lang w:eastAsia="zh-CN"/>
        </w:rPr>
        <w:t>供应商</w:t>
      </w:r>
      <w:r>
        <w:rPr>
          <w:rFonts w:hint="eastAsia" w:ascii="宋体" w:hAnsi="宋体" w:eastAsia="宋体" w:cs="宋体"/>
          <w:highlight w:val="none"/>
        </w:rPr>
        <w:t>：</w:t>
      </w:r>
      <w:r>
        <w:rPr>
          <w:rFonts w:hint="eastAsia" w:ascii="宋体" w:hAnsi="宋体" w:eastAsia="宋体" w:cs="宋体"/>
          <w:highlight w:val="none"/>
          <w:u w:val="single"/>
        </w:rPr>
        <w:tab/>
      </w:r>
      <w:r>
        <w:rPr>
          <w:rFonts w:hint="eastAsia" w:ascii="宋体" w:hAnsi="宋体" w:eastAsia="宋体" w:cs="宋体"/>
          <w:highlight w:val="none"/>
        </w:rPr>
        <w:t xml:space="preserve">（盖章） </w:t>
      </w:r>
    </w:p>
    <w:p>
      <w:pPr>
        <w:pStyle w:val="8"/>
        <w:tabs>
          <w:tab w:val="left" w:pos="8107"/>
          <w:tab w:val="left" w:pos="8227"/>
        </w:tabs>
        <w:kinsoku w:val="0"/>
        <w:overflowPunct w:val="0"/>
        <w:spacing w:before="0" w:line="381" w:lineRule="auto"/>
        <w:ind w:left="4027" w:right="118"/>
        <w:rPr>
          <w:rFonts w:hint="eastAsia" w:ascii="宋体" w:hAnsi="宋体" w:eastAsia="宋体" w:cs="宋体"/>
          <w:w w:val="95"/>
          <w:highlight w:val="none"/>
        </w:rPr>
      </w:pPr>
      <w:r>
        <w:rPr>
          <w:rFonts w:hint="eastAsia" w:ascii="宋体" w:hAnsi="宋体" w:eastAsia="宋体" w:cs="宋体"/>
          <w:highlight w:val="none"/>
        </w:rPr>
        <w:t>法定代表人：</w:t>
      </w:r>
      <w:r>
        <w:rPr>
          <w:rFonts w:hint="eastAsia" w:ascii="宋体" w:hAnsi="宋体" w:eastAsia="宋体" w:cs="宋体"/>
          <w:highlight w:val="none"/>
          <w:u w:val="single"/>
        </w:rPr>
        <w:tab/>
      </w:r>
      <w:r>
        <w:rPr>
          <w:rFonts w:hint="eastAsia" w:ascii="宋体" w:hAnsi="宋体" w:eastAsia="宋体" w:cs="宋体"/>
          <w:highlight w:val="none"/>
          <w:u w:val="single"/>
        </w:rPr>
        <w:tab/>
      </w:r>
      <w:r>
        <w:rPr>
          <w:rFonts w:hint="eastAsia" w:ascii="宋体" w:hAnsi="宋体" w:eastAsia="宋体" w:cs="宋体"/>
          <w:w w:val="95"/>
          <w:highlight w:val="none"/>
        </w:rPr>
        <w:t>（签字）</w:t>
      </w:r>
    </w:p>
    <w:p>
      <w:pPr>
        <w:pStyle w:val="8"/>
        <w:kinsoku w:val="0"/>
        <w:wordWrap w:val="0"/>
        <w:overflowPunct w:val="0"/>
        <w:spacing w:before="34" w:line="358" w:lineRule="auto"/>
        <w:ind w:left="119" w:right="125" w:firstLine="480" w:firstLineChars="200"/>
        <w:jc w:val="left"/>
        <w:rPr>
          <w:rFonts w:hint="eastAsia" w:ascii="宋体" w:hAnsi="宋体" w:eastAsia="宋体" w:cs="宋体"/>
          <w:highlight w:val="none"/>
        </w:rPr>
      </w:pPr>
      <w:r>
        <w:rPr>
          <w:rFonts w:hint="eastAsia" w:ascii="宋体" w:hAnsi="宋体" w:eastAsia="宋体" w:cs="宋体"/>
          <w:highlight w:val="none"/>
          <w:lang w:val="en-US" w:eastAsia="zh-CN"/>
        </w:rPr>
        <w:t xml:space="preserve">                                         </w:t>
      </w:r>
      <w:r>
        <w:rPr>
          <w:rFonts w:hint="eastAsia" w:ascii="宋体" w:hAnsi="宋体" w:eastAsia="宋体" w:cs="宋体"/>
          <w:highlight w:val="none"/>
        </w:rPr>
        <w:t>日</w:t>
      </w:r>
      <w:r>
        <w:rPr>
          <w:rFonts w:hint="eastAsia" w:ascii="宋体" w:hAnsi="宋体" w:eastAsia="宋体" w:cs="宋体"/>
          <w:highlight w:val="none"/>
          <w:lang w:val="en-US" w:eastAsia="zh-CN"/>
        </w:rPr>
        <w:t xml:space="preserve"> </w:t>
      </w:r>
      <w:r>
        <w:rPr>
          <w:rFonts w:hint="eastAsia" w:ascii="宋体" w:hAnsi="宋体" w:eastAsia="宋体" w:cs="宋体"/>
          <w:highlight w:val="none"/>
        </w:rPr>
        <w:t>期：</w:t>
      </w:r>
      <w:r>
        <w:rPr>
          <w:rFonts w:hint="eastAsia" w:ascii="宋体" w:hAnsi="宋体" w:eastAsia="宋体" w:cs="宋体"/>
          <w:highlight w:val="none"/>
          <w:u w:val="single"/>
        </w:rPr>
        <w:tab/>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rPr>
        <w:t>年</w:t>
      </w:r>
      <w:r>
        <w:rPr>
          <w:rFonts w:hint="eastAsia" w:ascii="宋体" w:hAnsi="宋体" w:eastAsia="宋体" w:cs="宋体"/>
          <w:highlight w:val="none"/>
          <w:u w:val="single"/>
        </w:rPr>
        <w:tab/>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rPr>
        <w:t>月</w:t>
      </w:r>
      <w:r>
        <w:rPr>
          <w:rFonts w:hint="eastAsia" w:ascii="宋体" w:hAnsi="宋体" w:eastAsia="宋体" w:cs="宋体"/>
          <w:highlight w:val="none"/>
          <w:u w:val="single"/>
        </w:rPr>
        <w:tab/>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rPr>
        <w:t xml:space="preserve">日   </w:t>
      </w:r>
    </w:p>
    <w:p>
      <w:pPr>
        <w:pStyle w:val="8"/>
        <w:kinsoku w:val="0"/>
        <w:overflowPunct w:val="0"/>
        <w:spacing w:before="34" w:line="357" w:lineRule="auto"/>
        <w:ind w:right="126" w:firstLine="480"/>
        <w:jc w:val="center"/>
        <w:outlineLvl w:val="1"/>
        <w:rPr>
          <w:rFonts w:hint="eastAsia" w:ascii="宋体" w:hAnsi="宋体" w:eastAsia="宋体" w:cs="宋体"/>
          <w:highlight w:val="none"/>
        </w:rPr>
      </w:pPr>
      <w:r>
        <w:rPr>
          <w:rFonts w:hint="eastAsia" w:ascii="宋体" w:hAnsi="宋体" w:eastAsia="宋体" w:cs="宋体"/>
          <w:highlight w:val="none"/>
        </w:rPr>
        <w:br w:type="page"/>
      </w:r>
      <w:r>
        <w:rPr>
          <w:rFonts w:hint="eastAsia" w:ascii="宋体" w:hAnsi="宋体" w:eastAsia="宋体" w:cs="宋体"/>
          <w:b/>
          <w:bCs/>
          <w:sz w:val="36"/>
          <w:szCs w:val="36"/>
          <w:highlight w:val="none"/>
        </w:rPr>
        <w:t>十三、退还保证金说明函</w:t>
      </w:r>
    </w:p>
    <w:p>
      <w:pPr>
        <w:pStyle w:val="8"/>
        <w:kinsoku w:val="0"/>
        <w:overflowPunct w:val="0"/>
        <w:spacing w:before="6"/>
        <w:ind w:left="0"/>
        <w:rPr>
          <w:rFonts w:hint="eastAsia" w:ascii="宋体" w:hAnsi="宋体" w:eastAsia="宋体" w:cs="宋体"/>
          <w:b/>
          <w:bCs/>
          <w:sz w:val="26"/>
          <w:szCs w:val="26"/>
          <w:highlight w:val="none"/>
        </w:rPr>
      </w:pPr>
    </w:p>
    <w:p>
      <w:pPr>
        <w:pStyle w:val="25"/>
        <w:kinsoku w:val="0"/>
        <w:overflowPunct w:val="0"/>
        <w:ind w:left="127"/>
        <w:outlineLvl w:val="9"/>
        <w:rPr>
          <w:rFonts w:hint="eastAsia" w:ascii="宋体" w:hAnsi="宋体" w:eastAsia="宋体" w:cs="宋体"/>
          <w:spacing w:val="1"/>
          <w:highlight w:val="none"/>
          <w:lang w:eastAsia="zh-CN"/>
        </w:rPr>
      </w:pPr>
      <w:r>
        <w:rPr>
          <w:rFonts w:hint="eastAsia" w:ascii="宋体" w:hAnsi="宋体" w:eastAsia="宋体" w:cs="宋体"/>
          <w:spacing w:val="1"/>
          <w:highlight w:val="none"/>
        </w:rPr>
        <w:t>致：</w:t>
      </w:r>
      <w:r>
        <w:rPr>
          <w:rFonts w:hint="eastAsia" w:hAnsi="宋体" w:cs="宋体"/>
          <w:spacing w:val="1"/>
          <w:highlight w:val="none"/>
          <w:lang w:eastAsia="zh-CN"/>
        </w:rPr>
        <w:t>新疆天之源项目管理集团有限公司</w:t>
      </w:r>
    </w:p>
    <w:p>
      <w:pPr>
        <w:spacing w:line="360" w:lineRule="auto"/>
        <w:ind w:firstLine="420"/>
        <w:rPr>
          <w:rFonts w:hint="eastAsia" w:ascii="宋体" w:hAnsi="宋体" w:eastAsia="宋体" w:cs="宋体"/>
          <w:kern w:val="0"/>
          <w:sz w:val="24"/>
          <w:szCs w:val="24"/>
          <w:highlight w:val="none"/>
        </w:rPr>
      </w:pPr>
    </w:p>
    <w:p>
      <w:pPr>
        <w:spacing w:line="360" w:lineRule="auto"/>
        <w:ind w:firstLine="42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我单位已按</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项目（项目编号：</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）的招标文件要求，提交的报价保证金</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u w:val="single"/>
        </w:rPr>
        <w:t>大写金额</w:t>
      </w:r>
      <w:r>
        <w:rPr>
          <w:rFonts w:hint="eastAsia" w:ascii="宋体" w:hAnsi="宋体" w:eastAsia="宋体" w:cs="宋体"/>
          <w:kern w:val="0"/>
          <w:sz w:val="24"/>
          <w:szCs w:val="24"/>
          <w:highlight w:val="none"/>
        </w:rPr>
        <w:t>）元，请贵公司退还时划到以下帐户：</w:t>
      </w:r>
    </w:p>
    <w:p>
      <w:pPr>
        <w:tabs>
          <w:tab w:val="left" w:pos="676"/>
          <w:tab w:val="left" w:pos="2330"/>
          <w:tab w:val="left" w:pos="9230"/>
        </w:tabs>
        <w:autoSpaceDE w:val="0"/>
        <w:autoSpaceDN w:val="0"/>
        <w:adjustRightInd w:val="0"/>
        <w:spacing w:before="120" w:line="360" w:lineRule="auto"/>
        <w:rPr>
          <w:rFonts w:hint="eastAsia" w:ascii="宋体" w:hAnsi="宋体" w:eastAsia="宋体" w:cs="宋体"/>
          <w:kern w:val="0"/>
          <w:sz w:val="24"/>
          <w:szCs w:val="24"/>
          <w:highlight w:val="none"/>
        </w:rPr>
      </w:pPr>
    </w:p>
    <w:p>
      <w:pPr>
        <w:pStyle w:val="9"/>
        <w:spacing w:line="48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收 款 单 位：</w:t>
      </w:r>
    </w:p>
    <w:p>
      <w:pPr>
        <w:pStyle w:val="9"/>
        <w:spacing w:line="48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收款单位地址：</w:t>
      </w:r>
    </w:p>
    <w:p>
      <w:pPr>
        <w:pStyle w:val="9"/>
        <w:spacing w:line="48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开 户 银 行：</w:t>
      </w:r>
    </w:p>
    <w:p>
      <w:pPr>
        <w:pStyle w:val="9"/>
        <w:spacing w:line="48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帐       号：</w:t>
      </w:r>
    </w:p>
    <w:p>
      <w:pPr>
        <w:pStyle w:val="9"/>
        <w:spacing w:line="48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联   系  人：</w:t>
      </w:r>
    </w:p>
    <w:p>
      <w:pPr>
        <w:pStyle w:val="9"/>
        <w:spacing w:line="48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联 系 电 话：</w:t>
      </w:r>
    </w:p>
    <w:p>
      <w:pPr>
        <w:pStyle w:val="9"/>
        <w:spacing w:line="360" w:lineRule="auto"/>
        <w:rPr>
          <w:rFonts w:hint="eastAsia" w:ascii="宋体" w:hAnsi="宋体" w:eastAsia="宋体" w:cs="宋体"/>
          <w:kern w:val="0"/>
          <w:sz w:val="24"/>
          <w:highlight w:val="none"/>
        </w:rPr>
      </w:pPr>
    </w:p>
    <w:p>
      <w:pPr>
        <w:pStyle w:val="9"/>
        <w:spacing w:line="360" w:lineRule="auto"/>
        <w:rPr>
          <w:rFonts w:hint="eastAsia" w:ascii="宋体" w:hAnsi="宋体" w:eastAsia="宋体" w:cs="宋体"/>
          <w:kern w:val="0"/>
          <w:sz w:val="24"/>
          <w:highlight w:val="none"/>
        </w:rPr>
      </w:pPr>
      <w:r>
        <w:rPr>
          <w:rFonts w:hint="eastAsia" w:ascii="宋体" w:hAnsi="宋体" w:eastAsia="宋体" w:cs="宋体"/>
          <w:kern w:val="0"/>
          <w:sz w:val="24"/>
          <w:highlight w:val="none"/>
        </w:rPr>
        <w:t>（联系人和电话请填写财务人员，以便我公司财务人员核实退还保证金账户正确性）</w:t>
      </w:r>
    </w:p>
    <w:p>
      <w:pPr>
        <w:pStyle w:val="8"/>
        <w:tabs>
          <w:tab w:val="left" w:pos="8107"/>
          <w:tab w:val="left" w:pos="8227"/>
        </w:tabs>
        <w:kinsoku w:val="0"/>
        <w:overflowPunct w:val="0"/>
        <w:spacing w:before="0" w:line="381" w:lineRule="auto"/>
        <w:ind w:left="4027" w:right="118"/>
        <w:rPr>
          <w:rFonts w:hint="eastAsia" w:ascii="宋体" w:hAnsi="宋体" w:eastAsia="宋体" w:cs="宋体"/>
          <w:highlight w:val="none"/>
        </w:rPr>
      </w:pPr>
    </w:p>
    <w:p>
      <w:pPr>
        <w:pStyle w:val="8"/>
        <w:tabs>
          <w:tab w:val="left" w:pos="8107"/>
          <w:tab w:val="left" w:pos="8227"/>
        </w:tabs>
        <w:kinsoku w:val="0"/>
        <w:overflowPunct w:val="0"/>
        <w:spacing w:before="0" w:line="381" w:lineRule="auto"/>
        <w:ind w:left="4027" w:right="118"/>
        <w:rPr>
          <w:rFonts w:hint="eastAsia" w:ascii="宋体" w:hAnsi="宋体" w:eastAsia="宋体" w:cs="宋体"/>
          <w:highlight w:val="none"/>
        </w:rPr>
      </w:pPr>
      <w:r>
        <w:rPr>
          <w:rFonts w:hint="eastAsia" w:ascii="宋体" w:hAnsi="宋体" w:eastAsia="宋体" w:cs="宋体"/>
          <w:highlight w:val="none"/>
        </w:rPr>
        <w:t>投标单位：</w:t>
      </w:r>
      <w:r>
        <w:rPr>
          <w:rFonts w:hint="eastAsia" w:ascii="宋体" w:hAnsi="宋体" w:eastAsia="宋体" w:cs="宋体"/>
          <w:highlight w:val="none"/>
          <w:u w:val="single"/>
        </w:rPr>
        <w:tab/>
      </w:r>
      <w:r>
        <w:rPr>
          <w:rFonts w:hint="eastAsia" w:ascii="宋体" w:hAnsi="宋体" w:eastAsia="宋体" w:cs="宋体"/>
          <w:highlight w:val="none"/>
        </w:rPr>
        <w:t xml:space="preserve">（盖章） </w:t>
      </w:r>
    </w:p>
    <w:p>
      <w:pPr>
        <w:pStyle w:val="8"/>
        <w:tabs>
          <w:tab w:val="left" w:pos="8107"/>
          <w:tab w:val="left" w:pos="8227"/>
        </w:tabs>
        <w:kinsoku w:val="0"/>
        <w:overflowPunct w:val="0"/>
        <w:spacing w:before="0" w:line="381" w:lineRule="auto"/>
        <w:ind w:left="4027" w:right="118"/>
        <w:rPr>
          <w:rFonts w:hint="eastAsia" w:ascii="宋体" w:hAnsi="宋体" w:eastAsia="宋体" w:cs="宋体"/>
          <w:w w:val="95"/>
          <w:highlight w:val="none"/>
        </w:rPr>
      </w:pPr>
      <w:r>
        <w:rPr>
          <w:rFonts w:hint="eastAsia" w:ascii="宋体" w:hAnsi="宋体" w:eastAsia="宋体" w:cs="宋体"/>
          <w:highlight w:val="none"/>
        </w:rPr>
        <w:t>法定代表人或被授权人：</w:t>
      </w:r>
      <w:r>
        <w:rPr>
          <w:rFonts w:hint="eastAsia" w:ascii="宋体" w:hAnsi="宋体" w:eastAsia="宋体" w:cs="宋体"/>
          <w:highlight w:val="none"/>
          <w:u w:val="single"/>
        </w:rPr>
        <w:tab/>
      </w:r>
      <w:r>
        <w:rPr>
          <w:rFonts w:hint="eastAsia" w:ascii="宋体" w:hAnsi="宋体" w:eastAsia="宋体" w:cs="宋体"/>
          <w:highlight w:val="none"/>
          <w:u w:val="single"/>
        </w:rPr>
        <w:tab/>
      </w:r>
      <w:r>
        <w:rPr>
          <w:rFonts w:hint="eastAsia" w:ascii="宋体" w:hAnsi="宋体" w:eastAsia="宋体" w:cs="宋体"/>
          <w:w w:val="95"/>
          <w:highlight w:val="none"/>
        </w:rPr>
        <w:t>（签字）</w:t>
      </w:r>
    </w:p>
    <w:p>
      <w:pPr>
        <w:pStyle w:val="8"/>
        <w:kinsoku w:val="0"/>
        <w:wordWrap w:val="0"/>
        <w:overflowPunct w:val="0"/>
        <w:spacing w:before="34" w:line="358" w:lineRule="auto"/>
        <w:ind w:left="119" w:right="125" w:firstLine="480" w:firstLineChars="200"/>
        <w:jc w:val="right"/>
        <w:rPr>
          <w:rFonts w:hint="eastAsia" w:ascii="宋体" w:hAnsi="宋体" w:eastAsia="宋体" w:cs="宋体"/>
          <w:highlight w:val="none"/>
        </w:rPr>
      </w:pPr>
      <w:r>
        <w:rPr>
          <w:rFonts w:hint="eastAsia" w:ascii="宋体" w:hAnsi="宋体" w:eastAsia="宋体" w:cs="宋体"/>
          <w:highlight w:val="none"/>
        </w:rPr>
        <w:t>日</w:t>
      </w:r>
      <w:r>
        <w:rPr>
          <w:rFonts w:hint="eastAsia" w:ascii="宋体" w:hAnsi="宋体" w:eastAsia="宋体" w:cs="宋体"/>
          <w:highlight w:val="none"/>
        </w:rPr>
        <w:tab/>
      </w:r>
      <w:r>
        <w:rPr>
          <w:rFonts w:hint="eastAsia" w:ascii="宋体" w:hAnsi="宋体" w:eastAsia="宋体" w:cs="宋体"/>
          <w:highlight w:val="none"/>
        </w:rPr>
        <w:t>期：</w:t>
      </w:r>
      <w:r>
        <w:rPr>
          <w:rFonts w:hint="eastAsia" w:ascii="宋体" w:hAnsi="宋体" w:eastAsia="宋体" w:cs="宋体"/>
          <w:highlight w:val="none"/>
          <w:u w:val="single"/>
        </w:rPr>
        <w:tab/>
      </w:r>
      <w:r>
        <w:rPr>
          <w:rFonts w:hint="eastAsia" w:ascii="宋体" w:hAnsi="宋体" w:eastAsia="宋体" w:cs="宋体"/>
          <w:highlight w:val="none"/>
        </w:rPr>
        <w:t>年</w:t>
      </w:r>
      <w:r>
        <w:rPr>
          <w:rFonts w:hint="eastAsia" w:ascii="宋体" w:hAnsi="宋体" w:eastAsia="宋体" w:cs="宋体"/>
          <w:highlight w:val="none"/>
          <w:u w:val="single"/>
        </w:rPr>
        <w:tab/>
      </w:r>
      <w:r>
        <w:rPr>
          <w:rFonts w:hint="eastAsia" w:ascii="宋体" w:hAnsi="宋体" w:eastAsia="宋体" w:cs="宋体"/>
          <w:highlight w:val="none"/>
        </w:rPr>
        <w:t>月</w:t>
      </w:r>
      <w:r>
        <w:rPr>
          <w:rFonts w:hint="eastAsia" w:ascii="宋体" w:hAnsi="宋体" w:eastAsia="宋体" w:cs="宋体"/>
          <w:highlight w:val="none"/>
          <w:u w:val="single"/>
        </w:rPr>
        <w:tab/>
      </w:r>
      <w:r>
        <w:rPr>
          <w:rFonts w:hint="eastAsia" w:ascii="宋体" w:hAnsi="宋体" w:eastAsia="宋体" w:cs="宋体"/>
          <w:highlight w:val="none"/>
        </w:rPr>
        <w:t xml:space="preserve">日   </w:t>
      </w:r>
    </w:p>
    <w:p>
      <w:pPr>
        <w:pStyle w:val="26"/>
        <w:tabs>
          <w:tab w:val="left" w:pos="2763"/>
        </w:tabs>
        <w:kinsoku w:val="0"/>
        <w:overflowPunct w:val="0"/>
        <w:spacing w:before="143"/>
        <w:jc w:val="center"/>
        <w:outlineLvl w:val="9"/>
        <w:rPr>
          <w:rFonts w:hint="eastAsia" w:ascii="宋体" w:hAnsi="宋体" w:eastAsia="宋体" w:cs="宋体"/>
          <w:b w:val="0"/>
          <w:bCs w:val="0"/>
          <w:highlight w:val="none"/>
        </w:rPr>
      </w:pPr>
    </w:p>
    <w:p>
      <w:pPr>
        <w:pStyle w:val="8"/>
        <w:kinsoku w:val="0"/>
        <w:overflowPunct w:val="0"/>
        <w:spacing w:before="34" w:line="358" w:lineRule="auto"/>
        <w:ind w:left="119" w:right="125" w:firstLine="480" w:firstLineChars="200"/>
        <w:jc w:val="right"/>
        <w:rPr>
          <w:rFonts w:hint="eastAsia" w:ascii="宋体" w:hAnsi="宋体" w:eastAsia="宋体" w:cs="宋体"/>
          <w:b/>
          <w:bCs/>
          <w:sz w:val="36"/>
          <w:szCs w:val="36"/>
          <w:highlight w:val="none"/>
        </w:rPr>
      </w:pPr>
      <w:r>
        <w:rPr>
          <w:rFonts w:hint="eastAsia" w:ascii="宋体" w:hAnsi="宋体" w:eastAsia="宋体" w:cs="宋体"/>
          <w:highlight w:val="none"/>
        </w:rPr>
        <w:t xml:space="preserve">        </w:t>
      </w:r>
      <w:r>
        <w:rPr>
          <w:rFonts w:hint="eastAsia" w:ascii="宋体" w:hAnsi="宋体" w:eastAsia="宋体" w:cs="宋体"/>
          <w:spacing w:val="-1"/>
          <w:w w:val="95"/>
          <w:highlight w:val="none"/>
        </w:rPr>
        <w:br w:type="page"/>
      </w:r>
    </w:p>
    <w:p>
      <w:pPr>
        <w:pStyle w:val="8"/>
        <w:kinsoku w:val="0"/>
        <w:overflowPunct w:val="0"/>
        <w:spacing w:before="34" w:line="357" w:lineRule="auto"/>
        <w:ind w:right="126" w:firstLine="480"/>
        <w:jc w:val="center"/>
        <w:outlineLvl w:val="1"/>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t>十四、其他商务资格证明资料</w:t>
      </w:r>
    </w:p>
    <w:p>
      <w:pPr>
        <w:pStyle w:val="8"/>
        <w:kinsoku w:val="0"/>
        <w:overflowPunct w:val="0"/>
        <w:spacing w:before="0" w:line="940" w:lineRule="exact"/>
        <w:ind w:left="0"/>
        <w:jc w:val="center"/>
        <w:rPr>
          <w:rFonts w:hint="eastAsia" w:ascii="宋体" w:hAnsi="宋体" w:eastAsia="宋体" w:cs="宋体"/>
          <w:highlight w:val="none"/>
        </w:rPr>
      </w:pPr>
      <w:r>
        <w:rPr>
          <w:rFonts w:hint="eastAsia" w:ascii="宋体" w:hAnsi="宋体" w:eastAsia="宋体" w:cs="宋体"/>
          <w:highlight w:val="none"/>
        </w:rPr>
        <w:br w:type="page"/>
      </w:r>
    </w:p>
    <w:p>
      <w:pPr>
        <w:pStyle w:val="8"/>
        <w:kinsoku w:val="0"/>
        <w:overflowPunct w:val="0"/>
        <w:spacing w:before="34" w:line="357" w:lineRule="auto"/>
        <w:ind w:right="126" w:firstLine="480"/>
        <w:jc w:val="center"/>
        <w:outlineLvl w:val="1"/>
        <w:rPr>
          <w:rFonts w:hint="eastAsia" w:ascii="宋体" w:hAnsi="宋体" w:eastAsia="宋体" w:cs="宋体"/>
          <w:b/>
          <w:bCs/>
          <w:highlight w:val="none"/>
        </w:rPr>
      </w:pPr>
      <w:r>
        <w:rPr>
          <w:rFonts w:hint="eastAsia" w:ascii="宋体" w:hAnsi="宋体" w:eastAsia="宋体" w:cs="宋体"/>
          <w:b/>
          <w:bCs/>
          <w:sz w:val="36"/>
          <w:szCs w:val="36"/>
          <w:highlight w:val="none"/>
        </w:rPr>
        <w:t>十五、项目实施方案</w:t>
      </w:r>
    </w:p>
    <w:p>
      <w:pP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w:t>
      </w:r>
      <w:r>
        <w:rPr>
          <w:rFonts w:hint="eastAsia" w:ascii="宋体" w:hAnsi="宋体" w:eastAsia="宋体" w:cs="宋体"/>
          <w:b/>
          <w:kern w:val="0"/>
          <w:sz w:val="24"/>
          <w:szCs w:val="24"/>
          <w:highlight w:val="none"/>
        </w:rPr>
        <w:tab/>
      </w:r>
      <w:r>
        <w:rPr>
          <w:rFonts w:hint="eastAsia" w:ascii="宋体" w:hAnsi="宋体" w:eastAsia="宋体" w:cs="宋体"/>
          <w:b/>
          <w:kern w:val="0"/>
          <w:sz w:val="24"/>
          <w:szCs w:val="24"/>
          <w:highlight w:val="none"/>
        </w:rPr>
        <w:t>技术方案</w:t>
      </w:r>
    </w:p>
    <w:p>
      <w:pPr>
        <w:pStyle w:val="20"/>
        <w:rPr>
          <w:rFonts w:hint="eastAsia"/>
          <w:highlight w:val="none"/>
        </w:rPr>
      </w:pPr>
    </w:p>
    <w:p>
      <w:pPr>
        <w:rPr>
          <w:rFonts w:hint="eastAsia" w:ascii="宋体" w:hAnsi="宋体" w:eastAsia="宋体" w:cs="宋体"/>
          <w:b/>
          <w:kern w:val="0"/>
          <w:sz w:val="24"/>
          <w:szCs w:val="24"/>
          <w:highlight w:val="none"/>
          <w:lang w:eastAsia="zh-CN"/>
        </w:rPr>
      </w:pPr>
      <w:r>
        <w:rPr>
          <w:rFonts w:hint="eastAsia" w:ascii="宋体" w:hAnsi="宋体" w:eastAsia="宋体" w:cs="宋体"/>
          <w:b/>
          <w:kern w:val="0"/>
          <w:sz w:val="24"/>
          <w:szCs w:val="24"/>
          <w:highlight w:val="none"/>
        </w:rPr>
        <w:t>1.1</w:t>
      </w:r>
      <w:r>
        <w:rPr>
          <w:rFonts w:hint="eastAsia" w:ascii="宋体" w:hAnsi="宋体" w:cs="宋体"/>
          <w:b/>
          <w:kern w:val="0"/>
          <w:sz w:val="24"/>
          <w:szCs w:val="24"/>
          <w:highlight w:val="none"/>
          <w:lang w:val="en-US" w:eastAsia="zh-CN"/>
        </w:rPr>
        <w:t xml:space="preserve">  </w:t>
      </w:r>
      <w:r>
        <w:rPr>
          <w:rFonts w:hint="eastAsia" w:ascii="宋体" w:hAnsi="宋体" w:eastAsia="宋体" w:cs="宋体"/>
          <w:b/>
          <w:kern w:val="0"/>
          <w:sz w:val="24"/>
          <w:szCs w:val="24"/>
          <w:highlight w:val="none"/>
        </w:rPr>
        <w:t>对本项目的理解与认识</w:t>
      </w:r>
      <w:r>
        <w:rPr>
          <w:rFonts w:hint="eastAsia" w:ascii="宋体" w:hAnsi="宋体" w:cs="宋体"/>
          <w:b/>
          <w:kern w:val="0"/>
          <w:sz w:val="24"/>
          <w:szCs w:val="24"/>
          <w:highlight w:val="none"/>
          <w:lang w:eastAsia="zh-CN"/>
        </w:rPr>
        <w:t>：</w:t>
      </w:r>
      <w:r>
        <w:rPr>
          <w:rFonts w:hint="eastAsia" w:ascii="宋体" w:hAnsi="宋体" w:eastAsia="宋体" w:cs="宋体"/>
          <w:kern w:val="0"/>
          <w:sz w:val="24"/>
          <w:szCs w:val="24"/>
          <w:highlight w:val="none"/>
        </w:rPr>
        <w:t>主要根据《</w:t>
      </w:r>
      <w:r>
        <w:rPr>
          <w:rFonts w:hint="eastAsia" w:ascii="宋体" w:hAnsi="宋体" w:cs="宋体"/>
          <w:kern w:val="0"/>
          <w:sz w:val="24"/>
          <w:szCs w:val="24"/>
          <w:highlight w:val="none"/>
          <w:lang w:val="en-US" w:eastAsia="zh-CN"/>
        </w:rPr>
        <w:t>磋商内容</w:t>
      </w:r>
      <w:r>
        <w:rPr>
          <w:rFonts w:hint="eastAsia" w:ascii="宋体" w:hAnsi="宋体" w:eastAsia="宋体" w:cs="宋体"/>
          <w:kern w:val="0"/>
          <w:sz w:val="24"/>
          <w:szCs w:val="24"/>
          <w:highlight w:val="none"/>
        </w:rPr>
        <w:t>》的要求</w:t>
      </w:r>
      <w:r>
        <w:rPr>
          <w:rFonts w:hint="eastAsia" w:ascii="宋体" w:hAnsi="宋体" w:cs="宋体"/>
          <w:kern w:val="0"/>
          <w:sz w:val="24"/>
          <w:szCs w:val="24"/>
          <w:highlight w:val="none"/>
          <w:lang w:eastAsia="zh-CN"/>
        </w:rPr>
        <w:t>和详细评审表编制；</w:t>
      </w:r>
    </w:p>
    <w:p>
      <w:pPr>
        <w:pStyle w:val="20"/>
        <w:rPr>
          <w:rFonts w:hint="eastAsia"/>
          <w:highlight w:val="none"/>
        </w:rPr>
      </w:pPr>
    </w:p>
    <w:p>
      <w:pP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1.2</w:t>
      </w:r>
      <w:r>
        <w:rPr>
          <w:rFonts w:hint="eastAsia" w:ascii="宋体" w:hAnsi="宋体" w:cs="宋体"/>
          <w:b/>
          <w:kern w:val="0"/>
          <w:sz w:val="24"/>
          <w:szCs w:val="24"/>
          <w:highlight w:val="none"/>
          <w:lang w:val="en-US" w:eastAsia="zh-CN"/>
        </w:rPr>
        <w:t xml:space="preserve">  </w:t>
      </w:r>
      <w:r>
        <w:rPr>
          <w:rFonts w:hint="eastAsia" w:ascii="宋体" w:hAnsi="宋体" w:eastAsia="宋体" w:cs="宋体"/>
          <w:b/>
          <w:kern w:val="0"/>
          <w:sz w:val="24"/>
          <w:szCs w:val="24"/>
          <w:highlight w:val="none"/>
        </w:rPr>
        <w:t>技术参数响应表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902"/>
        <w:gridCol w:w="3423"/>
        <w:gridCol w:w="2197"/>
        <w:gridCol w:w="727"/>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序号</w:t>
            </w:r>
          </w:p>
        </w:tc>
        <w:tc>
          <w:tcPr>
            <w:tcW w:w="902"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规格/要求</w:t>
            </w:r>
          </w:p>
        </w:tc>
        <w:tc>
          <w:tcPr>
            <w:tcW w:w="3423"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投标/响应实际参数</w:t>
            </w:r>
          </w:p>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(投标供应商应按响应货物/服务实际数据填写)</w:t>
            </w:r>
          </w:p>
        </w:tc>
        <w:tc>
          <w:tcPr>
            <w:tcW w:w="2197"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是否偏离（无偏离/正偏离/负偏离）</w:t>
            </w:r>
          </w:p>
        </w:tc>
        <w:tc>
          <w:tcPr>
            <w:tcW w:w="727"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偏离简述</w:t>
            </w:r>
          </w:p>
        </w:tc>
        <w:tc>
          <w:tcPr>
            <w:tcW w:w="1260"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证明文件（如有）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902" w:type="dxa"/>
            <w:noWrap w:val="0"/>
            <w:vAlign w:val="center"/>
          </w:tcPr>
          <w:p>
            <w:pPr>
              <w:rPr>
                <w:rFonts w:hint="eastAsia" w:ascii="宋体" w:hAnsi="宋体" w:eastAsia="宋体" w:cs="宋体"/>
                <w:kern w:val="0"/>
                <w:sz w:val="24"/>
                <w:szCs w:val="24"/>
                <w:highlight w:val="none"/>
              </w:rPr>
            </w:pPr>
          </w:p>
        </w:tc>
        <w:tc>
          <w:tcPr>
            <w:tcW w:w="3423" w:type="dxa"/>
            <w:noWrap w:val="0"/>
            <w:vAlign w:val="center"/>
          </w:tcPr>
          <w:p>
            <w:pPr>
              <w:rPr>
                <w:rFonts w:hint="eastAsia" w:ascii="宋体" w:hAnsi="宋体" w:eastAsia="宋体" w:cs="宋体"/>
                <w:kern w:val="0"/>
                <w:sz w:val="24"/>
                <w:szCs w:val="24"/>
                <w:highlight w:val="none"/>
              </w:rPr>
            </w:pPr>
          </w:p>
        </w:tc>
        <w:tc>
          <w:tcPr>
            <w:tcW w:w="2197" w:type="dxa"/>
            <w:noWrap w:val="0"/>
            <w:vAlign w:val="center"/>
          </w:tcPr>
          <w:p>
            <w:pPr>
              <w:rPr>
                <w:rFonts w:hint="eastAsia" w:ascii="宋体" w:hAnsi="宋体" w:eastAsia="宋体" w:cs="宋体"/>
                <w:kern w:val="0"/>
                <w:sz w:val="24"/>
                <w:szCs w:val="24"/>
                <w:highlight w:val="none"/>
              </w:rPr>
            </w:pPr>
          </w:p>
        </w:tc>
        <w:tc>
          <w:tcPr>
            <w:tcW w:w="727" w:type="dxa"/>
            <w:noWrap w:val="0"/>
            <w:vAlign w:val="center"/>
          </w:tcPr>
          <w:p>
            <w:pPr>
              <w:rPr>
                <w:rFonts w:hint="eastAsia" w:ascii="宋体" w:hAnsi="宋体" w:eastAsia="宋体" w:cs="宋体"/>
                <w:kern w:val="0"/>
                <w:sz w:val="24"/>
                <w:szCs w:val="24"/>
                <w:highlight w:val="none"/>
              </w:rPr>
            </w:pPr>
          </w:p>
        </w:tc>
        <w:tc>
          <w:tcPr>
            <w:tcW w:w="1260" w:type="dxa"/>
            <w:noWrap w:val="0"/>
            <w:vAlign w:val="top"/>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w:t>
            </w:r>
          </w:p>
        </w:tc>
        <w:tc>
          <w:tcPr>
            <w:tcW w:w="902" w:type="dxa"/>
            <w:noWrap w:val="0"/>
            <w:vAlign w:val="center"/>
          </w:tcPr>
          <w:p>
            <w:pPr>
              <w:rPr>
                <w:rFonts w:hint="eastAsia" w:ascii="宋体" w:hAnsi="宋体" w:eastAsia="宋体" w:cs="宋体"/>
                <w:kern w:val="0"/>
                <w:sz w:val="24"/>
                <w:szCs w:val="24"/>
                <w:highlight w:val="none"/>
              </w:rPr>
            </w:pPr>
          </w:p>
        </w:tc>
        <w:tc>
          <w:tcPr>
            <w:tcW w:w="3423" w:type="dxa"/>
            <w:noWrap w:val="0"/>
            <w:vAlign w:val="center"/>
          </w:tcPr>
          <w:p>
            <w:pPr>
              <w:rPr>
                <w:rFonts w:hint="eastAsia" w:ascii="宋体" w:hAnsi="宋体" w:eastAsia="宋体" w:cs="宋体"/>
                <w:kern w:val="0"/>
                <w:sz w:val="24"/>
                <w:szCs w:val="24"/>
                <w:highlight w:val="none"/>
              </w:rPr>
            </w:pPr>
          </w:p>
        </w:tc>
        <w:tc>
          <w:tcPr>
            <w:tcW w:w="2197" w:type="dxa"/>
            <w:noWrap w:val="0"/>
            <w:vAlign w:val="center"/>
          </w:tcPr>
          <w:p>
            <w:pPr>
              <w:rPr>
                <w:rFonts w:hint="eastAsia" w:ascii="宋体" w:hAnsi="宋体" w:eastAsia="宋体" w:cs="宋体"/>
                <w:kern w:val="0"/>
                <w:sz w:val="24"/>
                <w:szCs w:val="24"/>
                <w:highlight w:val="none"/>
              </w:rPr>
            </w:pPr>
          </w:p>
        </w:tc>
        <w:tc>
          <w:tcPr>
            <w:tcW w:w="727" w:type="dxa"/>
            <w:noWrap w:val="0"/>
            <w:vAlign w:val="center"/>
          </w:tcPr>
          <w:p>
            <w:pPr>
              <w:rPr>
                <w:rFonts w:hint="eastAsia" w:ascii="宋体" w:hAnsi="宋体" w:eastAsia="宋体" w:cs="宋体"/>
                <w:kern w:val="0"/>
                <w:sz w:val="24"/>
                <w:szCs w:val="24"/>
                <w:highlight w:val="none"/>
              </w:rPr>
            </w:pPr>
          </w:p>
        </w:tc>
        <w:tc>
          <w:tcPr>
            <w:tcW w:w="1260" w:type="dxa"/>
            <w:noWrap w:val="0"/>
            <w:vAlign w:val="top"/>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w:t>
            </w:r>
          </w:p>
        </w:tc>
        <w:tc>
          <w:tcPr>
            <w:tcW w:w="902" w:type="dxa"/>
            <w:noWrap w:val="0"/>
            <w:vAlign w:val="center"/>
          </w:tcPr>
          <w:p>
            <w:pPr>
              <w:rPr>
                <w:rFonts w:hint="eastAsia" w:ascii="宋体" w:hAnsi="宋体" w:eastAsia="宋体" w:cs="宋体"/>
                <w:kern w:val="0"/>
                <w:sz w:val="24"/>
                <w:szCs w:val="24"/>
                <w:highlight w:val="none"/>
              </w:rPr>
            </w:pPr>
          </w:p>
        </w:tc>
        <w:tc>
          <w:tcPr>
            <w:tcW w:w="3423" w:type="dxa"/>
            <w:noWrap w:val="0"/>
            <w:vAlign w:val="center"/>
          </w:tcPr>
          <w:p>
            <w:pPr>
              <w:rPr>
                <w:rFonts w:hint="eastAsia" w:ascii="宋体" w:hAnsi="宋体" w:eastAsia="宋体" w:cs="宋体"/>
                <w:kern w:val="0"/>
                <w:sz w:val="24"/>
                <w:szCs w:val="24"/>
                <w:highlight w:val="none"/>
              </w:rPr>
            </w:pPr>
          </w:p>
        </w:tc>
        <w:tc>
          <w:tcPr>
            <w:tcW w:w="2197" w:type="dxa"/>
            <w:noWrap w:val="0"/>
            <w:vAlign w:val="center"/>
          </w:tcPr>
          <w:p>
            <w:pPr>
              <w:rPr>
                <w:rFonts w:hint="eastAsia" w:ascii="宋体" w:hAnsi="宋体" w:eastAsia="宋体" w:cs="宋体"/>
                <w:kern w:val="0"/>
                <w:sz w:val="24"/>
                <w:szCs w:val="24"/>
                <w:highlight w:val="none"/>
              </w:rPr>
            </w:pPr>
          </w:p>
        </w:tc>
        <w:tc>
          <w:tcPr>
            <w:tcW w:w="727" w:type="dxa"/>
            <w:noWrap w:val="0"/>
            <w:vAlign w:val="center"/>
          </w:tcPr>
          <w:p>
            <w:pPr>
              <w:rPr>
                <w:rFonts w:hint="eastAsia" w:ascii="宋体" w:hAnsi="宋体" w:eastAsia="宋体" w:cs="宋体"/>
                <w:kern w:val="0"/>
                <w:sz w:val="24"/>
                <w:szCs w:val="24"/>
                <w:highlight w:val="none"/>
              </w:rPr>
            </w:pPr>
          </w:p>
        </w:tc>
        <w:tc>
          <w:tcPr>
            <w:tcW w:w="1260" w:type="dxa"/>
            <w:noWrap w:val="0"/>
            <w:vAlign w:val="top"/>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w:t>
            </w:r>
          </w:p>
        </w:tc>
        <w:tc>
          <w:tcPr>
            <w:tcW w:w="902" w:type="dxa"/>
            <w:noWrap w:val="0"/>
            <w:vAlign w:val="center"/>
          </w:tcPr>
          <w:p>
            <w:pPr>
              <w:rPr>
                <w:rFonts w:hint="eastAsia" w:ascii="宋体" w:hAnsi="宋体" w:eastAsia="宋体" w:cs="宋体"/>
                <w:kern w:val="0"/>
                <w:sz w:val="24"/>
                <w:szCs w:val="24"/>
                <w:highlight w:val="none"/>
              </w:rPr>
            </w:pPr>
          </w:p>
        </w:tc>
        <w:tc>
          <w:tcPr>
            <w:tcW w:w="3423" w:type="dxa"/>
            <w:noWrap w:val="0"/>
            <w:vAlign w:val="center"/>
          </w:tcPr>
          <w:p>
            <w:pPr>
              <w:rPr>
                <w:rFonts w:hint="eastAsia" w:ascii="宋体" w:hAnsi="宋体" w:eastAsia="宋体" w:cs="宋体"/>
                <w:kern w:val="0"/>
                <w:sz w:val="24"/>
                <w:szCs w:val="24"/>
                <w:highlight w:val="none"/>
              </w:rPr>
            </w:pPr>
          </w:p>
        </w:tc>
        <w:tc>
          <w:tcPr>
            <w:tcW w:w="2197" w:type="dxa"/>
            <w:noWrap w:val="0"/>
            <w:vAlign w:val="center"/>
          </w:tcPr>
          <w:p>
            <w:pPr>
              <w:rPr>
                <w:rFonts w:hint="eastAsia" w:ascii="宋体" w:hAnsi="宋体" w:eastAsia="宋体" w:cs="宋体"/>
                <w:kern w:val="0"/>
                <w:sz w:val="24"/>
                <w:szCs w:val="24"/>
                <w:highlight w:val="none"/>
              </w:rPr>
            </w:pPr>
          </w:p>
        </w:tc>
        <w:tc>
          <w:tcPr>
            <w:tcW w:w="727" w:type="dxa"/>
            <w:noWrap w:val="0"/>
            <w:vAlign w:val="center"/>
          </w:tcPr>
          <w:p>
            <w:pPr>
              <w:rPr>
                <w:rFonts w:hint="eastAsia" w:ascii="宋体" w:hAnsi="宋体" w:eastAsia="宋体" w:cs="宋体"/>
                <w:kern w:val="0"/>
                <w:sz w:val="24"/>
                <w:szCs w:val="24"/>
                <w:highlight w:val="none"/>
              </w:rPr>
            </w:pPr>
          </w:p>
        </w:tc>
        <w:tc>
          <w:tcPr>
            <w:tcW w:w="1260" w:type="dxa"/>
            <w:noWrap w:val="0"/>
            <w:vAlign w:val="top"/>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w:t>
            </w:r>
          </w:p>
        </w:tc>
        <w:tc>
          <w:tcPr>
            <w:tcW w:w="902" w:type="dxa"/>
            <w:noWrap w:val="0"/>
            <w:vAlign w:val="center"/>
          </w:tcPr>
          <w:p>
            <w:pPr>
              <w:rPr>
                <w:rFonts w:hint="eastAsia" w:ascii="宋体" w:hAnsi="宋体" w:eastAsia="宋体" w:cs="宋体"/>
                <w:kern w:val="0"/>
                <w:sz w:val="24"/>
                <w:szCs w:val="24"/>
                <w:highlight w:val="none"/>
              </w:rPr>
            </w:pPr>
          </w:p>
        </w:tc>
        <w:tc>
          <w:tcPr>
            <w:tcW w:w="3423" w:type="dxa"/>
            <w:noWrap w:val="0"/>
            <w:vAlign w:val="center"/>
          </w:tcPr>
          <w:p>
            <w:pPr>
              <w:rPr>
                <w:rFonts w:hint="eastAsia" w:ascii="宋体" w:hAnsi="宋体" w:eastAsia="宋体" w:cs="宋体"/>
                <w:kern w:val="0"/>
                <w:sz w:val="24"/>
                <w:szCs w:val="24"/>
                <w:highlight w:val="none"/>
              </w:rPr>
            </w:pPr>
          </w:p>
        </w:tc>
        <w:tc>
          <w:tcPr>
            <w:tcW w:w="2197" w:type="dxa"/>
            <w:noWrap w:val="0"/>
            <w:vAlign w:val="center"/>
          </w:tcPr>
          <w:p>
            <w:pPr>
              <w:rPr>
                <w:rFonts w:hint="eastAsia" w:ascii="宋体" w:hAnsi="宋体" w:eastAsia="宋体" w:cs="宋体"/>
                <w:kern w:val="0"/>
                <w:sz w:val="24"/>
                <w:szCs w:val="24"/>
                <w:highlight w:val="none"/>
              </w:rPr>
            </w:pPr>
          </w:p>
        </w:tc>
        <w:tc>
          <w:tcPr>
            <w:tcW w:w="727" w:type="dxa"/>
            <w:noWrap w:val="0"/>
            <w:vAlign w:val="center"/>
          </w:tcPr>
          <w:p>
            <w:pPr>
              <w:rPr>
                <w:rFonts w:hint="eastAsia" w:ascii="宋体" w:hAnsi="宋体" w:eastAsia="宋体" w:cs="宋体"/>
                <w:kern w:val="0"/>
                <w:sz w:val="24"/>
                <w:szCs w:val="24"/>
                <w:highlight w:val="none"/>
              </w:rPr>
            </w:pPr>
          </w:p>
        </w:tc>
        <w:tc>
          <w:tcPr>
            <w:tcW w:w="1260" w:type="dxa"/>
            <w:noWrap w:val="0"/>
            <w:vAlign w:val="top"/>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6</w:t>
            </w:r>
          </w:p>
        </w:tc>
        <w:tc>
          <w:tcPr>
            <w:tcW w:w="902" w:type="dxa"/>
            <w:noWrap w:val="0"/>
            <w:vAlign w:val="center"/>
          </w:tcPr>
          <w:p>
            <w:pPr>
              <w:rPr>
                <w:rFonts w:hint="eastAsia" w:ascii="宋体" w:hAnsi="宋体" w:eastAsia="宋体" w:cs="宋体"/>
                <w:kern w:val="0"/>
                <w:sz w:val="24"/>
                <w:szCs w:val="24"/>
                <w:highlight w:val="none"/>
              </w:rPr>
            </w:pPr>
          </w:p>
        </w:tc>
        <w:tc>
          <w:tcPr>
            <w:tcW w:w="3423" w:type="dxa"/>
            <w:noWrap w:val="0"/>
            <w:vAlign w:val="center"/>
          </w:tcPr>
          <w:p>
            <w:pPr>
              <w:rPr>
                <w:rFonts w:hint="eastAsia" w:ascii="宋体" w:hAnsi="宋体" w:eastAsia="宋体" w:cs="宋体"/>
                <w:kern w:val="0"/>
                <w:sz w:val="24"/>
                <w:szCs w:val="24"/>
                <w:highlight w:val="none"/>
              </w:rPr>
            </w:pPr>
          </w:p>
        </w:tc>
        <w:tc>
          <w:tcPr>
            <w:tcW w:w="2197" w:type="dxa"/>
            <w:noWrap w:val="0"/>
            <w:vAlign w:val="center"/>
          </w:tcPr>
          <w:p>
            <w:pPr>
              <w:rPr>
                <w:rFonts w:hint="eastAsia" w:ascii="宋体" w:hAnsi="宋体" w:eastAsia="宋体" w:cs="宋体"/>
                <w:kern w:val="0"/>
                <w:sz w:val="24"/>
                <w:szCs w:val="24"/>
                <w:highlight w:val="none"/>
              </w:rPr>
            </w:pPr>
          </w:p>
        </w:tc>
        <w:tc>
          <w:tcPr>
            <w:tcW w:w="727" w:type="dxa"/>
            <w:noWrap w:val="0"/>
            <w:vAlign w:val="center"/>
          </w:tcPr>
          <w:p>
            <w:pPr>
              <w:rPr>
                <w:rFonts w:hint="eastAsia" w:ascii="宋体" w:hAnsi="宋体" w:eastAsia="宋体" w:cs="宋体"/>
                <w:kern w:val="0"/>
                <w:sz w:val="24"/>
                <w:szCs w:val="24"/>
                <w:highlight w:val="none"/>
              </w:rPr>
            </w:pPr>
          </w:p>
        </w:tc>
        <w:tc>
          <w:tcPr>
            <w:tcW w:w="1260" w:type="dxa"/>
            <w:noWrap w:val="0"/>
            <w:vAlign w:val="top"/>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7</w:t>
            </w:r>
          </w:p>
        </w:tc>
        <w:tc>
          <w:tcPr>
            <w:tcW w:w="902" w:type="dxa"/>
            <w:noWrap w:val="0"/>
            <w:vAlign w:val="center"/>
          </w:tcPr>
          <w:p>
            <w:pPr>
              <w:rPr>
                <w:rFonts w:hint="eastAsia" w:ascii="宋体" w:hAnsi="宋体" w:eastAsia="宋体" w:cs="宋体"/>
                <w:kern w:val="0"/>
                <w:sz w:val="24"/>
                <w:szCs w:val="24"/>
                <w:highlight w:val="none"/>
              </w:rPr>
            </w:pPr>
          </w:p>
        </w:tc>
        <w:tc>
          <w:tcPr>
            <w:tcW w:w="3423" w:type="dxa"/>
            <w:noWrap w:val="0"/>
            <w:vAlign w:val="center"/>
          </w:tcPr>
          <w:p>
            <w:pPr>
              <w:rPr>
                <w:rFonts w:hint="eastAsia" w:ascii="宋体" w:hAnsi="宋体" w:eastAsia="宋体" w:cs="宋体"/>
                <w:kern w:val="0"/>
                <w:sz w:val="24"/>
                <w:szCs w:val="24"/>
                <w:highlight w:val="none"/>
              </w:rPr>
            </w:pPr>
          </w:p>
        </w:tc>
        <w:tc>
          <w:tcPr>
            <w:tcW w:w="2197" w:type="dxa"/>
            <w:noWrap w:val="0"/>
            <w:vAlign w:val="center"/>
          </w:tcPr>
          <w:p>
            <w:pPr>
              <w:rPr>
                <w:rFonts w:hint="eastAsia" w:ascii="宋体" w:hAnsi="宋体" w:eastAsia="宋体" w:cs="宋体"/>
                <w:kern w:val="0"/>
                <w:sz w:val="24"/>
                <w:szCs w:val="24"/>
                <w:highlight w:val="none"/>
              </w:rPr>
            </w:pPr>
          </w:p>
        </w:tc>
        <w:tc>
          <w:tcPr>
            <w:tcW w:w="727" w:type="dxa"/>
            <w:noWrap w:val="0"/>
            <w:vAlign w:val="center"/>
          </w:tcPr>
          <w:p>
            <w:pPr>
              <w:rPr>
                <w:rFonts w:hint="eastAsia" w:ascii="宋体" w:hAnsi="宋体" w:eastAsia="宋体" w:cs="宋体"/>
                <w:kern w:val="0"/>
                <w:sz w:val="24"/>
                <w:szCs w:val="24"/>
                <w:highlight w:val="none"/>
              </w:rPr>
            </w:pPr>
          </w:p>
        </w:tc>
        <w:tc>
          <w:tcPr>
            <w:tcW w:w="1260" w:type="dxa"/>
            <w:noWrap w:val="0"/>
            <w:vAlign w:val="top"/>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8</w:t>
            </w:r>
          </w:p>
        </w:tc>
        <w:tc>
          <w:tcPr>
            <w:tcW w:w="902" w:type="dxa"/>
            <w:noWrap w:val="0"/>
            <w:vAlign w:val="center"/>
          </w:tcPr>
          <w:p>
            <w:pPr>
              <w:rPr>
                <w:rFonts w:hint="eastAsia" w:ascii="宋体" w:hAnsi="宋体" w:eastAsia="宋体" w:cs="宋体"/>
                <w:kern w:val="0"/>
                <w:sz w:val="24"/>
                <w:szCs w:val="24"/>
                <w:highlight w:val="none"/>
              </w:rPr>
            </w:pPr>
          </w:p>
        </w:tc>
        <w:tc>
          <w:tcPr>
            <w:tcW w:w="3423" w:type="dxa"/>
            <w:noWrap w:val="0"/>
            <w:vAlign w:val="center"/>
          </w:tcPr>
          <w:p>
            <w:pPr>
              <w:rPr>
                <w:rFonts w:hint="eastAsia" w:ascii="宋体" w:hAnsi="宋体" w:eastAsia="宋体" w:cs="宋体"/>
                <w:kern w:val="0"/>
                <w:sz w:val="24"/>
                <w:szCs w:val="24"/>
                <w:highlight w:val="none"/>
              </w:rPr>
            </w:pPr>
          </w:p>
        </w:tc>
        <w:tc>
          <w:tcPr>
            <w:tcW w:w="2197" w:type="dxa"/>
            <w:noWrap w:val="0"/>
            <w:vAlign w:val="center"/>
          </w:tcPr>
          <w:p>
            <w:pPr>
              <w:rPr>
                <w:rFonts w:hint="eastAsia" w:ascii="宋体" w:hAnsi="宋体" w:eastAsia="宋体" w:cs="宋体"/>
                <w:kern w:val="0"/>
                <w:sz w:val="24"/>
                <w:szCs w:val="24"/>
                <w:highlight w:val="none"/>
              </w:rPr>
            </w:pPr>
          </w:p>
        </w:tc>
        <w:tc>
          <w:tcPr>
            <w:tcW w:w="727" w:type="dxa"/>
            <w:noWrap w:val="0"/>
            <w:vAlign w:val="center"/>
          </w:tcPr>
          <w:p>
            <w:pPr>
              <w:rPr>
                <w:rFonts w:hint="eastAsia" w:ascii="宋体" w:hAnsi="宋体" w:eastAsia="宋体" w:cs="宋体"/>
                <w:kern w:val="0"/>
                <w:sz w:val="24"/>
                <w:szCs w:val="24"/>
                <w:highlight w:val="none"/>
              </w:rPr>
            </w:pPr>
          </w:p>
        </w:tc>
        <w:tc>
          <w:tcPr>
            <w:tcW w:w="1260" w:type="dxa"/>
            <w:noWrap w:val="0"/>
            <w:vAlign w:val="top"/>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w:t>
            </w:r>
          </w:p>
        </w:tc>
        <w:tc>
          <w:tcPr>
            <w:tcW w:w="902" w:type="dxa"/>
            <w:noWrap w:val="0"/>
            <w:vAlign w:val="center"/>
          </w:tcPr>
          <w:p>
            <w:pPr>
              <w:rPr>
                <w:rFonts w:hint="eastAsia" w:ascii="宋体" w:hAnsi="宋体" w:eastAsia="宋体" w:cs="宋体"/>
                <w:kern w:val="0"/>
                <w:sz w:val="24"/>
                <w:szCs w:val="24"/>
                <w:highlight w:val="none"/>
              </w:rPr>
            </w:pPr>
          </w:p>
        </w:tc>
        <w:tc>
          <w:tcPr>
            <w:tcW w:w="3423" w:type="dxa"/>
            <w:noWrap w:val="0"/>
            <w:vAlign w:val="center"/>
          </w:tcPr>
          <w:p>
            <w:pPr>
              <w:rPr>
                <w:rFonts w:hint="eastAsia" w:ascii="宋体" w:hAnsi="宋体" w:eastAsia="宋体" w:cs="宋体"/>
                <w:kern w:val="0"/>
                <w:sz w:val="24"/>
                <w:szCs w:val="24"/>
                <w:highlight w:val="none"/>
              </w:rPr>
            </w:pPr>
          </w:p>
        </w:tc>
        <w:tc>
          <w:tcPr>
            <w:tcW w:w="2197" w:type="dxa"/>
            <w:noWrap w:val="0"/>
            <w:vAlign w:val="center"/>
          </w:tcPr>
          <w:p>
            <w:pPr>
              <w:rPr>
                <w:rFonts w:hint="eastAsia" w:ascii="宋体" w:hAnsi="宋体" w:eastAsia="宋体" w:cs="宋体"/>
                <w:kern w:val="0"/>
                <w:sz w:val="24"/>
                <w:szCs w:val="24"/>
                <w:highlight w:val="none"/>
              </w:rPr>
            </w:pPr>
          </w:p>
        </w:tc>
        <w:tc>
          <w:tcPr>
            <w:tcW w:w="727" w:type="dxa"/>
            <w:noWrap w:val="0"/>
            <w:vAlign w:val="center"/>
          </w:tcPr>
          <w:p>
            <w:pPr>
              <w:rPr>
                <w:rFonts w:hint="eastAsia" w:ascii="宋体" w:hAnsi="宋体" w:eastAsia="宋体" w:cs="宋体"/>
                <w:kern w:val="0"/>
                <w:sz w:val="24"/>
                <w:szCs w:val="24"/>
                <w:highlight w:val="none"/>
              </w:rPr>
            </w:pPr>
          </w:p>
        </w:tc>
        <w:tc>
          <w:tcPr>
            <w:tcW w:w="1260" w:type="dxa"/>
            <w:noWrap w:val="0"/>
            <w:vAlign w:val="top"/>
          </w:tcPr>
          <w:p>
            <w:pPr>
              <w:rPr>
                <w:rFonts w:hint="eastAsia" w:ascii="宋体" w:hAnsi="宋体" w:eastAsia="宋体" w:cs="宋体"/>
                <w:kern w:val="0"/>
                <w:sz w:val="24"/>
                <w:szCs w:val="24"/>
                <w:highlight w:val="none"/>
              </w:rPr>
            </w:pPr>
          </w:p>
        </w:tc>
      </w:tr>
    </w:tbl>
    <w:p>
      <w:pPr>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注：1.投标供应商必须对应《磋商内容》的内容逐条响应。清单必须与《报价明细表》一致</w:t>
      </w:r>
      <w:r>
        <w:rPr>
          <w:rFonts w:hint="eastAsia" w:ascii="宋体" w:hAnsi="宋体" w:cs="宋体"/>
          <w:kern w:val="0"/>
          <w:sz w:val="24"/>
          <w:szCs w:val="24"/>
          <w:highlight w:val="none"/>
          <w:lang w:eastAsia="zh-CN"/>
        </w:rPr>
        <w:t>；</w:t>
      </w:r>
    </w:p>
    <w:p>
      <w:pPr>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2.投标供应商响应招标需求应具体、明确，含糊不清、不确切或伪造、变造证明材料的，按照不完全响应或者完全不响应处理。构成提供虚假材料的，移送监管部门查处</w:t>
      </w:r>
      <w:r>
        <w:rPr>
          <w:rFonts w:hint="eastAsia" w:ascii="宋体" w:hAnsi="宋体" w:cs="宋体"/>
          <w:kern w:val="0"/>
          <w:sz w:val="24"/>
          <w:szCs w:val="24"/>
          <w:highlight w:val="none"/>
          <w:lang w:eastAsia="zh-CN"/>
        </w:rPr>
        <w:t>；</w:t>
      </w:r>
    </w:p>
    <w:p>
      <w:pPr>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3.说明：在偏离项必须注明正偏离、负偏离或无偏离。</w:t>
      </w:r>
    </w:p>
    <w:p>
      <w:pPr>
        <w:rPr>
          <w:rFonts w:hint="eastAsia" w:ascii="宋体" w:hAnsi="宋体" w:eastAsia="宋体" w:cs="宋体"/>
          <w:szCs w:val="21"/>
          <w:highlight w:val="none"/>
          <w:lang w:val="en-GB"/>
        </w:rPr>
      </w:pPr>
    </w:p>
    <w:p>
      <w:pP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1.3</w:t>
      </w:r>
      <w:r>
        <w:rPr>
          <w:rFonts w:hint="eastAsia" w:ascii="宋体" w:hAnsi="宋体" w:cs="宋体"/>
          <w:b/>
          <w:kern w:val="0"/>
          <w:sz w:val="24"/>
          <w:szCs w:val="24"/>
          <w:highlight w:val="none"/>
          <w:lang w:val="en-US" w:eastAsia="zh-CN"/>
        </w:rPr>
        <w:t xml:space="preserve">  实施方案</w:t>
      </w:r>
      <w:r>
        <w:rPr>
          <w:rFonts w:hint="eastAsia" w:ascii="宋体" w:hAnsi="宋体" w:cs="宋体"/>
          <w:b/>
          <w:kern w:val="0"/>
          <w:sz w:val="24"/>
          <w:szCs w:val="24"/>
          <w:highlight w:val="none"/>
          <w:lang w:eastAsia="zh-CN"/>
        </w:rPr>
        <w:t>：</w:t>
      </w:r>
      <w:r>
        <w:rPr>
          <w:rFonts w:hint="eastAsia" w:ascii="宋体" w:hAnsi="宋体" w:eastAsia="宋体" w:cs="宋体"/>
          <w:kern w:val="0"/>
          <w:sz w:val="24"/>
          <w:szCs w:val="24"/>
          <w:highlight w:val="none"/>
        </w:rPr>
        <w:t>主要根据《</w:t>
      </w:r>
      <w:r>
        <w:rPr>
          <w:rFonts w:hint="eastAsia" w:ascii="宋体" w:hAnsi="宋体" w:cs="宋体"/>
          <w:kern w:val="0"/>
          <w:sz w:val="24"/>
          <w:szCs w:val="24"/>
          <w:highlight w:val="none"/>
          <w:lang w:val="en-US" w:eastAsia="zh-CN"/>
        </w:rPr>
        <w:t>磋商内容</w:t>
      </w:r>
      <w:r>
        <w:rPr>
          <w:rFonts w:hint="eastAsia" w:ascii="宋体" w:hAnsi="宋体" w:eastAsia="宋体" w:cs="宋体"/>
          <w:kern w:val="0"/>
          <w:sz w:val="24"/>
          <w:szCs w:val="24"/>
          <w:highlight w:val="none"/>
        </w:rPr>
        <w:t>》的要求</w:t>
      </w:r>
      <w:r>
        <w:rPr>
          <w:rFonts w:hint="eastAsia" w:ascii="宋体" w:hAnsi="宋体" w:cs="宋体"/>
          <w:kern w:val="0"/>
          <w:sz w:val="24"/>
          <w:szCs w:val="24"/>
          <w:highlight w:val="none"/>
          <w:lang w:eastAsia="zh-CN"/>
        </w:rPr>
        <w:t>和详细评审表编制</w:t>
      </w:r>
      <w:r>
        <w:rPr>
          <w:rFonts w:hint="eastAsia" w:ascii="宋体" w:hAnsi="宋体" w:eastAsia="宋体" w:cs="宋体"/>
          <w:kern w:val="0"/>
          <w:sz w:val="24"/>
          <w:szCs w:val="24"/>
          <w:highlight w:val="none"/>
        </w:rPr>
        <w:t>（格式自定）</w:t>
      </w:r>
    </w:p>
    <w:p>
      <w:pPr>
        <w:pStyle w:val="21"/>
        <w:spacing w:before="4" w:line="360" w:lineRule="exact"/>
        <w:ind w:left="4" w:right="129"/>
        <w:rPr>
          <w:rFonts w:hint="eastAsia" w:ascii="宋体" w:hAnsi="宋体" w:eastAsia="宋体" w:cs="宋体"/>
          <w:b/>
          <w:kern w:val="0"/>
          <w:sz w:val="24"/>
          <w:szCs w:val="24"/>
          <w:highlight w:val="none"/>
          <w:lang w:eastAsia="zh-CN"/>
        </w:rPr>
      </w:pPr>
      <w:r>
        <w:rPr>
          <w:rFonts w:hint="eastAsia" w:ascii="宋体" w:hAnsi="宋体" w:eastAsia="宋体" w:cs="宋体"/>
          <w:b/>
          <w:kern w:val="0"/>
          <w:sz w:val="24"/>
          <w:szCs w:val="24"/>
          <w:highlight w:val="none"/>
        </w:rPr>
        <w:t>1.</w:t>
      </w:r>
      <w:r>
        <w:rPr>
          <w:rFonts w:hint="eastAsia" w:ascii="宋体" w:hAnsi="宋体" w:cs="宋体"/>
          <w:b/>
          <w:kern w:val="0"/>
          <w:sz w:val="24"/>
          <w:szCs w:val="24"/>
          <w:highlight w:val="none"/>
          <w:lang w:val="en-US" w:eastAsia="zh-CN"/>
        </w:rPr>
        <w:t>4  培训方案</w:t>
      </w:r>
      <w:r>
        <w:rPr>
          <w:rFonts w:hint="eastAsia" w:ascii="宋体" w:hAnsi="宋体" w:cs="宋体"/>
          <w:b/>
          <w:kern w:val="0"/>
          <w:sz w:val="24"/>
          <w:szCs w:val="24"/>
          <w:highlight w:val="none"/>
          <w:lang w:eastAsia="zh-CN"/>
        </w:rPr>
        <w:t>：</w:t>
      </w:r>
      <w:r>
        <w:rPr>
          <w:rFonts w:hint="eastAsia" w:ascii="宋体" w:hAnsi="宋体" w:eastAsia="宋体" w:cs="宋体"/>
          <w:kern w:val="0"/>
          <w:sz w:val="24"/>
          <w:szCs w:val="24"/>
          <w:highlight w:val="none"/>
        </w:rPr>
        <w:t>主要根据《</w:t>
      </w:r>
      <w:r>
        <w:rPr>
          <w:rFonts w:hint="eastAsia" w:ascii="宋体" w:hAnsi="宋体" w:cs="宋体"/>
          <w:kern w:val="0"/>
          <w:sz w:val="24"/>
          <w:szCs w:val="24"/>
          <w:highlight w:val="none"/>
          <w:lang w:val="en-US" w:eastAsia="zh-CN"/>
        </w:rPr>
        <w:t>磋商内容</w:t>
      </w:r>
      <w:r>
        <w:rPr>
          <w:rFonts w:hint="eastAsia" w:ascii="宋体" w:hAnsi="宋体" w:eastAsia="宋体" w:cs="宋体"/>
          <w:kern w:val="0"/>
          <w:sz w:val="24"/>
          <w:szCs w:val="24"/>
          <w:highlight w:val="none"/>
        </w:rPr>
        <w:t>》的要求</w:t>
      </w:r>
      <w:r>
        <w:rPr>
          <w:rFonts w:hint="eastAsia" w:ascii="宋体" w:hAnsi="宋体" w:cs="宋体"/>
          <w:kern w:val="0"/>
          <w:sz w:val="24"/>
          <w:szCs w:val="24"/>
          <w:highlight w:val="none"/>
          <w:lang w:eastAsia="zh-CN"/>
        </w:rPr>
        <w:t>和详细评审表编制</w:t>
      </w:r>
      <w:r>
        <w:rPr>
          <w:rFonts w:hint="eastAsia" w:ascii="宋体" w:hAnsi="宋体" w:eastAsia="宋体" w:cs="宋体"/>
          <w:kern w:val="0"/>
          <w:sz w:val="24"/>
          <w:szCs w:val="24"/>
          <w:highlight w:val="none"/>
        </w:rPr>
        <w:t>（格式自定）</w:t>
      </w:r>
    </w:p>
    <w:p>
      <w:pPr>
        <w:pStyle w:val="21"/>
        <w:spacing w:before="4" w:line="360" w:lineRule="exact"/>
        <w:ind w:left="4" w:right="129"/>
        <w:rPr>
          <w:rFonts w:hint="eastAsia" w:ascii="宋体" w:hAnsi="宋体" w:eastAsia="宋体" w:cs="宋体"/>
          <w:kern w:val="0"/>
          <w:sz w:val="24"/>
          <w:szCs w:val="24"/>
          <w:highlight w:val="none"/>
        </w:rPr>
      </w:pPr>
      <w:r>
        <w:rPr>
          <w:rFonts w:hint="eastAsia" w:ascii="宋体" w:hAnsi="宋体" w:cs="宋体"/>
          <w:b/>
          <w:kern w:val="0"/>
          <w:sz w:val="24"/>
          <w:szCs w:val="24"/>
          <w:highlight w:val="none"/>
          <w:lang w:val="en-US" w:eastAsia="zh-CN"/>
        </w:rPr>
        <w:t xml:space="preserve">1.5  </w:t>
      </w:r>
      <w:r>
        <w:rPr>
          <w:rFonts w:hint="eastAsia" w:ascii="宋体" w:hAnsi="宋体" w:eastAsia="宋体" w:cs="宋体"/>
          <w:b/>
          <w:kern w:val="0"/>
          <w:sz w:val="24"/>
          <w:szCs w:val="24"/>
          <w:highlight w:val="none"/>
          <w:lang w:val="en-US" w:eastAsia="zh-CN"/>
        </w:rPr>
        <w:t>系统及数据安全保障</w:t>
      </w:r>
      <w:r>
        <w:rPr>
          <w:rFonts w:hint="eastAsia" w:ascii="宋体" w:hAnsi="宋体" w:cs="宋体"/>
          <w:b/>
          <w:kern w:val="0"/>
          <w:sz w:val="24"/>
          <w:szCs w:val="24"/>
          <w:highlight w:val="none"/>
          <w:lang w:val="en-US" w:eastAsia="zh-CN"/>
        </w:rPr>
        <w:t>：</w:t>
      </w:r>
      <w:r>
        <w:rPr>
          <w:rFonts w:hint="eastAsia" w:ascii="宋体" w:hAnsi="宋体" w:eastAsia="宋体" w:cs="宋体"/>
          <w:kern w:val="0"/>
          <w:sz w:val="24"/>
          <w:szCs w:val="24"/>
          <w:highlight w:val="none"/>
        </w:rPr>
        <w:t>主要根据《</w:t>
      </w:r>
      <w:r>
        <w:rPr>
          <w:rFonts w:hint="eastAsia" w:ascii="宋体" w:hAnsi="宋体" w:cs="宋体"/>
          <w:kern w:val="0"/>
          <w:sz w:val="24"/>
          <w:szCs w:val="24"/>
          <w:highlight w:val="none"/>
          <w:lang w:val="en-US" w:eastAsia="zh-CN"/>
        </w:rPr>
        <w:t>磋商内容</w:t>
      </w:r>
      <w:r>
        <w:rPr>
          <w:rFonts w:hint="eastAsia" w:ascii="宋体" w:hAnsi="宋体" w:eastAsia="宋体" w:cs="宋体"/>
          <w:kern w:val="0"/>
          <w:sz w:val="24"/>
          <w:szCs w:val="24"/>
          <w:highlight w:val="none"/>
        </w:rPr>
        <w:t>》的要求</w:t>
      </w:r>
      <w:r>
        <w:rPr>
          <w:rFonts w:hint="eastAsia" w:ascii="宋体" w:hAnsi="宋体" w:cs="宋体"/>
          <w:kern w:val="0"/>
          <w:sz w:val="24"/>
          <w:szCs w:val="24"/>
          <w:highlight w:val="none"/>
          <w:lang w:eastAsia="zh-CN"/>
        </w:rPr>
        <w:t>和详细评审表编制</w:t>
      </w:r>
      <w:r>
        <w:rPr>
          <w:rFonts w:hint="eastAsia" w:ascii="宋体" w:hAnsi="宋体" w:eastAsia="宋体" w:cs="宋体"/>
          <w:kern w:val="0"/>
          <w:sz w:val="24"/>
          <w:szCs w:val="24"/>
          <w:highlight w:val="none"/>
        </w:rPr>
        <w:t>（格式自定）</w:t>
      </w:r>
    </w:p>
    <w:p>
      <w:pPr>
        <w:rPr>
          <w:rFonts w:hint="eastAsia" w:ascii="宋体" w:hAnsi="宋体" w:eastAsia="宋体" w:cs="宋体"/>
          <w:b/>
          <w:kern w:val="0"/>
          <w:sz w:val="24"/>
          <w:szCs w:val="24"/>
          <w:highlight w:val="none"/>
          <w:lang w:eastAsia="zh-CN"/>
        </w:rPr>
      </w:pPr>
      <w:r>
        <w:rPr>
          <w:rFonts w:hint="eastAsia" w:ascii="宋体" w:hAnsi="宋体" w:cs="宋体"/>
          <w:b/>
          <w:kern w:val="0"/>
          <w:sz w:val="24"/>
          <w:szCs w:val="24"/>
          <w:highlight w:val="none"/>
          <w:lang w:val="en-US" w:eastAsia="zh-CN"/>
        </w:rPr>
        <w:t xml:space="preserve">1.6  </w:t>
      </w:r>
      <w:r>
        <w:rPr>
          <w:rFonts w:hint="eastAsia" w:ascii="宋体" w:hAnsi="宋体" w:eastAsia="宋体" w:cs="宋体"/>
          <w:b/>
          <w:kern w:val="0"/>
          <w:sz w:val="24"/>
          <w:szCs w:val="24"/>
          <w:highlight w:val="none"/>
        </w:rPr>
        <w:t>投标供应商认为必要说明的其他内容</w:t>
      </w:r>
      <w:r>
        <w:rPr>
          <w:rFonts w:hint="eastAsia" w:ascii="宋体" w:hAnsi="宋体" w:cs="宋体"/>
          <w:b/>
          <w:kern w:val="0"/>
          <w:sz w:val="24"/>
          <w:szCs w:val="24"/>
          <w:highlight w:val="none"/>
          <w:lang w:eastAsia="zh-CN"/>
        </w:rPr>
        <w:t>（根据采购需求和详细评审表</w:t>
      </w:r>
      <w:r>
        <w:rPr>
          <w:rFonts w:hint="eastAsia" w:ascii="宋体" w:hAnsi="宋体" w:cs="宋体"/>
          <w:b/>
          <w:kern w:val="0"/>
          <w:sz w:val="24"/>
          <w:szCs w:val="24"/>
          <w:highlight w:val="none"/>
          <w:lang w:val="en-US" w:eastAsia="zh-CN"/>
        </w:rPr>
        <w:t>编制</w:t>
      </w:r>
      <w:r>
        <w:rPr>
          <w:rFonts w:hint="eastAsia" w:ascii="宋体" w:hAnsi="宋体" w:cs="宋体"/>
          <w:b/>
          <w:kern w:val="0"/>
          <w:sz w:val="24"/>
          <w:szCs w:val="24"/>
          <w:highlight w:val="none"/>
          <w:lang w:eastAsia="zh-CN"/>
        </w:rPr>
        <w:t>）</w:t>
      </w:r>
    </w:p>
    <w:p>
      <w:pPr>
        <w:rPr>
          <w:rFonts w:hint="eastAsia" w:ascii="宋体" w:hAnsi="宋体" w:eastAsia="宋体" w:cs="宋体"/>
          <w:szCs w:val="21"/>
          <w:highlight w:val="none"/>
          <w:lang w:val="en-GB"/>
        </w:rPr>
      </w:pPr>
    </w:p>
    <w:p>
      <w:pPr>
        <w:rPr>
          <w:rFonts w:hint="eastAsia" w:ascii="宋体" w:hAnsi="宋体" w:eastAsia="宋体" w:cs="宋体"/>
          <w:szCs w:val="21"/>
          <w:highlight w:val="none"/>
          <w:lang w:val="en-GB"/>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szCs w:val="21"/>
          <w:highlight w:val="none"/>
        </w:rPr>
      </w:pPr>
      <w:r>
        <w:rPr>
          <w:rFonts w:hint="eastAsia" w:ascii="宋体" w:hAnsi="宋体" w:eastAsia="宋体" w:cs="宋体"/>
          <w:b/>
          <w:szCs w:val="21"/>
          <w:highlight w:val="none"/>
        </w:rPr>
        <w:br w:type="page"/>
      </w:r>
      <w:r>
        <w:rPr>
          <w:rFonts w:hint="eastAsia" w:ascii="宋体" w:hAnsi="宋体" w:eastAsia="宋体" w:cs="宋体"/>
          <w:b/>
          <w:kern w:val="0"/>
          <w:sz w:val="24"/>
          <w:szCs w:val="24"/>
          <w:highlight w:val="none"/>
        </w:rPr>
        <w:t>2</w:t>
      </w:r>
      <w:r>
        <w:rPr>
          <w:rFonts w:hint="eastAsia" w:ascii="宋体" w:hAnsi="宋体" w:eastAsia="宋体" w:cs="宋体"/>
          <w:b/>
          <w:kern w:val="0"/>
          <w:sz w:val="24"/>
          <w:szCs w:val="24"/>
          <w:highlight w:val="none"/>
        </w:rPr>
        <w:tab/>
      </w:r>
      <w:r>
        <w:rPr>
          <w:rFonts w:hint="eastAsia" w:ascii="宋体" w:hAnsi="宋体" w:eastAsia="宋体" w:cs="宋体"/>
          <w:b/>
          <w:kern w:val="0"/>
          <w:sz w:val="24"/>
          <w:szCs w:val="24"/>
          <w:highlight w:val="none"/>
        </w:rPr>
        <w:t>拟任执行管理及技术人员情况</w:t>
      </w:r>
    </w:p>
    <w:tbl>
      <w:tblPr>
        <w:tblStyle w:val="17"/>
        <w:tblW w:w="10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2"/>
        <w:gridCol w:w="1040"/>
        <w:gridCol w:w="959"/>
        <w:gridCol w:w="2621"/>
        <w:gridCol w:w="697"/>
        <w:gridCol w:w="697"/>
        <w:gridCol w:w="1567"/>
        <w:gridCol w:w="1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42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职责分工</w:t>
            </w:r>
          </w:p>
        </w:tc>
        <w:tc>
          <w:tcPr>
            <w:tcW w:w="10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姓名</w:t>
            </w:r>
          </w:p>
        </w:tc>
        <w:tc>
          <w:tcPr>
            <w:tcW w:w="959" w:type="dxa"/>
            <w:tcBorders>
              <w:top w:val="single" w:color="auto" w:sz="4" w:space="0"/>
              <w:left w:val="single" w:color="auto" w:sz="4" w:space="0"/>
              <w:bottom w:val="single" w:color="auto" w:sz="4" w:space="0"/>
            </w:tcBorders>
            <w:noWrap w:val="0"/>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现职务</w:t>
            </w:r>
          </w:p>
        </w:tc>
        <w:tc>
          <w:tcPr>
            <w:tcW w:w="2621" w:type="dxa"/>
            <w:tcBorders>
              <w:top w:val="single" w:color="auto" w:sz="4" w:space="0"/>
              <w:bottom w:val="single" w:color="auto" w:sz="4" w:space="0"/>
            </w:tcBorders>
            <w:noWrap w:val="0"/>
            <w:vAlign w:val="center"/>
          </w:tcPr>
          <w:p>
            <w:pPr>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参与的</w:t>
            </w:r>
          </w:p>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同类项目经历</w:t>
            </w:r>
          </w:p>
        </w:tc>
        <w:tc>
          <w:tcPr>
            <w:tcW w:w="697" w:type="dxa"/>
            <w:tcBorders>
              <w:top w:val="single" w:color="auto" w:sz="4" w:space="0"/>
              <w:bottom w:val="single" w:color="auto" w:sz="4" w:space="0"/>
            </w:tcBorders>
            <w:noWrap w:val="0"/>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职称</w:t>
            </w:r>
          </w:p>
        </w:tc>
        <w:tc>
          <w:tcPr>
            <w:tcW w:w="697" w:type="dxa"/>
            <w:tcBorders>
              <w:top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专业工龄</w:t>
            </w:r>
          </w:p>
        </w:tc>
        <w:tc>
          <w:tcPr>
            <w:tcW w:w="1567" w:type="dxa"/>
            <w:tcBorders>
              <w:top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联系电话</w:t>
            </w:r>
          </w:p>
        </w:tc>
        <w:tc>
          <w:tcPr>
            <w:tcW w:w="1567" w:type="dxa"/>
            <w:tcBorders>
              <w:top w:val="single" w:color="auto" w:sz="4" w:space="0"/>
              <w:bottom w:val="single" w:color="auto" w:sz="4" w:space="0"/>
              <w:right w:val="single" w:color="auto" w:sz="4" w:space="0"/>
            </w:tcBorders>
            <w:noWrap w:val="0"/>
            <w:vAlign w:val="center"/>
          </w:tcPr>
          <w:p>
            <w:pPr>
              <w:jc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是否为驻场人员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exact"/>
          <w:jc w:val="center"/>
        </w:trPr>
        <w:tc>
          <w:tcPr>
            <w:tcW w:w="1422" w:type="dxa"/>
            <w:tcBorders>
              <w:top w:val="single" w:color="auto" w:sz="4" w:space="0"/>
              <w:left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项目负责人</w:t>
            </w:r>
          </w:p>
        </w:tc>
        <w:tc>
          <w:tcPr>
            <w:tcW w:w="1040" w:type="dxa"/>
            <w:tcBorders>
              <w:top w:val="single" w:color="auto" w:sz="4" w:space="0"/>
              <w:left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959" w:type="dxa"/>
            <w:tcBorders>
              <w:top w:val="single" w:color="auto" w:sz="4" w:space="0"/>
              <w:left w:val="single" w:color="auto" w:sz="4" w:space="0"/>
              <w:bottom w:val="nil"/>
            </w:tcBorders>
            <w:noWrap w:val="0"/>
            <w:vAlign w:val="center"/>
          </w:tcPr>
          <w:p>
            <w:pPr>
              <w:jc w:val="center"/>
              <w:rPr>
                <w:rFonts w:hint="eastAsia" w:ascii="宋体" w:hAnsi="宋体" w:eastAsia="宋体" w:cs="宋体"/>
                <w:color w:val="auto"/>
                <w:kern w:val="0"/>
                <w:sz w:val="24"/>
                <w:szCs w:val="24"/>
                <w:highlight w:val="none"/>
              </w:rPr>
            </w:pPr>
          </w:p>
        </w:tc>
        <w:tc>
          <w:tcPr>
            <w:tcW w:w="2621" w:type="dxa"/>
            <w:tcBorders>
              <w:top w:val="single" w:color="auto" w:sz="4" w:space="0"/>
              <w:bottom w:val="nil"/>
            </w:tcBorders>
            <w:noWrap w:val="0"/>
            <w:vAlign w:val="center"/>
          </w:tcPr>
          <w:p>
            <w:pPr>
              <w:jc w:val="center"/>
              <w:rPr>
                <w:rFonts w:hint="eastAsia" w:ascii="宋体" w:hAnsi="宋体" w:eastAsia="宋体" w:cs="宋体"/>
                <w:color w:val="auto"/>
                <w:kern w:val="0"/>
                <w:sz w:val="24"/>
                <w:szCs w:val="24"/>
                <w:highlight w:val="none"/>
              </w:rPr>
            </w:pPr>
          </w:p>
        </w:tc>
        <w:tc>
          <w:tcPr>
            <w:tcW w:w="697" w:type="dxa"/>
            <w:tcBorders>
              <w:top w:val="single" w:color="auto" w:sz="4" w:space="0"/>
              <w:bottom w:val="nil"/>
            </w:tcBorders>
            <w:noWrap w:val="0"/>
            <w:vAlign w:val="center"/>
          </w:tcPr>
          <w:p>
            <w:pPr>
              <w:jc w:val="center"/>
              <w:rPr>
                <w:rFonts w:hint="eastAsia" w:ascii="宋体" w:hAnsi="宋体" w:eastAsia="宋体" w:cs="宋体"/>
                <w:color w:val="auto"/>
                <w:kern w:val="0"/>
                <w:sz w:val="24"/>
                <w:szCs w:val="24"/>
                <w:highlight w:val="none"/>
              </w:rPr>
            </w:pPr>
          </w:p>
        </w:tc>
        <w:tc>
          <w:tcPr>
            <w:tcW w:w="697" w:type="dxa"/>
            <w:tcBorders>
              <w:top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567" w:type="dxa"/>
            <w:tcBorders>
              <w:top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567" w:type="dxa"/>
            <w:tcBorders>
              <w:top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exact"/>
          <w:jc w:val="center"/>
        </w:trPr>
        <w:tc>
          <w:tcPr>
            <w:tcW w:w="1422" w:type="dxa"/>
            <w:vMerge w:val="restart"/>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项目</w:t>
            </w:r>
            <w:r>
              <w:rPr>
                <w:rFonts w:hint="eastAsia" w:ascii="宋体" w:hAnsi="宋体" w:cs="宋体"/>
                <w:color w:val="auto"/>
                <w:kern w:val="0"/>
                <w:sz w:val="24"/>
                <w:szCs w:val="24"/>
                <w:highlight w:val="none"/>
                <w:lang w:val="en-US" w:eastAsia="zh-CN"/>
              </w:rPr>
              <w:t>专业人员</w:t>
            </w:r>
          </w:p>
        </w:tc>
        <w:tc>
          <w:tcPr>
            <w:tcW w:w="1040" w:type="dxa"/>
            <w:tcBorders>
              <w:top w:val="single" w:color="auto" w:sz="4" w:space="0"/>
              <w:left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959" w:type="dxa"/>
            <w:tcBorders>
              <w:top w:val="single" w:color="auto" w:sz="4" w:space="0"/>
              <w:left w:val="single" w:color="auto" w:sz="4" w:space="0"/>
              <w:bottom w:val="nil"/>
            </w:tcBorders>
            <w:noWrap w:val="0"/>
            <w:vAlign w:val="center"/>
          </w:tcPr>
          <w:p>
            <w:pPr>
              <w:jc w:val="center"/>
              <w:rPr>
                <w:rFonts w:hint="eastAsia" w:ascii="宋体" w:hAnsi="宋体" w:eastAsia="宋体" w:cs="宋体"/>
                <w:color w:val="auto"/>
                <w:kern w:val="0"/>
                <w:sz w:val="24"/>
                <w:szCs w:val="24"/>
                <w:highlight w:val="none"/>
              </w:rPr>
            </w:pPr>
          </w:p>
        </w:tc>
        <w:tc>
          <w:tcPr>
            <w:tcW w:w="2621" w:type="dxa"/>
            <w:tcBorders>
              <w:top w:val="single" w:color="auto" w:sz="4" w:space="0"/>
              <w:bottom w:val="nil"/>
            </w:tcBorders>
            <w:noWrap w:val="0"/>
            <w:vAlign w:val="center"/>
          </w:tcPr>
          <w:p>
            <w:pPr>
              <w:jc w:val="center"/>
              <w:rPr>
                <w:rFonts w:hint="eastAsia" w:ascii="宋体" w:hAnsi="宋体" w:eastAsia="宋体" w:cs="宋体"/>
                <w:color w:val="auto"/>
                <w:kern w:val="0"/>
                <w:sz w:val="24"/>
                <w:szCs w:val="24"/>
                <w:highlight w:val="none"/>
              </w:rPr>
            </w:pPr>
          </w:p>
        </w:tc>
        <w:tc>
          <w:tcPr>
            <w:tcW w:w="697" w:type="dxa"/>
            <w:tcBorders>
              <w:top w:val="single" w:color="auto" w:sz="4" w:space="0"/>
              <w:bottom w:val="nil"/>
            </w:tcBorders>
            <w:noWrap w:val="0"/>
            <w:vAlign w:val="center"/>
          </w:tcPr>
          <w:p>
            <w:pPr>
              <w:jc w:val="center"/>
              <w:rPr>
                <w:rFonts w:hint="eastAsia" w:ascii="宋体" w:hAnsi="宋体" w:eastAsia="宋体" w:cs="宋体"/>
                <w:color w:val="auto"/>
                <w:kern w:val="0"/>
                <w:sz w:val="24"/>
                <w:szCs w:val="24"/>
                <w:highlight w:val="none"/>
              </w:rPr>
            </w:pPr>
          </w:p>
        </w:tc>
        <w:tc>
          <w:tcPr>
            <w:tcW w:w="697" w:type="dxa"/>
            <w:tcBorders>
              <w:top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567" w:type="dxa"/>
            <w:tcBorders>
              <w:top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567" w:type="dxa"/>
            <w:tcBorders>
              <w:top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exact"/>
          <w:jc w:val="center"/>
        </w:trPr>
        <w:tc>
          <w:tcPr>
            <w:tcW w:w="1422" w:type="dxa"/>
            <w:vMerge w:val="continue"/>
            <w:tcBorders>
              <w:left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040" w:type="dxa"/>
            <w:tcBorders>
              <w:top w:val="single" w:color="auto" w:sz="4" w:space="0"/>
              <w:left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959" w:type="dxa"/>
            <w:tcBorders>
              <w:top w:val="single" w:color="auto" w:sz="4" w:space="0"/>
              <w:left w:val="single" w:color="auto" w:sz="4" w:space="0"/>
              <w:bottom w:val="nil"/>
            </w:tcBorders>
            <w:noWrap w:val="0"/>
            <w:vAlign w:val="center"/>
          </w:tcPr>
          <w:p>
            <w:pPr>
              <w:jc w:val="center"/>
              <w:rPr>
                <w:rFonts w:hint="eastAsia" w:ascii="宋体" w:hAnsi="宋体" w:eastAsia="宋体" w:cs="宋体"/>
                <w:color w:val="auto"/>
                <w:kern w:val="0"/>
                <w:sz w:val="24"/>
                <w:szCs w:val="24"/>
                <w:highlight w:val="none"/>
              </w:rPr>
            </w:pPr>
          </w:p>
        </w:tc>
        <w:tc>
          <w:tcPr>
            <w:tcW w:w="2621" w:type="dxa"/>
            <w:tcBorders>
              <w:top w:val="single" w:color="auto" w:sz="4" w:space="0"/>
              <w:bottom w:val="nil"/>
            </w:tcBorders>
            <w:noWrap w:val="0"/>
            <w:vAlign w:val="center"/>
          </w:tcPr>
          <w:p>
            <w:pPr>
              <w:jc w:val="center"/>
              <w:rPr>
                <w:rFonts w:hint="eastAsia" w:ascii="宋体" w:hAnsi="宋体" w:eastAsia="宋体" w:cs="宋体"/>
                <w:color w:val="auto"/>
                <w:kern w:val="0"/>
                <w:sz w:val="24"/>
                <w:szCs w:val="24"/>
                <w:highlight w:val="none"/>
              </w:rPr>
            </w:pPr>
          </w:p>
        </w:tc>
        <w:tc>
          <w:tcPr>
            <w:tcW w:w="697" w:type="dxa"/>
            <w:tcBorders>
              <w:top w:val="single" w:color="auto" w:sz="4" w:space="0"/>
              <w:bottom w:val="nil"/>
            </w:tcBorders>
            <w:noWrap w:val="0"/>
            <w:vAlign w:val="center"/>
          </w:tcPr>
          <w:p>
            <w:pPr>
              <w:jc w:val="center"/>
              <w:rPr>
                <w:rFonts w:hint="eastAsia" w:ascii="宋体" w:hAnsi="宋体" w:eastAsia="宋体" w:cs="宋体"/>
                <w:color w:val="auto"/>
                <w:kern w:val="0"/>
                <w:sz w:val="24"/>
                <w:szCs w:val="24"/>
                <w:highlight w:val="none"/>
              </w:rPr>
            </w:pPr>
          </w:p>
        </w:tc>
        <w:tc>
          <w:tcPr>
            <w:tcW w:w="697" w:type="dxa"/>
            <w:tcBorders>
              <w:top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567" w:type="dxa"/>
            <w:tcBorders>
              <w:top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567" w:type="dxa"/>
            <w:tcBorders>
              <w:top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exact"/>
          <w:jc w:val="center"/>
        </w:trPr>
        <w:tc>
          <w:tcPr>
            <w:tcW w:w="1422" w:type="dxa"/>
            <w:vMerge w:val="continue"/>
            <w:tcBorders>
              <w:left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040" w:type="dxa"/>
            <w:tcBorders>
              <w:top w:val="single" w:color="auto" w:sz="4" w:space="0"/>
              <w:left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959" w:type="dxa"/>
            <w:tcBorders>
              <w:top w:val="single" w:color="auto" w:sz="4" w:space="0"/>
              <w:left w:val="single" w:color="auto" w:sz="4" w:space="0"/>
              <w:bottom w:val="nil"/>
            </w:tcBorders>
            <w:noWrap w:val="0"/>
            <w:vAlign w:val="center"/>
          </w:tcPr>
          <w:p>
            <w:pPr>
              <w:jc w:val="center"/>
              <w:rPr>
                <w:rFonts w:hint="eastAsia" w:ascii="宋体" w:hAnsi="宋体" w:eastAsia="宋体" w:cs="宋体"/>
                <w:color w:val="auto"/>
                <w:kern w:val="0"/>
                <w:sz w:val="24"/>
                <w:szCs w:val="24"/>
                <w:highlight w:val="none"/>
              </w:rPr>
            </w:pPr>
          </w:p>
        </w:tc>
        <w:tc>
          <w:tcPr>
            <w:tcW w:w="2621" w:type="dxa"/>
            <w:tcBorders>
              <w:top w:val="single" w:color="auto" w:sz="4" w:space="0"/>
              <w:bottom w:val="nil"/>
            </w:tcBorders>
            <w:noWrap w:val="0"/>
            <w:vAlign w:val="center"/>
          </w:tcPr>
          <w:p>
            <w:pPr>
              <w:jc w:val="center"/>
              <w:rPr>
                <w:rFonts w:hint="eastAsia" w:ascii="宋体" w:hAnsi="宋体" w:eastAsia="宋体" w:cs="宋体"/>
                <w:color w:val="auto"/>
                <w:kern w:val="0"/>
                <w:sz w:val="24"/>
                <w:szCs w:val="24"/>
                <w:highlight w:val="none"/>
              </w:rPr>
            </w:pPr>
          </w:p>
        </w:tc>
        <w:tc>
          <w:tcPr>
            <w:tcW w:w="697" w:type="dxa"/>
            <w:tcBorders>
              <w:top w:val="single" w:color="auto" w:sz="4" w:space="0"/>
              <w:bottom w:val="nil"/>
            </w:tcBorders>
            <w:noWrap w:val="0"/>
            <w:vAlign w:val="center"/>
          </w:tcPr>
          <w:p>
            <w:pPr>
              <w:jc w:val="center"/>
              <w:rPr>
                <w:rFonts w:hint="eastAsia" w:ascii="宋体" w:hAnsi="宋体" w:eastAsia="宋体" w:cs="宋体"/>
                <w:color w:val="auto"/>
                <w:kern w:val="0"/>
                <w:sz w:val="24"/>
                <w:szCs w:val="24"/>
                <w:highlight w:val="none"/>
              </w:rPr>
            </w:pPr>
          </w:p>
        </w:tc>
        <w:tc>
          <w:tcPr>
            <w:tcW w:w="697" w:type="dxa"/>
            <w:tcBorders>
              <w:top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567" w:type="dxa"/>
            <w:tcBorders>
              <w:top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567" w:type="dxa"/>
            <w:tcBorders>
              <w:top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422" w:type="dxa"/>
            <w:vMerge w:val="restart"/>
            <w:tcBorders>
              <w:left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其他主要技术人员</w:t>
            </w:r>
          </w:p>
        </w:tc>
        <w:tc>
          <w:tcPr>
            <w:tcW w:w="1040" w:type="dxa"/>
            <w:tcBorders>
              <w:left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959" w:type="dxa"/>
            <w:tcBorders>
              <w:lef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2621" w:type="dxa"/>
            <w:noWrap w:val="0"/>
            <w:vAlign w:val="center"/>
          </w:tcPr>
          <w:p>
            <w:pPr>
              <w:jc w:val="center"/>
              <w:rPr>
                <w:rFonts w:hint="eastAsia" w:ascii="宋体" w:hAnsi="宋体" w:eastAsia="宋体" w:cs="宋体"/>
                <w:color w:val="auto"/>
                <w:kern w:val="0"/>
                <w:sz w:val="24"/>
                <w:szCs w:val="24"/>
                <w:highlight w:val="none"/>
              </w:rPr>
            </w:pPr>
          </w:p>
        </w:tc>
        <w:tc>
          <w:tcPr>
            <w:tcW w:w="697" w:type="dxa"/>
            <w:noWrap w:val="0"/>
            <w:vAlign w:val="center"/>
          </w:tcPr>
          <w:p>
            <w:pPr>
              <w:jc w:val="center"/>
              <w:rPr>
                <w:rFonts w:hint="eastAsia" w:ascii="宋体" w:hAnsi="宋体" w:eastAsia="宋体" w:cs="宋体"/>
                <w:color w:val="auto"/>
                <w:kern w:val="0"/>
                <w:sz w:val="24"/>
                <w:szCs w:val="24"/>
                <w:highlight w:val="none"/>
              </w:rPr>
            </w:pPr>
          </w:p>
        </w:tc>
        <w:tc>
          <w:tcPr>
            <w:tcW w:w="697" w:type="dxa"/>
            <w:tcBorders>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567" w:type="dxa"/>
            <w:tcBorders>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567" w:type="dxa"/>
            <w:tcBorders>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422" w:type="dxa"/>
            <w:vMerge w:val="continue"/>
            <w:tcBorders>
              <w:left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040" w:type="dxa"/>
            <w:tcBorders>
              <w:left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959" w:type="dxa"/>
            <w:tcBorders>
              <w:lef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2621" w:type="dxa"/>
            <w:noWrap w:val="0"/>
            <w:vAlign w:val="center"/>
          </w:tcPr>
          <w:p>
            <w:pPr>
              <w:jc w:val="center"/>
              <w:rPr>
                <w:rFonts w:hint="eastAsia" w:ascii="宋体" w:hAnsi="宋体" w:eastAsia="宋体" w:cs="宋体"/>
                <w:color w:val="auto"/>
                <w:kern w:val="0"/>
                <w:sz w:val="24"/>
                <w:szCs w:val="24"/>
                <w:highlight w:val="none"/>
              </w:rPr>
            </w:pPr>
          </w:p>
        </w:tc>
        <w:tc>
          <w:tcPr>
            <w:tcW w:w="697" w:type="dxa"/>
            <w:noWrap w:val="0"/>
            <w:vAlign w:val="center"/>
          </w:tcPr>
          <w:p>
            <w:pPr>
              <w:jc w:val="center"/>
              <w:rPr>
                <w:rFonts w:hint="eastAsia" w:ascii="宋体" w:hAnsi="宋体" w:eastAsia="宋体" w:cs="宋体"/>
                <w:color w:val="auto"/>
                <w:kern w:val="0"/>
                <w:sz w:val="24"/>
                <w:szCs w:val="24"/>
                <w:highlight w:val="none"/>
              </w:rPr>
            </w:pPr>
          </w:p>
        </w:tc>
        <w:tc>
          <w:tcPr>
            <w:tcW w:w="697" w:type="dxa"/>
            <w:tcBorders>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567" w:type="dxa"/>
            <w:tcBorders>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567" w:type="dxa"/>
            <w:tcBorders>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422" w:type="dxa"/>
            <w:vMerge w:val="continue"/>
            <w:tcBorders>
              <w:left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040" w:type="dxa"/>
            <w:tcBorders>
              <w:left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959" w:type="dxa"/>
            <w:tcBorders>
              <w:lef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2621" w:type="dxa"/>
            <w:noWrap w:val="0"/>
            <w:vAlign w:val="center"/>
          </w:tcPr>
          <w:p>
            <w:pPr>
              <w:jc w:val="center"/>
              <w:rPr>
                <w:rFonts w:hint="eastAsia" w:ascii="宋体" w:hAnsi="宋体" w:eastAsia="宋体" w:cs="宋体"/>
                <w:color w:val="auto"/>
                <w:kern w:val="0"/>
                <w:sz w:val="24"/>
                <w:szCs w:val="24"/>
                <w:highlight w:val="none"/>
              </w:rPr>
            </w:pPr>
          </w:p>
        </w:tc>
        <w:tc>
          <w:tcPr>
            <w:tcW w:w="697" w:type="dxa"/>
            <w:noWrap w:val="0"/>
            <w:vAlign w:val="center"/>
          </w:tcPr>
          <w:p>
            <w:pPr>
              <w:jc w:val="center"/>
              <w:rPr>
                <w:rFonts w:hint="eastAsia" w:ascii="宋体" w:hAnsi="宋体" w:eastAsia="宋体" w:cs="宋体"/>
                <w:color w:val="auto"/>
                <w:kern w:val="0"/>
                <w:sz w:val="24"/>
                <w:szCs w:val="24"/>
                <w:highlight w:val="none"/>
              </w:rPr>
            </w:pPr>
          </w:p>
        </w:tc>
        <w:tc>
          <w:tcPr>
            <w:tcW w:w="697" w:type="dxa"/>
            <w:tcBorders>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567" w:type="dxa"/>
            <w:tcBorders>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567" w:type="dxa"/>
            <w:tcBorders>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422" w:type="dxa"/>
            <w:vMerge w:val="continue"/>
            <w:tcBorders>
              <w:left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040" w:type="dxa"/>
            <w:tcBorders>
              <w:left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959" w:type="dxa"/>
            <w:tcBorders>
              <w:lef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2621" w:type="dxa"/>
            <w:noWrap w:val="0"/>
            <w:vAlign w:val="center"/>
          </w:tcPr>
          <w:p>
            <w:pPr>
              <w:jc w:val="center"/>
              <w:rPr>
                <w:rFonts w:hint="eastAsia" w:ascii="宋体" w:hAnsi="宋体" w:eastAsia="宋体" w:cs="宋体"/>
                <w:color w:val="auto"/>
                <w:kern w:val="0"/>
                <w:sz w:val="24"/>
                <w:szCs w:val="24"/>
                <w:highlight w:val="none"/>
              </w:rPr>
            </w:pPr>
          </w:p>
        </w:tc>
        <w:tc>
          <w:tcPr>
            <w:tcW w:w="697" w:type="dxa"/>
            <w:noWrap w:val="0"/>
            <w:vAlign w:val="center"/>
          </w:tcPr>
          <w:p>
            <w:pPr>
              <w:jc w:val="center"/>
              <w:rPr>
                <w:rFonts w:hint="eastAsia" w:ascii="宋体" w:hAnsi="宋体" w:eastAsia="宋体" w:cs="宋体"/>
                <w:color w:val="auto"/>
                <w:kern w:val="0"/>
                <w:sz w:val="24"/>
                <w:szCs w:val="24"/>
                <w:highlight w:val="none"/>
              </w:rPr>
            </w:pPr>
          </w:p>
        </w:tc>
        <w:tc>
          <w:tcPr>
            <w:tcW w:w="697" w:type="dxa"/>
            <w:tcBorders>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567" w:type="dxa"/>
            <w:tcBorders>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567" w:type="dxa"/>
            <w:tcBorders>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422" w:type="dxa"/>
            <w:vMerge w:val="continue"/>
            <w:tcBorders>
              <w:left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040" w:type="dxa"/>
            <w:tcBorders>
              <w:left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959" w:type="dxa"/>
            <w:tcBorders>
              <w:lef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2621" w:type="dxa"/>
            <w:noWrap w:val="0"/>
            <w:vAlign w:val="center"/>
          </w:tcPr>
          <w:p>
            <w:pPr>
              <w:jc w:val="center"/>
              <w:rPr>
                <w:rFonts w:hint="eastAsia" w:ascii="宋体" w:hAnsi="宋体" w:eastAsia="宋体" w:cs="宋体"/>
                <w:color w:val="auto"/>
                <w:kern w:val="0"/>
                <w:sz w:val="24"/>
                <w:szCs w:val="24"/>
                <w:highlight w:val="none"/>
              </w:rPr>
            </w:pPr>
          </w:p>
        </w:tc>
        <w:tc>
          <w:tcPr>
            <w:tcW w:w="697" w:type="dxa"/>
            <w:noWrap w:val="0"/>
            <w:vAlign w:val="center"/>
          </w:tcPr>
          <w:p>
            <w:pPr>
              <w:jc w:val="center"/>
              <w:rPr>
                <w:rFonts w:hint="eastAsia" w:ascii="宋体" w:hAnsi="宋体" w:eastAsia="宋体" w:cs="宋体"/>
                <w:color w:val="auto"/>
                <w:kern w:val="0"/>
                <w:sz w:val="24"/>
                <w:szCs w:val="24"/>
                <w:highlight w:val="none"/>
              </w:rPr>
            </w:pPr>
          </w:p>
        </w:tc>
        <w:tc>
          <w:tcPr>
            <w:tcW w:w="697" w:type="dxa"/>
            <w:tcBorders>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567" w:type="dxa"/>
            <w:tcBorders>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567" w:type="dxa"/>
            <w:tcBorders>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r>
    </w:tbl>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注：根据评审表的要求提交相应资料</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如身份证</w:t>
      </w:r>
      <w:r>
        <w:rPr>
          <w:rFonts w:hint="eastAsia" w:ascii="宋体" w:hAnsi="宋体" w:eastAsia="宋体" w:cs="宋体"/>
          <w:kern w:val="0"/>
          <w:sz w:val="24"/>
          <w:szCs w:val="24"/>
          <w:highlight w:val="none"/>
        </w:rPr>
        <w:t>、</w:t>
      </w:r>
      <w:r>
        <w:rPr>
          <w:rFonts w:hint="eastAsia" w:ascii="宋体" w:hAnsi="宋体" w:cs="宋体"/>
          <w:kern w:val="0"/>
          <w:sz w:val="24"/>
          <w:szCs w:val="24"/>
          <w:highlight w:val="none"/>
          <w:lang w:val="en-US" w:eastAsia="zh-CN"/>
        </w:rPr>
        <w:t>职称证</w:t>
      </w:r>
      <w:r>
        <w:rPr>
          <w:rFonts w:hint="eastAsia" w:ascii="宋体" w:hAnsi="宋体" w:eastAsia="宋体" w:cs="宋体"/>
          <w:kern w:val="0"/>
          <w:sz w:val="24"/>
          <w:szCs w:val="24"/>
          <w:highlight w:val="none"/>
        </w:rPr>
        <w:t>、</w:t>
      </w:r>
      <w:r>
        <w:rPr>
          <w:rFonts w:hint="eastAsia" w:ascii="宋体" w:hAnsi="宋体" w:cs="宋体"/>
          <w:kern w:val="0"/>
          <w:sz w:val="24"/>
          <w:szCs w:val="24"/>
          <w:highlight w:val="none"/>
          <w:lang w:val="en-US" w:eastAsia="zh-CN"/>
        </w:rPr>
        <w:t>资格证书</w:t>
      </w:r>
      <w:r>
        <w:rPr>
          <w:rFonts w:hint="eastAsia" w:ascii="宋体" w:hAnsi="宋体" w:eastAsia="宋体" w:cs="宋体"/>
          <w:kern w:val="0"/>
          <w:sz w:val="24"/>
          <w:szCs w:val="24"/>
          <w:highlight w:val="none"/>
        </w:rPr>
        <w:t>、</w:t>
      </w:r>
      <w:r>
        <w:rPr>
          <w:rFonts w:hint="eastAsia" w:ascii="宋体" w:hAnsi="宋体" w:cs="宋体"/>
          <w:kern w:val="0"/>
          <w:sz w:val="24"/>
          <w:szCs w:val="24"/>
          <w:highlight w:val="none"/>
          <w:lang w:val="en-US" w:eastAsia="zh-CN"/>
        </w:rPr>
        <w:t>业绩证明等资料</w:t>
      </w:r>
      <w:r>
        <w:rPr>
          <w:rFonts w:hint="eastAsia" w:ascii="宋体" w:hAnsi="宋体" w:cs="宋体"/>
          <w:kern w:val="0"/>
          <w:sz w:val="24"/>
          <w:szCs w:val="24"/>
          <w:highlight w:val="none"/>
          <w:lang w:eastAsia="zh-CN"/>
        </w:rPr>
        <w:t>）</w:t>
      </w:r>
      <w:r>
        <w:rPr>
          <w:rFonts w:hint="eastAsia" w:ascii="宋体" w:hAnsi="宋体" w:eastAsia="宋体" w:cs="宋体"/>
          <w:kern w:val="0"/>
          <w:sz w:val="24"/>
          <w:szCs w:val="24"/>
          <w:highlight w:val="none"/>
        </w:rPr>
        <w:t>。</w:t>
      </w:r>
    </w:p>
    <w:p>
      <w:pPr>
        <w:rPr>
          <w:rFonts w:hint="eastAsia" w:ascii="宋体" w:hAnsi="宋体" w:eastAsia="宋体" w:cs="宋体"/>
          <w:szCs w:val="21"/>
          <w:highlight w:val="none"/>
          <w:lang w:val="en-GB"/>
        </w:rPr>
      </w:pPr>
    </w:p>
    <w:p>
      <w:pP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3</w:t>
      </w:r>
      <w:r>
        <w:rPr>
          <w:rFonts w:hint="eastAsia" w:ascii="宋体" w:hAnsi="宋体" w:eastAsia="宋体" w:cs="宋体"/>
          <w:b/>
          <w:kern w:val="0"/>
          <w:sz w:val="24"/>
          <w:szCs w:val="24"/>
          <w:highlight w:val="none"/>
        </w:rPr>
        <w:tab/>
      </w:r>
      <w:r>
        <w:rPr>
          <w:rFonts w:hint="eastAsia" w:ascii="宋体" w:hAnsi="宋体" w:cs="宋体"/>
          <w:b/>
          <w:kern w:val="0"/>
          <w:sz w:val="24"/>
          <w:szCs w:val="24"/>
          <w:highlight w:val="none"/>
          <w:lang w:val="en-US" w:eastAsia="zh-CN"/>
        </w:rPr>
        <w:t>服务</w:t>
      </w:r>
      <w:r>
        <w:rPr>
          <w:rFonts w:hint="eastAsia" w:ascii="宋体" w:hAnsi="宋体" w:eastAsia="宋体" w:cs="宋体"/>
          <w:b/>
          <w:kern w:val="0"/>
          <w:sz w:val="24"/>
          <w:szCs w:val="24"/>
          <w:highlight w:val="none"/>
        </w:rPr>
        <w:t>进度计划表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2618"/>
        <w:gridCol w:w="3119"/>
        <w:gridCol w:w="2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序号</w:t>
            </w:r>
          </w:p>
        </w:tc>
        <w:tc>
          <w:tcPr>
            <w:tcW w:w="2618"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拟定时间安排</w:t>
            </w:r>
          </w:p>
        </w:tc>
        <w:tc>
          <w:tcPr>
            <w:tcW w:w="3119"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计划完成的工作内容</w:t>
            </w:r>
          </w:p>
        </w:tc>
        <w:tc>
          <w:tcPr>
            <w:tcW w:w="2510"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实施方建议或要求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noWrap w:val="0"/>
            <w:vAlign w:val="center"/>
          </w:tcPr>
          <w:p>
            <w:pPr>
              <w:rPr>
                <w:rFonts w:hint="eastAsia" w:ascii="宋体" w:hAnsi="宋体" w:eastAsia="宋体" w:cs="宋体"/>
                <w:kern w:val="0"/>
                <w:sz w:val="24"/>
                <w:szCs w:val="24"/>
                <w:highlight w:val="none"/>
              </w:rPr>
            </w:pPr>
          </w:p>
        </w:tc>
        <w:tc>
          <w:tcPr>
            <w:tcW w:w="2618"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拟定  年  月   日</w:t>
            </w:r>
          </w:p>
        </w:tc>
        <w:tc>
          <w:tcPr>
            <w:tcW w:w="3119"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签定合同并生效</w:t>
            </w:r>
          </w:p>
        </w:tc>
        <w:tc>
          <w:tcPr>
            <w:tcW w:w="2510" w:type="dxa"/>
            <w:noWrap w:val="0"/>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noWrap w:val="0"/>
            <w:vAlign w:val="center"/>
          </w:tcPr>
          <w:p>
            <w:pPr>
              <w:rPr>
                <w:rFonts w:hint="eastAsia" w:ascii="宋体" w:hAnsi="宋体" w:eastAsia="宋体" w:cs="宋体"/>
                <w:kern w:val="0"/>
                <w:sz w:val="24"/>
                <w:szCs w:val="24"/>
                <w:highlight w:val="none"/>
              </w:rPr>
            </w:pPr>
          </w:p>
        </w:tc>
        <w:tc>
          <w:tcPr>
            <w:tcW w:w="2618"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月   日—   月   日</w:t>
            </w:r>
          </w:p>
        </w:tc>
        <w:tc>
          <w:tcPr>
            <w:tcW w:w="3119" w:type="dxa"/>
            <w:noWrap w:val="0"/>
            <w:vAlign w:val="center"/>
          </w:tcPr>
          <w:p>
            <w:pPr>
              <w:rPr>
                <w:rFonts w:hint="eastAsia" w:ascii="宋体" w:hAnsi="宋体" w:eastAsia="宋体" w:cs="宋体"/>
                <w:kern w:val="0"/>
                <w:sz w:val="24"/>
                <w:szCs w:val="24"/>
                <w:highlight w:val="none"/>
              </w:rPr>
            </w:pPr>
          </w:p>
        </w:tc>
        <w:tc>
          <w:tcPr>
            <w:tcW w:w="2510" w:type="dxa"/>
            <w:noWrap w:val="0"/>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noWrap w:val="0"/>
            <w:vAlign w:val="center"/>
          </w:tcPr>
          <w:p>
            <w:pPr>
              <w:rPr>
                <w:rFonts w:hint="eastAsia" w:ascii="宋体" w:hAnsi="宋体" w:eastAsia="宋体" w:cs="宋体"/>
                <w:kern w:val="0"/>
                <w:sz w:val="24"/>
                <w:szCs w:val="24"/>
                <w:highlight w:val="none"/>
              </w:rPr>
            </w:pPr>
          </w:p>
        </w:tc>
        <w:tc>
          <w:tcPr>
            <w:tcW w:w="2618"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月   日—   月   日</w:t>
            </w:r>
          </w:p>
        </w:tc>
        <w:tc>
          <w:tcPr>
            <w:tcW w:w="3119" w:type="dxa"/>
            <w:noWrap w:val="0"/>
            <w:vAlign w:val="center"/>
          </w:tcPr>
          <w:p>
            <w:pPr>
              <w:rPr>
                <w:rFonts w:hint="eastAsia" w:ascii="宋体" w:hAnsi="宋体" w:eastAsia="宋体" w:cs="宋体"/>
                <w:kern w:val="0"/>
                <w:sz w:val="24"/>
                <w:szCs w:val="24"/>
                <w:highlight w:val="none"/>
              </w:rPr>
            </w:pPr>
          </w:p>
        </w:tc>
        <w:tc>
          <w:tcPr>
            <w:tcW w:w="2510" w:type="dxa"/>
            <w:noWrap w:val="0"/>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noWrap w:val="0"/>
            <w:vAlign w:val="center"/>
          </w:tcPr>
          <w:p>
            <w:pPr>
              <w:rPr>
                <w:rFonts w:hint="eastAsia" w:ascii="宋体" w:hAnsi="宋体" w:eastAsia="宋体" w:cs="宋体"/>
                <w:kern w:val="0"/>
                <w:sz w:val="24"/>
                <w:szCs w:val="24"/>
                <w:highlight w:val="none"/>
              </w:rPr>
            </w:pPr>
          </w:p>
        </w:tc>
        <w:tc>
          <w:tcPr>
            <w:tcW w:w="2618"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月   日—   月   日</w:t>
            </w:r>
          </w:p>
        </w:tc>
        <w:tc>
          <w:tcPr>
            <w:tcW w:w="3119" w:type="dxa"/>
            <w:noWrap w:val="0"/>
            <w:vAlign w:val="center"/>
          </w:tcPr>
          <w:p>
            <w:pPr>
              <w:rPr>
                <w:rFonts w:hint="eastAsia" w:ascii="宋体" w:hAnsi="宋体" w:eastAsia="宋体" w:cs="宋体"/>
                <w:kern w:val="0"/>
                <w:sz w:val="24"/>
                <w:szCs w:val="24"/>
                <w:highlight w:val="none"/>
              </w:rPr>
            </w:pPr>
          </w:p>
        </w:tc>
        <w:tc>
          <w:tcPr>
            <w:tcW w:w="2510" w:type="dxa"/>
            <w:noWrap w:val="0"/>
            <w:vAlign w:val="center"/>
          </w:tcPr>
          <w:p>
            <w:pPr>
              <w:rPr>
                <w:rFonts w:hint="eastAsia" w:ascii="宋体" w:hAnsi="宋体" w:eastAsia="宋体" w:cs="宋体"/>
                <w:kern w:val="0"/>
                <w:sz w:val="24"/>
                <w:szCs w:val="24"/>
                <w:highlight w:val="none"/>
              </w:rPr>
            </w:pPr>
          </w:p>
        </w:tc>
      </w:tr>
    </w:tbl>
    <w:p>
      <w:pPr>
        <w:rPr>
          <w:rFonts w:hint="eastAsia"/>
        </w:rPr>
      </w:pPr>
      <w:r>
        <w:rPr>
          <w:rFonts w:hint="eastAsia" w:ascii="宋体" w:hAnsi="宋体" w:eastAsia="宋体" w:cs="宋体"/>
          <w:kern w:val="0"/>
          <w:sz w:val="24"/>
          <w:szCs w:val="24"/>
          <w:highlight w:val="none"/>
        </w:rPr>
        <w:t>注：各投标供应商根据项目内容要求及时间范围要求，制定各子项目详细、科学合理、可执行的项目实施计划排期表</w:t>
      </w:r>
    </w:p>
    <w:p>
      <w:pPr>
        <w:rPr>
          <w:rFonts w:hint="eastAsia" w:ascii="宋体" w:hAnsi="宋体" w:eastAsia="宋体" w:cs="宋体"/>
          <w:b/>
          <w:kern w:val="0"/>
          <w:sz w:val="24"/>
          <w:szCs w:val="24"/>
          <w:highlight w:val="none"/>
        </w:rPr>
      </w:pPr>
    </w:p>
    <w:p>
      <w:pP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4</w:t>
      </w:r>
      <w:r>
        <w:rPr>
          <w:rFonts w:hint="eastAsia" w:ascii="宋体" w:hAnsi="宋体" w:eastAsia="宋体" w:cs="宋体"/>
          <w:b/>
          <w:kern w:val="0"/>
          <w:sz w:val="24"/>
          <w:szCs w:val="24"/>
          <w:highlight w:val="none"/>
        </w:rPr>
        <w:tab/>
      </w:r>
      <w:r>
        <w:rPr>
          <w:rFonts w:hint="eastAsia" w:ascii="宋体" w:hAnsi="宋体" w:eastAsia="宋体" w:cs="宋体"/>
          <w:b/>
          <w:kern w:val="0"/>
          <w:sz w:val="24"/>
          <w:szCs w:val="24"/>
          <w:highlight w:val="none"/>
        </w:rPr>
        <w:t>需要采购人提供的附加条件</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8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序号</w:t>
            </w:r>
          </w:p>
        </w:tc>
        <w:tc>
          <w:tcPr>
            <w:tcW w:w="823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投标人需要采购人提供的附加条件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kern w:val="0"/>
                <w:sz w:val="24"/>
                <w:szCs w:val="24"/>
                <w:highlight w:val="none"/>
              </w:rPr>
            </w:pPr>
          </w:p>
        </w:tc>
        <w:tc>
          <w:tcPr>
            <w:tcW w:w="823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kern w:val="0"/>
                <w:sz w:val="24"/>
                <w:szCs w:val="24"/>
                <w:highlight w:val="none"/>
              </w:rPr>
            </w:pPr>
          </w:p>
        </w:tc>
        <w:tc>
          <w:tcPr>
            <w:tcW w:w="823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kern w:val="0"/>
                <w:sz w:val="24"/>
                <w:szCs w:val="24"/>
                <w:highlight w:val="none"/>
              </w:rPr>
            </w:pPr>
          </w:p>
        </w:tc>
        <w:tc>
          <w:tcPr>
            <w:tcW w:w="823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kern w:val="0"/>
                <w:sz w:val="24"/>
                <w:szCs w:val="24"/>
                <w:highlight w:val="none"/>
              </w:rPr>
            </w:pPr>
          </w:p>
        </w:tc>
        <w:tc>
          <w:tcPr>
            <w:tcW w:w="823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kern w:val="0"/>
                <w:sz w:val="24"/>
                <w:szCs w:val="24"/>
                <w:highlight w:val="none"/>
              </w:rPr>
            </w:pPr>
          </w:p>
        </w:tc>
      </w:tr>
    </w:tbl>
    <w:p>
      <w:pPr>
        <w:rPr>
          <w:rFonts w:hint="eastAsia" w:ascii="宋体" w:hAnsi="宋体" w:eastAsia="宋体" w:cs="宋体"/>
          <w:kern w:val="0"/>
          <w:sz w:val="24"/>
          <w:szCs w:val="24"/>
          <w:highlight w:val="none"/>
        </w:rPr>
      </w:pPr>
    </w:p>
    <w:p>
      <w:pPr>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注：投标人完成本项目需要采购人配合或提供的条件必须在上表列出，否则将视为投标人同</w:t>
      </w:r>
    </w:p>
    <w:p>
      <w:pPr>
        <w:tabs>
          <w:tab w:val="left" w:pos="361"/>
        </w:tabs>
        <w:bidi w:val="0"/>
        <w:jc w:val="both"/>
        <w:rPr>
          <w:rFonts w:hint="eastAsia"/>
        </w:rPr>
      </w:pPr>
      <w:r>
        <w:rPr>
          <w:rFonts w:hint="eastAsia"/>
        </w:rPr>
        <w:t>意按现有条件完成本项目。如上表所列附加条件含有采购人不能接受的，将被视为投标无效。</w:t>
      </w:r>
    </w:p>
    <w:p>
      <w:pPr>
        <w:rPr>
          <w:rFonts w:hint="eastAsia" w:ascii="宋体" w:hAnsi="宋体" w:eastAsia="宋体" w:cs="宋体"/>
          <w:szCs w:val="21"/>
          <w:highlight w:val="none"/>
          <w:lang w:val="en-GB"/>
        </w:rPr>
      </w:pPr>
    </w:p>
    <w:p>
      <w:pPr>
        <w:rPr>
          <w:rFonts w:hint="eastAsia" w:ascii="宋体" w:hAnsi="宋体" w:eastAsia="宋体" w:cs="宋体"/>
          <w:b/>
          <w:kern w:val="0"/>
          <w:sz w:val="24"/>
          <w:szCs w:val="24"/>
          <w:highlight w:val="none"/>
        </w:rPr>
      </w:pPr>
    </w:p>
    <w:p>
      <w:pPr>
        <w:rPr>
          <w:rFonts w:hint="eastAsia" w:ascii="宋体" w:hAnsi="宋体" w:eastAsia="宋体" w:cs="宋体"/>
          <w:b/>
          <w:kern w:val="0"/>
          <w:sz w:val="24"/>
          <w:szCs w:val="24"/>
          <w:highlight w:val="none"/>
        </w:rPr>
      </w:pPr>
      <w:r>
        <w:rPr>
          <w:rFonts w:hint="eastAsia" w:ascii="宋体" w:hAnsi="宋体" w:cs="宋体"/>
          <w:b/>
          <w:kern w:val="0"/>
          <w:sz w:val="24"/>
          <w:szCs w:val="24"/>
          <w:highlight w:val="none"/>
          <w:lang w:val="en-US" w:eastAsia="zh-CN"/>
        </w:rPr>
        <w:t>5</w:t>
      </w:r>
      <w:r>
        <w:rPr>
          <w:rFonts w:hint="eastAsia" w:ascii="宋体" w:hAnsi="宋体" w:eastAsia="宋体" w:cs="宋体"/>
          <w:b/>
          <w:kern w:val="0"/>
          <w:sz w:val="24"/>
          <w:szCs w:val="24"/>
          <w:highlight w:val="none"/>
        </w:rPr>
        <w:tab/>
      </w:r>
      <w:r>
        <w:rPr>
          <w:rFonts w:hint="eastAsia" w:ascii="宋体" w:hAnsi="宋体" w:eastAsia="宋体" w:cs="宋体"/>
          <w:b/>
          <w:kern w:val="0"/>
          <w:sz w:val="24"/>
          <w:szCs w:val="24"/>
          <w:highlight w:val="none"/>
        </w:rPr>
        <w:t>其它重要事项说明及承诺</w:t>
      </w:r>
    </w:p>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（如有，请扼要叙述）</w:t>
      </w:r>
    </w:p>
    <w:p>
      <w:pPr>
        <w:pStyle w:val="8"/>
        <w:kinsoku w:val="0"/>
        <w:overflowPunct w:val="0"/>
        <w:spacing w:before="34" w:line="357" w:lineRule="auto"/>
        <w:ind w:left="0" w:right="126" w:firstLine="120" w:firstLineChars="50"/>
        <w:jc w:val="center"/>
        <w:outlineLvl w:val="1"/>
        <w:rPr>
          <w:rFonts w:hint="eastAsia" w:ascii="宋体" w:hAnsi="宋体" w:eastAsia="宋体" w:cs="宋体"/>
          <w:highlight w:val="none"/>
        </w:rPr>
      </w:pPr>
      <w:r>
        <w:rPr>
          <w:rFonts w:hint="eastAsia" w:ascii="宋体" w:hAnsi="宋体" w:eastAsia="宋体" w:cs="宋体"/>
          <w:highlight w:val="none"/>
        </w:rPr>
        <w:br w:type="page"/>
      </w:r>
      <w:r>
        <w:rPr>
          <w:rFonts w:hint="eastAsia" w:ascii="宋体" w:hAnsi="宋体" w:eastAsia="宋体" w:cs="宋体"/>
          <w:b/>
          <w:bCs/>
          <w:sz w:val="36"/>
          <w:szCs w:val="36"/>
          <w:highlight w:val="none"/>
        </w:rPr>
        <w:t>十六、供应商认为需要提交的技术资料</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sz w:val="24"/>
        <w:szCs w:val="24"/>
      </w:rPr>
    </w:pPr>
  </w:p>
  <w:p>
    <w:pPr>
      <w:pStyle w:val="11"/>
      <w:tabs>
        <w:tab w:val="clear" w:pos="4153"/>
      </w:tabs>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5" name="文本框 1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tabs>
                              <w:tab w:val="center" w:pos="4140"/>
                              <w:tab w:val="right" w:pos="8300"/>
                              <w:tab w:val="clear" w:pos="4153"/>
                              <w:tab w:val="clear" w:pos="8306"/>
                            </w:tabs>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yVJs8oBAACd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nLN5Q4bnHk558/zr8ezw/f&#10;SXaiRH2AGjPvAuam4b0fMH32Azoz80FFm7/IiWAcBT5dBJZDIiI/Wi1XqwpDAmPzBfHZ0/MQIX2Q&#10;3pJsNDTiBIuw/PgJ0pg6p+Rqzt9qY8oUjfvLgZjZw3LvY4/ZSsNumAjtfHtCPj0Ov6EOd50S89Gh&#10;tnlPZiPOxm42DiHqfVcWKdeD8O6QsInSW64wwk6FcWqF3bRheS3+vJesp79q8x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hyVJs8oBAACdAwAADgAAAAAAAAABACAAAAAeAQAAZHJzL2Uyb0Rv&#10;Yy54bWxQSwUGAAAAAAYABgBZAQAAWgUAAAAA&#10;">
              <v:fill on="f" focussize="0,0"/>
              <v:stroke on="f"/>
              <v:imagedata o:title=""/>
              <o:lock v:ext="edit" aspectratio="f"/>
              <v:textbox inset="0mm,0mm,0mm,0mm" style="mso-fit-shape-to-text:t;">
                <w:txbxContent>
                  <w:p>
                    <w:pPr>
                      <w:pStyle w:val="11"/>
                      <w:tabs>
                        <w:tab w:val="center" w:pos="4140"/>
                        <w:tab w:val="right" w:pos="8300"/>
                        <w:tab w:val="clear" w:pos="4153"/>
                        <w:tab w:val="clear" w:pos="8306"/>
                      </w:tabs>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insoku w:val="0"/>
      <w:overflowPunct w:val="0"/>
      <w:spacing w:before="0" w:line="14" w:lineRule="auto"/>
      <w:ind w:left="0"/>
      <w:rPr>
        <w:rFonts w:ascii="Times New Roman" w:eastAsia="宋体" w:cs="Times New Roman"/>
        <w:sz w:val="20"/>
        <w:szCs w:val="20"/>
      </w:rPr>
    </w:pPr>
    <w:r>
      <mc:AlternateContent>
        <mc:Choice Requires="wps">
          <w:drawing>
            <wp:anchor distT="0" distB="0" distL="114300" distR="114300" simplePos="0" relativeHeight="251660288" behindDoc="1" locked="0" layoutInCell="0" allowOverlap="1">
              <wp:simplePos x="0" y="0"/>
              <wp:positionH relativeFrom="page">
                <wp:posOffset>900430</wp:posOffset>
              </wp:positionH>
              <wp:positionV relativeFrom="page">
                <wp:posOffset>675640</wp:posOffset>
              </wp:positionV>
              <wp:extent cx="5760085" cy="12700"/>
              <wp:effectExtent l="0" t="0" r="0" b="0"/>
              <wp:wrapNone/>
              <wp:docPr id="121" name="任意多边形 121"/>
              <wp:cNvGraphicFramePr/>
              <a:graphic xmlns:a="http://schemas.openxmlformats.org/drawingml/2006/main">
                <a:graphicData uri="http://schemas.microsoft.com/office/word/2010/wordprocessingShape">
                  <wps:wsp>
                    <wps:cNvSpPr/>
                    <wps:spPr>
                      <a:xfrm>
                        <a:off x="0" y="0"/>
                        <a:ext cx="5760085" cy="12700"/>
                      </a:xfrm>
                      <a:custGeom>
                        <a:avLst/>
                        <a:gdLst/>
                        <a:ahLst/>
                        <a:cxnLst/>
                        <a:pathLst>
                          <a:path w="9071" h="20">
                            <a:moveTo>
                              <a:pt x="0" y="0"/>
                            </a:moveTo>
                            <a:lnTo>
                              <a:pt x="9071" y="0"/>
                            </a:lnTo>
                          </a:path>
                        </a:pathLst>
                      </a:custGeom>
                      <a:noFill/>
                      <a:ln w="10414" cap="flat" cmpd="sng">
                        <a:solidFill>
                          <a:srgbClr val="000000"/>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70.9pt;margin-top:53.2pt;height:1pt;width:453.55pt;mso-position-horizontal-relative:page;mso-position-vertical-relative:page;z-index:-251656192;mso-width-relative:page;mso-height-relative:page;" filled="f" stroked="t" coordsize="9071,20" o:allowincell="f" o:gfxdata="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FL2iy2gAAAAwBAAAPAAAAAAAAAAEAIAAAACIAAABkcnMvZG93&#10;bnJldi54bWxQSwECFAAUAAAACACHTuJAMWMQuTcCAACSBAAADgAAAAAAAAABACAAAAApAQAAZHJz&#10;L2Uyb0RvYy54bWxQSwUGAAAAAAYABgBZAQAA0gUAAAAA&#10;" path="m0,0l9071,0e">
              <v:fill on="f" focussize="0,0"/>
              <v:stroke weight="0.82pt" color="#000000" joinstyle="round"/>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D7BE3C"/>
    <w:multiLevelType w:val="singleLevel"/>
    <w:tmpl w:val="C3D7BE3C"/>
    <w:lvl w:ilvl="0" w:tentative="0">
      <w:start w:val="4"/>
      <w:numFmt w:val="chineseCounting"/>
      <w:lvlText w:val="第%1章"/>
      <w:lvlJc w:val="left"/>
      <w:rPr>
        <w:rFonts w:hint="eastAsia"/>
      </w:rPr>
    </w:lvl>
  </w:abstractNum>
  <w:abstractNum w:abstractNumId="1">
    <w:nsid w:val="DDD85877"/>
    <w:multiLevelType w:val="singleLevel"/>
    <w:tmpl w:val="DDD85877"/>
    <w:lvl w:ilvl="0" w:tentative="0">
      <w:start w:val="9"/>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xMGNkYTJhN2NkODc0MzYwZWZhYmI0Y2E4ZDVlOGEifQ=="/>
  </w:docVars>
  <w:rsids>
    <w:rsidRoot w:val="4EF27C74"/>
    <w:rsid w:val="00D13B9B"/>
    <w:rsid w:val="03AF4BD2"/>
    <w:rsid w:val="03DE5618"/>
    <w:rsid w:val="05F40ACF"/>
    <w:rsid w:val="060E0879"/>
    <w:rsid w:val="089D6A3E"/>
    <w:rsid w:val="0AB63B45"/>
    <w:rsid w:val="0B4F663E"/>
    <w:rsid w:val="137B26DA"/>
    <w:rsid w:val="14AD594A"/>
    <w:rsid w:val="18E658E0"/>
    <w:rsid w:val="1B700D17"/>
    <w:rsid w:val="1C841001"/>
    <w:rsid w:val="1CBE5469"/>
    <w:rsid w:val="1D54181B"/>
    <w:rsid w:val="1F0E216E"/>
    <w:rsid w:val="1F1213D9"/>
    <w:rsid w:val="23D566BE"/>
    <w:rsid w:val="248B003B"/>
    <w:rsid w:val="25590AE1"/>
    <w:rsid w:val="257A1BD3"/>
    <w:rsid w:val="2A6A6CB3"/>
    <w:rsid w:val="2AEC08F3"/>
    <w:rsid w:val="31053F3C"/>
    <w:rsid w:val="374C4D14"/>
    <w:rsid w:val="3A321A0F"/>
    <w:rsid w:val="3AE83933"/>
    <w:rsid w:val="3F48271F"/>
    <w:rsid w:val="3F8156AD"/>
    <w:rsid w:val="3F9C52B9"/>
    <w:rsid w:val="41A15149"/>
    <w:rsid w:val="43420D03"/>
    <w:rsid w:val="43B738C1"/>
    <w:rsid w:val="43EF7E53"/>
    <w:rsid w:val="457F455D"/>
    <w:rsid w:val="4EF27C74"/>
    <w:rsid w:val="552C03DB"/>
    <w:rsid w:val="59CA169C"/>
    <w:rsid w:val="5CA924D4"/>
    <w:rsid w:val="6179161D"/>
    <w:rsid w:val="6487465D"/>
    <w:rsid w:val="64AC0E61"/>
    <w:rsid w:val="65E526B2"/>
    <w:rsid w:val="6CBC3367"/>
    <w:rsid w:val="6FCF5641"/>
    <w:rsid w:val="71B12952"/>
    <w:rsid w:val="726A110E"/>
    <w:rsid w:val="750431F9"/>
    <w:rsid w:val="75D03944"/>
    <w:rsid w:val="76DD4A36"/>
    <w:rsid w:val="79424A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9"/>
    <w:pPr>
      <w:keepNext/>
      <w:keepLines/>
      <w:spacing w:line="800" w:lineRule="exact"/>
      <w:jc w:val="center"/>
      <w:outlineLvl w:val="0"/>
    </w:pPr>
    <w:rPr>
      <w:rFonts w:eastAsia="仿宋"/>
      <w:b/>
      <w:bCs/>
      <w:kern w:val="44"/>
      <w:sz w:val="32"/>
      <w:szCs w:val="44"/>
    </w:rPr>
  </w:style>
  <w:style w:type="paragraph" w:styleId="4">
    <w:name w:val="heading 2"/>
    <w:basedOn w:val="1"/>
    <w:next w:val="1"/>
    <w:qFormat/>
    <w:uiPriority w:val="9"/>
    <w:pPr>
      <w:keepNext/>
      <w:keepLines/>
      <w:spacing w:line="416" w:lineRule="auto"/>
      <w:jc w:val="center"/>
      <w:outlineLvl w:val="1"/>
    </w:pPr>
    <w:rPr>
      <w:rFonts w:ascii="Cambria" w:hAnsi="Cambria" w:eastAsia="仿宋" w:cs="Times New Roman"/>
      <w:b/>
      <w:bCs/>
      <w:sz w:val="32"/>
      <w:szCs w:val="32"/>
    </w:rPr>
  </w:style>
  <w:style w:type="paragraph" w:styleId="5">
    <w:name w:val="heading 3"/>
    <w:basedOn w:val="1"/>
    <w:next w:val="1"/>
    <w:unhideWhenUsed/>
    <w:qFormat/>
    <w:uiPriority w:val="0"/>
    <w:pPr>
      <w:keepNext/>
      <w:keepLines/>
      <w:spacing w:before="260" w:after="260" w:line="416" w:lineRule="auto"/>
      <w:outlineLvl w:val="2"/>
    </w:pPr>
    <w:rPr>
      <w:rFonts w:eastAsia="黑体"/>
      <w:b/>
      <w:bCs/>
      <w:sz w:val="32"/>
      <w:szCs w:val="32"/>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beforeLines="0" w:beforeAutospacing="0" w:after="60" w:afterLines="0" w:afterAutospacing="0"/>
      <w:jc w:val="center"/>
      <w:outlineLvl w:val="0"/>
    </w:pPr>
    <w:rPr>
      <w:rFonts w:ascii="Arial" w:hAnsi="Arial"/>
      <w:b/>
      <w:sz w:val="32"/>
    </w:rPr>
  </w:style>
  <w:style w:type="paragraph" w:styleId="6">
    <w:name w:val="Normal Indent"/>
    <w:basedOn w:val="1"/>
    <w:next w:val="7"/>
    <w:qFormat/>
    <w:uiPriority w:val="0"/>
    <w:pPr>
      <w:ind w:firstLine="420"/>
    </w:pPr>
    <w:rPr>
      <w:szCs w:val="20"/>
    </w:rPr>
  </w:style>
  <w:style w:type="paragraph" w:styleId="7">
    <w:name w:val="toc 4"/>
    <w:basedOn w:val="1"/>
    <w:next w:val="1"/>
    <w:unhideWhenUsed/>
    <w:qFormat/>
    <w:uiPriority w:val="39"/>
    <w:pPr>
      <w:ind w:left="1260" w:leftChars="600"/>
    </w:pPr>
  </w:style>
  <w:style w:type="paragraph" w:styleId="8">
    <w:name w:val="Body Text"/>
    <w:basedOn w:val="1"/>
    <w:next w:val="1"/>
    <w:qFormat/>
    <w:uiPriority w:val="1"/>
    <w:pPr>
      <w:autoSpaceDE w:val="0"/>
      <w:autoSpaceDN w:val="0"/>
      <w:adjustRightInd w:val="0"/>
      <w:spacing w:before="154"/>
      <w:ind w:left="118"/>
      <w:jc w:val="left"/>
    </w:pPr>
    <w:rPr>
      <w:rFonts w:ascii="仿宋" w:hAnsi="Times New Roman" w:eastAsia="仿宋" w:cs="仿宋"/>
      <w:kern w:val="0"/>
      <w:sz w:val="24"/>
      <w:szCs w:val="24"/>
    </w:rPr>
  </w:style>
  <w:style w:type="paragraph" w:styleId="9">
    <w:name w:val="Plain Text"/>
    <w:basedOn w:val="1"/>
    <w:qFormat/>
    <w:uiPriority w:val="0"/>
    <w:rPr>
      <w:rFonts w:ascii="宋体" w:hAnsi="Times New Roman"/>
      <w:szCs w:val="24"/>
    </w:rPr>
  </w:style>
  <w:style w:type="paragraph" w:styleId="10">
    <w:name w:val="Body Text Indent 2"/>
    <w:basedOn w:val="1"/>
    <w:qFormat/>
    <w:uiPriority w:val="99"/>
    <w:pPr>
      <w:ind w:firstLine="480"/>
    </w:pPr>
    <w:rPr>
      <w:rFonts w:asciiTheme="minorHAnsi" w:hAnsiTheme="minorHAnsi" w:eastAsiaTheme="minorEastAsia" w:cstheme="minorBidi"/>
    </w:rPr>
  </w:style>
  <w:style w:type="paragraph" w:styleId="11">
    <w:name w:val="footer"/>
    <w:basedOn w:val="1"/>
    <w:unhideWhenUsed/>
    <w:qFormat/>
    <w:uiPriority w:val="99"/>
    <w:pPr>
      <w:tabs>
        <w:tab w:val="center" w:pos="4153"/>
        <w:tab w:val="right" w:pos="8306"/>
      </w:tabs>
      <w:snapToGrid w:val="0"/>
      <w:jc w:val="left"/>
    </w:pPr>
    <w:rPr>
      <w:sz w:val="18"/>
      <w:szCs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basedOn w:val="1"/>
    <w:next w:val="1"/>
    <w:unhideWhenUsed/>
    <w:qFormat/>
    <w:uiPriority w:val="39"/>
    <w:pPr>
      <w:tabs>
        <w:tab w:val="right" w:leader="dot" w:pos="9400"/>
      </w:tabs>
      <w:spacing w:line="520" w:lineRule="exact"/>
      <w:jc w:val="left"/>
    </w:pPr>
  </w:style>
  <w:style w:type="paragraph" w:styleId="14">
    <w:name w:val="Body Text Indent 3"/>
    <w:basedOn w:val="1"/>
    <w:qFormat/>
    <w:uiPriority w:val="0"/>
    <w:pPr>
      <w:spacing w:line="410" w:lineRule="exact"/>
      <w:ind w:left="619" w:leftChars="295" w:firstLine="390" w:firstLineChars="179"/>
    </w:pPr>
    <w:rPr>
      <w:rFonts w:ascii="宋体" w:hAnsi="宋体"/>
      <w:spacing w:val="4"/>
    </w:rPr>
  </w:style>
  <w:style w:type="paragraph" w:styleId="15">
    <w:name w:val="toc 2"/>
    <w:basedOn w:val="1"/>
    <w:next w:val="1"/>
    <w:unhideWhenUsed/>
    <w:qFormat/>
    <w:uiPriority w:val="39"/>
    <w:pPr>
      <w:ind w:left="420" w:leftChars="200"/>
    </w:pPr>
  </w:style>
  <w:style w:type="paragraph" w:styleId="16">
    <w:name w:val="Normal (Web)"/>
    <w:basedOn w:val="1"/>
    <w:unhideWhenUsed/>
    <w:qFormat/>
    <w:uiPriority w:val="0"/>
    <w:pPr>
      <w:widowControl/>
      <w:spacing w:before="100" w:beforeAutospacing="1" w:after="100" w:afterAutospacing="1"/>
      <w:jc w:val="left"/>
    </w:pPr>
    <w:rPr>
      <w:rFonts w:ascii="宋体" w:hAnsi="宋体" w:eastAsia="宋体" w:cs="宋体"/>
      <w:kern w:val="0"/>
      <w:sz w:val="24"/>
    </w:rPr>
  </w:style>
  <w:style w:type="paragraph" w:customStyle="1" w:styleId="19">
    <w:name w:val="Heading3"/>
    <w:basedOn w:val="1"/>
    <w:next w:val="1"/>
    <w:qFormat/>
    <w:uiPriority w:val="0"/>
    <w:pPr>
      <w:keepNext/>
      <w:keepLines/>
      <w:spacing w:before="260" w:after="260" w:line="416" w:lineRule="auto"/>
      <w:jc w:val="both"/>
      <w:textAlignment w:val="baseline"/>
    </w:pPr>
    <w:rPr>
      <w:rFonts w:ascii="Calibri" w:hAnsi="Calibri" w:eastAsia="黑体" w:cs="Times New Roman"/>
      <w:b/>
      <w:bCs/>
      <w:kern w:val="2"/>
      <w:sz w:val="32"/>
      <w:szCs w:val="32"/>
      <w:lang w:val="en-US" w:eastAsia="zh-CN" w:bidi="ar-SA"/>
    </w:rPr>
  </w:style>
  <w:style w:type="paragraph" w:customStyle="1" w:styleId="20">
    <w:name w:val="正文缩进1"/>
    <w:basedOn w:val="1"/>
    <w:qFormat/>
    <w:uiPriority w:val="0"/>
    <w:pPr>
      <w:ind w:firstLine="420" w:firstLineChars="200"/>
    </w:pPr>
  </w:style>
  <w:style w:type="paragraph" w:customStyle="1" w:styleId="21">
    <w:name w:val="Table Paragraph"/>
    <w:basedOn w:val="1"/>
    <w:qFormat/>
    <w:uiPriority w:val="1"/>
    <w:pPr>
      <w:autoSpaceDE w:val="0"/>
      <w:autoSpaceDN w:val="0"/>
      <w:adjustRightInd w:val="0"/>
      <w:jc w:val="left"/>
    </w:pPr>
    <w:rPr>
      <w:rFonts w:ascii="Times New Roman" w:hAnsi="Times New Roman" w:eastAsia="宋体"/>
      <w:kern w:val="0"/>
      <w:sz w:val="24"/>
      <w:szCs w:val="24"/>
    </w:rPr>
  </w:style>
  <w:style w:type="paragraph" w:styleId="22">
    <w:name w:val="List Paragraph"/>
    <w:basedOn w:val="1"/>
    <w:qFormat/>
    <w:uiPriority w:val="1"/>
    <w:pPr>
      <w:spacing w:before="160"/>
      <w:ind w:left="1180" w:hanging="718"/>
    </w:pPr>
    <w:rPr>
      <w:rFonts w:ascii="宋体" w:hAnsi="宋体" w:eastAsia="宋体" w:cs="宋体"/>
      <w:lang w:val="zh-CN" w:eastAsia="zh-CN" w:bidi="zh-CN"/>
    </w:rPr>
  </w:style>
  <w:style w:type="paragraph" w:customStyle="1" w:styleId="23">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Heading 1"/>
    <w:basedOn w:val="1"/>
    <w:qFormat/>
    <w:uiPriority w:val="1"/>
    <w:pPr>
      <w:autoSpaceDE w:val="0"/>
      <w:autoSpaceDN w:val="0"/>
      <w:adjustRightInd w:val="0"/>
      <w:ind w:left="82"/>
      <w:jc w:val="left"/>
      <w:outlineLvl w:val="0"/>
    </w:pPr>
    <w:rPr>
      <w:rFonts w:ascii="宋体" w:hAnsi="Times New Roman" w:cs="宋体"/>
      <w:b/>
      <w:bCs/>
      <w:kern w:val="0"/>
      <w:sz w:val="32"/>
      <w:szCs w:val="32"/>
    </w:rPr>
  </w:style>
  <w:style w:type="paragraph" w:customStyle="1" w:styleId="25">
    <w:name w:val="Heading 4"/>
    <w:basedOn w:val="1"/>
    <w:qFormat/>
    <w:uiPriority w:val="1"/>
    <w:pPr>
      <w:autoSpaceDE w:val="0"/>
      <w:autoSpaceDN w:val="0"/>
      <w:adjustRightInd w:val="0"/>
      <w:ind w:left="120"/>
      <w:jc w:val="left"/>
      <w:outlineLvl w:val="3"/>
    </w:pPr>
    <w:rPr>
      <w:rFonts w:ascii="宋体" w:hAnsi="Times New Roman" w:cs="宋体"/>
      <w:b/>
      <w:bCs/>
      <w:kern w:val="0"/>
      <w:szCs w:val="21"/>
    </w:rPr>
  </w:style>
  <w:style w:type="paragraph" w:customStyle="1" w:styleId="26">
    <w:name w:val="Heading 2"/>
    <w:basedOn w:val="1"/>
    <w:qFormat/>
    <w:uiPriority w:val="1"/>
    <w:pPr>
      <w:autoSpaceDE w:val="0"/>
      <w:autoSpaceDN w:val="0"/>
      <w:adjustRightInd w:val="0"/>
      <w:jc w:val="left"/>
      <w:outlineLvl w:val="1"/>
    </w:pPr>
    <w:rPr>
      <w:rFonts w:ascii="仿宋" w:hAnsi="Times New Roman" w:eastAsia="仿宋" w:cs="仿宋"/>
      <w:b/>
      <w:bCs/>
      <w:kern w:val="0"/>
      <w:sz w:val="72"/>
      <w:szCs w:val="72"/>
    </w:rPr>
  </w:style>
  <w:style w:type="paragraph" w:customStyle="1" w:styleId="27">
    <w:name w:val="Body text|1"/>
    <w:basedOn w:val="1"/>
    <w:qFormat/>
    <w:uiPriority w:val="0"/>
    <w:pPr>
      <w:widowControl w:val="0"/>
      <w:shd w:val="clear" w:color="auto" w:fill="auto"/>
      <w:spacing w:line="334" w:lineRule="auto"/>
      <w:ind w:firstLine="400"/>
    </w:pPr>
    <w:rPr>
      <w:rFonts w:ascii="宋体" w:hAnsi="宋体" w:eastAsia="宋体" w:cs="宋体"/>
      <w:u w:val="none"/>
      <w:shd w:val="clear" w:color="auto" w:fill="auto"/>
      <w:lang w:val="zh-TW" w:eastAsia="zh-TW" w:bidi="zh-TW"/>
    </w:rPr>
  </w:style>
  <w:style w:type="paragraph" w:customStyle="1" w:styleId="28">
    <w:name w:val="*正文"/>
    <w:basedOn w:val="1"/>
    <w:qFormat/>
    <w:uiPriority w:val="0"/>
    <w:pPr>
      <w:widowControl/>
      <w:spacing w:line="360" w:lineRule="auto"/>
      <w:ind w:firstLine="200" w:firstLineChars="200"/>
      <w:jc w:val="left"/>
    </w:pPr>
    <w:rPr>
      <w:rFonts w:ascii="仿宋_GB2312" w:hAnsi="Calibri" w:eastAsia="仿宋_GB2312"/>
      <w:szCs w:val="28"/>
    </w:rPr>
  </w:style>
  <w:style w:type="character" w:customStyle="1" w:styleId="29">
    <w:name w:val="fontstyle01"/>
    <w:basedOn w:val="18"/>
    <w:qFormat/>
    <w:uiPriority w:val="0"/>
    <w:rPr>
      <w:rFonts w:hint="eastAsia" w:ascii="宋体" w:hAnsi="宋体" w:eastAsia="宋体"/>
      <w:color w:val="000000"/>
      <w:sz w:val="24"/>
      <w:szCs w:val="24"/>
    </w:rPr>
  </w:style>
  <w:style w:type="paragraph" w:customStyle="1" w:styleId="30">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31">
    <w:name w:val="列出段落"/>
    <w:basedOn w:val="1"/>
    <w:qFormat/>
    <w:uiPriority w:val="34"/>
    <w:pPr>
      <w:ind w:firstLine="420" w:firstLineChars="200"/>
    </w:pPr>
  </w:style>
  <w:style w:type="table" w:customStyle="1" w:styleId="32">
    <w:name w:val="Table Normal"/>
    <w:semiHidden/>
    <w:unhideWhenUsed/>
    <w:qFormat/>
    <w:uiPriority w:val="2"/>
    <w:tblPr>
      <w:tblCellMar>
        <w:top w:w="0" w:type="dxa"/>
        <w:left w:w="0" w:type="dxa"/>
        <w:bottom w:w="0" w:type="dxa"/>
        <w:right w:w="0" w:type="dxa"/>
      </w:tblCellMar>
    </w:tblPr>
  </w:style>
  <w:style w:type="table" w:customStyle="1" w:styleId="33">
    <w:name w:val="Table Normal1"/>
    <w:semiHidden/>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34">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79</Pages>
  <Words>37271</Words>
  <Characters>38729</Characters>
  <Lines>0</Lines>
  <Paragraphs>0</Paragraphs>
  <TotalTime>23</TotalTime>
  <ScaleCrop>false</ScaleCrop>
  <LinksUpToDate>false</LinksUpToDate>
  <CharactersWithSpaces>43168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2022-06-01T04:17:00Z</dcterms:created>
  <dc:creator>不才</dc:creator>
  <cp:lastModifiedBy>admin</cp:lastModifiedBy>
  <dcterms:modified xsi:type="dcterms:W3CDTF">2022-10-17T09:48:29Z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C8A3AACFE4144757883FE83036D4A91F</vt:lpwstr>
  </property>
</Properties>
</file>