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color w:val="auto"/>
          <w:sz w:val="32"/>
          <w:szCs w:val="32"/>
        </w:rPr>
      </w:pPr>
    </w:p>
    <w:p>
      <w:pPr>
        <w:spacing w:line="360" w:lineRule="auto"/>
        <w:rPr>
          <w:rFonts w:hint="eastAsia" w:ascii="宋体" w:hAnsi="宋体" w:cs="宋体"/>
          <w:color w:val="auto"/>
          <w:sz w:val="32"/>
          <w:szCs w:val="32"/>
        </w:rPr>
      </w:pPr>
    </w:p>
    <w:p>
      <w:pPr>
        <w:pStyle w:val="24"/>
        <w:adjustRightInd w:val="0"/>
        <w:snapToGrid w:val="0"/>
        <w:spacing w:line="360" w:lineRule="auto"/>
        <w:jc w:val="center"/>
        <w:outlineLvl w:val="9"/>
        <w:rPr>
          <w:rFonts w:hint="eastAsia" w:hAnsi="宋体" w:cs="宋体"/>
          <w:b/>
          <w:color w:val="auto"/>
          <w:sz w:val="76"/>
          <w:szCs w:val="84"/>
        </w:rPr>
      </w:pPr>
      <w:r>
        <w:rPr>
          <w:rFonts w:hint="eastAsia" w:hAnsi="宋体" w:cs="宋体"/>
          <w:b/>
          <w:color w:val="auto"/>
          <w:sz w:val="76"/>
          <w:szCs w:val="84"/>
        </w:rPr>
        <w:t>竞争性磋商文件</w:t>
      </w:r>
    </w:p>
    <w:p>
      <w:pPr>
        <w:pStyle w:val="24"/>
        <w:adjustRightInd w:val="0"/>
        <w:snapToGrid w:val="0"/>
        <w:spacing w:line="360" w:lineRule="auto"/>
        <w:jc w:val="center"/>
        <w:outlineLvl w:val="9"/>
        <w:rPr>
          <w:rFonts w:hint="eastAsia" w:hAnsi="宋体" w:eastAsia="宋体" w:cs="Times New Roman"/>
          <w:b/>
          <w:bCs/>
          <w:color w:val="auto"/>
          <w:kern w:val="0"/>
          <w:sz w:val="30"/>
          <w:szCs w:val="30"/>
          <w:u w:val="none"/>
          <w:lang w:val="en-US" w:eastAsia="zh-CN" w:bidi="ar-SA"/>
        </w:rPr>
      </w:pPr>
      <w:r>
        <w:rPr>
          <w:rFonts w:hint="eastAsia" w:hAnsi="宋体" w:eastAsia="宋体" w:cs="Times New Roman"/>
          <w:b/>
          <w:bCs/>
          <w:color w:val="auto"/>
          <w:kern w:val="0"/>
          <w:sz w:val="30"/>
          <w:szCs w:val="30"/>
          <w:u w:val="none"/>
          <w:lang w:val="en-US" w:eastAsia="zh-CN" w:bidi="ar-SA"/>
        </w:rPr>
        <w:t>（项目</w:t>
      </w:r>
      <w:r>
        <w:rPr>
          <w:rFonts w:hint="eastAsia" w:ascii="宋体" w:hAnsi="宋体" w:eastAsia="宋体" w:cs="Times New Roman"/>
          <w:b/>
          <w:bCs/>
          <w:color w:val="auto"/>
          <w:kern w:val="0"/>
          <w:sz w:val="30"/>
          <w:szCs w:val="30"/>
          <w:u w:val="none"/>
          <w:lang w:val="en-US" w:eastAsia="zh-CN" w:bidi="ar-SA"/>
        </w:rPr>
        <w:t>编号：XJQSQZB202</w:t>
      </w:r>
      <w:r>
        <w:rPr>
          <w:rFonts w:hint="eastAsia" w:hAnsi="宋体" w:cs="Times New Roman"/>
          <w:b/>
          <w:bCs/>
          <w:color w:val="auto"/>
          <w:kern w:val="0"/>
          <w:sz w:val="30"/>
          <w:szCs w:val="30"/>
          <w:u w:val="none"/>
          <w:lang w:val="en-US" w:eastAsia="zh-CN" w:bidi="ar-SA"/>
        </w:rPr>
        <w:t>2</w:t>
      </w:r>
      <w:r>
        <w:rPr>
          <w:rFonts w:hint="eastAsia" w:ascii="宋体" w:hAnsi="宋体" w:eastAsia="宋体" w:cs="Times New Roman"/>
          <w:b/>
          <w:bCs/>
          <w:color w:val="auto"/>
          <w:kern w:val="0"/>
          <w:sz w:val="30"/>
          <w:szCs w:val="30"/>
          <w:u w:val="none"/>
          <w:lang w:val="en-US" w:eastAsia="zh-CN" w:bidi="ar-SA"/>
        </w:rPr>
        <w:t>-0</w:t>
      </w:r>
      <w:r>
        <w:rPr>
          <w:rFonts w:hint="eastAsia" w:hAnsi="宋体" w:cs="Times New Roman"/>
          <w:b/>
          <w:bCs/>
          <w:color w:val="auto"/>
          <w:kern w:val="0"/>
          <w:sz w:val="30"/>
          <w:szCs w:val="30"/>
          <w:u w:val="none"/>
          <w:lang w:val="en-US" w:eastAsia="zh-CN" w:bidi="ar-SA"/>
        </w:rPr>
        <w:t>23-02</w:t>
      </w:r>
      <w:r>
        <w:rPr>
          <w:rFonts w:hint="eastAsia" w:hAnsi="宋体" w:eastAsia="宋体" w:cs="Times New Roman"/>
          <w:b/>
          <w:bCs/>
          <w:color w:val="auto"/>
          <w:kern w:val="0"/>
          <w:sz w:val="30"/>
          <w:szCs w:val="30"/>
          <w:u w:val="none"/>
          <w:lang w:val="en-US" w:eastAsia="zh-CN" w:bidi="ar-SA"/>
        </w:rPr>
        <w:t>）</w:t>
      </w:r>
    </w:p>
    <w:p>
      <w:pPr>
        <w:pStyle w:val="24"/>
        <w:adjustRightInd w:val="0"/>
        <w:snapToGrid w:val="0"/>
        <w:spacing w:line="360" w:lineRule="auto"/>
        <w:ind w:firstLine="2400" w:firstLineChars="800"/>
        <w:jc w:val="both"/>
        <w:rPr>
          <w:rFonts w:hint="eastAsia" w:hAnsi="宋体" w:eastAsia="宋体" w:cs="Times New Roman"/>
          <w:color w:val="auto"/>
          <w:kern w:val="0"/>
          <w:sz w:val="30"/>
          <w:szCs w:val="30"/>
          <w:u w:val="none"/>
          <w:lang w:val="en-US" w:eastAsia="zh-CN" w:bidi="ar-SA"/>
        </w:rPr>
      </w:pPr>
    </w:p>
    <w:p>
      <w:pPr>
        <w:pStyle w:val="24"/>
        <w:adjustRightInd w:val="0"/>
        <w:snapToGrid w:val="0"/>
        <w:spacing w:line="360" w:lineRule="auto"/>
        <w:ind w:firstLine="2400" w:firstLineChars="800"/>
        <w:jc w:val="both"/>
        <w:rPr>
          <w:rFonts w:hint="eastAsia" w:hAnsi="宋体" w:eastAsia="宋体" w:cs="Times New Roman"/>
          <w:color w:val="auto"/>
          <w:kern w:val="0"/>
          <w:sz w:val="30"/>
          <w:szCs w:val="30"/>
          <w:u w:val="none"/>
          <w:lang w:val="en-US" w:eastAsia="zh-CN" w:bidi="ar-SA"/>
        </w:rPr>
      </w:pPr>
    </w:p>
    <w:p>
      <w:pPr>
        <w:pStyle w:val="24"/>
        <w:adjustRightInd w:val="0"/>
        <w:snapToGrid w:val="0"/>
        <w:spacing w:line="360" w:lineRule="auto"/>
        <w:ind w:firstLine="2400" w:firstLineChars="800"/>
        <w:jc w:val="both"/>
        <w:rPr>
          <w:rFonts w:hint="eastAsia" w:hAnsi="宋体" w:eastAsia="宋体" w:cs="Times New Roman"/>
          <w:color w:val="auto"/>
          <w:kern w:val="0"/>
          <w:sz w:val="30"/>
          <w:szCs w:val="30"/>
          <w:u w:val="none"/>
          <w:lang w:val="en-US" w:eastAsia="zh-CN" w:bidi="ar-SA"/>
        </w:rPr>
      </w:pPr>
    </w:p>
    <w:p>
      <w:pPr>
        <w:pStyle w:val="24"/>
        <w:adjustRightInd w:val="0"/>
        <w:snapToGrid w:val="0"/>
        <w:spacing w:line="360" w:lineRule="auto"/>
        <w:ind w:firstLine="2400" w:firstLineChars="800"/>
        <w:jc w:val="both"/>
        <w:rPr>
          <w:rFonts w:hint="eastAsia" w:hAnsi="宋体" w:eastAsia="宋体" w:cs="Times New Roman"/>
          <w:color w:val="auto"/>
          <w:kern w:val="0"/>
          <w:sz w:val="30"/>
          <w:szCs w:val="30"/>
          <w:u w:val="none"/>
          <w:lang w:val="en-US" w:eastAsia="zh-CN" w:bidi="ar-SA"/>
        </w:rPr>
      </w:pPr>
    </w:p>
    <w:p>
      <w:pPr>
        <w:pStyle w:val="24"/>
        <w:adjustRightInd w:val="0"/>
        <w:snapToGrid w:val="0"/>
        <w:spacing w:line="360" w:lineRule="auto"/>
        <w:ind w:firstLine="2400" w:firstLineChars="800"/>
        <w:jc w:val="both"/>
        <w:rPr>
          <w:rFonts w:hint="eastAsia" w:hAnsi="宋体" w:eastAsia="宋体" w:cs="Times New Roman"/>
          <w:color w:val="auto"/>
          <w:kern w:val="0"/>
          <w:sz w:val="30"/>
          <w:szCs w:val="30"/>
          <w:u w:val="none"/>
          <w:lang w:val="en-US" w:eastAsia="zh-CN" w:bidi="ar-SA"/>
        </w:rPr>
      </w:pP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left="2396" w:leftChars="284" w:right="0" w:rightChars="0" w:hanging="1800" w:hangingChars="600"/>
        <w:textAlignment w:val="auto"/>
        <w:outlineLvl w:val="9"/>
        <w:rPr>
          <w:rFonts w:hint="eastAsia" w:ascii="宋体" w:hAnsi="宋体"/>
          <w:color w:val="auto"/>
          <w:kern w:val="0"/>
          <w:sz w:val="30"/>
          <w:szCs w:val="30"/>
          <w:u w:val="single"/>
          <w:lang w:eastAsia="zh-CN"/>
        </w:rPr>
      </w:pPr>
      <w:r>
        <w:rPr>
          <w:rFonts w:hint="eastAsia" w:ascii="宋体" w:hAnsi="宋体"/>
          <w:color w:val="auto"/>
          <w:kern w:val="0"/>
          <w:sz w:val="30"/>
          <w:szCs w:val="30"/>
          <w:lang w:eastAsia="zh-CN"/>
        </w:rPr>
        <w:t>项目</w:t>
      </w:r>
      <w:r>
        <w:rPr>
          <w:rFonts w:hint="eastAsia" w:ascii="宋体" w:hAnsi="宋体"/>
          <w:color w:val="auto"/>
          <w:kern w:val="0"/>
          <w:sz w:val="30"/>
          <w:szCs w:val="30"/>
        </w:rPr>
        <w:t>名称</w:t>
      </w:r>
      <w:r>
        <w:rPr>
          <w:rFonts w:hint="eastAsia" w:ascii="宋体" w:hAnsi="宋体"/>
          <w:color w:val="auto"/>
          <w:kern w:val="0"/>
          <w:sz w:val="30"/>
          <w:szCs w:val="30"/>
          <w:lang w:eastAsia="zh-CN"/>
        </w:rPr>
        <w:t>：</w:t>
      </w:r>
      <w:r>
        <w:rPr>
          <w:rFonts w:hint="eastAsia" w:ascii="宋体" w:hAnsi="宋体"/>
          <w:color w:val="auto"/>
          <w:kern w:val="0"/>
          <w:sz w:val="30"/>
          <w:szCs w:val="30"/>
          <w:u w:val="single"/>
          <w:lang w:eastAsia="zh-CN"/>
        </w:rPr>
        <w:t>伊犁哈萨克自治州医疗保障局医疗服务与保障能力</w:t>
      </w: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left="2387" w:leftChars="994" w:right="0" w:rightChars="0" w:hanging="300" w:hangingChars="100"/>
        <w:textAlignment w:val="auto"/>
        <w:outlineLvl w:val="9"/>
        <w:rPr>
          <w:rFonts w:hint="eastAsia" w:ascii="宋体" w:hAnsi="宋体"/>
          <w:color w:val="auto"/>
          <w:kern w:val="0"/>
          <w:sz w:val="30"/>
          <w:szCs w:val="30"/>
          <w:u w:val="single"/>
          <w:lang w:val="en-US" w:eastAsia="zh-CN"/>
        </w:rPr>
      </w:pPr>
      <w:r>
        <w:rPr>
          <w:rFonts w:hint="eastAsia" w:ascii="宋体" w:hAnsi="宋体"/>
          <w:color w:val="auto"/>
          <w:kern w:val="0"/>
          <w:sz w:val="30"/>
          <w:szCs w:val="30"/>
          <w:u w:val="single"/>
          <w:lang w:eastAsia="zh-CN"/>
        </w:rPr>
        <w:t>提升项目</w:t>
      </w:r>
      <w:r>
        <w:rPr>
          <w:rFonts w:hint="eastAsia" w:ascii="宋体" w:hAnsi="宋体"/>
          <w:color w:val="auto"/>
          <w:kern w:val="0"/>
          <w:sz w:val="30"/>
          <w:szCs w:val="30"/>
          <w:u w:val="single"/>
          <w:lang w:val="en-US" w:eastAsia="zh-CN"/>
        </w:rPr>
        <w:t xml:space="preserve">(标项2) </w:t>
      </w: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ascii="宋体" w:hAnsi="宋体"/>
          <w:color w:val="auto"/>
          <w:kern w:val="0"/>
          <w:sz w:val="30"/>
          <w:szCs w:val="30"/>
        </w:rPr>
      </w:pPr>
      <w:r>
        <w:rPr>
          <w:rFonts w:hint="eastAsia" w:ascii="宋体" w:hAnsi="宋体"/>
          <w:color w:val="auto"/>
          <w:kern w:val="0"/>
          <w:sz w:val="30"/>
          <w:szCs w:val="30"/>
          <w:lang w:eastAsia="zh-CN"/>
        </w:rPr>
        <w:t>采购</w:t>
      </w:r>
      <w:r>
        <w:rPr>
          <w:rFonts w:hint="eastAsia" w:ascii="宋体" w:hAnsi="宋体"/>
          <w:color w:val="auto"/>
          <w:kern w:val="0"/>
          <w:sz w:val="30"/>
          <w:szCs w:val="30"/>
        </w:rPr>
        <w:t>单位：</w:t>
      </w:r>
      <w:r>
        <w:rPr>
          <w:rFonts w:hint="eastAsia" w:ascii="宋体" w:hAnsi="宋体"/>
          <w:color w:val="auto"/>
          <w:kern w:val="0"/>
          <w:sz w:val="30"/>
          <w:szCs w:val="30"/>
          <w:u w:val="single"/>
          <w:lang w:eastAsia="zh-CN"/>
        </w:rPr>
        <w:t>伊犁哈萨克自治州医疗保障局</w:t>
      </w:r>
      <w:r>
        <w:rPr>
          <w:rFonts w:hint="eastAsia" w:ascii="宋体" w:hAnsi="宋体"/>
          <w:color w:val="auto"/>
          <w:kern w:val="0"/>
          <w:sz w:val="30"/>
          <w:szCs w:val="30"/>
        </w:rPr>
        <w:t>（盖章）</w:t>
      </w: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default" w:ascii="宋体" w:hAnsi="宋体"/>
          <w:bCs/>
          <w:color w:val="auto"/>
          <w:kern w:val="0"/>
          <w:sz w:val="32"/>
          <w:szCs w:val="32"/>
          <w:u w:val="single"/>
          <w:lang w:val="en-US"/>
        </w:rPr>
      </w:pPr>
      <w:r>
        <w:rPr>
          <w:rFonts w:hint="eastAsia" w:ascii="宋体" w:hAnsi="宋体"/>
          <w:color w:val="auto"/>
          <w:kern w:val="0"/>
          <w:sz w:val="30"/>
          <w:szCs w:val="30"/>
        </w:rPr>
        <w:t>项目联系人：</w:t>
      </w:r>
      <w:r>
        <w:rPr>
          <w:rFonts w:hint="eastAsia" w:ascii="宋体" w:hAnsi="宋体"/>
          <w:color w:val="auto"/>
          <w:kern w:val="0"/>
          <w:sz w:val="30"/>
          <w:szCs w:val="30"/>
          <w:u w:val="single"/>
          <w:lang w:val="en-US" w:eastAsia="zh-CN"/>
        </w:rPr>
        <w:t xml:space="preserve"> 靳建辉 </w:t>
      </w:r>
      <w:r>
        <w:rPr>
          <w:rFonts w:hint="eastAsia"/>
          <w:bCs/>
          <w:color w:val="auto"/>
          <w:sz w:val="32"/>
          <w:szCs w:val="32"/>
          <w:lang w:val="en-US" w:eastAsia="zh-CN"/>
        </w:rPr>
        <w:t xml:space="preserve">   </w:t>
      </w:r>
      <w:r>
        <w:rPr>
          <w:rFonts w:hint="eastAsia" w:ascii="宋体" w:hAnsi="宋体"/>
          <w:color w:val="auto"/>
          <w:kern w:val="0"/>
          <w:sz w:val="30"/>
          <w:szCs w:val="30"/>
        </w:rPr>
        <w:t>联系电话：</w:t>
      </w:r>
      <w:r>
        <w:rPr>
          <w:rFonts w:hint="eastAsia" w:ascii="仿宋" w:hAnsi="仿宋" w:eastAsia="仿宋"/>
          <w:color w:val="auto"/>
          <w:sz w:val="28"/>
          <w:szCs w:val="28"/>
          <w:u w:val="single"/>
          <w:lang w:val="en-US" w:eastAsia="zh-CN"/>
        </w:rPr>
        <w:t>0999-8020025</w:t>
      </w: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ascii="宋体" w:hAnsi="宋体"/>
          <w:color w:val="auto"/>
          <w:kern w:val="0"/>
          <w:sz w:val="30"/>
          <w:szCs w:val="30"/>
        </w:rPr>
      </w:pPr>
      <w:r>
        <w:rPr>
          <w:rFonts w:hint="eastAsia" w:ascii="宋体" w:hAnsi="宋体"/>
          <w:color w:val="auto"/>
          <w:kern w:val="0"/>
          <w:sz w:val="30"/>
          <w:szCs w:val="30"/>
        </w:rPr>
        <w:t>招标代理机构：</w:t>
      </w:r>
      <w:r>
        <w:rPr>
          <w:rFonts w:hint="eastAsia" w:ascii="宋体" w:hAnsi="宋体"/>
          <w:color w:val="auto"/>
          <w:kern w:val="0"/>
          <w:sz w:val="30"/>
          <w:szCs w:val="30"/>
          <w:u w:val="single"/>
          <w:lang w:eastAsia="zh-CN"/>
        </w:rPr>
        <w:t>新疆齐盛泉工程项目管理有限公司</w:t>
      </w:r>
      <w:r>
        <w:rPr>
          <w:rFonts w:hint="eastAsia" w:ascii="宋体" w:hAnsi="宋体"/>
          <w:color w:val="auto"/>
          <w:kern w:val="0"/>
          <w:sz w:val="30"/>
          <w:szCs w:val="30"/>
        </w:rPr>
        <w:t>（公章）</w:t>
      </w:r>
    </w:p>
    <w:p>
      <w:pPr>
        <w:pStyle w:val="222"/>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ascii="宋体" w:hAnsi="宋体"/>
          <w:bCs/>
          <w:color w:val="auto"/>
          <w:kern w:val="0"/>
          <w:sz w:val="30"/>
          <w:szCs w:val="30"/>
        </w:rPr>
      </w:pPr>
      <w:r>
        <w:rPr>
          <w:rFonts w:hint="eastAsia" w:ascii="宋体" w:hAnsi="宋体"/>
          <w:color w:val="auto"/>
          <w:kern w:val="0"/>
          <w:sz w:val="30"/>
          <w:szCs w:val="30"/>
        </w:rPr>
        <w:t>项目负责人：</w:t>
      </w:r>
      <w:r>
        <w:rPr>
          <w:rFonts w:hint="eastAsia" w:ascii="宋体" w:hAnsi="宋体"/>
          <w:color w:val="auto"/>
          <w:kern w:val="0"/>
          <w:sz w:val="30"/>
          <w:szCs w:val="30"/>
          <w:u w:val="single"/>
          <w:lang w:eastAsia="zh-CN"/>
        </w:rPr>
        <w:t>李文婷</w:t>
      </w:r>
      <w:r>
        <w:rPr>
          <w:rFonts w:hint="eastAsia" w:ascii="宋体" w:hAnsi="宋体"/>
          <w:color w:val="auto"/>
          <w:kern w:val="0"/>
          <w:sz w:val="30"/>
          <w:szCs w:val="30"/>
        </w:rPr>
        <w:t xml:space="preserve"> </w:t>
      </w:r>
      <w:r>
        <w:rPr>
          <w:rFonts w:hint="eastAsia" w:ascii="宋体" w:hAnsi="宋体"/>
          <w:color w:val="auto"/>
          <w:kern w:val="0"/>
          <w:sz w:val="30"/>
          <w:szCs w:val="30"/>
          <w:lang w:val="en-US" w:eastAsia="zh-CN"/>
        </w:rPr>
        <w:t xml:space="preserve">  </w:t>
      </w:r>
      <w:r>
        <w:rPr>
          <w:rFonts w:hint="eastAsia" w:ascii="宋体" w:hAnsi="宋体"/>
          <w:color w:val="auto"/>
          <w:kern w:val="0"/>
          <w:sz w:val="30"/>
          <w:szCs w:val="30"/>
        </w:rPr>
        <w:t>联系电话：</w:t>
      </w:r>
      <w:r>
        <w:rPr>
          <w:rFonts w:hint="eastAsia" w:ascii="宋体" w:hAnsi="宋体"/>
          <w:color w:val="auto"/>
          <w:kern w:val="0"/>
          <w:sz w:val="30"/>
          <w:szCs w:val="30"/>
          <w:u w:val="single"/>
          <w:lang w:eastAsia="zh-CN"/>
        </w:rPr>
        <w:t>0999-8800077</w:t>
      </w:r>
      <w:r>
        <w:rPr>
          <w:rFonts w:hint="eastAsia" w:ascii="宋体" w:hAnsi="宋体"/>
          <w:color w:val="auto"/>
          <w:kern w:val="0"/>
          <w:sz w:val="30"/>
          <w:szCs w:val="30"/>
          <w:u w:val="single"/>
          <w:lang w:val="en-US" w:eastAsia="zh-CN"/>
        </w:rPr>
        <w:t xml:space="preserve">   </w:t>
      </w:r>
    </w:p>
    <w:p>
      <w:pPr>
        <w:keepNext w:val="0"/>
        <w:keepLines w:val="0"/>
        <w:pageBreakBefore w:val="0"/>
        <w:widowControl w:val="0"/>
        <w:tabs>
          <w:tab w:val="left" w:pos="4980"/>
        </w:tabs>
        <w:kinsoku/>
        <w:wordWrap/>
        <w:overflowPunct/>
        <w:topLinePunct w:val="0"/>
        <w:bidi w:val="0"/>
        <w:snapToGrid/>
        <w:spacing w:line="900" w:lineRule="exact"/>
        <w:ind w:left="0" w:leftChars="0" w:right="0" w:rightChars="0" w:firstLine="2100" w:firstLineChars="700"/>
        <w:jc w:val="both"/>
        <w:textAlignment w:val="auto"/>
        <w:outlineLvl w:val="9"/>
        <w:rPr>
          <w:rFonts w:hint="eastAsia" w:ascii="宋体" w:hAnsi="宋体"/>
          <w:bCs/>
          <w:color w:val="auto"/>
          <w:kern w:val="0"/>
          <w:sz w:val="30"/>
          <w:szCs w:val="30"/>
        </w:rPr>
      </w:pPr>
    </w:p>
    <w:p>
      <w:pPr>
        <w:pStyle w:val="3"/>
        <w:rPr>
          <w:rFonts w:hint="eastAsia"/>
          <w:color w:val="auto"/>
        </w:rPr>
      </w:pPr>
    </w:p>
    <w:p>
      <w:pPr>
        <w:keepNext w:val="0"/>
        <w:keepLines w:val="0"/>
        <w:pageBreakBefore w:val="0"/>
        <w:widowControl w:val="0"/>
        <w:tabs>
          <w:tab w:val="left" w:pos="4980"/>
        </w:tabs>
        <w:kinsoku/>
        <w:wordWrap/>
        <w:overflowPunct/>
        <w:topLinePunct w:val="0"/>
        <w:bidi w:val="0"/>
        <w:snapToGrid/>
        <w:spacing w:line="900" w:lineRule="exact"/>
        <w:ind w:left="0" w:leftChars="0" w:right="0" w:rightChars="0" w:firstLine="3000" w:firstLineChars="1000"/>
        <w:jc w:val="both"/>
        <w:textAlignment w:val="auto"/>
        <w:outlineLvl w:val="9"/>
        <w:rPr>
          <w:rFonts w:hint="eastAsia" w:ascii="宋体" w:hAnsi="宋体"/>
          <w:bCs/>
          <w:color w:val="auto"/>
          <w:kern w:val="0"/>
          <w:sz w:val="30"/>
          <w:szCs w:val="30"/>
        </w:rPr>
      </w:pPr>
      <w:r>
        <w:rPr>
          <w:rFonts w:hint="eastAsia" w:ascii="宋体" w:hAnsi="宋体"/>
          <w:bCs/>
          <w:color w:val="auto"/>
          <w:kern w:val="0"/>
          <w:sz w:val="30"/>
          <w:szCs w:val="30"/>
          <w:u w:val="none"/>
        </w:rPr>
        <w:t xml:space="preserve"> </w:t>
      </w:r>
      <w:r>
        <w:rPr>
          <w:rFonts w:hint="eastAsia" w:ascii="宋体" w:hAnsi="宋体"/>
          <w:bCs/>
          <w:color w:val="auto"/>
          <w:kern w:val="0"/>
          <w:sz w:val="30"/>
          <w:szCs w:val="30"/>
          <w:u w:val="none"/>
          <w:lang w:val="en-US" w:eastAsia="zh-CN"/>
        </w:rPr>
        <w:t>2022</w:t>
      </w:r>
      <w:r>
        <w:rPr>
          <w:rFonts w:hint="eastAsia" w:ascii="宋体" w:hAnsi="宋体"/>
          <w:bCs/>
          <w:color w:val="auto"/>
          <w:kern w:val="0"/>
          <w:sz w:val="30"/>
          <w:szCs w:val="30"/>
        </w:rPr>
        <w:t>年</w:t>
      </w:r>
      <w:r>
        <w:rPr>
          <w:rFonts w:hint="eastAsia" w:ascii="宋体" w:hAnsi="宋体"/>
          <w:bCs/>
          <w:color w:val="auto"/>
          <w:kern w:val="0"/>
          <w:sz w:val="30"/>
          <w:szCs w:val="30"/>
          <w:u w:val="none"/>
          <w:lang w:val="en-US" w:eastAsia="zh-CN"/>
        </w:rPr>
        <w:t>8</w:t>
      </w:r>
      <w:r>
        <w:rPr>
          <w:rFonts w:hint="eastAsia" w:ascii="宋体" w:hAnsi="宋体"/>
          <w:bCs/>
          <w:color w:val="auto"/>
          <w:kern w:val="0"/>
          <w:sz w:val="30"/>
          <w:szCs w:val="30"/>
          <w:u w:val="none"/>
        </w:rPr>
        <w:t xml:space="preserve">月 </w:t>
      </w:r>
    </w:p>
    <w:p>
      <w:pPr>
        <w:pStyle w:val="24"/>
        <w:adjustRightInd w:val="0"/>
        <w:snapToGrid w:val="0"/>
        <w:spacing w:line="360" w:lineRule="auto"/>
        <w:jc w:val="both"/>
        <w:outlineLvl w:val="9"/>
        <w:rPr>
          <w:rFonts w:hint="eastAsia" w:hAnsi="宋体" w:cs="宋体"/>
          <w:b/>
          <w:color w:val="auto"/>
          <w:spacing w:val="160"/>
          <w:sz w:val="36"/>
          <w:szCs w:val="36"/>
        </w:rPr>
        <w:sectPr>
          <w:footerReference r:id="rId5" w:type="first"/>
          <w:headerReference r:id="rId3" w:type="default"/>
          <w:footerReference r:id="rId4" w:type="default"/>
          <w:type w:val="continuous"/>
          <w:pgSz w:w="11906" w:h="16838"/>
          <w:pgMar w:top="1440" w:right="1286" w:bottom="1440" w:left="1800" w:header="851" w:footer="992" w:gutter="0"/>
          <w:pgBorders w:offsetFrom="page">
            <w:top w:val="none" w:sz="0" w:space="0"/>
            <w:left w:val="none" w:sz="0" w:space="0"/>
            <w:bottom w:val="none" w:sz="0" w:space="0"/>
            <w:right w:val="none" w:sz="0" w:space="0"/>
          </w:pgBorders>
          <w:pgNumType w:fmt="decimal"/>
          <w:cols w:space="720" w:num="1"/>
          <w:titlePg/>
          <w:docGrid w:type="lines" w:linePitch="312" w:charSpace="0"/>
        </w:sectPr>
      </w:pPr>
    </w:p>
    <w:p>
      <w:pPr>
        <w:pStyle w:val="24"/>
        <w:adjustRightInd w:val="0"/>
        <w:snapToGrid w:val="0"/>
        <w:spacing w:line="360" w:lineRule="auto"/>
        <w:jc w:val="center"/>
        <w:outlineLvl w:val="9"/>
        <w:rPr>
          <w:rFonts w:hint="eastAsia" w:hAnsi="宋体" w:cs="宋体"/>
          <w:b/>
          <w:color w:val="auto"/>
          <w:spacing w:val="160"/>
          <w:sz w:val="36"/>
          <w:szCs w:val="36"/>
        </w:rPr>
      </w:pPr>
      <w:r>
        <w:rPr>
          <w:rFonts w:hint="eastAsia" w:hAnsi="宋体" w:cs="宋体"/>
          <w:b/>
          <w:color w:val="auto"/>
          <w:spacing w:val="160"/>
          <w:sz w:val="36"/>
          <w:szCs w:val="36"/>
        </w:rPr>
        <w:t>目录</w:t>
      </w:r>
    </w:p>
    <w:p>
      <w:pPr>
        <w:pStyle w:val="24"/>
        <w:adjustRightInd w:val="0"/>
        <w:snapToGrid w:val="0"/>
        <w:spacing w:line="360" w:lineRule="auto"/>
        <w:rPr>
          <w:rFonts w:hint="eastAsia" w:hAnsi="宋体" w:cs="宋体"/>
          <w:b/>
          <w:color w:val="auto"/>
          <w:sz w:val="24"/>
          <w:szCs w:val="24"/>
        </w:rPr>
      </w:pPr>
    </w:p>
    <w:p>
      <w:pPr>
        <w:pStyle w:val="24"/>
        <w:adjustRightInd w:val="0"/>
        <w:snapToGrid w:val="0"/>
        <w:spacing w:line="360" w:lineRule="auto"/>
        <w:outlineLvl w:val="9"/>
        <w:rPr>
          <w:rFonts w:hint="eastAsia" w:hAnsi="宋体" w:cs="宋体"/>
          <w:b/>
          <w:color w:val="auto"/>
          <w:sz w:val="24"/>
          <w:szCs w:val="24"/>
        </w:rPr>
      </w:pPr>
      <w:r>
        <w:rPr>
          <w:rFonts w:hint="eastAsia" w:hAnsi="宋体" w:cs="宋体"/>
          <w:b/>
          <w:color w:val="auto"/>
          <w:sz w:val="24"/>
          <w:szCs w:val="24"/>
        </w:rPr>
        <w:t>第一章  磋商</w:t>
      </w:r>
      <w:r>
        <w:rPr>
          <w:rFonts w:hint="eastAsia" w:hAnsi="宋体" w:cs="宋体"/>
          <w:b/>
          <w:color w:val="auto"/>
          <w:sz w:val="24"/>
          <w:szCs w:val="24"/>
          <w:lang w:eastAsia="zh-CN"/>
        </w:rPr>
        <w:t>公告</w:t>
      </w:r>
      <w:r>
        <w:rPr>
          <w:rFonts w:hint="eastAsia" w:hAnsi="宋体" w:cs="宋体"/>
          <w:b/>
          <w:color w:val="auto"/>
          <w:sz w:val="24"/>
          <w:szCs w:val="24"/>
        </w:rPr>
        <w:t>…………………………………………………………………1</w:t>
      </w:r>
    </w:p>
    <w:p>
      <w:pPr>
        <w:pStyle w:val="24"/>
        <w:adjustRightInd w:val="0"/>
        <w:snapToGrid w:val="0"/>
        <w:spacing w:line="360" w:lineRule="auto"/>
        <w:outlineLvl w:val="9"/>
        <w:rPr>
          <w:rFonts w:hint="eastAsia" w:hAnsi="宋体" w:eastAsia="宋体" w:cs="宋体"/>
          <w:b/>
          <w:color w:val="auto"/>
          <w:sz w:val="24"/>
          <w:szCs w:val="24"/>
          <w:lang w:eastAsia="zh-CN"/>
        </w:rPr>
      </w:pPr>
      <w:r>
        <w:rPr>
          <w:rFonts w:hint="eastAsia" w:hAnsi="宋体" w:cs="宋体"/>
          <w:b/>
          <w:color w:val="auto"/>
          <w:sz w:val="24"/>
          <w:szCs w:val="24"/>
        </w:rPr>
        <w:t>第二章  磋商须知…………………………………………………………………</w:t>
      </w:r>
      <w:r>
        <w:rPr>
          <w:rFonts w:hint="eastAsia" w:hAnsi="宋体" w:cs="宋体"/>
          <w:b/>
          <w:color w:val="auto"/>
          <w:sz w:val="24"/>
          <w:szCs w:val="24"/>
          <w:lang w:val="en-US" w:eastAsia="zh-CN"/>
        </w:rPr>
        <w:t>6</w:t>
      </w:r>
    </w:p>
    <w:p>
      <w:pPr>
        <w:tabs>
          <w:tab w:val="left" w:pos="1440"/>
        </w:tabs>
        <w:adjustRightInd w:val="0"/>
        <w:snapToGrid w:val="0"/>
        <w:spacing w:line="360" w:lineRule="auto"/>
        <w:ind w:firstLine="480" w:firstLineChars="200"/>
        <w:outlineLvl w:val="9"/>
        <w:rPr>
          <w:rFonts w:hint="eastAsia" w:ascii="宋体" w:hAnsi="宋体" w:eastAsia="宋体" w:cs="宋体"/>
          <w:color w:val="auto"/>
          <w:sz w:val="24"/>
          <w:lang w:eastAsia="zh-CN"/>
        </w:rPr>
      </w:pPr>
      <w:r>
        <w:rPr>
          <w:rFonts w:hint="eastAsia" w:ascii="宋体" w:hAnsi="宋体" w:cs="宋体"/>
          <w:color w:val="auto"/>
          <w:sz w:val="24"/>
        </w:rPr>
        <w:t>磋商须知前附表</w:t>
      </w:r>
      <w:r>
        <w:rPr>
          <w:rFonts w:hint="eastAsia" w:ascii="宋体" w:hAnsi="宋体" w:cs="宋体"/>
          <w:b/>
          <w:color w:val="auto"/>
          <w:sz w:val="24"/>
        </w:rPr>
        <w:t>………………………………………………………………</w:t>
      </w:r>
      <w:r>
        <w:rPr>
          <w:rFonts w:hint="eastAsia" w:ascii="宋体" w:hAnsi="宋体" w:cs="宋体"/>
          <w:b/>
          <w:color w:val="auto"/>
          <w:sz w:val="24"/>
          <w:lang w:val="en-US" w:eastAsia="zh-CN"/>
        </w:rPr>
        <w:t>6</w:t>
      </w:r>
    </w:p>
    <w:p>
      <w:pPr>
        <w:tabs>
          <w:tab w:val="left" w:pos="1440"/>
        </w:tabs>
        <w:adjustRightInd w:val="0"/>
        <w:snapToGrid w:val="0"/>
        <w:spacing w:line="360" w:lineRule="auto"/>
        <w:ind w:firstLine="480" w:firstLineChars="200"/>
        <w:outlineLvl w:val="9"/>
        <w:rPr>
          <w:rFonts w:hint="default" w:ascii="宋体" w:hAnsi="宋体" w:eastAsia="宋体" w:cs="宋体"/>
          <w:color w:val="auto"/>
          <w:sz w:val="24"/>
          <w:lang w:val="en-US" w:eastAsia="zh-CN"/>
        </w:rPr>
      </w:pPr>
      <w:r>
        <w:rPr>
          <w:rFonts w:hint="eastAsia" w:ascii="宋体" w:hAnsi="宋体" w:cs="宋体"/>
          <w:color w:val="auto"/>
          <w:sz w:val="24"/>
        </w:rPr>
        <w:t>磋商须知正文</w:t>
      </w:r>
      <w:r>
        <w:rPr>
          <w:rFonts w:hint="eastAsia" w:ascii="宋体" w:hAnsi="宋体" w:cs="宋体"/>
          <w:b/>
          <w:color w:val="auto"/>
          <w:sz w:val="24"/>
        </w:rPr>
        <w:t>…………………………………………………………………</w:t>
      </w:r>
      <w:r>
        <w:rPr>
          <w:rFonts w:hint="eastAsia" w:ascii="宋体" w:hAnsi="宋体" w:cs="宋体"/>
          <w:b/>
          <w:color w:val="auto"/>
          <w:sz w:val="24"/>
          <w:lang w:val="en-US" w:eastAsia="zh-CN"/>
        </w:rPr>
        <w:t>11</w:t>
      </w:r>
    </w:p>
    <w:p>
      <w:pPr>
        <w:tabs>
          <w:tab w:val="left" w:pos="1440"/>
        </w:tabs>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一、说明…</w:t>
      </w:r>
      <w:r>
        <w:rPr>
          <w:rFonts w:hint="eastAsia" w:ascii="宋体" w:hAnsi="宋体" w:cs="宋体"/>
          <w:b/>
          <w:color w:val="auto"/>
          <w:sz w:val="24"/>
        </w:rPr>
        <w:t>…………………………………………………………………</w:t>
      </w:r>
      <w:r>
        <w:rPr>
          <w:rFonts w:hint="eastAsia" w:ascii="宋体" w:hAnsi="宋体" w:cs="宋体"/>
          <w:b/>
          <w:color w:val="auto"/>
          <w:sz w:val="24"/>
          <w:lang w:val="en-US" w:eastAsia="zh-CN"/>
        </w:rPr>
        <w:t>11</w:t>
      </w:r>
    </w:p>
    <w:p>
      <w:pPr>
        <w:tabs>
          <w:tab w:val="left" w:pos="1440"/>
        </w:tabs>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二、</w:t>
      </w:r>
      <w:r>
        <w:rPr>
          <w:rFonts w:hint="eastAsia" w:ascii="宋体" w:hAnsi="宋体" w:cs="宋体"/>
          <w:bCs/>
          <w:color w:val="auto"/>
          <w:sz w:val="24"/>
        </w:rPr>
        <w:t>磋商文件</w:t>
      </w:r>
      <w:r>
        <w:rPr>
          <w:rFonts w:hint="eastAsia" w:ascii="宋体" w:hAnsi="宋体" w:cs="宋体"/>
          <w:b/>
          <w:color w:val="auto"/>
          <w:sz w:val="24"/>
        </w:rPr>
        <w:t>………………………………………………………………</w:t>
      </w:r>
      <w:r>
        <w:rPr>
          <w:rFonts w:hint="eastAsia" w:ascii="宋体" w:hAnsi="宋体" w:cs="宋体"/>
          <w:b/>
          <w:color w:val="auto"/>
          <w:sz w:val="24"/>
          <w:lang w:val="en-US" w:eastAsia="zh-CN"/>
        </w:rPr>
        <w:t>14</w:t>
      </w:r>
    </w:p>
    <w:p>
      <w:pPr>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三、响应文件</w:t>
      </w:r>
      <w:r>
        <w:rPr>
          <w:rFonts w:hint="eastAsia" w:ascii="宋体" w:hAnsi="宋体" w:cs="宋体"/>
          <w:b/>
          <w:color w:val="auto"/>
          <w:sz w:val="24"/>
        </w:rPr>
        <w:t>………………………………………………………………</w:t>
      </w:r>
      <w:r>
        <w:rPr>
          <w:rFonts w:hint="eastAsia" w:ascii="宋体" w:hAnsi="宋体" w:cs="宋体"/>
          <w:b/>
          <w:color w:val="auto"/>
          <w:sz w:val="24"/>
          <w:lang w:val="en-US" w:eastAsia="zh-CN"/>
        </w:rPr>
        <w:t>14</w:t>
      </w:r>
    </w:p>
    <w:p>
      <w:pPr>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四、响应文件的递交</w:t>
      </w:r>
      <w:r>
        <w:rPr>
          <w:rFonts w:hint="eastAsia" w:ascii="宋体" w:hAnsi="宋体" w:cs="宋体"/>
          <w:b/>
          <w:color w:val="auto"/>
          <w:sz w:val="24"/>
        </w:rPr>
        <w:t>………………………………………………………</w:t>
      </w:r>
      <w:r>
        <w:rPr>
          <w:rFonts w:hint="eastAsia" w:ascii="宋体" w:hAnsi="宋体" w:cs="宋体"/>
          <w:b/>
          <w:color w:val="auto"/>
          <w:sz w:val="24"/>
          <w:lang w:eastAsia="zh-CN"/>
        </w:rPr>
        <w:t>1</w:t>
      </w:r>
      <w:r>
        <w:rPr>
          <w:rFonts w:hint="eastAsia" w:ascii="宋体" w:hAnsi="宋体" w:cs="宋体"/>
          <w:b/>
          <w:color w:val="auto"/>
          <w:sz w:val="24"/>
          <w:lang w:val="en-US" w:eastAsia="zh-CN"/>
        </w:rPr>
        <w:t>7</w:t>
      </w:r>
    </w:p>
    <w:p>
      <w:pPr>
        <w:adjustRightInd w:val="0"/>
        <w:snapToGrid w:val="0"/>
        <w:spacing w:line="360" w:lineRule="auto"/>
        <w:ind w:firstLine="720" w:firstLineChars="300"/>
        <w:outlineLvl w:val="9"/>
        <w:rPr>
          <w:rFonts w:hint="default" w:ascii="宋体" w:hAnsi="宋体" w:eastAsia="宋体" w:cs="宋体"/>
          <w:bCs/>
          <w:color w:val="auto"/>
          <w:sz w:val="24"/>
          <w:lang w:val="en-US" w:eastAsia="zh-CN"/>
        </w:rPr>
      </w:pPr>
      <w:r>
        <w:rPr>
          <w:rFonts w:hint="eastAsia" w:ascii="宋体" w:hAnsi="宋体" w:cs="宋体"/>
          <w:bCs/>
          <w:color w:val="auto"/>
          <w:sz w:val="24"/>
        </w:rPr>
        <w:t>五、</w:t>
      </w:r>
      <w:r>
        <w:rPr>
          <w:rFonts w:hint="eastAsia" w:ascii="宋体" w:hAnsi="宋体" w:cs="宋体"/>
          <w:color w:val="auto"/>
          <w:sz w:val="24"/>
        </w:rPr>
        <w:t>响应文件</w:t>
      </w:r>
      <w:r>
        <w:rPr>
          <w:rFonts w:hint="eastAsia" w:ascii="宋体" w:hAnsi="宋体" w:cs="宋体"/>
          <w:bCs/>
          <w:color w:val="auto"/>
          <w:sz w:val="24"/>
        </w:rPr>
        <w:t>的</w:t>
      </w:r>
      <w:r>
        <w:rPr>
          <w:rFonts w:hint="eastAsia" w:ascii="宋体" w:hAnsi="宋体" w:cs="宋体"/>
          <w:color w:val="auto"/>
          <w:sz w:val="24"/>
        </w:rPr>
        <w:t>评审与磋商</w:t>
      </w:r>
      <w:r>
        <w:rPr>
          <w:rFonts w:hint="eastAsia" w:ascii="宋体" w:hAnsi="宋体" w:cs="宋体"/>
          <w:b/>
          <w:color w:val="auto"/>
          <w:sz w:val="24"/>
        </w:rPr>
        <w:t>………………………………………………</w:t>
      </w:r>
      <w:r>
        <w:rPr>
          <w:rFonts w:hint="eastAsia" w:ascii="宋体" w:hAnsi="宋体" w:cs="宋体"/>
          <w:b/>
          <w:color w:val="auto"/>
          <w:sz w:val="24"/>
          <w:lang w:val="en-US" w:eastAsia="zh-CN"/>
        </w:rPr>
        <w:t>17</w:t>
      </w:r>
    </w:p>
    <w:p>
      <w:pPr>
        <w:adjustRightInd w:val="0"/>
        <w:snapToGrid w:val="0"/>
        <w:spacing w:line="360" w:lineRule="auto"/>
        <w:ind w:firstLine="720" w:firstLineChars="300"/>
        <w:outlineLvl w:val="9"/>
        <w:rPr>
          <w:rFonts w:hint="default" w:ascii="宋体" w:hAnsi="宋体" w:eastAsia="宋体" w:cs="宋体"/>
          <w:color w:val="auto"/>
          <w:sz w:val="24"/>
          <w:lang w:val="en-US" w:eastAsia="zh-CN"/>
        </w:rPr>
      </w:pPr>
      <w:r>
        <w:rPr>
          <w:rFonts w:hint="eastAsia" w:ascii="宋体" w:hAnsi="宋体" w:cs="宋体"/>
          <w:color w:val="auto"/>
          <w:sz w:val="24"/>
        </w:rPr>
        <w:t>六、成交结果信息公布与授予合同</w:t>
      </w:r>
      <w:r>
        <w:rPr>
          <w:rFonts w:hint="eastAsia" w:ascii="宋体" w:hAnsi="宋体" w:cs="宋体"/>
          <w:b/>
          <w:color w:val="auto"/>
          <w:sz w:val="24"/>
        </w:rPr>
        <w:t>………………………………………</w:t>
      </w:r>
      <w:r>
        <w:rPr>
          <w:rFonts w:hint="eastAsia" w:ascii="宋体" w:hAnsi="宋体" w:cs="宋体"/>
          <w:b/>
          <w:color w:val="auto"/>
          <w:sz w:val="24"/>
          <w:lang w:val="en-US" w:eastAsia="zh-CN"/>
        </w:rPr>
        <w:t>23</w:t>
      </w:r>
    </w:p>
    <w:p>
      <w:pPr>
        <w:adjustRightInd w:val="0"/>
        <w:snapToGrid w:val="0"/>
        <w:spacing w:line="360" w:lineRule="auto"/>
        <w:ind w:firstLine="720" w:firstLineChars="300"/>
        <w:jc w:val="left"/>
        <w:outlineLvl w:val="9"/>
        <w:rPr>
          <w:rFonts w:hint="default" w:ascii="宋体" w:hAnsi="宋体" w:eastAsia="宋体" w:cs="宋体"/>
          <w:b/>
          <w:color w:val="auto"/>
          <w:sz w:val="24"/>
          <w:lang w:val="en-US" w:eastAsia="zh-CN"/>
        </w:rPr>
      </w:pPr>
      <w:r>
        <w:rPr>
          <w:rFonts w:hint="eastAsia" w:ascii="宋体" w:hAnsi="宋体" w:cs="宋体"/>
          <w:color w:val="auto"/>
          <w:sz w:val="24"/>
        </w:rPr>
        <w:t>七、其他规定  ……………………………………………………………</w:t>
      </w:r>
      <w:r>
        <w:rPr>
          <w:rFonts w:hint="eastAsia" w:ascii="宋体" w:hAnsi="宋体" w:cs="宋体"/>
          <w:b/>
          <w:color w:val="auto"/>
          <w:sz w:val="24"/>
          <w:lang w:val="en-US" w:eastAsia="zh-CN"/>
        </w:rPr>
        <w:t>25</w:t>
      </w:r>
    </w:p>
    <w:p>
      <w:pPr>
        <w:adjustRightInd w:val="0"/>
        <w:snapToGrid w:val="0"/>
        <w:spacing w:line="360" w:lineRule="auto"/>
        <w:jc w:val="left"/>
        <w:outlineLvl w:val="9"/>
        <w:rPr>
          <w:rFonts w:hint="default" w:ascii="宋体" w:hAnsi="宋体" w:eastAsia="宋体" w:cs="宋体"/>
          <w:b/>
          <w:color w:val="auto"/>
          <w:sz w:val="24"/>
          <w:lang w:val="en-US" w:eastAsia="zh-CN"/>
        </w:rPr>
      </w:pPr>
      <w:r>
        <w:rPr>
          <w:rFonts w:hint="eastAsia" w:ascii="宋体" w:hAnsi="宋体" w:cs="宋体"/>
          <w:b/>
          <w:color w:val="auto"/>
          <w:sz w:val="24"/>
        </w:rPr>
        <w:t>第三章  磋商办法…………………………………………………………………</w:t>
      </w:r>
      <w:r>
        <w:rPr>
          <w:rFonts w:hint="eastAsia" w:ascii="宋体" w:hAnsi="宋体" w:cs="宋体"/>
          <w:b/>
          <w:color w:val="auto"/>
          <w:sz w:val="24"/>
          <w:lang w:val="en-US" w:eastAsia="zh-CN"/>
        </w:rPr>
        <w:t>26</w:t>
      </w:r>
    </w:p>
    <w:p>
      <w:pPr>
        <w:adjustRightInd w:val="0"/>
        <w:snapToGrid w:val="0"/>
        <w:spacing w:line="360" w:lineRule="auto"/>
        <w:outlineLvl w:val="9"/>
        <w:rPr>
          <w:rFonts w:hint="default" w:ascii="宋体" w:hAnsi="宋体" w:eastAsia="宋体" w:cs="宋体"/>
          <w:b/>
          <w:color w:val="auto"/>
          <w:sz w:val="24"/>
          <w:lang w:val="en-US" w:eastAsia="zh-CN"/>
        </w:rPr>
      </w:pPr>
      <w:r>
        <w:rPr>
          <w:rFonts w:hint="eastAsia" w:ascii="宋体" w:hAnsi="宋体" w:cs="宋体"/>
          <w:b/>
          <w:color w:val="auto"/>
          <w:sz w:val="24"/>
        </w:rPr>
        <w:t>第四章  合同</w:t>
      </w:r>
      <w:r>
        <w:rPr>
          <w:rFonts w:hint="eastAsia" w:ascii="宋体" w:hAnsi="宋体" w:cs="宋体"/>
          <w:b/>
          <w:color w:val="auto"/>
          <w:sz w:val="24"/>
          <w:lang w:eastAsia="zh-CN"/>
        </w:rPr>
        <w:t>条款及</w:t>
      </w:r>
      <w:r>
        <w:rPr>
          <w:rFonts w:hint="eastAsia" w:ascii="宋体" w:hAnsi="宋体" w:cs="宋体"/>
          <w:b/>
          <w:color w:val="auto"/>
          <w:sz w:val="24"/>
        </w:rPr>
        <w:t>格式  ………………………………………………………</w:t>
      </w:r>
      <w:r>
        <w:rPr>
          <w:rFonts w:hint="eastAsia" w:ascii="宋体" w:hAnsi="宋体" w:cs="宋体"/>
          <w:b/>
          <w:color w:val="auto"/>
          <w:sz w:val="24"/>
          <w:lang w:val="en-US" w:eastAsia="zh-CN"/>
        </w:rPr>
        <w:t>34</w:t>
      </w:r>
    </w:p>
    <w:p>
      <w:pPr>
        <w:pStyle w:val="24"/>
        <w:adjustRightInd w:val="0"/>
        <w:snapToGrid w:val="0"/>
        <w:spacing w:line="360" w:lineRule="auto"/>
        <w:outlineLvl w:val="9"/>
        <w:rPr>
          <w:rFonts w:hint="default" w:hAnsi="宋体" w:eastAsia="宋体" w:cs="宋体"/>
          <w:b/>
          <w:color w:val="auto"/>
          <w:sz w:val="24"/>
          <w:szCs w:val="24"/>
          <w:lang w:val="en-US" w:eastAsia="zh-CN"/>
        </w:rPr>
      </w:pPr>
      <w:r>
        <w:rPr>
          <w:rFonts w:hint="eastAsia" w:hAnsi="宋体" w:cs="宋体"/>
          <w:b/>
          <w:color w:val="auto"/>
          <w:sz w:val="24"/>
          <w:szCs w:val="24"/>
        </w:rPr>
        <w:t>第五章  采购需求</w:t>
      </w:r>
      <w:r>
        <w:rPr>
          <w:rFonts w:hint="eastAsia" w:hAnsi="宋体" w:cs="宋体"/>
          <w:b/>
          <w:color w:val="auto"/>
          <w:sz w:val="24"/>
          <w:szCs w:val="24"/>
          <w:lang w:eastAsia="zh-CN"/>
        </w:rPr>
        <w:t>及参数</w:t>
      </w:r>
      <w:r>
        <w:rPr>
          <w:rFonts w:hint="eastAsia" w:hAnsi="宋体" w:cs="宋体"/>
          <w:b/>
          <w:color w:val="auto"/>
          <w:sz w:val="24"/>
          <w:szCs w:val="24"/>
        </w:rPr>
        <w:t>…………………………………………………………</w:t>
      </w:r>
      <w:r>
        <w:rPr>
          <w:rFonts w:hint="eastAsia" w:hAnsi="宋体" w:cs="宋体"/>
          <w:b/>
          <w:color w:val="auto"/>
          <w:sz w:val="24"/>
          <w:szCs w:val="24"/>
          <w:lang w:val="en-US" w:eastAsia="zh-CN"/>
        </w:rPr>
        <w:t>41</w:t>
      </w:r>
    </w:p>
    <w:p>
      <w:pPr>
        <w:spacing w:line="360" w:lineRule="auto"/>
        <w:outlineLvl w:val="9"/>
        <w:rPr>
          <w:rFonts w:hint="eastAsia" w:ascii="宋体" w:hAnsi="宋体" w:cs="宋体"/>
          <w:b/>
          <w:color w:val="auto"/>
          <w:sz w:val="24"/>
        </w:rPr>
      </w:pPr>
      <w:r>
        <w:rPr>
          <w:rFonts w:hint="eastAsia" w:ascii="宋体" w:hAnsi="宋体" w:cs="宋体"/>
          <w:b/>
          <w:color w:val="auto"/>
          <w:sz w:val="24"/>
        </w:rPr>
        <w:t xml:space="preserve">第六章  </w:t>
      </w:r>
      <w:r>
        <w:rPr>
          <w:rFonts w:hint="eastAsia" w:ascii="宋体" w:hAnsi="宋体" w:cs="宋体"/>
          <w:b/>
          <w:color w:val="auto"/>
          <w:sz w:val="24"/>
        </w:rPr>
        <w:fldChar w:fldCharType="begin"/>
      </w:r>
      <w:r>
        <w:rPr>
          <w:rFonts w:hint="eastAsia" w:ascii="宋体" w:hAnsi="宋体" w:cs="宋体"/>
          <w:b/>
          <w:color w:val="auto"/>
          <w:sz w:val="24"/>
        </w:rPr>
        <w:instrText xml:space="preserve"> HYPERLINK \l "_Toc296602596" </w:instrText>
      </w:r>
      <w:r>
        <w:rPr>
          <w:rFonts w:hint="eastAsia" w:ascii="宋体" w:hAnsi="宋体" w:cs="宋体"/>
          <w:b/>
          <w:color w:val="auto"/>
          <w:sz w:val="24"/>
        </w:rPr>
        <w:fldChar w:fldCharType="separate"/>
      </w:r>
      <w:r>
        <w:rPr>
          <w:rFonts w:hint="eastAsia" w:ascii="宋体" w:hAnsi="宋体" w:cs="宋体"/>
          <w:b/>
          <w:color w:val="auto"/>
          <w:sz w:val="24"/>
        </w:rPr>
        <w:t>响应文件组成</w:t>
      </w:r>
      <w:r>
        <w:rPr>
          <w:rFonts w:hint="eastAsia" w:ascii="宋体" w:hAnsi="宋体" w:cs="宋体"/>
          <w:b/>
          <w:color w:val="auto"/>
          <w:sz w:val="24"/>
        </w:rPr>
        <w:tab/>
      </w:r>
      <w:r>
        <w:rPr>
          <w:rFonts w:hint="eastAsia" w:ascii="宋体" w:hAnsi="宋体" w:cs="宋体"/>
          <w:b/>
          <w:color w:val="auto"/>
          <w:sz w:val="24"/>
        </w:rPr>
        <w:t>…………………………………………………………</w:t>
      </w:r>
      <w:r>
        <w:rPr>
          <w:rFonts w:hint="eastAsia" w:ascii="宋体" w:hAnsi="宋体" w:cs="宋体"/>
          <w:b/>
          <w:color w:val="auto"/>
          <w:sz w:val="24"/>
          <w:lang w:val="en-US" w:eastAsia="zh-CN"/>
        </w:rPr>
        <w:t>4</w:t>
      </w:r>
      <w:r>
        <w:rPr>
          <w:rFonts w:hint="eastAsia" w:ascii="宋体" w:hAnsi="宋体" w:cs="宋体"/>
          <w:b/>
          <w:color w:val="auto"/>
          <w:sz w:val="24"/>
        </w:rPr>
        <w:fldChar w:fldCharType="end"/>
      </w:r>
      <w:r>
        <w:rPr>
          <w:rFonts w:hint="eastAsia" w:ascii="宋体" w:hAnsi="宋体" w:cs="宋体"/>
          <w:b/>
          <w:color w:val="auto"/>
          <w:sz w:val="24"/>
          <w:lang w:val="en-US" w:eastAsia="zh-CN"/>
        </w:rPr>
        <w:t>4</w:t>
      </w:r>
    </w:p>
    <w:p>
      <w:pPr>
        <w:spacing w:line="360" w:lineRule="auto"/>
        <w:rPr>
          <w:rFonts w:hint="eastAsia" w:ascii="宋体" w:hAnsi="宋体" w:cs="宋体"/>
          <w:b/>
          <w:color w:val="auto"/>
          <w:sz w:val="24"/>
        </w:rPr>
      </w:pPr>
    </w:p>
    <w:p>
      <w:pPr>
        <w:spacing w:line="360" w:lineRule="auto"/>
        <w:rPr>
          <w:rFonts w:hint="eastAsia" w:ascii="宋体" w:hAnsi="宋体" w:cs="宋体"/>
          <w:b/>
          <w:color w:val="auto"/>
          <w:sz w:val="24"/>
        </w:rPr>
        <w:sectPr>
          <w:footerReference r:id="rId7" w:type="first"/>
          <w:footerReference r:id="rId6" w:type="default"/>
          <w:pgSz w:w="11906" w:h="16838"/>
          <w:pgMar w:top="1440" w:right="1286" w:bottom="1440" w:left="1800"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tabs>
          <w:tab w:val="center" w:pos="4153"/>
          <w:tab w:val="left" w:pos="6720"/>
        </w:tabs>
        <w:spacing w:line="360" w:lineRule="auto"/>
        <w:jc w:val="center"/>
        <w:outlineLvl w:val="9"/>
        <w:rPr>
          <w:rFonts w:hint="eastAsia" w:ascii="宋体" w:hAnsi="宋体" w:eastAsia="宋体" w:cs="宋体"/>
          <w:b/>
          <w:color w:val="auto"/>
          <w:sz w:val="32"/>
          <w:szCs w:val="32"/>
          <w:lang w:eastAsia="zh-CN"/>
        </w:rPr>
      </w:pPr>
      <w:r>
        <w:rPr>
          <w:rFonts w:hint="eastAsia" w:ascii="宋体" w:hAnsi="宋体" w:cs="宋体"/>
          <w:b/>
          <w:color w:val="auto"/>
          <w:sz w:val="32"/>
          <w:szCs w:val="32"/>
        </w:rPr>
        <w:t>第一章  竞争性磋商公告</w:t>
      </w:r>
    </w:p>
    <w:p>
      <w:pPr>
        <w:pageBreakBefore w:val="0"/>
        <w:kinsoku/>
        <w:wordWrap/>
        <w:overflowPunct/>
        <w:topLinePunct w:val="0"/>
        <w:bidi w:val="0"/>
        <w:spacing w:line="440" w:lineRule="exact"/>
        <w:ind w:left="0" w:leftChars="0"/>
        <w:textAlignment w:val="auto"/>
        <w:rPr>
          <w:rFonts w:hint="eastAsia" w:ascii="仿宋" w:hAnsi="仿宋" w:eastAsia="仿宋" w:cs="仿宋"/>
          <w:color w:val="auto"/>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ind w:left="0" w:leftChars="0"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u w:val="single"/>
          <w:lang w:eastAsia="zh-CN"/>
        </w:rPr>
        <w:t>伊犁哈萨克自治州医疗保障局医疗服务与保障能力提升项目</w:t>
      </w:r>
      <w:r>
        <w:rPr>
          <w:rFonts w:hint="eastAsia" w:ascii="仿宋" w:hAnsi="仿宋" w:eastAsia="仿宋" w:cs="仿宋"/>
          <w:color w:val="auto"/>
          <w:sz w:val="28"/>
          <w:szCs w:val="28"/>
          <w:u w:val="single"/>
          <w:lang w:val="en-US" w:eastAsia="zh-CN"/>
        </w:rPr>
        <w:t>(标项2)</w:t>
      </w:r>
      <w:r>
        <w:rPr>
          <w:rFonts w:hint="eastAsia" w:ascii="仿宋" w:hAnsi="仿宋" w:eastAsia="仿宋" w:cs="仿宋"/>
          <w:color w:val="auto"/>
          <w:sz w:val="28"/>
          <w:szCs w:val="28"/>
        </w:rPr>
        <w:t>的潜在</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eastAsia="zh-CN"/>
        </w:rPr>
        <w:t>在</w:t>
      </w:r>
      <w:r>
        <w:rPr>
          <w:rFonts w:hint="eastAsia" w:ascii="仿宋" w:hAnsi="仿宋" w:eastAsia="仿宋" w:cs="仿宋"/>
          <w:color w:val="auto"/>
          <w:sz w:val="28"/>
          <w:szCs w:val="28"/>
          <w:u w:val="single"/>
        </w:rPr>
        <w:t>新疆齐盛泉工程项目管理有限公司</w:t>
      </w:r>
      <w:r>
        <w:rPr>
          <w:rFonts w:hint="eastAsia" w:ascii="仿宋" w:hAnsi="仿宋" w:eastAsia="仿宋" w:cs="仿宋"/>
          <w:color w:val="auto"/>
          <w:sz w:val="28"/>
          <w:szCs w:val="28"/>
          <w:u w:val="single"/>
          <w:lang w:eastAsia="zh-CN"/>
        </w:rPr>
        <w:t>（伊宁市解放路77号亚欧国际写字楼15楼）</w:t>
      </w:r>
      <w:r>
        <w:rPr>
          <w:rFonts w:hint="eastAsia" w:ascii="仿宋" w:hAnsi="仿宋" w:eastAsia="仿宋" w:cs="仿宋"/>
          <w:color w:val="auto"/>
          <w:sz w:val="28"/>
          <w:szCs w:val="28"/>
        </w:rPr>
        <w:t>获取</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文件，并于</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2</w:t>
      </w:r>
      <w:r>
        <w:rPr>
          <w:rFonts w:hint="eastAsia" w:ascii="仿宋" w:hAnsi="仿宋" w:eastAsia="仿宋" w:cs="仿宋"/>
          <w:bCs/>
          <w:color w:val="auto"/>
          <w:sz w:val="28"/>
          <w:szCs w:val="28"/>
          <w:u w:val="single"/>
        </w:rPr>
        <w:t>年</w:t>
      </w:r>
      <w:r>
        <w:rPr>
          <w:rFonts w:hint="eastAsia" w:ascii="仿宋" w:hAnsi="仿宋" w:eastAsia="仿宋" w:cs="仿宋"/>
          <w:bCs/>
          <w:color w:val="auto"/>
          <w:sz w:val="28"/>
          <w:szCs w:val="28"/>
          <w:u w:val="single"/>
          <w:lang w:val="en-US" w:eastAsia="zh-CN"/>
        </w:rPr>
        <w:t>08</w:t>
      </w:r>
      <w:r>
        <w:rPr>
          <w:rFonts w:hint="eastAsia" w:ascii="仿宋" w:hAnsi="仿宋" w:eastAsia="仿宋" w:cs="仿宋"/>
          <w:bCs/>
          <w:color w:val="auto"/>
          <w:sz w:val="28"/>
          <w:szCs w:val="28"/>
          <w:u w:val="single"/>
        </w:rPr>
        <w:t>月</w:t>
      </w:r>
      <w:r>
        <w:rPr>
          <w:rFonts w:hint="eastAsia" w:ascii="仿宋" w:hAnsi="仿宋" w:eastAsia="仿宋" w:cs="仿宋"/>
          <w:bCs/>
          <w:color w:val="auto"/>
          <w:sz w:val="28"/>
          <w:szCs w:val="28"/>
          <w:u w:val="single"/>
          <w:lang w:val="en-US" w:eastAsia="zh-CN"/>
        </w:rPr>
        <w:t>16</w:t>
      </w:r>
      <w:r>
        <w:rPr>
          <w:rFonts w:hint="eastAsia" w:ascii="仿宋" w:hAnsi="仿宋" w:eastAsia="仿宋" w:cs="仿宋"/>
          <w:bCs/>
          <w:color w:val="auto"/>
          <w:sz w:val="28"/>
          <w:szCs w:val="28"/>
          <w:u w:val="single"/>
        </w:rPr>
        <w:t>日</w:t>
      </w:r>
      <w:r>
        <w:rPr>
          <w:rFonts w:hint="eastAsia" w:ascii="仿宋" w:hAnsi="仿宋" w:eastAsia="仿宋" w:cs="仿宋"/>
          <w:bCs/>
          <w:color w:val="auto"/>
          <w:sz w:val="28"/>
          <w:szCs w:val="28"/>
          <w:u w:val="single"/>
          <w:lang w:val="en-US" w:eastAsia="zh-CN"/>
        </w:rPr>
        <w:t>16</w:t>
      </w:r>
      <w:r>
        <w:rPr>
          <w:rFonts w:hint="eastAsia" w:ascii="仿宋" w:hAnsi="仿宋" w:eastAsia="仿宋" w:cs="仿宋"/>
          <w:bCs/>
          <w:color w:val="auto"/>
          <w:sz w:val="28"/>
          <w:szCs w:val="28"/>
          <w:u w:val="single"/>
        </w:rPr>
        <w:t>点</w:t>
      </w:r>
      <w:r>
        <w:rPr>
          <w:rFonts w:hint="eastAsia" w:ascii="仿宋" w:hAnsi="仿宋" w:eastAsia="仿宋" w:cs="仿宋"/>
          <w:bCs/>
          <w:color w:val="auto"/>
          <w:sz w:val="28"/>
          <w:szCs w:val="28"/>
          <w:u w:val="single"/>
          <w:lang w:val="en-US" w:eastAsia="zh-CN"/>
        </w:rPr>
        <w:t>3</w:t>
      </w:r>
      <w:r>
        <w:rPr>
          <w:rFonts w:hint="eastAsia" w:ascii="仿宋" w:hAnsi="仿宋" w:eastAsia="仿宋" w:cs="仿宋"/>
          <w:bCs/>
          <w:color w:val="auto"/>
          <w:sz w:val="28"/>
          <w:szCs w:val="28"/>
          <w:u w:val="single"/>
        </w:rPr>
        <w:t>0分</w:t>
      </w:r>
      <w:r>
        <w:rPr>
          <w:rFonts w:hint="eastAsia" w:ascii="仿宋" w:hAnsi="仿宋" w:eastAsia="仿宋" w:cs="仿宋"/>
          <w:bCs/>
          <w:color w:val="auto"/>
          <w:sz w:val="28"/>
          <w:szCs w:val="28"/>
          <w:u w:val="single"/>
        </w:rPr>
        <w:t>（</w:t>
      </w:r>
      <w:r>
        <w:rPr>
          <w:rFonts w:hint="eastAsia" w:ascii="仿宋" w:hAnsi="仿宋" w:eastAsia="仿宋" w:cs="仿宋"/>
          <w:bCs/>
          <w:color w:val="auto"/>
          <w:sz w:val="28"/>
          <w:szCs w:val="28"/>
        </w:rPr>
        <w:t>北京时间）前</w:t>
      </w:r>
      <w:r>
        <w:rPr>
          <w:rFonts w:ascii="仿宋" w:hAnsi="仿宋" w:eastAsia="仿宋" w:cs="仿宋"/>
          <w:i w:val="0"/>
          <w:iCs w:val="0"/>
          <w:caps w:val="0"/>
          <w:color w:val="auto"/>
          <w:spacing w:val="0"/>
          <w:sz w:val="27"/>
          <w:szCs w:val="27"/>
        </w:rPr>
        <w:t>提交响应文件</w:t>
      </w:r>
      <w:r>
        <w:rPr>
          <w:rFonts w:hint="eastAsia" w:ascii="仿宋" w:hAnsi="仿宋" w:eastAsia="仿宋" w:cs="仿宋"/>
          <w:color w:val="auto"/>
          <w:sz w:val="28"/>
          <w:szCs w:val="28"/>
        </w:rPr>
        <w:t>。</w:t>
      </w:r>
    </w:p>
    <w:p>
      <w:pPr>
        <w:pStyle w:val="4"/>
        <w:pageBreakBefore w:val="0"/>
        <w:widowControl w:val="0"/>
        <w:kinsoku/>
        <w:wordWrap/>
        <w:overflowPunct/>
        <w:topLinePunct w:val="0"/>
        <w:autoSpaceDE/>
        <w:autoSpaceDN/>
        <w:bidi w:val="0"/>
        <w:adjustRightInd/>
        <w:snapToGrid/>
        <w:spacing w:before="0" w:after="0" w:line="440" w:lineRule="exact"/>
        <w:ind w:left="0" w:leftChars="0"/>
        <w:jc w:val="left"/>
        <w:textAlignment w:val="auto"/>
        <w:rPr>
          <w:rFonts w:hint="eastAsia" w:ascii="仿宋" w:hAnsi="仿宋" w:eastAsia="仿宋" w:cs="仿宋"/>
          <w:color w:val="auto"/>
          <w:sz w:val="28"/>
          <w:szCs w:val="28"/>
        </w:rPr>
      </w:pPr>
      <w:bookmarkStart w:id="0" w:name="_Toc35393621"/>
      <w:bookmarkStart w:id="1" w:name="_Toc28359002"/>
      <w:bookmarkStart w:id="2" w:name="_Toc28359079"/>
      <w:bookmarkStart w:id="3" w:name="_Toc35393790"/>
      <w:bookmarkStart w:id="4" w:name="_Hlk24379207"/>
      <w:r>
        <w:rPr>
          <w:rFonts w:hint="eastAsia" w:ascii="仿宋" w:hAnsi="仿宋" w:eastAsia="仿宋" w:cs="仿宋"/>
          <w:color w:val="auto"/>
          <w:sz w:val="28"/>
          <w:szCs w:val="28"/>
        </w:rPr>
        <w:t>一、项目基本情况</w:t>
      </w:r>
      <w:bookmarkEnd w:id="0"/>
      <w:bookmarkEnd w:id="1"/>
      <w:bookmarkEnd w:id="2"/>
      <w:bookmarkEnd w:id="3"/>
    </w:p>
    <w:p>
      <w:pPr>
        <w:pageBreakBefore w:val="0"/>
        <w:kinsoku/>
        <w:wordWrap/>
        <w:overflowPunct/>
        <w:topLinePunct w:val="0"/>
        <w:autoSpaceDE/>
        <w:autoSpaceDN/>
        <w:bidi w:val="0"/>
        <w:adjustRightInd/>
        <w:snapToGrid/>
        <w:spacing w:line="440" w:lineRule="exact"/>
        <w:ind w:left="0" w:leftChars="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项目编号：XJQSQZB202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w:t>
      </w:r>
      <w:r>
        <w:rPr>
          <w:rFonts w:hint="eastAsia" w:ascii="仿宋" w:hAnsi="仿宋" w:eastAsia="仿宋" w:cs="仿宋"/>
          <w:color w:val="auto"/>
          <w:sz w:val="28"/>
          <w:szCs w:val="28"/>
          <w:lang w:val="en-US" w:eastAsia="zh-CN"/>
        </w:rPr>
        <w:t>23-02</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rPr>
        <w:t>项目名称：</w:t>
      </w:r>
      <w:bookmarkEnd w:id="4"/>
      <w:r>
        <w:rPr>
          <w:rFonts w:hint="eastAsia" w:ascii="仿宋" w:hAnsi="仿宋" w:eastAsia="仿宋" w:cs="仿宋"/>
          <w:color w:val="auto"/>
          <w:sz w:val="28"/>
          <w:szCs w:val="28"/>
          <w:lang w:eastAsia="zh-CN"/>
        </w:rPr>
        <w:t>伊犁哈萨克自治州医疗保障局医疗服务与保障能力提升项目</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采购方式：竞争性磋商</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预算金额（元）：</w:t>
      </w:r>
      <w:r>
        <w:rPr>
          <w:rFonts w:hint="eastAsia" w:ascii="仿宋" w:hAnsi="仿宋" w:eastAsia="仿宋" w:cs="仿宋"/>
          <w:color w:val="auto"/>
          <w:sz w:val="28"/>
          <w:szCs w:val="28"/>
          <w:lang w:val="en-US" w:eastAsia="zh-CN"/>
        </w:rPr>
        <w:t>520000.00；</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最高限价（元）：</w:t>
      </w:r>
      <w:r>
        <w:rPr>
          <w:rFonts w:hint="eastAsia" w:ascii="仿宋" w:hAnsi="仿宋" w:eastAsia="仿宋" w:cs="仿宋"/>
          <w:color w:val="auto"/>
          <w:sz w:val="28"/>
          <w:szCs w:val="28"/>
          <w:lang w:val="en-US" w:eastAsia="zh-CN"/>
        </w:rPr>
        <w:t>520000.00；</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采购需求：</w:t>
      </w:r>
      <w:r>
        <w:rPr>
          <w:rFonts w:hint="eastAsia" w:ascii="仿宋" w:hAnsi="仿宋" w:eastAsia="仿宋" w:cs="仿宋"/>
          <w:color w:val="auto"/>
          <w:sz w:val="28"/>
          <w:szCs w:val="28"/>
          <w:lang w:val="en-US" w:eastAsia="zh-CN"/>
        </w:rPr>
        <w:t>办公设备等采购（包括货物的运输、供货、卸车费及安装调试等；详细参数详见采购文件）；</w:t>
      </w:r>
    </w:p>
    <w:p>
      <w:pPr>
        <w:pageBreakBefore w:val="0"/>
        <w:kinsoku/>
        <w:wordWrap/>
        <w:overflowPunct/>
        <w:topLinePunct w:val="0"/>
        <w:autoSpaceDE/>
        <w:autoSpaceDN/>
        <w:bidi w:val="0"/>
        <w:adjustRightInd/>
        <w:snapToGrid/>
        <w:spacing w:line="440" w:lineRule="exact"/>
        <w:ind w:left="0" w:leftChars="0"/>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rPr>
        <w:t>合同履行期限</w:t>
      </w:r>
      <w:r>
        <w:rPr>
          <w:rFonts w:hint="eastAsia" w:ascii="仿宋" w:hAnsi="仿宋" w:eastAsia="仿宋" w:cs="仿宋"/>
          <w:color w:val="auto"/>
          <w:sz w:val="28"/>
          <w:szCs w:val="28"/>
          <w:u w:val="none"/>
          <w:lang w:val="en-US" w:eastAsia="zh-CN"/>
        </w:rPr>
        <w:t>:签订合同后10日历天内交付使用</w:t>
      </w:r>
      <w:r>
        <w:rPr>
          <w:rFonts w:hint="eastAsia" w:ascii="仿宋" w:hAnsi="仿宋" w:eastAsia="仿宋" w:cs="仿宋"/>
          <w:color w:val="auto"/>
          <w:sz w:val="28"/>
          <w:szCs w:val="28"/>
          <w:u w:val="none"/>
          <w:lang w:eastAsia="zh-CN"/>
        </w:rPr>
        <w:t>；</w:t>
      </w:r>
    </w:p>
    <w:p>
      <w:pPr>
        <w:pStyle w:val="4"/>
        <w:pageBreakBefore w:val="0"/>
        <w:widowControl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color w:val="auto"/>
          <w:sz w:val="28"/>
          <w:szCs w:val="28"/>
        </w:rPr>
      </w:pPr>
      <w:bookmarkStart w:id="5" w:name="_Toc28359080"/>
      <w:bookmarkStart w:id="6" w:name="_Toc35393622"/>
      <w:bookmarkStart w:id="7" w:name="_Toc35393791"/>
      <w:bookmarkStart w:id="8" w:name="_Toc28359003"/>
      <w:r>
        <w:rPr>
          <w:rFonts w:hint="eastAsia" w:ascii="仿宋" w:hAnsi="仿宋" w:eastAsia="仿宋" w:cs="仿宋"/>
          <w:color w:val="auto"/>
          <w:sz w:val="28"/>
          <w:szCs w:val="28"/>
        </w:rPr>
        <w:t>二、申请人的资格要求：</w:t>
      </w:r>
      <w:bookmarkEnd w:id="5"/>
      <w:bookmarkEnd w:id="6"/>
      <w:bookmarkEnd w:id="7"/>
      <w:bookmarkEnd w:id="8"/>
    </w:p>
    <w:p>
      <w:pPr>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2.落实政府采购政策需满足的资格要求：</w:t>
      </w:r>
      <w:r>
        <w:rPr>
          <w:rFonts w:hint="eastAsia" w:ascii="仿宋" w:hAnsi="仿宋" w:eastAsia="仿宋"/>
          <w:color w:val="auto"/>
          <w:sz w:val="28"/>
          <w:szCs w:val="28"/>
        </w:rPr>
        <w:t>（1）《政府采购促进中小企业发展管理办法》《财库〔2020〕46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r>
        <w:rPr>
          <w:rFonts w:hint="eastAsia" w:ascii="仿宋" w:hAnsi="仿宋" w:eastAsia="仿宋" w:cs="仿宋"/>
          <w:color w:val="auto"/>
          <w:sz w:val="28"/>
          <w:szCs w:val="28"/>
        </w:rPr>
        <w:t>；</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3.本项目的特定资格要求：</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bookmarkStart w:id="9" w:name="_Toc28359004"/>
      <w:bookmarkStart w:id="10" w:name="_Toc28359081"/>
      <w:bookmarkStart w:id="11" w:name="_Toc35393623"/>
      <w:bookmarkStart w:id="12" w:name="_Toc35393792"/>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）具备有效的营业执照；</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）会计事务所出具的20</w:t>
      </w:r>
      <w:r>
        <w:rPr>
          <w:rFonts w:hint="eastAsia" w:ascii="仿宋" w:hAnsi="仿宋" w:eastAsia="仿宋" w:cs="仿宋"/>
          <w:color w:val="auto"/>
          <w:sz w:val="28"/>
          <w:szCs w:val="28"/>
          <w:lang w:val="en-US" w:eastAsia="zh-CN"/>
        </w:rPr>
        <w:t>21年</w:t>
      </w:r>
      <w:r>
        <w:rPr>
          <w:rFonts w:hint="eastAsia" w:ascii="仿宋" w:hAnsi="仿宋" w:eastAsia="仿宋" w:cs="仿宋"/>
          <w:color w:val="auto"/>
          <w:sz w:val="28"/>
          <w:szCs w:val="28"/>
        </w:rPr>
        <w:t>度财务审计报告或</w:t>
      </w: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rPr>
        <w:t>银行出具的资信证明；</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）税务部门出具的202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年依法纳税证明资料</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须提供供应商和项目团队成员2019-2021年未受到监管处罚承诺函原件；</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）具备本次采购项目能力的供应商，并在人员、资金、货物等方面具有承担本项目供货的能力；</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）供应商分别在“信用中国”（www.creditchina.gov.cn）网上查询本公司未被列入失信被执行人、</w:t>
      </w:r>
      <w:r>
        <w:rPr>
          <w:rFonts w:hint="eastAsia" w:ascii="仿宋" w:hAnsi="仿宋" w:eastAsia="仿宋" w:cs="仿宋"/>
          <w:color w:val="auto"/>
          <w:sz w:val="28"/>
          <w:szCs w:val="28"/>
          <w:lang w:eastAsia="zh-CN"/>
        </w:rPr>
        <w:t>重大</w:t>
      </w:r>
      <w:r>
        <w:rPr>
          <w:rFonts w:hint="eastAsia" w:ascii="仿宋" w:hAnsi="仿宋" w:eastAsia="仿宋" w:cs="仿宋"/>
          <w:color w:val="auto"/>
          <w:sz w:val="28"/>
          <w:szCs w:val="28"/>
        </w:rPr>
        <w:t>税收</w:t>
      </w:r>
      <w:r>
        <w:rPr>
          <w:rFonts w:hint="eastAsia" w:ascii="仿宋" w:hAnsi="仿宋" w:eastAsia="仿宋" w:cs="仿宋"/>
          <w:color w:val="auto"/>
          <w:sz w:val="28"/>
          <w:szCs w:val="28"/>
          <w:lang w:eastAsia="zh-CN"/>
        </w:rPr>
        <w:t>违法失信主体</w:t>
      </w:r>
      <w:r>
        <w:rPr>
          <w:rFonts w:hint="eastAsia" w:ascii="仿宋" w:hAnsi="仿宋" w:eastAsia="仿宋" w:cs="仿宋"/>
          <w:color w:val="auto"/>
          <w:sz w:val="28"/>
          <w:szCs w:val="28"/>
        </w:rPr>
        <w:t>、“中国政府采购网”（ www.ccgp.gov.cn）网上查询本公司未被列入政府采购严重违法失信行为记录名单（提供查询结果网页截图并加盖供应商公章，网页打印件须自公告发布之日起至截止日内从上述网站中打印）；</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 xml:space="preserve">）单位负责人为同一人或者存在直接控股、管理关系的不同供货商，不得参加同一合同项下的政府采购活动； </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）采购人保留对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进一步实地考察的权利，经考察供应商申请资料中关于公告所要求内容与事实不符的，采购人有权拒绝</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）本项目</w:t>
      </w:r>
      <w:r>
        <w:rPr>
          <w:rFonts w:hint="eastAsia" w:ascii="仿宋" w:hAnsi="仿宋" w:eastAsia="仿宋" w:cs="仿宋"/>
          <w:color w:val="auto"/>
          <w:sz w:val="28"/>
          <w:szCs w:val="28"/>
          <w:lang w:val="en-US" w:eastAsia="zh-CN"/>
        </w:rPr>
        <w:t>不接受联合体投标。</w:t>
      </w:r>
    </w:p>
    <w:p>
      <w:pPr>
        <w:pStyle w:val="4"/>
        <w:pageBreakBefore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w:t>
      </w:r>
      <w:bookmarkEnd w:id="9"/>
      <w:bookmarkEnd w:id="10"/>
      <w:bookmarkEnd w:id="11"/>
      <w:bookmarkEnd w:id="12"/>
      <w:r>
        <w:rPr>
          <w:rFonts w:hint="eastAsia" w:ascii="仿宋" w:hAnsi="仿宋" w:eastAsia="仿宋" w:cs="仿宋"/>
          <w:color w:val="auto"/>
          <w:sz w:val="28"/>
          <w:szCs w:val="28"/>
        </w:rPr>
        <w:t>获取采购文件</w:t>
      </w:r>
    </w:p>
    <w:p>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时</w:t>
      </w:r>
      <w:r>
        <w:rPr>
          <w:rFonts w:hint="eastAsia" w:ascii="仿宋" w:hAnsi="仿宋" w:eastAsia="仿宋" w:cs="仿宋"/>
          <w:color w:val="auto"/>
          <w:sz w:val="28"/>
          <w:szCs w:val="28"/>
        </w:rPr>
        <w:t>间：</w:t>
      </w:r>
      <w:r>
        <w:rPr>
          <w:rFonts w:hint="eastAsia" w:ascii="仿宋" w:hAnsi="仿宋" w:eastAsia="仿宋" w:cs="仿宋"/>
          <w:color w:val="auto"/>
          <w:sz w:val="28"/>
          <w:szCs w:val="28"/>
          <w:u w:val="single"/>
          <w:lang w:val="en-US" w:eastAsia="zh-CN"/>
        </w:rPr>
        <w:t>2022</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08</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05</w:t>
      </w:r>
      <w:r>
        <w:rPr>
          <w:rFonts w:hint="eastAsia" w:ascii="仿宋" w:hAnsi="仿宋" w:eastAsia="仿宋" w:cs="仿宋"/>
          <w:color w:val="auto"/>
          <w:sz w:val="28"/>
          <w:szCs w:val="28"/>
          <w:lang w:val="en-US" w:eastAsia="zh-CN"/>
        </w:rPr>
        <w:t>日</w:t>
      </w:r>
      <w:r>
        <w:rPr>
          <w:rFonts w:hint="eastAsia" w:ascii="仿宋" w:hAnsi="仿宋" w:eastAsia="仿宋" w:cs="仿宋"/>
          <w:color w:val="auto"/>
          <w:sz w:val="28"/>
          <w:szCs w:val="28"/>
        </w:rPr>
        <w:t>至</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 xml:space="preserve"> 2022</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 xml:space="preserve"> 08</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每天上午</w:t>
      </w:r>
      <w:r>
        <w:rPr>
          <w:rFonts w:hint="eastAsia" w:ascii="仿宋" w:hAnsi="仿宋" w:eastAsia="仿宋" w:cs="仿宋"/>
          <w:color w:val="auto"/>
          <w:sz w:val="28"/>
          <w:szCs w:val="28"/>
          <w:u w:val="single"/>
          <w:lang w:val="en-US" w:eastAsia="zh-CN"/>
        </w:rPr>
        <w:t xml:space="preserve"> 10：00 </w:t>
      </w:r>
      <w:r>
        <w:rPr>
          <w:rFonts w:hint="eastAsia" w:ascii="仿宋" w:hAnsi="仿宋" w:eastAsia="仿宋" w:cs="仿宋"/>
          <w:color w:val="auto"/>
          <w:sz w:val="28"/>
          <w:szCs w:val="28"/>
        </w:rPr>
        <w:t>至</w:t>
      </w:r>
      <w:r>
        <w:rPr>
          <w:rFonts w:hint="eastAsia" w:ascii="仿宋" w:hAnsi="仿宋" w:eastAsia="仿宋" w:cs="仿宋"/>
          <w:color w:val="auto"/>
          <w:sz w:val="28"/>
          <w:szCs w:val="28"/>
          <w:u w:val="single"/>
          <w:lang w:val="en-US" w:eastAsia="zh-CN"/>
        </w:rPr>
        <w:t>14：00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下午</w:t>
      </w:r>
      <w:r>
        <w:rPr>
          <w:rFonts w:hint="eastAsia" w:ascii="仿宋" w:hAnsi="仿宋" w:eastAsia="仿宋" w:cs="仿宋"/>
          <w:color w:val="auto"/>
          <w:sz w:val="28"/>
          <w:szCs w:val="28"/>
          <w:u w:val="single"/>
          <w:lang w:val="en-US" w:eastAsia="zh-CN"/>
        </w:rPr>
        <w:t xml:space="preserve"> 16：00</w:t>
      </w:r>
      <w:r>
        <w:rPr>
          <w:rFonts w:hint="eastAsia" w:ascii="仿宋" w:hAnsi="仿宋" w:eastAsia="仿宋" w:cs="仿宋"/>
          <w:color w:val="auto"/>
          <w:sz w:val="28"/>
          <w:szCs w:val="28"/>
          <w:lang w:val="en-US" w:eastAsia="zh-CN"/>
        </w:rPr>
        <w:t>至</w:t>
      </w:r>
      <w:r>
        <w:rPr>
          <w:rFonts w:hint="eastAsia" w:ascii="仿宋" w:hAnsi="仿宋" w:eastAsia="仿宋" w:cs="仿宋"/>
          <w:color w:val="auto"/>
          <w:sz w:val="28"/>
          <w:szCs w:val="28"/>
          <w:u w:val="single"/>
          <w:lang w:val="en-US" w:eastAsia="zh-CN"/>
        </w:rPr>
        <w:t>20：00</w:t>
      </w:r>
      <w:r>
        <w:rPr>
          <w:rFonts w:hint="eastAsia" w:ascii="仿宋" w:hAnsi="仿宋" w:eastAsia="仿宋" w:cs="仿宋"/>
          <w:color w:val="auto"/>
          <w:sz w:val="28"/>
          <w:szCs w:val="28"/>
          <w:lang w:val="en-US" w:eastAsia="zh-CN"/>
        </w:rPr>
        <w:t>（北</w:t>
      </w:r>
      <w:r>
        <w:rPr>
          <w:rFonts w:hint="eastAsia" w:ascii="仿宋" w:hAnsi="仿宋" w:eastAsia="仿宋" w:cs="仿宋"/>
          <w:color w:val="auto"/>
          <w:sz w:val="28"/>
          <w:szCs w:val="28"/>
        </w:rPr>
        <w:t>京时间</w:t>
      </w:r>
      <w:r>
        <w:rPr>
          <w:rFonts w:hint="eastAsia" w:ascii="仿宋" w:hAnsi="仿宋" w:eastAsia="仿宋" w:cs="仿宋"/>
          <w:color w:val="auto"/>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eastAsia="zh-CN"/>
        </w:rPr>
        <w:t>伊宁市解放路77号亚欧国际写字楼15楼</w:t>
      </w:r>
    </w:p>
    <w:p>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color w:val="auto"/>
          <w:sz w:val="28"/>
          <w:szCs w:val="28"/>
          <w:lang w:eastAsia="zh-CN"/>
        </w:rPr>
      </w:pPr>
      <w:bookmarkStart w:id="13" w:name="_Toc28359085"/>
      <w:bookmarkStart w:id="14" w:name="_Toc35393796"/>
      <w:bookmarkStart w:id="15" w:name="_Toc28359008"/>
      <w:bookmarkStart w:id="16" w:name="_Toc35393627"/>
      <w:r>
        <w:rPr>
          <w:rFonts w:hint="eastAsia" w:ascii="仿宋" w:hAnsi="仿宋" w:eastAsia="仿宋" w:cs="仿宋"/>
          <w:color w:val="auto"/>
          <w:sz w:val="28"/>
          <w:szCs w:val="28"/>
        </w:rPr>
        <w:t>方式</w:t>
      </w:r>
      <w:r>
        <w:rPr>
          <w:rFonts w:hint="eastAsia" w:ascii="仿宋" w:hAnsi="仿宋" w:eastAsia="仿宋" w:cs="仿宋"/>
          <w:color w:val="auto"/>
          <w:sz w:val="28"/>
          <w:szCs w:val="28"/>
          <w:lang w:eastAsia="zh-CN"/>
        </w:rPr>
        <w:t>：邮件领取</w:t>
      </w:r>
    </w:p>
    <w:p>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售价：</w:t>
      </w:r>
      <w:r>
        <w:rPr>
          <w:rFonts w:hint="eastAsia" w:ascii="仿宋" w:hAnsi="仿宋" w:eastAsia="仿宋" w:cs="仿宋"/>
          <w:color w:val="auto"/>
          <w:sz w:val="28"/>
          <w:szCs w:val="28"/>
          <w:lang w:val="en-US" w:eastAsia="zh-CN"/>
        </w:rPr>
        <w:t>200元/份（逾期不售，售后不退，谢绝邮寄）；</w:t>
      </w:r>
    </w:p>
    <w:p>
      <w:pPr>
        <w:pStyle w:val="4"/>
        <w:pageBreakBefore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color w:val="auto"/>
          <w:sz w:val="28"/>
          <w:szCs w:val="28"/>
        </w:rPr>
      </w:pPr>
      <w:bookmarkStart w:id="17" w:name="_Toc35393793"/>
      <w:bookmarkStart w:id="18" w:name="_Toc28359082"/>
      <w:bookmarkStart w:id="19" w:name="_Toc28359005"/>
      <w:bookmarkStart w:id="20" w:name="_Toc35393624"/>
      <w:r>
        <w:rPr>
          <w:rFonts w:hint="eastAsia" w:ascii="仿宋" w:hAnsi="仿宋" w:eastAsia="仿宋" w:cs="仿宋"/>
          <w:color w:val="auto"/>
          <w:sz w:val="28"/>
          <w:szCs w:val="28"/>
        </w:rPr>
        <w:t>四、</w:t>
      </w:r>
      <w:bookmarkEnd w:id="17"/>
      <w:bookmarkEnd w:id="18"/>
      <w:bookmarkEnd w:id="19"/>
      <w:bookmarkEnd w:id="20"/>
      <w:r>
        <w:rPr>
          <w:rFonts w:hint="eastAsia" w:ascii="仿宋" w:hAnsi="仿宋" w:eastAsia="仿宋" w:cs="仿宋"/>
          <w:color w:val="auto"/>
          <w:sz w:val="28"/>
          <w:szCs w:val="28"/>
        </w:rPr>
        <w:t>响应文件提交</w:t>
      </w:r>
    </w:p>
    <w:p>
      <w:pPr>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截止</w:t>
      </w:r>
      <w:r>
        <w:rPr>
          <w:rFonts w:hint="eastAsia" w:ascii="仿宋" w:hAnsi="仿宋" w:eastAsia="仿宋" w:cs="仿宋"/>
          <w:bCs/>
          <w:color w:val="auto"/>
          <w:sz w:val="28"/>
          <w:szCs w:val="28"/>
        </w:rPr>
        <w:t>时间：</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2</w:t>
      </w:r>
      <w:r>
        <w:rPr>
          <w:rFonts w:hint="eastAsia" w:ascii="仿宋" w:hAnsi="仿宋" w:eastAsia="仿宋" w:cs="仿宋"/>
          <w:bCs/>
          <w:color w:val="auto"/>
          <w:sz w:val="28"/>
          <w:szCs w:val="28"/>
          <w:u w:val="none"/>
        </w:rPr>
        <w:t>年</w:t>
      </w:r>
      <w:r>
        <w:rPr>
          <w:rFonts w:hint="eastAsia" w:ascii="仿宋" w:hAnsi="仿宋" w:eastAsia="仿宋" w:cs="仿宋"/>
          <w:bCs/>
          <w:color w:val="auto"/>
          <w:sz w:val="28"/>
          <w:szCs w:val="28"/>
          <w:u w:val="single"/>
          <w:lang w:val="en-US" w:eastAsia="zh-CN"/>
        </w:rPr>
        <w:t>08</w:t>
      </w:r>
      <w:r>
        <w:rPr>
          <w:rFonts w:hint="eastAsia" w:ascii="仿宋" w:hAnsi="仿宋" w:eastAsia="仿宋" w:cs="仿宋"/>
          <w:bCs/>
          <w:color w:val="auto"/>
          <w:sz w:val="28"/>
          <w:szCs w:val="28"/>
          <w:u w:val="none"/>
        </w:rPr>
        <w:t>月</w:t>
      </w:r>
      <w:r>
        <w:rPr>
          <w:rFonts w:hint="eastAsia" w:ascii="仿宋" w:hAnsi="仿宋" w:eastAsia="仿宋" w:cs="仿宋"/>
          <w:bCs/>
          <w:color w:val="auto"/>
          <w:sz w:val="28"/>
          <w:szCs w:val="28"/>
          <w:u w:val="single"/>
          <w:lang w:val="en-US" w:eastAsia="zh-CN"/>
        </w:rPr>
        <w:t xml:space="preserve"> 16 </w:t>
      </w:r>
      <w:r>
        <w:rPr>
          <w:rFonts w:hint="eastAsia" w:ascii="仿宋" w:hAnsi="仿宋" w:eastAsia="仿宋" w:cs="仿宋"/>
          <w:bCs/>
          <w:color w:val="auto"/>
          <w:sz w:val="28"/>
          <w:szCs w:val="28"/>
          <w:u w:val="none"/>
        </w:rPr>
        <w:t>日</w:t>
      </w:r>
      <w:r>
        <w:rPr>
          <w:rFonts w:hint="eastAsia" w:ascii="仿宋" w:hAnsi="仿宋" w:eastAsia="仿宋" w:cs="仿宋"/>
          <w:bCs/>
          <w:color w:val="auto"/>
          <w:sz w:val="28"/>
          <w:szCs w:val="28"/>
          <w:u w:val="single"/>
        </w:rPr>
        <w:t>1</w:t>
      </w:r>
      <w:r>
        <w:rPr>
          <w:rFonts w:hint="eastAsia" w:ascii="仿宋" w:hAnsi="仿宋" w:eastAsia="仿宋" w:cs="仿宋"/>
          <w:bCs/>
          <w:color w:val="auto"/>
          <w:sz w:val="28"/>
          <w:szCs w:val="28"/>
          <w:u w:val="single"/>
          <w:lang w:val="en-US" w:eastAsia="zh-CN"/>
        </w:rPr>
        <w:t>6</w:t>
      </w:r>
      <w:r>
        <w:rPr>
          <w:rFonts w:hint="eastAsia" w:ascii="仿宋" w:hAnsi="仿宋" w:eastAsia="仿宋" w:cs="仿宋"/>
          <w:bCs/>
          <w:color w:val="auto"/>
          <w:sz w:val="28"/>
          <w:szCs w:val="28"/>
          <w:u w:val="none"/>
        </w:rPr>
        <w:t>点</w:t>
      </w:r>
      <w:r>
        <w:rPr>
          <w:rFonts w:hint="eastAsia" w:ascii="仿宋" w:hAnsi="仿宋" w:eastAsia="仿宋" w:cs="仿宋"/>
          <w:bCs/>
          <w:color w:val="auto"/>
          <w:sz w:val="28"/>
          <w:szCs w:val="28"/>
          <w:u w:val="single"/>
          <w:lang w:val="en-US" w:eastAsia="zh-CN"/>
        </w:rPr>
        <w:t>3</w:t>
      </w:r>
      <w:r>
        <w:rPr>
          <w:rFonts w:hint="eastAsia" w:ascii="仿宋" w:hAnsi="仿宋" w:eastAsia="仿宋" w:cs="仿宋"/>
          <w:bCs/>
          <w:color w:val="auto"/>
          <w:sz w:val="28"/>
          <w:szCs w:val="28"/>
          <w:u w:val="single"/>
        </w:rPr>
        <w:t>0</w:t>
      </w:r>
      <w:r>
        <w:rPr>
          <w:rFonts w:hint="eastAsia" w:ascii="仿宋" w:hAnsi="仿宋" w:eastAsia="仿宋" w:cs="仿宋"/>
          <w:bCs/>
          <w:color w:val="auto"/>
          <w:sz w:val="28"/>
          <w:szCs w:val="28"/>
          <w:u w:val="none"/>
        </w:rPr>
        <w:t>分</w:t>
      </w:r>
      <w:r>
        <w:rPr>
          <w:rFonts w:hint="eastAsia" w:ascii="仿宋" w:hAnsi="仿宋" w:eastAsia="仿宋" w:cs="仿宋"/>
          <w:bCs/>
          <w:color w:val="auto"/>
          <w:sz w:val="28"/>
          <w:szCs w:val="28"/>
        </w:rPr>
        <w:t>（北京时间）</w:t>
      </w:r>
    </w:p>
    <w:p>
      <w:pPr>
        <w:pageBreakBefore w:val="0"/>
        <w:kinsoku/>
        <w:wordWrap/>
        <w:overflowPunct/>
        <w:topLinePunct w:val="0"/>
        <w:autoSpaceDE/>
        <w:autoSpaceDN/>
        <w:bidi w:val="0"/>
        <w:adjustRightInd/>
        <w:snapToGrid/>
        <w:spacing w:line="440" w:lineRule="exact"/>
        <w:ind w:left="1399" w:leftChars="266" w:hanging="840" w:hangingChars="300"/>
        <w:textAlignment w:val="auto"/>
        <w:rPr>
          <w:rFonts w:hint="eastAsia" w:ascii="仿宋" w:hAnsi="仿宋" w:eastAsia="仿宋" w:cs="仿宋"/>
          <w:bCs/>
          <w:color w:val="auto"/>
          <w:sz w:val="28"/>
          <w:szCs w:val="28"/>
          <w:u w:val="single"/>
        </w:rPr>
      </w:pPr>
      <w:r>
        <w:rPr>
          <w:rFonts w:hint="eastAsia" w:ascii="仿宋" w:hAnsi="仿宋" w:eastAsia="仿宋" w:cs="仿宋"/>
          <w:color w:val="auto"/>
          <w:sz w:val="28"/>
          <w:szCs w:val="28"/>
        </w:rPr>
        <w:t>地点：伊宁市解放路77号亚欧国际写字楼15楼开标厅</w:t>
      </w:r>
    </w:p>
    <w:p>
      <w:pPr>
        <w:pStyle w:val="4"/>
        <w:pageBreakBefore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color w:val="auto"/>
          <w:sz w:val="28"/>
          <w:szCs w:val="28"/>
        </w:rPr>
      </w:pPr>
      <w:bookmarkStart w:id="21" w:name="_Toc28359007"/>
      <w:bookmarkStart w:id="22" w:name="_Toc35393625"/>
      <w:bookmarkStart w:id="23" w:name="_Toc28359084"/>
      <w:bookmarkStart w:id="24" w:name="_Toc35393794"/>
      <w:r>
        <w:rPr>
          <w:rFonts w:hint="eastAsia" w:ascii="仿宋" w:hAnsi="仿宋" w:eastAsia="仿宋" w:cs="仿宋"/>
          <w:color w:val="auto"/>
          <w:sz w:val="28"/>
          <w:szCs w:val="28"/>
        </w:rPr>
        <w:t>五、响应文件开启</w:t>
      </w:r>
    </w:p>
    <w:p>
      <w:pPr>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截止</w:t>
      </w:r>
      <w:r>
        <w:rPr>
          <w:rFonts w:hint="eastAsia" w:ascii="仿宋" w:hAnsi="仿宋" w:eastAsia="仿宋" w:cs="仿宋"/>
          <w:bCs/>
          <w:color w:val="auto"/>
          <w:sz w:val="28"/>
          <w:szCs w:val="28"/>
        </w:rPr>
        <w:t>时间：</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2</w:t>
      </w:r>
      <w:r>
        <w:rPr>
          <w:rFonts w:hint="eastAsia" w:ascii="仿宋" w:hAnsi="仿宋" w:eastAsia="仿宋" w:cs="仿宋"/>
          <w:bCs/>
          <w:color w:val="auto"/>
          <w:sz w:val="28"/>
          <w:szCs w:val="28"/>
          <w:u w:val="none"/>
        </w:rPr>
        <w:t>年</w:t>
      </w:r>
      <w:r>
        <w:rPr>
          <w:rFonts w:hint="eastAsia" w:ascii="仿宋" w:hAnsi="仿宋" w:eastAsia="仿宋" w:cs="仿宋"/>
          <w:bCs/>
          <w:color w:val="auto"/>
          <w:sz w:val="28"/>
          <w:szCs w:val="28"/>
          <w:u w:val="single"/>
          <w:lang w:val="en-US" w:eastAsia="zh-CN"/>
        </w:rPr>
        <w:t>08</w:t>
      </w:r>
      <w:r>
        <w:rPr>
          <w:rFonts w:hint="eastAsia" w:ascii="仿宋" w:hAnsi="仿宋" w:eastAsia="仿宋" w:cs="仿宋"/>
          <w:bCs/>
          <w:color w:val="auto"/>
          <w:sz w:val="28"/>
          <w:szCs w:val="28"/>
          <w:u w:val="none"/>
        </w:rPr>
        <w:t>月</w:t>
      </w:r>
      <w:r>
        <w:rPr>
          <w:rFonts w:hint="eastAsia" w:ascii="仿宋" w:hAnsi="仿宋" w:eastAsia="仿宋" w:cs="仿宋"/>
          <w:bCs/>
          <w:color w:val="auto"/>
          <w:sz w:val="28"/>
          <w:szCs w:val="28"/>
          <w:u w:val="single"/>
          <w:lang w:val="en-US" w:eastAsia="zh-CN"/>
        </w:rPr>
        <w:t xml:space="preserve"> 16  </w:t>
      </w:r>
      <w:r>
        <w:rPr>
          <w:rFonts w:hint="eastAsia" w:ascii="仿宋" w:hAnsi="仿宋" w:eastAsia="仿宋" w:cs="仿宋"/>
          <w:bCs/>
          <w:color w:val="auto"/>
          <w:sz w:val="28"/>
          <w:szCs w:val="28"/>
          <w:u w:val="none"/>
        </w:rPr>
        <w:t>日</w:t>
      </w:r>
      <w:r>
        <w:rPr>
          <w:rFonts w:hint="eastAsia" w:ascii="仿宋" w:hAnsi="仿宋" w:eastAsia="仿宋" w:cs="仿宋"/>
          <w:bCs/>
          <w:color w:val="auto"/>
          <w:sz w:val="28"/>
          <w:szCs w:val="28"/>
          <w:u w:val="single"/>
        </w:rPr>
        <w:t>1</w:t>
      </w:r>
      <w:r>
        <w:rPr>
          <w:rFonts w:hint="eastAsia" w:ascii="仿宋" w:hAnsi="仿宋" w:eastAsia="仿宋" w:cs="仿宋"/>
          <w:bCs/>
          <w:color w:val="auto"/>
          <w:sz w:val="28"/>
          <w:szCs w:val="28"/>
          <w:u w:val="single"/>
          <w:lang w:val="en-US" w:eastAsia="zh-CN"/>
        </w:rPr>
        <w:t>6</w:t>
      </w:r>
      <w:r>
        <w:rPr>
          <w:rFonts w:hint="eastAsia" w:ascii="仿宋" w:hAnsi="仿宋" w:eastAsia="仿宋" w:cs="仿宋"/>
          <w:bCs/>
          <w:color w:val="auto"/>
          <w:sz w:val="28"/>
          <w:szCs w:val="28"/>
          <w:u w:val="none"/>
        </w:rPr>
        <w:t>点</w:t>
      </w:r>
      <w:r>
        <w:rPr>
          <w:rFonts w:hint="eastAsia" w:ascii="仿宋" w:hAnsi="仿宋" w:eastAsia="仿宋" w:cs="仿宋"/>
          <w:bCs/>
          <w:color w:val="auto"/>
          <w:sz w:val="28"/>
          <w:szCs w:val="28"/>
          <w:u w:val="single"/>
          <w:lang w:val="en-US" w:eastAsia="zh-CN"/>
        </w:rPr>
        <w:t>3</w:t>
      </w:r>
      <w:r>
        <w:rPr>
          <w:rFonts w:hint="eastAsia" w:ascii="仿宋" w:hAnsi="仿宋" w:eastAsia="仿宋" w:cs="仿宋"/>
          <w:bCs/>
          <w:color w:val="auto"/>
          <w:sz w:val="28"/>
          <w:szCs w:val="28"/>
          <w:u w:val="single"/>
        </w:rPr>
        <w:t>0</w:t>
      </w:r>
      <w:r>
        <w:rPr>
          <w:rFonts w:hint="eastAsia" w:ascii="仿宋" w:hAnsi="仿宋" w:eastAsia="仿宋" w:cs="仿宋"/>
          <w:bCs/>
          <w:color w:val="auto"/>
          <w:sz w:val="28"/>
          <w:szCs w:val="28"/>
          <w:u w:val="none"/>
        </w:rPr>
        <w:t>分</w:t>
      </w:r>
      <w:r>
        <w:rPr>
          <w:rFonts w:hint="eastAsia" w:ascii="仿宋" w:hAnsi="仿宋" w:eastAsia="仿宋" w:cs="仿宋"/>
          <w:bCs/>
          <w:color w:val="auto"/>
          <w:sz w:val="28"/>
          <w:szCs w:val="28"/>
        </w:rPr>
        <w:t>（北京时间）</w:t>
      </w:r>
    </w:p>
    <w:p>
      <w:pPr>
        <w:pStyle w:val="4"/>
        <w:pageBreakBefore w:val="0"/>
        <w:kinsoku/>
        <w:wordWrap/>
        <w:overflowPunct/>
        <w:topLinePunct w:val="0"/>
        <w:autoSpaceDE/>
        <w:autoSpaceDN/>
        <w:bidi w:val="0"/>
        <w:adjustRightInd/>
        <w:snapToGrid/>
        <w:spacing w:before="0" w:after="0" w:line="440" w:lineRule="exact"/>
        <w:ind w:left="0" w:leftChars="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b w:val="0"/>
          <w:bCs w:val="0"/>
          <w:color w:val="auto"/>
          <w:sz w:val="28"/>
          <w:szCs w:val="28"/>
        </w:rPr>
        <w:t>地点：伊宁市解放路77号亚欧国际写字楼15楼开标厅</w:t>
      </w:r>
    </w:p>
    <w:p>
      <w:pPr>
        <w:pStyle w:val="4"/>
        <w:pageBreakBefore w:val="0"/>
        <w:kinsoku/>
        <w:wordWrap/>
        <w:overflowPunct/>
        <w:topLinePunct w:val="0"/>
        <w:autoSpaceDE/>
        <w:autoSpaceDN/>
        <w:bidi w:val="0"/>
        <w:adjustRightInd/>
        <w:snapToGrid/>
        <w:spacing w:before="0" w:after="0" w:line="440" w:lineRule="exact"/>
        <w:ind w:left="0" w:left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公告期限</w:t>
      </w:r>
      <w:bookmarkEnd w:id="21"/>
      <w:bookmarkEnd w:id="22"/>
      <w:bookmarkEnd w:id="23"/>
      <w:bookmarkEnd w:id="24"/>
    </w:p>
    <w:p>
      <w:pPr>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自本公告发布之日起5个工作日。</w:t>
      </w:r>
      <w:bookmarkStart w:id="25" w:name="_Toc35393626"/>
      <w:bookmarkStart w:id="26" w:name="_Toc35393795"/>
    </w:p>
    <w:p>
      <w:pPr>
        <w:pageBreakBefore w:val="0"/>
        <w:numPr>
          <w:ilvl w:val="0"/>
          <w:numId w:val="1"/>
        </w:numPr>
        <w:kinsoku/>
        <w:wordWrap/>
        <w:overflowPunct/>
        <w:topLinePunct w:val="0"/>
        <w:autoSpaceDE/>
        <w:autoSpaceDN/>
        <w:bidi w:val="0"/>
        <w:adjustRightInd/>
        <w:snapToGrid/>
        <w:spacing w:line="440" w:lineRule="exact"/>
        <w:ind w:left="0" w:leftChars="0" w:firstLine="560" w:firstLineChars="200"/>
        <w:textAlignment w:val="auto"/>
        <w:rPr>
          <w:rFonts w:hint="eastAsia"/>
          <w:color w:val="auto"/>
        </w:rPr>
      </w:pPr>
      <w:r>
        <w:rPr>
          <w:rFonts w:hint="eastAsia" w:ascii="仿宋" w:hAnsi="仿宋" w:eastAsia="仿宋" w:cs="仿宋"/>
          <w:color w:val="auto"/>
          <w:sz w:val="28"/>
          <w:szCs w:val="28"/>
        </w:rPr>
        <w:t>其他补充事宜</w:t>
      </w:r>
      <w:bookmarkEnd w:id="25"/>
      <w:bookmarkEnd w:id="26"/>
    </w:p>
    <w:p>
      <w:pPr>
        <w:pageBreakBefore w:val="0"/>
        <w:numPr>
          <w:ilvl w:val="0"/>
          <w:numId w:val="0"/>
        </w:numPr>
        <w:kinsoku/>
        <w:wordWrap/>
        <w:overflowPunct/>
        <w:topLinePunct w:val="0"/>
        <w:autoSpaceDE/>
        <w:autoSpaceDN/>
        <w:bidi w:val="0"/>
        <w:adjustRightInd/>
        <w:snapToGrid/>
        <w:spacing w:line="440" w:lineRule="exact"/>
        <w:ind w:leftChars="200"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获取采购文件所需提供证件及资料：</w:t>
      </w:r>
      <w:r>
        <w:rPr>
          <w:rFonts w:hint="eastAsia" w:ascii="仿宋" w:hAnsi="仿宋" w:eastAsia="仿宋" w:cs="仿宋"/>
          <w:color w:val="auto"/>
          <w:sz w:val="28"/>
          <w:szCs w:val="28"/>
          <w:lang w:eastAsia="zh-CN"/>
        </w:rPr>
        <w:t> </w:t>
      </w:r>
    </w:p>
    <w:p>
      <w:pPr>
        <w:pageBreakBefore w:val="0"/>
        <w:numPr>
          <w:ilvl w:val="0"/>
          <w:numId w:val="0"/>
        </w:numPr>
        <w:kinsoku/>
        <w:wordWrap/>
        <w:overflowPunct/>
        <w:topLinePunct w:val="0"/>
        <w:autoSpaceDE/>
        <w:autoSpaceDN/>
        <w:bidi w:val="0"/>
        <w:adjustRightInd/>
        <w:snapToGrid/>
        <w:spacing w:line="440" w:lineRule="exact"/>
        <w:ind w:leftChars="200"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邮件领取：</w:t>
      </w:r>
      <w:r>
        <w:rPr>
          <w:rFonts w:hint="eastAsia" w:ascii="仿宋" w:hAnsi="仿宋" w:eastAsia="仿宋" w:cs="仿宋"/>
          <w:b w:val="0"/>
          <w:bCs w:val="0"/>
          <w:color w:val="auto"/>
          <w:sz w:val="28"/>
          <w:szCs w:val="28"/>
          <w:lang w:eastAsia="zh-CN"/>
        </w:rPr>
        <w:t>法定代表人身份证明书或者法定代表人授权委托书、委托人身份证、营业执照、“信用中国”（www.creditchina.gov.cn）网上查询本公司未被列入失信被执行人、重大税收违法失信主体、“中国政府采购网”（ www.ccgp.gov.cn）网上查询本公司未被列入政府采购严重违法失信行为记录名单（提供查询结果网页截图并加盖供应商公章，网页打印件须自公告发布之日起至截止日内从上述网站中打印）以原件扫描件</w:t>
      </w:r>
      <w:r>
        <w:rPr>
          <w:rFonts w:hint="eastAsia" w:ascii="仿宋" w:hAnsi="仿宋" w:eastAsia="仿宋" w:cs="仿宋"/>
          <w:b w:val="0"/>
          <w:bCs w:val="0"/>
          <w:color w:val="auto"/>
          <w:sz w:val="28"/>
          <w:szCs w:val="28"/>
          <w:lang w:val="en-US" w:eastAsia="zh-CN"/>
        </w:rPr>
        <w:t>加盖公章</w:t>
      </w:r>
      <w:r>
        <w:rPr>
          <w:rFonts w:hint="eastAsia" w:ascii="仿宋" w:hAnsi="仿宋" w:eastAsia="仿宋" w:cs="仿宋"/>
          <w:b w:val="0"/>
          <w:bCs w:val="0"/>
          <w:color w:val="auto"/>
          <w:sz w:val="28"/>
          <w:szCs w:val="28"/>
          <w:lang w:eastAsia="zh-CN"/>
        </w:rPr>
        <w:t>的形式发送至邮箱（2238782526@qq.com），缺一不可，所有资料必须在有效期内符合要求者可以购买招标文件并获得投标资格。邮件主题注明供应商名称及项目名称，邮件中写明供应商联系人、联系电话。</w:t>
      </w:r>
      <w:r>
        <w:rPr>
          <w:rFonts w:hint="eastAsia" w:ascii="仿宋" w:hAnsi="仿宋" w:eastAsia="仿宋" w:cs="仿宋"/>
          <w:color w:val="auto"/>
          <w:sz w:val="28"/>
          <w:szCs w:val="28"/>
          <w:lang w:eastAsia="zh-CN"/>
        </w:rPr>
        <w:t> </w:t>
      </w:r>
    </w:p>
    <w:p>
      <w:pPr>
        <w:pageBreakBefore w:val="0"/>
        <w:numPr>
          <w:ilvl w:val="0"/>
          <w:numId w:val="0"/>
        </w:numPr>
        <w:kinsoku/>
        <w:wordWrap/>
        <w:overflowPunct/>
        <w:topLinePunct w:val="0"/>
        <w:autoSpaceDE/>
        <w:autoSpaceDN/>
        <w:bidi w:val="0"/>
        <w:adjustRightInd/>
        <w:snapToGrid/>
        <w:spacing w:line="440" w:lineRule="exact"/>
        <w:ind w:leftChars="200" w:firstLine="562"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特别提示：</w:t>
      </w:r>
    </w:p>
    <w:p>
      <w:pPr>
        <w:pageBreakBefore w:val="0"/>
        <w:numPr>
          <w:ilvl w:val="0"/>
          <w:numId w:val="2"/>
        </w:numPr>
        <w:kinsoku/>
        <w:wordWrap/>
        <w:overflowPunct/>
        <w:topLinePunct w:val="0"/>
        <w:autoSpaceDE/>
        <w:autoSpaceDN/>
        <w:bidi w:val="0"/>
        <w:adjustRightInd/>
        <w:snapToGrid/>
        <w:spacing w:line="440" w:lineRule="exact"/>
        <w:ind w:leftChars="20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numPr>
          <w:ilvl w:val="0"/>
          <w:numId w:val="2"/>
        </w:numPr>
        <w:kinsoku/>
        <w:wordWrap/>
        <w:overflowPunct/>
        <w:topLinePunct w:val="0"/>
        <w:autoSpaceDE/>
        <w:autoSpaceDN/>
        <w:bidi w:val="0"/>
        <w:adjustRightInd/>
        <w:snapToGrid/>
        <w:spacing w:line="440" w:lineRule="exact"/>
        <w:ind w:left="420" w:leftChars="20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对于未预留份额专门面向中小企业的采购项目，以及预留份额项</w:t>
      </w:r>
    </w:p>
    <w:p>
      <w:pPr>
        <w:pageBreakBefore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
        <w:pageBreakBefore w:val="0"/>
        <w:widowControl w:val="0"/>
        <w:kinsoku/>
        <w:wordWrap/>
        <w:overflowPunct/>
        <w:topLinePunct w:val="0"/>
        <w:autoSpaceDE/>
        <w:autoSpaceDN/>
        <w:bidi w:val="0"/>
        <w:adjustRightInd w:val="0"/>
        <w:snapToGrid w:val="0"/>
        <w:spacing w:before="0" w:after="0" w:line="440" w:lineRule="exact"/>
        <w:ind w:left="0" w:leftChars="0" w:firstLine="840" w:firstLineChars="3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p>
    <w:p>
      <w:pPr>
        <w:pStyle w:val="4"/>
        <w:pageBreakBefore w:val="0"/>
        <w:widowControl w:val="0"/>
        <w:kinsoku/>
        <w:wordWrap/>
        <w:overflowPunct/>
        <w:topLinePunct w:val="0"/>
        <w:autoSpaceDE/>
        <w:autoSpaceDN/>
        <w:bidi w:val="0"/>
        <w:adjustRightInd w:val="0"/>
        <w:snapToGrid w:val="0"/>
        <w:spacing w:before="0" w:after="0" w:line="440" w:lineRule="exact"/>
        <w:ind w:left="0" w:left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八</w:t>
      </w:r>
      <w:r>
        <w:rPr>
          <w:rFonts w:hint="eastAsia" w:ascii="仿宋" w:hAnsi="仿宋" w:eastAsia="仿宋" w:cs="仿宋"/>
          <w:color w:val="auto"/>
          <w:sz w:val="28"/>
          <w:szCs w:val="28"/>
        </w:rPr>
        <w:t>、</w:t>
      </w:r>
      <w:bookmarkEnd w:id="13"/>
      <w:bookmarkEnd w:id="14"/>
      <w:bookmarkEnd w:id="15"/>
      <w:bookmarkEnd w:id="16"/>
      <w:r>
        <w:rPr>
          <w:rFonts w:hint="eastAsia" w:ascii="仿宋" w:hAnsi="仿宋" w:eastAsia="仿宋" w:cs="仿宋"/>
          <w:color w:val="auto"/>
          <w:sz w:val="28"/>
          <w:szCs w:val="28"/>
        </w:rPr>
        <w:t>凡对本次招标提出询问，请按以下方式联系</w:t>
      </w:r>
    </w:p>
    <w:p>
      <w:pPr>
        <w:pageBreakBefore w:val="0"/>
        <w:widowControl/>
        <w:kinsoku/>
        <w:wordWrap/>
        <w:overflowPunct/>
        <w:topLinePunct w:val="0"/>
        <w:autoSpaceDE/>
        <w:autoSpaceDN/>
        <w:bidi w:val="0"/>
        <w:adjustRightInd/>
        <w:snapToGrid/>
        <w:spacing w:line="440" w:lineRule="exact"/>
        <w:ind w:left="0" w:left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1.采购人信息：</w:t>
      </w:r>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名 称：</w:t>
      </w:r>
      <w:r>
        <w:rPr>
          <w:rFonts w:hint="eastAsia" w:ascii="仿宋" w:hAnsi="仿宋" w:eastAsia="仿宋" w:cs="仿宋"/>
          <w:color w:val="auto"/>
          <w:sz w:val="28"/>
          <w:szCs w:val="28"/>
          <w:lang w:eastAsia="zh-CN"/>
        </w:rPr>
        <w:t>伊犁哈萨克自治州医疗保障局</w:t>
      </w:r>
      <w:bookmarkStart w:id="34" w:name="_GoBack"/>
      <w:bookmarkEnd w:id="34"/>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eastAsia="zh-CN"/>
        </w:rPr>
        <w:t>伊宁市</w:t>
      </w:r>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val="en-US" w:eastAsia="zh-CN"/>
        </w:rPr>
        <w:t xml:space="preserve">靳建辉 </w:t>
      </w:r>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项目联系电话：</w:t>
      </w:r>
      <w:bookmarkStart w:id="27" w:name="_Toc28359086"/>
      <w:bookmarkStart w:id="28" w:name="_Toc28359009"/>
      <w:r>
        <w:rPr>
          <w:rFonts w:hint="eastAsia" w:ascii="仿宋" w:hAnsi="仿宋" w:eastAsia="仿宋" w:cs="仿宋"/>
          <w:color w:val="auto"/>
          <w:sz w:val="28"/>
          <w:szCs w:val="28"/>
          <w:lang w:val="en-US" w:eastAsia="zh-CN"/>
        </w:rPr>
        <w:t>0999-8020025</w:t>
      </w:r>
      <w:r>
        <w:rPr>
          <w:rFonts w:hint="eastAsia" w:ascii="仿宋" w:hAnsi="仿宋" w:eastAsia="仿宋" w:cs="仿宋"/>
          <w:color w:val="auto"/>
          <w:sz w:val="28"/>
          <w:szCs w:val="28"/>
          <w:lang w:val="en-US" w:eastAsia="zh-CN"/>
        </w:rPr>
        <w:t xml:space="preserve"> </w:t>
      </w:r>
    </w:p>
    <w:p>
      <w:pPr>
        <w:pageBreakBefore w:val="0"/>
        <w:kinsoku/>
        <w:wordWrap/>
        <w:overflowPunct/>
        <w:topLinePunct w:val="0"/>
        <w:autoSpaceDE/>
        <w:autoSpaceDN/>
        <w:bidi w:val="0"/>
        <w:adjustRightInd/>
        <w:snapToGrid/>
        <w:spacing w:line="440" w:lineRule="exact"/>
        <w:ind w:left="350" w:leftChars="0" w:hanging="350" w:hangingChars="125"/>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2.采购代理机构信息</w:t>
      </w:r>
      <w:bookmarkEnd w:id="27"/>
      <w:bookmarkEnd w:id="28"/>
      <w:r>
        <w:rPr>
          <w:rFonts w:hint="eastAsia" w:ascii="仿宋" w:hAnsi="仿宋" w:eastAsia="仿宋" w:cs="仿宋"/>
          <w:color w:val="auto"/>
          <w:sz w:val="28"/>
          <w:szCs w:val="28"/>
        </w:rPr>
        <w:t>：</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名 称：新疆齐盛泉工程项目管理有限公司</w:t>
      </w:r>
    </w:p>
    <w:p>
      <w:pPr>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地　址：</w:t>
      </w:r>
      <w:bookmarkStart w:id="29" w:name="_Toc28359087"/>
      <w:bookmarkStart w:id="30" w:name="_Toc28359010"/>
      <w:r>
        <w:rPr>
          <w:rFonts w:hint="eastAsia" w:ascii="仿宋" w:hAnsi="仿宋" w:eastAsia="仿宋" w:cs="仿宋"/>
          <w:color w:val="auto"/>
          <w:sz w:val="28"/>
          <w:szCs w:val="28"/>
          <w:u w:val="none"/>
        </w:rPr>
        <w:t>伊宁市解放路77号亚欧国际写字楼15楼</w:t>
      </w:r>
    </w:p>
    <w:bookmarkEnd w:id="29"/>
    <w:bookmarkEnd w:id="30"/>
    <w:p>
      <w:pPr>
        <w:pStyle w:val="24"/>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项目联系人：</w:t>
      </w:r>
      <w:r>
        <w:rPr>
          <w:rFonts w:hint="eastAsia" w:ascii="仿宋" w:hAnsi="仿宋" w:eastAsia="仿宋" w:cs="仿宋"/>
          <w:color w:val="auto"/>
          <w:sz w:val="28"/>
          <w:szCs w:val="28"/>
          <w:u w:val="none"/>
          <w:lang w:eastAsia="zh-CN"/>
        </w:rPr>
        <w:t>李文婷</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eastAsia="zh-CN"/>
        </w:rPr>
        <w:t>、王翠</w:t>
      </w:r>
      <w:r>
        <w:rPr>
          <w:rFonts w:hint="eastAsia" w:ascii="仿宋" w:hAnsi="仿宋" w:eastAsia="仿宋" w:cs="仿宋"/>
          <w:color w:val="auto"/>
          <w:sz w:val="28"/>
          <w:szCs w:val="28"/>
          <w:u w:val="none"/>
        </w:rPr>
        <w:t xml:space="preserve">   </w:t>
      </w:r>
    </w:p>
    <w:p>
      <w:pPr>
        <w:pageBreakBefore w:val="0"/>
        <w:kinsoku/>
        <w:wordWrap/>
        <w:overflowPunct/>
        <w:topLinePunct w:val="0"/>
        <w:autoSpaceDE/>
        <w:autoSpaceDN/>
        <w:bidi w:val="0"/>
        <w:adjustRightInd/>
        <w:snapToGrid/>
        <w:spacing w:line="440" w:lineRule="exact"/>
        <w:ind w:left="0" w:leftChars="0"/>
        <w:textAlignment w:val="auto"/>
        <w:rPr>
          <w:rFonts w:hint="eastAsia"/>
          <w:color w:val="auto"/>
        </w:rPr>
      </w:pPr>
      <w:r>
        <w:rPr>
          <w:rFonts w:hint="eastAsia" w:ascii="仿宋" w:hAnsi="仿宋" w:eastAsia="仿宋" w:cs="仿宋"/>
          <w:color w:val="auto"/>
          <w:sz w:val="28"/>
          <w:szCs w:val="28"/>
          <w:u w:val="none"/>
        </w:rPr>
        <w:t xml:space="preserve">项目联系电话：0999-8800077  </w:t>
      </w:r>
      <w:r>
        <w:rPr>
          <w:rFonts w:hint="eastAsia" w:ascii="仿宋" w:hAnsi="仿宋" w:eastAsia="仿宋" w:cs="仿宋"/>
          <w:color w:val="auto"/>
          <w:sz w:val="28"/>
          <w:szCs w:val="28"/>
          <w:u w:val="none"/>
          <w:lang w:val="en-US" w:eastAsia="zh-CN"/>
        </w:rPr>
        <w:t>15628131816</w:t>
      </w:r>
      <w:r>
        <w:rPr>
          <w:rFonts w:hint="eastAsia" w:ascii="仿宋" w:hAnsi="仿宋" w:eastAsia="仿宋" w:cs="仿宋"/>
          <w:color w:val="auto"/>
          <w:sz w:val="28"/>
          <w:szCs w:val="28"/>
          <w:u w:val="none"/>
        </w:rPr>
        <w:t xml:space="preserve"> </w:t>
      </w:r>
    </w:p>
    <w:p>
      <w:pPr>
        <w:pStyle w:val="24"/>
        <w:spacing w:line="360" w:lineRule="auto"/>
        <w:jc w:val="center"/>
        <w:outlineLvl w:val="9"/>
        <w:rPr>
          <w:rFonts w:hint="eastAsia" w:hAnsi="宋体" w:cs="宋体"/>
          <w:b/>
          <w:color w:val="auto"/>
          <w:sz w:val="32"/>
          <w:szCs w:val="32"/>
        </w:rPr>
      </w:pPr>
      <w:r>
        <w:rPr>
          <w:rFonts w:hint="eastAsia" w:hAnsi="宋体" w:cs="宋体"/>
          <w:b/>
          <w:color w:val="auto"/>
          <w:sz w:val="32"/>
          <w:szCs w:val="32"/>
        </w:rPr>
        <w:t>第二章 磋商须知</w:t>
      </w:r>
    </w:p>
    <w:p>
      <w:pPr>
        <w:pStyle w:val="24"/>
        <w:spacing w:line="360" w:lineRule="auto"/>
        <w:jc w:val="center"/>
        <w:outlineLvl w:val="9"/>
        <w:rPr>
          <w:rFonts w:hint="eastAsia" w:hAnsi="宋体" w:cs="宋体"/>
          <w:b/>
          <w:color w:val="auto"/>
          <w:sz w:val="28"/>
          <w:szCs w:val="28"/>
        </w:rPr>
      </w:pPr>
      <w:r>
        <w:rPr>
          <w:rFonts w:hint="eastAsia" w:hAnsi="宋体" w:cs="宋体"/>
          <w:b/>
          <w:color w:val="auto"/>
          <w:sz w:val="28"/>
          <w:szCs w:val="28"/>
        </w:rPr>
        <w:t>磋商须知前附表</w:t>
      </w:r>
    </w:p>
    <w:tbl>
      <w:tblPr>
        <w:tblStyle w:val="4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150"/>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条款号</w:t>
            </w:r>
          </w:p>
        </w:tc>
        <w:tc>
          <w:tcPr>
            <w:tcW w:w="2150" w:type="dxa"/>
            <w:tcBorders>
              <w:tl2br w:val="nil"/>
              <w:tr2bl w:val="nil"/>
            </w:tcBorders>
            <w:vAlign w:val="center"/>
          </w:tcPr>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条款名称</w:t>
            </w:r>
          </w:p>
        </w:tc>
        <w:tc>
          <w:tcPr>
            <w:tcW w:w="4920" w:type="dxa"/>
            <w:tcBorders>
              <w:tl2br w:val="nil"/>
              <w:tr2bl w:val="nil"/>
            </w:tcBorders>
            <w:vAlign w:val="center"/>
          </w:tcPr>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9090" w:type="dxa"/>
            <w:gridSpan w:val="3"/>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
                <w:color w:val="auto"/>
                <w:sz w:val="24"/>
                <w:szCs w:val="24"/>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2020" w:type="dxa"/>
            <w:tcBorders>
              <w:tl2br w:val="nil"/>
              <w:tr2bl w:val="nil"/>
            </w:tcBorders>
            <w:vAlign w:val="center"/>
          </w:tcPr>
          <w:p>
            <w:pPr>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第二章第1.1款</w:t>
            </w:r>
          </w:p>
        </w:tc>
        <w:tc>
          <w:tcPr>
            <w:tcW w:w="2150" w:type="dxa"/>
            <w:tcBorders>
              <w:tl2br w:val="nil"/>
              <w:tr2bl w:val="nil"/>
            </w:tcBorders>
            <w:vAlign w:val="center"/>
          </w:tcPr>
          <w:p>
            <w:pPr>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p>
        </w:tc>
        <w:tc>
          <w:tcPr>
            <w:tcW w:w="4920" w:type="dxa"/>
            <w:tcBorders>
              <w:tl2br w:val="nil"/>
              <w:tr2bl w:val="nil"/>
            </w:tcBorders>
            <w:vAlign w:val="center"/>
          </w:tcPr>
          <w:p>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伊犁哈萨克自治州医疗保障局医疗服务与保障能力提升项目</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标项2</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第二章第2.1款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采购人</w:t>
            </w:r>
          </w:p>
        </w:tc>
        <w:tc>
          <w:tcPr>
            <w:tcW w:w="4920" w:type="dxa"/>
            <w:tcBorders>
              <w:tl2br w:val="nil"/>
              <w:tr2bl w:val="nil"/>
            </w:tcBorders>
            <w:vAlign w:val="center"/>
          </w:tcPr>
          <w:p>
            <w:pPr>
              <w:adjustRightInd w:val="0"/>
              <w:snapToGrid w:val="0"/>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名  称：伊犁哈萨克自治州医疗保障局</w:t>
            </w:r>
          </w:p>
          <w:p>
            <w:pPr>
              <w:adjustRightInd w:val="0"/>
              <w:snapToGrid w:val="0"/>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联系人：靳建辉 </w:t>
            </w:r>
          </w:p>
          <w:p>
            <w:pPr>
              <w:adjustRightInd w:val="0"/>
              <w:snapToGrid w:val="0"/>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电  话：0999-8020025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第二章第2.2款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采购代理机构</w:t>
            </w:r>
          </w:p>
        </w:tc>
        <w:tc>
          <w:tcPr>
            <w:tcW w:w="492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名  称：新疆齐盛泉工程项目管理有限公司 </w:t>
            </w:r>
          </w:p>
          <w:p>
            <w:pPr>
              <w:adjustRightInd w:val="0"/>
              <w:snapToGrid w:val="0"/>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联系人：李文婷、王翠   </w:t>
            </w:r>
          </w:p>
          <w:p>
            <w:pPr>
              <w:adjustRightInd w:val="0"/>
              <w:snapToGrid w:val="0"/>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电  话：15628131816    0999-8800077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autoSpaceDE w:val="0"/>
              <w:autoSpaceDN w:val="0"/>
              <w:rPr>
                <w:rFonts w:hint="eastAsia" w:ascii="宋体" w:hAnsi="宋体" w:cs="宋体"/>
                <w:b w:val="0"/>
                <w:bCs w:val="0"/>
                <w:color w:val="auto"/>
                <w:sz w:val="24"/>
                <w:szCs w:val="24"/>
              </w:rPr>
            </w:pPr>
            <w:r>
              <w:rPr>
                <w:rFonts w:hint="eastAsia" w:ascii="宋体" w:hAnsi="宋体" w:eastAsia="宋体" w:cs="宋体"/>
                <w:b w:val="0"/>
                <w:bCs w:val="0"/>
                <w:color w:val="auto"/>
                <w:sz w:val="24"/>
                <w:szCs w:val="24"/>
                <w:lang w:eastAsia="zh-CN"/>
              </w:rPr>
              <w:t>采购内容</w:t>
            </w:r>
          </w:p>
        </w:tc>
        <w:tc>
          <w:tcPr>
            <w:tcW w:w="4920" w:type="dxa"/>
            <w:tcBorders>
              <w:tl2br w:val="nil"/>
              <w:tr2bl w:val="nil"/>
            </w:tcBorders>
            <w:vAlign w:val="center"/>
          </w:tcPr>
          <w:p>
            <w:pPr>
              <w:autoSpaceDE w:val="0"/>
              <w:autoSpaceDN w:val="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办公</w:t>
            </w:r>
            <w:r>
              <w:rPr>
                <w:rFonts w:hint="eastAsia" w:ascii="宋体" w:hAnsi="宋体" w:eastAsia="宋体" w:cs="宋体"/>
                <w:b w:val="0"/>
                <w:bCs w:val="0"/>
                <w:color w:val="auto"/>
                <w:sz w:val="24"/>
                <w:szCs w:val="24"/>
                <w:lang w:val="en-US" w:eastAsia="zh-CN"/>
              </w:rPr>
              <w:t>设备</w:t>
            </w:r>
            <w:r>
              <w:rPr>
                <w:rFonts w:hint="eastAsia" w:ascii="宋体" w:hAnsi="宋体" w:cs="宋体"/>
                <w:b w:val="0"/>
                <w:bCs w:val="0"/>
                <w:color w:val="auto"/>
                <w:sz w:val="24"/>
                <w:szCs w:val="24"/>
                <w:lang w:val="en-US" w:eastAsia="zh-CN"/>
              </w:rPr>
              <w:t>等</w:t>
            </w:r>
            <w:r>
              <w:rPr>
                <w:rFonts w:hint="eastAsia" w:ascii="宋体" w:hAnsi="宋体" w:eastAsia="宋体" w:cs="宋体"/>
                <w:b w:val="0"/>
                <w:bCs w:val="0"/>
                <w:color w:val="auto"/>
                <w:sz w:val="24"/>
                <w:szCs w:val="24"/>
                <w:lang w:val="en-US" w:eastAsia="zh-CN"/>
              </w:rPr>
              <w:t>采购（货物的运输、供货、卸车费及安装调试等；）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autoSpaceDE w:val="0"/>
              <w:autoSpaceDN w:val="0"/>
              <w:rPr>
                <w:rFonts w:hint="eastAsia" w:ascii="宋体" w:hAnsi="宋体" w:cs="宋体"/>
                <w:bCs/>
                <w:color w:val="auto"/>
                <w:sz w:val="24"/>
                <w:szCs w:val="24"/>
              </w:rPr>
            </w:pPr>
            <w:r>
              <w:rPr>
                <w:rFonts w:hint="eastAsia" w:ascii="宋体" w:hAnsi="宋体" w:eastAsia="宋体" w:cs="宋体"/>
                <w:bCs/>
                <w:color w:val="auto"/>
                <w:sz w:val="24"/>
                <w:szCs w:val="24"/>
                <w:lang w:eastAsia="zh-CN"/>
              </w:rPr>
              <w:t>项目编号</w:t>
            </w:r>
          </w:p>
        </w:tc>
        <w:tc>
          <w:tcPr>
            <w:tcW w:w="4920" w:type="dxa"/>
            <w:tcBorders>
              <w:tl2br w:val="nil"/>
              <w:tr2bl w:val="nil"/>
            </w:tcBorders>
            <w:vAlign w:val="center"/>
          </w:tcPr>
          <w:p>
            <w:pPr>
              <w:autoSpaceDE w:val="0"/>
              <w:autoSpaceDN w:val="0"/>
              <w:rPr>
                <w:rFonts w:hint="default" w:ascii="宋体" w:hAnsi="宋体" w:eastAsia="宋体" w:cs="宋体"/>
                <w:b/>
                <w:bCs/>
                <w:color w:val="auto"/>
                <w:sz w:val="24"/>
                <w:szCs w:val="24"/>
                <w:lang w:val="en-US" w:eastAsia="zh-CN"/>
              </w:rPr>
            </w:pPr>
            <w:r>
              <w:rPr>
                <w:rFonts w:hint="eastAsia" w:ascii="宋体" w:hAnsi="宋体" w:cs="宋体"/>
                <w:color w:val="auto"/>
                <w:sz w:val="24"/>
              </w:rPr>
              <w:t>XJQSQZB202</w:t>
            </w:r>
            <w:r>
              <w:rPr>
                <w:rFonts w:hint="eastAsia" w:ascii="宋体" w:hAnsi="宋体" w:cs="宋体"/>
                <w:color w:val="auto"/>
                <w:sz w:val="24"/>
                <w:lang w:val="en-US" w:eastAsia="zh-CN"/>
              </w:rPr>
              <w:t>2-023-02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spacing w:line="360" w:lineRule="atLeast"/>
              <w:rPr>
                <w:rFonts w:hint="eastAsia" w:ascii="宋体" w:hAnsi="宋体" w:cs="宋体"/>
                <w:bCs/>
                <w:color w:val="auto"/>
                <w:sz w:val="24"/>
                <w:szCs w:val="24"/>
              </w:rPr>
            </w:pPr>
            <w:r>
              <w:rPr>
                <w:rFonts w:hint="eastAsia" w:ascii="宋体" w:hAnsi="宋体" w:cs="宋体"/>
                <w:bCs/>
                <w:color w:val="auto"/>
                <w:sz w:val="24"/>
                <w:szCs w:val="24"/>
              </w:rPr>
              <w:t>合同履行期限</w:t>
            </w:r>
          </w:p>
        </w:tc>
        <w:tc>
          <w:tcPr>
            <w:tcW w:w="4920" w:type="dxa"/>
            <w:tcBorders>
              <w:tl2br w:val="nil"/>
              <w:tr2bl w:val="nil"/>
            </w:tcBorders>
            <w:vAlign w:val="center"/>
          </w:tcPr>
          <w:p>
            <w:pPr>
              <w:autoSpaceDE w:val="0"/>
              <w:autoSpaceDN w:val="0"/>
              <w:spacing w:line="360" w:lineRule="auto"/>
              <w:rPr>
                <w:rFonts w:hint="default" w:ascii="宋体" w:hAnsi="宋体" w:eastAsia="宋体" w:cs="宋体"/>
                <w:b/>
                <w:bCs/>
                <w:color w:val="auto"/>
                <w:sz w:val="24"/>
                <w:szCs w:val="24"/>
                <w:lang w:val="en-US" w:eastAsia="zh-CN"/>
              </w:rPr>
            </w:pPr>
            <w:r>
              <w:rPr>
                <w:rFonts w:hint="eastAsia" w:ascii="宋体" w:hAnsi="宋体" w:cs="宋体"/>
                <w:color w:val="auto"/>
                <w:sz w:val="24"/>
                <w:lang w:eastAsia="zh-CN"/>
              </w:rPr>
              <w:t>签订合同</w:t>
            </w:r>
            <w:r>
              <w:rPr>
                <w:rFonts w:hint="eastAsia" w:ascii="宋体" w:hAnsi="宋体" w:cs="宋体"/>
                <w:color w:val="auto"/>
                <w:sz w:val="24"/>
              </w:rPr>
              <w:t>后</w:t>
            </w:r>
            <w:r>
              <w:rPr>
                <w:rFonts w:hint="eastAsia" w:ascii="宋体" w:hAnsi="宋体" w:cs="宋体"/>
                <w:color w:val="auto"/>
                <w:sz w:val="24"/>
                <w:lang w:val="en-US" w:eastAsia="zh-CN"/>
              </w:rPr>
              <w:t>10</w:t>
            </w:r>
            <w:r>
              <w:rPr>
                <w:rFonts w:hint="eastAsia" w:ascii="宋体" w:hAnsi="宋体" w:cs="宋体"/>
                <w:color w:val="auto"/>
                <w:sz w:val="24"/>
              </w:rPr>
              <w:t>日</w:t>
            </w:r>
            <w:r>
              <w:rPr>
                <w:rFonts w:hint="eastAsia" w:ascii="宋体" w:hAnsi="宋体" w:cs="宋体"/>
                <w:color w:val="auto"/>
                <w:sz w:val="24"/>
                <w:lang w:eastAsia="zh-CN"/>
              </w:rPr>
              <w:t>历天</w:t>
            </w:r>
            <w:r>
              <w:rPr>
                <w:rFonts w:hint="eastAsia" w:ascii="宋体" w:hAnsi="宋体" w:cs="宋体"/>
                <w:color w:val="auto"/>
                <w:sz w:val="24"/>
              </w:rPr>
              <w:t>内交付使用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spacing w:line="360" w:lineRule="atLeas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质量要求</w:t>
            </w:r>
          </w:p>
        </w:tc>
        <w:tc>
          <w:tcPr>
            <w:tcW w:w="4920" w:type="dxa"/>
            <w:tcBorders>
              <w:tl2br w:val="nil"/>
              <w:tr2bl w:val="nil"/>
            </w:tcBorders>
            <w:vAlign w:val="center"/>
          </w:tcPr>
          <w:p>
            <w:pPr>
              <w:autoSpaceDE w:val="0"/>
              <w:autoSpaceDN w:val="0"/>
              <w:spacing w:line="360" w:lineRule="auto"/>
              <w:rPr>
                <w:rFonts w:hint="default" w:ascii="宋体" w:hAnsi="宋体" w:eastAsia="宋体" w:cs="宋体"/>
                <w:b/>
                <w:bCs/>
                <w:color w:val="auto"/>
                <w:sz w:val="24"/>
                <w:szCs w:val="24"/>
                <w:lang w:val="en-US" w:eastAsia="zh-CN"/>
              </w:rPr>
            </w:pPr>
            <w:r>
              <w:rPr>
                <w:rFonts w:hint="eastAsia" w:ascii="宋体" w:hAnsi="宋体" w:cs="宋体"/>
                <w:color w:val="auto"/>
                <w:sz w:val="24"/>
                <w:lang w:val="zh-CN"/>
              </w:rPr>
              <w:t>符合采购人验收要求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spacing w:line="360" w:lineRule="atLeas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供货地点</w:t>
            </w:r>
          </w:p>
        </w:tc>
        <w:tc>
          <w:tcPr>
            <w:tcW w:w="4920" w:type="dxa"/>
            <w:tcBorders>
              <w:tl2br w:val="nil"/>
              <w:tr2bl w:val="nil"/>
            </w:tcBorders>
            <w:vAlign w:val="center"/>
          </w:tcPr>
          <w:p>
            <w:pPr>
              <w:autoSpaceDE w:val="0"/>
              <w:autoSpaceDN w:val="0"/>
              <w:spacing w:line="360" w:lineRule="auto"/>
              <w:rPr>
                <w:rFonts w:hint="eastAsia" w:ascii="宋体" w:hAnsi="宋体" w:eastAsia="宋体" w:cs="宋体"/>
                <w:b/>
                <w:bCs/>
                <w:color w:val="auto"/>
                <w:sz w:val="24"/>
                <w:szCs w:val="24"/>
                <w:lang w:val="en-US" w:eastAsia="zh-CN"/>
              </w:rPr>
            </w:pPr>
            <w:r>
              <w:rPr>
                <w:rFonts w:hint="eastAsia" w:ascii="宋体" w:hAnsi="宋体" w:cs="宋体"/>
                <w:color w:val="auto"/>
                <w:sz w:val="24"/>
                <w:lang w:val="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第二章第3.1款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Cs/>
                <w:color w:val="auto"/>
                <w:sz w:val="24"/>
                <w:szCs w:val="24"/>
              </w:rPr>
              <w:t>供应商</w:t>
            </w:r>
            <w:r>
              <w:rPr>
                <w:rFonts w:hint="eastAsia" w:ascii="宋体" w:hAnsi="宋体" w:cs="宋体"/>
                <w:color w:val="auto"/>
                <w:sz w:val="24"/>
                <w:szCs w:val="24"/>
              </w:rPr>
              <w:t>资格条件</w:t>
            </w:r>
          </w:p>
        </w:tc>
        <w:tc>
          <w:tcPr>
            <w:tcW w:w="4920" w:type="dxa"/>
            <w:tcBorders>
              <w:tl2br w:val="nil"/>
              <w:tr2bl w:val="nil"/>
            </w:tcBorders>
            <w:vAlign w:val="center"/>
          </w:tcPr>
          <w:p>
            <w:pPr>
              <w:pStyle w:val="42"/>
              <w:numPr>
                <w:ilvl w:val="0"/>
                <w:numId w:val="3"/>
              </w:numPr>
              <w:adjustRightInd w:val="0"/>
              <w:snapToGrid w:val="0"/>
              <w:spacing w:before="0" w:beforeAutospacing="0" w:after="0" w:afterAutospacing="0" w:line="360" w:lineRule="auto"/>
              <w:ind w:left="-107" w:leftChars="-51"/>
              <w:jc w:val="both"/>
              <w:rPr>
                <w:rFonts w:hint="eastAsia"/>
                <w:color w:val="auto"/>
              </w:rPr>
            </w:pPr>
            <w:r>
              <w:rPr>
                <w:rFonts w:hint="eastAsia"/>
                <w:color w:val="auto"/>
              </w:rPr>
              <w:t>基本资格条件：符合《中华人民共和国政府采购法》第二十二条规定的供应商条件；</w:t>
            </w:r>
          </w:p>
          <w:p>
            <w:pPr>
              <w:numPr>
                <w:ilvl w:val="0"/>
                <w:numId w:val="3"/>
              </w:numPr>
              <w:adjustRightInd w:val="0"/>
              <w:snapToGrid w:val="0"/>
              <w:spacing w:line="360" w:lineRule="auto"/>
              <w:ind w:left="-107" w:leftChars="-51" w:firstLine="0" w:firstLineChars="0"/>
              <w:rPr>
                <w:rFonts w:hint="eastAsia"/>
                <w:color w:val="auto"/>
                <w:sz w:val="24"/>
                <w:szCs w:val="24"/>
              </w:rPr>
            </w:pPr>
            <w:r>
              <w:rPr>
                <w:rFonts w:hint="eastAsia"/>
                <w:color w:val="auto"/>
                <w:sz w:val="24"/>
                <w:szCs w:val="24"/>
              </w:rPr>
              <w:t>特定资格条件：</w:t>
            </w:r>
          </w:p>
          <w:p>
            <w:pPr>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1.具备有效的营业执照；</w:t>
            </w:r>
          </w:p>
          <w:p>
            <w:pPr>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2.会计事务所出具的2021年度财务审计报告或提供银行出具的资信证明；</w:t>
            </w:r>
          </w:p>
          <w:p>
            <w:pPr>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3.税务部门出具的2021年依法纳税证明资料；</w:t>
            </w:r>
          </w:p>
          <w:p>
            <w:pPr>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4.须提供供应商和项目团队成员2019-2021年未受到监管处罚承诺函原件；</w:t>
            </w:r>
          </w:p>
          <w:p>
            <w:pPr>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5.具备本次采购项目能力的供应商，并在人员、资金、货物等方面具有承担本项目供货的能力；</w:t>
            </w:r>
          </w:p>
          <w:p>
            <w:pPr>
              <w:pageBreakBefore w:val="0"/>
              <w:kinsoku/>
              <w:wordWrap/>
              <w:overflowPunct/>
              <w:topLinePunct w:val="0"/>
              <w:autoSpaceDE/>
              <w:autoSpaceDN/>
              <w:bidi w:val="0"/>
              <w:adjustRightInd/>
              <w:snapToGrid/>
              <w:spacing w:line="440" w:lineRule="exact"/>
              <w:ind w:left="0" w:leftChars="0"/>
              <w:textAlignment w:val="auto"/>
              <w:rPr>
                <w:rFonts w:hint="eastAsia"/>
                <w:color w:val="auto"/>
              </w:rPr>
            </w:pPr>
            <w:r>
              <w:rPr>
                <w:rFonts w:hint="eastAsia" w:ascii="宋体" w:hAnsi="宋体" w:eastAsia="宋体" w:cs="宋体"/>
                <w:color w:val="auto"/>
                <w:kern w:val="0"/>
                <w:sz w:val="24"/>
                <w:szCs w:val="24"/>
                <w:lang w:val="en-US" w:eastAsia="zh-CN" w:bidi="ar-SA"/>
              </w:rPr>
              <w:t>6.供应商分别在“信用中国”（www.creditchina.gov.cn）网上查询本公司未被列入失信被执行人、重大税收违法失信主体、“中国政府采购网”（ www.ccgp.gov.cn）网上查询本公司未被列入政府采购严重违法失信行为记录名单（提供查询结果网页截图并加盖供应商公章，网页打印件须自公告发布之日起至截止日内从上述网站中打印）；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第二章第6.1款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联合体形式</w:t>
            </w:r>
          </w:p>
        </w:tc>
        <w:tc>
          <w:tcPr>
            <w:tcW w:w="4920" w:type="dxa"/>
            <w:tcBorders>
              <w:tl2br w:val="nil"/>
              <w:tr2bl w:val="nil"/>
            </w:tcBorders>
            <w:vAlign w:val="center"/>
          </w:tcPr>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本采购项目不接受联合体形式</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第二章第6.2（3）款</w:t>
            </w:r>
          </w:p>
        </w:tc>
        <w:tc>
          <w:tcPr>
            <w:tcW w:w="2150" w:type="dxa"/>
            <w:tcBorders>
              <w:tl2br w:val="nil"/>
              <w:tr2bl w:val="nil"/>
            </w:tcBorders>
            <w:vAlign w:val="center"/>
          </w:tcPr>
          <w:p>
            <w:pPr>
              <w:spacing w:line="360" w:lineRule="auto"/>
              <w:rPr>
                <w:rFonts w:hint="eastAsia" w:ascii="宋体" w:hAnsi="宋体" w:cs="宋体"/>
                <w:color w:val="auto"/>
                <w:sz w:val="24"/>
                <w:szCs w:val="24"/>
              </w:rPr>
            </w:pPr>
            <w:r>
              <w:rPr>
                <w:rFonts w:hint="eastAsia" w:ascii="宋体" w:hAnsi="宋体" w:cs="宋体"/>
                <w:color w:val="auto"/>
                <w:sz w:val="24"/>
                <w:szCs w:val="24"/>
              </w:rPr>
              <w:t>对联合体各方的要求</w:t>
            </w:r>
          </w:p>
        </w:tc>
        <w:tc>
          <w:tcPr>
            <w:tcW w:w="492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第二章第7.1款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现场勘察</w:t>
            </w:r>
          </w:p>
        </w:tc>
        <w:tc>
          <w:tcPr>
            <w:tcW w:w="492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本次磋商不组织统一踏勘现场活动，供应商应根据项目的实际情况自行组织踏勘现场，供应商因没有踏勘现场而给自身带来的损失，供应商自行负责。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val="en-US" w:eastAsia="zh-CN"/>
              </w:rPr>
              <w:t>8</w:t>
            </w:r>
            <w:r>
              <w:rPr>
                <w:rFonts w:hint="eastAsia" w:ascii="宋体" w:hAnsi="宋体" w:cs="宋体"/>
                <w:color w:val="auto"/>
                <w:sz w:val="24"/>
                <w:szCs w:val="24"/>
              </w:rPr>
              <w:t>款</w:t>
            </w:r>
          </w:p>
        </w:tc>
        <w:tc>
          <w:tcPr>
            <w:tcW w:w="2150" w:type="dxa"/>
            <w:tcBorders>
              <w:tl2br w:val="nil"/>
              <w:tr2bl w:val="nil"/>
            </w:tcBorders>
            <w:vAlign w:val="center"/>
          </w:tcPr>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进口产品</w:t>
            </w:r>
          </w:p>
        </w:tc>
        <w:tc>
          <w:tcPr>
            <w:tcW w:w="4920" w:type="dxa"/>
            <w:tcBorders>
              <w:tl2br w:val="nil"/>
              <w:tr2bl w:val="nil"/>
            </w:tcBorders>
            <w:vAlign w:val="center"/>
          </w:tcPr>
          <w:p>
            <w:pPr>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9090" w:type="dxa"/>
            <w:gridSpan w:val="3"/>
            <w:tcBorders>
              <w:tl2br w:val="nil"/>
              <w:tr2bl w:val="nil"/>
            </w:tcBorders>
            <w:vAlign w:val="center"/>
          </w:tcPr>
          <w:p>
            <w:pPr>
              <w:adjustRightInd w:val="0"/>
              <w:snapToGrid w:val="0"/>
              <w:spacing w:line="360" w:lineRule="auto"/>
              <w:rPr>
                <w:rFonts w:hint="eastAsia" w:ascii="宋体" w:hAnsi="宋体" w:cs="宋体"/>
                <w:b/>
                <w:color w:val="auto"/>
                <w:sz w:val="24"/>
                <w:szCs w:val="24"/>
              </w:rPr>
            </w:pPr>
            <w:r>
              <w:rPr>
                <w:rFonts w:hint="eastAsia" w:ascii="宋体" w:hAnsi="宋体" w:cs="宋体"/>
                <w:b/>
                <w:color w:val="auto"/>
                <w:sz w:val="24"/>
                <w:szCs w:val="24"/>
              </w:rPr>
              <w:t>二、磋商文件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val="en-US" w:eastAsia="zh-CN"/>
              </w:rPr>
              <w:t>9</w:t>
            </w:r>
            <w:r>
              <w:rPr>
                <w:rFonts w:hint="eastAsia" w:ascii="宋体" w:hAnsi="宋体" w:cs="宋体"/>
                <w:color w:val="auto"/>
                <w:sz w:val="24"/>
                <w:szCs w:val="24"/>
              </w:rPr>
              <w:t>.2款</w:t>
            </w:r>
          </w:p>
        </w:tc>
        <w:tc>
          <w:tcPr>
            <w:tcW w:w="215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磋商文件的实质性变动内容</w:t>
            </w:r>
          </w:p>
        </w:tc>
        <w:tc>
          <w:tcPr>
            <w:tcW w:w="4920" w:type="dxa"/>
            <w:tcBorders>
              <w:tl2br w:val="nil"/>
              <w:tr2bl w:val="nil"/>
            </w:tcBorders>
            <w:vAlign w:val="center"/>
          </w:tcPr>
          <w:p>
            <w:pPr>
              <w:spacing w:line="360" w:lineRule="auto"/>
              <w:rPr>
                <w:rFonts w:hint="eastAsia" w:ascii="宋体" w:hAnsi="宋体" w:cs="宋体"/>
                <w:color w:val="auto"/>
                <w:sz w:val="24"/>
                <w:szCs w:val="24"/>
              </w:rPr>
            </w:pPr>
            <w:r>
              <w:rPr>
                <w:rFonts w:hint="eastAsia" w:ascii="宋体" w:hAnsi="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2020" w:type="dxa"/>
            <w:tcBorders>
              <w:tl2br w:val="nil"/>
              <w:tr2bl w:val="nil"/>
            </w:tcBorders>
            <w:vAlign w:val="center"/>
          </w:tcPr>
          <w:p>
            <w:pPr>
              <w:adjustRightInd w:val="0"/>
              <w:snapToGrid w:val="0"/>
              <w:spacing w:line="360" w:lineRule="auto"/>
              <w:jc w:val="both"/>
              <w:rPr>
                <w:rFonts w:hint="eastAsia" w:ascii="宋体" w:hAnsi="宋体" w:cs="宋体"/>
                <w:color w:val="auto"/>
                <w:sz w:val="24"/>
                <w:szCs w:val="24"/>
              </w:rPr>
            </w:pPr>
            <w:r>
              <w:rPr>
                <w:rFonts w:hint="eastAsia" w:ascii="宋体" w:hAnsi="宋体" w:cs="宋体"/>
                <w:color w:val="auto"/>
                <w:sz w:val="24"/>
                <w:szCs w:val="24"/>
              </w:rPr>
              <w:t>第二章</w:t>
            </w:r>
            <w:r>
              <w:rPr>
                <w:rFonts w:hint="eastAsia" w:ascii="宋体" w:hAnsi="宋体" w:cs="宋体"/>
                <w:color w:val="auto"/>
                <w:sz w:val="24"/>
                <w:szCs w:val="24"/>
                <w:lang w:eastAsia="zh-CN"/>
              </w:rPr>
              <w:t>第</w:t>
            </w:r>
            <w:r>
              <w:rPr>
                <w:rFonts w:hint="eastAsia" w:ascii="宋体" w:hAnsi="宋体" w:cs="宋体"/>
                <w:color w:val="auto"/>
                <w:sz w:val="24"/>
                <w:szCs w:val="24"/>
                <w:lang w:val="en-US" w:eastAsia="zh-CN"/>
              </w:rPr>
              <w:t>9</w:t>
            </w:r>
            <w:r>
              <w:rPr>
                <w:rFonts w:hint="eastAsia" w:ascii="宋体" w:hAnsi="宋体" w:cs="宋体"/>
                <w:color w:val="auto"/>
                <w:sz w:val="24"/>
                <w:szCs w:val="24"/>
              </w:rPr>
              <w:t>.3款</w:t>
            </w:r>
          </w:p>
        </w:tc>
        <w:tc>
          <w:tcPr>
            <w:tcW w:w="215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最高允许偏离项数</w:t>
            </w:r>
          </w:p>
        </w:tc>
        <w:tc>
          <w:tcPr>
            <w:tcW w:w="4920" w:type="dxa"/>
            <w:tcBorders>
              <w:tl2br w:val="nil"/>
              <w:tr2bl w:val="nil"/>
            </w:tcBorders>
            <w:vAlign w:val="top"/>
          </w:tcPr>
          <w:p>
            <w:pPr>
              <w:tabs>
                <w:tab w:val="left" w:pos="0"/>
              </w:tabs>
              <w:adjustRightInd w:val="0"/>
              <w:snapToGrid w:val="0"/>
              <w:spacing w:before="156" w:beforeLines="50" w:line="360" w:lineRule="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2020" w:type="dxa"/>
            <w:tcBorders>
              <w:tl2br w:val="nil"/>
              <w:tr2bl w:val="nil"/>
            </w:tcBorders>
            <w:vAlign w:val="center"/>
          </w:tcPr>
          <w:p>
            <w:pPr>
              <w:adjustRightInd w:val="0"/>
              <w:snapToGrid w:val="0"/>
              <w:spacing w:line="360" w:lineRule="auto"/>
              <w:jc w:val="both"/>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val="en-US" w:eastAsia="zh-CN"/>
              </w:rPr>
              <w:t>11</w:t>
            </w:r>
            <w:r>
              <w:rPr>
                <w:rFonts w:hint="eastAsia" w:ascii="宋体" w:hAnsi="宋体" w:cs="宋体"/>
                <w:color w:val="auto"/>
                <w:sz w:val="24"/>
                <w:szCs w:val="24"/>
              </w:rPr>
              <w:t>.1款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递交响应文件的截止时间</w:t>
            </w:r>
          </w:p>
        </w:tc>
        <w:tc>
          <w:tcPr>
            <w:tcW w:w="4920" w:type="dxa"/>
            <w:tcBorders>
              <w:tl2br w:val="nil"/>
              <w:tr2bl w:val="nil"/>
            </w:tcBorders>
            <w:vAlign w:val="center"/>
          </w:tcPr>
          <w:p>
            <w:pPr>
              <w:adjustRightInd w:val="0"/>
              <w:snapToGrid w:val="0"/>
              <w:spacing w:line="360" w:lineRule="auto"/>
              <w:jc w:val="left"/>
              <w:rPr>
                <w:rFonts w:hint="eastAsia" w:ascii="宋体" w:hAnsi="宋体" w:cs="宋体"/>
                <w:color w:val="auto"/>
                <w:sz w:val="24"/>
                <w:szCs w:val="24"/>
              </w:rPr>
            </w:pPr>
            <w:r>
              <w:rPr>
                <w:rFonts w:hint="eastAsia" w:ascii="宋体" w:hAnsi="宋体" w:eastAsia="宋体" w:cs="宋体"/>
                <w:b/>
                <w:bCs/>
                <w:color w:val="auto"/>
                <w:sz w:val="24"/>
                <w:szCs w:val="24"/>
                <w:u w:val="single"/>
                <w:lang w:val="en-US" w:eastAsia="zh-CN"/>
              </w:rPr>
              <w:t>202</w:t>
            </w:r>
            <w:r>
              <w:rPr>
                <w:rFonts w:hint="eastAsia" w:ascii="宋体" w:hAnsi="宋体" w:cs="宋体"/>
                <w:b/>
                <w:bCs/>
                <w:color w:val="auto"/>
                <w:sz w:val="24"/>
                <w:szCs w:val="24"/>
                <w:u w:val="single"/>
                <w:lang w:val="en-US" w:eastAsia="zh-CN"/>
              </w:rPr>
              <w:t>2</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 xml:space="preserve">08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16</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u w:val="single"/>
                <w:lang w:eastAsia="zh-CN"/>
              </w:rPr>
              <w:t>1</w:t>
            </w:r>
            <w:r>
              <w:rPr>
                <w:rFonts w:hint="eastAsia" w:ascii="宋体" w:hAnsi="宋体" w:cs="宋体"/>
                <w:b/>
                <w:bCs/>
                <w:color w:val="auto"/>
                <w:sz w:val="24"/>
                <w:szCs w:val="24"/>
                <w:u w:val="single"/>
                <w:lang w:val="en-US" w:eastAsia="zh-CN"/>
              </w:rPr>
              <w:t>6</w:t>
            </w:r>
            <w:r>
              <w:rPr>
                <w:rFonts w:hint="eastAsia" w:ascii="宋体" w:hAnsi="宋体" w:eastAsia="宋体" w:cs="宋体"/>
                <w:b/>
                <w:bCs/>
                <w:color w:val="auto"/>
                <w:sz w:val="24"/>
                <w:szCs w:val="24"/>
              </w:rPr>
              <w:t>时</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u w:val="single"/>
              </w:rPr>
              <w:t>0</w:t>
            </w:r>
            <w:r>
              <w:rPr>
                <w:rFonts w:hint="eastAsia" w:ascii="宋体" w:hAnsi="宋体" w:eastAsia="宋体" w:cs="宋体"/>
                <w:b/>
                <w:bCs/>
                <w:color w:val="auto"/>
                <w:sz w:val="24"/>
                <w:szCs w:val="24"/>
              </w:rPr>
              <w:t>分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9090" w:type="dxa"/>
            <w:gridSpan w:val="3"/>
            <w:tcBorders>
              <w:tl2br w:val="nil"/>
              <w:tr2bl w:val="nil"/>
            </w:tcBorders>
            <w:vAlign w:val="center"/>
          </w:tcPr>
          <w:p>
            <w:pPr>
              <w:adjustRightInd w:val="0"/>
              <w:snapToGrid w:val="0"/>
              <w:spacing w:line="360" w:lineRule="auto"/>
              <w:rPr>
                <w:rFonts w:hint="eastAsia" w:ascii="宋体" w:hAnsi="宋体" w:cs="宋体"/>
                <w:b/>
                <w:color w:val="auto"/>
                <w:sz w:val="24"/>
                <w:szCs w:val="24"/>
              </w:rPr>
            </w:pPr>
            <w:r>
              <w:rPr>
                <w:rFonts w:hint="eastAsia" w:ascii="宋体" w:hAnsi="宋体" w:cs="宋体"/>
                <w:b/>
                <w:color w:val="auto"/>
                <w:sz w:val="24"/>
                <w:szCs w:val="24"/>
              </w:rPr>
              <w:t>三、评标办法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2020" w:type="dxa"/>
            <w:tcBorders>
              <w:tl2br w:val="nil"/>
              <w:tr2bl w:val="nil"/>
            </w:tcBorders>
            <w:vAlign w:val="center"/>
          </w:tcPr>
          <w:p>
            <w:pPr>
              <w:adjustRightInd w:val="0"/>
              <w:snapToGrid w:val="0"/>
              <w:spacing w:line="360" w:lineRule="auto"/>
              <w:rPr>
                <w:rFonts w:hint="eastAsia" w:ascii="宋体" w:hAnsi="宋体" w:cs="宋体"/>
                <w:b/>
                <w:color w:val="auto"/>
                <w:sz w:val="24"/>
                <w:szCs w:val="24"/>
              </w:rPr>
            </w:pPr>
            <w:r>
              <w:rPr>
                <w:rFonts w:hint="eastAsia" w:ascii="宋体" w:hAnsi="宋体" w:cs="宋体"/>
                <w:b/>
                <w:color w:val="auto"/>
                <w:sz w:val="24"/>
                <w:szCs w:val="24"/>
              </w:rPr>
              <w:t>第二章第</w:t>
            </w:r>
            <w:r>
              <w:rPr>
                <w:rFonts w:hint="eastAsia" w:ascii="宋体" w:hAnsi="宋体" w:cs="宋体"/>
                <w:b/>
                <w:color w:val="auto"/>
                <w:sz w:val="24"/>
                <w:szCs w:val="24"/>
                <w:lang w:eastAsia="zh-CN"/>
              </w:rPr>
              <w:t>29</w:t>
            </w:r>
            <w:r>
              <w:rPr>
                <w:rFonts w:hint="eastAsia" w:ascii="宋体" w:hAnsi="宋体" w:cs="宋体"/>
                <w:b/>
                <w:color w:val="auto"/>
                <w:sz w:val="24"/>
                <w:szCs w:val="24"/>
              </w:rPr>
              <w:t>.1款</w:t>
            </w:r>
          </w:p>
        </w:tc>
        <w:tc>
          <w:tcPr>
            <w:tcW w:w="2150" w:type="dxa"/>
            <w:tcBorders>
              <w:tl2br w:val="nil"/>
              <w:tr2bl w:val="nil"/>
            </w:tcBorders>
            <w:vAlign w:val="center"/>
          </w:tcPr>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综合评分法</w:t>
            </w:r>
          </w:p>
        </w:tc>
        <w:tc>
          <w:tcPr>
            <w:tcW w:w="4920" w:type="dxa"/>
            <w:tcBorders>
              <w:tl2br w:val="nil"/>
              <w:tr2bl w:val="nil"/>
            </w:tcBorders>
            <w:vAlign w:val="center"/>
          </w:tcPr>
          <w:p>
            <w:pPr>
              <w:adjustRightInd w:val="0"/>
              <w:snapToGrid w:val="0"/>
              <w:spacing w:before="156" w:beforeLines="50" w:line="360" w:lineRule="auto"/>
              <w:jc w:val="left"/>
              <w:rPr>
                <w:rFonts w:hint="eastAsia" w:ascii="宋体" w:hAnsi="宋体" w:cs="宋体"/>
                <w:color w:val="auto"/>
                <w:sz w:val="24"/>
                <w:szCs w:val="24"/>
              </w:rPr>
            </w:pPr>
            <w:r>
              <w:rPr>
                <w:rFonts w:hint="eastAsia" w:ascii="宋体" w:hAnsi="宋体" w:cs="宋体"/>
                <w:color w:val="auto"/>
                <w:sz w:val="24"/>
                <w:szCs w:val="24"/>
              </w:rPr>
              <w:t>响应文件满足磋商文件全部实质性要求且按磋商因素的量化指标评审得分最高的供应商为成交候选人的评审方法。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090" w:type="dxa"/>
            <w:gridSpan w:val="3"/>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
                <w:color w:val="auto"/>
                <w:sz w:val="24"/>
                <w:szCs w:val="24"/>
              </w:rPr>
              <w:t>四、响应文件的编写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020" w:type="dxa"/>
            <w:tcBorders>
              <w:tl2br w:val="nil"/>
              <w:tr2bl w:val="nil"/>
            </w:tcBorders>
            <w:vAlign w:val="center"/>
          </w:tcPr>
          <w:p>
            <w:pPr>
              <w:adjustRightInd w:val="0"/>
              <w:snapToGrid w:val="0"/>
              <w:spacing w:line="360" w:lineRule="auto"/>
              <w:jc w:val="both"/>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15</w:t>
            </w:r>
            <w:r>
              <w:rPr>
                <w:rFonts w:hint="eastAsia" w:ascii="宋体" w:hAnsi="宋体" w:cs="宋体"/>
                <w:color w:val="auto"/>
                <w:sz w:val="24"/>
                <w:szCs w:val="24"/>
              </w:rPr>
              <w:t>.4款</w:t>
            </w:r>
          </w:p>
        </w:tc>
        <w:tc>
          <w:tcPr>
            <w:tcW w:w="2150" w:type="dxa"/>
            <w:tcBorders>
              <w:tl2br w:val="nil"/>
              <w:tr2bl w:val="nil"/>
            </w:tcBorders>
            <w:vAlign w:val="center"/>
          </w:tcPr>
          <w:p>
            <w:pPr>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采购预算（最高限价）</w:t>
            </w:r>
          </w:p>
        </w:tc>
        <w:tc>
          <w:tcPr>
            <w:tcW w:w="492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eastAsia="宋体" w:cs="宋体"/>
                <w:b/>
                <w:bCs/>
                <w:color w:val="auto"/>
                <w:sz w:val="24"/>
                <w:szCs w:val="24"/>
                <w:lang w:val="en-US" w:eastAsia="zh-CN"/>
              </w:rPr>
              <w:t>采购预算：</w:t>
            </w:r>
            <w:r>
              <w:rPr>
                <w:rFonts w:hint="eastAsia" w:ascii="宋体" w:hAnsi="宋体" w:cs="宋体"/>
                <w:b/>
                <w:bCs/>
                <w:color w:val="auto"/>
                <w:sz w:val="24"/>
                <w:szCs w:val="24"/>
                <w:lang w:val="en-US" w:eastAsia="zh-CN"/>
              </w:rPr>
              <w:t>520000</w:t>
            </w:r>
            <w:r>
              <w:rPr>
                <w:rFonts w:hint="eastAsia" w:ascii="宋体" w:hAnsi="宋体" w:eastAsia="宋体" w:cs="宋体"/>
                <w:b/>
                <w:bCs/>
                <w:color w:val="auto"/>
                <w:sz w:val="24"/>
                <w:szCs w:val="24"/>
                <w:lang w:val="en-US" w:eastAsia="zh-CN"/>
              </w:rPr>
              <w:t>.00元（</w:t>
            </w:r>
            <w:r>
              <w:rPr>
                <w:rFonts w:hint="eastAsia" w:ascii="宋体" w:hAnsi="宋体" w:cs="宋体"/>
                <w:b/>
                <w:bCs/>
                <w:color w:val="auto"/>
                <w:sz w:val="24"/>
                <w:szCs w:val="24"/>
                <w:lang w:val="en-US" w:eastAsia="zh-CN"/>
              </w:rPr>
              <w:t>大写：伍拾贰万元整）供应商的报价如超过采购预算价，则该供应商的响应文件作无效响应处理。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17</w:t>
            </w:r>
            <w:r>
              <w:rPr>
                <w:rFonts w:hint="eastAsia" w:ascii="宋体" w:hAnsi="宋体" w:cs="宋体"/>
                <w:color w:val="auto"/>
                <w:sz w:val="24"/>
                <w:szCs w:val="24"/>
              </w:rPr>
              <w:t>.1款</w:t>
            </w:r>
          </w:p>
        </w:tc>
        <w:tc>
          <w:tcPr>
            <w:tcW w:w="2150" w:type="dxa"/>
            <w:tcBorders>
              <w:tl2br w:val="nil"/>
              <w:tr2bl w:val="nil"/>
            </w:tcBorders>
            <w:vAlign w:val="center"/>
          </w:tcPr>
          <w:p>
            <w:pPr>
              <w:adjustRightInd w:val="0"/>
              <w:snapToGrid w:val="0"/>
              <w:spacing w:line="360" w:lineRule="auto"/>
              <w:ind w:left="-533" w:leftChars="-254" w:firstLine="609" w:firstLineChars="254"/>
              <w:jc w:val="center"/>
              <w:rPr>
                <w:rFonts w:hint="eastAsia" w:ascii="宋体" w:hAnsi="宋体" w:cs="宋体"/>
                <w:color w:val="auto"/>
                <w:sz w:val="24"/>
                <w:szCs w:val="24"/>
              </w:rPr>
            </w:pPr>
            <w:r>
              <w:rPr>
                <w:rFonts w:hint="eastAsia" w:ascii="宋体" w:hAnsi="宋体" w:cs="宋体"/>
                <w:color w:val="auto"/>
                <w:sz w:val="24"/>
                <w:szCs w:val="24"/>
              </w:rPr>
              <w:t>保证金</w:t>
            </w:r>
          </w:p>
        </w:tc>
        <w:tc>
          <w:tcPr>
            <w:tcW w:w="4920" w:type="dxa"/>
            <w:tcBorders>
              <w:tl2br w:val="nil"/>
              <w:tr2bl w:val="nil"/>
            </w:tcBorders>
            <w:vAlign w:val="center"/>
          </w:tcPr>
          <w:p>
            <w:pPr>
              <w:spacing w:line="360" w:lineRule="auto"/>
              <w:rPr>
                <w:rFonts w:hint="eastAsia"/>
                <w:color w:val="auto"/>
              </w:rPr>
            </w:pPr>
            <w:r>
              <w:rPr>
                <w:rFonts w:hint="eastAsia"/>
                <w:color w:val="auto"/>
              </w:rPr>
              <w:t>投标保证金的形式：</w:t>
            </w:r>
            <w:r>
              <w:rPr>
                <w:rFonts w:hint="eastAsia"/>
                <w:color w:val="auto"/>
                <w:lang w:val="zh-CN"/>
              </w:rPr>
              <w:t>电汇、企业网银、</w:t>
            </w:r>
            <w:r>
              <w:rPr>
                <w:rFonts w:hint="eastAsia"/>
                <w:color w:val="auto"/>
                <w:lang w:val="en-US" w:eastAsia="zh-CN"/>
              </w:rPr>
              <w:t>保函</w:t>
            </w:r>
            <w:r>
              <w:rPr>
                <w:rFonts w:hint="eastAsia"/>
                <w:color w:val="auto"/>
                <w:lang w:val="zh-CN"/>
              </w:rPr>
              <w:t>等非现金形式</w:t>
            </w:r>
          </w:p>
          <w:p>
            <w:pPr>
              <w:autoSpaceDE w:val="0"/>
              <w:autoSpaceDN w:val="0"/>
              <w:spacing w:line="360" w:lineRule="auto"/>
              <w:rPr>
                <w:rFonts w:hint="eastAsia"/>
                <w:color w:val="auto"/>
              </w:rPr>
            </w:pPr>
            <w:r>
              <w:rPr>
                <w:rFonts w:hint="eastAsia"/>
                <w:color w:val="auto"/>
              </w:rPr>
              <w:t>投标保证金的金额：</w:t>
            </w:r>
            <w:r>
              <w:rPr>
                <w:rFonts w:hint="eastAsia"/>
                <w:color w:val="auto"/>
                <w:lang w:val="en-US" w:eastAsia="zh-CN"/>
              </w:rPr>
              <w:t>10000</w:t>
            </w:r>
            <w:r>
              <w:rPr>
                <w:rFonts w:hint="eastAsia"/>
                <w:color w:val="auto"/>
              </w:rPr>
              <w:t>.00</w:t>
            </w:r>
            <w:r>
              <w:rPr>
                <w:rFonts w:hint="eastAsia"/>
                <w:color w:val="auto"/>
                <w:lang w:val="zh-CN"/>
              </w:rPr>
              <w:t>元（大写：壹万元整 ）</w:t>
            </w:r>
          </w:p>
          <w:p>
            <w:pPr>
              <w:pStyle w:val="124"/>
              <w:spacing w:line="360" w:lineRule="auto"/>
              <w:rPr>
                <w:rFonts w:hint="eastAsia"/>
                <w:color w:val="auto"/>
              </w:rPr>
            </w:pPr>
            <w:r>
              <w:rPr>
                <w:rFonts w:hint="eastAsia"/>
                <w:color w:val="auto"/>
              </w:rPr>
              <w:t>递交方式：保证金必须是从供应商单位的基本账户转</w:t>
            </w:r>
            <w:r>
              <w:rPr>
                <w:rFonts w:hint="eastAsia"/>
                <w:color w:val="auto"/>
                <w:lang w:eastAsia="zh-CN"/>
              </w:rPr>
              <w:t>出</w:t>
            </w:r>
            <w:r>
              <w:rPr>
                <w:rFonts w:hint="eastAsia"/>
                <w:color w:val="auto"/>
              </w:rPr>
              <w:t>。采购人不接受以现金方式提交的保证金，以现金方式提交的保证金无效。</w:t>
            </w:r>
          </w:p>
          <w:p>
            <w:pPr>
              <w:spacing w:line="360" w:lineRule="auto"/>
              <w:rPr>
                <w:rFonts w:hint="eastAsia"/>
                <w:color w:val="auto"/>
              </w:rPr>
            </w:pPr>
            <w:r>
              <w:rPr>
                <w:rFonts w:hint="eastAsia"/>
                <w:color w:val="auto"/>
              </w:rPr>
              <w:t>账户名：新疆齐盛泉工程项目管理有限公司</w:t>
            </w:r>
          </w:p>
          <w:p>
            <w:pPr>
              <w:spacing w:line="320" w:lineRule="exact"/>
              <w:rPr>
                <w:rFonts w:hint="eastAsia"/>
                <w:color w:val="auto"/>
              </w:rPr>
            </w:pPr>
            <w:r>
              <w:rPr>
                <w:rFonts w:hint="eastAsia"/>
                <w:color w:val="auto"/>
              </w:rPr>
              <w:t xml:space="preserve">账  号：8120 2051 2010 1053 52388 </w:t>
            </w:r>
          </w:p>
          <w:p>
            <w:pPr>
              <w:spacing w:line="320" w:lineRule="exact"/>
              <w:rPr>
                <w:rFonts w:hint="eastAsia"/>
                <w:color w:val="auto"/>
              </w:rPr>
            </w:pPr>
            <w:r>
              <w:rPr>
                <w:rFonts w:hint="eastAsia"/>
                <w:color w:val="auto"/>
              </w:rPr>
              <w:t>开户行：新疆伊犁农村商业银行滨河支行</w:t>
            </w:r>
          </w:p>
          <w:p>
            <w:pPr>
              <w:spacing w:line="320" w:lineRule="exact"/>
              <w:rPr>
                <w:rFonts w:hint="eastAsia"/>
                <w:color w:val="auto"/>
                <w:lang w:eastAsia="zh-CN"/>
              </w:rPr>
            </w:pPr>
            <w:r>
              <w:rPr>
                <w:rFonts w:hint="eastAsia"/>
                <w:color w:val="auto"/>
              </w:rPr>
              <w:t>行  号：402898000164</w:t>
            </w:r>
          </w:p>
          <w:p>
            <w:pPr>
              <w:spacing w:line="360" w:lineRule="auto"/>
              <w:rPr>
                <w:rFonts w:hint="eastAsia"/>
                <w:color w:val="auto"/>
                <w:lang w:eastAsia="zh-CN"/>
              </w:rPr>
            </w:pPr>
            <w:r>
              <w:rPr>
                <w:rFonts w:hint="eastAsia"/>
                <w:color w:val="auto"/>
              </w:rPr>
              <w:t>从基本账户转出，保证金以到账时间为准，只有确认到账后才开具投标保证金收据</w:t>
            </w:r>
            <w:r>
              <w:rPr>
                <w:rFonts w:hint="eastAsia"/>
                <w:color w:val="auto"/>
                <w:lang w:eastAsia="zh-CN"/>
              </w:rPr>
              <w:t>，否则其投标将被拒绝。</w:t>
            </w:r>
          </w:p>
          <w:p>
            <w:pPr>
              <w:pStyle w:val="31"/>
              <w:rPr>
                <w:rFonts w:hint="eastAsia" w:ascii="Times New Roman" w:hAnsi="Times New Roman" w:eastAsia="宋体" w:cs="Times New Roman"/>
                <w:color w:val="auto"/>
                <w:kern w:val="2"/>
                <w:sz w:val="21"/>
                <w:szCs w:val="24"/>
                <w:lang w:val="zh-CN" w:eastAsia="zh-CN" w:bidi="ar-SA"/>
              </w:rPr>
            </w:pPr>
            <w:r>
              <w:rPr>
                <w:rFonts w:hint="eastAsia" w:ascii="Times New Roman" w:hAnsi="Times New Roman" w:eastAsia="宋体" w:cs="Times New Roman"/>
                <w:color w:val="auto"/>
                <w:kern w:val="2"/>
                <w:sz w:val="21"/>
                <w:szCs w:val="24"/>
                <w:lang w:val="zh-CN" w:eastAsia="zh-CN" w:bidi="ar-SA"/>
              </w:rPr>
              <w:t>备注：开标前须以取得采购代理机构财务部门开具</w:t>
            </w:r>
          </w:p>
          <w:p>
            <w:pPr>
              <w:pStyle w:val="31"/>
              <w:jc w:val="both"/>
              <w:rPr>
                <w:rFonts w:hint="eastAsia"/>
                <w:color w:val="auto"/>
                <w:lang w:eastAsia="zh-CN"/>
              </w:rPr>
            </w:pPr>
            <w:r>
              <w:rPr>
                <w:rFonts w:hint="eastAsia" w:ascii="Times New Roman" w:hAnsi="Times New Roman" w:eastAsia="宋体" w:cs="Times New Roman"/>
                <w:color w:val="auto"/>
                <w:kern w:val="2"/>
                <w:sz w:val="21"/>
                <w:szCs w:val="24"/>
                <w:lang w:val="zh-CN" w:eastAsia="zh-CN" w:bidi="ar-SA"/>
              </w:rPr>
              <w:t>的收据为准，原件须带至开标现场查验。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18</w:t>
            </w:r>
            <w:r>
              <w:rPr>
                <w:rFonts w:hint="eastAsia" w:ascii="宋体" w:hAnsi="宋体" w:cs="宋体"/>
                <w:color w:val="auto"/>
                <w:sz w:val="24"/>
                <w:szCs w:val="24"/>
              </w:rPr>
              <w:t>.1款</w:t>
            </w:r>
          </w:p>
        </w:tc>
        <w:tc>
          <w:tcPr>
            <w:tcW w:w="2150" w:type="dxa"/>
            <w:tcBorders>
              <w:tl2br w:val="nil"/>
              <w:tr2bl w:val="nil"/>
            </w:tcBorders>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响应文件有效期</w:t>
            </w:r>
          </w:p>
        </w:tc>
        <w:tc>
          <w:tcPr>
            <w:tcW w:w="4920" w:type="dxa"/>
            <w:tcBorders>
              <w:tl2br w:val="nil"/>
              <w:tr2bl w:val="nil"/>
            </w:tcBorders>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color w:val="auto"/>
                <w:sz w:val="24"/>
                <w:szCs w:val="24"/>
                <w:u w:val="single"/>
                <w:lang w:val="en-US" w:eastAsia="zh-CN"/>
              </w:rPr>
              <w:t>90</w:t>
            </w:r>
            <w:r>
              <w:rPr>
                <w:rFonts w:hint="eastAsia" w:ascii="宋体" w:hAnsi="宋体" w:cs="宋体"/>
                <w:color w:val="auto"/>
                <w:sz w:val="24"/>
                <w:szCs w:val="24"/>
              </w:rPr>
              <w:t>日（日历</w:t>
            </w:r>
            <w:r>
              <w:rPr>
                <w:rFonts w:hint="eastAsia" w:ascii="宋体" w:hAnsi="宋体" w:cs="宋体"/>
                <w:color w:val="auto"/>
                <w:sz w:val="24"/>
                <w:szCs w:val="24"/>
                <w:lang w:eastAsia="zh-CN"/>
              </w:rPr>
              <w:t>天</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19</w:t>
            </w:r>
            <w:r>
              <w:rPr>
                <w:rFonts w:hint="eastAsia" w:ascii="宋体" w:hAnsi="宋体" w:cs="宋体"/>
                <w:color w:val="auto"/>
                <w:sz w:val="24"/>
                <w:szCs w:val="24"/>
              </w:rPr>
              <w:t>.1款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Cs/>
                <w:color w:val="auto"/>
                <w:sz w:val="24"/>
                <w:szCs w:val="24"/>
              </w:rPr>
              <w:t>响应</w:t>
            </w:r>
            <w:r>
              <w:rPr>
                <w:rFonts w:hint="eastAsia" w:ascii="宋体" w:hAnsi="宋体" w:cs="宋体"/>
                <w:color w:val="auto"/>
                <w:sz w:val="24"/>
                <w:szCs w:val="24"/>
              </w:rPr>
              <w:t>文件份数</w:t>
            </w:r>
          </w:p>
        </w:tc>
        <w:tc>
          <w:tcPr>
            <w:tcW w:w="492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正本</w:t>
            </w:r>
            <w:r>
              <w:rPr>
                <w:rFonts w:hint="eastAsia" w:ascii="宋体" w:hAnsi="宋体" w:cs="宋体"/>
                <w:color w:val="auto"/>
                <w:sz w:val="24"/>
                <w:szCs w:val="24"/>
                <w:lang w:eastAsia="zh-CN"/>
              </w:rPr>
              <w:t>壹</w:t>
            </w:r>
            <w:r>
              <w:rPr>
                <w:rFonts w:hint="eastAsia" w:ascii="宋体" w:hAnsi="宋体" w:cs="宋体"/>
                <w:color w:val="auto"/>
                <w:sz w:val="24"/>
                <w:szCs w:val="24"/>
              </w:rPr>
              <w:t>份，副本</w:t>
            </w:r>
            <w:r>
              <w:rPr>
                <w:rFonts w:hint="eastAsia" w:ascii="宋体" w:hAnsi="宋体" w:cs="宋体"/>
                <w:color w:val="auto"/>
                <w:sz w:val="24"/>
                <w:szCs w:val="24"/>
                <w:lang w:eastAsia="zh-CN"/>
              </w:rPr>
              <w:t>贰</w:t>
            </w:r>
            <w:r>
              <w:rPr>
                <w:rFonts w:hint="eastAsia" w:ascii="宋体" w:hAnsi="宋体" w:cs="宋体"/>
                <w:color w:val="auto"/>
                <w:sz w:val="24"/>
                <w:szCs w:val="24"/>
              </w:rPr>
              <w:t>份；</w:t>
            </w:r>
          </w:p>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电子文件</w:t>
            </w:r>
            <w:r>
              <w:rPr>
                <w:rFonts w:hint="eastAsia" w:ascii="宋体" w:hAnsi="宋体" w:cs="宋体"/>
                <w:color w:val="auto"/>
                <w:sz w:val="24"/>
                <w:szCs w:val="24"/>
                <w:lang w:val="en-US" w:eastAsia="zh-CN"/>
              </w:rPr>
              <w:t>U</w:t>
            </w:r>
            <w:r>
              <w:rPr>
                <w:rFonts w:hint="eastAsia" w:ascii="宋体" w:hAnsi="宋体" w:cs="宋体"/>
                <w:color w:val="auto"/>
                <w:sz w:val="24"/>
                <w:szCs w:val="24"/>
              </w:rPr>
              <w:t>盘</w:t>
            </w:r>
            <w:r>
              <w:rPr>
                <w:rFonts w:hint="eastAsia" w:ascii="宋体" w:hAnsi="宋体" w:cs="宋体"/>
                <w:color w:val="auto"/>
                <w:sz w:val="24"/>
                <w:szCs w:val="24"/>
                <w:lang w:eastAsia="zh-CN"/>
              </w:rPr>
              <w:t>及光盘</w:t>
            </w:r>
            <w:r>
              <w:rPr>
                <w:rFonts w:hint="eastAsia" w:ascii="宋体" w:hAnsi="宋体" w:cs="宋体"/>
                <w:color w:val="auto"/>
                <w:sz w:val="24"/>
                <w:szCs w:val="24"/>
              </w:rPr>
              <w:t>一份</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U</w:t>
            </w:r>
            <w:r>
              <w:rPr>
                <w:rFonts w:hint="eastAsia" w:ascii="宋体" w:hAnsi="宋体" w:cs="宋体"/>
                <w:b/>
                <w:bCs/>
                <w:color w:val="auto"/>
                <w:sz w:val="24"/>
                <w:szCs w:val="24"/>
                <w:lang w:eastAsia="zh-CN"/>
              </w:rPr>
              <w:t>盘及光盘内容与响应文件正本一致</w:t>
            </w:r>
            <w:r>
              <w:rPr>
                <w:rFonts w:hint="eastAsia" w:ascii="宋体" w:hAnsi="宋体" w:cs="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jc w:val="center"/>
        </w:trPr>
        <w:tc>
          <w:tcPr>
            <w:tcW w:w="9090" w:type="dxa"/>
            <w:gridSpan w:val="3"/>
            <w:tcBorders>
              <w:tl2br w:val="nil"/>
              <w:tr2bl w:val="nil"/>
            </w:tcBorders>
            <w:vAlign w:val="center"/>
          </w:tcPr>
          <w:p>
            <w:pPr>
              <w:adjustRightInd w:val="0"/>
              <w:snapToGrid w:val="0"/>
              <w:spacing w:line="360" w:lineRule="auto"/>
              <w:rPr>
                <w:rFonts w:hint="eastAsia" w:ascii="宋体" w:hAnsi="宋体" w:cs="宋体"/>
                <w:b/>
                <w:bCs/>
                <w:color w:val="auto"/>
                <w:sz w:val="24"/>
                <w:szCs w:val="24"/>
              </w:rPr>
            </w:pPr>
            <w:r>
              <w:rPr>
                <w:rFonts w:hint="eastAsia" w:ascii="宋体" w:hAnsi="宋体" w:cs="宋体"/>
                <w:b/>
                <w:color w:val="auto"/>
                <w:sz w:val="24"/>
                <w:szCs w:val="24"/>
              </w:rPr>
              <w:t>五、响应文件的递交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20</w:t>
            </w:r>
            <w:r>
              <w:rPr>
                <w:rFonts w:hint="eastAsia" w:ascii="宋体" w:hAnsi="宋体" w:cs="宋体"/>
                <w:color w:val="auto"/>
                <w:sz w:val="24"/>
                <w:szCs w:val="24"/>
              </w:rPr>
              <w:t>.2款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封套上应载明的信息</w:t>
            </w:r>
          </w:p>
        </w:tc>
        <w:tc>
          <w:tcPr>
            <w:tcW w:w="4920" w:type="dxa"/>
            <w:tcBorders>
              <w:tl2br w:val="nil"/>
              <w:tr2bl w:val="nil"/>
            </w:tcBorders>
            <w:vAlign w:val="center"/>
          </w:tcPr>
          <w:p>
            <w:pPr>
              <w:adjustRightInd w:val="0"/>
              <w:snapToGrid w:val="0"/>
              <w:spacing w:line="360" w:lineRule="auto"/>
              <w:rPr>
                <w:rFonts w:hint="eastAsia" w:ascii="宋体" w:hAnsi="宋体" w:cs="宋体"/>
                <w:bCs/>
                <w:iCs/>
                <w:color w:val="auto"/>
                <w:sz w:val="24"/>
                <w:szCs w:val="24"/>
                <w:lang w:eastAsia="zh-CN"/>
              </w:rPr>
            </w:pPr>
            <w:r>
              <w:rPr>
                <w:rFonts w:hint="eastAsia" w:ascii="宋体" w:hAnsi="宋体" w:cs="宋体"/>
                <w:bCs/>
                <w:iCs/>
                <w:color w:val="auto"/>
                <w:sz w:val="24"/>
                <w:szCs w:val="24"/>
                <w:lang w:eastAsia="zh-CN"/>
              </w:rPr>
              <w:t>项目名称：</w:t>
            </w:r>
          </w:p>
          <w:p>
            <w:pPr>
              <w:adjustRightInd w:val="0"/>
              <w:snapToGrid w:val="0"/>
              <w:spacing w:line="360" w:lineRule="auto"/>
              <w:rPr>
                <w:rFonts w:hint="eastAsia" w:ascii="宋体" w:hAnsi="宋体" w:cs="宋体"/>
                <w:color w:val="auto"/>
                <w:sz w:val="24"/>
                <w:szCs w:val="24"/>
                <w:u w:val="single"/>
              </w:rPr>
            </w:pPr>
            <w:r>
              <w:rPr>
                <w:rFonts w:hint="eastAsia" w:ascii="宋体" w:hAnsi="宋体" w:cs="宋体"/>
                <w:color w:val="auto"/>
                <w:sz w:val="24"/>
                <w:szCs w:val="24"/>
                <w:lang w:eastAsia="zh-CN"/>
              </w:rPr>
              <w:t>项目</w:t>
            </w:r>
            <w:r>
              <w:rPr>
                <w:rFonts w:hint="eastAsia" w:ascii="宋体" w:hAnsi="宋体" w:cs="宋体"/>
                <w:color w:val="auto"/>
                <w:sz w:val="24"/>
                <w:szCs w:val="24"/>
              </w:rPr>
              <w:t xml:space="preserve">编号: </w:t>
            </w:r>
            <w:r>
              <w:rPr>
                <w:rFonts w:hint="eastAsia" w:ascii="宋体" w:hAnsi="宋体" w:cs="宋体"/>
                <w:color w:val="auto"/>
                <w:sz w:val="24"/>
                <w:szCs w:val="24"/>
                <w:u w:val="single"/>
              </w:rPr>
              <w:t xml:space="preserve">            </w:t>
            </w:r>
          </w:p>
          <w:p>
            <w:pPr>
              <w:adjustRightInd w:val="0"/>
              <w:snapToGrid w:val="0"/>
              <w:spacing w:line="360" w:lineRule="auto"/>
              <w:rPr>
                <w:rFonts w:hint="eastAsia" w:ascii="宋体" w:hAnsi="宋体" w:cs="宋体"/>
                <w:color w:val="auto"/>
                <w:sz w:val="24"/>
                <w:szCs w:val="24"/>
                <w:u w:val="single"/>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p>
          <w:p>
            <w:pPr>
              <w:adjustRightInd w:val="0"/>
              <w:snapToGrid w:val="0"/>
              <w:spacing w:line="360" w:lineRule="auto"/>
              <w:rPr>
                <w:rFonts w:hint="eastAsia" w:ascii="宋体" w:hAnsi="宋体" w:cs="宋体"/>
                <w:color w:val="auto"/>
                <w:sz w:val="24"/>
                <w:szCs w:val="24"/>
                <w:u w:val="none"/>
                <w:lang w:eastAsia="zh-CN"/>
              </w:rPr>
            </w:pPr>
            <w:r>
              <w:rPr>
                <w:rFonts w:hint="eastAsia" w:ascii="宋体" w:hAnsi="宋体" w:cs="宋体"/>
                <w:color w:val="auto"/>
                <w:sz w:val="24"/>
                <w:szCs w:val="24"/>
                <w:u w:val="none"/>
                <w:lang w:eastAsia="zh-CN"/>
              </w:rPr>
              <w:t>地址：</w:t>
            </w:r>
          </w:p>
          <w:p>
            <w:pPr>
              <w:adjustRightInd w:val="0"/>
              <w:snapToGrid w:val="0"/>
              <w:spacing w:line="360" w:lineRule="auto"/>
              <w:rPr>
                <w:rFonts w:hint="eastAsia" w:ascii="宋体" w:hAnsi="宋体" w:cs="宋体"/>
                <w:color w:val="auto"/>
                <w:sz w:val="24"/>
                <w:szCs w:val="24"/>
                <w:u w:val="single"/>
              </w:rPr>
            </w:pPr>
            <w:r>
              <w:rPr>
                <w:rFonts w:hint="eastAsia" w:ascii="宋体" w:hAnsi="宋体" w:cs="宋体"/>
                <w:color w:val="auto"/>
                <w:sz w:val="24"/>
                <w:szCs w:val="24"/>
                <w:u w:val="none"/>
                <w:lang w:eastAsia="zh-CN"/>
              </w:rPr>
              <w:t>联系人及联系方式：</w:t>
            </w:r>
            <w:r>
              <w:rPr>
                <w:rFonts w:hint="eastAsia" w:ascii="宋体" w:hAnsi="宋体" w:cs="宋体"/>
                <w:color w:val="auto"/>
                <w:sz w:val="24"/>
                <w:szCs w:val="24"/>
                <w:u w:val="none"/>
              </w:rPr>
              <w:t xml:space="preserve"> </w:t>
            </w:r>
            <w:r>
              <w:rPr>
                <w:rFonts w:hint="eastAsia" w:ascii="宋体" w:hAnsi="宋体" w:cs="宋体"/>
                <w:color w:val="auto"/>
                <w:sz w:val="24"/>
                <w:szCs w:val="24"/>
                <w:u w:val="single"/>
              </w:rPr>
              <w:t xml:space="preserve">       </w:t>
            </w:r>
          </w:p>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在</w:t>
            </w:r>
            <w:r>
              <w:rPr>
                <w:rFonts w:hint="eastAsia" w:ascii="宋体" w:hAnsi="宋体" w:cs="宋体"/>
                <w:b/>
                <w:bCs/>
                <w:color w:val="auto"/>
                <w:sz w:val="24"/>
                <w:szCs w:val="24"/>
              </w:rPr>
              <w:t xml:space="preserve"> </w:t>
            </w:r>
            <w:r>
              <w:rPr>
                <w:rFonts w:hint="eastAsia" w:ascii="宋体" w:hAnsi="宋体" w:cs="宋体"/>
                <w:b/>
                <w:bCs/>
                <w:color w:val="auto"/>
                <w:sz w:val="24"/>
                <w:szCs w:val="24"/>
                <w:u w:val="single"/>
                <w:lang w:val="en-US" w:eastAsia="zh-CN"/>
              </w:rPr>
              <w:t>2022</w:t>
            </w:r>
            <w:r>
              <w:rPr>
                <w:rFonts w:hint="eastAsia" w:ascii="宋体" w:hAnsi="宋体" w:cs="宋体"/>
                <w:b/>
                <w:bCs/>
                <w:color w:val="auto"/>
                <w:sz w:val="24"/>
                <w:szCs w:val="24"/>
              </w:rPr>
              <w:t>年</w:t>
            </w:r>
            <w:r>
              <w:rPr>
                <w:rFonts w:hint="eastAsia" w:ascii="宋体" w:hAnsi="宋体" w:cs="宋体"/>
                <w:b/>
                <w:bCs/>
                <w:color w:val="auto"/>
                <w:sz w:val="24"/>
                <w:szCs w:val="24"/>
                <w:u w:val="single"/>
                <w:lang w:val="en-US" w:eastAsia="zh-CN"/>
              </w:rPr>
              <w:t xml:space="preserve"> 08 </w:t>
            </w:r>
            <w:r>
              <w:rPr>
                <w:rFonts w:hint="eastAsia" w:ascii="宋体" w:hAnsi="宋体" w:cs="宋体"/>
                <w:b/>
                <w:bCs/>
                <w:color w:val="auto"/>
                <w:sz w:val="24"/>
                <w:szCs w:val="24"/>
              </w:rPr>
              <w:t>月</w:t>
            </w:r>
            <w:r>
              <w:rPr>
                <w:rFonts w:hint="eastAsia" w:ascii="宋体" w:hAnsi="宋体" w:cs="宋体"/>
                <w:b/>
                <w:bCs/>
                <w:color w:val="auto"/>
                <w:sz w:val="24"/>
                <w:szCs w:val="24"/>
                <w:u w:val="single"/>
                <w:lang w:val="en-US" w:eastAsia="zh-CN"/>
              </w:rPr>
              <w:t>16</w:t>
            </w:r>
            <w:r>
              <w:rPr>
                <w:rFonts w:hint="eastAsia" w:ascii="宋体" w:hAnsi="宋体" w:cs="宋体"/>
                <w:b/>
                <w:bCs/>
                <w:color w:val="auto"/>
                <w:sz w:val="24"/>
                <w:szCs w:val="24"/>
              </w:rPr>
              <w:t>日</w:t>
            </w:r>
            <w:r>
              <w:rPr>
                <w:rFonts w:hint="eastAsia" w:ascii="宋体" w:hAnsi="宋体" w:cs="宋体"/>
                <w:b/>
                <w:bCs/>
                <w:color w:val="auto"/>
                <w:sz w:val="24"/>
                <w:szCs w:val="24"/>
                <w:u w:val="single"/>
                <w:lang w:val="en-US" w:eastAsia="zh-CN"/>
              </w:rPr>
              <w:t>16</w:t>
            </w:r>
            <w:r>
              <w:rPr>
                <w:rFonts w:hint="eastAsia" w:ascii="宋体" w:hAnsi="宋体" w:cs="宋体"/>
                <w:b/>
                <w:bCs/>
                <w:color w:val="auto"/>
                <w:sz w:val="24"/>
                <w:szCs w:val="24"/>
              </w:rPr>
              <w:t>时</w:t>
            </w:r>
            <w:r>
              <w:rPr>
                <w:rFonts w:hint="eastAsia" w:ascii="宋体" w:hAnsi="宋体" w:cs="宋体"/>
                <w:b/>
                <w:bCs/>
                <w:color w:val="auto"/>
                <w:sz w:val="24"/>
                <w:szCs w:val="24"/>
                <w:u w:val="single"/>
                <w:lang w:val="en-US" w:eastAsia="zh-CN"/>
              </w:rPr>
              <w:t>3</w:t>
            </w:r>
            <w:r>
              <w:rPr>
                <w:rFonts w:hint="eastAsia" w:ascii="宋体" w:hAnsi="宋体" w:cs="宋体"/>
                <w:b/>
                <w:bCs/>
                <w:color w:val="auto"/>
                <w:sz w:val="24"/>
                <w:szCs w:val="24"/>
                <w:u w:val="single"/>
              </w:rPr>
              <w:t>0</w:t>
            </w:r>
            <w:r>
              <w:rPr>
                <w:rFonts w:hint="eastAsia" w:ascii="宋体" w:hAnsi="宋体" w:cs="宋体"/>
                <w:b/>
                <w:bCs/>
                <w:color w:val="auto"/>
                <w:sz w:val="24"/>
                <w:szCs w:val="24"/>
              </w:rPr>
              <w:t>分</w:t>
            </w:r>
            <w:r>
              <w:rPr>
                <w:rFonts w:hint="eastAsia" w:ascii="宋体" w:hAnsi="宋体" w:cs="宋体"/>
                <w:color w:val="auto"/>
                <w:sz w:val="24"/>
                <w:szCs w:val="24"/>
              </w:rPr>
              <w:t>之前不得开启</w:t>
            </w:r>
            <w:r>
              <w:rPr>
                <w:rFonts w:hint="eastAsia" w:ascii="宋体"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20</w:t>
            </w:r>
            <w:r>
              <w:rPr>
                <w:rFonts w:hint="eastAsia" w:ascii="宋体" w:hAnsi="宋体" w:cs="宋体"/>
                <w:color w:val="auto"/>
                <w:sz w:val="24"/>
                <w:szCs w:val="24"/>
              </w:rPr>
              <w:t>.5款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响应文件的递交地点</w:t>
            </w:r>
          </w:p>
        </w:tc>
        <w:tc>
          <w:tcPr>
            <w:tcW w:w="4920" w:type="dxa"/>
            <w:tcBorders>
              <w:tl2br w:val="nil"/>
              <w:tr2bl w:val="nil"/>
            </w:tcBorders>
            <w:vAlign w:val="center"/>
          </w:tcPr>
          <w:p>
            <w:pPr>
              <w:adjustRightInd w:val="0"/>
              <w:snapToGrid w:val="0"/>
              <w:spacing w:line="360" w:lineRule="auto"/>
              <w:rPr>
                <w:rFonts w:hint="eastAsia" w:ascii="宋体" w:hAnsi="宋体" w:eastAsia="宋体" w:cs="宋体"/>
                <w:bCs/>
                <w:color w:val="auto"/>
                <w:sz w:val="24"/>
                <w:szCs w:val="24"/>
                <w:lang w:eastAsia="zh-CN"/>
              </w:rPr>
            </w:pPr>
            <w:r>
              <w:rPr>
                <w:rFonts w:hint="eastAsia" w:ascii="宋体" w:hAnsi="宋体" w:cs="宋体"/>
                <w:bCs/>
                <w:color w:val="auto"/>
                <w:sz w:val="24"/>
                <w:szCs w:val="24"/>
              </w:rPr>
              <w:t>伊宁市解放路77号亚欧国际写字楼15楼</w:t>
            </w:r>
            <w:r>
              <w:rPr>
                <w:rFonts w:hint="eastAsia" w:ascii="宋体" w:hAnsi="宋体" w:cs="宋体"/>
                <w:bCs/>
                <w:color w:val="auto"/>
                <w:sz w:val="24"/>
                <w:szCs w:val="24"/>
                <w:lang w:eastAsia="zh-CN"/>
              </w:rPr>
              <w:t>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9090" w:type="dxa"/>
            <w:gridSpan w:val="3"/>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b/>
                <w:color w:val="auto"/>
                <w:sz w:val="24"/>
                <w:szCs w:val="24"/>
              </w:rPr>
              <w:t>六、成交结果信息公布与供应商质疑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020" w:type="dxa"/>
            <w:tcBorders>
              <w:tl2br w:val="nil"/>
              <w:tr2bl w:val="nil"/>
            </w:tcBorders>
            <w:vAlign w:val="center"/>
          </w:tcPr>
          <w:p>
            <w:pPr>
              <w:adjustRightInd w:val="0"/>
              <w:snapToGrid w:val="0"/>
              <w:spacing w:line="360" w:lineRule="auto"/>
              <w:jc w:val="both"/>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35</w:t>
            </w:r>
            <w:r>
              <w:rPr>
                <w:rFonts w:hint="eastAsia" w:ascii="宋体" w:hAnsi="宋体" w:cs="宋体"/>
                <w:color w:val="auto"/>
                <w:sz w:val="24"/>
                <w:szCs w:val="24"/>
              </w:rPr>
              <w:t>.1款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lang w:eastAsia="zh-CN"/>
              </w:rPr>
              <w:t>发布的</w:t>
            </w:r>
            <w:r>
              <w:rPr>
                <w:rFonts w:hint="eastAsia" w:ascii="宋体" w:hAnsi="宋体" w:cs="宋体"/>
                <w:color w:val="auto"/>
                <w:sz w:val="24"/>
                <w:szCs w:val="24"/>
              </w:rPr>
              <w:t>媒体</w:t>
            </w:r>
          </w:p>
        </w:tc>
        <w:tc>
          <w:tcPr>
            <w:tcW w:w="492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lang w:eastAsia="zh-CN"/>
              </w:rPr>
              <w:t>新疆</w:t>
            </w:r>
            <w:r>
              <w:rPr>
                <w:rFonts w:hint="eastAsia" w:ascii="宋体" w:hAnsi="宋体" w:cs="宋体"/>
                <w:color w:val="auto"/>
                <w:sz w:val="24"/>
                <w:szCs w:val="24"/>
              </w:rPr>
              <w:t>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37</w:t>
            </w:r>
            <w:r>
              <w:rPr>
                <w:rFonts w:hint="eastAsia" w:ascii="宋体" w:hAnsi="宋体" w:cs="宋体"/>
                <w:color w:val="auto"/>
                <w:sz w:val="24"/>
                <w:szCs w:val="24"/>
              </w:rPr>
              <w:t>.3款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履约担保</w:t>
            </w:r>
          </w:p>
        </w:tc>
        <w:tc>
          <w:tcPr>
            <w:tcW w:w="4920" w:type="dxa"/>
            <w:tcBorders>
              <w:tl2br w:val="nil"/>
              <w:tr2bl w:val="nil"/>
            </w:tcBorders>
            <w:vAlign w:val="center"/>
          </w:tcPr>
          <w:p>
            <w:pPr>
              <w:adjustRightInd w:val="0"/>
              <w:snapToGrid w:val="0"/>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履约担保的形式：履约保证金（</w:t>
            </w:r>
            <w:r>
              <w:rPr>
                <w:rFonts w:hint="eastAsia" w:ascii="宋体" w:hAnsi="宋体" w:eastAsia="宋体" w:cs="宋体"/>
                <w:color w:val="auto"/>
                <w:sz w:val="24"/>
                <w:szCs w:val="24"/>
                <w:lang w:val="en-US" w:eastAsia="zh-CN"/>
              </w:rPr>
              <w:t>签订合同时缴纳，验收合格后退还。</w:t>
            </w:r>
            <w:r>
              <w:rPr>
                <w:rFonts w:hint="default" w:ascii="宋体" w:hAnsi="宋体" w:eastAsia="宋体" w:cs="宋体"/>
                <w:color w:val="auto"/>
                <w:sz w:val="24"/>
                <w:szCs w:val="24"/>
                <w:lang w:val="en-US" w:eastAsia="zh-CN"/>
              </w:rPr>
              <w:t>）</w:t>
            </w:r>
          </w:p>
          <w:p>
            <w:pPr>
              <w:adjustRightInd w:val="0"/>
              <w:snapToGrid w:val="0"/>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履约保</w:t>
            </w:r>
            <w:r>
              <w:rPr>
                <w:rFonts w:hint="eastAsia" w:ascii="宋体" w:hAnsi="宋体" w:eastAsia="宋体" w:cs="宋体"/>
                <w:color w:val="auto"/>
                <w:sz w:val="24"/>
                <w:szCs w:val="24"/>
                <w:lang w:val="en-US" w:eastAsia="zh-CN"/>
              </w:rPr>
              <w:t>证</w:t>
            </w:r>
            <w:r>
              <w:rPr>
                <w:rFonts w:hint="default" w:ascii="宋体" w:hAnsi="宋体" w:eastAsia="宋体" w:cs="宋体"/>
                <w:color w:val="auto"/>
                <w:sz w:val="24"/>
                <w:szCs w:val="24"/>
                <w:lang w:val="en-US" w:eastAsia="zh-CN"/>
              </w:rPr>
              <w:t>金：</w:t>
            </w:r>
            <w:r>
              <w:rPr>
                <w:rFonts w:hint="eastAsia" w:ascii="宋体" w:hAnsi="宋体" w:eastAsia="宋体" w:cs="宋体"/>
                <w:color w:val="auto"/>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付款方式</w:t>
            </w:r>
          </w:p>
        </w:tc>
        <w:tc>
          <w:tcPr>
            <w:tcW w:w="4920" w:type="dxa"/>
            <w:tcBorders>
              <w:tl2br w:val="nil"/>
              <w:tr2bl w:val="nil"/>
            </w:tcBorders>
            <w:vAlign w:val="center"/>
          </w:tcPr>
          <w:p>
            <w:pPr>
              <w:adjustRightInd w:val="0"/>
              <w:snapToGrid w:val="0"/>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合同约定</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9090" w:type="dxa"/>
            <w:gridSpan w:val="3"/>
            <w:tcBorders>
              <w:tl2br w:val="nil"/>
              <w:tr2bl w:val="nil"/>
            </w:tcBorders>
            <w:vAlign w:val="center"/>
          </w:tcPr>
          <w:p>
            <w:pPr>
              <w:adjustRightInd w:val="0"/>
              <w:snapToGrid w:val="0"/>
              <w:spacing w:line="360" w:lineRule="auto"/>
              <w:rPr>
                <w:rFonts w:hint="eastAsia" w:ascii="宋体" w:hAnsi="宋体" w:cs="宋体"/>
                <w:b/>
                <w:color w:val="auto"/>
                <w:sz w:val="24"/>
                <w:szCs w:val="24"/>
              </w:rPr>
            </w:pPr>
            <w:r>
              <w:rPr>
                <w:rFonts w:hint="eastAsia" w:ascii="宋体" w:hAnsi="宋体" w:cs="宋体"/>
                <w:b/>
                <w:color w:val="auto"/>
                <w:sz w:val="24"/>
                <w:szCs w:val="24"/>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第二章第</w:t>
            </w:r>
            <w:r>
              <w:rPr>
                <w:rFonts w:hint="eastAsia" w:ascii="宋体" w:hAnsi="宋体" w:cs="宋体"/>
                <w:color w:val="auto"/>
                <w:sz w:val="24"/>
                <w:szCs w:val="24"/>
                <w:lang w:eastAsia="zh-CN"/>
              </w:rPr>
              <w:t>39</w:t>
            </w:r>
            <w:r>
              <w:rPr>
                <w:rFonts w:hint="eastAsia" w:ascii="宋体" w:hAnsi="宋体" w:cs="宋体"/>
                <w:color w:val="auto"/>
                <w:sz w:val="24"/>
                <w:szCs w:val="24"/>
              </w:rPr>
              <w:t>.1款</w:t>
            </w:r>
          </w:p>
        </w:tc>
        <w:tc>
          <w:tcPr>
            <w:tcW w:w="2150" w:type="dxa"/>
            <w:tcBorders>
              <w:tl2br w:val="nil"/>
              <w:tr2bl w:val="nil"/>
            </w:tcBorders>
            <w:vAlign w:val="center"/>
          </w:tcPr>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采购代理服务费</w:t>
            </w:r>
          </w:p>
        </w:tc>
        <w:tc>
          <w:tcPr>
            <w:tcW w:w="4920" w:type="dxa"/>
            <w:tcBorders>
              <w:tl2br w:val="nil"/>
              <w:tr2bl w:val="nil"/>
            </w:tcBorders>
            <w:vAlign w:val="center"/>
          </w:tcPr>
          <w:p>
            <w:pPr>
              <w:adjustRightInd w:val="0"/>
              <w:snapToGrid w:val="0"/>
              <w:spacing w:before="156" w:beforeLines="50" w:line="360" w:lineRule="auto"/>
              <w:rPr>
                <w:rFonts w:hint="eastAsia" w:ascii="宋体" w:hAnsi="宋体" w:cs="宋体"/>
                <w:color w:val="auto"/>
                <w:sz w:val="24"/>
                <w:szCs w:val="24"/>
                <w:u w:val="single"/>
              </w:rPr>
            </w:pPr>
            <w:r>
              <w:rPr>
                <w:rFonts w:hint="eastAsia" w:ascii="宋体" w:hAnsi="宋体"/>
                <w:color w:val="auto"/>
                <w:sz w:val="24"/>
                <w:szCs w:val="24"/>
              </w:rPr>
              <w:t>由成交</w:t>
            </w:r>
            <w:r>
              <w:rPr>
                <w:rFonts w:hint="eastAsia" w:ascii="宋体" w:hAnsi="宋体"/>
                <w:color w:val="auto"/>
                <w:sz w:val="24"/>
                <w:szCs w:val="24"/>
                <w:lang w:eastAsia="zh-CN"/>
              </w:rPr>
              <w:t>供应商</w:t>
            </w:r>
            <w:r>
              <w:rPr>
                <w:rFonts w:hint="eastAsia" w:ascii="宋体" w:hAnsi="宋体"/>
                <w:color w:val="auto"/>
                <w:sz w:val="24"/>
                <w:szCs w:val="24"/>
              </w:rPr>
              <w:t>按国家规定标准在领取成交通知书之前一次性付清。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rPr>
              <w:t>有效证件</w:t>
            </w:r>
          </w:p>
        </w:tc>
        <w:tc>
          <w:tcPr>
            <w:tcW w:w="4920" w:type="dxa"/>
            <w:tcBorders>
              <w:tl2br w:val="nil"/>
              <w:tr2bl w:val="nil"/>
            </w:tcBorders>
            <w:vAlign w:val="center"/>
          </w:tcPr>
          <w:p>
            <w:pPr>
              <w:spacing w:line="360" w:lineRule="exact"/>
              <w:ind w:left="57" w:right="57" w:firstLine="57"/>
              <w:rPr>
                <w:color w:val="auto"/>
                <w:sz w:val="24"/>
              </w:rPr>
            </w:pPr>
            <w:r>
              <w:rPr>
                <w:rFonts w:hint="eastAsia"/>
                <w:color w:val="auto"/>
                <w:sz w:val="24"/>
              </w:rPr>
              <w:t>开标前，评标委员会将即时查验供应商随身携带的以下有效证件：</w:t>
            </w:r>
          </w:p>
          <w:p>
            <w:pPr>
              <w:spacing w:line="360" w:lineRule="exact"/>
              <w:ind w:left="57" w:right="57" w:firstLine="57"/>
              <w:rPr>
                <w:b/>
                <w:bCs/>
                <w:color w:val="auto"/>
                <w:sz w:val="24"/>
              </w:rPr>
            </w:pPr>
            <w:r>
              <w:rPr>
                <w:rFonts w:hint="eastAsia"/>
                <w:b/>
                <w:bCs/>
                <w:color w:val="auto"/>
                <w:sz w:val="24"/>
              </w:rPr>
              <w:t>（1）法定代表人身份证（驾驶执照正本、护照或公安部门的相关证明）或法定代表人授权委托书和委托代理人的身份证（驾驶执照正本、护照或公安部门的相关证明）；</w:t>
            </w:r>
          </w:p>
          <w:p>
            <w:pPr>
              <w:spacing w:line="360" w:lineRule="exact"/>
              <w:ind w:left="57" w:right="57" w:firstLine="57"/>
              <w:rPr>
                <w:b/>
                <w:bCs/>
                <w:color w:val="auto"/>
                <w:sz w:val="24"/>
              </w:rPr>
            </w:pPr>
            <w:r>
              <w:rPr>
                <w:rFonts w:hint="eastAsia"/>
                <w:b/>
                <w:bCs/>
                <w:color w:val="auto"/>
                <w:sz w:val="24"/>
              </w:rPr>
              <w:t>法定代表人授权委托书应当单独提供，并与</w:t>
            </w:r>
            <w:r>
              <w:rPr>
                <w:rFonts w:hint="eastAsia"/>
                <w:b/>
                <w:bCs/>
                <w:color w:val="auto"/>
                <w:sz w:val="24"/>
                <w:lang w:eastAsia="zh-CN"/>
              </w:rPr>
              <w:t>响应文件</w:t>
            </w:r>
            <w:r>
              <w:rPr>
                <w:rFonts w:hint="eastAsia"/>
                <w:b/>
                <w:bCs/>
                <w:color w:val="auto"/>
                <w:sz w:val="24"/>
              </w:rPr>
              <w:t>中所提供的相一致，以上证件均应当为原件；</w:t>
            </w:r>
          </w:p>
          <w:p>
            <w:pPr>
              <w:spacing w:line="360" w:lineRule="exact"/>
              <w:ind w:left="57" w:right="57" w:firstLine="57"/>
              <w:rPr>
                <w:b/>
                <w:bCs/>
                <w:color w:val="auto"/>
                <w:sz w:val="24"/>
              </w:rPr>
            </w:pPr>
            <w:r>
              <w:rPr>
                <w:rFonts w:hint="eastAsia"/>
                <w:b/>
                <w:bCs/>
                <w:color w:val="auto"/>
                <w:sz w:val="24"/>
              </w:rPr>
              <w:t>（2）企业法人营业执照（副本）；</w:t>
            </w:r>
          </w:p>
          <w:p>
            <w:pPr>
              <w:spacing w:line="360" w:lineRule="exact"/>
              <w:ind w:left="57" w:right="57" w:firstLine="57"/>
              <w:rPr>
                <w:b/>
                <w:bCs/>
                <w:color w:val="auto"/>
                <w:sz w:val="24"/>
              </w:rPr>
            </w:pPr>
            <w:r>
              <w:rPr>
                <w:rFonts w:hint="eastAsia"/>
                <w:b/>
                <w:bCs/>
                <w:color w:val="auto"/>
                <w:sz w:val="24"/>
              </w:rPr>
              <w:t>（3）会计事务所出具的20</w:t>
            </w:r>
            <w:r>
              <w:rPr>
                <w:rFonts w:hint="eastAsia"/>
                <w:b/>
                <w:bCs/>
                <w:color w:val="auto"/>
                <w:sz w:val="24"/>
                <w:lang w:val="en-US" w:eastAsia="zh-CN"/>
              </w:rPr>
              <w:t>21</w:t>
            </w:r>
            <w:r>
              <w:rPr>
                <w:rFonts w:hint="eastAsia"/>
                <w:b/>
                <w:bCs/>
                <w:color w:val="auto"/>
                <w:sz w:val="24"/>
              </w:rPr>
              <w:t>年度财务审计报告或银行出具的资信证明；</w:t>
            </w:r>
          </w:p>
          <w:p>
            <w:pPr>
              <w:spacing w:line="360" w:lineRule="exact"/>
              <w:ind w:left="57" w:right="57" w:firstLine="57"/>
              <w:rPr>
                <w:b/>
                <w:bCs/>
                <w:color w:val="auto"/>
                <w:sz w:val="24"/>
              </w:rPr>
            </w:pPr>
            <w:r>
              <w:rPr>
                <w:rFonts w:hint="eastAsia"/>
                <w:b/>
                <w:bCs/>
                <w:color w:val="auto"/>
                <w:sz w:val="24"/>
              </w:rPr>
              <w:t>（4）税务部门出具的202</w:t>
            </w:r>
            <w:r>
              <w:rPr>
                <w:rFonts w:hint="eastAsia"/>
                <w:b/>
                <w:bCs/>
                <w:color w:val="auto"/>
                <w:sz w:val="24"/>
                <w:lang w:val="en-US" w:eastAsia="zh-CN"/>
              </w:rPr>
              <w:t>1</w:t>
            </w:r>
            <w:r>
              <w:rPr>
                <w:rFonts w:hint="eastAsia"/>
                <w:b/>
                <w:bCs/>
                <w:color w:val="auto"/>
                <w:sz w:val="24"/>
              </w:rPr>
              <w:t>年依法纳税证明资料；</w:t>
            </w:r>
          </w:p>
          <w:p>
            <w:pPr>
              <w:spacing w:line="360" w:lineRule="exact"/>
              <w:ind w:left="57" w:right="57" w:firstLine="57"/>
              <w:rPr>
                <w:rFonts w:hint="eastAsia"/>
                <w:b/>
                <w:bCs/>
                <w:color w:val="auto"/>
                <w:sz w:val="24"/>
                <w:lang w:val="en-US" w:eastAsia="zh-CN"/>
              </w:rPr>
            </w:pPr>
            <w:r>
              <w:rPr>
                <w:rFonts w:hint="eastAsia"/>
                <w:b/>
                <w:bCs/>
                <w:color w:val="auto"/>
                <w:sz w:val="24"/>
                <w:lang w:eastAsia="zh-CN"/>
              </w:rPr>
              <w:t>（</w:t>
            </w:r>
            <w:r>
              <w:rPr>
                <w:rFonts w:hint="eastAsia"/>
                <w:b/>
                <w:bCs/>
                <w:color w:val="auto"/>
                <w:sz w:val="24"/>
                <w:lang w:val="en-US" w:eastAsia="zh-CN"/>
              </w:rPr>
              <w:t>5</w:t>
            </w:r>
            <w:r>
              <w:rPr>
                <w:rFonts w:hint="eastAsia"/>
                <w:b/>
                <w:bCs/>
                <w:color w:val="auto"/>
                <w:sz w:val="24"/>
                <w:lang w:eastAsia="zh-CN"/>
              </w:rPr>
              <w:t>）</w:t>
            </w:r>
            <w:r>
              <w:rPr>
                <w:rFonts w:hint="eastAsia"/>
                <w:b/>
                <w:bCs/>
                <w:color w:val="auto"/>
                <w:sz w:val="24"/>
                <w:lang w:val="en-US" w:eastAsia="zh-CN"/>
              </w:rPr>
              <w:t>须提供供应商和项目团队成员2019-2021年未受到监管处罚承诺函原件；</w:t>
            </w:r>
          </w:p>
          <w:p>
            <w:pPr>
              <w:spacing w:line="360" w:lineRule="exact"/>
              <w:ind w:left="57" w:right="57" w:firstLine="57"/>
              <w:rPr>
                <w:b/>
                <w:bCs/>
                <w:color w:val="auto"/>
                <w:sz w:val="24"/>
              </w:rPr>
            </w:pPr>
            <w:r>
              <w:rPr>
                <w:rFonts w:hint="eastAsia"/>
                <w:b/>
                <w:bCs/>
                <w:color w:val="auto"/>
                <w:sz w:val="24"/>
                <w:lang w:eastAsia="zh-CN"/>
              </w:rPr>
              <w:t>（</w:t>
            </w:r>
            <w:r>
              <w:rPr>
                <w:rFonts w:hint="eastAsia"/>
                <w:b/>
                <w:bCs/>
                <w:color w:val="auto"/>
                <w:sz w:val="24"/>
                <w:lang w:val="en-US" w:eastAsia="zh-CN"/>
              </w:rPr>
              <w:t>6</w:t>
            </w:r>
            <w:r>
              <w:rPr>
                <w:rFonts w:hint="eastAsia"/>
                <w:b/>
                <w:bCs/>
                <w:color w:val="auto"/>
                <w:sz w:val="24"/>
                <w:lang w:eastAsia="zh-CN"/>
              </w:rPr>
              <w:t>）</w:t>
            </w:r>
            <w:r>
              <w:rPr>
                <w:rFonts w:hint="eastAsia"/>
                <w:b/>
                <w:bCs/>
                <w:color w:val="auto"/>
                <w:sz w:val="24"/>
              </w:rPr>
              <w:t>“信用中国”网站上未被列入失信被执行人、</w:t>
            </w:r>
            <w:r>
              <w:rPr>
                <w:rFonts w:hint="eastAsia"/>
                <w:b/>
                <w:bCs/>
                <w:color w:val="auto"/>
                <w:sz w:val="24"/>
                <w:lang w:eastAsia="zh-CN"/>
              </w:rPr>
              <w:t>重大税收违法失信主体</w:t>
            </w:r>
            <w:r>
              <w:rPr>
                <w:rFonts w:hint="eastAsia"/>
                <w:b/>
                <w:bCs/>
                <w:color w:val="auto"/>
                <w:sz w:val="24"/>
              </w:rPr>
              <w:t>以及政府采购严重违法失信行为记录名单的网页打印件（网页打印件须自</w:t>
            </w:r>
            <w:r>
              <w:rPr>
                <w:rFonts w:hint="eastAsia"/>
                <w:b/>
                <w:bCs/>
                <w:color w:val="auto"/>
                <w:sz w:val="24"/>
                <w:lang w:eastAsia="zh-CN"/>
              </w:rPr>
              <w:t>磋商文件</w:t>
            </w:r>
            <w:r>
              <w:rPr>
                <w:rFonts w:hint="eastAsia"/>
                <w:b/>
                <w:bCs/>
                <w:color w:val="auto"/>
                <w:sz w:val="24"/>
              </w:rPr>
              <w:t>发布之日起至首次提交</w:t>
            </w:r>
            <w:r>
              <w:rPr>
                <w:rFonts w:hint="eastAsia"/>
                <w:b/>
                <w:bCs/>
                <w:color w:val="auto"/>
                <w:sz w:val="24"/>
                <w:lang w:eastAsia="zh-CN"/>
              </w:rPr>
              <w:t>响应文件</w:t>
            </w:r>
            <w:r>
              <w:rPr>
                <w:rFonts w:hint="eastAsia"/>
                <w:b/>
                <w:bCs/>
                <w:color w:val="auto"/>
                <w:sz w:val="24"/>
              </w:rPr>
              <w:t>截止日从上述网站中打印）并加盖公章；</w:t>
            </w:r>
          </w:p>
          <w:p>
            <w:pPr>
              <w:spacing w:line="360" w:lineRule="exact"/>
              <w:ind w:left="57" w:right="57" w:firstLine="57"/>
              <w:rPr>
                <w:b/>
                <w:bCs/>
                <w:color w:val="auto"/>
                <w:sz w:val="24"/>
              </w:rPr>
            </w:pPr>
            <w:r>
              <w:rPr>
                <w:rFonts w:hint="eastAsia"/>
                <w:b/>
                <w:bCs/>
                <w:color w:val="auto"/>
                <w:sz w:val="24"/>
              </w:rPr>
              <w:t>（</w:t>
            </w:r>
            <w:r>
              <w:rPr>
                <w:rFonts w:hint="eastAsia"/>
                <w:b/>
                <w:bCs/>
                <w:color w:val="auto"/>
                <w:sz w:val="24"/>
                <w:lang w:val="en-US" w:eastAsia="zh-CN"/>
              </w:rPr>
              <w:t>7</w:t>
            </w:r>
            <w:r>
              <w:rPr>
                <w:rFonts w:hint="eastAsia"/>
                <w:b/>
                <w:bCs/>
                <w:color w:val="auto"/>
                <w:sz w:val="24"/>
              </w:rPr>
              <w:t>）投标保证金收据原件；</w:t>
            </w:r>
          </w:p>
          <w:p>
            <w:pPr>
              <w:spacing w:line="360" w:lineRule="exact"/>
              <w:ind w:left="57" w:leftChars="0" w:right="57" w:rightChars="0" w:firstLine="57" w:firstLineChars="0"/>
              <w:rPr>
                <w:rFonts w:hint="eastAsia" w:ascii="宋体" w:hAnsi="宋体"/>
                <w:color w:val="auto"/>
                <w:sz w:val="24"/>
                <w:szCs w:val="24"/>
              </w:rPr>
            </w:pPr>
            <w:r>
              <w:rPr>
                <w:rFonts w:hint="eastAsia"/>
                <w:b/>
                <w:bCs/>
                <w:color w:val="auto"/>
                <w:sz w:val="24"/>
              </w:rPr>
              <w:t>以上证件齐全、满足要求的投标人为有效投标人。上述证件的公证件，本次招标不予认可。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spacing w:line="360" w:lineRule="auto"/>
              <w:jc w:val="center"/>
              <w:rPr>
                <w:rFonts w:hint="eastAsia" w:ascii="宋体" w:hAnsi="宋体" w:cs="宋体"/>
                <w:color w:val="auto"/>
                <w:sz w:val="24"/>
                <w:szCs w:val="24"/>
              </w:rPr>
            </w:pPr>
            <w:r>
              <w:rPr>
                <w:rFonts w:hint="eastAsia" w:ascii="宋体" w:hAnsi="宋体" w:cs="宋体"/>
                <w:b/>
                <w:bCs/>
                <w:color w:val="auto"/>
                <w:sz w:val="24"/>
              </w:rPr>
              <w:t>注意事项</w:t>
            </w:r>
          </w:p>
        </w:tc>
        <w:tc>
          <w:tcPr>
            <w:tcW w:w="4920" w:type="dxa"/>
            <w:tcBorders>
              <w:tl2br w:val="nil"/>
              <w:tr2bl w:val="nil"/>
            </w:tcBorders>
            <w:vAlign w:val="center"/>
          </w:tcPr>
          <w:p>
            <w:pPr>
              <w:jc w:val="left"/>
              <w:rPr>
                <w:rFonts w:ascii="宋体" w:hAnsi="宋体" w:cs="宋体"/>
                <w:b/>
                <w:bCs/>
                <w:color w:val="auto"/>
                <w:sz w:val="24"/>
                <w:lang w:val="zh-CN"/>
              </w:rPr>
            </w:pPr>
            <w:r>
              <w:rPr>
                <w:rFonts w:hint="eastAsia" w:ascii="宋体" w:hAnsi="宋体" w:cs="宋体"/>
                <w:b/>
                <w:bCs/>
                <w:color w:val="auto"/>
                <w:sz w:val="24"/>
                <w:lang w:val="zh-CN"/>
              </w:rPr>
              <w:t>1.投标人仔细阅读磋商文件，依据磋商文件编制和递交响应文件。</w:t>
            </w:r>
          </w:p>
          <w:p>
            <w:pPr>
              <w:jc w:val="left"/>
              <w:rPr>
                <w:rFonts w:ascii="宋体" w:hAnsi="宋体" w:cs="宋体"/>
                <w:b/>
                <w:bCs/>
                <w:color w:val="auto"/>
                <w:sz w:val="24"/>
                <w:lang w:val="zh-CN"/>
              </w:rPr>
            </w:pPr>
            <w:r>
              <w:rPr>
                <w:rFonts w:hint="eastAsia" w:ascii="宋体" w:hAnsi="宋体" w:cs="宋体"/>
                <w:b/>
                <w:bCs/>
                <w:color w:val="auto"/>
                <w:sz w:val="24"/>
                <w:lang w:val="zh-CN"/>
              </w:rPr>
              <w:t>2.为保证产品及服务质量，最低报价不作为中标的唯一依据。</w:t>
            </w:r>
          </w:p>
          <w:p>
            <w:pPr>
              <w:jc w:val="left"/>
              <w:rPr>
                <w:rFonts w:ascii="宋体" w:hAnsi="宋体" w:cs="宋体"/>
                <w:b/>
                <w:bCs/>
                <w:color w:val="auto"/>
                <w:sz w:val="24"/>
                <w:lang w:val="zh-CN"/>
              </w:rPr>
            </w:pPr>
            <w:r>
              <w:rPr>
                <w:rFonts w:hint="eastAsia" w:ascii="宋体" w:hAnsi="宋体" w:cs="宋体"/>
                <w:b/>
                <w:bCs/>
                <w:color w:val="auto"/>
                <w:sz w:val="24"/>
                <w:lang w:val="zh-CN"/>
              </w:rPr>
              <w:t>3.磋商文件内容与前附表内容不相符时以前附表为准。</w:t>
            </w:r>
          </w:p>
          <w:p>
            <w:pPr>
              <w:jc w:val="left"/>
              <w:rPr>
                <w:rFonts w:ascii="宋体" w:hAnsi="宋体" w:cs="宋体"/>
                <w:b/>
                <w:bCs/>
                <w:color w:val="auto"/>
                <w:sz w:val="24"/>
                <w:lang w:val="zh-CN"/>
              </w:rPr>
            </w:pPr>
            <w:r>
              <w:rPr>
                <w:rFonts w:hint="eastAsia" w:ascii="宋体" w:hAnsi="宋体" w:cs="宋体"/>
                <w:b/>
                <w:bCs/>
                <w:color w:val="auto"/>
                <w:sz w:val="24"/>
              </w:rPr>
              <w:t>4.</w:t>
            </w:r>
            <w:r>
              <w:rPr>
                <w:rFonts w:hint="eastAsia" w:ascii="宋体" w:hAnsi="宋体" w:cs="宋体"/>
                <w:b/>
                <w:bCs/>
                <w:color w:val="auto"/>
                <w:sz w:val="24"/>
                <w:lang w:val="zh-CN"/>
              </w:rPr>
              <w:t>所供货物执行国家和行业规范标准，报价人概不能够以本文件未提及为由而违背国家和行业规范标准要求。</w:t>
            </w:r>
          </w:p>
          <w:p>
            <w:pPr>
              <w:jc w:val="left"/>
              <w:rPr>
                <w:rFonts w:ascii="宋体" w:hAnsi="宋体" w:cs="宋体"/>
                <w:b/>
                <w:bCs/>
                <w:color w:val="auto"/>
                <w:sz w:val="24"/>
                <w:lang w:val="zh-CN"/>
              </w:rPr>
            </w:pPr>
            <w:r>
              <w:rPr>
                <w:rFonts w:hint="eastAsia" w:ascii="宋体" w:hAnsi="宋体" w:cs="宋体"/>
                <w:b/>
                <w:bCs/>
                <w:color w:val="auto"/>
                <w:sz w:val="24"/>
              </w:rPr>
              <w:t>5.</w:t>
            </w:r>
            <w:r>
              <w:rPr>
                <w:rFonts w:hint="eastAsia" w:ascii="宋体" w:hAnsi="宋体" w:cs="宋体"/>
                <w:b/>
                <w:bCs/>
                <w:color w:val="auto"/>
                <w:sz w:val="24"/>
                <w:lang w:val="zh-CN"/>
              </w:rPr>
              <w:t>在合同签订后，采购方有权提出因规范、标准等实际情况发生变化而产生的补充要求。</w:t>
            </w:r>
          </w:p>
          <w:p>
            <w:pPr>
              <w:jc w:val="left"/>
              <w:rPr>
                <w:rFonts w:hint="eastAsia" w:ascii="宋体" w:hAnsi="宋体"/>
                <w:color w:val="auto"/>
                <w:sz w:val="24"/>
                <w:szCs w:val="24"/>
              </w:rPr>
            </w:pPr>
            <w:r>
              <w:rPr>
                <w:rFonts w:hint="eastAsia" w:ascii="宋体" w:hAnsi="宋体" w:cs="宋体"/>
                <w:b/>
                <w:bCs/>
                <w:color w:val="auto"/>
                <w:sz w:val="24"/>
                <w:lang w:val="en-US" w:eastAsia="zh-CN"/>
              </w:rPr>
              <w:t>6</w:t>
            </w:r>
            <w:r>
              <w:rPr>
                <w:rFonts w:hint="eastAsia" w:ascii="宋体" w:hAnsi="宋体" w:cs="宋体"/>
                <w:b/>
                <w:bCs/>
                <w:color w:val="auto"/>
                <w:sz w:val="24"/>
              </w:rPr>
              <w:t>.</w:t>
            </w:r>
            <w:r>
              <w:rPr>
                <w:rFonts w:hint="eastAsia" w:ascii="宋体" w:hAnsi="宋体" w:cs="宋体"/>
                <w:b/>
                <w:bCs/>
                <w:color w:val="auto"/>
                <w:sz w:val="24"/>
                <w:lang w:val="zh-CN"/>
              </w:rPr>
              <w:t>供货须提供国家正规货物发票。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节能、环保要求</w:t>
            </w:r>
          </w:p>
        </w:tc>
        <w:tc>
          <w:tcPr>
            <w:tcW w:w="4920" w:type="dxa"/>
            <w:tcBorders>
              <w:tl2br w:val="nil"/>
              <w:tr2bl w:val="nil"/>
            </w:tcBorders>
            <w:vAlign w:val="center"/>
          </w:tcPr>
          <w:p>
            <w:pPr>
              <w:adjustRightInd w:val="0"/>
              <w:snapToGrid w:val="0"/>
              <w:spacing w:before="156" w:beforeLines="50" w:line="360" w:lineRule="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按国家有关节能环保政策执行：</w:t>
            </w:r>
          </w:p>
          <w:p>
            <w:pPr>
              <w:adjustRightInd w:val="0"/>
              <w:snapToGrid w:val="0"/>
              <w:spacing w:before="156" w:beforeLines="50" w:line="360" w:lineRule="auto"/>
              <w:rPr>
                <w:rFonts w:hint="eastAsia" w:ascii="宋体" w:hAnsi="宋体" w:cs="宋体"/>
                <w:b/>
                <w:bCs/>
                <w:color w:val="auto"/>
                <w:sz w:val="24"/>
                <w:lang w:val="en-US" w:eastAsia="zh-CN"/>
              </w:rPr>
            </w:pPr>
            <w:r>
              <w:rPr>
                <w:rFonts w:hint="eastAsia" w:ascii="宋体" w:hAnsi="宋体" w:eastAsia="宋体" w:cs="Times New Roman"/>
                <w:color w:val="auto"/>
                <w:sz w:val="24"/>
                <w:szCs w:val="24"/>
                <w:lang w:eastAsia="zh-CN"/>
              </w:rPr>
              <w:t>所供产品符合《节能产品政府采购品目清单》内强制采购（标记★符号）节能产品必须强制采购；优先采购属于品目清单范围（非标记★符号的节能产品），且具有认证机构出具的、处于有效期之内的节能产品认证证书和环境标志产品认证证书的产品（根据《国务院办公厅关于建立政府强制采购节能产品制度的通知》（国办发[2007]51号）和财政部、发展改革委发布的《节能产品政府采购实施意见》（财库[2004]185号）、《财政部、发展改革委关于调整节能产品政府采购清单的通知》以及《关于调整优化节能产品、环境标志产品政府采购执行机制的通知》（财库〔2019〕9号、18号、19号）最新的规定执行国家有关节能环保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020" w:type="dxa"/>
            <w:tcBorders>
              <w:tl2br w:val="nil"/>
              <w:tr2bl w:val="nil"/>
            </w:tcBorders>
            <w:vAlign w:val="center"/>
          </w:tcPr>
          <w:p>
            <w:pPr>
              <w:adjustRightInd w:val="0"/>
              <w:snapToGrid w:val="0"/>
              <w:spacing w:line="360" w:lineRule="auto"/>
              <w:jc w:val="center"/>
              <w:rPr>
                <w:rFonts w:hint="eastAsia" w:ascii="宋体" w:hAnsi="宋体" w:cs="宋体"/>
                <w:color w:val="auto"/>
                <w:sz w:val="24"/>
                <w:szCs w:val="24"/>
              </w:rPr>
            </w:pPr>
          </w:p>
        </w:tc>
        <w:tc>
          <w:tcPr>
            <w:tcW w:w="2150" w:type="dxa"/>
            <w:tcBorders>
              <w:tl2br w:val="nil"/>
              <w:tr2bl w:val="nil"/>
            </w:tcBorders>
            <w:vAlign w:val="center"/>
          </w:tcPr>
          <w:p>
            <w:pPr>
              <w:spacing w:line="360" w:lineRule="auto"/>
              <w:jc w:val="center"/>
              <w:rPr>
                <w:rFonts w:hint="eastAsia" w:ascii="宋体" w:hAnsi="宋体" w:cs="宋体"/>
                <w:b/>
                <w:bCs/>
                <w:color w:val="auto"/>
                <w:sz w:val="24"/>
              </w:rPr>
            </w:pPr>
            <w:r>
              <w:rPr>
                <w:rFonts w:hint="eastAsia" w:ascii="宋体" w:hAnsi="宋体"/>
                <w:color w:val="auto"/>
                <w:szCs w:val="21"/>
              </w:rPr>
              <w:t>政府采购</w:t>
            </w:r>
            <w:r>
              <w:rPr>
                <w:rFonts w:hint="eastAsia" w:ascii="宋体" w:hAnsi="宋体" w:cs="宋体"/>
                <w:bCs/>
                <w:color w:val="auto"/>
                <w:kern w:val="0"/>
                <w:szCs w:val="21"/>
              </w:rPr>
              <w:t>支持</w:t>
            </w:r>
            <w:r>
              <w:rPr>
                <w:rFonts w:hint="eastAsia" w:ascii="宋体" w:hAnsi="宋体"/>
                <w:color w:val="auto"/>
                <w:szCs w:val="21"/>
              </w:rPr>
              <w:t>中小企业发展</w:t>
            </w:r>
          </w:p>
        </w:tc>
        <w:tc>
          <w:tcPr>
            <w:tcW w:w="4920" w:type="dxa"/>
            <w:tcBorders>
              <w:tl2br w:val="nil"/>
              <w:tr2bl w:val="nil"/>
            </w:tcBorders>
            <w:vAlign w:val="center"/>
          </w:tcPr>
          <w:p>
            <w:pPr>
              <w:adjustRightInd w:val="0"/>
              <w:snapToGrid w:val="0"/>
              <w:spacing w:before="156" w:beforeLines="50" w:line="360" w:lineRule="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(1)根据财政部、工业和信息化部制定的《关于印发《政府采购促进中小企业发展管理办法》的通知》（财库〔2020〕46号）、《关于进一步加大政府采购支持中小企业力度的通知》（财库〔2022〕19号）规定执行；</w:t>
            </w:r>
          </w:p>
          <w:p>
            <w:pPr>
              <w:adjustRightInd w:val="0"/>
              <w:snapToGrid w:val="0"/>
              <w:spacing w:before="156" w:beforeLines="50" w:line="360" w:lineRule="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 xml:space="preserve">(2)价格扣除幅度：价格给予 </w:t>
            </w:r>
            <w:r>
              <w:rPr>
                <w:rFonts w:hint="eastAsia" w:ascii="宋体" w:hAnsi="宋体" w:eastAsia="宋体" w:cs="Times New Roman"/>
                <w:color w:val="auto"/>
                <w:sz w:val="24"/>
                <w:szCs w:val="24"/>
                <w:lang w:val="en-US" w:eastAsia="zh-CN"/>
              </w:rPr>
              <w:t>10</w:t>
            </w:r>
            <w:r>
              <w:rPr>
                <w:rFonts w:hint="eastAsia" w:ascii="宋体" w:hAnsi="宋体" w:eastAsia="宋体" w:cs="Times New Roman"/>
                <w:color w:val="auto"/>
                <w:sz w:val="24"/>
                <w:szCs w:val="24"/>
                <w:lang w:eastAsia="zh-CN"/>
              </w:rPr>
              <w:t xml:space="preserve"> %的扣除。</w:t>
            </w:r>
          </w:p>
          <w:p>
            <w:pPr>
              <w:adjustRightInd w:val="0"/>
              <w:snapToGrid w:val="0"/>
              <w:spacing w:before="156" w:beforeLines="50" w:line="360" w:lineRule="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专门面向中小企业采购的项目或者采购包，不再执行价格评审优惠的扶持政策。</w:t>
            </w:r>
          </w:p>
          <w:p>
            <w:pPr>
              <w:adjustRightInd w:val="0"/>
              <w:snapToGrid w:val="0"/>
              <w:spacing w:before="156" w:beforeLines="50" w:line="360" w:lineRule="auto"/>
              <w:rPr>
                <w:rFonts w:hint="eastAsia" w:ascii="宋体" w:hAnsi="宋体" w:cs="宋体"/>
                <w:b/>
                <w:bCs/>
                <w:color w:val="auto"/>
                <w:sz w:val="24"/>
                <w:lang w:val="en-US" w:eastAsia="zh-CN"/>
              </w:rPr>
            </w:pPr>
            <w:r>
              <w:rPr>
                <w:rFonts w:hint="eastAsia" w:ascii="宋体" w:hAnsi="宋体" w:eastAsia="宋体" w:cs="Times New Roman"/>
                <w:color w:val="auto"/>
                <w:sz w:val="24"/>
                <w:szCs w:val="24"/>
                <w:lang w:eastAsia="zh-CN"/>
              </w:rPr>
              <w:t>本项目所属行业：制造业。</w:t>
            </w:r>
          </w:p>
        </w:tc>
      </w:tr>
    </w:tbl>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p>
    <w:p>
      <w:pPr>
        <w:adjustRightInd w:val="0"/>
        <w:snapToGrid w:val="0"/>
        <w:spacing w:line="360" w:lineRule="auto"/>
        <w:ind w:firstLine="3823" w:firstLineChars="1190"/>
        <w:outlineLvl w:val="9"/>
        <w:rPr>
          <w:rFonts w:hint="eastAsia" w:ascii="宋体" w:hAnsi="宋体" w:cs="宋体"/>
          <w:b/>
          <w:color w:val="auto"/>
          <w:sz w:val="32"/>
          <w:szCs w:val="32"/>
        </w:rPr>
      </w:pPr>
      <w:r>
        <w:rPr>
          <w:rFonts w:hint="eastAsia" w:ascii="宋体" w:hAnsi="宋体" w:cs="宋体"/>
          <w:b/>
          <w:color w:val="auto"/>
          <w:sz w:val="32"/>
          <w:szCs w:val="32"/>
        </w:rPr>
        <w:t>磋商须知正文</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一、说明</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1.适用范围</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本磋商文件仅适用于磋商须知前附表(以下简称</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中所叙述的采购项目。</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2.定义</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2.1 “采购人”是指依法进行政府采购的国家机关、事业单位、团体组织。本次政府采购的采购人名称、地址、电话、联系人见</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 w:val="24"/>
          <w:szCs w:val="24"/>
        </w:rPr>
        <w:t>磋商须知前附表。</w:t>
      </w:r>
    </w:p>
    <w:p>
      <w:pPr>
        <w:adjustRightInd w:val="0"/>
        <w:snapToGrid w:val="0"/>
        <w:spacing w:line="360" w:lineRule="auto"/>
        <w:ind w:firstLine="480" w:firstLineChars="200"/>
        <w:rPr>
          <w:rFonts w:hint="eastAsia" w:ascii="宋体" w:hAnsi="宋体" w:eastAsia="宋体" w:cs="宋体"/>
          <w:bCs/>
          <w:color w:val="auto"/>
          <w:kern w:val="36"/>
          <w:sz w:val="24"/>
          <w:szCs w:val="24"/>
        </w:rPr>
      </w:pPr>
      <w:r>
        <w:rPr>
          <w:rFonts w:hint="eastAsia" w:ascii="宋体" w:hAnsi="宋体" w:eastAsia="宋体" w:cs="宋体"/>
          <w:color w:val="auto"/>
          <w:sz w:val="24"/>
          <w:szCs w:val="24"/>
        </w:rPr>
        <w:t>2.3 “供应商”是指响应磋商文件要求、参加竞争性磋商采购的法人、其他组织或者自然人。</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2.4 “磋商小组”是指</w:t>
      </w:r>
      <w:r>
        <w:rPr>
          <w:rFonts w:hint="eastAsia" w:ascii="宋体" w:hAnsi="宋体" w:eastAsia="宋体" w:cs="宋体"/>
          <w:color w:val="auto"/>
          <w:kern w:val="0"/>
          <w:sz w:val="24"/>
          <w:szCs w:val="24"/>
        </w:rPr>
        <w:t>依据《中华人民共和国政府采购法》和财政部</w:t>
      </w:r>
      <w:r>
        <w:rPr>
          <w:rFonts w:hint="eastAsia" w:ascii="宋体" w:hAnsi="宋体" w:eastAsia="宋体" w:cs="宋体"/>
          <w:bCs/>
          <w:color w:val="auto"/>
          <w:kern w:val="36"/>
          <w:sz w:val="24"/>
          <w:szCs w:val="24"/>
        </w:rPr>
        <w:t>《政府采购非招标采购方式管理办法》有关规定组建，依法依规</w:t>
      </w:r>
      <w:r>
        <w:rPr>
          <w:rFonts w:hint="eastAsia" w:ascii="宋体" w:hAnsi="宋体" w:eastAsia="宋体" w:cs="宋体"/>
          <w:color w:val="auto"/>
          <w:kern w:val="0"/>
          <w:sz w:val="24"/>
          <w:szCs w:val="24"/>
        </w:rPr>
        <w:t>履行其职责和义务的机构。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 “货物”是指各种形态和种类的物品，包括原材料、燃料、</w:t>
      </w:r>
      <w:r>
        <w:rPr>
          <w:rFonts w:hint="eastAsia" w:ascii="宋体" w:hAnsi="宋体" w:cs="宋体"/>
          <w:color w:val="auto"/>
          <w:sz w:val="24"/>
          <w:szCs w:val="24"/>
          <w:lang w:eastAsia="zh-CN"/>
        </w:rPr>
        <w:t>货物</w:t>
      </w:r>
      <w:r>
        <w:rPr>
          <w:rFonts w:hint="eastAsia" w:ascii="宋体" w:hAnsi="宋体" w:eastAsia="宋体" w:cs="宋体"/>
          <w:color w:val="auto"/>
          <w:sz w:val="24"/>
          <w:szCs w:val="24"/>
        </w:rPr>
        <w:t>、产品等。</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 “工程”是指建设工程，包括建筑物和构筑物的新建、改建、扩建、装修、拆除、修缮等。</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 “服务”是指除货物和工程以外的其他政府采购对象。</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 “节能产品”或者“环保产品”是指财政部发布的《节能产品政府采购清单》或者《环境标志产品政府采购清单》的产品。</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 “进口产品”是指通过中国海关报关验放进入中国境内且产自关境外的产品。</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3.供应商的资格要求</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供应商应当符合</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中规定的下列资格条件要求；</w:t>
      </w:r>
    </w:p>
    <w:p>
      <w:pPr>
        <w:adjustRightInd w:val="0"/>
        <w:snapToGrid w:val="0"/>
        <w:spacing w:line="360" w:lineRule="auto"/>
        <w:ind w:firstLine="241" w:firstLineChars="100"/>
        <w:rPr>
          <w:rFonts w:hint="eastAsia" w:ascii="宋体" w:hAnsi="宋体" w:eastAsia="宋体" w:cs="宋体"/>
          <w:b/>
          <w:color w:val="auto"/>
          <w:kern w:val="0"/>
          <w:sz w:val="24"/>
          <w:szCs w:val="24"/>
          <w:lang w:val="zh-CN"/>
        </w:rPr>
      </w:pPr>
      <w:r>
        <w:rPr>
          <w:rFonts w:hint="eastAsia" w:ascii="宋体" w:hAnsi="宋体" w:eastAsia="宋体" w:cs="宋体"/>
          <w:b/>
          <w:color w:val="auto"/>
          <w:sz w:val="24"/>
          <w:szCs w:val="24"/>
        </w:rPr>
        <w:t>（l）供应商基本资格条件：符合</w:t>
      </w:r>
      <w:r>
        <w:rPr>
          <w:rFonts w:hint="eastAsia" w:ascii="宋体" w:hAnsi="宋体" w:eastAsia="宋体" w:cs="宋体"/>
          <w:b/>
          <w:color w:val="auto"/>
          <w:kern w:val="0"/>
          <w:sz w:val="24"/>
          <w:szCs w:val="24"/>
          <w:lang w:val="zh-CN"/>
        </w:rPr>
        <w:t>《中华人民共和国政府采购法》第二十二条第一款规定的：</w:t>
      </w:r>
    </w:p>
    <w:p>
      <w:pPr>
        <w:pStyle w:val="42"/>
        <w:spacing w:before="0" w:beforeAutospacing="0" w:after="0" w:afterAutospacing="0" w:line="36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3.1.1具有独立承担民事责任的能力； </w:t>
      </w:r>
    </w:p>
    <w:p>
      <w:pPr>
        <w:pStyle w:val="42"/>
        <w:spacing w:before="0" w:beforeAutospacing="0" w:after="0" w:afterAutospacing="0" w:line="36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具有履行合同所必需的</w:t>
      </w:r>
      <w:r>
        <w:rPr>
          <w:rFonts w:hint="eastAsia" w:cs="宋体"/>
          <w:color w:val="auto"/>
          <w:sz w:val="24"/>
          <w:szCs w:val="24"/>
          <w:lang w:eastAsia="zh-CN"/>
        </w:rPr>
        <w:t>货物</w:t>
      </w:r>
      <w:r>
        <w:rPr>
          <w:rFonts w:hint="eastAsia" w:ascii="宋体" w:hAnsi="宋体" w:eastAsia="宋体" w:cs="宋体"/>
          <w:color w:val="auto"/>
          <w:sz w:val="24"/>
          <w:szCs w:val="24"/>
        </w:rPr>
        <w:t>和专业技术能力；</w:t>
      </w:r>
    </w:p>
    <w:p>
      <w:pPr>
        <w:pStyle w:val="42"/>
        <w:spacing w:before="0" w:beforeAutospacing="0" w:after="0" w:afterAutospacing="0" w:line="36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参加政府采购活动前三年内，在经营活动中没有重大违法记录；</w:t>
      </w:r>
    </w:p>
    <w:p>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color w:val="auto"/>
          <w:sz w:val="24"/>
          <w:szCs w:val="24"/>
        </w:rPr>
        <w:t>（2）供应商特定资格要求：</w:t>
      </w:r>
    </w:p>
    <w:p>
      <w:pPr>
        <w:pStyle w:val="42"/>
        <w:spacing w:before="0" w:beforeAutospacing="0" w:after="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3.1.4具备有效的营业执照；</w:t>
      </w:r>
    </w:p>
    <w:p>
      <w:pPr>
        <w:pStyle w:val="42"/>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3.1.5会计事务所出具的20</w:t>
      </w:r>
      <w:r>
        <w:rPr>
          <w:rFonts w:hint="eastAsia" w:cs="宋体"/>
          <w:color w:val="auto"/>
          <w:sz w:val="24"/>
          <w:szCs w:val="24"/>
          <w:lang w:val="en-US" w:eastAsia="zh-CN"/>
        </w:rPr>
        <w:t>21</w:t>
      </w:r>
      <w:r>
        <w:rPr>
          <w:rFonts w:hint="eastAsia" w:ascii="宋体" w:hAnsi="宋体" w:eastAsia="宋体" w:cs="宋体"/>
          <w:color w:val="auto"/>
          <w:sz w:val="24"/>
          <w:szCs w:val="24"/>
          <w:lang w:val="en-US" w:eastAsia="zh-CN"/>
        </w:rPr>
        <w:t>年度财务审计报告或提供银行出具的资信证明；</w:t>
      </w:r>
    </w:p>
    <w:p>
      <w:pPr>
        <w:pStyle w:val="42"/>
        <w:spacing w:before="0" w:beforeAutospacing="0" w:after="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3.1.6税务部门出具的202</w:t>
      </w:r>
      <w:r>
        <w:rPr>
          <w:rFonts w:hint="eastAsia" w:cs="宋体"/>
          <w:color w:val="auto"/>
          <w:sz w:val="24"/>
          <w:szCs w:val="24"/>
          <w:lang w:val="en-US" w:eastAsia="zh-CN"/>
        </w:rPr>
        <w:t>1</w:t>
      </w:r>
      <w:r>
        <w:rPr>
          <w:rFonts w:hint="eastAsia" w:ascii="宋体" w:hAnsi="宋体" w:eastAsia="宋体" w:cs="宋体"/>
          <w:color w:val="auto"/>
          <w:sz w:val="24"/>
          <w:szCs w:val="24"/>
          <w:lang w:val="en-US" w:eastAsia="zh-CN"/>
        </w:rPr>
        <w:t>年依法纳税证明资料</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 xml:space="preserve">  </w:t>
      </w:r>
    </w:p>
    <w:p>
      <w:pPr>
        <w:pStyle w:val="42"/>
        <w:spacing w:before="0" w:beforeAutospacing="0" w:after="0" w:afterAutospacing="0" w:line="360" w:lineRule="auto"/>
        <w:ind w:firstLine="480" w:firstLineChars="200"/>
        <w:rPr>
          <w:rFonts w:hint="eastAsia" w:cs="宋体"/>
          <w:color w:val="auto"/>
          <w:sz w:val="24"/>
          <w:szCs w:val="24"/>
          <w:lang w:val="en-US" w:eastAsia="zh-CN"/>
        </w:rPr>
      </w:pPr>
      <w:r>
        <w:rPr>
          <w:rFonts w:hint="eastAsia" w:eastAsia="宋体" w:cs="宋体"/>
          <w:color w:val="auto"/>
          <w:sz w:val="24"/>
          <w:szCs w:val="24"/>
          <w:lang w:val="en-US" w:eastAsia="zh-CN"/>
        </w:rPr>
        <w:t>3.1.</w:t>
      </w:r>
      <w:r>
        <w:rPr>
          <w:rFonts w:hint="eastAsia" w:cs="宋体"/>
          <w:color w:val="auto"/>
          <w:sz w:val="24"/>
          <w:szCs w:val="24"/>
          <w:lang w:val="en-US" w:eastAsia="zh-CN"/>
        </w:rPr>
        <w:t>7须提供供应商和项目团队成员2019-2021年未受到监管处罚承诺函原件；</w:t>
      </w:r>
    </w:p>
    <w:p>
      <w:pPr>
        <w:pStyle w:val="42"/>
        <w:spacing w:before="0" w:beforeAutospacing="0" w:after="0" w:afterAutospacing="0" w:line="360" w:lineRule="auto"/>
        <w:ind w:firstLine="480" w:firstLineChars="200"/>
        <w:rPr>
          <w:rFonts w:hint="eastAsia" w:ascii="宋体" w:hAnsi="宋体" w:eastAsia="宋体" w:cs="宋体"/>
          <w:color w:val="auto"/>
          <w:sz w:val="24"/>
          <w:szCs w:val="24"/>
          <w:lang w:val="en-US" w:eastAsia="zh-CN"/>
        </w:rPr>
      </w:pPr>
      <w:r>
        <w:rPr>
          <w:rFonts w:hint="eastAsia" w:cs="宋体"/>
          <w:color w:val="auto"/>
          <w:sz w:val="24"/>
          <w:szCs w:val="24"/>
          <w:lang w:val="en-US" w:eastAsia="zh-CN"/>
        </w:rPr>
        <w:t>3.1.8</w:t>
      </w:r>
      <w:r>
        <w:rPr>
          <w:rFonts w:hint="eastAsia" w:eastAsia="宋体" w:cs="宋体"/>
          <w:color w:val="auto"/>
          <w:sz w:val="24"/>
          <w:szCs w:val="24"/>
          <w:lang w:val="en-US" w:eastAsia="zh-CN"/>
        </w:rPr>
        <w:t>具备本次采购项目能力的供应商，并在人员、资金、</w:t>
      </w:r>
      <w:r>
        <w:rPr>
          <w:rFonts w:hint="eastAsia" w:cs="宋体"/>
          <w:color w:val="auto"/>
          <w:sz w:val="24"/>
          <w:szCs w:val="24"/>
          <w:lang w:val="en-US" w:eastAsia="zh-CN"/>
        </w:rPr>
        <w:t>货物</w:t>
      </w:r>
      <w:r>
        <w:rPr>
          <w:rFonts w:hint="eastAsia" w:eastAsia="宋体" w:cs="宋体"/>
          <w:color w:val="auto"/>
          <w:sz w:val="24"/>
          <w:szCs w:val="24"/>
          <w:lang w:val="en-US" w:eastAsia="zh-CN"/>
        </w:rPr>
        <w:t>等方面具有承担本项目供货的能力；</w:t>
      </w:r>
      <w:r>
        <w:rPr>
          <w:rFonts w:hint="eastAsia" w:ascii="宋体" w:hAnsi="宋体" w:eastAsia="宋体" w:cs="宋体"/>
          <w:color w:val="auto"/>
          <w:sz w:val="24"/>
          <w:szCs w:val="24"/>
          <w:lang w:val="en-US" w:eastAsia="zh-CN"/>
        </w:rPr>
        <w:t xml:space="preserve">  </w:t>
      </w:r>
    </w:p>
    <w:p>
      <w:pPr>
        <w:pStyle w:val="42"/>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cs="宋体"/>
          <w:color w:val="auto"/>
          <w:sz w:val="24"/>
          <w:szCs w:val="24"/>
          <w:lang w:val="en-US" w:eastAsia="zh-CN"/>
        </w:rPr>
        <w:t>9</w:t>
      </w:r>
      <w:r>
        <w:rPr>
          <w:rFonts w:hint="eastAsia" w:eastAsia="宋体" w:cs="宋体"/>
          <w:color w:val="auto"/>
          <w:sz w:val="24"/>
          <w:szCs w:val="24"/>
          <w:lang w:val="en-US" w:eastAsia="zh-CN"/>
        </w:rPr>
        <w:t>供应商分别在“信用中国”（www.creditchina.gov.cn）网上查询本公司未被列入失信被执行人、</w:t>
      </w:r>
      <w:r>
        <w:rPr>
          <w:rFonts w:hint="eastAsia" w:cs="宋体"/>
          <w:color w:val="auto"/>
          <w:sz w:val="24"/>
          <w:szCs w:val="24"/>
          <w:lang w:val="en-US" w:eastAsia="zh-CN"/>
        </w:rPr>
        <w:t>重大税收违法失信主体</w:t>
      </w:r>
      <w:r>
        <w:rPr>
          <w:rFonts w:hint="eastAsia" w:eastAsia="宋体" w:cs="宋体"/>
          <w:color w:val="auto"/>
          <w:sz w:val="24"/>
          <w:szCs w:val="24"/>
          <w:lang w:val="en-US" w:eastAsia="zh-CN"/>
        </w:rPr>
        <w:t>、“中国政府采购网”</w:t>
      </w:r>
      <w:r>
        <w:rPr>
          <w:rFonts w:hint="eastAsia" w:cs="宋体"/>
          <w:color w:val="auto"/>
          <w:sz w:val="24"/>
          <w:szCs w:val="24"/>
          <w:lang w:val="en-US" w:eastAsia="zh-CN"/>
        </w:rPr>
        <w:t>；</w:t>
      </w:r>
      <w:r>
        <w:rPr>
          <w:rFonts w:hint="eastAsia" w:eastAsia="宋体" w:cs="宋体"/>
          <w:color w:val="auto"/>
          <w:sz w:val="24"/>
          <w:szCs w:val="24"/>
          <w:lang w:val="en-US" w:eastAsia="zh-CN"/>
        </w:rPr>
        <w:t>（ www.ccgp.gov.cn）网上查询本公司未被列入政府采购严重违法失信行为记录名单（提供查询结果网页截图并加盖供应商公章，网页打印件须自招标公告发布之日起至截止日内从上述网站中打印）；</w:t>
      </w:r>
    </w:p>
    <w:p>
      <w:pPr>
        <w:pStyle w:val="42"/>
        <w:spacing w:before="0" w:beforeAutospacing="0" w:after="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单位负责人为同一人或者存在直接控股、管理关系的不同供货商，不得参加同一合同项下的政府采购活动</w:t>
      </w:r>
      <w:r>
        <w:rPr>
          <w:rFonts w:hint="eastAsia" w:eastAsia="宋体" w:cs="宋体"/>
          <w:color w:val="auto"/>
          <w:sz w:val="24"/>
          <w:szCs w:val="24"/>
          <w:lang w:val="en-US" w:eastAsia="zh-CN"/>
        </w:rPr>
        <w:t>；</w:t>
      </w:r>
    </w:p>
    <w:p>
      <w:pPr>
        <w:pStyle w:val="42"/>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3.1.1</w:t>
      </w:r>
      <w:r>
        <w:rPr>
          <w:rFonts w:hint="eastAsia" w:cs="宋体"/>
          <w:color w:val="auto"/>
          <w:sz w:val="24"/>
          <w:szCs w:val="24"/>
          <w:lang w:val="en-US" w:eastAsia="zh-CN"/>
        </w:rPr>
        <w:t>1</w:t>
      </w:r>
      <w:r>
        <w:rPr>
          <w:rFonts w:hint="eastAsia" w:ascii="宋体" w:hAnsi="宋体" w:eastAsia="宋体" w:cs="宋体"/>
          <w:color w:val="auto"/>
          <w:sz w:val="24"/>
          <w:szCs w:val="24"/>
          <w:lang w:val="en-US" w:eastAsia="zh-CN"/>
        </w:rPr>
        <w:t>采购人保留对供应商进一步实地考察的权利，经考察供应商申请资料中关于公告所要求内容与事实不符的，采购人有权拒绝供应商的投标</w:t>
      </w:r>
      <w:r>
        <w:rPr>
          <w:rFonts w:hint="eastAsia" w:ascii="宋体" w:hAnsi="宋体" w:eastAsia="宋体" w:cs="宋体"/>
          <w:color w:val="auto"/>
          <w:sz w:val="24"/>
          <w:szCs w:val="24"/>
        </w:rPr>
        <w:t>；</w:t>
      </w:r>
    </w:p>
    <w:p>
      <w:pPr>
        <w:pStyle w:val="42"/>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3.1.1</w:t>
      </w:r>
      <w:r>
        <w:rPr>
          <w:rFonts w:hint="eastAsia" w:cs="宋体"/>
          <w:color w:val="auto"/>
          <w:sz w:val="24"/>
          <w:szCs w:val="24"/>
          <w:lang w:val="en-US" w:eastAsia="zh-CN"/>
        </w:rPr>
        <w:t>2</w:t>
      </w:r>
      <w:r>
        <w:rPr>
          <w:rFonts w:hint="eastAsia" w:ascii="宋体" w:hAnsi="宋体" w:eastAsia="宋体" w:cs="宋体"/>
          <w:color w:val="auto"/>
          <w:sz w:val="24"/>
          <w:szCs w:val="24"/>
        </w:rPr>
        <w:t>本项目不接受联合体投标。</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供应商不得存在下列情形之一：</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（l）与采购人、采购代理机构存在</w:t>
      </w:r>
      <w:r>
        <w:rPr>
          <w:rFonts w:hint="eastAsia" w:ascii="宋体" w:hAnsi="宋体" w:eastAsia="宋体" w:cs="宋体"/>
          <w:bCs/>
          <w:color w:val="auto"/>
          <w:sz w:val="24"/>
          <w:szCs w:val="24"/>
        </w:rPr>
        <w:t>隶属关系或者其他利害关系</w:t>
      </w:r>
      <w:r>
        <w:rPr>
          <w:rFonts w:hint="eastAsia" w:ascii="宋体" w:hAnsi="宋体" w:eastAsia="宋体" w:cs="宋体"/>
          <w:color w:val="auto"/>
          <w:sz w:val="24"/>
          <w:szCs w:val="24"/>
        </w:rPr>
        <w:t>。</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（2）与其他供应商的法定代表人（或者负责人）为同一人，或者与其他供应商存在控股、关联关系。</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Cs/>
          <w:color w:val="auto"/>
          <w:sz w:val="24"/>
          <w:szCs w:val="24"/>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eastAsia="宋体" w:cs="宋体"/>
          <w:color w:val="auto"/>
          <w:sz w:val="24"/>
          <w:szCs w:val="24"/>
        </w:rPr>
        <w:t>财政部门认定的其他重大违法记录。</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4.参与竞争性磋商采购活动的费用 </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 无论</w:t>
      </w:r>
      <w:r>
        <w:rPr>
          <w:rFonts w:hint="eastAsia" w:ascii="宋体" w:hAnsi="宋体" w:eastAsia="宋体" w:cs="宋体"/>
          <w:bCs/>
          <w:color w:val="auto"/>
          <w:sz w:val="24"/>
          <w:szCs w:val="24"/>
        </w:rPr>
        <w:t>竞争性磋商采购活动</w:t>
      </w:r>
      <w:r>
        <w:rPr>
          <w:rFonts w:hint="eastAsia" w:ascii="宋体" w:hAnsi="宋体" w:eastAsia="宋体" w:cs="宋体"/>
          <w:color w:val="auto"/>
          <w:sz w:val="24"/>
          <w:szCs w:val="24"/>
        </w:rPr>
        <w:t>的结果如何，供应商应自行承担所有与本次竞争性磋商采购活动有关的全部费用。</w:t>
      </w:r>
    </w:p>
    <w:p>
      <w:pPr>
        <w:pStyle w:val="24"/>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color w:val="auto"/>
          <w:sz w:val="24"/>
          <w:szCs w:val="24"/>
        </w:rPr>
        <w:t>5．</w:t>
      </w:r>
      <w:r>
        <w:rPr>
          <w:rFonts w:hint="eastAsia" w:ascii="宋体" w:hAnsi="宋体" w:eastAsia="宋体" w:cs="宋体"/>
          <w:b/>
          <w:bCs/>
          <w:color w:val="auto"/>
          <w:sz w:val="24"/>
          <w:szCs w:val="24"/>
        </w:rPr>
        <w:t>授权委托</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供应商代表为供应商法定代表人的，应持有法定代表人身份证明。供应商代表不是供应商法定代表人的，应持有法定代表人授权书，并附法定代表人身份证明。请供应商的法人代表（或授权代表）凭法人证明（或授权委托书原件）及身份证原件准时参加磋商会议。</w:t>
      </w:r>
    </w:p>
    <w:p>
      <w:pPr>
        <w:pStyle w:val="24"/>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6．联合体形式</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6.1除</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中另有规定，本次磋商采购活动不接受为联合体形式的供应商。</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6.2供应商为联合体形式的，除应符合本章第3条规定外，还应遵守以下规定：</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（l）联合体各方必须签订联合体协议书，明确联合体牵头人和各方的义务、工作、合同工作量比例；</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（2）联合体各方均应当符合本章第3.1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规定的供应商基本资格条件；</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（3）除</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中另有规定，联合体各方中至少有一方应当符合本章第3.1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规定的供应商特定资格条件；</w:t>
      </w:r>
    </w:p>
    <w:p>
      <w:pPr>
        <w:adjustRightInd w:val="0"/>
        <w:snapToGrid w:val="0"/>
        <w:spacing w:line="360" w:lineRule="auto"/>
        <w:ind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lang w:val="zh-CN"/>
        </w:rPr>
        <w:t>联合体各方不得再单独或与其他供应商组成新的联合体参加同一项目的采购活动。</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7.现场勘察</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7.1供应商应按</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中规定对采购项目现场和周围环境的现场考察。</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7.2勘察现场的费用由供应商自己承担，勘察期间所发生的人身伤害及财产损失由供应商自己负责。</w:t>
      </w:r>
    </w:p>
    <w:p>
      <w:pPr>
        <w:adjustRightInd w:val="0"/>
        <w:snapToGrid w:val="0"/>
        <w:spacing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7.3采购人不对供应商据此而做出的推论、理解和结论负责。一旦成交，供应商不得以任何借口，提出额外补偿，或延长合同期限的要求。</w:t>
      </w:r>
    </w:p>
    <w:p>
      <w:pPr>
        <w:adjustRightInd w:val="0"/>
        <w:snapToGrid w:val="0"/>
        <w:spacing w:line="360" w:lineRule="auto"/>
        <w:jc w:val="left"/>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8.采购进口产品</w:t>
      </w:r>
    </w:p>
    <w:p>
      <w:pPr>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8.1除</w:t>
      </w:r>
      <w:r>
        <w:rPr>
          <w:rFonts w:hint="eastAsia" w:ascii="宋体" w:hAnsi="宋体" w:eastAsia="宋体" w:cs="宋体"/>
          <w:b/>
          <w:color w:val="auto"/>
          <w:sz w:val="24"/>
          <w:szCs w:val="24"/>
        </w:rPr>
        <w:t>磋商文件前附表</w:t>
      </w:r>
      <w:r>
        <w:rPr>
          <w:rFonts w:hint="eastAsia" w:ascii="宋体" w:hAnsi="宋体" w:eastAsia="宋体" w:cs="宋体"/>
          <w:color w:val="auto"/>
          <w:sz w:val="24"/>
          <w:szCs w:val="24"/>
        </w:rPr>
        <w:t>另有规定外，本项目</w:t>
      </w:r>
      <w:r>
        <w:rPr>
          <w:rFonts w:hint="eastAsia" w:ascii="宋体" w:hAnsi="宋体" w:eastAsia="宋体" w:cs="宋体"/>
          <w:color w:val="auto"/>
          <w:kern w:val="0"/>
          <w:sz w:val="24"/>
          <w:szCs w:val="24"/>
        </w:rPr>
        <w:t>拒绝进口产品参加</w:t>
      </w:r>
      <w:r>
        <w:rPr>
          <w:rFonts w:hint="eastAsia" w:ascii="宋体" w:hAnsi="宋体" w:eastAsia="宋体" w:cs="宋体"/>
          <w:color w:val="auto"/>
          <w:sz w:val="24"/>
          <w:szCs w:val="24"/>
        </w:rPr>
        <w:t>竞争性磋商采购活动</w:t>
      </w:r>
      <w:r>
        <w:rPr>
          <w:rFonts w:hint="eastAsia" w:ascii="宋体" w:hAnsi="宋体" w:eastAsia="宋体" w:cs="宋体"/>
          <w:color w:val="auto"/>
          <w:kern w:val="0"/>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8.2</w:t>
      </w:r>
      <w:r>
        <w:rPr>
          <w:rFonts w:hint="eastAsia" w:ascii="宋体" w:hAnsi="宋体" w:eastAsia="宋体" w:cs="宋体"/>
          <w:color w:val="auto"/>
          <w:sz w:val="24"/>
          <w:szCs w:val="24"/>
        </w:rPr>
        <w:t>本章第8.1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同意购买进口产品的，</w:t>
      </w:r>
      <w:r>
        <w:rPr>
          <w:rFonts w:hint="eastAsia" w:ascii="宋体" w:hAnsi="宋体" w:eastAsia="宋体" w:cs="宋体"/>
          <w:color w:val="auto"/>
          <w:sz w:val="24"/>
          <w:szCs w:val="24"/>
        </w:rPr>
        <w:t>本项目</w:t>
      </w:r>
      <w:r>
        <w:rPr>
          <w:rFonts w:hint="eastAsia" w:ascii="宋体" w:hAnsi="宋体" w:eastAsia="宋体" w:cs="宋体"/>
          <w:color w:val="auto"/>
          <w:kern w:val="0"/>
          <w:sz w:val="24"/>
          <w:szCs w:val="24"/>
          <w:lang w:val="zh-CN"/>
        </w:rPr>
        <w:t>采购活动</w:t>
      </w:r>
      <w:r>
        <w:rPr>
          <w:rFonts w:hint="eastAsia" w:ascii="宋体" w:hAnsi="宋体" w:eastAsia="宋体" w:cs="宋体"/>
          <w:color w:val="auto"/>
          <w:kern w:val="0"/>
          <w:sz w:val="24"/>
          <w:szCs w:val="24"/>
        </w:rPr>
        <w:t>不限制满足</w:t>
      </w:r>
      <w:r>
        <w:rPr>
          <w:rFonts w:hint="eastAsia" w:ascii="宋体" w:hAnsi="宋体" w:eastAsia="宋体" w:cs="宋体"/>
          <w:color w:val="auto"/>
          <w:sz w:val="24"/>
          <w:szCs w:val="24"/>
        </w:rPr>
        <w:t>磋商文件要求</w:t>
      </w:r>
      <w:r>
        <w:rPr>
          <w:rFonts w:hint="eastAsia" w:ascii="宋体" w:hAnsi="宋体" w:eastAsia="宋体" w:cs="宋体"/>
          <w:color w:val="auto"/>
          <w:kern w:val="0"/>
          <w:sz w:val="24"/>
          <w:szCs w:val="24"/>
        </w:rPr>
        <w:t>的国内产品参与</w:t>
      </w:r>
      <w:r>
        <w:rPr>
          <w:rFonts w:hint="eastAsia" w:ascii="宋体" w:hAnsi="宋体" w:eastAsia="宋体" w:cs="宋体"/>
          <w:color w:val="auto"/>
          <w:sz w:val="24"/>
          <w:szCs w:val="24"/>
        </w:rPr>
        <w:t>竞争性磋商采购活动</w:t>
      </w:r>
      <w:r>
        <w:rPr>
          <w:rFonts w:hint="eastAsia" w:ascii="宋体" w:hAnsi="宋体" w:eastAsia="宋体" w:cs="宋体"/>
          <w:color w:val="auto"/>
          <w:kern w:val="0"/>
          <w:sz w:val="24"/>
          <w:szCs w:val="24"/>
        </w:rPr>
        <w:t>。</w:t>
      </w:r>
    </w:p>
    <w:p>
      <w:pPr>
        <w:pStyle w:val="24"/>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 偏离</w:t>
      </w:r>
    </w:p>
    <w:p>
      <w:pPr>
        <w:pStyle w:val="42"/>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97" w:rightChars="46"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.1本条所称</w:t>
      </w:r>
      <w:r>
        <w:rPr>
          <w:rFonts w:hint="eastAsia" w:ascii="宋体" w:hAnsi="宋体" w:eastAsia="宋体" w:cs="宋体"/>
          <w:color w:val="auto"/>
          <w:sz w:val="24"/>
          <w:szCs w:val="24"/>
        </w:rPr>
        <w:t>偏离为响应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对</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的偏离，即不满足、或不响应</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的要求。偏离分为对</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的实质性要求条款偏离和对</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的一般商务和技术条款（参数）偏离。</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2除法律、法规和规章规定外，磋商文件中用“拒绝”、“不接受”、“无效”、“不得”等文字规定或标注“★”符号的条款为实质性要求条款（即重要条款），对其中任何一条的偏离(即不满足、或不响应)，在评审时将其视为无效响应。未用上述文字规定或符号标注的条款为非实质性要求条款(即一般条款)。</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.3一般商务和技术条款（参数），</w:t>
      </w:r>
      <w:r>
        <w:rPr>
          <w:rFonts w:hint="eastAsia" w:ascii="宋体" w:hAnsi="宋体" w:eastAsia="宋体" w:cs="宋体"/>
          <w:b/>
          <w:bCs/>
          <w:color w:val="auto"/>
          <w:sz w:val="24"/>
          <w:szCs w:val="24"/>
          <w:lang w:eastAsia="zh-CN"/>
        </w:rPr>
        <w:t>无</w:t>
      </w:r>
      <w:r>
        <w:rPr>
          <w:rFonts w:hint="eastAsia" w:ascii="宋体" w:hAnsi="宋体" w:eastAsia="宋体" w:cs="宋体"/>
          <w:b/>
          <w:bCs/>
          <w:color w:val="auto"/>
          <w:sz w:val="24"/>
          <w:szCs w:val="24"/>
        </w:rPr>
        <w:t>偏离。</w:t>
      </w:r>
    </w:p>
    <w:p>
      <w:pPr>
        <w:adjustRightInd w:val="0"/>
        <w:snapToGrid w:val="0"/>
        <w:spacing w:line="360" w:lineRule="auto"/>
        <w:ind w:left="906" w:hanging="906" w:hangingChars="376"/>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二、磋商文件</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10</w:t>
      </w:r>
      <w:r>
        <w:rPr>
          <w:rFonts w:hint="eastAsia" w:ascii="宋体" w:hAnsi="宋体" w:eastAsia="宋体" w:cs="宋体"/>
          <w:b/>
          <w:bCs/>
          <w:color w:val="auto"/>
          <w:sz w:val="24"/>
          <w:szCs w:val="24"/>
        </w:rPr>
        <w:t>．磋商文件的组成</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.1 磋商文件由下列文件组成：</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第一章 磋商公告</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第二章 磋商须知</w:t>
      </w:r>
    </w:p>
    <w:p>
      <w:pPr>
        <w:pStyle w:val="24"/>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第三章 磋商办法</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第四章 合同条款及格式</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第五章 采购需求</w:t>
      </w:r>
      <w:r>
        <w:rPr>
          <w:rFonts w:hint="eastAsia" w:hAnsi="宋体" w:cs="宋体"/>
          <w:color w:val="auto"/>
          <w:sz w:val="24"/>
          <w:szCs w:val="24"/>
          <w:lang w:eastAsia="zh-CN"/>
        </w:rPr>
        <w:t>及参数</w:t>
      </w:r>
    </w:p>
    <w:p>
      <w:pPr>
        <w:pStyle w:val="24"/>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第六章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eastAsia="zh-CN"/>
        </w:rPr>
        <w:t>响应文件组成</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.2</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kern w:val="0"/>
          <w:sz w:val="24"/>
          <w:szCs w:val="24"/>
        </w:rPr>
        <w:t>提交首次响应文件截止时间前对磋商文件澄清或者修改内容，为磋商文件的组成部分。</w:t>
      </w:r>
    </w:p>
    <w:p>
      <w:pPr>
        <w:pStyle w:val="24"/>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.3</w:t>
      </w:r>
      <w:r>
        <w:rPr>
          <w:rFonts w:hint="eastAsia" w:ascii="宋体" w:hAnsi="宋体" w:eastAsia="宋体" w:cs="宋体"/>
          <w:color w:val="auto"/>
          <w:kern w:val="0"/>
          <w:sz w:val="24"/>
          <w:szCs w:val="24"/>
        </w:rPr>
        <w:t>磋商小组根据与供应商磋商情况可能实质性变动的内容，包括采购需求中的技术、服务要求以及合同条款，</w:t>
      </w:r>
      <w:r>
        <w:rPr>
          <w:rFonts w:hint="eastAsia" w:ascii="宋体" w:hAnsi="宋体" w:eastAsia="宋体" w:cs="宋体"/>
          <w:color w:val="auto"/>
          <w:sz w:val="24"/>
          <w:szCs w:val="24"/>
        </w:rPr>
        <w:t>在</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中明确。</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.4供应商应仔细阅读</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的全部内容，按照</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要求编制响应文件。任何对</w:t>
      </w:r>
      <w:r>
        <w:rPr>
          <w:rFonts w:hint="eastAsia" w:ascii="宋体" w:hAnsi="宋体" w:eastAsia="宋体" w:cs="宋体"/>
          <w:bCs/>
          <w:color w:val="auto"/>
          <w:sz w:val="24"/>
          <w:szCs w:val="24"/>
        </w:rPr>
        <w:t>磋商文件</w:t>
      </w:r>
      <w:r>
        <w:rPr>
          <w:rFonts w:hint="eastAsia" w:ascii="宋体" w:hAnsi="宋体" w:eastAsia="宋体" w:cs="宋体"/>
          <w:color w:val="auto"/>
          <w:sz w:val="24"/>
          <w:szCs w:val="24"/>
        </w:rPr>
        <w:t>的忽略或误解不能作为响应文件存在缺陷或瑕疵的理由，其风险由供应商承担。</w:t>
      </w:r>
    </w:p>
    <w:p>
      <w:pPr>
        <w:pStyle w:val="24"/>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.递</w:t>
      </w:r>
      <w:r>
        <w:rPr>
          <w:rFonts w:hint="eastAsia" w:ascii="宋体" w:hAnsi="宋体" w:eastAsia="宋体" w:cs="宋体"/>
          <w:b/>
          <w:color w:val="auto"/>
          <w:kern w:val="0"/>
          <w:sz w:val="24"/>
          <w:szCs w:val="24"/>
        </w:rPr>
        <w:t>交响应文件</w:t>
      </w:r>
      <w:r>
        <w:rPr>
          <w:rFonts w:hint="eastAsia" w:ascii="宋体" w:hAnsi="宋体" w:eastAsia="宋体" w:cs="宋体"/>
          <w:b/>
          <w:color w:val="auto"/>
          <w:sz w:val="24"/>
          <w:szCs w:val="24"/>
        </w:rPr>
        <w:t>的</w:t>
      </w:r>
      <w:r>
        <w:rPr>
          <w:rFonts w:hint="eastAsia" w:ascii="宋体" w:hAnsi="宋体" w:eastAsia="宋体" w:cs="宋体"/>
          <w:b/>
          <w:color w:val="auto"/>
          <w:kern w:val="0"/>
          <w:sz w:val="24"/>
          <w:szCs w:val="24"/>
        </w:rPr>
        <w:t>截止</w:t>
      </w:r>
      <w:r>
        <w:rPr>
          <w:rFonts w:hint="eastAsia" w:ascii="宋体" w:hAnsi="宋体" w:eastAsia="宋体" w:cs="宋体"/>
          <w:b/>
          <w:color w:val="auto"/>
          <w:sz w:val="24"/>
          <w:szCs w:val="24"/>
        </w:rPr>
        <w:t>时间</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rPr>
        <w:t>供应商递交响应文件截止</w:t>
      </w:r>
      <w:r>
        <w:rPr>
          <w:rFonts w:hint="eastAsia" w:ascii="宋体" w:hAnsi="宋体" w:eastAsia="宋体" w:cs="宋体"/>
          <w:color w:val="auto"/>
          <w:sz w:val="24"/>
          <w:szCs w:val="24"/>
        </w:rPr>
        <w:t>时间见</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12</w:t>
      </w:r>
      <w:r>
        <w:rPr>
          <w:rFonts w:hint="eastAsia" w:ascii="宋体" w:hAnsi="宋体" w:eastAsia="宋体" w:cs="宋体"/>
          <w:b/>
          <w:bCs/>
          <w:color w:val="auto"/>
          <w:sz w:val="24"/>
          <w:szCs w:val="24"/>
        </w:rPr>
        <w:t>.磋商文件的澄清</w:t>
      </w:r>
      <w:r>
        <w:rPr>
          <w:rFonts w:hint="eastAsia" w:ascii="宋体" w:hAnsi="宋体" w:eastAsia="宋体" w:cs="宋体"/>
          <w:b/>
          <w:color w:val="auto"/>
          <w:kern w:val="0"/>
          <w:sz w:val="24"/>
          <w:szCs w:val="24"/>
          <w:lang w:val="zh-CN"/>
        </w:rPr>
        <w:t>或者</w:t>
      </w:r>
      <w:r>
        <w:rPr>
          <w:rFonts w:hint="eastAsia" w:ascii="宋体" w:hAnsi="宋体" w:eastAsia="宋体" w:cs="宋体"/>
          <w:b/>
          <w:bCs/>
          <w:color w:val="auto"/>
          <w:sz w:val="24"/>
          <w:szCs w:val="24"/>
        </w:rPr>
        <w:t>修改</w:t>
      </w:r>
    </w:p>
    <w:p>
      <w:pPr>
        <w:keepNext w:val="0"/>
        <w:keepLines w:val="0"/>
        <w:pageBreakBefore w:val="0"/>
        <w:widowControl w:val="0"/>
        <w:kinsoku/>
        <w:wordWrap/>
        <w:overflowPunct/>
        <w:topLinePunct w:val="0"/>
        <w:bidi w:val="0"/>
        <w:adjustRightInd w:val="0"/>
        <w:snapToGrid w:val="0"/>
        <w:spacing w:line="360" w:lineRule="auto"/>
        <w:ind w:right="-105" w:rightChars="-5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12</w:t>
      </w:r>
      <w:r>
        <w:rPr>
          <w:rFonts w:hint="eastAsia" w:ascii="宋体" w:hAnsi="宋体" w:eastAsia="宋体" w:cs="宋体"/>
          <w:color w:val="auto"/>
          <w:sz w:val="24"/>
          <w:szCs w:val="24"/>
        </w:rPr>
        <w:t>.1在</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规定的递</w:t>
      </w:r>
      <w:r>
        <w:rPr>
          <w:rFonts w:hint="eastAsia" w:ascii="宋体" w:hAnsi="宋体" w:eastAsia="宋体" w:cs="宋体"/>
          <w:color w:val="auto"/>
          <w:kern w:val="0"/>
          <w:sz w:val="24"/>
          <w:szCs w:val="24"/>
        </w:rPr>
        <w:t xml:space="preserve">交响应文件截止之日前，采购人、采购代理机构或者磋商小组可以对已发出的磋商文件进行必要的澄清或者修改。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12</w:t>
      </w:r>
      <w:r>
        <w:rPr>
          <w:rFonts w:hint="eastAsia" w:ascii="宋体" w:hAnsi="宋体" w:eastAsia="宋体" w:cs="宋体"/>
          <w:color w:val="auto"/>
          <w:sz w:val="24"/>
          <w:szCs w:val="24"/>
        </w:rPr>
        <w:t>.2</w:t>
      </w:r>
      <w:r>
        <w:rPr>
          <w:rFonts w:hint="eastAsia" w:ascii="宋体" w:hAnsi="宋体" w:eastAsia="宋体" w:cs="宋体"/>
          <w:color w:val="auto"/>
          <w:kern w:val="0"/>
          <w:sz w:val="24"/>
          <w:szCs w:val="24"/>
        </w:rPr>
        <w:t>澄清或者修改的内容可能影响响应文件编制的，采购人、采购代理机构或者磋商小组应当在</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kern w:val="0"/>
          <w:sz w:val="24"/>
          <w:szCs w:val="24"/>
        </w:rPr>
        <w:t>提交首次响应文件截止之日</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日前，以书面形式通知所有</w:t>
      </w:r>
      <w:r>
        <w:rPr>
          <w:rFonts w:hint="eastAsia" w:ascii="宋体" w:hAnsi="宋体" w:eastAsia="宋体" w:cs="宋体"/>
          <w:color w:val="auto"/>
          <w:kern w:val="0"/>
          <w:sz w:val="24"/>
          <w:szCs w:val="24"/>
          <w:lang w:eastAsia="zh-CN"/>
        </w:rPr>
        <w:t>获取</w:t>
      </w:r>
      <w:r>
        <w:rPr>
          <w:rFonts w:hint="eastAsia" w:ascii="宋体" w:hAnsi="宋体" w:eastAsia="宋体" w:cs="宋体"/>
          <w:color w:val="auto"/>
          <w:kern w:val="0"/>
          <w:sz w:val="24"/>
          <w:szCs w:val="24"/>
        </w:rPr>
        <w:t>磋商文件的供应商，不足</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日的，顺延供应商提交响应文件截止时间。</w:t>
      </w:r>
    </w:p>
    <w:p>
      <w:pPr>
        <w:adjustRightInd w:val="0"/>
        <w:snapToGrid w:val="0"/>
        <w:spacing w:line="360" w:lineRule="auto"/>
        <w:ind w:left="906" w:hanging="906" w:hangingChars="376"/>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三、响应文件</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13</w:t>
      </w:r>
      <w:r>
        <w:rPr>
          <w:rFonts w:hint="eastAsia" w:ascii="宋体" w:hAnsi="宋体" w:eastAsia="宋体" w:cs="宋体"/>
          <w:b/>
          <w:bCs/>
          <w:color w:val="auto"/>
          <w:sz w:val="24"/>
          <w:szCs w:val="24"/>
        </w:rPr>
        <w:t>.一般要求</w:t>
      </w:r>
    </w:p>
    <w:p>
      <w:pPr>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13</w:t>
      </w:r>
      <w:r>
        <w:rPr>
          <w:rFonts w:hint="eastAsia" w:ascii="宋体" w:hAnsi="宋体" w:eastAsia="宋体" w:cs="宋体"/>
          <w:bCs/>
          <w:color w:val="auto"/>
          <w:sz w:val="24"/>
          <w:szCs w:val="24"/>
        </w:rPr>
        <w:t>.1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13</w:t>
      </w:r>
      <w:r>
        <w:rPr>
          <w:rFonts w:hint="eastAsia" w:ascii="宋体" w:hAnsi="宋体" w:eastAsia="宋体" w:cs="宋体"/>
          <w:bCs/>
          <w:color w:val="auto"/>
          <w:sz w:val="24"/>
          <w:szCs w:val="24"/>
        </w:rPr>
        <w:t xml:space="preserve">.2 </w:t>
      </w:r>
      <w:r>
        <w:rPr>
          <w:rFonts w:hint="eastAsia" w:ascii="宋体" w:hAnsi="宋体" w:eastAsia="宋体" w:cs="宋体"/>
          <w:color w:val="auto"/>
          <w:sz w:val="24"/>
          <w:szCs w:val="24"/>
        </w:rPr>
        <w:t>供应商提交的响应文件及供应商与采购人或采购代理机构、磋商小组就有关磋商的所有来往函电均使用中文。供应商</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中文</w:t>
      </w:r>
      <w:r>
        <w:rPr>
          <w:rFonts w:hint="eastAsia" w:ascii="宋体" w:hAnsi="宋体" w:eastAsia="宋体" w:cs="宋体"/>
          <w:color w:val="auto"/>
          <w:sz w:val="24"/>
          <w:szCs w:val="24"/>
        </w:rPr>
        <w:t>语言的资料。</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13</w:t>
      </w:r>
      <w:r>
        <w:rPr>
          <w:rFonts w:hint="eastAsia" w:ascii="宋体" w:hAnsi="宋体" w:eastAsia="宋体" w:cs="宋体"/>
          <w:bCs/>
          <w:color w:val="auto"/>
          <w:sz w:val="24"/>
          <w:szCs w:val="24"/>
        </w:rPr>
        <w:t xml:space="preserve">.3 </w:t>
      </w:r>
      <w:r>
        <w:rPr>
          <w:rFonts w:hint="eastAsia" w:ascii="宋体" w:hAnsi="宋体" w:eastAsia="宋体" w:cs="宋体"/>
          <w:color w:val="auto"/>
          <w:sz w:val="24"/>
          <w:szCs w:val="24"/>
        </w:rPr>
        <w:t>计量单位应使用我国法定计量单位，未列明时应默认为我国法定计量单位。</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13</w:t>
      </w:r>
      <w:r>
        <w:rPr>
          <w:rFonts w:hint="eastAsia" w:ascii="宋体" w:hAnsi="宋体" w:eastAsia="宋体" w:cs="宋体"/>
          <w:color w:val="auto"/>
          <w:sz w:val="24"/>
          <w:szCs w:val="24"/>
        </w:rPr>
        <w:t>.4 响应文件应采用书面形式，电报、传真、电子邮件形式的响应文件概不接受。</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13</w:t>
      </w:r>
      <w:r>
        <w:rPr>
          <w:rFonts w:hint="eastAsia" w:ascii="宋体" w:hAnsi="宋体" w:eastAsia="宋体" w:cs="宋体"/>
          <w:color w:val="auto"/>
          <w:sz w:val="24"/>
          <w:szCs w:val="24"/>
        </w:rPr>
        <w:t>.5 供应商应按磋商文件中提供的响应文件格式填写。</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14</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响应文件</w:t>
      </w:r>
      <w:r>
        <w:rPr>
          <w:rFonts w:hint="eastAsia" w:ascii="宋体" w:hAnsi="宋体" w:eastAsia="宋体" w:cs="宋体"/>
          <w:b/>
          <w:bCs/>
          <w:color w:val="auto"/>
          <w:sz w:val="24"/>
          <w:szCs w:val="24"/>
        </w:rPr>
        <w:t>的组成</w:t>
      </w:r>
    </w:p>
    <w:p>
      <w:pPr>
        <w:adjustRightInd w:val="0"/>
        <w:snapToGrid w:val="0"/>
        <w:spacing w:line="360" w:lineRule="auto"/>
        <w:ind w:firstLine="482" w:firstLineChars="200"/>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14</w:t>
      </w:r>
      <w:r>
        <w:rPr>
          <w:rFonts w:hint="eastAsia" w:ascii="宋体" w:hAnsi="宋体" w:eastAsia="宋体" w:cs="宋体"/>
          <w:b/>
          <w:bCs/>
          <w:color w:val="auto"/>
          <w:sz w:val="24"/>
          <w:szCs w:val="24"/>
        </w:rPr>
        <w:t xml:space="preserve">.1 响应文件包括下列内容： </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(1)磋商响应声明</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(2)报价一览表及报价文件</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(3)保证金</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(4)供应商的资格证明材料</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)技术/商务响应与偏离表</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w:t>
      </w:r>
      <w:r>
        <w:rPr>
          <w:rFonts w:hint="eastAsia" w:ascii="宋体" w:hAnsi="宋体" w:cs="宋体"/>
          <w:b/>
          <w:color w:val="auto"/>
          <w:sz w:val="24"/>
        </w:rPr>
        <w:t>中小微企业证明文件（如有）</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)供应商认为需提供的其它资料</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rPr>
        <w:t>)最后报价</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14</w:t>
      </w:r>
      <w:r>
        <w:rPr>
          <w:rFonts w:hint="eastAsia" w:ascii="宋体" w:hAnsi="宋体" w:eastAsia="宋体" w:cs="宋体"/>
          <w:color w:val="auto"/>
          <w:sz w:val="24"/>
          <w:szCs w:val="24"/>
        </w:rPr>
        <w:t>.2在磋商过程中，供应商根据</w:t>
      </w:r>
      <w:r>
        <w:rPr>
          <w:rFonts w:hint="eastAsia" w:ascii="宋体" w:hAnsi="宋体" w:eastAsia="宋体" w:cs="宋体"/>
          <w:color w:val="auto"/>
          <w:kern w:val="0"/>
          <w:sz w:val="24"/>
          <w:szCs w:val="24"/>
        </w:rPr>
        <w:t>磋商小组</w:t>
      </w:r>
      <w:r>
        <w:rPr>
          <w:rFonts w:hint="eastAsia" w:ascii="宋体" w:hAnsi="宋体" w:eastAsia="宋体" w:cs="宋体"/>
          <w:bCs/>
          <w:color w:val="auto"/>
          <w:sz w:val="24"/>
          <w:szCs w:val="24"/>
        </w:rPr>
        <w:t>书面形式要求</w:t>
      </w:r>
      <w:r>
        <w:rPr>
          <w:rFonts w:hint="eastAsia" w:ascii="宋体" w:hAnsi="宋体" w:eastAsia="宋体" w:cs="宋体"/>
          <w:color w:val="auto"/>
          <w:kern w:val="0"/>
          <w:sz w:val="24"/>
          <w:szCs w:val="24"/>
        </w:rPr>
        <w:t>提交的</w:t>
      </w:r>
      <w:r>
        <w:rPr>
          <w:rFonts w:hint="eastAsia" w:ascii="宋体" w:hAnsi="宋体" w:eastAsia="宋体" w:cs="宋体"/>
          <w:color w:val="auto"/>
          <w:sz w:val="24"/>
          <w:szCs w:val="24"/>
        </w:rPr>
        <w:t>最后报价(或者</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新提交的响应文件和</w:t>
      </w:r>
      <w:r>
        <w:rPr>
          <w:rFonts w:hint="eastAsia" w:ascii="宋体" w:hAnsi="宋体" w:eastAsia="宋体" w:cs="宋体"/>
          <w:color w:val="auto"/>
          <w:sz w:val="24"/>
          <w:szCs w:val="24"/>
        </w:rPr>
        <w:t>最后报价)是响应文件的有效组成部分。</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14</w:t>
      </w:r>
      <w:r>
        <w:rPr>
          <w:rFonts w:hint="eastAsia" w:ascii="宋体" w:hAnsi="宋体" w:eastAsia="宋体" w:cs="宋体"/>
          <w:color w:val="auto"/>
          <w:sz w:val="24"/>
          <w:szCs w:val="24"/>
        </w:rPr>
        <w:t>.3</w:t>
      </w:r>
      <w:r>
        <w:rPr>
          <w:rFonts w:hint="eastAsia" w:ascii="宋体" w:hAnsi="宋体" w:eastAsia="宋体" w:cs="宋体"/>
          <w:color w:val="auto"/>
          <w:kern w:val="0"/>
          <w:sz w:val="24"/>
          <w:szCs w:val="24"/>
        </w:rPr>
        <w:t>磋商文件规定可能发生实质性变动的，供应商应当在</w:t>
      </w:r>
      <w:r>
        <w:rPr>
          <w:rFonts w:hint="eastAsia" w:ascii="宋体" w:hAnsi="宋体" w:eastAsia="宋体" w:cs="宋体"/>
          <w:color w:val="auto"/>
          <w:sz w:val="24"/>
          <w:szCs w:val="24"/>
        </w:rPr>
        <w:t>《技术/商务响应与偏离表》中对应内容注明。</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14</w:t>
      </w:r>
      <w:r>
        <w:rPr>
          <w:rFonts w:hint="eastAsia" w:ascii="宋体" w:hAnsi="宋体" w:eastAsia="宋体" w:cs="宋体"/>
          <w:color w:val="auto"/>
          <w:sz w:val="24"/>
          <w:szCs w:val="24"/>
        </w:rPr>
        <w:t>.4根据《中华人民共和国政府采购法》相关规定，供应商无论成交与否，其响应文件不予退还。</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15</w:t>
      </w:r>
      <w:r>
        <w:rPr>
          <w:rFonts w:hint="eastAsia" w:ascii="宋体" w:hAnsi="宋体" w:eastAsia="宋体" w:cs="宋体"/>
          <w:b/>
          <w:bCs/>
          <w:color w:val="auto"/>
          <w:sz w:val="24"/>
          <w:szCs w:val="24"/>
        </w:rPr>
        <w:t>.报价</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15</w:t>
      </w:r>
      <w:r>
        <w:rPr>
          <w:rFonts w:hint="eastAsia" w:ascii="宋体" w:hAnsi="宋体" w:eastAsia="宋体" w:cs="宋体"/>
          <w:color w:val="auto"/>
          <w:sz w:val="24"/>
          <w:szCs w:val="24"/>
        </w:rPr>
        <w:t>.1供应商应当根据磋商文件要求和范围，以</w:t>
      </w:r>
      <w:r>
        <w:rPr>
          <w:rFonts w:hint="eastAsia" w:ascii="宋体" w:hAnsi="宋体" w:eastAsia="宋体" w:cs="宋体"/>
          <w:bCs/>
          <w:color w:val="auto"/>
          <w:sz w:val="24"/>
          <w:szCs w:val="24"/>
        </w:rPr>
        <w:t>人民币</w:t>
      </w:r>
      <w:r>
        <w:rPr>
          <w:rFonts w:hint="eastAsia" w:ascii="宋体" w:hAnsi="宋体" w:eastAsia="宋体" w:cs="宋体"/>
          <w:color w:val="auto"/>
          <w:sz w:val="24"/>
          <w:szCs w:val="24"/>
        </w:rPr>
        <w:t>报价，以元为单位，保留小数点后两位。</w:t>
      </w:r>
    </w:p>
    <w:p>
      <w:pPr>
        <w:pStyle w:val="1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15</w:t>
      </w:r>
      <w:r>
        <w:rPr>
          <w:rFonts w:hint="eastAsia" w:ascii="宋体" w:hAnsi="宋体" w:eastAsia="宋体" w:cs="宋体"/>
          <w:color w:val="auto"/>
          <w:sz w:val="24"/>
          <w:szCs w:val="24"/>
        </w:rPr>
        <w:t>.2供应商应按第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章“采购需求”要求及第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章“响应文件组成”格式填写。供应商在</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sz w:val="24"/>
          <w:szCs w:val="24"/>
        </w:rPr>
        <w:t>提交首次响应文件截止之日前修改报价一览表中的报价，应同时修改其按第五章要求填写的相应表格中的报价。此修改须符合本章第</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.1款的有关要求。</w:t>
      </w:r>
    </w:p>
    <w:p>
      <w:pPr>
        <w:pStyle w:val="24"/>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15</w:t>
      </w:r>
      <w:r>
        <w:rPr>
          <w:rFonts w:hint="eastAsia" w:ascii="宋体" w:hAnsi="宋体" w:eastAsia="宋体" w:cs="宋体"/>
          <w:b/>
          <w:color w:val="auto"/>
          <w:sz w:val="24"/>
          <w:szCs w:val="24"/>
        </w:rPr>
        <w:t>.3响应文件中标明的价格在合同执行过程中是固定不变的，不得以任何理由予以变更。以可变动价格提交的报价将被认为是非实质响应而被拒绝。</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15</w:t>
      </w:r>
      <w:r>
        <w:rPr>
          <w:rFonts w:hint="eastAsia" w:ascii="宋体" w:hAnsi="宋体" w:eastAsia="宋体" w:cs="宋体"/>
          <w:color w:val="auto"/>
          <w:sz w:val="24"/>
          <w:szCs w:val="24"/>
        </w:rPr>
        <w:t>.4</w:t>
      </w:r>
      <w:r>
        <w:rPr>
          <w:rFonts w:hint="eastAsia" w:ascii="宋体" w:hAnsi="宋体" w:eastAsia="宋体" w:cs="宋体"/>
          <w:color w:val="auto"/>
          <w:kern w:val="0"/>
          <w:sz w:val="24"/>
          <w:szCs w:val="24"/>
          <w:lang w:val="zh-CN"/>
        </w:rPr>
        <w:t>供应商</w:t>
      </w:r>
      <w:r>
        <w:rPr>
          <w:rFonts w:hint="eastAsia" w:ascii="宋体" w:hAnsi="宋体" w:eastAsia="宋体" w:cs="宋体"/>
          <w:color w:val="auto"/>
          <w:sz w:val="24"/>
          <w:szCs w:val="24"/>
        </w:rPr>
        <w:t>的报价不得超过采购</w:t>
      </w:r>
      <w:r>
        <w:rPr>
          <w:rFonts w:hint="eastAsia" w:hAnsi="宋体" w:eastAsia="宋体" w:cs="宋体"/>
          <w:color w:val="auto"/>
          <w:sz w:val="24"/>
          <w:szCs w:val="24"/>
          <w:lang w:eastAsia="zh-CN"/>
        </w:rPr>
        <w:t>预算</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rPr>
        <w:t>，超过采购</w:t>
      </w:r>
      <w:r>
        <w:rPr>
          <w:rFonts w:hint="eastAsia" w:hAnsi="宋体" w:eastAsia="宋体" w:cs="宋体"/>
          <w:color w:val="auto"/>
          <w:sz w:val="24"/>
          <w:szCs w:val="24"/>
          <w:lang w:eastAsia="zh-CN"/>
        </w:rPr>
        <w:t>预算</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rPr>
        <w:t>为无效响应。</w:t>
      </w:r>
    </w:p>
    <w:p>
      <w:pPr>
        <w:pStyle w:val="24"/>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16</w:t>
      </w:r>
      <w:r>
        <w:rPr>
          <w:rFonts w:hint="eastAsia" w:ascii="宋体" w:hAnsi="宋体" w:eastAsia="宋体" w:cs="宋体"/>
          <w:b/>
          <w:color w:val="auto"/>
          <w:sz w:val="24"/>
          <w:szCs w:val="24"/>
        </w:rPr>
        <w:t>.供应商符合磋商文件规定的证明文件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zh-CN"/>
        </w:rPr>
        <w:t>16.1</w:t>
      </w:r>
      <w:r>
        <w:rPr>
          <w:rFonts w:hint="eastAsia" w:ascii="宋体" w:hAnsi="宋体" w:eastAsia="宋体" w:cs="宋体"/>
          <w:color w:val="auto"/>
          <w:sz w:val="24"/>
          <w:szCs w:val="24"/>
        </w:rPr>
        <w:t>供应商提供资格证明材料，以证实其各项条件满足本章第3.1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规定的供应商资格条件要求。</w:t>
      </w:r>
    </w:p>
    <w:p>
      <w:pPr>
        <w:adjustRightInd w:val="0"/>
        <w:snapToGrid w:val="0"/>
        <w:spacing w:line="360" w:lineRule="auto"/>
        <w:ind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lang w:eastAsia="zh-CN"/>
        </w:rPr>
        <w:t>16</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供应商</w:t>
      </w:r>
      <w:r>
        <w:rPr>
          <w:rFonts w:hint="eastAsia" w:ascii="宋体" w:hAnsi="宋体" w:eastAsia="宋体" w:cs="宋体"/>
          <w:color w:val="auto"/>
          <w:sz w:val="24"/>
          <w:szCs w:val="24"/>
        </w:rPr>
        <w:t>为联合体形式的，则应提交联合体各方资格文件、联合体协议，否则将视为非实质响应而被拒绝。</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17</w:t>
      </w:r>
      <w:r>
        <w:rPr>
          <w:rFonts w:hint="eastAsia" w:ascii="宋体" w:hAnsi="宋体" w:eastAsia="宋体" w:cs="宋体"/>
          <w:b/>
          <w:bCs/>
          <w:color w:val="auto"/>
          <w:sz w:val="24"/>
          <w:szCs w:val="24"/>
        </w:rPr>
        <w:t>.保证金</w:t>
      </w:r>
    </w:p>
    <w:p>
      <w:pPr>
        <w:pStyle w:val="24"/>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.1</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规定交纳</w:t>
      </w:r>
      <w:r>
        <w:rPr>
          <w:rFonts w:hint="eastAsia" w:ascii="宋体" w:hAnsi="宋体" w:eastAsia="宋体" w:cs="宋体"/>
          <w:bCs/>
          <w:color w:val="auto"/>
          <w:sz w:val="24"/>
          <w:szCs w:val="24"/>
        </w:rPr>
        <w:t>保证金的</w:t>
      </w:r>
      <w:r>
        <w:rPr>
          <w:rFonts w:hint="eastAsia" w:ascii="宋体" w:hAnsi="宋体" w:eastAsia="宋体" w:cs="宋体"/>
          <w:color w:val="auto"/>
          <w:sz w:val="24"/>
          <w:szCs w:val="24"/>
        </w:rPr>
        <w:t>，应按</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规定的</w:t>
      </w:r>
      <w:r>
        <w:rPr>
          <w:rFonts w:hint="eastAsia" w:ascii="宋体" w:hAnsi="宋体" w:eastAsia="宋体" w:cs="宋体"/>
          <w:bCs/>
          <w:color w:val="auto"/>
          <w:sz w:val="24"/>
          <w:szCs w:val="24"/>
        </w:rPr>
        <w:t>保证金形式交纳，不得以现金方式交纳</w:t>
      </w:r>
      <w:r>
        <w:rPr>
          <w:rFonts w:hint="eastAsia" w:ascii="宋体" w:hAnsi="宋体" w:eastAsia="宋体" w:cs="宋体"/>
          <w:color w:val="auto"/>
          <w:sz w:val="24"/>
          <w:szCs w:val="24"/>
        </w:rPr>
        <w:t>，在本章第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w:t>
      </w:r>
      <w:r>
        <w:rPr>
          <w:rFonts w:hint="eastAsia" w:ascii="宋体" w:hAnsi="宋体" w:eastAsia="宋体" w:cs="宋体"/>
          <w:color w:val="auto"/>
          <w:sz w:val="24"/>
          <w:szCs w:val="24"/>
        </w:rPr>
        <w:t>前。</w:t>
      </w:r>
      <w:r>
        <w:rPr>
          <w:rFonts w:hint="eastAsia" w:ascii="宋体" w:hAnsi="宋体" w:eastAsia="宋体" w:cs="宋体"/>
          <w:bCs/>
          <w:color w:val="auto"/>
          <w:sz w:val="24"/>
          <w:szCs w:val="24"/>
        </w:rPr>
        <w:t>保证金有效期应当与</w:t>
      </w:r>
      <w:r>
        <w:rPr>
          <w:rFonts w:hint="eastAsia" w:ascii="宋体" w:hAnsi="宋体" w:eastAsia="宋体" w:cs="宋体"/>
          <w:color w:val="auto"/>
          <w:sz w:val="24"/>
          <w:szCs w:val="24"/>
        </w:rPr>
        <w:t>本章第</w:t>
      </w:r>
      <w:r>
        <w:rPr>
          <w:rFonts w:hint="eastAsia" w:ascii="宋体" w:hAnsi="宋体" w:eastAsia="宋体" w:cs="宋体"/>
          <w:color w:val="auto"/>
          <w:sz w:val="24"/>
          <w:szCs w:val="24"/>
          <w:lang w:eastAsia="zh-CN"/>
        </w:rPr>
        <w:t>18</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bCs/>
          <w:color w:val="auto"/>
          <w:sz w:val="24"/>
          <w:szCs w:val="24"/>
        </w:rPr>
        <w:t>响应文件有效期一致。</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供应商为联合体的，可以由联合体中的一方或者共同交纳保证金，其交纳的保证金，对联合体各方均具有约束力。</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.3 未按磋商文件规定提交保证金的，</w:t>
      </w:r>
      <w:r>
        <w:rPr>
          <w:rFonts w:hint="eastAsia" w:ascii="宋体" w:hAnsi="宋体" w:eastAsia="宋体" w:cs="宋体"/>
          <w:bCs/>
          <w:color w:val="auto"/>
          <w:sz w:val="24"/>
          <w:szCs w:val="24"/>
        </w:rPr>
        <w:t>采购人或采购代理机构应当拒绝接收供应商的响应文件</w:t>
      </w:r>
      <w:r>
        <w:rPr>
          <w:rFonts w:hint="eastAsia" w:ascii="宋体" w:hAnsi="宋体" w:eastAsia="宋体" w:cs="宋体"/>
          <w:color w:val="auto"/>
          <w:sz w:val="24"/>
          <w:szCs w:val="24"/>
        </w:rPr>
        <w:t>。</w:t>
      </w:r>
    </w:p>
    <w:p>
      <w:pPr>
        <w:pStyle w:val="24"/>
        <w:tabs>
          <w:tab w:val="left" w:pos="630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.4采购代理机构在成交通知书发出后5个工作日内退还未成交供应商的保证金；在采购合同签定后5个工作日内退还成交供应商的保证金，但因供应商自身原因导致无法及时退还的除外。</w:t>
      </w:r>
    </w:p>
    <w:p>
      <w:pPr>
        <w:pStyle w:val="24"/>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 xml:space="preserve">.5 </w:t>
      </w:r>
      <w:r>
        <w:rPr>
          <w:rFonts w:hint="eastAsia" w:ascii="宋体" w:hAnsi="宋体" w:eastAsia="宋体" w:cs="宋体"/>
          <w:color w:val="auto"/>
          <w:kern w:val="0"/>
          <w:sz w:val="24"/>
          <w:szCs w:val="24"/>
        </w:rPr>
        <w:t>有下列情形之一的，保证金不予退还：</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（1）供应商在</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kern w:val="0"/>
          <w:sz w:val="24"/>
          <w:szCs w:val="24"/>
        </w:rPr>
        <w:t>提交首次响应文件截止时间后撤回响应文件或未按本章第</w:t>
      </w: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.5款规定退出磋商的；</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（2）供应商在响应文件中提供虚假材料的；</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（3）除因不可抗力或磋商文件认可的情形以外，成交供应商不与采购人签订合同的；</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（4）供应商与采购人、其他供应商或者采购代理机构恶意串通的；</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（5）磋商文件及法律法规规定的其他情形。</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18</w:t>
      </w:r>
      <w:r>
        <w:rPr>
          <w:rFonts w:hint="eastAsia" w:ascii="宋体" w:hAnsi="宋体" w:eastAsia="宋体" w:cs="宋体"/>
          <w:b/>
          <w:bCs/>
          <w:color w:val="auto"/>
          <w:sz w:val="24"/>
          <w:szCs w:val="24"/>
        </w:rPr>
        <w:t>.</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响应文件有效期</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18</w:t>
      </w:r>
      <w:r>
        <w:rPr>
          <w:rFonts w:hint="eastAsia" w:ascii="宋体" w:hAnsi="宋体" w:eastAsia="宋体" w:cs="宋体"/>
          <w:color w:val="auto"/>
          <w:sz w:val="24"/>
          <w:szCs w:val="24"/>
        </w:rPr>
        <w:t>.1响应文件有效期见</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，在此期间响应文件对供应商具有法律约束力，从本章第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w:t>
      </w:r>
      <w:r>
        <w:rPr>
          <w:rFonts w:hint="eastAsia" w:ascii="宋体" w:hAnsi="宋体" w:eastAsia="宋体" w:cs="宋体"/>
          <w:color w:val="auto"/>
          <w:sz w:val="24"/>
          <w:szCs w:val="24"/>
        </w:rPr>
        <w:t>之日起计算。响应文件有效期不足的将被视为无效响应。</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19</w:t>
      </w:r>
      <w:r>
        <w:rPr>
          <w:rFonts w:hint="eastAsia" w:ascii="宋体" w:hAnsi="宋体" w:eastAsia="宋体" w:cs="宋体"/>
          <w:b/>
          <w:bCs/>
          <w:color w:val="auto"/>
          <w:sz w:val="24"/>
          <w:szCs w:val="24"/>
        </w:rPr>
        <w:t>.响应文件的签署及规定</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19</w:t>
      </w:r>
      <w:r>
        <w:rPr>
          <w:rFonts w:hint="eastAsia" w:ascii="宋体" w:hAnsi="宋体" w:eastAsia="宋体" w:cs="宋体"/>
          <w:color w:val="auto"/>
          <w:sz w:val="24"/>
          <w:szCs w:val="24"/>
        </w:rPr>
        <w:t>.1响应文件的正本和副本应装订成册，正本一份，副本份数见</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须知前附表</w:t>
      </w:r>
      <w:r>
        <w:rPr>
          <w:rFonts w:hint="eastAsia" w:ascii="宋体" w:hAnsi="宋体" w:eastAsia="宋体" w:cs="宋体"/>
          <w:color w:val="auto"/>
          <w:sz w:val="24"/>
          <w:szCs w:val="24"/>
        </w:rPr>
        <w:t>。正本和副本的封面上应标记“正本”或“副本”的字样，当正本和副本有差异时，以正本为准。</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19</w:t>
      </w:r>
      <w:r>
        <w:rPr>
          <w:rFonts w:hint="eastAsia" w:ascii="宋体" w:hAnsi="宋体" w:eastAsia="宋体" w:cs="宋体"/>
          <w:color w:val="auto"/>
          <w:sz w:val="24"/>
          <w:szCs w:val="24"/>
        </w:rPr>
        <w:t>.2 响应文件正本和副本、电子文件应按磋商文件要求签章处盖单位章和由法定代表人或其委托代理人签字；任何加行、涂改、增删，应有法定代表人或其委托代理人在旁边签字。否则，将导致响应文件无效。</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19</w:t>
      </w:r>
      <w:r>
        <w:rPr>
          <w:rFonts w:hint="eastAsia" w:ascii="宋体" w:hAnsi="宋体" w:eastAsia="宋体" w:cs="宋体"/>
          <w:color w:val="auto"/>
          <w:sz w:val="24"/>
          <w:szCs w:val="24"/>
        </w:rPr>
        <w:t>.3 在磋商过程中，供应商按磋商文件规定和磋商小组要求</w:t>
      </w:r>
      <w:r>
        <w:rPr>
          <w:rFonts w:hint="eastAsia" w:ascii="宋体" w:hAnsi="宋体" w:eastAsia="宋体" w:cs="宋体"/>
          <w:color w:val="auto"/>
          <w:kern w:val="0"/>
          <w:sz w:val="24"/>
          <w:szCs w:val="24"/>
        </w:rPr>
        <w:t>提交的</w:t>
      </w:r>
      <w:r>
        <w:rPr>
          <w:rFonts w:hint="eastAsia" w:ascii="宋体" w:hAnsi="宋体" w:eastAsia="宋体" w:cs="宋体"/>
          <w:color w:val="auto"/>
          <w:sz w:val="24"/>
          <w:szCs w:val="24"/>
        </w:rPr>
        <w:t>最后报价(或者</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新提交的响应文件和</w:t>
      </w:r>
      <w:r>
        <w:rPr>
          <w:rFonts w:hint="eastAsia" w:ascii="宋体" w:hAnsi="宋体" w:eastAsia="宋体" w:cs="宋体"/>
          <w:color w:val="auto"/>
          <w:sz w:val="24"/>
          <w:szCs w:val="24"/>
        </w:rPr>
        <w:t>最后报价)，可打印或用不退色墨水书写，但需经法定代表人或其委托代理人签字，</w:t>
      </w:r>
      <w:r>
        <w:rPr>
          <w:rFonts w:hint="eastAsia" w:ascii="宋体" w:hAnsi="宋体" w:eastAsia="宋体" w:cs="宋体"/>
          <w:color w:val="auto"/>
          <w:kern w:val="0"/>
          <w:sz w:val="24"/>
          <w:szCs w:val="24"/>
        </w:rPr>
        <w:t>或者加盖供应商单位章</w:t>
      </w:r>
      <w:r>
        <w:rPr>
          <w:rFonts w:hint="eastAsia" w:ascii="宋体" w:hAnsi="宋体" w:eastAsia="宋体" w:cs="宋体"/>
          <w:color w:val="auto"/>
          <w:sz w:val="24"/>
          <w:szCs w:val="24"/>
        </w:rPr>
        <w:t>。否则，将导致响应文件无效。</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19</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供应商在递交响应文件的同时必须提交电子文件</w:t>
      </w:r>
      <w:r>
        <w:rPr>
          <w:rFonts w:hint="eastAsia" w:ascii="宋体" w:hAnsi="宋体" w:eastAsia="宋体" w:cs="宋体"/>
          <w:color w:val="auto"/>
          <w:sz w:val="24"/>
          <w:szCs w:val="24"/>
          <w:lang w:val="en-GB" w:eastAsia="zh-CN"/>
        </w:rPr>
        <w:t>U盘及光盘各</w:t>
      </w:r>
      <w:r>
        <w:rPr>
          <w:rFonts w:hint="eastAsia" w:ascii="宋体" w:hAnsi="宋体" w:eastAsia="宋体" w:cs="宋体"/>
          <w:color w:val="auto"/>
          <w:sz w:val="24"/>
          <w:szCs w:val="24"/>
          <w:lang w:val="en-GB"/>
        </w:rPr>
        <w:t>一份，</w:t>
      </w:r>
      <w:r>
        <w:rPr>
          <w:rFonts w:hint="eastAsia" w:ascii="宋体" w:hAnsi="宋体" w:eastAsia="宋体" w:cs="宋体"/>
          <w:color w:val="auto"/>
          <w:sz w:val="24"/>
          <w:szCs w:val="24"/>
        </w:rPr>
        <w:t>电子文件</w:t>
      </w:r>
      <w:r>
        <w:rPr>
          <w:rFonts w:hint="eastAsia" w:ascii="宋体" w:hAnsi="宋体" w:eastAsia="宋体" w:cs="宋体"/>
          <w:color w:val="auto"/>
          <w:sz w:val="24"/>
          <w:szCs w:val="24"/>
          <w:lang w:eastAsia="zh-CN"/>
        </w:rPr>
        <w:t>内容须与响应文件正本一致</w:t>
      </w:r>
      <w:r>
        <w:rPr>
          <w:rFonts w:hint="eastAsia" w:ascii="宋体" w:hAnsi="宋体" w:eastAsia="宋体" w:cs="宋体"/>
          <w:color w:val="auto"/>
          <w:sz w:val="24"/>
          <w:szCs w:val="24"/>
        </w:rPr>
        <w:t>，</w:t>
      </w:r>
      <w:r>
        <w:rPr>
          <w:rFonts w:hint="eastAsia" w:ascii="宋体" w:hAnsi="宋体" w:eastAsia="宋体" w:cs="宋体"/>
          <w:bCs/>
          <w:color w:val="auto"/>
          <w:sz w:val="24"/>
          <w:szCs w:val="24"/>
        </w:rPr>
        <w:t>并能正常读取、拷贝。</w:t>
      </w:r>
      <w:r>
        <w:rPr>
          <w:rFonts w:hint="eastAsia" w:ascii="宋体" w:hAnsi="宋体" w:eastAsia="宋体" w:cs="宋体"/>
          <w:color w:val="auto"/>
          <w:sz w:val="24"/>
          <w:szCs w:val="24"/>
        </w:rPr>
        <w:t>电子文件须包含响应文件与报价文件（</w:t>
      </w:r>
      <w:r>
        <w:rPr>
          <w:rFonts w:hint="eastAsia" w:hAnsi="宋体" w:eastAsia="宋体" w:cs="宋体"/>
          <w:color w:val="auto"/>
          <w:sz w:val="24"/>
          <w:szCs w:val="24"/>
          <w:lang w:eastAsia="zh-CN"/>
        </w:rPr>
        <w:t>首次</w:t>
      </w:r>
      <w:r>
        <w:rPr>
          <w:rFonts w:hint="eastAsia" w:ascii="宋体" w:hAnsi="宋体" w:eastAsia="宋体" w:cs="宋体"/>
          <w:color w:val="auto"/>
          <w:sz w:val="24"/>
          <w:szCs w:val="24"/>
        </w:rPr>
        <w:t>），所递交的电子文件必须与递交的响应文件完全一致。</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四、响应文件的递交</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20</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响应文件</w:t>
      </w:r>
      <w:r>
        <w:rPr>
          <w:rFonts w:hint="eastAsia" w:ascii="宋体" w:hAnsi="宋体" w:eastAsia="宋体" w:cs="宋体"/>
          <w:b/>
          <w:bCs/>
          <w:color w:val="auto"/>
          <w:sz w:val="24"/>
          <w:szCs w:val="24"/>
        </w:rPr>
        <w:t>的密封和标记</w:t>
      </w:r>
    </w:p>
    <w:p>
      <w:pPr>
        <w:pStyle w:val="24"/>
        <w:adjustRightInd w:val="0"/>
        <w:snapToGrid w:val="0"/>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.1</w:t>
      </w:r>
      <w:r>
        <w:rPr>
          <w:rFonts w:hint="eastAsia" w:ascii="宋体" w:hAnsi="宋体" w:eastAsia="宋体" w:cs="宋体"/>
          <w:b/>
          <w:bCs/>
          <w:color w:val="auto"/>
          <w:sz w:val="24"/>
          <w:szCs w:val="24"/>
        </w:rPr>
        <w:t>各供应商必须将响应文件正本、副本、电子</w:t>
      </w:r>
      <w:r>
        <w:rPr>
          <w:rFonts w:hint="eastAsia" w:ascii="宋体" w:hAnsi="宋体" w:eastAsia="宋体" w:cs="宋体"/>
          <w:b/>
          <w:bCs/>
          <w:color w:val="auto"/>
          <w:sz w:val="24"/>
          <w:szCs w:val="24"/>
          <w:lang w:eastAsia="zh-CN"/>
        </w:rPr>
        <w:t>版U盘和光盘</w:t>
      </w:r>
      <w:r>
        <w:rPr>
          <w:rFonts w:hint="eastAsia" w:ascii="宋体" w:hAnsi="宋体" w:eastAsia="宋体" w:cs="宋体"/>
          <w:b/>
          <w:bCs/>
          <w:color w:val="auto"/>
          <w:sz w:val="24"/>
          <w:szCs w:val="24"/>
        </w:rPr>
        <w:t>，各自单独密封，分别独立包装，并在封套的封口处盖供应商单位章并由法定代表人签字或其委托代理人签字，一并递交，不得混装。</w:t>
      </w:r>
    </w:p>
    <w:p>
      <w:pPr>
        <w:adjustRightInd w:val="0"/>
        <w:snapToGrid w:val="0"/>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.2</w:t>
      </w:r>
      <w:r>
        <w:rPr>
          <w:rFonts w:hint="eastAsia" w:ascii="宋体" w:hAnsi="宋体" w:eastAsia="宋体" w:cs="宋体"/>
          <w:b/>
          <w:bCs/>
          <w:color w:val="auto"/>
          <w:sz w:val="24"/>
          <w:szCs w:val="24"/>
        </w:rPr>
        <w:t>最后报价由各供应商先行加盖公章，</w:t>
      </w:r>
      <w:r>
        <w:rPr>
          <w:rFonts w:hint="eastAsia" w:ascii="宋体" w:hAnsi="宋体" w:eastAsia="宋体" w:cs="宋体"/>
          <w:b/>
          <w:bCs/>
          <w:color w:val="auto"/>
          <w:sz w:val="24"/>
          <w:szCs w:val="24"/>
          <w:lang w:eastAsia="zh-CN"/>
        </w:rPr>
        <w:t>无</w:t>
      </w:r>
      <w:r>
        <w:rPr>
          <w:rFonts w:hint="eastAsia" w:ascii="宋体" w:hAnsi="宋体" w:eastAsia="宋体" w:cs="宋体"/>
          <w:b/>
          <w:bCs/>
          <w:color w:val="auto"/>
          <w:sz w:val="24"/>
          <w:szCs w:val="24"/>
        </w:rPr>
        <w:t>须装订入响应文件中，由各供应商参加磋商的授权代表带至磋商现场，磋商后填写，请各供应商先行加盖单位公章。</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.3响应文件封套上应写明的内容见</w:t>
      </w:r>
      <w:r>
        <w:rPr>
          <w:rFonts w:hint="eastAsia" w:ascii="宋体" w:hAnsi="宋体" w:eastAsia="宋体" w:cs="宋体"/>
          <w:b/>
          <w:color w:val="auto"/>
          <w:sz w:val="24"/>
          <w:szCs w:val="24"/>
        </w:rPr>
        <w:t>磋商须知前附表。</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.4响应文件如果未按上述规定密封和加写标记或混装的，采购人或采购代理机构将拒绝接收。</w:t>
      </w:r>
    </w:p>
    <w:p>
      <w:pPr>
        <w:adjustRightInd w:val="0"/>
        <w:snapToGrid w:val="0"/>
        <w:spacing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.5响应文件递交地点：</w:t>
      </w:r>
      <w:r>
        <w:rPr>
          <w:rFonts w:hint="eastAsia" w:ascii="宋体" w:hAnsi="宋体" w:eastAsia="宋体" w:cs="宋体"/>
          <w:b/>
          <w:bCs/>
          <w:color w:val="auto"/>
          <w:sz w:val="24"/>
          <w:szCs w:val="24"/>
        </w:rPr>
        <w:t>伊宁市解放路77号亚欧国际写字楼15楼</w:t>
      </w:r>
      <w:r>
        <w:rPr>
          <w:rFonts w:hint="eastAsia" w:ascii="宋体" w:hAnsi="宋体" w:cs="宋体"/>
          <w:b/>
          <w:bCs/>
          <w:color w:val="auto"/>
          <w:sz w:val="24"/>
          <w:szCs w:val="24"/>
          <w:lang w:eastAsia="zh-CN"/>
        </w:rPr>
        <w:t>开标厅</w:t>
      </w:r>
      <w:r>
        <w:rPr>
          <w:rFonts w:hint="eastAsia" w:ascii="宋体" w:hAnsi="宋体" w:eastAsia="宋体" w:cs="宋体"/>
          <w:b/>
          <w:bCs/>
          <w:color w:val="auto"/>
          <w:sz w:val="24"/>
          <w:szCs w:val="24"/>
        </w:rPr>
        <w:t>。</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21</w:t>
      </w:r>
      <w:r>
        <w:rPr>
          <w:rFonts w:hint="eastAsia" w:ascii="宋体" w:hAnsi="宋体" w:eastAsia="宋体" w:cs="宋体"/>
          <w:b/>
          <w:bCs/>
          <w:color w:val="auto"/>
          <w:sz w:val="24"/>
          <w:szCs w:val="24"/>
        </w:rPr>
        <w:t>.响应文件的</w:t>
      </w:r>
      <w:r>
        <w:rPr>
          <w:rFonts w:hint="eastAsia" w:ascii="宋体" w:hAnsi="宋体" w:eastAsia="宋体" w:cs="宋体"/>
          <w:b/>
          <w:color w:val="auto"/>
          <w:kern w:val="0"/>
          <w:sz w:val="24"/>
          <w:szCs w:val="24"/>
          <w:lang w:val="zh-CN"/>
        </w:rPr>
        <w:t>补充、修改或者撤回</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21</w:t>
      </w:r>
      <w:r>
        <w:rPr>
          <w:rFonts w:hint="eastAsia" w:ascii="宋体" w:hAnsi="宋体" w:eastAsia="宋体" w:cs="宋体"/>
          <w:color w:val="auto"/>
          <w:sz w:val="24"/>
          <w:szCs w:val="24"/>
        </w:rPr>
        <w:t>.1</w:t>
      </w:r>
      <w:r>
        <w:rPr>
          <w:rFonts w:hint="eastAsia" w:ascii="宋体" w:hAnsi="宋体" w:eastAsia="宋体" w:cs="宋体"/>
          <w:color w:val="auto"/>
          <w:kern w:val="0"/>
          <w:sz w:val="24"/>
          <w:szCs w:val="24"/>
        </w:rPr>
        <w:t>供应商在</w:t>
      </w:r>
      <w:r>
        <w:rPr>
          <w:rFonts w:hint="eastAsia" w:ascii="宋体" w:hAnsi="宋体" w:eastAsia="宋体" w:cs="宋体"/>
          <w:color w:val="auto"/>
          <w:sz w:val="24"/>
          <w:szCs w:val="24"/>
        </w:rPr>
        <w:t>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提交首次响应文件截止时间前，可以对所提交的首次响应文件进行补充、修改或者撤回，并书面通知采购人、采购代理机构。</w:t>
      </w:r>
      <w:r>
        <w:rPr>
          <w:rFonts w:hint="eastAsia" w:ascii="宋体" w:hAnsi="宋体" w:eastAsia="宋体" w:cs="宋体"/>
          <w:color w:val="auto"/>
          <w:sz w:val="24"/>
          <w:szCs w:val="24"/>
        </w:rPr>
        <w:t>该通知应有供应商法定代表人或其委托代理人签字。</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21</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补充、修改的内容与响应文件不一致时，以补充、修改的内容为准。</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22</w:t>
      </w:r>
      <w:r>
        <w:rPr>
          <w:rFonts w:hint="eastAsia" w:ascii="宋体" w:hAnsi="宋体" w:eastAsia="宋体" w:cs="宋体"/>
          <w:b/>
          <w:bCs/>
          <w:color w:val="auto"/>
          <w:sz w:val="24"/>
          <w:szCs w:val="24"/>
        </w:rPr>
        <w:t>.响应文件的递交与接收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22</w:t>
      </w:r>
      <w:r>
        <w:rPr>
          <w:rFonts w:hint="eastAsia" w:ascii="宋体" w:hAnsi="宋体" w:eastAsia="宋体" w:cs="宋体"/>
          <w:color w:val="auto"/>
          <w:sz w:val="24"/>
          <w:szCs w:val="24"/>
        </w:rPr>
        <w:t>.1 供应商应在本章第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w:t>
      </w:r>
      <w:r>
        <w:rPr>
          <w:rFonts w:hint="eastAsia" w:ascii="宋体" w:hAnsi="宋体" w:eastAsia="宋体" w:cs="宋体"/>
          <w:color w:val="auto"/>
          <w:sz w:val="24"/>
          <w:szCs w:val="24"/>
        </w:rPr>
        <w:t>前，将响应文件送达</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中指定的地点。</w:t>
      </w:r>
      <w:r>
        <w:rPr>
          <w:rFonts w:hint="eastAsia" w:ascii="宋体" w:hAnsi="宋体" w:eastAsia="宋体" w:cs="宋体"/>
          <w:color w:val="auto"/>
          <w:kern w:val="0"/>
          <w:sz w:val="24"/>
          <w:szCs w:val="24"/>
        </w:rPr>
        <w:t>在截止时间后送达的响应文件，采购人、采购代理机构或者磋商小组应当拒收。</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22</w:t>
      </w:r>
      <w:r>
        <w:rPr>
          <w:rFonts w:hint="eastAsia" w:ascii="宋体" w:hAnsi="宋体" w:eastAsia="宋体" w:cs="宋体"/>
          <w:color w:val="auto"/>
          <w:sz w:val="24"/>
          <w:szCs w:val="24"/>
        </w:rPr>
        <w:t>.2</w:t>
      </w:r>
      <w:r>
        <w:rPr>
          <w:rFonts w:hint="eastAsia" w:ascii="宋体" w:hAnsi="宋体" w:eastAsia="宋体" w:cs="宋体"/>
          <w:color w:val="auto"/>
          <w:kern w:val="0"/>
          <w:sz w:val="24"/>
          <w:szCs w:val="24"/>
        </w:rPr>
        <w:t>在</w:t>
      </w:r>
      <w:r>
        <w:rPr>
          <w:rFonts w:hint="eastAsia" w:ascii="宋体" w:hAnsi="宋体" w:eastAsia="宋体" w:cs="宋体"/>
          <w:color w:val="auto"/>
          <w:sz w:val="24"/>
          <w:szCs w:val="24"/>
        </w:rPr>
        <w:t>本章第</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rPr>
        <w:t>提交首次响应文件截止时间后，</w:t>
      </w:r>
      <w:r>
        <w:rPr>
          <w:rFonts w:hint="eastAsia" w:ascii="宋体" w:hAnsi="宋体" w:eastAsia="宋体" w:cs="宋体"/>
          <w:color w:val="auto"/>
          <w:sz w:val="24"/>
          <w:szCs w:val="24"/>
        </w:rPr>
        <w:t>由</w:t>
      </w:r>
      <w:r>
        <w:rPr>
          <w:rFonts w:hint="eastAsia" w:ascii="宋体" w:hAnsi="宋体" w:eastAsia="宋体" w:cs="宋体"/>
          <w:bCs/>
          <w:color w:val="auto"/>
          <w:sz w:val="24"/>
          <w:szCs w:val="24"/>
        </w:rPr>
        <w:t>供应商代表</w:t>
      </w:r>
      <w:r>
        <w:rPr>
          <w:rFonts w:hint="eastAsia" w:ascii="宋体" w:hAnsi="宋体" w:eastAsia="宋体" w:cs="宋体"/>
          <w:color w:val="auto"/>
          <w:sz w:val="24"/>
          <w:szCs w:val="24"/>
        </w:rPr>
        <w:t>当场查验</w:t>
      </w:r>
      <w:r>
        <w:rPr>
          <w:rFonts w:hint="eastAsia" w:ascii="宋体" w:hAnsi="宋体" w:eastAsia="宋体" w:cs="宋体"/>
          <w:bCs/>
          <w:color w:val="auto"/>
          <w:sz w:val="24"/>
          <w:szCs w:val="24"/>
        </w:rPr>
        <w:t>响应文件</w:t>
      </w:r>
      <w:r>
        <w:rPr>
          <w:rFonts w:hint="eastAsia" w:ascii="宋体" w:hAnsi="宋体" w:eastAsia="宋体" w:cs="宋体"/>
          <w:color w:val="auto"/>
          <w:sz w:val="24"/>
          <w:szCs w:val="24"/>
        </w:rPr>
        <w:t>的密封状况，采购人或</w:t>
      </w:r>
      <w:r>
        <w:rPr>
          <w:rFonts w:hint="eastAsia" w:ascii="宋体" w:hAnsi="宋体" w:eastAsia="宋体" w:cs="宋体"/>
          <w:bCs/>
          <w:color w:val="auto"/>
          <w:sz w:val="24"/>
          <w:szCs w:val="24"/>
        </w:rPr>
        <w:t>采购代理机构</w:t>
      </w:r>
      <w:r>
        <w:rPr>
          <w:rFonts w:hint="eastAsia" w:ascii="宋体" w:hAnsi="宋体" w:eastAsia="宋体" w:cs="宋体"/>
          <w:color w:val="auto"/>
          <w:sz w:val="24"/>
          <w:szCs w:val="24"/>
        </w:rPr>
        <w:t>不当场拆封</w:t>
      </w:r>
      <w:r>
        <w:rPr>
          <w:rFonts w:hint="eastAsia" w:ascii="宋体" w:hAnsi="宋体" w:eastAsia="宋体" w:cs="宋体"/>
          <w:bCs/>
          <w:color w:val="auto"/>
          <w:sz w:val="24"/>
          <w:szCs w:val="24"/>
        </w:rPr>
        <w:t>响应文件</w:t>
      </w:r>
      <w:r>
        <w:rPr>
          <w:rFonts w:hint="eastAsia" w:ascii="宋体" w:hAnsi="宋体" w:eastAsia="宋体" w:cs="宋体"/>
          <w:color w:val="auto"/>
          <w:sz w:val="24"/>
          <w:szCs w:val="24"/>
        </w:rPr>
        <w:t>。</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五、响应文件的评审与磋商</w:t>
      </w:r>
    </w:p>
    <w:p>
      <w:pPr>
        <w:tabs>
          <w:tab w:val="left" w:pos="0"/>
        </w:tabs>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23</w:t>
      </w:r>
      <w:r>
        <w:rPr>
          <w:rFonts w:hint="eastAsia" w:ascii="宋体" w:hAnsi="宋体" w:eastAsia="宋体" w:cs="宋体"/>
          <w:b/>
          <w:bCs/>
          <w:color w:val="auto"/>
          <w:sz w:val="24"/>
          <w:szCs w:val="24"/>
        </w:rPr>
        <w:t>、磋商程序</w:t>
      </w:r>
    </w:p>
    <w:p>
      <w:pPr>
        <w:tabs>
          <w:tab w:val="left" w:pos="0"/>
        </w:tabs>
        <w:adjustRightInd w:val="0"/>
        <w:snapToGrid w:val="0"/>
        <w:spacing w:line="360" w:lineRule="auto"/>
        <w:ind w:firstLine="352" w:firstLineChars="147"/>
        <w:rPr>
          <w:rFonts w:hint="eastAsia" w:ascii="宋体" w:hAnsi="宋体" w:eastAsia="宋体" w:cs="宋体"/>
          <w:b/>
          <w:bCs/>
          <w:color w:val="auto"/>
          <w:sz w:val="24"/>
          <w:szCs w:val="24"/>
        </w:rPr>
      </w:pPr>
      <w:r>
        <w:rPr>
          <w:rFonts w:hint="eastAsia" w:ascii="宋体" w:hAnsi="宋体" w:eastAsia="宋体" w:cs="宋体"/>
          <w:color w:val="auto"/>
          <w:kern w:val="0"/>
          <w:sz w:val="24"/>
          <w:szCs w:val="24"/>
        </w:rPr>
        <w:t>供应商资格审查、磋商（包括澄清、符合性评审查）、最后报价、综合评分、</w:t>
      </w:r>
      <w:r>
        <w:rPr>
          <w:rFonts w:hint="eastAsia" w:ascii="宋体" w:hAnsi="宋体" w:eastAsia="宋体" w:cs="宋体"/>
          <w:bCs/>
          <w:color w:val="auto"/>
          <w:sz w:val="24"/>
          <w:szCs w:val="24"/>
        </w:rPr>
        <w:t>提出成交候选供应商名单。其中，</w:t>
      </w:r>
      <w:r>
        <w:rPr>
          <w:rFonts w:hint="eastAsia" w:ascii="宋体" w:hAnsi="宋体" w:eastAsia="宋体" w:cs="宋体"/>
          <w:color w:val="auto"/>
          <w:kern w:val="0"/>
          <w:sz w:val="24"/>
          <w:szCs w:val="24"/>
        </w:rPr>
        <w:t>磋商按</w:t>
      </w:r>
      <w:r>
        <w:rPr>
          <w:rFonts w:hint="eastAsia" w:ascii="宋体" w:hAnsi="宋体" w:eastAsia="宋体" w:cs="宋体"/>
          <w:color w:val="auto"/>
          <w:sz w:val="24"/>
          <w:szCs w:val="24"/>
        </w:rPr>
        <w:t>本章第</w:t>
      </w:r>
      <w:r>
        <w:rPr>
          <w:rFonts w:hint="eastAsia" w:ascii="宋体" w:hAnsi="宋体" w:eastAsia="宋体" w:cs="宋体"/>
          <w:color w:val="auto"/>
          <w:sz w:val="24"/>
          <w:szCs w:val="24"/>
          <w:lang w:eastAsia="zh-CN"/>
        </w:rPr>
        <w:t>28</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款或者</w:t>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28</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情形</w:t>
      </w:r>
      <w:r>
        <w:rPr>
          <w:rFonts w:hint="eastAsia" w:ascii="宋体" w:hAnsi="宋体" w:eastAsia="宋体" w:cs="宋体"/>
          <w:bCs/>
          <w:color w:val="auto"/>
          <w:sz w:val="24"/>
          <w:szCs w:val="24"/>
        </w:rPr>
        <w:t>进行。</w:t>
      </w:r>
    </w:p>
    <w:p>
      <w:pPr>
        <w:adjustRightInd w:val="0"/>
        <w:snapToGrid w:val="0"/>
        <w:spacing w:before="156" w:beforeLines="50"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24</w:t>
      </w:r>
      <w:r>
        <w:rPr>
          <w:rFonts w:hint="eastAsia" w:ascii="宋体" w:hAnsi="宋体" w:eastAsia="宋体" w:cs="宋体"/>
          <w:b/>
          <w:bCs/>
          <w:color w:val="auto"/>
          <w:sz w:val="24"/>
          <w:szCs w:val="24"/>
        </w:rPr>
        <w:t>.磋商小组</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24</w:t>
      </w:r>
      <w:r>
        <w:rPr>
          <w:rFonts w:hint="eastAsia" w:ascii="宋体" w:hAnsi="宋体" w:eastAsia="宋体" w:cs="宋体"/>
          <w:bCs/>
          <w:color w:val="auto"/>
          <w:sz w:val="24"/>
          <w:szCs w:val="24"/>
        </w:rPr>
        <w:t>.1 采购人与采购代理机构将根据采购项目的特点依法组建磋商小组，</w:t>
      </w:r>
      <w:r>
        <w:rPr>
          <w:rFonts w:hint="eastAsia" w:ascii="宋体" w:hAnsi="宋体" w:eastAsia="宋体" w:cs="宋体"/>
          <w:bCs/>
          <w:color w:val="auto"/>
          <w:sz w:val="24"/>
          <w:szCs w:val="24"/>
          <w:lang w:eastAsia="zh-CN"/>
        </w:rPr>
        <w:t>磋商小组</w:t>
      </w:r>
      <w:r>
        <w:rPr>
          <w:rFonts w:hint="eastAsia" w:ascii="宋体" w:hAnsi="宋体" w:eastAsia="宋体" w:cs="宋体"/>
          <w:bCs/>
          <w:color w:val="auto"/>
          <w:sz w:val="24"/>
          <w:szCs w:val="24"/>
        </w:rPr>
        <w:t>成员由评审</w:t>
      </w:r>
      <w:r>
        <w:rPr>
          <w:rFonts w:hint="eastAsia" w:ascii="宋体" w:hAnsi="宋体" w:eastAsia="宋体" w:cs="宋体"/>
          <w:color w:val="auto"/>
          <w:sz w:val="24"/>
          <w:szCs w:val="24"/>
        </w:rPr>
        <w:t>专家</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人</w:t>
      </w:r>
      <w:r>
        <w:rPr>
          <w:rFonts w:hint="eastAsia" w:ascii="宋体" w:hAnsi="宋体" w:cs="宋体"/>
          <w:color w:val="auto"/>
          <w:sz w:val="24"/>
          <w:szCs w:val="24"/>
          <w:lang w:eastAsia="zh-CN"/>
        </w:rPr>
        <w:t>和采购人代表</w:t>
      </w:r>
      <w:r>
        <w:rPr>
          <w:rFonts w:hint="eastAsia" w:ascii="宋体" w:hAnsi="宋体" w:cs="宋体"/>
          <w:color w:val="auto"/>
          <w:sz w:val="24"/>
          <w:szCs w:val="24"/>
          <w:lang w:val="en-US" w:eastAsia="zh-CN"/>
        </w:rPr>
        <w:t>1人组成</w:t>
      </w:r>
      <w:r>
        <w:rPr>
          <w:rFonts w:hint="eastAsia" w:ascii="宋体" w:hAnsi="宋体" w:eastAsia="宋体" w:cs="宋体"/>
          <w:color w:val="auto"/>
          <w:sz w:val="24"/>
          <w:szCs w:val="24"/>
        </w:rPr>
        <w:t>。磋商小组负责对供应商资格进行核查；对响应文件进行审查；与供应商进行磋商、对报价进行评价、根据综合评分法对提交最后报价的供应商的响应文件和最后报价进行综合评分、推荐成交供应商。</w:t>
      </w:r>
    </w:p>
    <w:p>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25</w:t>
      </w:r>
      <w:r>
        <w:rPr>
          <w:rFonts w:hint="eastAsia" w:ascii="宋体" w:hAnsi="宋体" w:eastAsia="宋体" w:cs="宋体"/>
          <w:b/>
          <w:color w:val="auto"/>
          <w:sz w:val="24"/>
          <w:szCs w:val="24"/>
        </w:rPr>
        <w:t>.供应商的</w:t>
      </w:r>
      <w:r>
        <w:rPr>
          <w:rFonts w:hint="eastAsia" w:ascii="宋体" w:hAnsi="宋体" w:eastAsia="宋体" w:cs="宋体"/>
          <w:b/>
          <w:bCs/>
          <w:color w:val="auto"/>
          <w:sz w:val="24"/>
          <w:szCs w:val="24"/>
        </w:rPr>
        <w:t>资格</w:t>
      </w:r>
      <w:r>
        <w:rPr>
          <w:rFonts w:hint="eastAsia" w:ascii="宋体" w:hAnsi="宋体" w:eastAsia="宋体" w:cs="宋体"/>
          <w:b/>
          <w:color w:val="auto"/>
          <w:sz w:val="24"/>
          <w:szCs w:val="24"/>
        </w:rPr>
        <w:t>核查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25</w:t>
      </w:r>
      <w:r>
        <w:rPr>
          <w:rFonts w:hint="eastAsia" w:ascii="宋体" w:hAnsi="宋体" w:eastAsia="宋体" w:cs="宋体"/>
          <w:color w:val="auto"/>
          <w:sz w:val="24"/>
          <w:szCs w:val="24"/>
        </w:rPr>
        <w:t>.1 磋商小组根据磋商文件规定的供应商资格条件要求，对响应文件进行资格核查。供应商不满足资格条件的，在评审时将其视为无效响应。</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必须随身携带</w:t>
      </w:r>
      <w:r>
        <w:rPr>
          <w:rFonts w:hint="eastAsia" w:ascii="宋体" w:hAnsi="宋体" w:eastAsia="宋体" w:cs="宋体"/>
          <w:color w:val="auto"/>
          <w:sz w:val="24"/>
          <w:szCs w:val="24"/>
          <w:lang w:eastAsia="zh-CN"/>
        </w:rPr>
        <w:t>以下证件</w:t>
      </w:r>
      <w:r>
        <w:rPr>
          <w:rFonts w:hint="eastAsia" w:ascii="宋体" w:hAnsi="宋体" w:eastAsia="宋体" w:cs="宋体"/>
          <w:color w:val="auto"/>
          <w:sz w:val="24"/>
          <w:szCs w:val="24"/>
        </w:rPr>
        <w:t>，现场查验，如不提供其投标将被拒绝（</w:t>
      </w:r>
      <w:r>
        <w:rPr>
          <w:rFonts w:hint="eastAsia" w:ascii="宋体" w:hAnsi="宋体" w:eastAsia="宋体" w:cs="宋体"/>
          <w:color w:val="auto"/>
          <w:sz w:val="24"/>
          <w:szCs w:val="24"/>
          <w:lang w:eastAsia="zh-CN"/>
        </w:rPr>
        <w:t>响应文</w:t>
      </w:r>
      <w:r>
        <w:rPr>
          <w:rFonts w:hint="eastAsia" w:ascii="宋体" w:hAnsi="宋体" w:eastAsia="宋体" w:cs="宋体"/>
          <w:color w:val="auto"/>
          <w:sz w:val="24"/>
          <w:szCs w:val="24"/>
        </w:rPr>
        <w:t>件中也必须附有相同的证件复印件并加盖公章）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磋商小组</w:t>
      </w:r>
      <w:r>
        <w:rPr>
          <w:rFonts w:hint="eastAsia" w:ascii="宋体" w:hAnsi="宋体" w:eastAsia="宋体" w:cs="宋体"/>
          <w:color w:val="auto"/>
          <w:sz w:val="24"/>
          <w:szCs w:val="24"/>
          <w:lang w:eastAsia="zh-CN"/>
        </w:rPr>
        <w:t>审查</w:t>
      </w:r>
      <w:r>
        <w:rPr>
          <w:rFonts w:hint="eastAsia" w:ascii="宋体" w:hAnsi="宋体" w:eastAsia="宋体" w:cs="宋体"/>
          <w:color w:val="auto"/>
          <w:sz w:val="24"/>
          <w:szCs w:val="24"/>
        </w:rPr>
        <w:t>供应商提交有关证明和证件的原件</w:t>
      </w:r>
      <w:r>
        <w:rPr>
          <w:rFonts w:hint="eastAsia" w:ascii="宋体" w:hAnsi="宋体" w:eastAsia="宋体" w:cs="宋体"/>
          <w:color w:val="auto"/>
          <w:sz w:val="24"/>
          <w:szCs w:val="24"/>
          <w:lang w:eastAsia="zh-CN"/>
        </w:rPr>
        <w:t>，原件包含以下：</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（1）法定代表人身份证（驾驶执照正本、护照或公安部门的相关证明）或法定代表人授权委托书和委托代理人的身份证（驾驶执照正本、护照或公安部门的相关证明）；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法定代表人授权委托书应当单独提供，并与响应文件中所提供的相一致，以上证件均应当为原件；</w:t>
      </w:r>
    </w:p>
    <w:p>
      <w:pPr>
        <w:widowControl/>
        <w:adjustRightInd w:val="0"/>
        <w:snapToGrid w:val="0"/>
        <w:spacing w:line="360" w:lineRule="auto"/>
        <w:ind w:firstLine="480" w:firstLineChars="200"/>
        <w:jc w:val="left"/>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（2）企业法人营业执照副本原件；</w:t>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（3）会计事务所出具的20</w:t>
      </w:r>
      <w:r>
        <w:rPr>
          <w:rFonts w:hint="eastAsia" w:ascii="宋体" w:hAnsi="宋体" w:cs="宋体"/>
          <w:color w:val="auto"/>
          <w:sz w:val="24"/>
          <w:szCs w:val="24"/>
          <w:lang w:val="en-US" w:eastAsia="zh-CN"/>
        </w:rPr>
        <w:t>21</w:t>
      </w:r>
      <w:r>
        <w:rPr>
          <w:rFonts w:hint="eastAsia" w:ascii="宋体" w:hAnsi="宋体" w:eastAsia="宋体" w:cs="宋体"/>
          <w:color w:val="auto"/>
          <w:sz w:val="24"/>
          <w:szCs w:val="24"/>
          <w:lang w:val="en-US" w:eastAsia="zh-CN"/>
        </w:rPr>
        <w:t>年度财务审计报告或提供银行出具的资信证明；</w:t>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（4）税务部门出具的202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年依法纳税证明资料;</w:t>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须提供供应商和项目团队成员2019-2021年未受到监管处罚承诺函原件；</w:t>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供应商分别在“信用中国”（www.creditchina.gov.cn）网上查询本公司未被列入失信被执行人、</w:t>
      </w:r>
      <w:r>
        <w:rPr>
          <w:rFonts w:hint="eastAsia" w:ascii="宋体" w:hAnsi="宋体" w:cs="宋体"/>
          <w:color w:val="auto"/>
          <w:sz w:val="24"/>
          <w:szCs w:val="24"/>
          <w:lang w:val="en-US" w:eastAsia="zh-CN"/>
        </w:rPr>
        <w:t>重大税收违法失信主体</w:t>
      </w:r>
      <w:r>
        <w:rPr>
          <w:rFonts w:hint="eastAsia" w:ascii="宋体" w:hAnsi="宋体" w:eastAsia="宋体" w:cs="宋体"/>
          <w:color w:val="auto"/>
          <w:sz w:val="24"/>
          <w:szCs w:val="24"/>
          <w:lang w:val="en-US" w:eastAsia="zh-CN"/>
        </w:rPr>
        <w:t>、“中国政府采购网”（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"http://www.ccgp.gov.cn）网上查询本公司未被列入政府采购严重违法失信行为记录名单（提供查询结果网页截图并加盖供应商公章，网页打印件须自招标公告发布之日起至截止日内从上述网站中打印）；" </w:instrText>
      </w:r>
      <w:r>
        <w:rPr>
          <w:rFonts w:hint="eastAsia" w:ascii="宋体" w:hAnsi="宋体" w:eastAsia="宋体" w:cs="宋体"/>
          <w:color w:val="auto"/>
          <w:sz w:val="24"/>
          <w:szCs w:val="24"/>
          <w:lang w:val="en-US" w:eastAsia="zh-CN"/>
        </w:rPr>
        <w:fldChar w:fldCharType="separate"/>
      </w:r>
      <w:r>
        <w:rPr>
          <w:rStyle w:val="56"/>
          <w:rFonts w:hint="eastAsia" w:ascii="宋体" w:hAnsi="宋体" w:eastAsia="宋体" w:cs="宋体"/>
          <w:color w:val="auto"/>
          <w:sz w:val="24"/>
          <w:szCs w:val="24"/>
          <w:lang w:val="en-US" w:eastAsia="zh-CN"/>
        </w:rPr>
        <w:t>www.ccgp.gov.cn）网上查询本公司未被列入政府采购严重违法失信行为记录名单（提供查询结果网页截图并加盖供应商公章，网页打印件须自公告发布之日起至截止日内从上述网站中打印）；</w:t>
      </w:r>
      <w:r>
        <w:rPr>
          <w:rFonts w:hint="eastAsia" w:ascii="宋体" w:hAnsi="宋体" w:eastAsia="宋体" w:cs="宋体"/>
          <w:color w:val="auto"/>
          <w:sz w:val="24"/>
          <w:szCs w:val="24"/>
          <w:lang w:val="en-US" w:eastAsia="zh-CN"/>
        </w:rPr>
        <w:fldChar w:fldCharType="end"/>
      </w:r>
    </w:p>
    <w:p>
      <w:pPr>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）投标保证金收据原件；</w:t>
      </w:r>
    </w:p>
    <w:p>
      <w:pPr>
        <w:widowControl/>
        <w:adjustRightInd w:val="0"/>
        <w:snapToGrid w:val="0"/>
        <w:spacing w:line="360" w:lineRule="auto"/>
        <w:ind w:firstLine="480" w:firstLineChars="200"/>
        <w:jc w:val="left"/>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）证件齐全、满足要求的供应商为有效供应商。</w:t>
      </w:r>
    </w:p>
    <w:p>
      <w:pPr>
        <w:widowControl/>
        <w:adjustRightInd w:val="0"/>
        <w:snapToGrid w:val="0"/>
        <w:spacing w:line="360" w:lineRule="auto"/>
        <w:ind w:firstLine="482" w:firstLineChars="200"/>
        <w:jc w:val="left"/>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26</w:t>
      </w:r>
      <w:r>
        <w:rPr>
          <w:rFonts w:hint="eastAsia" w:ascii="宋体" w:hAnsi="宋体" w:eastAsia="宋体" w:cs="宋体"/>
          <w:b/>
          <w:color w:val="auto"/>
          <w:kern w:val="0"/>
          <w:sz w:val="24"/>
          <w:szCs w:val="24"/>
        </w:rPr>
        <w:t>.澄清</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26</w:t>
      </w:r>
      <w:r>
        <w:rPr>
          <w:rFonts w:hint="eastAsia" w:ascii="宋体" w:hAnsi="宋体" w:eastAsia="宋体" w:cs="宋体"/>
          <w:color w:val="auto"/>
          <w:kern w:val="0"/>
          <w:sz w:val="24"/>
          <w:szCs w:val="24"/>
        </w:rPr>
        <w:t>.1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磋商文件的范围或者改变响应文件的实质性内容。</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26</w:t>
      </w:r>
      <w:r>
        <w:rPr>
          <w:rFonts w:hint="eastAsia" w:ascii="宋体" w:hAnsi="宋体" w:eastAsia="宋体" w:cs="宋体"/>
          <w:color w:val="auto"/>
          <w:kern w:val="0"/>
          <w:sz w:val="24"/>
          <w:szCs w:val="24"/>
        </w:rPr>
        <w:t>.2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27</w:t>
      </w:r>
      <w:r>
        <w:rPr>
          <w:rFonts w:hint="eastAsia" w:ascii="宋体" w:hAnsi="宋体" w:eastAsia="宋体" w:cs="宋体"/>
          <w:b/>
          <w:color w:val="auto"/>
          <w:kern w:val="0"/>
          <w:sz w:val="24"/>
          <w:szCs w:val="24"/>
        </w:rPr>
        <w:t>.符合性审查</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27</w:t>
      </w:r>
      <w:r>
        <w:rPr>
          <w:rFonts w:hint="eastAsia" w:ascii="宋体" w:hAnsi="宋体" w:eastAsia="宋体" w:cs="宋体"/>
          <w:color w:val="auto"/>
          <w:kern w:val="0"/>
          <w:sz w:val="24"/>
          <w:szCs w:val="24"/>
        </w:rPr>
        <w:t>.1磋商小组按照磋商文件的规定，对供应商响应文件进行符合性审查。</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27</w:t>
      </w:r>
      <w:r>
        <w:rPr>
          <w:rFonts w:hint="eastAsia" w:ascii="宋体" w:hAnsi="宋体" w:eastAsia="宋体" w:cs="宋体"/>
          <w:color w:val="auto"/>
          <w:kern w:val="0"/>
          <w:sz w:val="24"/>
          <w:szCs w:val="24"/>
        </w:rPr>
        <w:t>.2供应商响应文件有下列情况之一，其响应文件无效：</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（1）应交未交保证金或金额不足、保函有效期不足、保证金形式或保函出证机构不符合磋商文件要求或未按磋商文件要求交纳保证金的；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（2）未按照磋商文件规定要求密封、签署、盖章的；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（3）响应文件有效期不足的；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（4）报价超过采购</w:t>
      </w:r>
      <w:r>
        <w:rPr>
          <w:rFonts w:hint="eastAsia" w:ascii="宋体" w:hAnsi="宋体" w:eastAsia="宋体" w:cs="宋体"/>
          <w:color w:val="auto"/>
          <w:kern w:val="0"/>
          <w:sz w:val="24"/>
          <w:szCs w:val="24"/>
          <w:lang w:eastAsia="zh-CN"/>
        </w:rPr>
        <w:t>预算</w:t>
      </w:r>
      <w:r>
        <w:rPr>
          <w:rFonts w:hint="eastAsia" w:ascii="宋体" w:hAnsi="宋体" w:eastAsia="宋体" w:cs="宋体"/>
          <w:color w:val="auto"/>
          <w:kern w:val="0"/>
          <w:sz w:val="24"/>
          <w:szCs w:val="24"/>
        </w:rPr>
        <w:t>价的；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（5）供应商递交的电子档不符合本磋商文件</w:t>
      </w:r>
      <w:r>
        <w:rPr>
          <w:rFonts w:hint="eastAsia" w:ascii="宋体" w:hAnsi="宋体" w:eastAsia="宋体" w:cs="宋体"/>
          <w:color w:val="auto"/>
          <w:kern w:val="0"/>
          <w:sz w:val="24"/>
          <w:szCs w:val="24"/>
          <w:lang w:eastAsia="zh-CN"/>
        </w:rPr>
        <w:t>19</w:t>
      </w:r>
      <w:r>
        <w:rPr>
          <w:rFonts w:hint="eastAsia" w:ascii="宋体" w:hAnsi="宋体" w:eastAsia="宋体" w:cs="宋体"/>
          <w:color w:val="auto"/>
          <w:kern w:val="0"/>
          <w:sz w:val="24"/>
          <w:szCs w:val="24"/>
        </w:rPr>
        <w:t>.4规定的；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（6）供应商未按照本磋商文件第一章磋商</w:t>
      </w:r>
      <w:r>
        <w:rPr>
          <w:rFonts w:hint="eastAsia" w:ascii="宋体" w:hAnsi="宋体" w:eastAsia="宋体" w:cs="宋体"/>
          <w:color w:val="auto"/>
          <w:kern w:val="0"/>
          <w:sz w:val="24"/>
          <w:szCs w:val="24"/>
          <w:lang w:eastAsia="zh-CN"/>
        </w:rPr>
        <w:t>须知</w:t>
      </w: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款规定要求提交供应商资格证明材料原件的；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（7）不符合磋商文件★条款的；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（8）不符合法律、法规和磋商文件规定或符合本磋商文件其他无效响应条款规定的。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27</w:t>
      </w:r>
      <w:r>
        <w:rPr>
          <w:rFonts w:hint="eastAsia" w:ascii="宋体" w:hAnsi="宋体" w:eastAsia="宋体" w:cs="宋体"/>
          <w:color w:val="auto"/>
          <w:kern w:val="0"/>
          <w:sz w:val="24"/>
          <w:szCs w:val="24"/>
        </w:rPr>
        <w:t>.3符合性审查结束后，磋商小组所有成员集中与单一供应商分别进行磋商，并给予所有参加磋商采购活动的供应商平等的磋商机会。供应商应派其法定代表人或委托代理人参加磋商。</w:t>
      </w:r>
    </w:p>
    <w:p>
      <w:pPr>
        <w:widowControl/>
        <w:adjustRightInd w:val="0"/>
        <w:snapToGrid w:val="0"/>
        <w:spacing w:line="360" w:lineRule="auto"/>
        <w:jc w:val="left"/>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28</w:t>
      </w:r>
      <w:r>
        <w:rPr>
          <w:rFonts w:hint="eastAsia" w:ascii="宋体" w:hAnsi="宋体" w:eastAsia="宋体" w:cs="宋体"/>
          <w:b/>
          <w:color w:val="auto"/>
          <w:kern w:val="0"/>
          <w:sz w:val="24"/>
          <w:szCs w:val="24"/>
        </w:rPr>
        <w:t>.磋商</w:t>
      </w:r>
    </w:p>
    <w:p>
      <w:pPr>
        <w:widowControl/>
        <w:adjustRightInd w:val="0"/>
        <w:snapToGrid w:val="0"/>
        <w:spacing w:line="360" w:lineRule="auto"/>
        <w:ind w:firstLine="420"/>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.1对于</w:t>
      </w:r>
      <w:r>
        <w:rPr>
          <w:rFonts w:hint="eastAsia" w:ascii="宋体" w:hAnsi="宋体" w:eastAsia="宋体" w:cs="宋体"/>
          <w:color w:val="auto"/>
          <w:sz w:val="24"/>
          <w:szCs w:val="24"/>
        </w:rPr>
        <w:t>本章</w:t>
      </w:r>
      <w:r>
        <w:rPr>
          <w:rFonts w:hint="eastAsia" w:ascii="宋体" w:hAnsi="宋体" w:eastAsia="宋体" w:cs="宋体"/>
          <w:color w:val="auto"/>
          <w:kern w:val="0"/>
          <w:sz w:val="24"/>
          <w:szCs w:val="24"/>
        </w:rPr>
        <w:t>未明确磋商文件实质性变动内容，或者磋商文件明确了可能发生实质性变动内容，但在磋商过程中，</w:t>
      </w:r>
      <w:r>
        <w:rPr>
          <w:rFonts w:hint="eastAsia" w:ascii="宋体" w:hAnsi="宋体" w:eastAsia="宋体" w:cs="宋体"/>
          <w:bCs/>
          <w:color w:val="auto"/>
          <w:sz w:val="24"/>
          <w:szCs w:val="24"/>
        </w:rPr>
        <w:t>磋商小组</w:t>
      </w:r>
      <w:r>
        <w:rPr>
          <w:rFonts w:hint="eastAsia" w:ascii="宋体" w:hAnsi="宋体" w:eastAsia="宋体" w:cs="宋体"/>
          <w:color w:val="auto"/>
          <w:kern w:val="0"/>
          <w:sz w:val="24"/>
          <w:szCs w:val="24"/>
        </w:rPr>
        <w:t>根据磋商情况</w:t>
      </w:r>
      <w:r>
        <w:rPr>
          <w:rFonts w:hint="eastAsia" w:ascii="宋体" w:hAnsi="宋体" w:eastAsia="宋体" w:cs="宋体"/>
          <w:bCs/>
          <w:color w:val="auto"/>
          <w:sz w:val="24"/>
          <w:szCs w:val="24"/>
        </w:rPr>
        <w:t>认为</w:t>
      </w:r>
      <w:r>
        <w:rPr>
          <w:rFonts w:hint="eastAsia" w:ascii="宋体" w:hAnsi="宋体" w:eastAsia="宋体" w:cs="宋体"/>
          <w:color w:val="auto"/>
          <w:kern w:val="0"/>
          <w:sz w:val="24"/>
          <w:szCs w:val="24"/>
        </w:rPr>
        <w:t>磋商文件无需发生实质性变动的，磋商小组应当</w:t>
      </w:r>
      <w:r>
        <w:rPr>
          <w:rFonts w:hint="eastAsia" w:ascii="宋体" w:hAnsi="宋体" w:eastAsia="宋体" w:cs="宋体"/>
          <w:color w:val="auto"/>
          <w:sz w:val="24"/>
          <w:szCs w:val="24"/>
        </w:rPr>
        <w:t>根据本章第</w:t>
      </w:r>
      <w:r>
        <w:rPr>
          <w:rFonts w:hint="eastAsia" w:ascii="宋体" w:hAnsi="宋体" w:eastAsia="宋体" w:cs="宋体"/>
          <w:color w:val="auto"/>
          <w:sz w:val="24"/>
          <w:szCs w:val="24"/>
          <w:lang w:eastAsia="zh-CN"/>
        </w:rPr>
        <w:t>25</w:t>
      </w:r>
      <w:r>
        <w:rPr>
          <w:rFonts w:hint="eastAsia" w:ascii="宋体" w:hAnsi="宋体" w:eastAsia="宋体" w:cs="宋体"/>
          <w:color w:val="auto"/>
          <w:sz w:val="24"/>
          <w:szCs w:val="24"/>
        </w:rPr>
        <w:t>款、第</w:t>
      </w:r>
      <w:r>
        <w:rPr>
          <w:rFonts w:hint="eastAsia" w:ascii="宋体" w:hAnsi="宋体" w:eastAsia="宋体" w:cs="宋体"/>
          <w:color w:val="auto"/>
          <w:sz w:val="24"/>
          <w:szCs w:val="24"/>
          <w:lang w:eastAsia="zh-CN"/>
        </w:rPr>
        <w:t>27</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对供应商提交的响应文件进行资格性、符合性审查，直接与实质性响应磋商文件要求的供应商就价格组织多轮磋商。</w:t>
      </w:r>
    </w:p>
    <w:p>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（2）磋商文件明确可能发生实质性变动，但在磋商过程中</w:t>
      </w:r>
      <w:r>
        <w:rPr>
          <w:rFonts w:hint="eastAsia" w:ascii="宋体" w:hAnsi="宋体" w:eastAsia="宋体" w:cs="宋体"/>
          <w:bCs/>
          <w:color w:val="auto"/>
          <w:sz w:val="24"/>
          <w:szCs w:val="24"/>
        </w:rPr>
        <w:t>磋商小组</w:t>
      </w:r>
      <w:r>
        <w:rPr>
          <w:rFonts w:hint="eastAsia" w:ascii="宋体" w:hAnsi="宋体" w:eastAsia="宋体" w:cs="宋体"/>
          <w:color w:val="auto"/>
          <w:kern w:val="0"/>
          <w:sz w:val="24"/>
          <w:szCs w:val="24"/>
        </w:rPr>
        <w:t>根据磋</w:t>
      </w:r>
      <w:r>
        <w:rPr>
          <w:rFonts w:hint="eastAsia" w:ascii="宋体" w:hAnsi="宋体" w:eastAsia="宋体" w:cs="宋体"/>
          <w:color w:val="auto"/>
          <w:kern w:val="0"/>
          <w:sz w:val="24"/>
          <w:szCs w:val="24"/>
          <w:lang w:eastAsia="zh-CN"/>
        </w:rPr>
        <w:t>商</w:t>
      </w:r>
      <w:r>
        <w:rPr>
          <w:rFonts w:hint="eastAsia" w:ascii="宋体" w:hAnsi="宋体" w:eastAsia="宋体" w:cs="宋体"/>
          <w:color w:val="auto"/>
          <w:kern w:val="0"/>
          <w:sz w:val="24"/>
          <w:szCs w:val="24"/>
        </w:rPr>
        <w:t>情况</w:t>
      </w:r>
      <w:r>
        <w:rPr>
          <w:rFonts w:hint="eastAsia" w:ascii="宋体" w:hAnsi="宋体" w:eastAsia="宋体" w:cs="宋体"/>
          <w:bCs/>
          <w:color w:val="auto"/>
          <w:sz w:val="24"/>
          <w:szCs w:val="24"/>
        </w:rPr>
        <w:t>认为</w:t>
      </w:r>
      <w:r>
        <w:rPr>
          <w:rFonts w:hint="eastAsia" w:ascii="宋体" w:hAnsi="宋体" w:eastAsia="宋体" w:cs="宋体"/>
          <w:color w:val="auto"/>
          <w:kern w:val="0"/>
          <w:sz w:val="24"/>
          <w:szCs w:val="24"/>
        </w:rPr>
        <w:t>磋商文件无需发生实质性变动的，磋商小组不另行通知。</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.2对于</w:t>
      </w:r>
      <w:r>
        <w:rPr>
          <w:rFonts w:hint="eastAsia" w:ascii="宋体" w:hAnsi="宋体" w:eastAsia="宋体" w:cs="宋体"/>
          <w:color w:val="auto"/>
          <w:sz w:val="24"/>
          <w:szCs w:val="24"/>
        </w:rPr>
        <w:t>本章</w:t>
      </w:r>
      <w:r>
        <w:rPr>
          <w:rFonts w:hint="eastAsia" w:ascii="宋体" w:hAnsi="宋体" w:eastAsia="宋体" w:cs="宋体"/>
          <w:color w:val="auto"/>
          <w:kern w:val="0"/>
          <w:sz w:val="24"/>
          <w:szCs w:val="24"/>
        </w:rPr>
        <w:t>明确磋商文件实质性变动内容，且在磋商过程中磋商文件实质性内容发生变动的，</w:t>
      </w:r>
      <w:r>
        <w:rPr>
          <w:rFonts w:hint="eastAsia" w:ascii="宋体" w:hAnsi="宋体" w:eastAsia="宋体" w:cs="宋体"/>
          <w:bCs/>
          <w:color w:val="auto"/>
          <w:sz w:val="24"/>
          <w:szCs w:val="24"/>
        </w:rPr>
        <w:t>磋商小组</w:t>
      </w:r>
      <w:r>
        <w:rPr>
          <w:rFonts w:hint="eastAsia" w:ascii="宋体" w:hAnsi="宋体" w:eastAsia="宋体" w:cs="宋体"/>
          <w:color w:val="auto"/>
          <w:kern w:val="0"/>
          <w:sz w:val="24"/>
          <w:szCs w:val="24"/>
        </w:rPr>
        <w:t>可以组织多轮磋商。</w:t>
      </w:r>
      <w:r>
        <w:rPr>
          <w:rFonts w:hint="eastAsia" w:ascii="宋体" w:hAnsi="宋体" w:eastAsia="宋体" w:cs="宋体"/>
          <w:bCs/>
          <w:color w:val="auto"/>
          <w:sz w:val="24"/>
          <w:szCs w:val="24"/>
        </w:rPr>
        <w:t>在每一轮磋商中，磋商小组</w:t>
      </w:r>
      <w:r>
        <w:rPr>
          <w:rFonts w:hint="eastAsia" w:ascii="宋体" w:hAnsi="宋体" w:eastAsia="宋体" w:cs="宋体"/>
          <w:color w:val="auto"/>
          <w:kern w:val="0"/>
          <w:sz w:val="24"/>
          <w:szCs w:val="24"/>
        </w:rPr>
        <w:t>可以根据磋商文件规定和磋商情况，</w:t>
      </w:r>
      <w:r>
        <w:rPr>
          <w:rFonts w:hint="eastAsia" w:ascii="宋体" w:hAnsi="宋体" w:eastAsia="宋体" w:cs="宋体"/>
          <w:bCs/>
          <w:color w:val="auto"/>
          <w:sz w:val="24"/>
          <w:szCs w:val="24"/>
        </w:rPr>
        <w:t>对磋商文件的</w:t>
      </w:r>
      <w:r>
        <w:rPr>
          <w:rFonts w:hint="eastAsia" w:ascii="宋体" w:hAnsi="宋体" w:eastAsia="宋体" w:cs="宋体"/>
          <w:color w:val="auto"/>
          <w:kern w:val="0"/>
          <w:sz w:val="24"/>
          <w:szCs w:val="24"/>
        </w:rPr>
        <w:t>采购需求中的技术、服务要求以及合同草案条款</w:t>
      </w:r>
      <w:r>
        <w:rPr>
          <w:rFonts w:hint="eastAsia" w:ascii="宋体" w:hAnsi="宋体" w:eastAsia="宋体" w:cs="宋体"/>
          <w:bCs/>
          <w:color w:val="auto"/>
          <w:sz w:val="24"/>
          <w:szCs w:val="24"/>
        </w:rPr>
        <w:t>作实质性变动(磋商文件的实质性变动内容为磋商文件的组成部分)，并以书面形式要求</w:t>
      </w:r>
      <w:r>
        <w:rPr>
          <w:rFonts w:hint="eastAsia" w:ascii="宋体" w:hAnsi="宋体" w:eastAsia="宋体" w:cs="宋体"/>
          <w:color w:val="auto"/>
          <w:kern w:val="0"/>
          <w:sz w:val="24"/>
          <w:szCs w:val="24"/>
        </w:rPr>
        <w:t>符合性审查合格</w:t>
      </w:r>
      <w:r>
        <w:rPr>
          <w:rFonts w:hint="eastAsia" w:ascii="宋体" w:hAnsi="宋体" w:eastAsia="宋体" w:cs="宋体"/>
          <w:bCs/>
          <w:color w:val="auto"/>
          <w:sz w:val="24"/>
          <w:szCs w:val="24"/>
        </w:rPr>
        <w:t>的供应商，在规定的</w:t>
      </w:r>
      <w:r>
        <w:rPr>
          <w:rFonts w:hint="eastAsia" w:ascii="宋体" w:hAnsi="宋体" w:eastAsia="宋体" w:cs="宋体"/>
          <w:color w:val="auto"/>
          <w:kern w:val="0"/>
          <w:sz w:val="24"/>
          <w:szCs w:val="24"/>
        </w:rPr>
        <w:t>截止时间前</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新提交响应文件</w:t>
      </w:r>
      <w:r>
        <w:rPr>
          <w:rFonts w:hint="eastAsia" w:ascii="宋体" w:hAnsi="宋体" w:eastAsia="宋体" w:cs="宋体"/>
          <w:bCs/>
          <w:color w:val="auto"/>
          <w:sz w:val="24"/>
          <w:szCs w:val="24"/>
        </w:rPr>
        <w:t>。</w:t>
      </w:r>
      <w:r>
        <w:rPr>
          <w:rFonts w:hint="eastAsia" w:ascii="宋体" w:hAnsi="宋体" w:eastAsia="宋体" w:cs="宋体"/>
          <w:color w:val="auto"/>
          <w:kern w:val="0"/>
          <w:sz w:val="24"/>
          <w:szCs w:val="24"/>
        </w:rPr>
        <w:t>磋商小组应当</w:t>
      </w:r>
      <w:r>
        <w:rPr>
          <w:rFonts w:hint="eastAsia" w:ascii="宋体" w:hAnsi="宋体" w:eastAsia="宋体" w:cs="宋体"/>
          <w:color w:val="auto"/>
          <w:sz w:val="24"/>
          <w:szCs w:val="24"/>
        </w:rPr>
        <w:t>根据本章第</w:t>
      </w:r>
      <w:r>
        <w:rPr>
          <w:rFonts w:hint="eastAsia" w:ascii="宋体" w:hAnsi="宋体" w:eastAsia="宋体" w:cs="宋体"/>
          <w:color w:val="auto"/>
          <w:sz w:val="24"/>
          <w:szCs w:val="24"/>
          <w:lang w:eastAsia="zh-CN"/>
        </w:rPr>
        <w:t>27</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27</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对供应商重新提交的响应文件进行符合性审查。供应商重新提交的响应文件未通过符合性审查的，不得进入下一轮磋商，也不得要求提交最后报价。</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28</w:t>
      </w:r>
      <w:r>
        <w:rPr>
          <w:rFonts w:hint="eastAsia" w:ascii="宋体" w:hAnsi="宋体" w:eastAsia="宋体" w:cs="宋体"/>
          <w:bCs/>
          <w:color w:val="auto"/>
          <w:sz w:val="24"/>
          <w:szCs w:val="24"/>
        </w:rPr>
        <w:t>.3</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新提交的响应文件</w:t>
      </w:r>
      <w:r>
        <w:rPr>
          <w:rFonts w:hint="eastAsia" w:ascii="宋体" w:hAnsi="宋体" w:eastAsia="宋体" w:cs="宋体"/>
          <w:color w:val="auto"/>
          <w:sz w:val="24"/>
          <w:szCs w:val="24"/>
        </w:rPr>
        <w:t>或者最后报价应按</w:t>
      </w:r>
      <w:r>
        <w:rPr>
          <w:rFonts w:hint="eastAsia" w:ascii="宋体" w:hAnsi="宋体" w:eastAsia="宋体" w:cs="宋体"/>
          <w:color w:val="auto"/>
          <w:kern w:val="0"/>
          <w:sz w:val="24"/>
          <w:szCs w:val="24"/>
        </w:rPr>
        <w:t>本章第</w:t>
      </w:r>
      <w:r>
        <w:rPr>
          <w:rFonts w:hint="eastAsia" w:ascii="宋体" w:hAnsi="宋体" w:eastAsia="宋体" w:cs="宋体"/>
          <w:color w:val="auto"/>
          <w:kern w:val="0"/>
          <w:sz w:val="24"/>
          <w:szCs w:val="24"/>
          <w:lang w:eastAsia="zh-CN"/>
        </w:rPr>
        <w:t>19</w:t>
      </w:r>
      <w:r>
        <w:rPr>
          <w:rFonts w:hint="eastAsia" w:ascii="宋体" w:hAnsi="宋体" w:eastAsia="宋体" w:cs="宋体"/>
          <w:color w:val="auto"/>
          <w:sz w:val="24"/>
          <w:szCs w:val="24"/>
        </w:rPr>
        <w:t>.3</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由其法定代表人或其委托代理人签字或者加盖供应商单位章，在规定时间内密封递交给磋商小组</w:t>
      </w:r>
      <w:r>
        <w:rPr>
          <w:rFonts w:hint="eastAsia" w:ascii="宋体" w:hAnsi="宋体" w:eastAsia="宋体" w:cs="宋体"/>
          <w:bCs/>
          <w:color w:val="auto"/>
          <w:sz w:val="24"/>
          <w:szCs w:val="24"/>
        </w:rPr>
        <w:t>。</w:t>
      </w:r>
    </w:p>
    <w:p>
      <w:pPr>
        <w:widowControl/>
        <w:adjustRightInd w:val="0"/>
        <w:snapToGrid w:val="0"/>
        <w:spacing w:line="360" w:lineRule="auto"/>
        <w:ind w:firstLine="42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.4最后报价。</w:t>
      </w:r>
      <w:r>
        <w:rPr>
          <w:rFonts w:hint="eastAsia" w:ascii="宋体" w:hAnsi="宋体" w:eastAsia="宋体" w:cs="宋体"/>
          <w:bCs/>
          <w:color w:val="auto"/>
          <w:sz w:val="24"/>
          <w:szCs w:val="24"/>
        </w:rPr>
        <w:t>最后报价是供应商响应文件的有效组成部分。磋商文件能够详细列明采购标的的技术、服务要求的，磋商结束后，磋商小组应当要求所有实质性响应的供应商在规定时间内提交最后报价，提交最后报价的供应商不得少于3家。市场竞争不充分的科研项目，以及需要扶持的科技成果转化项目，提交最后报价的供应商可以为2家。</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28</w:t>
      </w:r>
      <w:r>
        <w:rPr>
          <w:rFonts w:hint="eastAsia" w:ascii="宋体" w:hAnsi="宋体" w:eastAsia="宋体" w:cs="宋体"/>
          <w:color w:val="auto"/>
          <w:kern w:val="0"/>
          <w:sz w:val="24"/>
          <w:szCs w:val="24"/>
        </w:rPr>
        <w:t>.5提交响应文件的供应商，在提交最后报价之前，可以根据磋商情况退出磋商，并</w:t>
      </w:r>
      <w:r>
        <w:rPr>
          <w:rFonts w:hint="eastAsia" w:ascii="宋体" w:hAnsi="宋体" w:eastAsia="宋体" w:cs="宋体"/>
          <w:b/>
          <w:color w:val="auto"/>
          <w:kern w:val="0"/>
          <w:sz w:val="24"/>
          <w:szCs w:val="24"/>
        </w:rPr>
        <w:t>书面通知</w:t>
      </w:r>
      <w:r>
        <w:rPr>
          <w:rFonts w:hint="eastAsia" w:ascii="宋体" w:hAnsi="宋体" w:eastAsia="宋体" w:cs="宋体"/>
          <w:color w:val="auto"/>
          <w:kern w:val="0"/>
          <w:sz w:val="24"/>
          <w:szCs w:val="24"/>
        </w:rPr>
        <w:t>采购代理机构或者磋商小组。</w:t>
      </w:r>
      <w:r>
        <w:rPr>
          <w:rFonts w:hint="eastAsia" w:ascii="宋体" w:hAnsi="宋体" w:eastAsia="宋体" w:cs="宋体"/>
          <w:color w:val="auto"/>
          <w:sz w:val="24"/>
          <w:szCs w:val="24"/>
        </w:rPr>
        <w:t>该通知由供应商法定代表人或其委托代理人签字。</w:t>
      </w:r>
      <w:r>
        <w:rPr>
          <w:rFonts w:hint="eastAsia" w:ascii="宋体" w:hAnsi="宋体" w:eastAsia="宋体" w:cs="宋体"/>
          <w:color w:val="auto"/>
          <w:kern w:val="0"/>
          <w:sz w:val="24"/>
          <w:szCs w:val="24"/>
        </w:rPr>
        <w:t>采购代理机构按本章第</w:t>
      </w: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rPr>
        <w:t>.4</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退还退出磋商的供应商的保证金。</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sz w:val="24"/>
          <w:szCs w:val="24"/>
          <w:lang w:eastAsia="zh-CN"/>
        </w:rPr>
        <w:t>28</w:t>
      </w:r>
      <w:r>
        <w:rPr>
          <w:rFonts w:hint="eastAsia" w:ascii="宋体" w:hAnsi="宋体" w:eastAsia="宋体" w:cs="宋体"/>
          <w:bCs/>
          <w:color w:val="auto"/>
          <w:sz w:val="24"/>
          <w:szCs w:val="24"/>
        </w:rPr>
        <w:t>.6</w:t>
      </w:r>
      <w:r>
        <w:rPr>
          <w:rFonts w:hint="eastAsia" w:ascii="宋体" w:hAnsi="宋体" w:eastAsia="宋体" w:cs="宋体"/>
          <w:color w:val="auto"/>
          <w:kern w:val="0"/>
          <w:sz w:val="24"/>
          <w:szCs w:val="24"/>
        </w:rPr>
        <w:t>提交首次响应文件的供应商，未按磋商文件规定及磋商小组要求提交最后报价(或者</w:t>
      </w:r>
      <w:r>
        <w:rPr>
          <w:rFonts w:hint="eastAsia" w:ascii="宋体" w:hAnsi="宋体" w:eastAsia="宋体" w:cs="宋体"/>
          <w:bCs/>
          <w:color w:val="auto"/>
          <w:sz w:val="24"/>
          <w:szCs w:val="24"/>
        </w:rPr>
        <w:t>重</w:t>
      </w:r>
      <w:r>
        <w:rPr>
          <w:rFonts w:hint="eastAsia" w:ascii="宋体" w:hAnsi="宋体" w:eastAsia="宋体" w:cs="宋体"/>
          <w:color w:val="auto"/>
          <w:kern w:val="0"/>
          <w:sz w:val="24"/>
          <w:szCs w:val="24"/>
        </w:rPr>
        <w:t>新提交的响应文件和最后报价)，且又未按本章第</w:t>
      </w:r>
      <w:r>
        <w:rPr>
          <w:rFonts w:hint="eastAsia" w:ascii="宋体" w:hAnsi="宋体" w:eastAsia="宋体" w:cs="宋体"/>
          <w:color w:val="auto"/>
          <w:sz w:val="24"/>
          <w:szCs w:val="24"/>
          <w:lang w:eastAsia="zh-CN"/>
        </w:rPr>
        <w:t>28</w:t>
      </w:r>
      <w:r>
        <w:rPr>
          <w:rFonts w:hint="eastAsia" w:ascii="宋体" w:hAnsi="宋体" w:eastAsia="宋体" w:cs="宋体"/>
          <w:color w:val="auto"/>
          <w:sz w:val="24"/>
          <w:szCs w:val="24"/>
        </w:rPr>
        <w:t>.5</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color w:val="auto"/>
          <w:kern w:val="0"/>
          <w:sz w:val="24"/>
          <w:szCs w:val="24"/>
        </w:rPr>
        <w:t>退出磋商的，供应商的保证金不予退还。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29</w:t>
      </w:r>
      <w:r>
        <w:rPr>
          <w:rFonts w:hint="eastAsia" w:ascii="宋体" w:hAnsi="宋体" w:eastAsia="宋体" w:cs="宋体"/>
          <w:color w:val="auto"/>
          <w:kern w:val="0"/>
          <w:sz w:val="24"/>
          <w:szCs w:val="24"/>
        </w:rPr>
        <w:t>．</w:t>
      </w:r>
      <w:r>
        <w:rPr>
          <w:rFonts w:hint="eastAsia" w:ascii="宋体" w:hAnsi="宋体" w:eastAsia="宋体" w:cs="宋体"/>
          <w:b/>
          <w:bCs/>
          <w:color w:val="auto"/>
          <w:sz w:val="24"/>
          <w:szCs w:val="24"/>
        </w:rPr>
        <w:t>磋商方法</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.1本项目采取综合评分法，即磋商小组按照磋商文件中规定的磋商方法、</w:t>
      </w:r>
      <w:r>
        <w:rPr>
          <w:rFonts w:hint="eastAsia" w:ascii="宋体" w:hAnsi="宋体" w:eastAsia="宋体" w:cs="宋体"/>
          <w:color w:val="auto"/>
          <w:sz w:val="24"/>
          <w:szCs w:val="24"/>
        </w:rPr>
        <w:t>标准和磋商因素，由经磋商确定最终采购需求，资格性、符合性检查合格的供应商提交最后报价，磋商小组采用综合评分法对提交最后报价的供应商的响应文件和最后报价进行</w:t>
      </w:r>
      <w:r>
        <w:rPr>
          <w:rFonts w:hint="eastAsia" w:ascii="宋体" w:hAnsi="宋体" w:eastAsia="宋体" w:cs="宋体"/>
          <w:bCs/>
          <w:color w:val="auto"/>
          <w:sz w:val="24"/>
          <w:szCs w:val="24"/>
        </w:rPr>
        <w:t>综合比较与评价，</w:t>
      </w:r>
      <w:r>
        <w:rPr>
          <w:rFonts w:hint="eastAsia" w:ascii="宋体" w:hAnsi="宋体" w:eastAsia="宋体" w:cs="宋体"/>
          <w:color w:val="auto"/>
          <w:sz w:val="24"/>
          <w:szCs w:val="24"/>
        </w:rPr>
        <w:t>响应文件能够最大限度的满足磋商文件规定的各项综合评价标准且经评审得分最高的供应商为成交候选供应商的评标方法。</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.2</w:t>
      </w:r>
      <w:r>
        <w:rPr>
          <w:rFonts w:hint="eastAsia" w:ascii="宋体" w:hAnsi="宋体" w:eastAsia="宋体" w:cs="宋体"/>
          <w:color w:val="auto"/>
          <w:sz w:val="24"/>
          <w:szCs w:val="24"/>
        </w:rPr>
        <w:t>磋商因素：价格、技术、信誉、业绩、服务、对磋商文件的响应程度，以及相应的比重或者权值等，但不包括供应商资格条件。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.3磋商</w:t>
      </w:r>
      <w:r>
        <w:rPr>
          <w:rFonts w:hint="eastAsia" w:ascii="宋体" w:hAnsi="宋体" w:eastAsia="宋体" w:cs="宋体"/>
          <w:color w:val="auto"/>
          <w:sz w:val="24"/>
          <w:szCs w:val="24"/>
        </w:rPr>
        <w:t>报价评价。磋商小组以经磋商确定最终采购需求，资格性、符合性检查合格的供应商提交的最后报价为基础，</w:t>
      </w:r>
      <w:r>
        <w:rPr>
          <w:rFonts w:hint="eastAsia" w:ascii="宋体" w:hAnsi="宋体" w:eastAsia="宋体" w:cs="宋体"/>
          <w:color w:val="auto"/>
          <w:kern w:val="0"/>
          <w:sz w:val="24"/>
          <w:szCs w:val="24"/>
        </w:rPr>
        <w:t>依次</w:t>
      </w:r>
      <w:r>
        <w:rPr>
          <w:rFonts w:hint="eastAsia" w:ascii="宋体" w:hAnsi="宋体" w:eastAsia="宋体" w:cs="宋体"/>
          <w:color w:val="auto"/>
          <w:sz w:val="24"/>
          <w:szCs w:val="24"/>
        </w:rPr>
        <w:t>对磋商报价进行</w:t>
      </w:r>
      <w:r>
        <w:rPr>
          <w:rFonts w:hint="eastAsia" w:ascii="宋体" w:hAnsi="宋体" w:eastAsia="宋体" w:cs="宋体"/>
          <w:color w:val="auto"/>
          <w:kern w:val="0"/>
          <w:sz w:val="24"/>
          <w:szCs w:val="24"/>
        </w:rPr>
        <w:t>算术</w:t>
      </w:r>
      <w:r>
        <w:rPr>
          <w:rFonts w:hint="eastAsia" w:ascii="宋体" w:hAnsi="宋体" w:eastAsia="宋体" w:cs="宋体"/>
          <w:color w:val="auto"/>
          <w:sz w:val="24"/>
          <w:szCs w:val="24"/>
        </w:rPr>
        <w:t>修正和政府采购政策优惠价格扣除计算。</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.4</w:t>
      </w:r>
      <w:r>
        <w:rPr>
          <w:rFonts w:hint="eastAsia" w:ascii="宋体" w:hAnsi="宋体" w:eastAsia="宋体" w:cs="宋体"/>
          <w:color w:val="auto"/>
          <w:kern w:val="0"/>
          <w:sz w:val="24"/>
          <w:szCs w:val="24"/>
        </w:rPr>
        <w:t>价格分采用低价优先法计算，即满足磋商文件要求且磋商报价最低的磋商报价为磋商基准价，其价格分为满分，其他</w:t>
      </w:r>
      <w:r>
        <w:rPr>
          <w:rFonts w:hint="eastAsia" w:ascii="宋体" w:hAnsi="宋体" w:eastAsia="宋体" w:cs="宋体"/>
          <w:color w:val="auto"/>
          <w:sz w:val="24"/>
          <w:szCs w:val="24"/>
        </w:rPr>
        <w:t>有效供应商</w:t>
      </w:r>
      <w:r>
        <w:rPr>
          <w:rFonts w:hint="eastAsia" w:ascii="宋体" w:hAnsi="宋体" w:eastAsia="宋体" w:cs="宋体"/>
          <w:color w:val="auto"/>
          <w:kern w:val="0"/>
          <w:sz w:val="24"/>
          <w:szCs w:val="24"/>
        </w:rPr>
        <w:t>的价格分按照下列公式计算：</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磋商报价得分=(磋商基准价／最后磋商报价)×价格权值×100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磋商报价高于采购人预算价为无效响应。</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本项所称磋商报价为按</w:t>
      </w:r>
      <w:r>
        <w:rPr>
          <w:rFonts w:hint="eastAsia" w:ascii="宋体" w:hAnsi="宋体" w:eastAsia="宋体" w:cs="宋体"/>
          <w:bCs/>
          <w:color w:val="auto"/>
          <w:sz w:val="24"/>
          <w:szCs w:val="24"/>
        </w:rPr>
        <w:t>本章第</w:t>
      </w: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.2</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w:t>
      </w:r>
      <w:r>
        <w:rPr>
          <w:rFonts w:hint="eastAsia" w:ascii="宋体" w:hAnsi="宋体" w:eastAsia="宋体" w:cs="宋体"/>
          <w:color w:val="auto"/>
          <w:sz w:val="24"/>
          <w:szCs w:val="24"/>
        </w:rPr>
        <w:t>评价后的磋商报价。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29</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sz w:val="24"/>
          <w:szCs w:val="24"/>
        </w:rPr>
        <w:t>评审时，磋商小组各成员应当独立对每个供应商的响应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进行评价、评分。</w:t>
      </w:r>
    </w:p>
    <w:p>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30</w:t>
      </w:r>
      <w:r>
        <w:rPr>
          <w:rFonts w:hint="eastAsia" w:ascii="宋体" w:hAnsi="宋体" w:eastAsia="宋体" w:cs="宋体"/>
          <w:b/>
          <w:color w:val="auto"/>
          <w:sz w:val="24"/>
          <w:szCs w:val="24"/>
        </w:rPr>
        <w:t>.推荐成交候选供应商</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.1磋商小组推荐响应文件满足磋商文件全部实质性要求且按评审因素的量化指标评审得分最高的供应商为成交候选供应商的评审方法，根据综合评分情况，</w:t>
      </w:r>
      <w:r>
        <w:rPr>
          <w:rFonts w:hint="eastAsia" w:ascii="宋体" w:hAnsi="宋体" w:eastAsia="宋体" w:cs="宋体"/>
          <w:bCs/>
          <w:color w:val="auto"/>
          <w:sz w:val="24"/>
          <w:szCs w:val="24"/>
        </w:rPr>
        <w:t>按得分由高到低顺序推荐3名以上成交候选供应商，并编写评审报告。得分相同的，按最后报价由低到高顺序排列。得分且最后报价相同的，按技术指标优劣顺序推荐。</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rPr>
        <w:t>.2除市场竞争不充分的科研项目，以及需要扶持的科技成果转化项目可以推荐2家成交候选供应商外，其他项目</w:t>
      </w:r>
      <w:r>
        <w:rPr>
          <w:rFonts w:hint="eastAsia" w:ascii="宋体" w:hAnsi="宋体" w:eastAsia="宋体" w:cs="宋体"/>
          <w:color w:val="auto"/>
          <w:sz w:val="24"/>
          <w:szCs w:val="24"/>
        </w:rPr>
        <w:t>成交候选供应商数量为3名</w:t>
      </w:r>
      <w:r>
        <w:rPr>
          <w:rFonts w:hint="eastAsia" w:ascii="宋体" w:hAnsi="宋体" w:eastAsia="宋体" w:cs="宋体"/>
          <w:b/>
          <w:color w:val="auto"/>
          <w:sz w:val="24"/>
          <w:szCs w:val="24"/>
        </w:rPr>
        <w:t>。</w:t>
      </w:r>
    </w:p>
    <w:p>
      <w:pPr>
        <w:tabs>
          <w:tab w:val="left" w:pos="0"/>
        </w:tabs>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31</w:t>
      </w:r>
      <w:r>
        <w:rPr>
          <w:rFonts w:hint="eastAsia" w:ascii="宋体" w:hAnsi="宋体" w:eastAsia="宋体" w:cs="宋体"/>
          <w:b/>
          <w:bCs/>
          <w:color w:val="auto"/>
          <w:sz w:val="24"/>
          <w:szCs w:val="24"/>
        </w:rPr>
        <w:t>.确定成交供应商</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31</w:t>
      </w:r>
      <w:r>
        <w:rPr>
          <w:rFonts w:hint="eastAsia" w:ascii="宋体" w:hAnsi="宋体" w:eastAsia="宋体" w:cs="宋体"/>
          <w:color w:val="auto"/>
          <w:kern w:val="0"/>
          <w:sz w:val="24"/>
          <w:szCs w:val="24"/>
        </w:rPr>
        <w:t>.1采购代理机构应当在磋商结束后2个工作日内将评审报告送采购人确认。</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31</w:t>
      </w:r>
      <w:r>
        <w:rPr>
          <w:rFonts w:hint="eastAsia" w:ascii="宋体" w:hAnsi="宋体" w:eastAsia="宋体" w:cs="宋体"/>
          <w:color w:val="auto"/>
          <w:kern w:val="0"/>
          <w:sz w:val="24"/>
          <w:szCs w:val="24"/>
        </w:rPr>
        <w:t xml:space="preserve">.2 </w:t>
      </w:r>
      <w:r>
        <w:rPr>
          <w:rFonts w:hint="eastAsia" w:ascii="宋体" w:hAnsi="宋体" w:eastAsia="宋体" w:cs="宋体"/>
          <w:color w:val="auto"/>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widowControl/>
        <w:adjustRightInd w:val="0"/>
        <w:snapToGrid w:val="0"/>
        <w:spacing w:line="360" w:lineRule="auto"/>
        <w:ind w:firstLine="42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lang w:eastAsia="zh-CN"/>
        </w:rPr>
        <w:t>31</w:t>
      </w:r>
      <w:r>
        <w:rPr>
          <w:rFonts w:hint="eastAsia" w:ascii="宋体" w:hAnsi="宋体" w:eastAsia="宋体" w:cs="宋体"/>
          <w:color w:val="auto"/>
          <w:kern w:val="0"/>
          <w:sz w:val="24"/>
          <w:szCs w:val="24"/>
        </w:rPr>
        <w:t>.3最后报价确定遵守本章第</w:t>
      </w: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条</w:t>
      </w:r>
      <w:r>
        <w:rPr>
          <w:rFonts w:hint="eastAsia" w:ascii="宋体" w:hAnsi="宋体" w:eastAsia="宋体" w:cs="宋体"/>
          <w:color w:val="auto"/>
          <w:kern w:val="0"/>
          <w:sz w:val="24"/>
          <w:szCs w:val="24"/>
        </w:rPr>
        <w:t>的</w:t>
      </w:r>
      <w:r>
        <w:rPr>
          <w:rFonts w:hint="eastAsia" w:ascii="宋体" w:hAnsi="宋体" w:eastAsia="宋体" w:cs="宋体"/>
          <w:bCs/>
          <w:color w:val="auto"/>
          <w:sz w:val="24"/>
          <w:szCs w:val="24"/>
        </w:rPr>
        <w:t>规定。</w:t>
      </w:r>
    </w:p>
    <w:p>
      <w:pPr>
        <w:pStyle w:val="24"/>
        <w:adjustRightInd w:val="0"/>
        <w:snapToGrid w:val="0"/>
        <w:spacing w:line="360" w:lineRule="auto"/>
        <w:ind w:left="632" w:hanging="723" w:hangingChars="300"/>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32</w:t>
      </w:r>
      <w:r>
        <w:rPr>
          <w:rFonts w:hint="eastAsia" w:ascii="宋体" w:hAnsi="宋体" w:eastAsia="宋体" w:cs="宋体"/>
          <w:b/>
          <w:color w:val="auto"/>
          <w:sz w:val="24"/>
          <w:szCs w:val="24"/>
        </w:rPr>
        <w:t>.磋商的特殊情形</w:t>
      </w:r>
    </w:p>
    <w:p>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32.1</w:t>
      </w:r>
      <w:r>
        <w:rPr>
          <w:rFonts w:hint="eastAsia" w:ascii="宋体" w:hAnsi="宋体" w:eastAsia="宋体" w:cs="宋体"/>
          <w:bCs/>
          <w:color w:val="auto"/>
          <w:sz w:val="24"/>
          <w:szCs w:val="24"/>
        </w:rPr>
        <w:t>市场竞争不充分的科研项目，以及需要扶持的科技成果转化项目，</w:t>
      </w:r>
      <w:r>
        <w:rPr>
          <w:rFonts w:hint="eastAsia" w:ascii="宋体" w:hAnsi="宋体" w:eastAsia="宋体" w:cs="宋体"/>
          <w:color w:val="auto"/>
          <w:kern w:val="0"/>
          <w:sz w:val="24"/>
          <w:szCs w:val="24"/>
        </w:rPr>
        <w:t>磋商过程中提交响应文件或者经评审实质性响应磋商文件要求提交最后报价的供应商只有两家时，供应商最低数量可以为两家。</w:t>
      </w:r>
    </w:p>
    <w:p>
      <w:pPr>
        <w:pStyle w:val="24"/>
        <w:adjustRightInd w:val="0"/>
        <w:snapToGrid w:val="0"/>
        <w:spacing w:line="360" w:lineRule="auto"/>
        <w:ind w:left="632" w:hanging="723" w:hangingChars="300"/>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33</w:t>
      </w:r>
      <w:r>
        <w:rPr>
          <w:rFonts w:hint="eastAsia" w:ascii="宋体" w:hAnsi="宋体" w:eastAsia="宋体" w:cs="宋体"/>
          <w:b/>
          <w:color w:val="auto"/>
          <w:sz w:val="24"/>
          <w:szCs w:val="24"/>
        </w:rPr>
        <w:t>.竞争性磋商采购活动终止</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bCs/>
          <w:color w:val="auto"/>
          <w:sz w:val="24"/>
          <w:szCs w:val="24"/>
          <w:lang w:eastAsia="zh-CN"/>
        </w:rPr>
        <w:t>33</w:t>
      </w:r>
      <w:r>
        <w:rPr>
          <w:rFonts w:hint="eastAsia" w:ascii="宋体" w:hAnsi="宋体" w:eastAsia="宋体" w:cs="宋体"/>
          <w:bCs/>
          <w:color w:val="auto"/>
          <w:sz w:val="24"/>
          <w:szCs w:val="24"/>
        </w:rPr>
        <w:t>.1</w:t>
      </w:r>
      <w:r>
        <w:rPr>
          <w:rFonts w:hint="eastAsia" w:ascii="宋体" w:hAnsi="宋体" w:eastAsia="宋体" w:cs="宋体"/>
          <w:color w:val="auto"/>
          <w:kern w:val="0"/>
          <w:sz w:val="24"/>
          <w:szCs w:val="24"/>
        </w:rPr>
        <w:t>出现下列情形之一的，采购人或者采购代理机构应当终止竞争性磋商采购活动，</w:t>
      </w:r>
      <w:r>
        <w:rPr>
          <w:rFonts w:hint="eastAsia" w:ascii="宋体" w:hAnsi="宋体" w:eastAsia="宋体" w:cs="宋体"/>
          <w:color w:val="auto"/>
          <w:sz w:val="24"/>
          <w:szCs w:val="24"/>
        </w:rPr>
        <w:t>在省级以上财政部门指定的媒体上</w:t>
      </w:r>
      <w:r>
        <w:rPr>
          <w:rFonts w:hint="eastAsia" w:ascii="宋体" w:hAnsi="宋体" w:eastAsia="宋体" w:cs="宋体"/>
          <w:color w:val="auto"/>
          <w:kern w:val="0"/>
          <w:sz w:val="24"/>
          <w:szCs w:val="24"/>
        </w:rPr>
        <w:t xml:space="preserve">发布项目终止公告并说明原因，重新开展采购活动： </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（1）因情况变化，不再符合规定的竞争性磋商采购方式适用情形的；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（2）出现影响采购公正的违法、违规行为的；</w:t>
      </w:r>
    </w:p>
    <w:p>
      <w:pPr>
        <w:widowControl/>
        <w:adjustRightInd w:val="0"/>
        <w:snapToGrid w:val="0"/>
        <w:spacing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（3）除本章</w:t>
      </w:r>
      <w:r>
        <w:rPr>
          <w:rFonts w:hint="eastAsia" w:ascii="宋体" w:hAnsi="宋体" w:eastAsia="宋体" w:cs="宋体"/>
          <w:color w:val="auto"/>
          <w:kern w:val="0"/>
          <w:sz w:val="24"/>
          <w:szCs w:val="24"/>
          <w:lang w:eastAsia="zh-CN"/>
        </w:rPr>
        <w:t>32</w:t>
      </w:r>
      <w:r>
        <w:rPr>
          <w:rFonts w:hint="eastAsia" w:ascii="宋体" w:hAnsi="宋体" w:eastAsia="宋体" w:cs="宋体"/>
          <w:color w:val="auto"/>
          <w:kern w:val="0"/>
          <w:sz w:val="24"/>
          <w:szCs w:val="24"/>
        </w:rPr>
        <w:t>.1款规定情形外，在采购过程中符合竞争要求的供应商或者报价未超过采购</w:t>
      </w:r>
      <w:r>
        <w:rPr>
          <w:rFonts w:hint="eastAsia" w:ascii="宋体" w:hAnsi="宋体" w:eastAsia="宋体" w:cs="宋体"/>
          <w:color w:val="auto"/>
          <w:kern w:val="0"/>
          <w:sz w:val="24"/>
          <w:szCs w:val="24"/>
          <w:lang w:eastAsia="zh-CN"/>
        </w:rPr>
        <w:t>上限价</w:t>
      </w:r>
      <w:r>
        <w:rPr>
          <w:rFonts w:hint="eastAsia" w:ascii="宋体" w:hAnsi="宋体" w:eastAsia="宋体" w:cs="宋体"/>
          <w:color w:val="auto"/>
          <w:kern w:val="0"/>
          <w:sz w:val="24"/>
          <w:szCs w:val="24"/>
        </w:rPr>
        <w:t>的供应商不足3家的，或者提交最后报价的供应商少于3家的；</w:t>
      </w:r>
    </w:p>
    <w:p>
      <w:pPr>
        <w:widowControl/>
        <w:adjustRightInd w:val="0"/>
        <w:snapToGrid w:val="0"/>
        <w:spacing w:line="360" w:lineRule="auto"/>
        <w:ind w:firstLine="420"/>
        <w:jc w:val="left"/>
        <w:rPr>
          <w:rFonts w:hint="eastAsia" w:ascii="宋体" w:hAnsi="宋体" w:eastAsia="宋体" w:cs="宋体"/>
          <w:b/>
          <w:bCs/>
          <w:color w:val="auto"/>
          <w:sz w:val="24"/>
          <w:szCs w:val="24"/>
        </w:rPr>
      </w:pPr>
      <w:r>
        <w:rPr>
          <w:rFonts w:hint="eastAsia" w:ascii="宋体" w:hAnsi="宋体" w:eastAsia="宋体" w:cs="宋体"/>
          <w:color w:val="auto"/>
          <w:kern w:val="0"/>
          <w:sz w:val="24"/>
          <w:szCs w:val="24"/>
        </w:rPr>
        <w:t>（4）</w:t>
      </w:r>
      <w:r>
        <w:rPr>
          <w:rFonts w:hint="eastAsia" w:ascii="宋体" w:hAnsi="宋体" w:eastAsia="宋体" w:cs="宋体"/>
          <w:bCs/>
          <w:color w:val="auto"/>
          <w:sz w:val="24"/>
          <w:szCs w:val="24"/>
        </w:rPr>
        <w:t>因重大变故，采购任务取消的。</w:t>
      </w:r>
    </w:p>
    <w:p>
      <w:pPr>
        <w:widowControl/>
        <w:adjustRightInd w:val="0"/>
        <w:snapToGrid w:val="0"/>
        <w:spacing w:line="360" w:lineRule="auto"/>
        <w:jc w:val="left"/>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34</w:t>
      </w:r>
      <w:r>
        <w:rPr>
          <w:rFonts w:hint="eastAsia" w:ascii="宋体" w:hAnsi="宋体" w:eastAsia="宋体" w:cs="宋体"/>
          <w:b/>
          <w:color w:val="auto"/>
          <w:kern w:val="0"/>
          <w:sz w:val="24"/>
          <w:szCs w:val="24"/>
        </w:rPr>
        <w:t>．重新评审</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34</w:t>
      </w:r>
      <w:r>
        <w:rPr>
          <w:rFonts w:hint="eastAsia" w:ascii="宋体" w:hAnsi="宋体" w:eastAsia="宋体" w:cs="宋体"/>
          <w:color w:val="auto"/>
          <w:kern w:val="0"/>
          <w:sz w:val="24"/>
          <w:szCs w:val="24"/>
        </w:rPr>
        <w:t>.1除资格性审查认定错误、分值汇总计算错误、分项评分超出评分标准范围、客观分评分不一致、经磋商小组一致认定评分畸高或畸低的情形外，采购人或者采购代理机构不以任何理由组织重新评审。采购人、采购代理机构发现磋商小组未按照磋商文件规定的评定成交的标准进行评审的，应当重新开展采购活动，并同时书面报告本级财政部门。</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35</w:t>
      </w:r>
      <w:r>
        <w:rPr>
          <w:rFonts w:hint="eastAsia" w:ascii="宋体" w:hAnsi="宋体" w:eastAsia="宋体" w:cs="宋体"/>
          <w:b/>
          <w:bCs/>
          <w:color w:val="auto"/>
          <w:sz w:val="24"/>
          <w:szCs w:val="24"/>
        </w:rPr>
        <w:t>.保密及串通行为</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35</w:t>
      </w:r>
      <w:r>
        <w:rPr>
          <w:rFonts w:hint="eastAsia" w:ascii="宋体" w:hAnsi="宋体" w:eastAsia="宋体" w:cs="宋体"/>
          <w:color w:val="auto"/>
          <w:sz w:val="24"/>
          <w:szCs w:val="24"/>
        </w:rPr>
        <w:t>.1磋商小组成员以及与评审工作有关的人员不得泄露评审情况以及评审过程中获悉的国家秘密、商业秘密。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35</w:t>
      </w:r>
      <w:r>
        <w:rPr>
          <w:rFonts w:hint="eastAsia" w:ascii="宋体" w:hAnsi="宋体" w:eastAsia="宋体" w:cs="宋体"/>
          <w:color w:val="auto"/>
          <w:sz w:val="24"/>
          <w:szCs w:val="24"/>
        </w:rPr>
        <w:t>.2</w:t>
      </w:r>
      <w:r>
        <w:rPr>
          <w:rFonts w:hint="eastAsia" w:ascii="宋体" w:hAnsi="宋体" w:eastAsia="宋体" w:cs="宋体"/>
          <w:color w:val="auto"/>
          <w:kern w:val="0"/>
          <w:sz w:val="24"/>
          <w:szCs w:val="24"/>
        </w:rPr>
        <w:t>供应商</w:t>
      </w:r>
      <w:r>
        <w:rPr>
          <w:rFonts w:hint="eastAsia" w:ascii="宋体" w:hAnsi="宋体" w:eastAsia="宋体" w:cs="宋体"/>
          <w:color w:val="auto"/>
          <w:sz w:val="24"/>
          <w:szCs w:val="24"/>
        </w:rPr>
        <w:t>不得与</w:t>
      </w:r>
      <w:r>
        <w:rPr>
          <w:rFonts w:hint="eastAsia" w:ascii="宋体" w:hAnsi="宋体" w:eastAsia="宋体" w:cs="宋体"/>
          <w:color w:val="auto"/>
          <w:kern w:val="0"/>
          <w:sz w:val="24"/>
          <w:szCs w:val="24"/>
        </w:rPr>
        <w:t>采购人、采购代理机构、其他供应商恶意</w:t>
      </w:r>
      <w:r>
        <w:rPr>
          <w:rFonts w:hint="eastAsia" w:ascii="宋体" w:hAnsi="宋体" w:eastAsia="宋体" w:cs="宋体"/>
          <w:color w:val="auto"/>
          <w:sz w:val="24"/>
          <w:szCs w:val="24"/>
        </w:rPr>
        <w:t>串通；不得向</w:t>
      </w:r>
      <w:r>
        <w:rPr>
          <w:rFonts w:hint="eastAsia" w:ascii="宋体" w:hAnsi="宋体" w:eastAsia="宋体" w:cs="宋体"/>
          <w:color w:val="auto"/>
          <w:kern w:val="0"/>
          <w:sz w:val="24"/>
          <w:szCs w:val="24"/>
        </w:rPr>
        <w:t>采购人、采购代理机构</w:t>
      </w:r>
      <w:r>
        <w:rPr>
          <w:rFonts w:hint="eastAsia" w:ascii="宋体" w:hAnsi="宋体" w:eastAsia="宋体" w:cs="宋体"/>
          <w:color w:val="auto"/>
          <w:sz w:val="24"/>
          <w:szCs w:val="24"/>
        </w:rPr>
        <w:t>或者磋商小组成员行贿或者提供其他不正当利益；不得提供虚假材料谋取成交；不得以任何方式干扰、影响采购工作。</w:t>
      </w:r>
    </w:p>
    <w:p>
      <w:pPr>
        <w:pStyle w:val="42"/>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35</w:t>
      </w:r>
      <w:r>
        <w:rPr>
          <w:rFonts w:hint="eastAsia" w:ascii="宋体" w:hAnsi="宋体" w:eastAsia="宋体" w:cs="宋体"/>
          <w:color w:val="auto"/>
          <w:sz w:val="24"/>
          <w:szCs w:val="24"/>
        </w:rPr>
        <w:t>.3有下列情形之一的，</w:t>
      </w:r>
      <w:r>
        <w:rPr>
          <w:rFonts w:hint="eastAsia" w:ascii="宋体" w:hAnsi="宋体" w:eastAsia="宋体" w:cs="宋体"/>
          <w:color w:val="auto"/>
          <w:sz w:val="24"/>
          <w:szCs w:val="24"/>
          <w:lang w:val="zh-CN"/>
        </w:rPr>
        <w:t>属于恶意串通，</w:t>
      </w:r>
      <w:r>
        <w:rPr>
          <w:rFonts w:hint="eastAsia" w:ascii="宋体" w:hAnsi="宋体" w:eastAsia="宋体" w:cs="宋体"/>
          <w:color w:val="auto"/>
          <w:sz w:val="24"/>
          <w:szCs w:val="24"/>
        </w:rPr>
        <w:t>成交无效，并</w:t>
      </w:r>
      <w:r>
        <w:rPr>
          <w:rFonts w:hint="eastAsia" w:ascii="宋体" w:hAnsi="宋体" w:eastAsia="宋体" w:cs="宋体"/>
          <w:color w:val="auto"/>
          <w:sz w:val="24"/>
          <w:szCs w:val="24"/>
          <w:lang w:val="zh-CN"/>
        </w:rPr>
        <w:t>依照《政府采购法》第七十七条的规定追究法律责任：</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（1）供应商直接或者间接从</w:t>
      </w:r>
      <w:r>
        <w:rPr>
          <w:rFonts w:hint="eastAsia" w:ascii="宋体" w:hAnsi="宋体" w:eastAsia="宋体" w:cs="宋体"/>
          <w:bCs/>
          <w:color w:val="auto"/>
          <w:sz w:val="24"/>
          <w:szCs w:val="24"/>
        </w:rPr>
        <w:t>采购人、采购代理机构</w:t>
      </w:r>
      <w:r>
        <w:rPr>
          <w:rFonts w:hint="eastAsia" w:ascii="宋体" w:hAnsi="宋体" w:eastAsia="宋体" w:cs="宋体"/>
          <w:color w:val="auto"/>
          <w:sz w:val="24"/>
          <w:szCs w:val="24"/>
        </w:rPr>
        <w:t>获得其他供应商的响应情况，并修改其响应文件的；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Cs/>
          <w:color w:val="auto"/>
          <w:sz w:val="24"/>
          <w:szCs w:val="24"/>
        </w:rPr>
        <w:t>采购人、采购代理机构</w:t>
      </w:r>
      <w:r>
        <w:rPr>
          <w:rFonts w:hint="eastAsia" w:ascii="宋体" w:hAnsi="宋体" w:eastAsia="宋体" w:cs="宋体"/>
          <w:color w:val="auto"/>
          <w:sz w:val="24"/>
          <w:szCs w:val="24"/>
        </w:rPr>
        <w:t>授意供应商撤换、修改响应文件的；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（3）供应商之间协商技术方案、合同条款以及报价等响应文件实质性内容的；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（4）属于同一集团、协会、商会等组织成员的供应商按照该组织要求协同参加竞争性磋商政府采购活动的；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（5）供应商之间事先约定由某一特定供应商成交的；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（6）供应商之间商定部分供应商放弃提交响应文件或者退出磋商或者放弃成交的；</w:t>
      </w:r>
    </w:p>
    <w:p>
      <w:pPr>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（7）供应商与</w:t>
      </w:r>
      <w:r>
        <w:rPr>
          <w:rFonts w:hint="eastAsia" w:ascii="宋体" w:hAnsi="宋体" w:eastAsia="宋体" w:cs="宋体"/>
          <w:bCs/>
          <w:color w:val="auto"/>
          <w:sz w:val="24"/>
          <w:szCs w:val="24"/>
        </w:rPr>
        <w:t>采购人、采购代理机构以及</w:t>
      </w:r>
      <w:r>
        <w:rPr>
          <w:rFonts w:hint="eastAsia" w:ascii="宋体" w:hAnsi="宋体" w:eastAsia="宋体" w:cs="宋体"/>
          <w:color w:val="auto"/>
          <w:sz w:val="24"/>
          <w:szCs w:val="24"/>
        </w:rPr>
        <w:t>磋商小组成员之间、供应商相互之间，为谋求特定供应商成交或者排斥其他供应商的其他串通行为的。</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（8）法律、行政法规或规章规定的其他串通行为。</w:t>
      </w:r>
    </w:p>
    <w:p>
      <w:pPr>
        <w:adjustRightInd w:val="0"/>
        <w:snapToGrid w:val="0"/>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六、成交结果信息公布与授予合同</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36</w:t>
      </w:r>
      <w:r>
        <w:rPr>
          <w:rFonts w:hint="eastAsia" w:ascii="宋体" w:hAnsi="宋体" w:eastAsia="宋体" w:cs="宋体"/>
          <w:b/>
          <w:bCs/>
          <w:color w:val="auto"/>
          <w:sz w:val="24"/>
          <w:szCs w:val="24"/>
        </w:rPr>
        <w:t>.成交信息的公布</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36</w:t>
      </w:r>
      <w:r>
        <w:rPr>
          <w:rFonts w:hint="eastAsia" w:ascii="宋体" w:hAnsi="宋体" w:eastAsia="宋体" w:cs="宋体"/>
          <w:color w:val="auto"/>
          <w:sz w:val="24"/>
          <w:szCs w:val="24"/>
        </w:rPr>
        <w:t>.1成交供应商确定后2个工作日内，采购人或者采购代理机构应将成交结果信息在</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指定的媒体上公布。</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37</w:t>
      </w:r>
      <w:r>
        <w:rPr>
          <w:rFonts w:hint="eastAsia" w:ascii="宋体" w:hAnsi="宋体" w:eastAsia="宋体" w:cs="宋体"/>
          <w:b/>
          <w:bCs/>
          <w:color w:val="auto"/>
          <w:sz w:val="24"/>
          <w:szCs w:val="24"/>
        </w:rPr>
        <w:t>.询问及质疑</w:t>
      </w:r>
    </w:p>
    <w:p>
      <w:pPr>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37</w:t>
      </w:r>
      <w:r>
        <w:rPr>
          <w:rFonts w:hint="eastAsia" w:ascii="宋体" w:hAnsi="宋体" w:eastAsia="宋体" w:cs="宋体"/>
          <w:color w:val="auto"/>
          <w:sz w:val="24"/>
          <w:szCs w:val="24"/>
        </w:rPr>
        <w:t>.1、询问</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对采购活动事项有疑问的，可以向采购人或采购代理机构提出询问，采购人或采购代理机构应当在三个工作日内对</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依法提出的询问作出答复，但答复的内容不得涉及商业秘密。</w:t>
      </w:r>
    </w:p>
    <w:p>
      <w:pPr>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、质疑</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认为采购文件、采购过程和中标、成交结果使自己的合法权益受到损害的，可以在知道或者应知其权益受到损害之日起七个工作日内，将质疑文件原件和必要的证明材料送达采购代理机构。</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认为采购文件技术指标、参数、评分标准有质疑，向采购人提出，由采购人按相关规定作出答复或委托采购代理机构代为答复。</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如对采购过程和采购结果有质疑，向采购代理机构提出，由采购代理机构按相关规定作出答复。</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3上述应知其权益受到损害之日是指：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（1）对采购文件提出质疑的，为采购文件公告期限届满之日起计算；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（2）对采购过程提出质疑的，自采购程序环节结束之日起计算；</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（3）对中标或者成交结果提出质疑的，自中标或者成交结果公告期限届满之日起计算。</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.4质疑</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在法定质疑期内应当一次性提出针对同一采购环节提出质疑。</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5质疑文件应包括以下主要内容，并按照“谁主张、谁举证”的原则，附上相关证明材料。否则，采购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的姓名或者名称、地址、邮编、联系人及联系电话（包括座机、手机、传真号码等）；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（2）质疑项目的名称、项目编号、包号、采购公告发布时间、递交</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 xml:space="preserve">或响应文件截止时间；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（3）具体、明确的质疑事项和与质疑事项相关的请求；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（4）事实依据（具体条款，认为自己合法权益受到损害或可能受到损害的相关证据材料。如涉及到产品功能或技术指标的，应出具相关制造商的证明文件）；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（5）必要的法律依据； </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（6）提起质疑的日期；</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（7）质疑文件应当署名，质疑人为自然人的，应当由本人签字并附有效身份证明；质疑人为法人或其他组织的，应当由法定代表人签字并加盖单位公章；</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委托代理质疑的，应当提交授权委托书，并载明代理人的姓名或者名称、代理事项、 具体权限、期限和相关事项。</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.6质疑</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是指直接参加本项目采购活动的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，未参加政府采购活动的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或在采购活动中自身权益未受到损害的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所提出的质疑不予受理。</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37.2</w:t>
      </w:r>
      <w:r>
        <w:rPr>
          <w:rFonts w:hint="eastAsia" w:ascii="宋体" w:hAnsi="宋体" w:eastAsia="宋体" w:cs="宋体"/>
          <w:color w:val="auto"/>
          <w:sz w:val="24"/>
          <w:szCs w:val="24"/>
        </w:rPr>
        <w:t>.7采购人、采购代理机构在收到</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的书面质疑后将及时组织调查核实，在七个工作日内作出答复，并以书面形式通知质疑</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和其他有关</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，答复的内容不涉及商业秘密。</w:t>
      </w:r>
    </w:p>
    <w:p>
      <w:pPr>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37.3</w:t>
      </w:r>
      <w:r>
        <w:rPr>
          <w:rFonts w:hint="eastAsia" w:ascii="宋体" w:hAnsi="宋体" w:eastAsia="宋体" w:cs="宋体"/>
          <w:color w:val="auto"/>
          <w:sz w:val="24"/>
          <w:szCs w:val="24"/>
        </w:rPr>
        <w:t>、投诉</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37.3</w:t>
      </w:r>
      <w:r>
        <w:rPr>
          <w:rFonts w:hint="eastAsia" w:ascii="宋体" w:hAnsi="宋体" w:eastAsia="宋体" w:cs="宋体"/>
          <w:color w:val="auto"/>
          <w:sz w:val="24"/>
          <w:szCs w:val="24"/>
        </w:rPr>
        <w:t>.1 质疑</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对采购人、采购代理机构的答复不满意，或采购人、采购代理机构未在规定的时间内作出答复的，可以在答复期满后十五个工作日内向采购项目同级财政部门提起投诉。</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37.3</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投诉的事项不得超出已质疑事项的范围，但基于质疑答复内容提出的投诉事项除外。</w:t>
      </w:r>
    </w:p>
    <w:p>
      <w:pPr>
        <w:adjustRightInd w:val="0"/>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37.4</w:t>
      </w:r>
      <w:r>
        <w:rPr>
          <w:rFonts w:hint="eastAsia" w:ascii="宋体" w:hAnsi="宋体" w:eastAsia="宋体" w:cs="宋体"/>
          <w:color w:val="auto"/>
          <w:sz w:val="24"/>
          <w:szCs w:val="24"/>
        </w:rPr>
        <w:t>、诚实信用</w:t>
      </w:r>
    </w:p>
    <w:p>
      <w:pPr>
        <w:adjustRightInd w:val="0"/>
        <w:snapToGrid w:val="0"/>
        <w:spacing w:line="360" w:lineRule="auto"/>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不得虚假承诺，否则，按照提供虚假材料谋取中标或成交处理。</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38</w:t>
      </w:r>
      <w:r>
        <w:rPr>
          <w:rFonts w:hint="eastAsia" w:ascii="宋体" w:hAnsi="宋体" w:eastAsia="宋体" w:cs="宋体"/>
          <w:b/>
          <w:bCs/>
          <w:color w:val="auto"/>
          <w:sz w:val="24"/>
          <w:szCs w:val="24"/>
        </w:rPr>
        <w:t>.成交通知</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38</w:t>
      </w:r>
      <w:r>
        <w:rPr>
          <w:rFonts w:hint="eastAsia" w:ascii="宋体" w:hAnsi="宋体" w:eastAsia="宋体" w:cs="宋体"/>
          <w:color w:val="auto"/>
          <w:sz w:val="24"/>
          <w:szCs w:val="24"/>
        </w:rPr>
        <w:t>.1成交供应商确定后，采购人或采购代理机构将以书面形式向成交供应商发出成交通知书。成交通知书对采购人和成交供应商具有同等法律效力。</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38</w:t>
      </w:r>
      <w:r>
        <w:rPr>
          <w:rFonts w:hint="eastAsia" w:ascii="宋体" w:hAnsi="宋体" w:eastAsia="宋体" w:cs="宋体"/>
          <w:color w:val="auto"/>
          <w:sz w:val="24"/>
          <w:szCs w:val="24"/>
        </w:rPr>
        <w:t>.2 成交通知书是合同文件的组成部分。</w:t>
      </w:r>
    </w:p>
    <w:p>
      <w:pPr>
        <w:tabs>
          <w:tab w:val="left" w:pos="7560"/>
          <w:tab w:val="left" w:pos="7740"/>
          <w:tab w:val="left" w:pos="7920"/>
        </w:tabs>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38</w:t>
      </w:r>
      <w:r>
        <w:rPr>
          <w:rFonts w:hint="eastAsia" w:ascii="宋体" w:hAnsi="宋体" w:eastAsia="宋体" w:cs="宋体"/>
          <w:color w:val="auto"/>
          <w:kern w:val="0"/>
          <w:sz w:val="24"/>
          <w:szCs w:val="24"/>
        </w:rPr>
        <w:t xml:space="preserve">.3 </w:t>
      </w:r>
      <w:r>
        <w:rPr>
          <w:rFonts w:hint="eastAsia" w:ascii="宋体" w:hAnsi="宋体" w:eastAsia="宋体" w:cs="宋体"/>
          <w:color w:val="auto"/>
          <w:sz w:val="24"/>
          <w:szCs w:val="24"/>
        </w:rPr>
        <w:t>成交供应商在收到采购代理机构的成交通知书后10日内，应按照</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的规定，向采购人提交履约担保。联合体成交的，履约担保由联合体各方或联合体中牵头人的名义提交。</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38</w:t>
      </w:r>
      <w:r>
        <w:rPr>
          <w:rFonts w:hint="eastAsia" w:ascii="宋体" w:hAnsi="宋体" w:eastAsia="宋体" w:cs="宋体"/>
          <w:color w:val="auto"/>
          <w:sz w:val="24"/>
          <w:szCs w:val="24"/>
        </w:rPr>
        <w:t>.4 成交供应商</w:t>
      </w:r>
      <w:r>
        <w:rPr>
          <w:rFonts w:hint="eastAsia" w:ascii="宋体" w:hAnsi="宋体" w:eastAsia="宋体" w:cs="宋体"/>
          <w:color w:val="auto"/>
          <w:spacing w:val="4"/>
          <w:sz w:val="24"/>
          <w:szCs w:val="24"/>
        </w:rPr>
        <w:t>没有按照本章第</w:t>
      </w:r>
      <w:r>
        <w:rPr>
          <w:rFonts w:hint="eastAsia" w:ascii="宋体" w:hAnsi="宋体" w:eastAsia="宋体" w:cs="宋体"/>
          <w:color w:val="auto"/>
          <w:spacing w:val="4"/>
          <w:sz w:val="24"/>
          <w:szCs w:val="24"/>
          <w:lang w:eastAsia="zh-CN"/>
        </w:rPr>
        <w:t>3</w:t>
      </w:r>
      <w:r>
        <w:rPr>
          <w:rFonts w:hint="eastAsia" w:ascii="宋体" w:hAnsi="宋体" w:eastAsia="宋体" w:cs="宋体"/>
          <w:color w:val="auto"/>
          <w:spacing w:val="4"/>
          <w:sz w:val="24"/>
          <w:szCs w:val="24"/>
          <w:lang w:val="en-US" w:eastAsia="zh-CN"/>
        </w:rPr>
        <w:t>8</w:t>
      </w:r>
      <w:r>
        <w:rPr>
          <w:rFonts w:hint="eastAsia" w:ascii="宋体" w:hAnsi="宋体" w:eastAsia="宋体" w:cs="宋体"/>
          <w:color w:val="auto"/>
          <w:spacing w:val="4"/>
          <w:sz w:val="24"/>
          <w:szCs w:val="24"/>
        </w:rPr>
        <w:t>.3</w:t>
      </w:r>
      <w:r>
        <w:rPr>
          <w:rFonts w:hint="eastAsia" w:ascii="宋体" w:hAnsi="宋体" w:eastAsia="宋体" w:cs="宋体"/>
          <w:color w:val="auto"/>
          <w:kern w:val="0"/>
          <w:sz w:val="24"/>
          <w:szCs w:val="24"/>
          <w:lang w:val="zh-CN"/>
        </w:rPr>
        <w:t>款</w:t>
      </w:r>
      <w:r>
        <w:rPr>
          <w:rFonts w:hint="eastAsia" w:ascii="宋体" w:hAnsi="宋体" w:eastAsia="宋体" w:cs="宋体"/>
          <w:color w:val="auto"/>
          <w:spacing w:val="4"/>
          <w:sz w:val="24"/>
          <w:szCs w:val="24"/>
        </w:rPr>
        <w:t>规定</w:t>
      </w:r>
      <w:r>
        <w:rPr>
          <w:rFonts w:hint="eastAsia" w:ascii="宋体" w:hAnsi="宋体" w:eastAsia="宋体" w:cs="宋体"/>
          <w:color w:val="auto"/>
          <w:sz w:val="24"/>
          <w:szCs w:val="24"/>
        </w:rPr>
        <w:t>提交履约担保的</w:t>
      </w:r>
      <w:r>
        <w:rPr>
          <w:rFonts w:hint="eastAsia" w:ascii="宋体" w:hAnsi="宋体" w:eastAsia="宋体" w:cs="宋体"/>
          <w:color w:val="auto"/>
          <w:spacing w:val="4"/>
          <w:sz w:val="24"/>
          <w:szCs w:val="24"/>
        </w:rPr>
        <w:t>，视为放弃</w:t>
      </w:r>
      <w:r>
        <w:rPr>
          <w:rFonts w:hint="eastAsia" w:ascii="宋体" w:hAnsi="宋体" w:eastAsia="宋体" w:cs="宋体"/>
          <w:color w:val="auto"/>
          <w:sz w:val="24"/>
          <w:szCs w:val="24"/>
        </w:rPr>
        <w:t>成交资格</w:t>
      </w:r>
      <w:r>
        <w:rPr>
          <w:rFonts w:hint="eastAsia" w:ascii="宋体" w:hAnsi="宋体" w:eastAsia="宋体" w:cs="宋体"/>
          <w:color w:val="auto"/>
          <w:spacing w:val="4"/>
          <w:sz w:val="24"/>
          <w:szCs w:val="24"/>
        </w:rPr>
        <w:t>，</w:t>
      </w:r>
      <w:r>
        <w:rPr>
          <w:rFonts w:hint="eastAsia" w:ascii="宋体" w:hAnsi="宋体" w:eastAsia="宋体" w:cs="宋体"/>
          <w:color w:val="auto"/>
          <w:spacing w:val="2"/>
          <w:sz w:val="24"/>
          <w:szCs w:val="24"/>
        </w:rPr>
        <w:t>其保证金不予退还。</w:t>
      </w: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39</w:t>
      </w:r>
      <w:r>
        <w:rPr>
          <w:rFonts w:hint="eastAsia" w:ascii="宋体" w:hAnsi="宋体" w:eastAsia="宋体" w:cs="宋体"/>
          <w:b/>
          <w:bCs/>
          <w:color w:val="auto"/>
          <w:sz w:val="24"/>
          <w:szCs w:val="24"/>
        </w:rPr>
        <w:t>.签订合同</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39</w:t>
      </w:r>
      <w:r>
        <w:rPr>
          <w:rFonts w:hint="eastAsia" w:ascii="宋体" w:hAnsi="宋体" w:eastAsia="宋体" w:cs="宋体"/>
          <w:color w:val="auto"/>
          <w:sz w:val="24"/>
          <w:szCs w:val="24"/>
        </w:rPr>
        <w:t>.1 磋商文件、成交供应商的响应文件及其补充的响应文件等均为签订合同的依据。</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39</w:t>
      </w:r>
      <w:r>
        <w:rPr>
          <w:rFonts w:hint="eastAsia" w:ascii="宋体" w:hAnsi="宋体" w:eastAsia="宋体" w:cs="宋体"/>
          <w:color w:val="auto"/>
          <w:sz w:val="24"/>
          <w:szCs w:val="24"/>
        </w:rPr>
        <w:t>.2 成交供应商应当在成交通知书发出之日起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日内与采购人签订合同。</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39</w:t>
      </w:r>
      <w:r>
        <w:rPr>
          <w:rFonts w:hint="eastAsia" w:ascii="宋体" w:hAnsi="宋体" w:eastAsia="宋体" w:cs="宋体"/>
          <w:color w:val="auto"/>
          <w:sz w:val="24"/>
          <w:szCs w:val="24"/>
        </w:rPr>
        <w:t>.3 成交供应商应当按照合同约定履行义务。成交供应商不得向他人转让成交项目，也不得将成交项目分包后分别向他人转让。</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39</w:t>
      </w:r>
      <w:r>
        <w:rPr>
          <w:rFonts w:hint="eastAsia" w:ascii="宋体" w:hAnsi="宋体" w:eastAsia="宋体" w:cs="宋体"/>
          <w:color w:val="auto"/>
          <w:sz w:val="24"/>
          <w:szCs w:val="24"/>
        </w:rPr>
        <w:t>.4 成交供应商有下列情形之一的，责令限期改正，情节严重的，列入不良行为记录名单，在1至3年内禁止参加政府采购活动，并予以通报：</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（一）成交后无正当理由不与采购人签订合同的；</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（二）未按照采购文件确定的事项签订政府采购合同，或者与采购人另行订立背离合同实质性内容的协议的；</w:t>
      </w:r>
    </w:p>
    <w:p>
      <w:pPr>
        <w:pStyle w:val="24"/>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（三）拒绝履行合同义务的；</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eastAsia="宋体" w:cs="宋体"/>
          <w:color w:val="auto"/>
          <w:kern w:val="0"/>
          <w:sz w:val="24"/>
          <w:szCs w:val="24"/>
        </w:rPr>
        <w:t>违反法律、规章、规范性文件规定的。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七、其他规定</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40</w:t>
      </w:r>
      <w:r>
        <w:rPr>
          <w:rFonts w:hint="eastAsia" w:ascii="宋体" w:hAnsi="宋体" w:eastAsia="宋体" w:cs="宋体"/>
          <w:b/>
          <w:color w:val="auto"/>
          <w:sz w:val="24"/>
          <w:szCs w:val="24"/>
        </w:rPr>
        <w:t>.采购代理服务费、交易服务费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40</w:t>
      </w:r>
      <w:r>
        <w:rPr>
          <w:rFonts w:hint="eastAsia" w:ascii="宋体" w:hAnsi="宋体" w:eastAsia="宋体" w:cs="宋体"/>
          <w:color w:val="auto"/>
          <w:sz w:val="24"/>
          <w:szCs w:val="24"/>
        </w:rPr>
        <w:t>.1采购代理服务费：由成交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按国家规定标准在领取成交通知书之前一次性付清。</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40</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专家评审费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由成交供应商支付</w:t>
      </w:r>
      <w:r>
        <w:rPr>
          <w:rFonts w:hint="eastAsia" w:ascii="宋体" w:hAnsi="宋体" w:eastAsia="宋体" w:cs="宋体"/>
          <w:color w:val="auto"/>
          <w:kern w:val="0"/>
          <w:sz w:val="24"/>
          <w:szCs w:val="24"/>
        </w:rPr>
        <w:t>。</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41</w:t>
      </w:r>
      <w:r>
        <w:rPr>
          <w:rFonts w:hint="eastAsia" w:ascii="宋体" w:hAnsi="宋体" w:eastAsia="宋体" w:cs="宋体"/>
          <w:b/>
          <w:color w:val="auto"/>
          <w:sz w:val="24"/>
          <w:szCs w:val="24"/>
        </w:rPr>
        <w:t>. 其他规定</w:t>
      </w:r>
    </w:p>
    <w:p>
      <w:pPr>
        <w:tabs>
          <w:tab w:val="left" w:pos="420"/>
          <w:tab w:val="left" w:pos="7560"/>
          <w:tab w:val="left" w:pos="7740"/>
          <w:tab w:val="left" w:pos="7920"/>
        </w:tabs>
        <w:adjustRightInd w:val="0"/>
        <w:snapToGrid w:val="0"/>
        <w:spacing w:line="360" w:lineRule="auto"/>
        <w:ind w:firstLine="480" w:firstLineChars="200"/>
        <w:rPr>
          <w:rFonts w:hint="eastAsia" w:ascii="宋体" w:hAnsi="宋体" w:cs="宋体"/>
          <w:b/>
          <w:bCs/>
          <w:color w:val="auto"/>
          <w:sz w:val="32"/>
          <w:szCs w:val="32"/>
        </w:rPr>
      </w:pPr>
      <w:r>
        <w:rPr>
          <w:rFonts w:hint="eastAsia" w:ascii="宋体" w:hAnsi="宋体" w:eastAsia="宋体" w:cs="宋体"/>
          <w:color w:val="auto"/>
          <w:sz w:val="24"/>
          <w:szCs w:val="24"/>
          <w:lang w:eastAsia="zh-CN"/>
        </w:rPr>
        <w:t>41</w:t>
      </w:r>
      <w:r>
        <w:rPr>
          <w:rFonts w:hint="eastAsia" w:ascii="宋体" w:hAnsi="宋体" w:eastAsia="宋体" w:cs="宋体"/>
          <w:color w:val="auto"/>
          <w:sz w:val="24"/>
          <w:szCs w:val="24"/>
        </w:rPr>
        <w:t>.1磋商文件的其他规定见</w:t>
      </w:r>
      <w:r>
        <w:rPr>
          <w:rFonts w:hint="eastAsia" w:ascii="宋体" w:hAnsi="宋体" w:eastAsia="宋体" w:cs="宋体"/>
          <w:b/>
          <w:color w:val="auto"/>
          <w:sz w:val="24"/>
          <w:szCs w:val="24"/>
        </w:rPr>
        <w:t>磋商须知前附表</w:t>
      </w:r>
      <w:r>
        <w:rPr>
          <w:rFonts w:hint="eastAsia" w:ascii="宋体" w:hAnsi="宋体" w:eastAsia="宋体" w:cs="宋体"/>
          <w:color w:val="auto"/>
          <w:sz w:val="24"/>
          <w:szCs w:val="24"/>
        </w:rPr>
        <w:t>。</w:t>
      </w:r>
    </w:p>
    <w:p>
      <w:pPr>
        <w:keepNext w:val="0"/>
        <w:keepLines w:val="0"/>
        <w:pageBreakBefore w:val="0"/>
        <w:tabs>
          <w:tab w:val="left" w:pos="0"/>
        </w:tabs>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b/>
          <w:color w:val="auto"/>
          <w:sz w:val="32"/>
          <w:szCs w:val="32"/>
        </w:rPr>
      </w:pPr>
      <w:r>
        <w:rPr>
          <w:rFonts w:hint="eastAsia" w:ascii="宋体" w:hAnsi="宋体" w:cs="宋体"/>
          <w:b/>
          <w:bCs/>
          <w:color w:val="auto"/>
          <w:sz w:val="32"/>
          <w:szCs w:val="32"/>
        </w:rPr>
        <w:t>第三章 磋商办法</w:t>
      </w:r>
    </w:p>
    <w:p>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一、磋商方法</w:t>
      </w:r>
    </w:p>
    <w:p>
      <w:pPr>
        <w:keepNext w:val="0"/>
        <w:keepLines w:val="0"/>
        <w:pageBreakBefore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本项目采取综合评分法，</w:t>
      </w:r>
      <w:r>
        <w:rPr>
          <w:rFonts w:hint="eastAsia" w:ascii="宋体" w:hAnsi="宋体" w:eastAsia="宋体" w:cs="宋体"/>
          <w:bCs/>
          <w:color w:val="auto"/>
          <w:sz w:val="24"/>
          <w:szCs w:val="24"/>
          <w:lang w:eastAsia="zh-CN"/>
        </w:rPr>
        <w:t>价格权重</w:t>
      </w:r>
      <w:r>
        <w:rPr>
          <w:rFonts w:hint="eastAsia" w:ascii="宋体" w:hAnsi="宋体" w:eastAsia="宋体" w:cs="宋体"/>
          <w:bCs/>
          <w:color w:val="auto"/>
          <w:sz w:val="24"/>
          <w:szCs w:val="24"/>
          <w:lang w:val="en-US" w:eastAsia="zh-CN"/>
        </w:rPr>
        <w:t>30%，技术、商务权重70%，</w:t>
      </w:r>
      <w:r>
        <w:rPr>
          <w:rFonts w:hint="eastAsia" w:ascii="宋体" w:hAnsi="宋体" w:eastAsia="宋体" w:cs="宋体"/>
          <w:bCs/>
          <w:color w:val="auto"/>
          <w:sz w:val="24"/>
          <w:szCs w:val="24"/>
        </w:rPr>
        <w:t>即</w:t>
      </w:r>
      <w:r>
        <w:rPr>
          <w:rFonts w:hint="eastAsia" w:ascii="宋体" w:hAnsi="宋体" w:eastAsia="宋体" w:cs="宋体"/>
          <w:color w:val="auto"/>
          <w:sz w:val="24"/>
          <w:szCs w:val="24"/>
        </w:rPr>
        <w:t>响应文件满足磋商文件全部实质性要求且按磋商因素的量化指标评审得分最高的供应商为成交候选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的评审方法。</w:t>
      </w:r>
    </w:p>
    <w:p>
      <w:pPr>
        <w:keepNext w:val="0"/>
        <w:keepLines w:val="0"/>
        <w:pageBreakBefore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磋商因素：价格、技术、</w:t>
      </w:r>
      <w:r>
        <w:rPr>
          <w:rFonts w:hint="eastAsia" w:ascii="宋体" w:hAnsi="宋体" w:eastAsia="宋体" w:cs="宋体"/>
          <w:color w:val="auto"/>
          <w:sz w:val="24"/>
          <w:szCs w:val="24"/>
          <w:lang w:eastAsia="zh-CN"/>
        </w:rPr>
        <w:t>信誉、</w:t>
      </w:r>
      <w:r>
        <w:rPr>
          <w:rFonts w:hint="eastAsia" w:ascii="宋体" w:hAnsi="宋体" w:eastAsia="宋体" w:cs="宋体"/>
          <w:color w:val="auto"/>
          <w:sz w:val="24"/>
          <w:szCs w:val="24"/>
        </w:rPr>
        <w:t>业绩、服务、对磋商文件的响应程度等，但不包括供应商资格条件。</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磋商</w:t>
      </w:r>
      <w:r>
        <w:rPr>
          <w:rFonts w:hint="eastAsia" w:ascii="宋体" w:hAnsi="宋体" w:eastAsia="宋体" w:cs="宋体"/>
          <w:color w:val="auto"/>
          <w:sz w:val="24"/>
          <w:szCs w:val="24"/>
        </w:rPr>
        <w:t>报价评价。磋商小组以经磋商确定最终采购需求，资格性、符合性检查合格的供应商提交的最后报价为基础，</w:t>
      </w:r>
      <w:r>
        <w:rPr>
          <w:rFonts w:hint="eastAsia" w:ascii="宋体" w:hAnsi="宋体" w:eastAsia="宋体" w:cs="宋体"/>
          <w:color w:val="auto"/>
          <w:kern w:val="0"/>
          <w:sz w:val="24"/>
          <w:szCs w:val="24"/>
        </w:rPr>
        <w:t>依次</w:t>
      </w:r>
      <w:r>
        <w:rPr>
          <w:rFonts w:hint="eastAsia" w:ascii="宋体" w:hAnsi="宋体" w:eastAsia="宋体" w:cs="宋体"/>
          <w:color w:val="auto"/>
          <w:sz w:val="24"/>
          <w:szCs w:val="24"/>
        </w:rPr>
        <w:t>对磋商报价进行</w:t>
      </w:r>
      <w:r>
        <w:rPr>
          <w:rFonts w:hint="eastAsia" w:ascii="宋体" w:hAnsi="宋体" w:eastAsia="宋体" w:cs="宋体"/>
          <w:color w:val="auto"/>
          <w:kern w:val="0"/>
          <w:sz w:val="24"/>
          <w:szCs w:val="24"/>
        </w:rPr>
        <w:t>算术</w:t>
      </w:r>
      <w:r>
        <w:rPr>
          <w:rFonts w:hint="eastAsia" w:ascii="宋体" w:hAnsi="宋体" w:eastAsia="宋体" w:cs="宋体"/>
          <w:color w:val="auto"/>
          <w:sz w:val="24"/>
          <w:szCs w:val="24"/>
        </w:rPr>
        <w:t>修正和政府采购政策优惠价格扣除计算。</w:t>
      </w:r>
    </w:p>
    <w:p>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b/>
          <w:color w:val="auto"/>
          <w:sz w:val="28"/>
          <w:szCs w:val="28"/>
        </w:rPr>
      </w:pPr>
      <w:r>
        <w:rPr>
          <w:rFonts w:hint="eastAsia" w:ascii="宋体" w:hAnsi="宋体"/>
          <w:color w:val="auto"/>
          <w:kern w:val="0"/>
          <w:sz w:val="24"/>
        </w:rPr>
        <w:t>项目评审过程中，不得去掉最终报价中的最高报价和最低报价。</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olor w:val="auto"/>
          <w:sz w:val="24"/>
        </w:rPr>
        <w:t>产品符合促进中小企业（监狱企业、残疾人福利性单位）发展政策的，其价格给予6%的扣除，用扣除后的价格参与评审打分。若供应商和小微企业的产品/服务制造商有一个符合小微企业条件，并且提供了《中小企业声明函》及加盖单位公章的声明函附件（须说明供应商和产品/服务制造商的从业人员、营业收入、资产总额等相关情况）的，则其评标价=供应商报价中属于小型和微型企业产品/服务的价格部分×（100%-</w:t>
      </w:r>
      <w:r>
        <w:rPr>
          <w:rFonts w:hint="eastAsia" w:ascii="宋体" w:hAnsi="宋体"/>
          <w:color w:val="auto"/>
          <w:sz w:val="24"/>
          <w:lang w:val="en-US" w:eastAsia="zh-CN"/>
        </w:rPr>
        <w:t>10</w:t>
      </w:r>
      <w:r>
        <w:rPr>
          <w:rFonts w:hint="eastAsia" w:ascii="宋体" w:hAnsi="宋体"/>
          <w:color w:val="auto"/>
          <w:sz w:val="24"/>
        </w:rPr>
        <w:t>%）+供应商报价中不属于小型和微型企业产品/服务的价格部分；否则，其评标价=供应商报价。</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color w:val="auto"/>
        </w:rPr>
      </w:pPr>
      <w:r>
        <w:rPr>
          <w:rFonts w:hint="eastAsia" w:ascii="宋体" w:hAnsi="宋体" w:eastAsia="宋体" w:cs="宋体"/>
          <w:color w:val="auto"/>
          <w:sz w:val="24"/>
          <w:szCs w:val="24"/>
        </w:rPr>
        <w:t>磋商小组</w:t>
      </w:r>
      <w:r>
        <w:rPr>
          <w:rFonts w:hint="eastAsia" w:ascii="宋体" w:hAnsi="宋体"/>
          <w:color w:val="auto"/>
          <w:sz w:val="24"/>
        </w:rPr>
        <w:t>认为供应商的报价明显低于其他通过符合性审查供应商的报价，有可能影响产品质量或者不能诚信履约的，应当要求其在评审现场合理的时间内提供书面说明，必要时提交相关证明材料；供应商不能证明其报价合理性的，</w:t>
      </w:r>
      <w:r>
        <w:rPr>
          <w:rFonts w:hint="eastAsia" w:ascii="宋体" w:hAnsi="宋体" w:eastAsia="宋体" w:cs="宋体"/>
          <w:color w:val="auto"/>
          <w:sz w:val="24"/>
          <w:szCs w:val="24"/>
        </w:rPr>
        <w:t>磋商小组</w:t>
      </w:r>
      <w:r>
        <w:rPr>
          <w:rFonts w:hint="eastAsia" w:ascii="宋体" w:hAnsi="宋体"/>
          <w:color w:val="auto"/>
          <w:sz w:val="24"/>
        </w:rPr>
        <w:t>应当将其作为无效投标处理。</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价格分采用低价优先法计算，即满足磋商文件要求且磋商报价最低的磋商报价为磋商基准价，其价格分为满分，其他</w:t>
      </w:r>
      <w:r>
        <w:rPr>
          <w:rFonts w:hint="eastAsia" w:ascii="宋体" w:hAnsi="宋体" w:eastAsia="宋体" w:cs="宋体"/>
          <w:color w:val="auto"/>
          <w:sz w:val="24"/>
          <w:szCs w:val="24"/>
        </w:rPr>
        <w:t>有效供应商</w:t>
      </w:r>
      <w:r>
        <w:rPr>
          <w:rFonts w:hint="eastAsia" w:ascii="宋体" w:hAnsi="宋体" w:eastAsia="宋体" w:cs="宋体"/>
          <w:color w:val="auto"/>
          <w:kern w:val="0"/>
          <w:sz w:val="24"/>
          <w:szCs w:val="24"/>
        </w:rPr>
        <w:t>的价格分按照下列公式计算：</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磋商报价得分=(磋商基准价／最后磋商报价)×价格权值×100</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磋商报价高于采购人预算价为无效响应。</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本项所称磋商报价为按</w:t>
      </w:r>
      <w:r>
        <w:rPr>
          <w:rFonts w:hint="eastAsia" w:ascii="宋体" w:hAnsi="宋体" w:eastAsia="宋体" w:cs="宋体"/>
          <w:bCs/>
          <w:color w:val="auto"/>
          <w:sz w:val="24"/>
          <w:szCs w:val="24"/>
        </w:rPr>
        <w:t>第二章第</w:t>
      </w: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.2</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w:t>
      </w:r>
      <w:r>
        <w:rPr>
          <w:rFonts w:hint="eastAsia" w:ascii="宋体" w:hAnsi="宋体" w:eastAsia="宋体" w:cs="宋体"/>
          <w:color w:val="auto"/>
          <w:sz w:val="24"/>
          <w:szCs w:val="24"/>
        </w:rPr>
        <w:t>评价后的磋商报价。</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评审时，磋商小组各成员应当独立对每个供应商的响应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进行评价、评分。</w:t>
      </w:r>
    </w:p>
    <w:p>
      <w:pPr>
        <w:keepNext w:val="0"/>
        <w:keepLines w:val="0"/>
        <w:pageBreakBefore w:val="0"/>
        <w:tabs>
          <w:tab w:val="left" w:pos="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二.推荐成交候选供应商</w:t>
      </w:r>
    </w:p>
    <w:p>
      <w:pPr>
        <w:keepNext w:val="0"/>
        <w:keepLines w:val="0"/>
        <w:pageBreakBefore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1、磋商小组应当根据综合评分情况，</w:t>
      </w:r>
      <w:r>
        <w:rPr>
          <w:rFonts w:hint="eastAsia" w:ascii="宋体" w:hAnsi="宋体" w:eastAsia="宋体" w:cs="宋体"/>
          <w:bCs/>
          <w:color w:val="auto"/>
          <w:sz w:val="24"/>
          <w:szCs w:val="24"/>
        </w:rPr>
        <w:t>按评审得分由高到低顺序推荐3名以上成交候选供应商，并编写评审报告。得分相同的，按最后报价由低到高顺序排列。得分且最后报价相同的，按技术指标优劣顺序推荐。</w:t>
      </w:r>
    </w:p>
    <w:p>
      <w:pPr>
        <w:keepNext w:val="0"/>
        <w:keepLines w:val="0"/>
        <w:pageBreakBefore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Cs/>
          <w:color w:val="auto"/>
          <w:sz w:val="24"/>
          <w:szCs w:val="24"/>
        </w:rPr>
        <w:t>2、除市场竞争不充分的科研项目，以及需要扶持的科技成果转化项目可以推荐2家成候选供应商外，其他项目</w:t>
      </w:r>
      <w:r>
        <w:rPr>
          <w:rFonts w:hint="eastAsia" w:ascii="宋体" w:hAnsi="宋体" w:eastAsia="宋体" w:cs="宋体"/>
          <w:color w:val="auto"/>
          <w:sz w:val="24"/>
          <w:szCs w:val="24"/>
        </w:rPr>
        <w:t>成交候选供应商数量为前3名</w:t>
      </w:r>
      <w:r>
        <w:rPr>
          <w:rFonts w:hint="eastAsia" w:ascii="宋体" w:hAnsi="宋体" w:eastAsia="宋体" w:cs="宋体"/>
          <w:color w:val="auto"/>
          <w:sz w:val="24"/>
          <w:szCs w:val="24"/>
          <w:lang w:eastAsia="zh-CN"/>
        </w:rPr>
        <w:t>。</w:t>
      </w:r>
    </w:p>
    <w:p>
      <w:pPr>
        <w:keepNext w:val="0"/>
        <w:keepLines w:val="0"/>
        <w:pageBreakBefore w:val="0"/>
        <w:tabs>
          <w:tab w:val="left" w:pos="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三.确定成交供应商</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1、采购代理机构应当在评审结束后2个工作日内将评审报告送采购人确认。</w:t>
      </w:r>
    </w:p>
    <w:p>
      <w:pPr>
        <w:keepNext w:val="0"/>
        <w:keepLines w:val="0"/>
        <w:pageBreakBefore w:val="0"/>
        <w:widowControl/>
        <w:kinsoku/>
        <w:wordWrap/>
        <w:overflowPunct/>
        <w:topLinePunct w:val="0"/>
        <w:autoSpaceDE/>
        <w:autoSpaceDN/>
        <w:bidi w:val="0"/>
        <w:adjustRightInd w:val="0"/>
        <w:snapToGrid w:val="0"/>
        <w:spacing w:line="40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2、采购人应当在收到评审报告后5个工作日内，从评审报告提出的成交候选</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中，根据质量和服务均能满足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实质性响应要求且最后报价最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kinsoku/>
        <w:wordWrap/>
        <w:overflowPunct/>
        <w:topLinePunct w:val="0"/>
        <w:autoSpaceDE/>
        <w:autoSpaceDN/>
        <w:bidi w:val="0"/>
        <w:adjustRightInd w:val="0"/>
        <w:snapToGrid w:val="0"/>
        <w:spacing w:line="400" w:lineRule="exact"/>
        <w:ind w:firstLine="420"/>
        <w:jc w:val="left"/>
        <w:textAlignment w:val="auto"/>
        <w:rPr>
          <w:rFonts w:hint="eastAsia" w:ascii="宋体" w:hAnsi="宋体" w:eastAsia="宋体" w:cs="宋体"/>
          <w:b/>
          <w:bCs/>
          <w:color w:val="auto"/>
          <w:sz w:val="24"/>
          <w:szCs w:val="24"/>
        </w:rPr>
      </w:pPr>
      <w:r>
        <w:rPr>
          <w:rFonts w:hint="eastAsia" w:ascii="宋体" w:hAnsi="宋体" w:eastAsia="宋体" w:cs="宋体"/>
          <w:color w:val="auto"/>
          <w:kern w:val="0"/>
          <w:sz w:val="24"/>
          <w:szCs w:val="24"/>
        </w:rPr>
        <w:t>3、最后报价确定遵守第二章第</w:t>
      </w:r>
      <w:r>
        <w:rPr>
          <w:rFonts w:hint="eastAsia" w:ascii="宋体" w:hAnsi="宋体" w:eastAsia="宋体" w:cs="宋体"/>
          <w:bCs/>
          <w:color w:val="auto"/>
          <w:sz w:val="24"/>
          <w:szCs w:val="24"/>
          <w:lang w:eastAsia="zh-CN"/>
        </w:rPr>
        <w:t>29</w:t>
      </w:r>
      <w:r>
        <w:rPr>
          <w:rFonts w:hint="eastAsia" w:ascii="宋体" w:hAnsi="宋体" w:eastAsia="宋体" w:cs="宋体"/>
          <w:bCs/>
          <w:color w:val="auto"/>
          <w:sz w:val="24"/>
          <w:szCs w:val="24"/>
        </w:rPr>
        <w:t>条</w:t>
      </w:r>
      <w:r>
        <w:rPr>
          <w:rFonts w:hint="eastAsia" w:ascii="宋体" w:hAnsi="宋体" w:eastAsia="宋体" w:cs="宋体"/>
          <w:color w:val="auto"/>
          <w:kern w:val="0"/>
          <w:sz w:val="24"/>
          <w:szCs w:val="24"/>
        </w:rPr>
        <w:t>的</w:t>
      </w:r>
      <w:r>
        <w:rPr>
          <w:rFonts w:hint="eastAsia" w:ascii="宋体" w:hAnsi="宋体" w:eastAsia="宋体" w:cs="宋体"/>
          <w:bCs/>
          <w:color w:val="auto"/>
          <w:sz w:val="24"/>
          <w:szCs w:val="24"/>
        </w:rPr>
        <w:t>规定。</w:t>
      </w:r>
    </w:p>
    <w:p>
      <w:pPr>
        <w:tabs>
          <w:tab w:val="left" w:pos="0"/>
        </w:tabs>
        <w:adjustRightInd w:val="0"/>
        <w:snapToGrid w:val="0"/>
        <w:spacing w:before="156" w:beforeLines="50"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附：评审表格</w:t>
      </w:r>
    </w:p>
    <w:p>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附表1：</w:t>
      </w:r>
    </w:p>
    <w:p>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资格性检查表</w:t>
      </w:r>
    </w:p>
    <w:tbl>
      <w:tblPr>
        <w:tblStyle w:val="4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922"/>
        <w:gridCol w:w="4311"/>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523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检查因素</w:t>
            </w:r>
          </w:p>
        </w:tc>
        <w:tc>
          <w:tcPr>
            <w:tcW w:w="39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46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2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供应商应符合的基本资格条件</w:t>
            </w:r>
          </w:p>
        </w:tc>
        <w:tc>
          <w:tcPr>
            <w:tcW w:w="431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（1）具有独立承担民事责任的能力</w:t>
            </w:r>
          </w:p>
        </w:tc>
        <w:tc>
          <w:tcPr>
            <w:tcW w:w="393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营业执照等有效证明文件</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，以及法定代表身份证明或授权代表委托书等。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46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92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431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（2）审计报告或资信证明</w:t>
            </w:r>
          </w:p>
        </w:tc>
        <w:tc>
          <w:tcPr>
            <w:tcW w:w="393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会计事务所出具的20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zh-CN" w:eastAsia="zh-CN"/>
              </w:rPr>
              <w:t>年</w:t>
            </w:r>
            <w:r>
              <w:rPr>
                <w:rFonts w:hint="eastAsia" w:ascii="宋体" w:hAnsi="宋体" w:eastAsia="宋体" w:cs="宋体"/>
                <w:color w:val="auto"/>
                <w:sz w:val="24"/>
                <w:szCs w:val="24"/>
                <w:lang w:val="zh-CN"/>
              </w:rPr>
              <w:t>度财务审计报告或</w:t>
            </w:r>
            <w:r>
              <w:rPr>
                <w:rFonts w:hint="eastAsia" w:ascii="宋体" w:hAnsi="宋体" w:eastAsia="宋体" w:cs="宋体"/>
                <w:color w:val="auto"/>
                <w:sz w:val="24"/>
                <w:szCs w:val="24"/>
                <w:lang w:val="zh-CN" w:eastAsia="zh-CN"/>
              </w:rPr>
              <w:t>提供</w:t>
            </w:r>
            <w:r>
              <w:rPr>
                <w:rFonts w:hint="eastAsia" w:ascii="宋体" w:hAnsi="宋体" w:eastAsia="宋体" w:cs="宋体"/>
                <w:color w:val="auto"/>
                <w:sz w:val="24"/>
                <w:szCs w:val="24"/>
                <w:lang w:val="zh-CN"/>
              </w:rPr>
              <w:t>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6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92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431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良好的纳税证明</w:t>
            </w:r>
          </w:p>
        </w:tc>
        <w:tc>
          <w:tcPr>
            <w:tcW w:w="393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税务部门出具的202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年依法纳税证明资料。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6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92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431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val="zh-CN"/>
              </w:rPr>
              <w:t>）</w:t>
            </w:r>
            <w:r>
              <w:rPr>
                <w:rFonts w:hint="eastAsia" w:ascii="宋体" w:hAnsi="宋体" w:cs="宋体"/>
                <w:color w:val="auto"/>
                <w:sz w:val="24"/>
                <w:szCs w:val="24"/>
                <w:lang w:val="zh-CN" w:eastAsia="zh-CN"/>
              </w:rPr>
              <w:t>受到监管处罚承诺函</w:t>
            </w:r>
          </w:p>
        </w:tc>
        <w:tc>
          <w:tcPr>
            <w:tcW w:w="393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须提供供应商和项目团队成员2019-2021年未受到监管处罚承诺函原件</w:t>
            </w:r>
            <w:r>
              <w:rPr>
                <w:rFonts w:hint="eastAsia" w:ascii="宋体" w:hAnsi="宋体" w:cs="宋体"/>
                <w:color w:val="auto"/>
                <w:sz w:val="24"/>
                <w:szCs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523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393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足额缴纳投标保证金</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523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在“信用中国”和“中国政府采购”网上未被列入失信被执行人、</w:t>
            </w:r>
            <w:r>
              <w:rPr>
                <w:rFonts w:hint="eastAsia" w:ascii="宋体" w:hAnsi="宋体" w:cs="宋体"/>
                <w:color w:val="auto"/>
                <w:sz w:val="24"/>
                <w:szCs w:val="24"/>
                <w:lang w:eastAsia="zh-CN"/>
              </w:rPr>
              <w:t>重大税收违法失信主体</w:t>
            </w:r>
            <w:r>
              <w:rPr>
                <w:rFonts w:hint="eastAsia" w:ascii="宋体" w:hAnsi="宋体" w:eastAsia="宋体" w:cs="宋体"/>
                <w:color w:val="auto"/>
                <w:sz w:val="24"/>
                <w:szCs w:val="24"/>
                <w:lang w:eastAsia="zh-CN"/>
              </w:rPr>
              <w:t>以及政府采购严重违法失信行为记录名单内</w:t>
            </w:r>
          </w:p>
        </w:tc>
        <w:tc>
          <w:tcPr>
            <w:tcW w:w="393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网页打印件须自磋商文件发布之日起至首次提交响应文件截止内从上述网站中打印件并加盖公章。</w:t>
            </w:r>
          </w:p>
        </w:tc>
      </w:tr>
    </w:tbl>
    <w:p>
      <w:pPr>
        <w:pStyle w:val="28"/>
        <w:keepNext w:val="0"/>
        <w:keepLines w:val="0"/>
        <w:pageBreakBefore w:val="0"/>
        <w:widowControl w:val="0"/>
        <w:kinsoku/>
        <w:wordWrap/>
        <w:overflowPunct/>
        <w:topLinePunct w:val="0"/>
        <w:autoSpaceDE/>
        <w:autoSpaceDN/>
        <w:bidi w:val="0"/>
        <w:adjustRightInd w:val="0"/>
        <w:snapToGrid w:val="0"/>
        <w:spacing w:after="0" w:line="420" w:lineRule="exact"/>
        <w:ind w:left="-178" w:leftChars="-85" w:firstLine="236" w:firstLineChars="98"/>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注：有下述情况之一的，磋商小组成员认定其为不合格供应商：</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after="0" w:line="420" w:lineRule="exact"/>
        <w:ind w:leftChars="0" w:right="-336" w:rightChars="-1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在磋商过程中，磋商小组成员发现供应商以他人的名义参与磋商的；串通磋商的；以行贿手段谋取成交或者以其他弄虚作假方式参与磋商的；</w:t>
      </w:r>
    </w:p>
    <w:p>
      <w:pPr>
        <w:pStyle w:val="28"/>
        <w:keepNext w:val="0"/>
        <w:keepLines w:val="0"/>
        <w:pageBreakBefore w:val="0"/>
        <w:widowControl w:val="0"/>
        <w:kinsoku/>
        <w:wordWrap/>
        <w:overflowPunct/>
        <w:topLinePunct w:val="0"/>
        <w:autoSpaceDE/>
        <w:autoSpaceDN/>
        <w:bidi w:val="0"/>
        <w:adjustRightInd w:val="0"/>
        <w:snapToGrid w:val="0"/>
        <w:spacing w:after="0" w:line="420" w:lineRule="exact"/>
        <w:ind w:left="-178" w:leftChars="-85"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供应商拒不按照要求对响应文件进行澄清、说明或者补正的；</w:t>
      </w:r>
    </w:p>
    <w:p>
      <w:pPr>
        <w:pStyle w:val="28"/>
        <w:keepNext w:val="0"/>
        <w:keepLines w:val="0"/>
        <w:pageBreakBefore w:val="0"/>
        <w:widowControl w:val="0"/>
        <w:kinsoku/>
        <w:wordWrap/>
        <w:overflowPunct/>
        <w:topLinePunct w:val="0"/>
        <w:autoSpaceDE/>
        <w:autoSpaceDN/>
        <w:bidi w:val="0"/>
        <w:adjustRightInd w:val="0"/>
        <w:snapToGrid w:val="0"/>
        <w:spacing w:after="0" w:line="420" w:lineRule="exact"/>
        <w:ind w:left="-178" w:leftChars="-85" w:right="899" w:rightChars="428" w:firstLine="120" w:firstLineChars="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应交未交保证金或未按磋商文件规定交纳保证金的；</w:t>
      </w:r>
    </w:p>
    <w:p>
      <w:pPr>
        <w:pStyle w:val="28"/>
        <w:keepNext w:val="0"/>
        <w:keepLines w:val="0"/>
        <w:pageBreakBefore w:val="0"/>
        <w:widowControl w:val="0"/>
        <w:kinsoku/>
        <w:wordWrap/>
        <w:overflowPunct/>
        <w:topLinePunct w:val="0"/>
        <w:autoSpaceDE/>
        <w:autoSpaceDN/>
        <w:bidi w:val="0"/>
        <w:adjustRightInd w:val="0"/>
        <w:snapToGrid w:val="0"/>
        <w:spacing w:after="0" w:line="420" w:lineRule="exact"/>
        <w:ind w:left="-178" w:leftChars="-85" w:right="204" w:rightChars="97"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供应商不能按磋商文件规定提供合法的、真实的证明材料原件证明其为合格供应商的</w:t>
      </w:r>
      <w:r>
        <w:rPr>
          <w:rFonts w:hint="eastAsia" w:ascii="宋体" w:hAnsi="宋体" w:eastAsia="宋体" w:cs="宋体"/>
          <w:color w:val="auto"/>
          <w:sz w:val="24"/>
          <w:szCs w:val="24"/>
          <w:lang w:val="zh-CN"/>
        </w:rPr>
        <w:t>；</w:t>
      </w:r>
    </w:p>
    <w:p>
      <w:pPr>
        <w:pStyle w:val="28"/>
        <w:keepNext w:val="0"/>
        <w:keepLines w:val="0"/>
        <w:pageBreakBefore w:val="0"/>
        <w:widowControl w:val="0"/>
        <w:kinsoku/>
        <w:wordWrap/>
        <w:overflowPunct/>
        <w:topLinePunct w:val="0"/>
        <w:autoSpaceDE/>
        <w:autoSpaceDN/>
        <w:bidi w:val="0"/>
        <w:adjustRightInd w:val="0"/>
        <w:snapToGrid w:val="0"/>
        <w:spacing w:after="0" w:line="420" w:lineRule="exact"/>
        <w:ind w:left="512" w:leftChars="-42"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供应商资格条件不符合国家有关规定或者磋商文件要求以及其它不能满足法律法规资格性规定的。</w:t>
      </w:r>
    </w:p>
    <w:p>
      <w:pPr>
        <w:pStyle w:val="20"/>
        <w:keepNext w:val="0"/>
        <w:keepLines w:val="0"/>
        <w:pageBreakBefore w:val="0"/>
        <w:widowControl w:val="0"/>
        <w:kinsoku/>
        <w:wordWrap/>
        <w:overflowPunct/>
        <w:topLinePunct w:val="0"/>
        <w:autoSpaceDE/>
        <w:autoSpaceDN/>
        <w:bidi w:val="0"/>
        <w:spacing w:line="420" w:lineRule="exact"/>
        <w:ind w:left="147" w:leftChars="70" w:firstLine="118" w:firstLineChars="49"/>
        <w:textAlignment w:val="auto"/>
        <w:rPr>
          <w:rFonts w:hint="eastAsia"/>
          <w:color w:val="auto"/>
        </w:rPr>
      </w:pPr>
      <w:r>
        <w:rPr>
          <w:rFonts w:hint="eastAsia" w:ascii="宋体" w:hAnsi="宋体" w:eastAsia="宋体" w:cs="宋体"/>
          <w:b/>
          <w:color w:val="auto"/>
          <w:sz w:val="24"/>
          <w:szCs w:val="24"/>
        </w:rPr>
        <w:t>结论填写“合格”或“不合格”，不合格供应商不进入下一轮评审。</w:t>
      </w:r>
    </w:p>
    <w:p>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附表2：                    </w:t>
      </w:r>
    </w:p>
    <w:p>
      <w:pPr>
        <w:spacing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符合性检查表</w:t>
      </w:r>
    </w:p>
    <w:tbl>
      <w:tblPr>
        <w:tblStyle w:val="47"/>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354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评审因素</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有效性审查</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文件签署</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法定代表人授权委托书及被授权人身份证明</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法定代表人授权委托书及被授权人身份证明有效，符合</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投标方案</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报价唯一</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zh-CN"/>
              </w:rPr>
              <w:t>不能超过采购预算价，</w:t>
            </w:r>
            <w:r>
              <w:rPr>
                <w:rFonts w:hint="eastAsia" w:ascii="宋体" w:hAnsi="宋体" w:eastAsia="宋体" w:cs="宋体"/>
                <w:color w:val="auto"/>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完整性审查</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lang w:val="zh-CN"/>
              </w:rPr>
              <w:t>文件是否提供电子版</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lang w:val="zh-CN"/>
              </w:rPr>
              <w:t>文件是否提供电子版</w:t>
            </w:r>
            <w:r>
              <w:rPr>
                <w:rFonts w:hint="eastAsia" w:ascii="宋体" w:hAnsi="宋体" w:eastAsia="宋体" w:cs="宋体"/>
                <w:color w:val="auto"/>
                <w:sz w:val="24"/>
                <w:szCs w:val="24"/>
                <w:lang w:val="en-US" w:eastAsia="zh-CN"/>
              </w:rPr>
              <w:t>U</w:t>
            </w:r>
            <w:r>
              <w:rPr>
                <w:rFonts w:hint="eastAsia" w:ascii="宋体" w:hAnsi="宋体" w:eastAsia="宋体" w:cs="宋体"/>
                <w:color w:val="auto"/>
                <w:sz w:val="24"/>
                <w:szCs w:val="24"/>
                <w:lang w:val="zh-CN"/>
              </w:rPr>
              <w:t>盘及光盘各</w:t>
            </w:r>
            <w:r>
              <w:rPr>
                <w:rFonts w:hint="eastAsia" w:ascii="宋体" w:hAnsi="宋体" w:eastAsia="宋体" w:cs="宋体"/>
                <w:color w:val="auto"/>
                <w:sz w:val="24"/>
                <w:szCs w:val="24"/>
                <w:lang w:val="zh-CN" w:eastAsia="zh-CN"/>
              </w:rPr>
              <w:t>一份</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响应文件内容</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文件的响应程度审查</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合同条款</w:t>
            </w:r>
          </w:p>
        </w:tc>
        <w:tc>
          <w:tcPr>
            <w:tcW w:w="4772" w:type="dxa"/>
            <w:vAlign w:val="center"/>
          </w:tcPr>
          <w:p>
            <w:pPr>
              <w:pStyle w:val="27"/>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w:t>
            </w:r>
            <w:r>
              <w:rPr>
                <w:rFonts w:hint="eastAsia" w:ascii="宋体" w:hAnsi="宋体" w:eastAsia="宋体" w:cs="宋体"/>
                <w:color w:val="auto"/>
                <w:kern w:val="0"/>
                <w:sz w:val="24"/>
                <w:szCs w:val="24"/>
                <w:lang w:eastAsia="zh-CN"/>
              </w:rPr>
              <w:t>磋商文件中合同条款</w:t>
            </w:r>
            <w:r>
              <w:rPr>
                <w:rFonts w:hint="eastAsia" w:ascii="宋体" w:hAnsi="宋体" w:eastAsia="宋体" w:cs="宋体"/>
                <w:color w:val="auto"/>
                <w:kern w:val="0"/>
                <w:sz w:val="24"/>
                <w:szCs w:val="24"/>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投标有效期</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w:t>
            </w:r>
            <w:r>
              <w:rPr>
                <w:rFonts w:hint="eastAsia" w:ascii="宋体" w:hAnsi="宋体" w:eastAsia="宋体" w:cs="宋体"/>
                <w:color w:val="auto"/>
                <w:sz w:val="24"/>
                <w:szCs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eastAsia="zh-CN"/>
              </w:rPr>
              <w:t>合同履行期限</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w:t>
            </w:r>
            <w:r>
              <w:rPr>
                <w:rFonts w:hint="eastAsia" w:ascii="宋体" w:hAnsi="宋体" w:eastAsia="宋体" w:cs="宋体"/>
                <w:color w:val="auto"/>
                <w:sz w:val="24"/>
                <w:szCs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采购需求的符合</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采购需求全部符合</w:t>
            </w:r>
          </w:p>
        </w:tc>
        <w:tc>
          <w:tcPr>
            <w:tcW w:w="477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eastAsia="zh-CN"/>
              </w:rPr>
              <w:t>采购需求全部符合</w:t>
            </w:r>
            <w:r>
              <w:rPr>
                <w:rFonts w:hint="eastAsia" w:ascii="宋体" w:hAnsi="宋体" w:eastAsia="宋体" w:cs="宋体"/>
                <w:color w:val="auto"/>
                <w:kern w:val="0"/>
                <w:sz w:val="24"/>
                <w:szCs w:val="24"/>
                <w:lang w:eastAsia="zh-CN"/>
              </w:rPr>
              <w:t>，</w:t>
            </w:r>
            <w:r>
              <w:rPr>
                <w:rFonts w:hint="eastAsia" w:ascii="宋体" w:hAnsi="宋体" w:eastAsia="宋体" w:cs="宋体"/>
                <w:b/>
                <w:bCs/>
                <w:color w:val="auto"/>
                <w:kern w:val="0"/>
                <w:sz w:val="24"/>
                <w:szCs w:val="24"/>
                <w:lang w:eastAsia="zh-CN"/>
              </w:rPr>
              <w:t>不偏离或正偏离。</w:t>
            </w:r>
          </w:p>
        </w:tc>
      </w:tr>
    </w:tbl>
    <w:p>
      <w:pPr>
        <w:spacing w:line="360" w:lineRule="auto"/>
        <w:rPr>
          <w:rFonts w:hint="eastAsia" w:ascii="宋体" w:hAnsi="宋体" w:eastAsia="宋体" w:cs="宋体"/>
          <w:bCs/>
          <w:color w:val="auto"/>
          <w:sz w:val="24"/>
          <w:szCs w:val="24"/>
          <w:vertAlign w:val="subscript"/>
        </w:rPr>
      </w:pPr>
    </w:p>
    <w:p>
      <w:pPr>
        <w:pStyle w:val="28"/>
        <w:adjustRightInd w:val="0"/>
        <w:snapToGrid w:val="0"/>
        <w:spacing w:after="0" w:line="360" w:lineRule="auto"/>
        <w:ind w:left="-359" w:leftChars="-171" w:firstLine="359" w:firstLineChars="149"/>
        <w:rPr>
          <w:rFonts w:hint="eastAsia" w:ascii="宋体" w:hAnsi="宋体" w:eastAsia="宋体" w:cs="宋体"/>
          <w:b/>
          <w:color w:val="auto"/>
          <w:sz w:val="24"/>
          <w:szCs w:val="24"/>
        </w:rPr>
      </w:pPr>
      <w:r>
        <w:rPr>
          <w:rFonts w:hint="eastAsia" w:ascii="宋体" w:hAnsi="宋体" w:eastAsia="宋体" w:cs="宋体"/>
          <w:b/>
          <w:color w:val="auto"/>
          <w:sz w:val="24"/>
          <w:szCs w:val="24"/>
        </w:rPr>
        <w:t>有下述情况之一的，磋商小组成员认定其为不合格供应商：</w:t>
      </w:r>
    </w:p>
    <w:p>
      <w:pPr>
        <w:pStyle w:val="28"/>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（1） 响应文件载明的磋商响应文件范围小于磋商文件规定的采购范围的；</w:t>
      </w:r>
    </w:p>
    <w:p>
      <w:pPr>
        <w:pStyle w:val="28"/>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（2） 响应文件载明的服务规范标准低于磋商文件规定的；</w:t>
      </w:r>
    </w:p>
    <w:p>
      <w:pPr>
        <w:pStyle w:val="28"/>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（3） 响应文件载明的</w:t>
      </w:r>
      <w:r>
        <w:rPr>
          <w:rFonts w:hint="eastAsia" w:ascii="宋体" w:hAnsi="宋体" w:eastAsia="宋体" w:cs="宋体"/>
          <w:color w:val="auto"/>
          <w:sz w:val="24"/>
          <w:szCs w:val="24"/>
          <w:lang w:eastAsia="zh-CN"/>
        </w:rPr>
        <w:t>合同履行期限</w:t>
      </w:r>
      <w:r>
        <w:rPr>
          <w:rFonts w:hint="eastAsia" w:ascii="宋体" w:hAnsi="宋体" w:eastAsia="宋体" w:cs="宋体"/>
          <w:color w:val="auto"/>
          <w:sz w:val="24"/>
          <w:szCs w:val="24"/>
        </w:rPr>
        <w:t>超过磋商文件规定的；</w:t>
      </w:r>
    </w:p>
    <w:p>
      <w:pPr>
        <w:pStyle w:val="28"/>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不符合磋商文件★条款的；</w:t>
      </w:r>
    </w:p>
    <w:p>
      <w:pPr>
        <w:pStyle w:val="28"/>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（5） 磋商报价超过</w:t>
      </w:r>
      <w:r>
        <w:rPr>
          <w:rFonts w:hint="eastAsia" w:ascii="宋体" w:hAnsi="宋体" w:eastAsia="宋体" w:cs="宋体"/>
          <w:color w:val="auto"/>
          <w:sz w:val="24"/>
          <w:szCs w:val="24"/>
          <w:lang w:val="zh-CN"/>
        </w:rPr>
        <w:t>采购预算价</w:t>
      </w:r>
      <w:r>
        <w:rPr>
          <w:rFonts w:hint="eastAsia" w:ascii="宋体" w:hAnsi="宋体" w:eastAsia="宋体" w:cs="宋体"/>
          <w:color w:val="auto"/>
          <w:sz w:val="24"/>
          <w:szCs w:val="24"/>
        </w:rPr>
        <w:t>的；</w:t>
      </w:r>
    </w:p>
    <w:p>
      <w:pPr>
        <w:pStyle w:val="28"/>
        <w:adjustRightInd w:val="0"/>
        <w:snapToGrid w:val="0"/>
        <w:spacing w:after="0" w:line="360" w:lineRule="auto"/>
        <w:ind w:left="-181" w:leftChars="-86"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（6） 响应文件附有采购人不能接受的条件的；</w:t>
      </w:r>
    </w:p>
    <w:p>
      <w:pPr>
        <w:pStyle w:val="28"/>
        <w:adjustRightInd w:val="0"/>
        <w:snapToGrid w:val="0"/>
        <w:spacing w:after="0" w:line="360" w:lineRule="auto"/>
        <w:ind w:left="512" w:leftChars="-42" w:hanging="600" w:hangingChars="250"/>
        <w:rPr>
          <w:rFonts w:hint="eastAsia" w:ascii="宋体" w:hAnsi="宋体" w:eastAsia="宋体" w:cs="宋体"/>
          <w:color w:val="auto"/>
          <w:sz w:val="24"/>
          <w:szCs w:val="24"/>
        </w:rPr>
      </w:pPr>
      <w:r>
        <w:rPr>
          <w:rFonts w:hint="eastAsia" w:ascii="宋体" w:hAnsi="宋体" w:eastAsia="宋体" w:cs="宋体"/>
          <w:color w:val="auto"/>
          <w:sz w:val="24"/>
          <w:szCs w:val="24"/>
        </w:rPr>
        <w:t>（7） 供应商有本磋商文件第二章</w:t>
      </w:r>
      <w:r>
        <w:rPr>
          <w:rFonts w:hint="eastAsia" w:ascii="宋体" w:hAnsi="宋体" w:eastAsia="宋体" w:cs="宋体"/>
          <w:color w:val="auto"/>
          <w:sz w:val="24"/>
          <w:szCs w:val="24"/>
          <w:lang w:eastAsia="zh-CN"/>
        </w:rPr>
        <w:t>27</w:t>
      </w:r>
      <w:r>
        <w:rPr>
          <w:rFonts w:hint="eastAsia" w:ascii="宋体" w:hAnsi="宋体" w:eastAsia="宋体" w:cs="宋体"/>
          <w:color w:val="auto"/>
          <w:sz w:val="24"/>
          <w:szCs w:val="24"/>
        </w:rPr>
        <w:t>.2款规定情况之一的。</w:t>
      </w:r>
    </w:p>
    <w:p>
      <w:pPr>
        <w:pStyle w:val="28"/>
        <w:adjustRightInd w:val="0"/>
        <w:snapToGrid w:val="0"/>
        <w:spacing w:after="0" w:line="360" w:lineRule="auto"/>
        <w:ind w:left="-181" w:leftChars="-86" w:firstLine="120" w:firstLineChars="50"/>
        <w:rPr>
          <w:rFonts w:hint="eastAsia" w:ascii="宋体" w:hAnsi="宋体" w:eastAsia="宋体" w:cs="宋体"/>
          <w:b/>
          <w:bCs/>
          <w:color w:val="auto"/>
          <w:sz w:val="24"/>
          <w:szCs w:val="24"/>
        </w:rPr>
      </w:pPr>
      <w:r>
        <w:rPr>
          <w:rFonts w:hint="eastAsia" w:ascii="宋体" w:hAnsi="宋体" w:eastAsia="宋体" w:cs="宋体"/>
          <w:color w:val="auto"/>
          <w:sz w:val="24"/>
          <w:szCs w:val="24"/>
        </w:rPr>
        <w:t>（8） 其它未能实质响应磋商文件条件和要求的。</w:t>
      </w:r>
    </w:p>
    <w:p>
      <w:pPr>
        <w:pStyle w:val="20"/>
        <w:keepNext w:val="0"/>
        <w:keepLines w:val="0"/>
        <w:pageBreakBefore w:val="0"/>
        <w:widowControl w:val="0"/>
        <w:kinsoku/>
        <w:wordWrap/>
        <w:overflowPunct/>
        <w:topLinePunct w:val="0"/>
        <w:autoSpaceDE/>
        <w:autoSpaceDN/>
        <w:bidi w:val="0"/>
        <w:spacing w:line="420" w:lineRule="exact"/>
        <w:ind w:left="147" w:leftChars="70" w:firstLine="118" w:firstLineChars="49"/>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结论填写“合格”或“不合格”，不合格供应商不进入下一轮评审。</w:t>
      </w:r>
    </w:p>
    <w:p>
      <w:pPr>
        <w:spacing w:line="360" w:lineRule="auto"/>
        <w:ind w:left="-359" w:leftChars="-171" w:firstLine="472" w:firstLineChars="196"/>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附表3：</w:t>
      </w:r>
    </w:p>
    <w:p>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澄清、说明、补正事项纪要表  </w:t>
      </w:r>
    </w:p>
    <w:p>
      <w:pPr>
        <w:spacing w:line="360" w:lineRule="auto"/>
        <w:jc w:val="center"/>
        <w:rPr>
          <w:rFonts w:hint="eastAsia" w:ascii="宋体" w:hAnsi="宋体" w:eastAsia="宋体" w:cs="宋体"/>
          <w:b/>
          <w:bCs/>
          <w:color w:val="auto"/>
          <w:sz w:val="24"/>
          <w:szCs w:val="24"/>
        </w:rPr>
      </w:pPr>
    </w:p>
    <w:p>
      <w:pPr>
        <w:spacing w:line="360" w:lineRule="auto"/>
        <w:rPr>
          <w:rFonts w:hint="eastAsia" w:ascii="宋体" w:hAnsi="宋体" w:eastAsia="宋体" w:cs="宋体"/>
          <w:bCs/>
          <w:color w:val="auto"/>
          <w:sz w:val="24"/>
          <w:szCs w:val="24"/>
          <w:vertAlign w:val="subscript"/>
        </w:rPr>
      </w:pPr>
      <w:r>
        <w:rPr>
          <w:rFonts w:hint="eastAsia" w:ascii="宋体" w:hAnsi="宋体" w:eastAsia="宋体" w:cs="宋体"/>
          <w:bCs/>
          <w:color w:val="auto"/>
          <w:sz w:val="24"/>
          <w:szCs w:val="24"/>
          <w:lang w:eastAsia="zh-CN"/>
        </w:rPr>
        <w:t>项目名称及</w:t>
      </w:r>
      <w:r>
        <w:rPr>
          <w:rFonts w:hint="eastAsia" w:ascii="宋体" w:hAnsi="宋体" w:eastAsia="宋体" w:cs="宋体"/>
          <w:bCs/>
          <w:color w:val="auto"/>
          <w:sz w:val="24"/>
          <w:szCs w:val="24"/>
        </w:rPr>
        <w:t xml:space="preserve">编号：                                                         </w:t>
      </w:r>
    </w:p>
    <w:tbl>
      <w:tblPr>
        <w:tblStyle w:val="47"/>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37"/>
        <w:gridCol w:w="1333"/>
        <w:gridCol w:w="1505"/>
        <w:gridCol w:w="150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75" w:type="dxa"/>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37" w:type="dxa"/>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1333" w:type="dxa"/>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磋商文件中需要澄清的页次</w:t>
            </w:r>
          </w:p>
        </w:tc>
        <w:tc>
          <w:tcPr>
            <w:tcW w:w="1505" w:type="dxa"/>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对响应文件中含义不明确</w:t>
            </w:r>
          </w:p>
        </w:tc>
        <w:tc>
          <w:tcPr>
            <w:tcW w:w="1505" w:type="dxa"/>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对同类问题</w:t>
            </w:r>
          </w:p>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表述不一致</w:t>
            </w:r>
          </w:p>
        </w:tc>
        <w:tc>
          <w:tcPr>
            <w:tcW w:w="1506" w:type="dxa"/>
            <w:vAlign w:val="center"/>
          </w:tcPr>
          <w:p>
            <w:pPr>
              <w:pStyle w:val="24"/>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明显文字和计算错误的内容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5" w:type="dxa"/>
            <w:vAlign w:val="center"/>
          </w:tcPr>
          <w:p>
            <w:pPr>
              <w:pStyle w:val="24"/>
              <w:spacing w:line="360" w:lineRule="auto"/>
              <w:jc w:val="center"/>
              <w:rPr>
                <w:rFonts w:hint="eastAsia" w:ascii="宋体" w:hAnsi="宋体" w:eastAsia="宋体" w:cs="宋体"/>
                <w:color w:val="auto"/>
                <w:sz w:val="24"/>
                <w:szCs w:val="24"/>
              </w:rPr>
            </w:pPr>
          </w:p>
        </w:tc>
        <w:tc>
          <w:tcPr>
            <w:tcW w:w="2137" w:type="dxa"/>
            <w:vAlign w:val="center"/>
          </w:tcPr>
          <w:p>
            <w:pPr>
              <w:pStyle w:val="24"/>
              <w:spacing w:line="360" w:lineRule="auto"/>
              <w:jc w:val="center"/>
              <w:rPr>
                <w:rFonts w:hint="eastAsia" w:ascii="宋体" w:hAnsi="宋体" w:eastAsia="宋体" w:cs="宋体"/>
                <w:color w:val="auto"/>
                <w:sz w:val="24"/>
                <w:szCs w:val="24"/>
              </w:rPr>
            </w:pPr>
          </w:p>
        </w:tc>
        <w:tc>
          <w:tcPr>
            <w:tcW w:w="1333" w:type="dxa"/>
            <w:vAlign w:val="top"/>
          </w:tcPr>
          <w:p>
            <w:pPr>
              <w:pStyle w:val="24"/>
              <w:spacing w:line="360" w:lineRule="auto"/>
              <w:jc w:val="center"/>
              <w:rPr>
                <w:rFonts w:hint="eastAsia" w:ascii="宋体" w:hAnsi="宋体" w:eastAsia="宋体" w:cs="宋体"/>
                <w:color w:val="auto"/>
                <w:sz w:val="24"/>
                <w:szCs w:val="24"/>
              </w:rPr>
            </w:pPr>
          </w:p>
        </w:tc>
        <w:tc>
          <w:tcPr>
            <w:tcW w:w="1505" w:type="dxa"/>
            <w:vAlign w:val="top"/>
          </w:tcPr>
          <w:p>
            <w:pPr>
              <w:pStyle w:val="24"/>
              <w:spacing w:line="360" w:lineRule="auto"/>
              <w:jc w:val="center"/>
              <w:rPr>
                <w:rFonts w:hint="eastAsia" w:ascii="宋体" w:hAnsi="宋体" w:eastAsia="宋体" w:cs="宋体"/>
                <w:color w:val="auto"/>
                <w:sz w:val="24"/>
                <w:szCs w:val="24"/>
              </w:rPr>
            </w:pPr>
          </w:p>
        </w:tc>
        <w:tc>
          <w:tcPr>
            <w:tcW w:w="1505" w:type="dxa"/>
            <w:vAlign w:val="top"/>
          </w:tcPr>
          <w:p>
            <w:pPr>
              <w:pStyle w:val="24"/>
              <w:spacing w:line="360" w:lineRule="auto"/>
              <w:jc w:val="center"/>
              <w:rPr>
                <w:rFonts w:hint="eastAsia" w:ascii="宋体" w:hAnsi="宋体" w:eastAsia="宋体" w:cs="宋体"/>
                <w:color w:val="auto"/>
                <w:sz w:val="24"/>
                <w:szCs w:val="24"/>
              </w:rPr>
            </w:pPr>
          </w:p>
        </w:tc>
        <w:tc>
          <w:tcPr>
            <w:tcW w:w="1506" w:type="dxa"/>
            <w:vAlign w:val="top"/>
          </w:tcPr>
          <w:p>
            <w:pPr>
              <w:pStyle w:val="2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5" w:type="dxa"/>
            <w:vAlign w:val="center"/>
          </w:tcPr>
          <w:p>
            <w:pPr>
              <w:pStyle w:val="24"/>
              <w:spacing w:line="360" w:lineRule="auto"/>
              <w:jc w:val="center"/>
              <w:rPr>
                <w:rFonts w:hint="eastAsia" w:ascii="宋体" w:hAnsi="宋体" w:eastAsia="宋体" w:cs="宋体"/>
                <w:color w:val="auto"/>
                <w:sz w:val="24"/>
                <w:szCs w:val="24"/>
              </w:rPr>
            </w:pPr>
          </w:p>
        </w:tc>
        <w:tc>
          <w:tcPr>
            <w:tcW w:w="2137" w:type="dxa"/>
            <w:vAlign w:val="center"/>
          </w:tcPr>
          <w:p>
            <w:pPr>
              <w:pStyle w:val="24"/>
              <w:spacing w:line="360" w:lineRule="auto"/>
              <w:jc w:val="center"/>
              <w:rPr>
                <w:rFonts w:hint="eastAsia" w:ascii="宋体" w:hAnsi="宋体" w:eastAsia="宋体" w:cs="宋体"/>
                <w:color w:val="auto"/>
                <w:sz w:val="24"/>
                <w:szCs w:val="24"/>
              </w:rPr>
            </w:pPr>
          </w:p>
        </w:tc>
        <w:tc>
          <w:tcPr>
            <w:tcW w:w="1333" w:type="dxa"/>
            <w:vAlign w:val="top"/>
          </w:tcPr>
          <w:p>
            <w:pPr>
              <w:pStyle w:val="24"/>
              <w:spacing w:line="360" w:lineRule="auto"/>
              <w:jc w:val="center"/>
              <w:rPr>
                <w:rFonts w:hint="eastAsia" w:ascii="宋体" w:hAnsi="宋体" w:eastAsia="宋体" w:cs="宋体"/>
                <w:color w:val="auto"/>
                <w:sz w:val="24"/>
                <w:szCs w:val="24"/>
              </w:rPr>
            </w:pPr>
          </w:p>
        </w:tc>
        <w:tc>
          <w:tcPr>
            <w:tcW w:w="1505" w:type="dxa"/>
            <w:vAlign w:val="top"/>
          </w:tcPr>
          <w:p>
            <w:pPr>
              <w:pStyle w:val="24"/>
              <w:spacing w:line="360" w:lineRule="auto"/>
              <w:jc w:val="center"/>
              <w:rPr>
                <w:rFonts w:hint="eastAsia" w:ascii="宋体" w:hAnsi="宋体" w:eastAsia="宋体" w:cs="宋体"/>
                <w:color w:val="auto"/>
                <w:sz w:val="24"/>
                <w:szCs w:val="24"/>
              </w:rPr>
            </w:pPr>
          </w:p>
        </w:tc>
        <w:tc>
          <w:tcPr>
            <w:tcW w:w="1505" w:type="dxa"/>
            <w:vAlign w:val="top"/>
          </w:tcPr>
          <w:p>
            <w:pPr>
              <w:pStyle w:val="24"/>
              <w:spacing w:line="360" w:lineRule="auto"/>
              <w:jc w:val="center"/>
              <w:rPr>
                <w:rFonts w:hint="eastAsia" w:ascii="宋体" w:hAnsi="宋体" w:eastAsia="宋体" w:cs="宋体"/>
                <w:color w:val="auto"/>
                <w:sz w:val="24"/>
                <w:szCs w:val="24"/>
              </w:rPr>
            </w:pPr>
          </w:p>
        </w:tc>
        <w:tc>
          <w:tcPr>
            <w:tcW w:w="1506" w:type="dxa"/>
            <w:vAlign w:val="top"/>
          </w:tcPr>
          <w:p>
            <w:pPr>
              <w:pStyle w:val="2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5" w:type="dxa"/>
            <w:vAlign w:val="center"/>
          </w:tcPr>
          <w:p>
            <w:pPr>
              <w:pStyle w:val="24"/>
              <w:spacing w:line="360" w:lineRule="auto"/>
              <w:jc w:val="center"/>
              <w:rPr>
                <w:rFonts w:hint="eastAsia" w:ascii="宋体" w:hAnsi="宋体" w:eastAsia="宋体" w:cs="宋体"/>
                <w:color w:val="auto"/>
                <w:sz w:val="24"/>
                <w:szCs w:val="24"/>
              </w:rPr>
            </w:pPr>
          </w:p>
        </w:tc>
        <w:tc>
          <w:tcPr>
            <w:tcW w:w="2137" w:type="dxa"/>
            <w:vAlign w:val="center"/>
          </w:tcPr>
          <w:p>
            <w:pPr>
              <w:pStyle w:val="24"/>
              <w:spacing w:line="360" w:lineRule="auto"/>
              <w:jc w:val="center"/>
              <w:rPr>
                <w:rFonts w:hint="eastAsia" w:ascii="宋体" w:hAnsi="宋体" w:eastAsia="宋体" w:cs="宋体"/>
                <w:color w:val="auto"/>
                <w:sz w:val="24"/>
                <w:szCs w:val="24"/>
              </w:rPr>
            </w:pPr>
          </w:p>
        </w:tc>
        <w:tc>
          <w:tcPr>
            <w:tcW w:w="1333" w:type="dxa"/>
            <w:vAlign w:val="top"/>
          </w:tcPr>
          <w:p>
            <w:pPr>
              <w:pStyle w:val="24"/>
              <w:spacing w:line="360" w:lineRule="auto"/>
              <w:jc w:val="center"/>
              <w:rPr>
                <w:rFonts w:hint="eastAsia" w:ascii="宋体" w:hAnsi="宋体" w:eastAsia="宋体" w:cs="宋体"/>
                <w:color w:val="auto"/>
                <w:sz w:val="24"/>
                <w:szCs w:val="24"/>
              </w:rPr>
            </w:pPr>
          </w:p>
        </w:tc>
        <w:tc>
          <w:tcPr>
            <w:tcW w:w="1505" w:type="dxa"/>
            <w:vAlign w:val="top"/>
          </w:tcPr>
          <w:p>
            <w:pPr>
              <w:pStyle w:val="24"/>
              <w:spacing w:line="360" w:lineRule="auto"/>
              <w:jc w:val="center"/>
              <w:rPr>
                <w:rFonts w:hint="eastAsia" w:ascii="宋体" w:hAnsi="宋体" w:eastAsia="宋体" w:cs="宋体"/>
                <w:color w:val="auto"/>
                <w:sz w:val="24"/>
                <w:szCs w:val="24"/>
              </w:rPr>
            </w:pPr>
          </w:p>
        </w:tc>
        <w:tc>
          <w:tcPr>
            <w:tcW w:w="1505" w:type="dxa"/>
            <w:vAlign w:val="top"/>
          </w:tcPr>
          <w:p>
            <w:pPr>
              <w:pStyle w:val="24"/>
              <w:spacing w:line="360" w:lineRule="auto"/>
              <w:jc w:val="center"/>
              <w:rPr>
                <w:rFonts w:hint="eastAsia" w:ascii="宋体" w:hAnsi="宋体" w:eastAsia="宋体" w:cs="宋体"/>
                <w:color w:val="auto"/>
                <w:sz w:val="24"/>
                <w:szCs w:val="24"/>
              </w:rPr>
            </w:pPr>
          </w:p>
        </w:tc>
        <w:tc>
          <w:tcPr>
            <w:tcW w:w="1506" w:type="dxa"/>
            <w:vAlign w:val="top"/>
          </w:tcPr>
          <w:p>
            <w:pPr>
              <w:pStyle w:val="2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5" w:type="dxa"/>
            <w:vAlign w:val="center"/>
          </w:tcPr>
          <w:p>
            <w:pPr>
              <w:pStyle w:val="2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137" w:type="dxa"/>
            <w:vAlign w:val="top"/>
          </w:tcPr>
          <w:p>
            <w:pPr>
              <w:pStyle w:val="24"/>
              <w:spacing w:line="360" w:lineRule="auto"/>
              <w:jc w:val="center"/>
              <w:rPr>
                <w:rFonts w:hint="eastAsia" w:ascii="宋体" w:hAnsi="宋体" w:eastAsia="宋体" w:cs="宋体"/>
                <w:color w:val="auto"/>
                <w:sz w:val="24"/>
                <w:szCs w:val="24"/>
              </w:rPr>
            </w:pPr>
          </w:p>
        </w:tc>
        <w:tc>
          <w:tcPr>
            <w:tcW w:w="1333" w:type="dxa"/>
            <w:vAlign w:val="top"/>
          </w:tcPr>
          <w:p>
            <w:pPr>
              <w:pStyle w:val="24"/>
              <w:spacing w:line="360" w:lineRule="auto"/>
              <w:jc w:val="center"/>
              <w:rPr>
                <w:rFonts w:hint="eastAsia" w:ascii="宋体" w:hAnsi="宋体" w:eastAsia="宋体" w:cs="宋体"/>
                <w:color w:val="auto"/>
                <w:sz w:val="24"/>
                <w:szCs w:val="24"/>
              </w:rPr>
            </w:pPr>
          </w:p>
        </w:tc>
        <w:tc>
          <w:tcPr>
            <w:tcW w:w="1505" w:type="dxa"/>
            <w:vAlign w:val="top"/>
          </w:tcPr>
          <w:p>
            <w:pPr>
              <w:pStyle w:val="24"/>
              <w:spacing w:line="360" w:lineRule="auto"/>
              <w:jc w:val="center"/>
              <w:rPr>
                <w:rFonts w:hint="eastAsia" w:ascii="宋体" w:hAnsi="宋体" w:eastAsia="宋体" w:cs="宋体"/>
                <w:color w:val="auto"/>
                <w:sz w:val="24"/>
                <w:szCs w:val="24"/>
              </w:rPr>
            </w:pPr>
          </w:p>
        </w:tc>
        <w:tc>
          <w:tcPr>
            <w:tcW w:w="1505" w:type="dxa"/>
            <w:vAlign w:val="top"/>
          </w:tcPr>
          <w:p>
            <w:pPr>
              <w:pStyle w:val="24"/>
              <w:spacing w:line="360" w:lineRule="auto"/>
              <w:jc w:val="center"/>
              <w:rPr>
                <w:rFonts w:hint="eastAsia" w:ascii="宋体" w:hAnsi="宋体" w:eastAsia="宋体" w:cs="宋体"/>
                <w:color w:val="auto"/>
                <w:sz w:val="24"/>
                <w:szCs w:val="24"/>
              </w:rPr>
            </w:pPr>
          </w:p>
        </w:tc>
        <w:tc>
          <w:tcPr>
            <w:tcW w:w="1506" w:type="dxa"/>
            <w:vAlign w:val="top"/>
          </w:tcPr>
          <w:p>
            <w:pPr>
              <w:pStyle w:val="24"/>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8661" w:type="dxa"/>
            <w:gridSpan w:val="6"/>
            <w:vAlign w:val="top"/>
          </w:tcPr>
          <w:p>
            <w:pPr>
              <w:pStyle w:val="2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磋商小组成员签字:</w:t>
            </w:r>
          </w:p>
          <w:p>
            <w:pPr>
              <w:pStyle w:val="24"/>
              <w:spacing w:line="360" w:lineRule="auto"/>
              <w:jc w:val="left"/>
              <w:rPr>
                <w:rFonts w:hint="eastAsia" w:ascii="宋体" w:hAnsi="宋体" w:eastAsia="宋体" w:cs="宋体"/>
                <w:color w:val="auto"/>
                <w:sz w:val="24"/>
                <w:szCs w:val="24"/>
              </w:rPr>
            </w:pPr>
          </w:p>
          <w:p>
            <w:pPr>
              <w:pStyle w:val="24"/>
              <w:spacing w:line="360" w:lineRule="auto"/>
              <w:jc w:val="left"/>
              <w:rPr>
                <w:rFonts w:hint="eastAsia" w:ascii="宋体" w:hAnsi="宋体" w:eastAsia="宋体" w:cs="宋体"/>
                <w:color w:val="auto"/>
                <w:sz w:val="24"/>
                <w:szCs w:val="24"/>
              </w:rPr>
            </w:pPr>
          </w:p>
          <w:p>
            <w:pPr>
              <w:pStyle w:val="24"/>
              <w:spacing w:line="360" w:lineRule="auto"/>
              <w:jc w:val="left"/>
              <w:rPr>
                <w:rFonts w:hint="eastAsia" w:ascii="宋体" w:hAnsi="宋体" w:eastAsia="宋体" w:cs="宋体"/>
                <w:color w:val="auto"/>
                <w:sz w:val="24"/>
                <w:szCs w:val="24"/>
              </w:rPr>
            </w:pPr>
          </w:p>
          <w:p>
            <w:pPr>
              <w:pStyle w:val="24"/>
              <w:spacing w:line="360" w:lineRule="auto"/>
              <w:jc w:val="left"/>
              <w:rPr>
                <w:rFonts w:hint="eastAsia" w:ascii="宋体" w:hAnsi="宋体" w:eastAsia="宋体" w:cs="宋体"/>
                <w:color w:val="auto"/>
                <w:sz w:val="24"/>
                <w:szCs w:val="24"/>
              </w:rPr>
            </w:pPr>
          </w:p>
          <w:p>
            <w:pPr>
              <w:pStyle w:val="24"/>
              <w:spacing w:line="360" w:lineRule="auto"/>
              <w:ind w:firstLine="8726" w:firstLineChars="3636"/>
              <w:jc w:val="lef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spacing w:line="360" w:lineRule="auto"/>
        <w:ind w:left="-178" w:leftChars="-85" w:right="718" w:rightChars="342" w:firstLine="236" w:firstLineChars="98"/>
        <w:rPr>
          <w:rFonts w:hint="eastAsia" w:ascii="宋体" w:hAnsi="宋体" w:eastAsia="宋体" w:cs="宋体"/>
          <w:b/>
          <w:color w:val="auto"/>
          <w:sz w:val="24"/>
          <w:szCs w:val="24"/>
        </w:rPr>
      </w:pPr>
      <w:r>
        <w:rPr>
          <w:rFonts w:hint="eastAsia" w:ascii="宋体" w:hAnsi="宋体" w:eastAsia="宋体" w:cs="宋体"/>
          <w:b/>
          <w:color w:val="auto"/>
          <w:sz w:val="24"/>
          <w:szCs w:val="24"/>
        </w:rPr>
        <w:t>注：</w:t>
      </w:r>
    </w:p>
    <w:p>
      <w:pPr>
        <w:spacing w:line="360" w:lineRule="auto"/>
        <w:ind w:left="-178" w:leftChars="-85" w:right="718" w:rightChars="342" w:firstLine="235" w:firstLineChars="98"/>
        <w:rPr>
          <w:rFonts w:hint="eastAsia" w:ascii="宋体" w:hAnsi="宋体" w:eastAsia="宋体" w:cs="宋体"/>
          <w:b/>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kern w:val="0"/>
          <w:sz w:val="24"/>
          <w:szCs w:val="24"/>
        </w:rPr>
        <w:t>磋商小组可以书面方式要求供应商对响应文件中含义不明确、对同类问题表述不一致或者有明显文字和计算错误的内容作必要的澄清、说明或者纠正。澄清、说明或者补正应以书面方式进行并不得超出响应文件的范围或者改变响应文件的实质性内容。</w:t>
      </w:r>
    </w:p>
    <w:p>
      <w:pPr>
        <w:spacing w:line="360" w:lineRule="auto"/>
        <w:ind w:left="-178" w:leftChars="-85" w:right="718" w:rightChars="342" w:firstLine="352" w:firstLineChars="147"/>
        <w:rPr>
          <w:rFonts w:hint="eastAsia" w:ascii="宋体" w:hAnsi="宋体" w:eastAsia="宋体" w:cs="宋体"/>
          <w:b/>
          <w:color w:val="auto"/>
          <w:sz w:val="24"/>
          <w:szCs w:val="24"/>
        </w:rPr>
      </w:pPr>
      <w:r>
        <w:rPr>
          <w:rFonts w:hint="eastAsia" w:ascii="宋体" w:hAnsi="宋体" w:eastAsia="宋体" w:cs="宋体"/>
          <w:color w:val="auto"/>
          <w:kern w:val="0"/>
          <w:sz w:val="24"/>
          <w:szCs w:val="24"/>
        </w:rPr>
        <w:t>2、响应文件中的大写金额和小写金额不一致的，以大写金额为准；总价金额与单价金额不一致的，以单价金额为准，但单价金额小数点有明显错误的除外；对不同文字文本响应文件的解释发生异议的，以中文文本为准。</w:t>
      </w:r>
    </w:p>
    <w:p>
      <w:pPr>
        <w:spacing w:line="360" w:lineRule="auto"/>
        <w:ind w:left="-176" w:leftChars="-84" w:right="-1233" w:rightChars="-587" w:firstLine="480" w:firstLineChars="200"/>
        <w:rPr>
          <w:rFonts w:hint="eastAsia" w:ascii="宋体" w:hAnsi="宋体" w:eastAsia="宋体" w:cs="宋体"/>
          <w:b/>
          <w:color w:val="auto"/>
          <w:sz w:val="24"/>
          <w:szCs w:val="24"/>
        </w:rPr>
      </w:pPr>
      <w:r>
        <w:rPr>
          <w:rFonts w:hint="eastAsia" w:ascii="宋体" w:hAnsi="宋体" w:eastAsia="宋体" w:cs="宋体"/>
          <w:color w:val="auto"/>
          <w:kern w:val="0"/>
          <w:sz w:val="24"/>
          <w:szCs w:val="24"/>
        </w:rPr>
        <w:t>3、供应商对单价报价不予澄清。</w:t>
      </w:r>
    </w:p>
    <w:p>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附表4：</w:t>
      </w:r>
    </w:p>
    <w:p>
      <w:pPr>
        <w:spacing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进入详细评审的合格供应商表</w:t>
      </w:r>
    </w:p>
    <w:p>
      <w:pPr>
        <w:spacing w:line="360" w:lineRule="auto"/>
        <w:jc w:val="center"/>
        <w:rPr>
          <w:rFonts w:hint="eastAsia" w:ascii="宋体" w:hAnsi="宋体" w:eastAsia="宋体" w:cs="宋体"/>
          <w:b/>
          <w:color w:val="auto"/>
          <w:sz w:val="24"/>
          <w:szCs w:val="24"/>
        </w:rPr>
      </w:pPr>
    </w:p>
    <w:p>
      <w:pPr>
        <w:spacing w:line="360" w:lineRule="auto"/>
        <w:rPr>
          <w:rFonts w:hint="eastAsia" w:ascii="宋体" w:hAnsi="宋体" w:eastAsia="宋体" w:cs="宋体"/>
          <w:bCs/>
          <w:color w:val="auto"/>
          <w:sz w:val="24"/>
          <w:szCs w:val="24"/>
          <w:vertAlign w:val="subscript"/>
        </w:rPr>
      </w:pPr>
      <w:r>
        <w:rPr>
          <w:rFonts w:hint="eastAsia" w:ascii="宋体" w:hAnsi="宋体" w:eastAsia="宋体" w:cs="宋体"/>
          <w:b/>
          <w:color w:val="auto"/>
          <w:sz w:val="24"/>
          <w:szCs w:val="24"/>
        </w:rPr>
        <w:t xml:space="preserve">  </w:t>
      </w:r>
      <w:r>
        <w:rPr>
          <w:rFonts w:hint="eastAsia" w:ascii="宋体" w:hAnsi="宋体" w:eastAsia="宋体" w:cs="宋体"/>
          <w:bCs/>
          <w:color w:val="auto"/>
          <w:sz w:val="24"/>
          <w:szCs w:val="24"/>
          <w:lang w:eastAsia="zh-CN"/>
        </w:rPr>
        <w:t>项目名称及</w:t>
      </w:r>
      <w:r>
        <w:rPr>
          <w:rFonts w:hint="eastAsia" w:ascii="宋体" w:hAnsi="宋体" w:eastAsia="宋体" w:cs="宋体"/>
          <w:bCs/>
          <w:color w:val="auto"/>
          <w:sz w:val="24"/>
          <w:szCs w:val="24"/>
        </w:rPr>
        <w:t xml:space="preserve">编号：                                                        </w:t>
      </w:r>
    </w:p>
    <w:tbl>
      <w:tblPr>
        <w:tblStyle w:val="47"/>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10" w:type="dxa"/>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949" w:type="dxa"/>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合格的供应商名称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0" w:type="dxa"/>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949" w:type="dxa"/>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10" w:type="dxa"/>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949" w:type="dxa"/>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0" w:type="dxa"/>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9" w:type="dxa"/>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0" w:type="dxa"/>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49" w:type="dxa"/>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10" w:type="dxa"/>
            <w:vAlign w:val="top"/>
          </w:tcPr>
          <w:p>
            <w:pPr>
              <w:spacing w:line="360" w:lineRule="auto"/>
              <w:jc w:val="center"/>
              <w:rPr>
                <w:rFonts w:hint="eastAsia" w:ascii="宋体" w:hAnsi="宋体" w:eastAsia="宋体" w:cs="宋体"/>
                <w:color w:val="auto"/>
                <w:sz w:val="24"/>
                <w:szCs w:val="24"/>
              </w:rPr>
            </w:pPr>
          </w:p>
        </w:tc>
        <w:tc>
          <w:tcPr>
            <w:tcW w:w="6949" w:type="dxa"/>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0" w:type="dxa"/>
            <w:vAlign w:val="top"/>
          </w:tcPr>
          <w:p>
            <w:pPr>
              <w:spacing w:line="360" w:lineRule="auto"/>
              <w:jc w:val="center"/>
              <w:rPr>
                <w:rFonts w:hint="eastAsia" w:ascii="宋体" w:hAnsi="宋体" w:eastAsia="宋体" w:cs="宋体"/>
                <w:color w:val="auto"/>
                <w:sz w:val="24"/>
                <w:szCs w:val="24"/>
              </w:rPr>
            </w:pPr>
          </w:p>
        </w:tc>
        <w:tc>
          <w:tcPr>
            <w:tcW w:w="6949" w:type="dxa"/>
            <w:vAlign w:val="top"/>
          </w:tcPr>
          <w:p>
            <w:pPr>
              <w:spacing w:line="360" w:lineRule="auto"/>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8659" w:type="dxa"/>
            <w:gridSpan w:val="2"/>
            <w:vAlign w:val="center"/>
          </w:tcPr>
          <w:p>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磋商小组成员签字：</w:t>
            </w:r>
          </w:p>
          <w:p>
            <w:pPr>
              <w:spacing w:line="360" w:lineRule="auto"/>
              <w:jc w:val="center"/>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p>
          <w:p>
            <w:pPr>
              <w:spacing w:line="360" w:lineRule="auto"/>
              <w:ind w:firstLine="9897" w:firstLineChars="4124"/>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lang w:val="en-US" w:eastAsia="zh-CN"/>
              </w:rPr>
              <w:t xml:space="preserve">  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  日</w:t>
            </w:r>
          </w:p>
        </w:tc>
      </w:tr>
    </w:tbl>
    <w:p>
      <w:pPr>
        <w:spacing w:after="624" w:afterLines="200" w:line="360" w:lineRule="auto"/>
        <w:ind w:firstLine="240" w:firstLineChars="100"/>
        <w:rPr>
          <w:rFonts w:hint="eastAsia" w:ascii="宋体" w:hAnsi="宋体" w:eastAsia="宋体" w:cs="宋体"/>
          <w:b/>
          <w:color w:val="auto"/>
          <w:sz w:val="24"/>
          <w:szCs w:val="24"/>
        </w:rPr>
      </w:pPr>
      <w:r>
        <w:rPr>
          <w:rFonts w:hint="eastAsia" w:ascii="宋体" w:hAnsi="宋体" w:eastAsia="宋体" w:cs="宋体"/>
          <w:color w:val="auto"/>
          <w:sz w:val="24"/>
          <w:szCs w:val="24"/>
        </w:rPr>
        <w:t>磋商小组成员认定供应商资格性和符合性检查合格，确定可以进入最后报价。</w:t>
      </w:r>
    </w:p>
    <w:p>
      <w:pPr>
        <w:spacing w:line="360" w:lineRule="auto"/>
        <w:ind w:firstLine="236" w:firstLineChars="98"/>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附表5：</w:t>
      </w:r>
    </w:p>
    <w:p>
      <w:pPr>
        <w:spacing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不合格供应商名单</w:t>
      </w:r>
    </w:p>
    <w:p>
      <w:pP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项目名称及</w:t>
      </w:r>
      <w:r>
        <w:rPr>
          <w:rFonts w:hint="eastAsia" w:ascii="宋体" w:hAnsi="宋体" w:eastAsia="宋体" w:cs="宋体"/>
          <w:bCs/>
          <w:color w:val="auto"/>
          <w:sz w:val="24"/>
          <w:szCs w:val="24"/>
        </w:rPr>
        <w:t xml:space="preserve">编号：                                                                </w:t>
      </w:r>
    </w:p>
    <w:tbl>
      <w:tblPr>
        <w:tblStyle w:val="47"/>
        <w:tblpPr w:leftFromText="180" w:rightFromText="180" w:vertAnchor="text" w:horzAnchor="margin" w:tblpY="286"/>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3162"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578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162" w:type="dxa"/>
            <w:vAlign w:val="top"/>
          </w:tcPr>
          <w:p>
            <w:pPr>
              <w:spacing w:line="360" w:lineRule="auto"/>
              <w:rPr>
                <w:rFonts w:hint="eastAsia" w:ascii="宋体" w:hAnsi="宋体" w:eastAsia="宋体" w:cs="宋体"/>
                <w:color w:val="auto"/>
                <w:sz w:val="24"/>
                <w:szCs w:val="24"/>
              </w:rPr>
            </w:pPr>
          </w:p>
        </w:tc>
        <w:tc>
          <w:tcPr>
            <w:tcW w:w="5781" w:type="dxa"/>
            <w:vAlign w:val="top"/>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162" w:type="dxa"/>
            <w:vAlign w:val="top"/>
          </w:tcPr>
          <w:p>
            <w:pPr>
              <w:spacing w:line="360" w:lineRule="auto"/>
              <w:rPr>
                <w:rFonts w:hint="eastAsia" w:ascii="宋体" w:hAnsi="宋体" w:eastAsia="宋体" w:cs="宋体"/>
                <w:color w:val="auto"/>
                <w:sz w:val="24"/>
                <w:szCs w:val="24"/>
              </w:rPr>
            </w:pPr>
          </w:p>
        </w:tc>
        <w:tc>
          <w:tcPr>
            <w:tcW w:w="5781" w:type="dxa"/>
            <w:vAlign w:val="top"/>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3162" w:type="dxa"/>
            <w:vAlign w:val="top"/>
          </w:tcPr>
          <w:p>
            <w:pPr>
              <w:spacing w:line="360" w:lineRule="auto"/>
              <w:rPr>
                <w:rFonts w:hint="eastAsia" w:ascii="宋体" w:hAnsi="宋体" w:eastAsia="宋体" w:cs="宋体"/>
                <w:color w:val="auto"/>
                <w:sz w:val="24"/>
                <w:szCs w:val="24"/>
              </w:rPr>
            </w:pPr>
          </w:p>
        </w:tc>
        <w:tc>
          <w:tcPr>
            <w:tcW w:w="5781" w:type="dxa"/>
            <w:vAlign w:val="top"/>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8943" w:type="dxa"/>
            <w:gridSpan w:val="2"/>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磋商小组成员签字：</w:t>
            </w:r>
          </w:p>
          <w:p>
            <w:pPr>
              <w:wordWrap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磋商小组认定供应商资格性和符合性检查不合格，确定其为不合格供应商。不合格供应商不能进入最后报价。</w:t>
      </w:r>
    </w:p>
    <w:p>
      <w:pPr>
        <w:tabs>
          <w:tab w:val="left" w:pos="0"/>
        </w:tabs>
        <w:adjustRightInd w:val="0"/>
        <w:snapToGrid w:val="0"/>
        <w:spacing w:before="156" w:beforeLines="50"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附表6：</w:t>
      </w:r>
    </w:p>
    <w:p>
      <w:pPr>
        <w:tabs>
          <w:tab w:val="left" w:pos="0"/>
        </w:tabs>
        <w:adjustRightInd w:val="0"/>
        <w:snapToGrid w:val="0"/>
        <w:spacing w:before="156" w:beforeLines="50"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磋商报价评分表</w:t>
      </w:r>
    </w:p>
    <w:p>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项目名称及</w:t>
      </w:r>
      <w:r>
        <w:rPr>
          <w:rFonts w:hint="eastAsia" w:ascii="宋体" w:hAnsi="宋体" w:eastAsia="宋体" w:cs="宋体"/>
          <w:bCs/>
          <w:color w:val="auto"/>
          <w:sz w:val="24"/>
          <w:szCs w:val="24"/>
        </w:rPr>
        <w:t xml:space="preserve">编号：                                                               </w:t>
      </w:r>
    </w:p>
    <w:tbl>
      <w:tblPr>
        <w:tblStyle w:val="47"/>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440"/>
        <w:gridCol w:w="1240"/>
        <w:gridCol w:w="1640"/>
        <w:gridCol w:w="124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08"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供应商名称</w:t>
            </w:r>
          </w:p>
        </w:tc>
        <w:tc>
          <w:tcPr>
            <w:tcW w:w="14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最后报价</w:t>
            </w:r>
          </w:p>
        </w:tc>
        <w:tc>
          <w:tcPr>
            <w:tcW w:w="12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评审报价</w:t>
            </w:r>
          </w:p>
        </w:tc>
        <w:tc>
          <w:tcPr>
            <w:tcW w:w="16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磋商基准价</w:t>
            </w:r>
          </w:p>
        </w:tc>
        <w:tc>
          <w:tcPr>
            <w:tcW w:w="12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权数取值</w:t>
            </w:r>
          </w:p>
        </w:tc>
        <w:tc>
          <w:tcPr>
            <w:tcW w:w="1661"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磋商报价得分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08"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4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40" w:type="dxa"/>
            <w:vMerge w:val="restart"/>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vMerge w:val="restart"/>
            <w:vAlign w:val="center"/>
          </w:tcPr>
          <w:p>
            <w:pPr>
              <w:tabs>
                <w:tab w:val="left" w:pos="0"/>
              </w:tabs>
              <w:adjustRightInd w:val="0"/>
              <w:snapToGrid w:val="0"/>
              <w:spacing w:before="156" w:beforeLines="50"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0.</w:t>
            </w:r>
            <w:r>
              <w:rPr>
                <w:rFonts w:hint="eastAsia" w:ascii="宋体" w:hAnsi="宋体" w:eastAsia="宋体" w:cs="宋体"/>
                <w:bCs/>
                <w:color w:val="auto"/>
                <w:sz w:val="24"/>
                <w:szCs w:val="24"/>
                <w:lang w:val="en-US" w:eastAsia="zh-CN"/>
              </w:rPr>
              <w:t>30</w:t>
            </w:r>
          </w:p>
        </w:tc>
        <w:tc>
          <w:tcPr>
            <w:tcW w:w="1661"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08"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4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40" w:type="dxa"/>
            <w:vMerge w:val="continue"/>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vMerge w:val="continue"/>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61"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08"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4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40" w:type="dxa"/>
            <w:vMerge w:val="continue"/>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240" w:type="dxa"/>
            <w:vMerge w:val="continue"/>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c>
          <w:tcPr>
            <w:tcW w:w="1661" w:type="dxa"/>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129" w:type="dxa"/>
            <w:gridSpan w:val="6"/>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报价调整记录：</w:t>
            </w:r>
          </w:p>
          <w:p>
            <w:pPr>
              <w:tabs>
                <w:tab w:val="left" w:pos="0"/>
              </w:tabs>
              <w:adjustRightInd w:val="0"/>
              <w:snapToGrid w:val="0"/>
              <w:spacing w:before="156" w:beforeLines="50" w:line="360" w:lineRule="auto"/>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9" w:type="dxa"/>
            <w:gridSpan w:val="6"/>
            <w:vAlign w:val="center"/>
          </w:tcPr>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磋商小组成员签字：</w:t>
            </w:r>
          </w:p>
          <w:p>
            <w:pPr>
              <w:tabs>
                <w:tab w:val="left" w:pos="0"/>
              </w:tabs>
              <w:adjustRightInd w:val="0"/>
              <w:snapToGrid w:val="0"/>
              <w:spacing w:before="156" w:before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注：1、磋商基准价 = 最后报价最低的</w:t>
      </w:r>
      <w:r>
        <w:rPr>
          <w:rFonts w:hint="eastAsia" w:ascii="宋体" w:hAnsi="宋体" w:eastAsia="宋体" w:cs="宋体"/>
          <w:color w:val="auto"/>
          <w:sz w:val="24"/>
          <w:szCs w:val="24"/>
          <w:lang w:eastAsia="zh-CN"/>
        </w:rPr>
        <w:t>价格（得满分）</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950" w:firstLineChars="396"/>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2、磋商报价得分=(磋商基准价／最后磋商报价)×价格权值×100；</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3、报价超过</w:t>
      </w:r>
      <w:r>
        <w:rPr>
          <w:rFonts w:hint="eastAsia" w:ascii="宋体" w:hAnsi="宋体" w:eastAsia="宋体" w:cs="宋体"/>
          <w:color w:val="auto"/>
          <w:sz w:val="24"/>
          <w:szCs w:val="24"/>
          <w:lang w:val="zh-CN"/>
        </w:rPr>
        <w:t>采购预算价</w:t>
      </w:r>
      <w:r>
        <w:rPr>
          <w:rFonts w:hint="eastAsia" w:ascii="宋体" w:hAnsi="宋体" w:eastAsia="宋体" w:cs="宋体"/>
          <w:color w:val="auto"/>
          <w:sz w:val="24"/>
          <w:szCs w:val="24"/>
        </w:rPr>
        <w:t>为无效响应。</w:t>
      </w:r>
    </w:p>
    <w:p>
      <w:pPr>
        <w:adjustRightInd w:val="0"/>
        <w:snapToGrid w:val="0"/>
        <w:spacing w:before="156" w:beforeLines="50" w:line="360" w:lineRule="auto"/>
        <w:jc w:val="center"/>
        <w:rPr>
          <w:rFonts w:hint="eastAsia" w:ascii="宋体" w:hAnsi="宋体" w:eastAsia="宋体" w:cs="宋体"/>
          <w:b/>
          <w:color w:val="auto"/>
          <w:sz w:val="24"/>
          <w:szCs w:val="24"/>
        </w:rPr>
        <w:sectPr>
          <w:footerReference r:id="rId8" w:type="default"/>
          <w:pgSz w:w="11906" w:h="16838"/>
          <w:pgMar w:top="1213" w:right="1361" w:bottom="1213" w:left="1361"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pStyle w:val="20"/>
        <w:spacing w:line="360" w:lineRule="auto"/>
        <w:ind w:left="102" w:leftChars="0" w:hanging="102" w:firstLineChars="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附表7：</w:t>
      </w:r>
    </w:p>
    <w:p>
      <w:pPr>
        <w:pStyle w:val="20"/>
        <w:spacing w:line="360" w:lineRule="auto"/>
        <w:ind w:left="102" w:leftChars="0" w:hanging="102" w:firstLineChars="0"/>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评分细则</w:t>
      </w:r>
    </w:p>
    <w:p>
      <w:pPr>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val="en-US"/>
        </w:rPr>
        <w:t>技术及商务评分</w:t>
      </w:r>
      <w:r>
        <w:rPr>
          <w:rFonts w:hint="eastAsia" w:ascii="宋体" w:hAnsi="宋体" w:eastAsia="宋体" w:cs="宋体"/>
          <w:b/>
          <w:color w:val="auto"/>
          <w:sz w:val="24"/>
          <w:szCs w:val="24"/>
          <w:lang w:val="en-US" w:eastAsia="zh-CN"/>
        </w:rPr>
        <w:t>权重（70%）</w:t>
      </w:r>
      <w:r>
        <w:rPr>
          <w:rFonts w:hint="eastAsia" w:ascii="宋体" w:hAnsi="宋体" w:eastAsia="宋体" w:cs="宋体"/>
          <w:b/>
          <w:color w:val="auto"/>
          <w:sz w:val="24"/>
          <w:szCs w:val="24"/>
        </w:rPr>
        <w:t>：</w:t>
      </w:r>
    </w:p>
    <w:p>
      <w:pPr>
        <w:rPr>
          <w:rFonts w:hint="eastAsia" w:ascii="宋体" w:hAnsi="宋体" w:eastAsia="宋体" w:cs="宋体"/>
          <w:color w:val="auto"/>
          <w:sz w:val="24"/>
          <w:szCs w:val="24"/>
          <w:lang w:eastAsia="zh-CN"/>
        </w:rPr>
      </w:pPr>
    </w:p>
    <w:tbl>
      <w:tblPr>
        <w:tblStyle w:val="47"/>
        <w:tblW w:w="9619"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853"/>
        <w:gridCol w:w="691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1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1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评分内容</w:t>
            </w:r>
          </w:p>
        </w:tc>
        <w:tc>
          <w:tcPr>
            <w:tcW w:w="6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12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评分</w:t>
            </w:r>
            <w:r>
              <w:rPr>
                <w:rFonts w:hint="eastAsia" w:ascii="宋体" w:hAnsi="宋体" w:eastAsia="宋体" w:cs="宋体"/>
                <w:b w:val="0"/>
                <w:bCs w:val="0"/>
                <w:color w:val="auto"/>
                <w:sz w:val="24"/>
                <w:szCs w:val="24"/>
                <w:lang w:eastAsia="zh-CN"/>
              </w:rPr>
              <w:t>方法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cs="宋体"/>
                <w:b/>
                <w:color w:val="auto"/>
              </w:rPr>
              <w:t>1</w:t>
            </w:r>
          </w:p>
        </w:tc>
        <w:tc>
          <w:tcPr>
            <w:tcW w:w="1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bCs/>
                <w:color w:val="auto"/>
              </w:rPr>
            </w:pPr>
            <w:r>
              <w:rPr>
                <w:rFonts w:hint="eastAsia" w:ascii="宋体" w:hAnsi="宋体" w:cs="宋体"/>
                <w:b/>
                <w:bCs/>
                <w:color w:val="auto"/>
              </w:rPr>
              <w:t xml:space="preserve"> 对投标</w:t>
            </w:r>
            <w:r>
              <w:rPr>
                <w:rFonts w:hint="eastAsia" w:ascii="宋体" w:hAnsi="宋体" w:cs="宋体"/>
                <w:b/>
                <w:bCs/>
                <w:color w:val="auto"/>
                <w:lang w:eastAsia="zh-CN"/>
              </w:rPr>
              <w:t>货物</w:t>
            </w:r>
            <w:r>
              <w:rPr>
                <w:rFonts w:hint="eastAsia" w:ascii="宋体" w:hAnsi="宋体" w:cs="宋体"/>
                <w:b/>
                <w:bCs/>
                <w:color w:val="auto"/>
              </w:rPr>
              <w:t>整体评价</w:t>
            </w:r>
          </w:p>
          <w:p>
            <w:pPr>
              <w:jc w:val="center"/>
              <w:rPr>
                <w:rFonts w:ascii="宋体" w:hAnsi="宋体" w:cs="宋体"/>
                <w:color w:val="auto"/>
              </w:rPr>
            </w:pPr>
          </w:p>
          <w:p>
            <w:pPr>
              <w:jc w:val="center"/>
              <w:rPr>
                <w:rFonts w:hint="eastAsia" w:ascii="宋体" w:hAnsi="宋体" w:eastAsia="宋体" w:cs="宋体"/>
                <w:color w:val="auto"/>
                <w:sz w:val="24"/>
                <w:szCs w:val="24"/>
                <w:lang w:val="en-US" w:eastAsia="zh-CN"/>
              </w:rPr>
            </w:pPr>
            <w:r>
              <w:rPr>
                <w:rFonts w:hint="eastAsia" w:ascii="宋体" w:hAnsi="宋体" w:cs="宋体"/>
                <w:b/>
                <w:color w:val="auto"/>
              </w:rPr>
              <w:t>（20分）</w:t>
            </w:r>
          </w:p>
        </w:tc>
        <w:tc>
          <w:tcPr>
            <w:tcW w:w="6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color w:val="auto"/>
              </w:rPr>
            </w:pPr>
            <w:r>
              <w:rPr>
                <w:rFonts w:hint="eastAsia" w:ascii="宋体" w:hAnsi="宋体" w:cs="宋体"/>
                <w:color w:val="auto"/>
              </w:rPr>
              <w:t>1.配置：</w:t>
            </w:r>
            <w:r>
              <w:rPr>
                <w:rFonts w:hint="eastAsia" w:ascii="宋体" w:hAnsi="宋体" w:cs="宋体"/>
                <w:color w:val="auto"/>
                <w:lang w:eastAsia="zh-CN"/>
              </w:rPr>
              <w:t>货物</w:t>
            </w:r>
            <w:r>
              <w:rPr>
                <w:rFonts w:hint="eastAsia" w:ascii="宋体" w:hAnsi="宋体" w:cs="宋体"/>
                <w:color w:val="auto"/>
              </w:rPr>
              <w:t>配置是否合理，产品质量认证、获省、部级名优产品等情况。（ 0-</w:t>
            </w:r>
            <w:r>
              <w:rPr>
                <w:rFonts w:hint="eastAsia" w:ascii="宋体" w:hAnsi="宋体" w:cs="宋体"/>
                <w:color w:val="auto"/>
                <w:lang w:val="en-US" w:eastAsia="zh-CN"/>
              </w:rPr>
              <w:t>3</w:t>
            </w:r>
            <w:r>
              <w:rPr>
                <w:rFonts w:hint="eastAsia" w:ascii="宋体" w:hAnsi="宋体" w:cs="宋体"/>
                <w:color w:val="auto"/>
              </w:rPr>
              <w:t>分）</w:t>
            </w:r>
          </w:p>
          <w:p>
            <w:pPr>
              <w:rPr>
                <w:rFonts w:ascii="宋体" w:hAnsi="宋体" w:cs="宋体"/>
                <w:color w:val="auto"/>
              </w:rPr>
            </w:pPr>
            <w:r>
              <w:rPr>
                <w:rFonts w:hint="eastAsia" w:ascii="宋体" w:hAnsi="宋体" w:cs="宋体"/>
                <w:color w:val="auto"/>
              </w:rPr>
              <w:t>2.材质：</w:t>
            </w:r>
            <w:r>
              <w:rPr>
                <w:rFonts w:hint="eastAsia" w:ascii="宋体" w:hAnsi="宋体" w:cs="宋体"/>
                <w:color w:val="auto"/>
                <w:lang w:eastAsia="zh-CN"/>
              </w:rPr>
              <w:t>货物</w:t>
            </w:r>
            <w:r>
              <w:rPr>
                <w:rFonts w:hint="eastAsia" w:ascii="宋体" w:hAnsi="宋体" w:cs="宋体"/>
                <w:color w:val="auto"/>
              </w:rPr>
              <w:t>的材质情况，选材是否优质、合理，质量是否可靠。（ 0-</w:t>
            </w:r>
            <w:r>
              <w:rPr>
                <w:rFonts w:hint="eastAsia" w:ascii="宋体" w:hAnsi="宋体" w:cs="宋体"/>
                <w:color w:val="auto"/>
                <w:lang w:val="en-US" w:eastAsia="zh-CN"/>
              </w:rPr>
              <w:t>3</w:t>
            </w:r>
            <w:r>
              <w:rPr>
                <w:rFonts w:hint="eastAsia" w:ascii="宋体" w:hAnsi="宋体" w:cs="宋体"/>
                <w:color w:val="auto"/>
              </w:rPr>
              <w:t>分）</w:t>
            </w:r>
          </w:p>
          <w:p>
            <w:pPr>
              <w:rPr>
                <w:rFonts w:ascii="宋体" w:hAnsi="宋体" w:cs="宋体"/>
                <w:color w:val="auto"/>
              </w:rPr>
            </w:pPr>
            <w:r>
              <w:rPr>
                <w:rFonts w:hint="eastAsia" w:ascii="宋体" w:hAnsi="宋体" w:cs="宋体"/>
                <w:color w:val="auto"/>
              </w:rPr>
              <w:t>3.工艺：产品生产或制造工艺水平、技术力量及技术装备情况。（ 0-4分）</w:t>
            </w:r>
          </w:p>
          <w:p>
            <w:pPr>
              <w:rPr>
                <w:rFonts w:ascii="宋体" w:hAnsi="宋体" w:cs="宋体"/>
                <w:color w:val="auto"/>
              </w:rPr>
            </w:pPr>
            <w:r>
              <w:rPr>
                <w:rFonts w:hint="eastAsia" w:ascii="宋体" w:hAnsi="宋体" w:cs="宋体"/>
                <w:color w:val="auto"/>
              </w:rPr>
              <w:t>4.运行成本</w:t>
            </w:r>
            <w:r>
              <w:rPr>
                <w:rFonts w:hint="eastAsia" w:ascii="宋体" w:hAnsi="宋体" w:cs="宋体"/>
                <w:color w:val="auto"/>
                <w:lang w:eastAsia="zh-CN"/>
              </w:rPr>
              <w:t>：</w:t>
            </w:r>
            <w:r>
              <w:rPr>
                <w:rFonts w:hint="eastAsia" w:ascii="宋体" w:hAnsi="宋体" w:cs="宋体"/>
                <w:color w:val="auto"/>
              </w:rPr>
              <w:t>综合评定产品的使用和维护成本：是否合理，是否减少易损件的更换和维修费用，是否有利于长期效益。（ 0-4分）</w:t>
            </w:r>
          </w:p>
          <w:p>
            <w:pPr>
              <w:rPr>
                <w:rFonts w:ascii="宋体" w:hAnsi="宋体" w:cs="宋体"/>
                <w:color w:val="auto"/>
              </w:rPr>
            </w:pPr>
            <w:r>
              <w:rPr>
                <w:rFonts w:hint="eastAsia" w:ascii="宋体" w:hAnsi="宋体" w:cs="宋体"/>
                <w:color w:val="auto"/>
              </w:rPr>
              <w:t>5.功能</w:t>
            </w:r>
            <w:r>
              <w:rPr>
                <w:rFonts w:hint="eastAsia" w:ascii="宋体" w:hAnsi="宋体" w:cs="宋体"/>
                <w:color w:val="auto"/>
                <w:lang w:eastAsia="zh-CN"/>
              </w:rPr>
              <w:t>：货物</w:t>
            </w:r>
            <w:r>
              <w:rPr>
                <w:rFonts w:hint="eastAsia" w:ascii="宋体" w:hAnsi="宋体" w:cs="宋体"/>
                <w:color w:val="auto"/>
              </w:rPr>
              <w:t>的功能性、整体配套性、经济性、先进性、稳定性是否最佳化。（0-4分）</w:t>
            </w:r>
          </w:p>
          <w:p>
            <w:pPr>
              <w:rPr>
                <w:rFonts w:hint="eastAsia" w:ascii="宋体" w:hAnsi="宋体" w:eastAsia="宋体" w:cs="宋体"/>
                <w:color w:val="auto"/>
                <w:sz w:val="24"/>
                <w:szCs w:val="24"/>
                <w:lang w:val="en-US" w:eastAsia="zh-CN"/>
              </w:rPr>
            </w:pPr>
            <w:r>
              <w:rPr>
                <w:rFonts w:hint="eastAsia" w:ascii="宋体" w:hAnsi="宋体" w:cs="宋体"/>
                <w:color w:val="auto"/>
              </w:rPr>
              <w:t>6.品质</w:t>
            </w:r>
            <w:r>
              <w:rPr>
                <w:rFonts w:hint="eastAsia" w:ascii="宋体" w:hAnsi="宋体" w:cs="宋体"/>
                <w:color w:val="auto"/>
                <w:lang w:eastAsia="zh-CN"/>
              </w:rPr>
              <w:t>：</w:t>
            </w:r>
            <w:r>
              <w:rPr>
                <w:rFonts w:hint="eastAsia" w:ascii="宋体" w:hAnsi="宋体" w:cs="宋体"/>
                <w:color w:val="auto"/>
              </w:rPr>
              <w:t>产品的档次、品质保证的评定。（0-2分）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color w:val="auto"/>
                <w:sz w:val="24"/>
                <w:szCs w:val="24"/>
                <w:lang w:val="en-US" w:eastAsia="zh-CN"/>
              </w:rPr>
            </w:pPr>
            <w:r>
              <w:rPr>
                <w:rFonts w:hint="eastAsia" w:ascii="宋体" w:hAnsi="宋体" w:cs="宋体"/>
                <w:b/>
                <w:color w:val="auto"/>
              </w:rPr>
              <w:t>2</w:t>
            </w:r>
          </w:p>
        </w:tc>
        <w:tc>
          <w:tcPr>
            <w:tcW w:w="1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cs="宋体"/>
                <w:b/>
                <w:color w:val="auto"/>
                <w:kern w:val="0"/>
                <w:szCs w:val="21"/>
              </w:rPr>
              <w:t>投标</w:t>
            </w:r>
            <w:r>
              <w:rPr>
                <w:rFonts w:hint="eastAsia" w:ascii="宋体" w:hAnsi="宋体" w:cs="宋体"/>
                <w:b/>
                <w:color w:val="auto"/>
                <w:kern w:val="0"/>
                <w:szCs w:val="21"/>
                <w:lang w:eastAsia="zh-CN"/>
              </w:rPr>
              <w:t>货物</w:t>
            </w:r>
            <w:r>
              <w:rPr>
                <w:rFonts w:hint="eastAsia" w:ascii="宋体" w:hAnsi="宋体" w:cs="宋体"/>
                <w:b/>
                <w:color w:val="auto"/>
                <w:kern w:val="0"/>
                <w:szCs w:val="21"/>
              </w:rPr>
              <w:t>技术性能指标的响应程度（9分）</w:t>
            </w:r>
          </w:p>
        </w:tc>
        <w:tc>
          <w:tcPr>
            <w:tcW w:w="6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24"/>
                <w:lang w:val="en-US" w:eastAsia="zh-CN"/>
              </w:rPr>
            </w:pPr>
            <w:r>
              <w:rPr>
                <w:rFonts w:hint="eastAsia" w:ascii="宋体" w:hAnsi="宋体" w:cs="宋体"/>
                <w:color w:val="auto"/>
              </w:rPr>
              <w:t xml:space="preserve">所投产品配置符合招标文件的要求，得9分。配置不详，技术参数不清，缺漏项的，每处扣1分（扣完为止）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cs="宋体"/>
                <w:b/>
                <w:color w:val="auto"/>
              </w:rPr>
              <w:t>3</w:t>
            </w:r>
          </w:p>
        </w:tc>
        <w:tc>
          <w:tcPr>
            <w:tcW w:w="1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cs="宋体"/>
                <w:b/>
                <w:color w:val="auto"/>
                <w:kern w:val="0"/>
                <w:szCs w:val="21"/>
              </w:rPr>
              <w:t>安装、调试、培训及验收方案</w:t>
            </w:r>
            <w:r>
              <w:rPr>
                <w:rFonts w:hint="eastAsia" w:ascii="宋体" w:hAnsi="宋体" w:cs="宋体"/>
                <w:b/>
                <w:bCs/>
                <w:color w:val="auto"/>
              </w:rPr>
              <w:t>（10分）</w:t>
            </w:r>
          </w:p>
        </w:tc>
        <w:tc>
          <w:tcPr>
            <w:tcW w:w="6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color w:val="auto"/>
                <w:sz w:val="24"/>
                <w:szCs w:val="24"/>
                <w:lang w:val="en-US" w:eastAsia="zh-CN"/>
              </w:rPr>
            </w:pPr>
            <w:r>
              <w:rPr>
                <w:rFonts w:hint="eastAsia" w:ascii="宋体" w:cs="宋体"/>
                <w:color w:val="auto"/>
                <w:spacing w:val="-6"/>
                <w:kern w:val="0"/>
                <w:szCs w:val="21"/>
              </w:rPr>
              <w:t>投标人提供的</w:t>
            </w:r>
            <w:r>
              <w:rPr>
                <w:rFonts w:hint="eastAsia" w:ascii="宋体" w:cs="宋体"/>
                <w:color w:val="auto"/>
                <w:spacing w:val="-6"/>
                <w:kern w:val="0"/>
                <w:szCs w:val="21"/>
                <w:lang w:eastAsia="zh-CN"/>
              </w:rPr>
              <w:t>货物</w:t>
            </w:r>
            <w:r>
              <w:rPr>
                <w:rFonts w:hint="eastAsia" w:ascii="宋体" w:cs="宋体"/>
                <w:color w:val="auto"/>
                <w:spacing w:val="-6"/>
                <w:kern w:val="0"/>
                <w:szCs w:val="21"/>
              </w:rPr>
              <w:t>安装、调试、培训及验收等内容是有效完整及可实施的，得7-10分；投标人提供的</w:t>
            </w:r>
            <w:r>
              <w:rPr>
                <w:rFonts w:hint="eastAsia" w:ascii="宋体" w:cs="宋体"/>
                <w:color w:val="auto"/>
                <w:spacing w:val="-6"/>
                <w:kern w:val="0"/>
                <w:szCs w:val="21"/>
                <w:lang w:eastAsia="zh-CN"/>
              </w:rPr>
              <w:t>货物</w:t>
            </w:r>
            <w:r>
              <w:rPr>
                <w:rFonts w:hint="eastAsia" w:ascii="宋体" w:cs="宋体"/>
                <w:color w:val="auto"/>
                <w:spacing w:val="-6"/>
                <w:kern w:val="0"/>
                <w:szCs w:val="21"/>
              </w:rPr>
              <w:t>安装、调试、培训及验收等内容是相对完整及可实施的，得3-6分；投标人提供的</w:t>
            </w:r>
            <w:r>
              <w:rPr>
                <w:rFonts w:hint="eastAsia" w:ascii="宋体" w:cs="宋体"/>
                <w:color w:val="auto"/>
                <w:spacing w:val="-6"/>
                <w:kern w:val="0"/>
                <w:szCs w:val="21"/>
                <w:lang w:eastAsia="zh-CN"/>
              </w:rPr>
              <w:t>货物</w:t>
            </w:r>
            <w:r>
              <w:rPr>
                <w:rFonts w:hint="eastAsia" w:ascii="宋体" w:cs="宋体"/>
                <w:color w:val="auto"/>
                <w:spacing w:val="-6"/>
                <w:kern w:val="0"/>
                <w:szCs w:val="21"/>
              </w:rPr>
              <w:t>安装、调试、培训及验收等内容是不完整及可实施的，得0-2分。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84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cs="宋体"/>
                <w:b/>
                <w:color w:val="auto"/>
              </w:rPr>
              <w:t>4</w:t>
            </w:r>
          </w:p>
        </w:tc>
        <w:tc>
          <w:tcPr>
            <w:tcW w:w="1853"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bCs/>
                <w:color w:val="auto"/>
              </w:rPr>
            </w:pPr>
            <w:r>
              <w:rPr>
                <w:rFonts w:hint="eastAsia" w:ascii="宋体" w:hAnsi="宋体" w:cs="宋体"/>
                <w:b/>
                <w:bCs/>
                <w:color w:val="auto"/>
                <w:lang w:eastAsia="zh-CN"/>
              </w:rPr>
              <w:t>货物</w:t>
            </w:r>
            <w:r>
              <w:rPr>
                <w:rFonts w:hint="eastAsia" w:ascii="宋体" w:hAnsi="宋体" w:cs="宋体"/>
                <w:b/>
                <w:bCs/>
                <w:color w:val="auto"/>
              </w:rPr>
              <w:t>供应</w:t>
            </w:r>
          </w:p>
          <w:p>
            <w:pPr>
              <w:jc w:val="center"/>
              <w:rPr>
                <w:rFonts w:hint="default" w:ascii="宋体" w:hAnsi="宋体" w:eastAsia="宋体" w:cs="宋体"/>
                <w:color w:val="auto"/>
                <w:sz w:val="24"/>
                <w:szCs w:val="24"/>
                <w:lang w:val="en-US" w:eastAsia="zh-CN"/>
              </w:rPr>
            </w:pPr>
            <w:r>
              <w:rPr>
                <w:rFonts w:hint="eastAsia" w:ascii="宋体" w:hAnsi="宋体" w:cs="宋体"/>
                <w:b/>
                <w:bCs/>
                <w:color w:val="auto"/>
              </w:rPr>
              <w:t>方案（10分）</w:t>
            </w:r>
          </w:p>
        </w:tc>
        <w:tc>
          <w:tcPr>
            <w:tcW w:w="6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24"/>
                <w:lang w:val="en-US" w:eastAsia="zh-CN"/>
              </w:rPr>
            </w:pPr>
            <w:r>
              <w:rPr>
                <w:rFonts w:hint="eastAsia" w:ascii="宋体" w:cs="宋体"/>
                <w:color w:val="auto"/>
                <w:szCs w:val="21"/>
              </w:rPr>
              <w:t>项目供货方案（</w:t>
            </w:r>
            <w:r>
              <w:rPr>
                <w:rFonts w:hint="eastAsia" w:ascii="宋体" w:cs="宋体"/>
                <w:color w:val="auto"/>
                <w:szCs w:val="21"/>
                <w:lang w:eastAsia="zh-CN"/>
              </w:rPr>
              <w:t>货物</w:t>
            </w:r>
            <w:r>
              <w:rPr>
                <w:rFonts w:hint="eastAsia" w:ascii="宋体" w:cs="宋体"/>
                <w:color w:val="auto"/>
                <w:szCs w:val="21"/>
              </w:rPr>
              <w:t>的运输方案、质量保证措施、装卸方案等）完整可行，得6-10分；项目供货方案相对完整可行，得3-5分；项目供货方案不完整、不可行，得0-2分。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cs="宋体"/>
                <w:b/>
                <w:color w:val="auto"/>
              </w:rPr>
              <w:t>5</w:t>
            </w:r>
          </w:p>
        </w:tc>
        <w:tc>
          <w:tcPr>
            <w:tcW w:w="1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bCs/>
                <w:color w:val="auto"/>
              </w:rPr>
            </w:pPr>
            <w:r>
              <w:rPr>
                <w:rFonts w:hint="eastAsia" w:ascii="宋体" w:hAnsi="宋体" w:cs="宋体"/>
                <w:b/>
                <w:bCs/>
                <w:color w:val="auto"/>
              </w:rPr>
              <w:t>售后服务及零配件供应方案（10分）</w:t>
            </w:r>
          </w:p>
          <w:p>
            <w:pPr>
              <w:jc w:val="center"/>
              <w:rPr>
                <w:rFonts w:hint="eastAsia" w:ascii="宋体" w:hAnsi="宋体" w:eastAsia="宋体" w:cs="宋体"/>
                <w:color w:val="auto"/>
                <w:sz w:val="24"/>
                <w:szCs w:val="24"/>
                <w:lang w:val="en-US" w:eastAsia="zh-CN"/>
              </w:rPr>
            </w:pPr>
          </w:p>
        </w:tc>
        <w:tc>
          <w:tcPr>
            <w:tcW w:w="6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color w:val="auto"/>
                <w:sz w:val="24"/>
                <w:szCs w:val="24"/>
                <w:lang w:val="en-US" w:eastAsia="zh-CN"/>
              </w:rPr>
            </w:pPr>
            <w:r>
              <w:rPr>
                <w:rFonts w:hint="eastAsia" w:ascii="宋体" w:hAnsi="宋体" w:cs="宋体"/>
                <w:color w:val="auto"/>
              </w:rPr>
              <w:t>有优质的售后服务说明，保修、售后服务方案，服务响应时间、修复时间、应急处理、售后机构、人员、零配件供应等售后计划方案，得6-10分；有售后服务说明，保修、售后服务方案，服务响应时间、修复时间、应急处理、售后机构、人员、零配件供应等售后计划方案，的3-5分；没有完整的售后服务说明，保修、售后服务方案，服务响应时间、修复时间、应急处理、售后机构、人员、零配件供应等售后计划方案，得0-2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b/>
                <w:color w:val="auto"/>
                <w:lang w:val="en-US" w:eastAsia="zh-CN"/>
              </w:rPr>
            </w:pPr>
            <w:r>
              <w:rPr>
                <w:rFonts w:hint="eastAsia" w:ascii="宋体" w:hAnsi="宋体" w:cs="宋体"/>
                <w:b/>
                <w:color w:val="auto"/>
              </w:rPr>
              <w:t>6</w:t>
            </w:r>
          </w:p>
        </w:tc>
        <w:tc>
          <w:tcPr>
            <w:tcW w:w="1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cs="宋体"/>
                <w:b/>
                <w:bCs/>
                <w:color w:val="auto"/>
              </w:rPr>
            </w:pPr>
            <w:r>
              <w:rPr>
                <w:rFonts w:hint="eastAsia" w:ascii="宋体" w:hAnsi="宋体" w:cs="宋体"/>
                <w:b/>
                <w:color w:val="auto"/>
              </w:rPr>
              <w:t>对投标人技术服务和质保期服务能力的评价（8分）</w:t>
            </w:r>
          </w:p>
        </w:tc>
        <w:tc>
          <w:tcPr>
            <w:tcW w:w="6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ascii="宋体" w:hAnsi="宋体" w:cs="宋体"/>
                <w:color w:val="auto"/>
              </w:rPr>
            </w:pPr>
            <w:r>
              <w:rPr>
                <w:rFonts w:hint="eastAsia" w:ascii="宋体" w:hAnsi="宋体" w:cs="宋体"/>
                <w:color w:val="auto"/>
              </w:rPr>
              <w:t>1.供应商企业管理、技术服务企业综合管理水平、信用等级、商业信誉等是否良好，技术服务是否满足于要求；（ 0-3分）</w:t>
            </w:r>
          </w:p>
          <w:p>
            <w:pPr>
              <w:jc w:val="left"/>
              <w:rPr>
                <w:rFonts w:ascii="宋体" w:hAnsi="宋体" w:cs="宋体"/>
                <w:color w:val="auto"/>
              </w:rPr>
            </w:pPr>
            <w:r>
              <w:rPr>
                <w:rFonts w:hint="eastAsia" w:ascii="宋体" w:hAnsi="宋体" w:cs="宋体"/>
                <w:color w:val="auto"/>
              </w:rPr>
              <w:t>2.供货、安装能力企业供货能力如何，能否满足购货方需要，安装能力是否达到要求；（ 0-3分）</w:t>
            </w:r>
          </w:p>
          <w:p>
            <w:pPr>
              <w:jc w:val="left"/>
              <w:rPr>
                <w:rFonts w:hint="eastAsia" w:ascii="宋体" w:hAnsi="宋体" w:cs="宋体"/>
                <w:color w:val="auto"/>
              </w:rPr>
            </w:pPr>
            <w:r>
              <w:rPr>
                <w:rFonts w:hint="eastAsia" w:ascii="宋体" w:hAnsi="宋体" w:cs="宋体"/>
                <w:color w:val="auto"/>
              </w:rPr>
              <w:t>3.质保期以及质保期间服务能力质保期限的长短是否满足要求或是有偏离，质保期内服务能力是否满足要求；（0-2分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color w:val="auto"/>
                <w:lang w:val="en-US" w:eastAsia="zh-CN"/>
              </w:rPr>
            </w:pPr>
            <w:r>
              <w:rPr>
                <w:rFonts w:hint="eastAsia" w:ascii="宋体" w:hAnsi="宋体" w:cs="宋体"/>
                <w:b/>
                <w:color w:val="auto"/>
              </w:rPr>
              <w:t>7</w:t>
            </w:r>
          </w:p>
        </w:tc>
        <w:tc>
          <w:tcPr>
            <w:tcW w:w="1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color w:val="auto"/>
              </w:rPr>
            </w:pPr>
            <w:r>
              <w:rPr>
                <w:rFonts w:hint="eastAsia" w:ascii="宋体" w:hAnsi="宋体" w:cs="宋体"/>
                <w:b/>
                <w:color w:val="auto"/>
              </w:rPr>
              <w:t>业绩（3分）</w:t>
            </w:r>
          </w:p>
        </w:tc>
        <w:tc>
          <w:tcPr>
            <w:tcW w:w="6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cs="宋体"/>
                <w:bCs/>
                <w:color w:val="auto"/>
                <w:szCs w:val="21"/>
              </w:rPr>
            </w:pPr>
            <w:r>
              <w:rPr>
                <w:rFonts w:hint="eastAsia" w:ascii="宋体" w:hAnsi="宋体" w:cs="宋体"/>
                <w:bCs/>
                <w:color w:val="auto"/>
                <w:szCs w:val="21"/>
              </w:rPr>
              <w:t>近三年类似业绩（以中标通知书或合同复印件为准）每个得1分，共得3分,没有得0分。</w:t>
            </w:r>
          </w:p>
        </w:tc>
      </w:tr>
    </w:tbl>
    <w:p>
      <w:pPr>
        <w:spacing w:before="156" w:beforeLines="50" w:after="156" w:afterLines="50" w:line="240" w:lineRule="exact"/>
        <w:jc w:val="left"/>
        <w:outlineLvl w:val="9"/>
        <w:rPr>
          <w:rFonts w:hint="eastAsia" w:ascii="宋体" w:hAnsi="宋体" w:eastAsia="宋体" w:cs="宋体"/>
          <w:b/>
          <w:color w:val="auto"/>
          <w:sz w:val="24"/>
          <w:szCs w:val="24"/>
          <w:lang w:eastAsia="zh-CN"/>
        </w:rPr>
      </w:pPr>
    </w:p>
    <w:p>
      <w:pPr>
        <w:spacing w:before="156" w:beforeLines="50" w:after="156" w:afterLines="50" w:line="240" w:lineRule="exact"/>
        <w:jc w:val="lef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价格评分表</w:t>
      </w:r>
      <w:r>
        <w:rPr>
          <w:rFonts w:hint="eastAsia" w:ascii="宋体" w:hAnsi="宋体" w:eastAsia="宋体" w:cs="宋体"/>
          <w:b/>
          <w:color w:val="auto"/>
          <w:sz w:val="24"/>
          <w:szCs w:val="24"/>
          <w:lang w:eastAsia="zh-CN"/>
        </w:rPr>
        <w:t>权重</w:t>
      </w:r>
      <w:r>
        <w:rPr>
          <w:rFonts w:hint="eastAsia" w:ascii="宋体" w:hAnsi="宋体" w:eastAsia="宋体" w:cs="宋体"/>
          <w:b/>
          <w:color w:val="auto"/>
          <w:sz w:val="24"/>
          <w:szCs w:val="24"/>
          <w:lang w:val="en-US"/>
        </w:rPr>
        <w:t>（</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lang w:val="en-US"/>
        </w:rPr>
        <w:t>）</w:t>
      </w:r>
    </w:p>
    <w:tbl>
      <w:tblPr>
        <w:tblStyle w:val="4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7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1" w:type="dxa"/>
            <w:vAlign w:val="center"/>
          </w:tcPr>
          <w:p>
            <w:pPr>
              <w:spacing w:line="276"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报价</w:t>
            </w:r>
          </w:p>
        </w:tc>
        <w:tc>
          <w:tcPr>
            <w:tcW w:w="7978" w:type="dxa"/>
            <w:vAlign w:val="center"/>
          </w:tcPr>
          <w:p>
            <w:pPr>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以满足磋商文件要求且最终报价最低的为基准价，其价格分为满分</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rPr>
              <w:t>分，其他供应商的价格分值统一按照下列公式计算：报价得分＝（基准价/其它供应商的最终报价）×价格权重（</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rPr>
              <w:t>％）×100&lt;小数点后保留两位&gt;</w:t>
            </w:r>
          </w:p>
        </w:tc>
      </w:tr>
    </w:tbl>
    <w:p>
      <w:pPr>
        <w:adjustRightInd w:val="0"/>
        <w:snapToGrid w:val="0"/>
        <w:spacing w:line="360" w:lineRule="auto"/>
        <w:outlineLvl w:val="9"/>
        <w:rPr>
          <w:rFonts w:hint="eastAsia" w:ascii="宋体" w:hAnsi="宋体" w:eastAsia="宋体" w:cs="宋体"/>
          <w:b/>
          <w:bCs/>
          <w:color w:val="auto"/>
          <w:sz w:val="24"/>
          <w:szCs w:val="24"/>
        </w:rPr>
      </w:pPr>
    </w:p>
    <w:p>
      <w:pPr>
        <w:adjustRightInd w:val="0"/>
        <w:snapToGrid w:val="0"/>
        <w:spacing w:line="360" w:lineRule="auto"/>
        <w:outlineLvl w:val="9"/>
        <w:rPr>
          <w:rFonts w:hint="eastAsia" w:ascii="宋体" w:hAnsi="宋体" w:eastAsia="宋体" w:cs="宋体"/>
          <w:b/>
          <w:bCs/>
          <w:color w:val="auto"/>
          <w:sz w:val="24"/>
          <w:szCs w:val="24"/>
        </w:rPr>
      </w:pPr>
    </w:p>
    <w:p>
      <w:pPr>
        <w:numPr>
          <w:ilvl w:val="0"/>
          <w:numId w:val="3"/>
        </w:numPr>
        <w:adjustRightInd w:val="0"/>
        <w:snapToGrid w:val="0"/>
        <w:spacing w:line="360" w:lineRule="auto"/>
        <w:ind w:left="-107" w:leftChars="-51" w:firstLine="0" w:firstLineChars="0"/>
        <w:outlineLvl w:val="9"/>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属于中小企业评审优惠内容及价格扣除幅度</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tcPr>
          <w:p>
            <w:pPr>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（一）根据财政部、工业和信息化部制定的《关于印发《政府采购促进中小企业发展管理办法》的通知》（财库〔2020〕46号）</w:t>
            </w:r>
            <w:r>
              <w:rPr>
                <w:rFonts w:hint="eastAsia" w:ascii="宋体" w:hAnsi="宋体" w:eastAsia="宋体" w:cs="宋体"/>
                <w:bCs/>
                <w:color w:val="auto"/>
                <w:sz w:val="24"/>
                <w:szCs w:val="24"/>
                <w:lang w:eastAsia="zh-CN"/>
              </w:rPr>
              <w:t>、《关于进一步加大政府采购支持中小企业力度的通知》（财库〔2022〕19号）</w:t>
            </w:r>
            <w:r>
              <w:rPr>
                <w:rFonts w:hint="eastAsia" w:ascii="宋体" w:hAnsi="宋体" w:eastAsia="宋体" w:cs="宋体"/>
                <w:bCs/>
                <w:color w:val="auto"/>
                <w:sz w:val="24"/>
                <w:szCs w:val="24"/>
              </w:rPr>
              <w:t>规定执行，属于中小企业评审优惠内容及幅度如下：</w:t>
            </w:r>
          </w:p>
          <w:p>
            <w:pPr>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①符合中小企业划分标准（按《关于印发中小企业划型标准规定的通知》（工信部联企业〔2011〕300号）执行）；</w:t>
            </w:r>
          </w:p>
          <w:p>
            <w:pPr>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②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w:t>
            </w:r>
          </w:p>
          <w:p>
            <w:pPr>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③依据财政部民政部中国残疾人联合会《关于促进残疾人就业政府采购政策的通知》（财库[2017]141号）的规定，残疾人福利性单位视同小型、微型企业，享受预留份额、评审中价格扣除等促进中小企业发展的政府采购政策。</w:t>
            </w:r>
          </w:p>
          <w:p>
            <w:pPr>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（二）价格扣除办法：</w:t>
            </w:r>
          </w:p>
          <w:p>
            <w:pPr>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 1 \* GB3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rPr>
              <w:t>①</w:t>
            </w:r>
            <w:r>
              <w:rPr>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%的扣除，用扣除后的价格参与价格分的评审。</w:t>
            </w:r>
          </w:p>
          <w:p>
            <w:pPr>
              <w:spacing w:line="276" w:lineRule="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（三）小型和微型企业适用价格扣除办法时应提供的相关资料：中小企业声明函、残疾人福利性单位声明函、监狱企业声明函</w:t>
            </w:r>
            <w:r>
              <w:rPr>
                <w:rFonts w:hint="eastAsia" w:ascii="宋体" w:hAnsi="宋体" w:eastAsia="宋体" w:cs="宋体"/>
                <w:bCs/>
                <w:color w:val="auto"/>
                <w:sz w:val="24"/>
                <w:szCs w:val="24"/>
                <w:lang w:eastAsia="zh-CN"/>
              </w:rPr>
              <w:t>。</w:t>
            </w:r>
          </w:p>
          <w:p>
            <w:pPr>
              <w:spacing w:line="276" w:lineRule="auto"/>
              <w:rPr>
                <w:rFonts w:hint="eastAsia" w:eastAsia="宋体"/>
                <w:color w:val="auto"/>
                <w:vertAlign w:val="baseline"/>
                <w:lang w:eastAsia="zh-CN"/>
              </w:rPr>
            </w:pPr>
            <w:r>
              <w:rPr>
                <w:rFonts w:hint="eastAsia" w:ascii="宋体" w:hAnsi="宋体" w:eastAsia="宋体" w:cs="宋体"/>
                <w:bCs/>
                <w:color w:val="auto"/>
                <w:sz w:val="24"/>
                <w:szCs w:val="24"/>
              </w:rPr>
              <w:t>进口产品不享受中小企业评审优惠</w:t>
            </w:r>
            <w:r>
              <w:rPr>
                <w:rFonts w:hint="eastAsia" w:ascii="宋体" w:hAnsi="宋体" w:eastAsia="宋体" w:cs="宋体"/>
                <w:bCs/>
                <w:color w:val="auto"/>
                <w:sz w:val="24"/>
                <w:szCs w:val="24"/>
                <w:lang w:eastAsia="zh-CN"/>
              </w:rPr>
              <w:t>。</w:t>
            </w:r>
          </w:p>
        </w:tc>
      </w:tr>
    </w:tbl>
    <w:p>
      <w:pPr>
        <w:pStyle w:val="2"/>
        <w:numPr>
          <w:ilvl w:val="0"/>
          <w:numId w:val="0"/>
        </w:numPr>
        <w:ind w:leftChars="-51"/>
        <w:rPr>
          <w:rFonts w:hint="eastAsia"/>
          <w:color w:val="auto"/>
          <w:lang w:eastAsia="zh-CN"/>
        </w:rPr>
      </w:pPr>
    </w:p>
    <w:p>
      <w:pPr>
        <w:adjustRightInd w:val="0"/>
        <w:snapToGrid w:val="0"/>
        <w:spacing w:line="360" w:lineRule="auto"/>
        <w:outlineLvl w:val="9"/>
        <w:rPr>
          <w:rFonts w:hint="eastAsia" w:ascii="宋体" w:hAnsi="宋体" w:eastAsia="宋体" w:cs="宋体"/>
          <w:b/>
          <w:bCs/>
          <w:color w:val="auto"/>
          <w:sz w:val="24"/>
          <w:szCs w:val="24"/>
        </w:rPr>
      </w:pPr>
    </w:p>
    <w:p>
      <w:pPr>
        <w:adjustRightInd w:val="0"/>
        <w:snapToGrid w:val="0"/>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附表</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p>
    <w:p>
      <w:pPr>
        <w:spacing w:before="156" w:beforeLines="50" w:after="156" w:afterLines="50"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经评审的供应商排序表</w:t>
      </w:r>
    </w:p>
    <w:p>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项目</w:t>
      </w:r>
      <w:r>
        <w:rPr>
          <w:rFonts w:hint="eastAsia" w:ascii="宋体" w:hAnsi="宋体" w:eastAsia="宋体" w:cs="宋体"/>
          <w:bCs/>
          <w:color w:val="auto"/>
          <w:sz w:val="24"/>
          <w:szCs w:val="24"/>
        </w:rPr>
        <w:t xml:space="preserve">编号：                                                            </w:t>
      </w:r>
    </w:p>
    <w:tbl>
      <w:tblPr>
        <w:tblStyle w:val="47"/>
        <w:tblW w:w="84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8"/>
        <w:gridCol w:w="3463"/>
        <w:gridCol w:w="1843"/>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top w:val="single" w:color="auto" w:sz="4" w:space="0"/>
              <w:lef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排序</w:t>
            </w:r>
          </w:p>
        </w:tc>
        <w:tc>
          <w:tcPr>
            <w:tcW w:w="3463" w:type="dxa"/>
            <w:tcBorders>
              <w:top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1843" w:type="dxa"/>
            <w:tcBorders>
              <w:top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得分情况</w:t>
            </w:r>
          </w:p>
        </w:tc>
        <w:tc>
          <w:tcPr>
            <w:tcW w:w="1427"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最后报价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lef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第一名</w:t>
            </w:r>
          </w:p>
        </w:tc>
        <w:tc>
          <w:tcPr>
            <w:tcW w:w="3463" w:type="dxa"/>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lef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第二名</w:t>
            </w:r>
          </w:p>
        </w:tc>
        <w:tc>
          <w:tcPr>
            <w:tcW w:w="3463" w:type="dxa"/>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lef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第三名</w:t>
            </w:r>
          </w:p>
        </w:tc>
        <w:tc>
          <w:tcPr>
            <w:tcW w:w="3463" w:type="dxa"/>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lef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3463" w:type="dxa"/>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8" w:type="dxa"/>
            <w:tcBorders>
              <w:left w:val="single" w:color="auto" w:sz="4" w:space="0"/>
              <w:bottom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463" w:type="dxa"/>
            <w:tcBorders>
              <w:bottom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843" w:type="dxa"/>
            <w:tcBorders>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27" w:type="dxa"/>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bl>
    <w:p>
      <w:pPr>
        <w:spacing w:before="156" w:beforeLines="5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bCs/>
          <w:color w:val="auto"/>
          <w:sz w:val="24"/>
          <w:szCs w:val="24"/>
        </w:rPr>
        <w:t>得分相同的，按最后报价由低到高顺序排列。得分且最后报价相同的，按技术指标优劣顺序推荐。</w:t>
      </w:r>
    </w:p>
    <w:p>
      <w:pPr>
        <w:spacing w:line="360" w:lineRule="auto"/>
        <w:outlineLvl w:val="9"/>
        <w:rPr>
          <w:rFonts w:hint="eastAsia" w:ascii="宋体" w:hAnsi="宋体" w:eastAsia="宋体" w:cs="宋体"/>
          <w:b/>
          <w:color w:val="auto"/>
          <w:sz w:val="24"/>
          <w:szCs w:val="24"/>
        </w:rPr>
      </w:pPr>
    </w:p>
    <w:p>
      <w:pPr>
        <w:pStyle w:val="2"/>
        <w:rPr>
          <w:rFonts w:hint="eastAsia"/>
          <w:color w:val="auto"/>
        </w:rPr>
      </w:pPr>
    </w:p>
    <w:p>
      <w:pPr>
        <w:rPr>
          <w:rFonts w:hint="eastAsia"/>
          <w:color w:val="auto"/>
        </w:rPr>
      </w:pPr>
    </w:p>
    <w:p>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w:t>
      </w:r>
    </w:p>
    <w:p>
      <w:pPr>
        <w:spacing w:before="156" w:beforeLines="50" w:after="156" w:afterLines="50" w:line="36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推荐成交候选供应商名单</w:t>
      </w:r>
    </w:p>
    <w:p>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项目</w:t>
      </w:r>
      <w:r>
        <w:rPr>
          <w:rFonts w:hint="eastAsia" w:ascii="宋体" w:hAnsi="宋体" w:eastAsia="宋体" w:cs="宋体"/>
          <w:bCs/>
          <w:color w:val="auto"/>
          <w:sz w:val="24"/>
          <w:szCs w:val="24"/>
        </w:rPr>
        <w:t xml:space="preserve">编号：                                                            </w:t>
      </w:r>
    </w:p>
    <w:tbl>
      <w:tblPr>
        <w:tblStyle w:val="47"/>
        <w:tblW w:w="85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3537"/>
        <w:gridCol w:w="1843"/>
        <w:gridCol w:w="14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排序</w:t>
            </w:r>
          </w:p>
        </w:tc>
        <w:tc>
          <w:tcPr>
            <w:tcW w:w="3537" w:type="dxa"/>
            <w:tcBorders>
              <w:top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成交候选供应商</w:t>
            </w:r>
          </w:p>
        </w:tc>
        <w:tc>
          <w:tcPr>
            <w:tcW w:w="1843" w:type="dxa"/>
            <w:tcBorders>
              <w:top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得分情况</w:t>
            </w:r>
          </w:p>
        </w:tc>
        <w:tc>
          <w:tcPr>
            <w:tcW w:w="1495"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最后报价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第一名</w:t>
            </w:r>
          </w:p>
        </w:tc>
        <w:tc>
          <w:tcPr>
            <w:tcW w:w="3537" w:type="dxa"/>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第二名</w:t>
            </w:r>
          </w:p>
        </w:tc>
        <w:tc>
          <w:tcPr>
            <w:tcW w:w="3537" w:type="dxa"/>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第三名</w:t>
            </w:r>
          </w:p>
        </w:tc>
        <w:tc>
          <w:tcPr>
            <w:tcW w:w="3537" w:type="dxa"/>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537" w:type="dxa"/>
            <w:vAlign w:val="center"/>
          </w:tcPr>
          <w:p>
            <w:pPr>
              <w:spacing w:line="360" w:lineRule="auto"/>
              <w:jc w:val="center"/>
              <w:rPr>
                <w:rFonts w:hint="eastAsia" w:ascii="宋体" w:hAnsi="宋体" w:eastAsia="宋体" w:cs="宋体"/>
                <w:color w:val="auto"/>
                <w:sz w:val="24"/>
                <w:szCs w:val="24"/>
              </w:rPr>
            </w:pPr>
          </w:p>
        </w:tc>
        <w:tc>
          <w:tcPr>
            <w:tcW w:w="1843" w:type="dxa"/>
            <w:tcBorders>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tcBorders>
              <w:left w:val="single" w:color="auto" w:sz="4" w:space="0"/>
              <w:bottom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3537" w:type="dxa"/>
            <w:tcBorders>
              <w:bottom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843" w:type="dxa"/>
            <w:tcBorders>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c>
          <w:tcPr>
            <w:tcW w:w="1495" w:type="dxa"/>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p>
        </w:tc>
      </w:tr>
    </w:tbl>
    <w:p>
      <w:pPr>
        <w:adjustRightInd w:val="0"/>
        <w:snapToGrid w:val="0"/>
        <w:spacing w:before="156" w:beforeLines="50" w:line="360" w:lineRule="auto"/>
        <w:jc w:val="both"/>
        <w:outlineLvl w:val="9"/>
        <w:rPr>
          <w:rFonts w:hint="eastAsia" w:ascii="宋体" w:hAnsi="宋体" w:cs="宋体"/>
          <w:b/>
          <w:color w:val="auto"/>
          <w:sz w:val="32"/>
          <w:szCs w:val="32"/>
        </w:rPr>
      </w:pPr>
    </w:p>
    <w:p>
      <w:pPr>
        <w:pStyle w:val="23"/>
        <w:rPr>
          <w:rFonts w:hint="eastAsia" w:ascii="宋体" w:hAnsi="宋体" w:cs="宋体"/>
          <w:b/>
          <w:color w:val="auto"/>
          <w:sz w:val="32"/>
          <w:szCs w:val="32"/>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numPr>
          <w:ilvl w:val="0"/>
          <w:numId w:val="5"/>
        </w:numPr>
        <w:adjustRightInd w:val="0"/>
        <w:snapToGrid w:val="0"/>
        <w:spacing w:before="156" w:beforeLines="50" w:line="360" w:lineRule="auto"/>
        <w:jc w:val="center"/>
        <w:outlineLvl w:val="9"/>
        <w:rPr>
          <w:rFonts w:hint="eastAsia" w:ascii="宋体" w:hAnsi="宋体" w:cs="宋体"/>
          <w:b/>
          <w:bCs/>
          <w:color w:val="auto"/>
          <w:sz w:val="32"/>
          <w:szCs w:val="32"/>
        </w:rPr>
      </w:pPr>
      <w:r>
        <w:rPr>
          <w:rFonts w:hint="eastAsia" w:ascii="宋体" w:hAnsi="宋体" w:cs="宋体"/>
          <w:b/>
          <w:color w:val="auto"/>
          <w:sz w:val="32"/>
          <w:szCs w:val="32"/>
        </w:rPr>
        <w:t xml:space="preserve"> </w:t>
      </w:r>
      <w:r>
        <w:rPr>
          <w:rFonts w:hint="eastAsia" w:ascii="宋体" w:hAnsi="宋体" w:cs="宋体"/>
          <w:b/>
          <w:color w:val="auto"/>
          <w:sz w:val="32"/>
          <w:szCs w:val="32"/>
          <w:lang w:eastAsia="zh-CN"/>
        </w:rPr>
        <w:t>合同</w:t>
      </w:r>
    </w:p>
    <w:p>
      <w:pPr>
        <w:pStyle w:val="279"/>
        <w:spacing w:before="312" w:after="156" w:line="520" w:lineRule="exact"/>
        <w:ind w:firstLine="480"/>
        <w:rPr>
          <w:rStyle w:val="280"/>
          <w:rFonts w:hAnsi="宋体" w:cs="宋体"/>
          <w:color w:val="auto"/>
          <w:spacing w:val="0"/>
          <w:kern w:val="2"/>
          <w:szCs w:val="24"/>
        </w:rPr>
      </w:pPr>
      <w:bookmarkStart w:id="31" w:name="_Toc101850"/>
      <w:r>
        <w:rPr>
          <w:rStyle w:val="280"/>
          <w:rFonts w:hint="eastAsia" w:hAnsi="宋体" w:cs="宋体"/>
          <w:color w:val="auto"/>
          <w:spacing w:val="0"/>
          <w:kern w:val="2"/>
          <w:szCs w:val="24"/>
        </w:rPr>
        <w:t>甲乙双方经友好协商，根据《中华人民共和国合同法》及相关法律规定，结合具体情况，在遵循平等互利、友好合作的原则下，就甲方订购乙方产品一事，经协商一致后达成如下条款：</w:t>
      </w:r>
    </w:p>
    <w:p>
      <w:pPr>
        <w:pStyle w:val="279"/>
        <w:spacing w:line="520" w:lineRule="exact"/>
        <w:ind w:firstLine="480"/>
        <w:rPr>
          <w:rStyle w:val="280"/>
          <w:rFonts w:hAnsi="宋体" w:cs="宋体"/>
          <w:color w:val="auto"/>
          <w:spacing w:val="0"/>
          <w:kern w:val="2"/>
          <w:szCs w:val="24"/>
        </w:rPr>
      </w:pPr>
      <w:r>
        <w:rPr>
          <w:rStyle w:val="280"/>
          <w:rFonts w:hint="eastAsia" w:hAnsi="宋体" w:cs="宋体"/>
          <w:color w:val="auto"/>
          <w:spacing w:val="0"/>
          <w:kern w:val="2"/>
          <w:szCs w:val="24"/>
        </w:rPr>
        <w:t>本合同签订时，乙方应将其营业执照复印件、税务登记证复印件、代码证复印件，开户行名称、银行帐号、联系人等相关资料提供给甲方存档，其内容如发生变动应及时书面通知甲方。</w:t>
      </w:r>
    </w:p>
    <w:p>
      <w:pPr>
        <w:pStyle w:val="279"/>
        <w:spacing w:line="520" w:lineRule="exact"/>
        <w:ind w:firstLine="482"/>
        <w:outlineLvl w:val="1"/>
        <w:rPr>
          <w:rStyle w:val="280"/>
          <w:rFonts w:hAnsi="宋体" w:cs="宋体"/>
          <w:b/>
          <w:bCs/>
          <w:color w:val="auto"/>
          <w:szCs w:val="24"/>
        </w:rPr>
      </w:pPr>
      <w:r>
        <w:rPr>
          <w:rStyle w:val="280"/>
          <w:rFonts w:hint="eastAsia" w:hAnsi="宋体" w:cs="宋体"/>
          <w:b/>
          <w:bCs/>
          <w:color w:val="auto"/>
          <w:szCs w:val="24"/>
        </w:rPr>
        <w:t>一、合同双方</w:t>
      </w:r>
    </w:p>
    <w:p>
      <w:pPr>
        <w:pStyle w:val="279"/>
        <w:spacing w:line="520" w:lineRule="exact"/>
        <w:ind w:firstLine="480"/>
        <w:rPr>
          <w:rStyle w:val="280"/>
          <w:rFonts w:hAnsi="宋体" w:cs="宋体"/>
          <w:b/>
          <w:bCs/>
          <w:color w:val="auto"/>
          <w:szCs w:val="24"/>
          <w:u w:val="single"/>
        </w:rPr>
      </w:pPr>
      <w:r>
        <w:rPr>
          <w:rStyle w:val="280"/>
          <w:rFonts w:hint="eastAsia" w:hAnsi="宋体" w:cs="宋体"/>
          <w:color w:val="auto"/>
          <w:szCs w:val="24"/>
        </w:rPr>
        <w:t>1、</w:t>
      </w:r>
      <w:r>
        <w:rPr>
          <w:rStyle w:val="280"/>
          <w:rFonts w:hint="eastAsia" w:hAnsi="宋体" w:cs="宋体"/>
          <w:b/>
          <w:bCs/>
          <w:color w:val="auto"/>
          <w:szCs w:val="24"/>
        </w:rPr>
        <w:t>甲方：</w:t>
      </w:r>
    </w:p>
    <w:p>
      <w:pPr>
        <w:pStyle w:val="279"/>
        <w:spacing w:line="520" w:lineRule="exact"/>
        <w:ind w:firstLine="480"/>
        <w:rPr>
          <w:rStyle w:val="280"/>
          <w:rFonts w:hAnsi="宋体" w:cs="宋体"/>
          <w:b/>
          <w:color w:val="auto"/>
          <w:szCs w:val="24"/>
          <w:u w:val="single"/>
        </w:rPr>
      </w:pPr>
      <w:r>
        <w:rPr>
          <w:rStyle w:val="280"/>
          <w:rFonts w:hint="eastAsia" w:hAnsi="宋体" w:cs="宋体"/>
          <w:color w:val="auto"/>
          <w:szCs w:val="24"/>
        </w:rPr>
        <w:t>2、</w:t>
      </w:r>
      <w:r>
        <w:rPr>
          <w:rStyle w:val="280"/>
          <w:rFonts w:hint="eastAsia" w:hAnsi="宋体" w:cs="宋体"/>
          <w:b/>
          <w:bCs/>
          <w:color w:val="auto"/>
          <w:spacing w:val="-10"/>
          <w:szCs w:val="24"/>
        </w:rPr>
        <w:t>乙方：</w:t>
      </w:r>
    </w:p>
    <w:p>
      <w:pPr>
        <w:pStyle w:val="279"/>
        <w:spacing w:line="520" w:lineRule="exact"/>
        <w:ind w:firstLine="480"/>
        <w:rPr>
          <w:rStyle w:val="280"/>
          <w:rFonts w:hAnsi="宋体" w:cs="宋体"/>
          <w:color w:val="auto"/>
          <w:spacing w:val="0"/>
          <w:kern w:val="2"/>
          <w:szCs w:val="24"/>
        </w:rPr>
      </w:pPr>
      <w:r>
        <w:rPr>
          <w:rStyle w:val="280"/>
          <w:rFonts w:hint="eastAsia" w:hAnsi="宋体" w:cs="宋体"/>
          <w:color w:val="auto"/>
          <w:spacing w:val="0"/>
          <w:kern w:val="2"/>
          <w:szCs w:val="24"/>
        </w:rPr>
        <w:t>乙方的财务信息如下：</w:t>
      </w:r>
    </w:p>
    <w:p>
      <w:pPr>
        <w:pStyle w:val="281"/>
        <w:widowControl/>
        <w:spacing w:line="520" w:lineRule="exact"/>
        <w:jc w:val="left"/>
        <w:rPr>
          <w:rStyle w:val="280"/>
          <w:rFonts w:hint="default" w:ascii="宋体" w:hAnsi="宋体" w:eastAsia="宋体" w:cs="宋体"/>
          <w:color w:val="auto"/>
          <w:sz w:val="24"/>
          <w:szCs w:val="24"/>
        </w:rPr>
      </w:pPr>
      <w:r>
        <w:rPr>
          <w:rStyle w:val="280"/>
          <w:rFonts w:ascii="宋体" w:hAnsi="宋体" w:eastAsia="宋体" w:cs="宋体"/>
          <w:color w:val="auto"/>
          <w:sz w:val="24"/>
          <w:szCs w:val="24"/>
        </w:rPr>
        <w:t>公司全称：</w:t>
      </w:r>
    </w:p>
    <w:p>
      <w:pPr>
        <w:pStyle w:val="281"/>
        <w:widowControl/>
        <w:tabs>
          <w:tab w:val="left" w:pos="916"/>
          <w:tab w:val="left" w:pos="1832"/>
          <w:tab w:val="left" w:pos="2748"/>
          <w:tab w:val="left" w:pos="3664"/>
          <w:tab w:val="left" w:pos="4580"/>
          <w:tab w:val="left" w:pos="5496"/>
          <w:tab w:val="left" w:pos="6412"/>
          <w:tab w:val="left" w:pos="7328"/>
          <w:tab w:val="left" w:pos="8244"/>
          <w:tab w:val="left" w:pos="8520"/>
        </w:tabs>
        <w:spacing w:line="520" w:lineRule="exact"/>
        <w:jc w:val="left"/>
        <w:rPr>
          <w:rStyle w:val="280"/>
          <w:rFonts w:hint="default" w:ascii="宋体" w:hAnsi="宋体" w:eastAsia="宋体" w:cs="宋体"/>
          <w:color w:val="auto"/>
          <w:sz w:val="24"/>
          <w:szCs w:val="24"/>
        </w:rPr>
      </w:pPr>
      <w:r>
        <w:rPr>
          <w:rStyle w:val="280"/>
          <w:rFonts w:ascii="宋体" w:hAnsi="宋体" w:eastAsia="宋体" w:cs="宋体"/>
          <w:color w:val="auto"/>
          <w:sz w:val="24"/>
          <w:szCs w:val="24"/>
        </w:rPr>
        <w:t>地址：</w:t>
      </w:r>
      <w:r>
        <w:rPr>
          <w:rStyle w:val="280"/>
          <w:rFonts w:hint="eastAsia" w:ascii="宋体" w:hAnsi="宋体" w:eastAsia="宋体" w:cs="宋体"/>
          <w:color w:val="auto"/>
          <w:sz w:val="24"/>
          <w:szCs w:val="24"/>
          <w:lang w:val="en-US" w:eastAsia="zh-CN"/>
        </w:rPr>
        <w:t xml:space="preserve">                    </w:t>
      </w:r>
      <w:r>
        <w:rPr>
          <w:rStyle w:val="280"/>
          <w:rFonts w:ascii="宋体" w:hAnsi="宋体" w:eastAsia="宋体" w:cs="宋体"/>
          <w:color w:val="auto"/>
          <w:sz w:val="24"/>
          <w:szCs w:val="24"/>
        </w:rPr>
        <w:t xml:space="preserve">联系电话： </w:t>
      </w:r>
    </w:p>
    <w:p>
      <w:pPr>
        <w:pStyle w:val="281"/>
        <w:widowControl/>
        <w:tabs>
          <w:tab w:val="left" w:pos="916"/>
          <w:tab w:val="left" w:pos="1832"/>
          <w:tab w:val="left" w:pos="2748"/>
          <w:tab w:val="left" w:pos="3664"/>
          <w:tab w:val="left" w:pos="4580"/>
          <w:tab w:val="left" w:pos="5496"/>
          <w:tab w:val="left" w:pos="6412"/>
          <w:tab w:val="left" w:pos="7328"/>
          <w:tab w:val="left" w:pos="8244"/>
          <w:tab w:val="left" w:pos="8520"/>
        </w:tabs>
        <w:spacing w:line="520" w:lineRule="exact"/>
        <w:jc w:val="left"/>
        <w:rPr>
          <w:rStyle w:val="280"/>
          <w:rFonts w:hint="default" w:ascii="宋体" w:hAnsi="宋体" w:eastAsia="宋体" w:cs="宋体"/>
          <w:color w:val="auto"/>
          <w:sz w:val="24"/>
          <w:szCs w:val="24"/>
        </w:rPr>
      </w:pPr>
      <w:r>
        <w:rPr>
          <w:rStyle w:val="280"/>
          <w:rFonts w:ascii="宋体" w:hAnsi="宋体" w:eastAsia="宋体" w:cs="宋体"/>
          <w:color w:val="auto"/>
          <w:sz w:val="24"/>
          <w:szCs w:val="24"/>
        </w:rPr>
        <w:t>帐号：                    开户银行：</w:t>
      </w:r>
      <w:r>
        <w:rPr>
          <w:rStyle w:val="280"/>
          <w:rFonts w:hint="eastAsia" w:ascii="宋体" w:hAnsi="宋体" w:eastAsia="宋体" w:cs="宋体"/>
          <w:color w:val="auto"/>
          <w:sz w:val="24"/>
          <w:szCs w:val="24"/>
          <w:lang w:val="en-US" w:eastAsia="zh-CN"/>
        </w:rPr>
        <w:t xml:space="preserve">            </w:t>
      </w:r>
      <w:r>
        <w:rPr>
          <w:rStyle w:val="280"/>
          <w:rFonts w:ascii="宋体" w:hAnsi="宋体" w:eastAsia="宋体" w:cs="宋体"/>
          <w:color w:val="auto"/>
          <w:sz w:val="24"/>
          <w:szCs w:val="24"/>
        </w:rPr>
        <w:t xml:space="preserve">税号： </w:t>
      </w:r>
    </w:p>
    <w:p>
      <w:pPr>
        <w:pStyle w:val="279"/>
        <w:spacing w:line="520" w:lineRule="exact"/>
        <w:ind w:firstLine="482"/>
        <w:outlineLvl w:val="1"/>
        <w:rPr>
          <w:rStyle w:val="280"/>
          <w:rFonts w:hAnsi="宋体" w:cs="宋体"/>
          <w:b/>
          <w:bCs/>
          <w:color w:val="auto"/>
          <w:szCs w:val="24"/>
        </w:rPr>
      </w:pPr>
      <w:r>
        <w:rPr>
          <w:rStyle w:val="280"/>
          <w:rFonts w:hint="eastAsia" w:hAnsi="宋体" w:cs="宋体"/>
          <w:b/>
          <w:bCs/>
          <w:color w:val="auto"/>
          <w:szCs w:val="24"/>
        </w:rPr>
        <w:t>二、</w:t>
      </w:r>
      <w:r>
        <w:rPr>
          <w:rStyle w:val="280"/>
          <w:rFonts w:hint="eastAsia" w:hAnsi="宋体" w:cs="宋体"/>
          <w:b/>
          <w:bCs/>
          <w:color w:val="auto"/>
          <w:szCs w:val="24"/>
          <w:lang w:eastAsia="zh-CN"/>
        </w:rPr>
        <w:t>货物</w:t>
      </w:r>
      <w:r>
        <w:rPr>
          <w:rStyle w:val="280"/>
          <w:rFonts w:hint="eastAsia" w:hAnsi="宋体" w:cs="宋体"/>
          <w:b/>
          <w:bCs/>
          <w:color w:val="auto"/>
          <w:szCs w:val="24"/>
        </w:rPr>
        <w:t>名称、数量、单价及总金额</w:t>
      </w:r>
    </w:p>
    <w:p>
      <w:pPr>
        <w:pStyle w:val="281"/>
        <w:spacing w:line="520" w:lineRule="exact"/>
        <w:ind w:firstLine="480"/>
        <w:jc w:val="left"/>
        <w:rPr>
          <w:rStyle w:val="280"/>
          <w:rFonts w:hint="default" w:ascii="宋体" w:hAnsi="宋体" w:eastAsia="宋体" w:cs="宋体"/>
          <w:color w:val="auto"/>
          <w:sz w:val="24"/>
          <w:szCs w:val="24"/>
        </w:rPr>
      </w:pPr>
      <w:r>
        <w:rPr>
          <w:rStyle w:val="280"/>
          <w:rFonts w:ascii="宋体" w:hAnsi="宋体" w:eastAsia="宋体" w:cs="宋体"/>
          <w:color w:val="auto"/>
          <w:sz w:val="24"/>
          <w:szCs w:val="24"/>
        </w:rPr>
        <w:t>本合同项下甲方采购的产品详见技术参数一览表，该附件经双方盖章确认后生效。</w:t>
      </w:r>
    </w:p>
    <w:p>
      <w:pPr>
        <w:pStyle w:val="281"/>
        <w:spacing w:line="520" w:lineRule="exact"/>
        <w:ind w:firstLine="482"/>
        <w:jc w:val="left"/>
        <w:outlineLvl w:val="1"/>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三、交货地点、运费、保险费及交货期限</w:t>
      </w:r>
    </w:p>
    <w:p>
      <w:pPr>
        <w:pStyle w:val="281"/>
        <w:spacing w:line="520" w:lineRule="exact"/>
        <w:ind w:firstLine="480"/>
        <w:rPr>
          <w:rStyle w:val="280"/>
          <w:rFonts w:hint="default" w:ascii="宋体" w:hAnsi="宋体" w:eastAsia="宋体" w:cs="宋体"/>
          <w:color w:val="auto"/>
          <w:sz w:val="24"/>
          <w:szCs w:val="24"/>
          <w:u w:val="single"/>
        </w:rPr>
      </w:pPr>
      <w:r>
        <w:rPr>
          <w:rStyle w:val="280"/>
          <w:rFonts w:ascii="宋体" w:hAnsi="宋体" w:eastAsia="宋体" w:cs="宋体"/>
          <w:color w:val="auto"/>
          <w:sz w:val="24"/>
          <w:szCs w:val="24"/>
        </w:rPr>
        <w:t>1、交货地点：</w:t>
      </w:r>
      <w:r>
        <w:rPr>
          <w:rStyle w:val="280"/>
          <w:rFonts w:hint="eastAsia" w:ascii="宋体" w:hAnsi="宋体" w:eastAsia="宋体" w:cs="宋体"/>
          <w:color w:val="auto"/>
          <w:sz w:val="24"/>
          <w:szCs w:val="24"/>
          <w:u w:val="single"/>
          <w:lang w:val="en-US" w:eastAsia="zh-CN"/>
        </w:rPr>
        <w:t xml:space="preserve">         </w:t>
      </w:r>
      <w:r>
        <w:rPr>
          <w:rStyle w:val="280"/>
          <w:rFonts w:ascii="宋体" w:hAnsi="宋体" w:eastAsia="宋体" w:cs="宋体"/>
          <w:color w:val="auto"/>
          <w:sz w:val="24"/>
          <w:szCs w:val="24"/>
        </w:rPr>
        <w:t>，具体以甲方指定地点为准。</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2、交货及安装调试完成期限：</w:t>
      </w:r>
      <w:r>
        <w:rPr>
          <w:rStyle w:val="280"/>
          <w:rFonts w:ascii="宋体" w:hAnsi="宋体" w:eastAsia="宋体" w:cs="宋体"/>
          <w:color w:val="auto"/>
          <w:spacing w:val="10"/>
          <w:sz w:val="24"/>
          <w:szCs w:val="24"/>
        </w:rPr>
        <w:t>乙方应按照合同约定将本合同项下全部</w:t>
      </w:r>
      <w:r>
        <w:rPr>
          <w:rStyle w:val="280"/>
          <w:rFonts w:hint="eastAsia" w:ascii="宋体" w:hAnsi="宋体" w:eastAsia="宋体" w:cs="宋体"/>
          <w:color w:val="auto"/>
          <w:spacing w:val="10"/>
          <w:sz w:val="24"/>
          <w:szCs w:val="24"/>
          <w:lang w:eastAsia="zh-CN"/>
        </w:rPr>
        <w:t>货物</w:t>
      </w:r>
      <w:r>
        <w:rPr>
          <w:rStyle w:val="280"/>
          <w:rFonts w:ascii="宋体" w:hAnsi="宋体" w:eastAsia="宋体" w:cs="宋体"/>
          <w:color w:val="auto"/>
          <w:spacing w:val="10"/>
          <w:sz w:val="24"/>
          <w:szCs w:val="24"/>
        </w:rPr>
        <w:t>于合同签订后</w:t>
      </w:r>
      <w:r>
        <w:rPr>
          <w:rStyle w:val="280"/>
          <w:rFonts w:ascii="宋体" w:hAnsi="宋体" w:eastAsia="宋体" w:cs="宋体"/>
          <w:color w:val="auto"/>
          <w:sz w:val="24"/>
          <w:szCs w:val="24"/>
        </w:rPr>
        <w:t>日内运抵甲方指定的施工现场并安装调试完成。</w:t>
      </w:r>
    </w:p>
    <w:p>
      <w:pPr>
        <w:pStyle w:val="281"/>
        <w:spacing w:line="520" w:lineRule="exact"/>
        <w:ind w:left="420"/>
        <w:rPr>
          <w:rStyle w:val="280"/>
          <w:rFonts w:hint="default" w:ascii="宋体" w:hAnsi="宋体" w:eastAsia="宋体" w:cs="宋体"/>
          <w:color w:val="auto"/>
          <w:sz w:val="24"/>
          <w:szCs w:val="24"/>
        </w:rPr>
      </w:pPr>
      <w:r>
        <w:rPr>
          <w:rStyle w:val="280"/>
          <w:rFonts w:ascii="宋体" w:hAnsi="宋体" w:eastAsia="宋体" w:cs="宋体"/>
          <w:color w:val="auto"/>
          <w:sz w:val="24"/>
          <w:szCs w:val="24"/>
        </w:rPr>
        <w:t>3、运输方式：乙方自行选择运输方式。</w:t>
      </w:r>
    </w:p>
    <w:p>
      <w:pPr>
        <w:pStyle w:val="281"/>
        <w:spacing w:line="520" w:lineRule="exact"/>
        <w:ind w:left="420"/>
        <w:rPr>
          <w:rStyle w:val="280"/>
          <w:rFonts w:hint="default" w:ascii="宋体" w:hAnsi="宋体" w:eastAsia="宋体" w:cs="宋体"/>
          <w:color w:val="auto"/>
          <w:sz w:val="24"/>
          <w:szCs w:val="24"/>
        </w:rPr>
      </w:pPr>
      <w:r>
        <w:rPr>
          <w:rStyle w:val="280"/>
          <w:rFonts w:ascii="宋体" w:hAnsi="宋体" w:eastAsia="宋体" w:cs="宋体"/>
          <w:color w:val="auto"/>
          <w:sz w:val="24"/>
          <w:szCs w:val="24"/>
        </w:rPr>
        <w:t>4、运费及保险费用：运输所发生的所有费用由乙方承担。</w:t>
      </w:r>
    </w:p>
    <w:p>
      <w:pPr>
        <w:pStyle w:val="281"/>
        <w:spacing w:line="520" w:lineRule="exact"/>
        <w:ind w:left="420"/>
        <w:rPr>
          <w:rStyle w:val="280"/>
          <w:rFonts w:hint="default" w:ascii="宋体" w:hAnsi="宋体" w:eastAsia="宋体" w:cs="宋体"/>
          <w:color w:val="auto"/>
          <w:sz w:val="24"/>
          <w:szCs w:val="24"/>
        </w:rPr>
      </w:pPr>
      <w:r>
        <w:rPr>
          <w:rStyle w:val="280"/>
          <w:rFonts w:ascii="宋体" w:hAnsi="宋体" w:eastAsia="宋体" w:cs="宋体"/>
          <w:color w:val="auto"/>
          <w:sz w:val="24"/>
          <w:szCs w:val="24"/>
        </w:rPr>
        <w:t>5、运输途中</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的灭失风险：由乙方承担。</w:t>
      </w:r>
    </w:p>
    <w:p>
      <w:pPr>
        <w:pStyle w:val="281"/>
        <w:spacing w:line="520" w:lineRule="exact"/>
        <w:ind w:firstLine="482"/>
        <w:outlineLvl w:val="1"/>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四、包装</w:t>
      </w:r>
    </w:p>
    <w:p>
      <w:pPr>
        <w:pStyle w:val="281"/>
        <w:spacing w:line="520" w:lineRule="exact"/>
        <w:ind w:firstLine="482"/>
        <w:rPr>
          <w:rStyle w:val="280"/>
          <w:rFonts w:hint="default" w:ascii="宋体" w:hAnsi="宋体" w:eastAsia="宋体" w:cs="宋体"/>
          <w:color w:val="auto"/>
          <w:sz w:val="24"/>
          <w:szCs w:val="24"/>
        </w:rPr>
      </w:pPr>
      <w:r>
        <w:rPr>
          <w:rStyle w:val="280"/>
          <w:rFonts w:ascii="宋体" w:hAnsi="宋体" w:eastAsia="宋体" w:cs="宋体"/>
          <w:color w:val="auto"/>
          <w:sz w:val="24"/>
          <w:szCs w:val="24"/>
        </w:rPr>
        <w:t>1、货物的包装由乙方负责，费用由乙方承担。</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2、乙方所交付的全部</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均应按包装和运输的标准保护措施进行包装，这类包装应适应按照该</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特定性质所需的远距离运输、防潮、防震、防锈等要求，以确保</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安全地运抵交货地点。</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3、每一个包装箱内应附一份详细装箱单、质量证书及产品使用说明书。</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4、乙方应在每一包装物的合适位置用不褪色的油漆以醒目的中文字样做出下列标记：</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a. 收货人；</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b. 合同号；</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c. 发货单位；</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d. 收货人；</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e. 出厂编号；</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f. 总共箱（件）数及箱号；</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g. 出厂日期；</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h. 货物的名称；</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i. 毛重/净重（公斤）；</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j. 尺寸（长×宽×高，以厘米计）。</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5、如果货物单件重在2吨或2吨以上，乙方应在每件包装箱的两侧用中文和适当的运输标记，标明“重心”和“吊装点”，以便装卸和搬运。根据货物的特点和运输的不同要求，乙方应在包装箱上清楚地标有“小心轻放”、“防潮”、“勿倒置”等字样和其他适当的标志。</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6、 标志</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6.1 </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应在其明显位置装有固定的金属铭牌或喷涂、打印标志，应列明下列内容：</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a. 制造厂名称；</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b. 产品型号和名称；</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c. 制造厂的产品编号；</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d. 制造许可证级别和编号（针对执行生产许可证的产品）；</w:t>
      </w:r>
    </w:p>
    <w:p>
      <w:pPr>
        <w:pStyle w:val="281"/>
        <w:spacing w:line="520" w:lineRule="exact"/>
        <w:ind w:firstLine="480"/>
        <w:outlineLvl w:val="2"/>
        <w:rPr>
          <w:rStyle w:val="280"/>
          <w:rFonts w:hint="default" w:ascii="宋体" w:hAnsi="宋体" w:eastAsia="宋体" w:cs="宋体"/>
          <w:color w:val="auto"/>
          <w:sz w:val="24"/>
          <w:szCs w:val="24"/>
        </w:rPr>
      </w:pPr>
      <w:r>
        <w:rPr>
          <w:rStyle w:val="280"/>
          <w:rFonts w:ascii="宋体" w:hAnsi="宋体" w:eastAsia="宋体" w:cs="宋体"/>
          <w:color w:val="auto"/>
          <w:sz w:val="24"/>
          <w:szCs w:val="24"/>
        </w:rPr>
        <w:t>f. 制造日期。</w:t>
      </w:r>
    </w:p>
    <w:p>
      <w:pPr>
        <w:spacing w:line="520" w:lineRule="exact"/>
        <w:ind w:firstLine="480" w:firstLineChars="200"/>
        <w:rPr>
          <w:rStyle w:val="280"/>
          <w:rFonts w:ascii="宋体" w:hAnsi="宋体" w:cs="宋体"/>
          <w:color w:val="auto"/>
          <w:sz w:val="24"/>
        </w:rPr>
      </w:pPr>
      <w:r>
        <w:rPr>
          <w:rStyle w:val="280"/>
          <w:rFonts w:hint="eastAsia" w:ascii="宋体" w:hAnsi="宋体" w:cs="宋体"/>
          <w:color w:val="auto"/>
          <w:sz w:val="24"/>
        </w:rPr>
        <w:t>7、制造厂供货时应提供下列文件及附件：</w:t>
      </w:r>
    </w:p>
    <w:p>
      <w:pPr>
        <w:spacing w:line="520" w:lineRule="exact"/>
        <w:ind w:firstLine="480" w:firstLineChars="200"/>
        <w:rPr>
          <w:rStyle w:val="280"/>
          <w:rFonts w:ascii="宋体" w:hAnsi="宋体" w:cs="宋体"/>
          <w:color w:val="auto"/>
          <w:sz w:val="24"/>
        </w:rPr>
      </w:pPr>
      <w:r>
        <w:rPr>
          <w:rStyle w:val="280"/>
          <w:rFonts w:hint="eastAsia" w:ascii="宋体" w:hAnsi="宋体" w:cs="宋体"/>
          <w:color w:val="auto"/>
          <w:sz w:val="24"/>
        </w:rPr>
        <w:t>7、1 装箱清单；</w:t>
      </w:r>
    </w:p>
    <w:p>
      <w:pPr>
        <w:spacing w:line="520" w:lineRule="exact"/>
        <w:ind w:firstLine="480" w:firstLineChars="200"/>
        <w:outlineLvl w:val="1"/>
        <w:rPr>
          <w:rStyle w:val="280"/>
          <w:rFonts w:ascii="宋体" w:hAnsi="宋体" w:cs="宋体"/>
          <w:color w:val="auto"/>
          <w:sz w:val="24"/>
        </w:rPr>
      </w:pPr>
      <w:r>
        <w:rPr>
          <w:rStyle w:val="280"/>
          <w:rFonts w:hint="eastAsia" w:ascii="宋体" w:hAnsi="宋体" w:cs="宋体"/>
          <w:color w:val="auto"/>
          <w:sz w:val="24"/>
        </w:rPr>
        <w:t>7.2 产品合格证；</w:t>
      </w:r>
    </w:p>
    <w:p>
      <w:pPr>
        <w:spacing w:line="520" w:lineRule="exact"/>
        <w:ind w:firstLine="480" w:firstLineChars="200"/>
        <w:outlineLvl w:val="1"/>
        <w:rPr>
          <w:rStyle w:val="280"/>
          <w:rFonts w:ascii="宋体" w:hAnsi="宋体" w:cs="宋体"/>
          <w:color w:val="auto"/>
          <w:sz w:val="24"/>
        </w:rPr>
      </w:pPr>
      <w:r>
        <w:rPr>
          <w:rStyle w:val="280"/>
          <w:rFonts w:hint="eastAsia" w:ascii="宋体" w:hAnsi="宋体" w:cs="宋体"/>
          <w:color w:val="auto"/>
          <w:sz w:val="24"/>
        </w:rPr>
        <w:t>7.3 使用说明书；</w:t>
      </w:r>
    </w:p>
    <w:p>
      <w:pPr>
        <w:spacing w:line="520" w:lineRule="exact"/>
        <w:ind w:firstLine="480" w:firstLineChars="200"/>
        <w:outlineLvl w:val="1"/>
        <w:rPr>
          <w:rStyle w:val="280"/>
          <w:rFonts w:ascii="宋体" w:hAnsi="宋体" w:cs="宋体"/>
          <w:color w:val="auto"/>
          <w:sz w:val="24"/>
        </w:rPr>
      </w:pPr>
      <w:r>
        <w:rPr>
          <w:rStyle w:val="280"/>
          <w:rFonts w:hint="eastAsia" w:ascii="宋体" w:hAnsi="宋体" w:cs="宋体"/>
          <w:color w:val="auto"/>
          <w:sz w:val="24"/>
        </w:rPr>
        <w:t>7.4 出厂试验报告；</w:t>
      </w:r>
    </w:p>
    <w:p>
      <w:pPr>
        <w:spacing w:line="520" w:lineRule="exact"/>
        <w:ind w:firstLine="480" w:firstLineChars="200"/>
        <w:outlineLvl w:val="1"/>
        <w:rPr>
          <w:rStyle w:val="280"/>
          <w:rFonts w:ascii="宋体" w:hAnsi="宋体" w:cs="宋体"/>
          <w:color w:val="auto"/>
          <w:sz w:val="24"/>
        </w:rPr>
      </w:pPr>
      <w:r>
        <w:rPr>
          <w:rStyle w:val="280"/>
          <w:rFonts w:hint="eastAsia" w:ascii="宋体" w:hAnsi="宋体" w:cs="宋体"/>
          <w:color w:val="auto"/>
          <w:sz w:val="24"/>
        </w:rPr>
        <w:t>7.5 有关技术资料及图纸；</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8、合同生效后 7 日内，乙方应将与所供货物相符的中文技术资料叁套寄给甲方，如样本、操作手册、使用指南、维修指南和服务手册等。</w:t>
      </w:r>
    </w:p>
    <w:p>
      <w:pPr>
        <w:pStyle w:val="281"/>
        <w:spacing w:line="520" w:lineRule="exact"/>
        <w:ind w:firstLine="482"/>
        <w:outlineLvl w:val="1"/>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五、合同总价款、付款方式和条件</w:t>
      </w:r>
    </w:p>
    <w:p>
      <w:pPr>
        <w:pStyle w:val="281"/>
        <w:spacing w:line="50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1、合同总价款：</w:t>
      </w:r>
      <w:r>
        <w:rPr>
          <w:rStyle w:val="280"/>
          <w:rFonts w:hint="eastAsia" w:ascii="宋体" w:hAnsi="宋体" w:eastAsia="宋体" w:cs="宋体"/>
          <w:color w:val="auto"/>
          <w:sz w:val="24"/>
          <w:szCs w:val="24"/>
          <w:lang w:val="en-US" w:eastAsia="zh-CN"/>
        </w:rPr>
        <w:t xml:space="preserve">  </w:t>
      </w:r>
      <w:r>
        <w:rPr>
          <w:rStyle w:val="280"/>
          <w:rFonts w:ascii="宋体" w:hAnsi="宋体" w:eastAsia="宋体" w:cs="宋体"/>
          <w:color w:val="auto"/>
          <w:sz w:val="24"/>
          <w:szCs w:val="24"/>
        </w:rPr>
        <w:t>元（人民币大写：</w:t>
      </w:r>
      <w:r>
        <w:rPr>
          <w:rStyle w:val="280"/>
          <w:rFonts w:ascii="宋体" w:hAnsi="宋体" w:eastAsia="宋体" w:cs="宋体"/>
          <w:color w:val="auto"/>
          <w:sz w:val="24"/>
          <w:szCs w:val="24"/>
          <w:u w:val="single"/>
        </w:rPr>
        <w:t xml:space="preserve">                )</w:t>
      </w:r>
      <w:r>
        <w:rPr>
          <w:rStyle w:val="280"/>
          <w:rFonts w:ascii="宋体" w:hAnsi="宋体" w:eastAsia="宋体" w:cs="宋体"/>
          <w:color w:val="auto"/>
          <w:sz w:val="24"/>
          <w:szCs w:val="24"/>
        </w:rPr>
        <w:t>，前述价款已包含税金、货物价款、包装费、运输费、</w:t>
      </w:r>
      <w:r>
        <w:rPr>
          <w:rStyle w:val="280"/>
          <w:rFonts w:hint="eastAsia" w:ascii="宋体" w:hAnsi="宋体" w:eastAsia="宋体" w:cs="宋体"/>
          <w:color w:val="auto"/>
          <w:sz w:val="24"/>
          <w:szCs w:val="24"/>
          <w:lang w:val="en-US" w:eastAsia="zh-CN"/>
        </w:rPr>
        <w:t>卸车费、</w:t>
      </w:r>
      <w:r>
        <w:rPr>
          <w:rStyle w:val="280"/>
          <w:rFonts w:ascii="宋体" w:hAnsi="宋体" w:eastAsia="宋体" w:cs="宋体"/>
          <w:color w:val="auto"/>
          <w:sz w:val="24"/>
          <w:szCs w:val="24"/>
        </w:rPr>
        <w:t>保险费、安装调试费、集成、人员培训等乙方履行本合同所需的全部费用，甲方无需向乙方支付任何其他费用。</w:t>
      </w:r>
    </w:p>
    <w:p>
      <w:pPr>
        <w:pStyle w:val="281"/>
        <w:spacing w:line="500" w:lineRule="exact"/>
        <w:ind w:firstLine="480"/>
        <w:rPr>
          <w:rStyle w:val="280"/>
          <w:rFonts w:ascii="宋体" w:hAnsi="宋体" w:eastAsia="宋体" w:cs="宋体"/>
          <w:b/>
          <w:bCs/>
          <w:color w:val="auto"/>
          <w:sz w:val="24"/>
          <w:szCs w:val="24"/>
        </w:rPr>
      </w:pPr>
      <w:r>
        <w:rPr>
          <w:rStyle w:val="280"/>
          <w:rFonts w:hint="eastAsia" w:ascii="宋体" w:hAnsi="宋体" w:eastAsia="宋体" w:cs="宋体"/>
          <w:b/>
          <w:bCs/>
          <w:color w:val="auto"/>
          <w:sz w:val="24"/>
          <w:szCs w:val="24"/>
          <w:lang w:val="en-US" w:eastAsia="zh-CN"/>
        </w:rPr>
        <w:t>2、</w:t>
      </w:r>
      <w:r>
        <w:rPr>
          <w:rStyle w:val="280"/>
          <w:rFonts w:ascii="宋体" w:hAnsi="宋体" w:eastAsia="宋体" w:cs="宋体"/>
          <w:b/>
          <w:bCs/>
          <w:color w:val="auto"/>
          <w:sz w:val="24"/>
          <w:szCs w:val="24"/>
        </w:rPr>
        <w:t>付款方式：签订合同后</w:t>
      </w:r>
      <w:r>
        <w:rPr>
          <w:rStyle w:val="280"/>
          <w:rFonts w:hint="eastAsia" w:ascii="宋体" w:hAnsi="宋体" w:eastAsia="宋体" w:cs="宋体"/>
          <w:b/>
          <w:bCs/>
          <w:color w:val="auto"/>
          <w:sz w:val="24"/>
          <w:szCs w:val="24"/>
          <w:lang w:val="en-US" w:eastAsia="zh-CN"/>
        </w:rPr>
        <w:t>,</w:t>
      </w:r>
      <w:r>
        <w:rPr>
          <w:rStyle w:val="280"/>
          <w:rFonts w:hint="eastAsia" w:ascii="宋体" w:hAnsi="宋体" w:eastAsia="宋体" w:cs="宋体"/>
          <w:b/>
          <w:bCs/>
          <w:color w:val="auto"/>
          <w:sz w:val="24"/>
          <w:szCs w:val="24"/>
          <w:lang w:eastAsia="zh-CN"/>
        </w:rPr>
        <w:t>货到验收合格并且可以正常使用后</w:t>
      </w:r>
      <w:r>
        <w:rPr>
          <w:rStyle w:val="280"/>
          <w:rFonts w:hint="eastAsia" w:ascii="宋体" w:hAnsi="宋体" w:eastAsia="宋体" w:cs="宋体"/>
          <w:b/>
          <w:bCs/>
          <w:color w:val="auto"/>
          <w:sz w:val="24"/>
          <w:szCs w:val="24"/>
          <w:lang w:val="en-US" w:eastAsia="zh-CN"/>
        </w:rPr>
        <w:t>7日内</w:t>
      </w:r>
      <w:r>
        <w:rPr>
          <w:rStyle w:val="280"/>
          <w:rFonts w:ascii="宋体" w:hAnsi="宋体" w:eastAsia="宋体" w:cs="宋体"/>
          <w:b/>
          <w:bCs/>
          <w:color w:val="auto"/>
          <w:sz w:val="24"/>
          <w:szCs w:val="24"/>
        </w:rPr>
        <w:t>，</w:t>
      </w:r>
      <w:r>
        <w:rPr>
          <w:rStyle w:val="280"/>
          <w:rFonts w:hint="eastAsia" w:ascii="宋体" w:hAnsi="宋体" w:eastAsia="宋体" w:cs="宋体"/>
          <w:b/>
          <w:bCs/>
          <w:color w:val="auto"/>
          <w:sz w:val="24"/>
          <w:szCs w:val="24"/>
          <w:lang w:val="en-US" w:eastAsia="zh-CN"/>
        </w:rPr>
        <w:t>付</w:t>
      </w:r>
      <w:r>
        <w:rPr>
          <w:rStyle w:val="280"/>
          <w:rFonts w:hint="eastAsia" w:ascii="宋体" w:hAnsi="宋体" w:eastAsia="宋体" w:cs="宋体"/>
          <w:b/>
          <w:bCs/>
          <w:color w:val="auto"/>
          <w:sz w:val="24"/>
          <w:szCs w:val="24"/>
          <w:lang w:eastAsia="zh-CN"/>
        </w:rPr>
        <w:t>本次采购货物的全部发票</w:t>
      </w:r>
      <w:r>
        <w:rPr>
          <w:rStyle w:val="280"/>
          <w:rFonts w:ascii="宋体" w:hAnsi="宋体" w:eastAsia="宋体" w:cs="宋体"/>
          <w:b/>
          <w:bCs/>
          <w:color w:val="auto"/>
          <w:sz w:val="24"/>
          <w:szCs w:val="24"/>
        </w:rPr>
        <w:t>支付合同价款的</w:t>
      </w:r>
      <w:r>
        <w:rPr>
          <w:rStyle w:val="280"/>
          <w:rFonts w:hint="eastAsia" w:ascii="宋体" w:hAnsi="宋体" w:eastAsia="宋体" w:cs="宋体"/>
          <w:b/>
          <w:bCs/>
          <w:color w:val="auto"/>
          <w:sz w:val="24"/>
          <w:szCs w:val="24"/>
          <w:lang w:val="en-US" w:eastAsia="zh-CN"/>
        </w:rPr>
        <w:t>95</w:t>
      </w:r>
      <w:r>
        <w:rPr>
          <w:rStyle w:val="280"/>
          <w:rFonts w:ascii="宋体" w:hAnsi="宋体" w:eastAsia="宋体" w:cs="宋体"/>
          <w:b/>
          <w:bCs/>
          <w:color w:val="auto"/>
          <w:sz w:val="24"/>
          <w:szCs w:val="24"/>
        </w:rPr>
        <w:t>%</w:t>
      </w:r>
      <w:r>
        <w:rPr>
          <w:rStyle w:val="280"/>
          <w:rFonts w:hint="eastAsia" w:ascii="宋体" w:hAnsi="宋体" w:cs="宋体"/>
          <w:b/>
          <w:bCs/>
          <w:color w:val="auto"/>
          <w:sz w:val="24"/>
          <w:szCs w:val="24"/>
          <w:lang w:eastAsia="zh-CN"/>
        </w:rPr>
        <w:t>；</w:t>
      </w:r>
      <w:r>
        <w:rPr>
          <w:rStyle w:val="280"/>
          <w:rFonts w:hint="eastAsia" w:ascii="宋体" w:hAnsi="宋体" w:eastAsia="宋体" w:cs="宋体"/>
          <w:b/>
          <w:bCs/>
          <w:color w:val="auto"/>
          <w:sz w:val="24"/>
          <w:szCs w:val="24"/>
          <w:lang w:val="en-US" w:eastAsia="zh-CN"/>
        </w:rPr>
        <w:t>剩余合同价款的5%作为质量保证金，</w:t>
      </w:r>
      <w:r>
        <w:rPr>
          <w:rStyle w:val="280"/>
          <w:rFonts w:hint="eastAsia" w:ascii="宋体" w:hAnsi="宋体" w:eastAsia="宋体" w:cs="宋体"/>
          <w:b/>
          <w:bCs/>
          <w:color w:val="auto"/>
          <w:sz w:val="24"/>
          <w:szCs w:val="24"/>
          <w:lang w:eastAsia="zh-CN"/>
        </w:rPr>
        <w:t>货到验收合格</w:t>
      </w:r>
      <w:r>
        <w:rPr>
          <w:rStyle w:val="280"/>
          <w:rFonts w:hint="eastAsia" w:ascii="宋体" w:hAnsi="宋体" w:eastAsia="宋体" w:cs="宋体"/>
          <w:b/>
          <w:bCs/>
          <w:color w:val="auto"/>
          <w:sz w:val="24"/>
          <w:szCs w:val="24"/>
          <w:lang w:val="en-US" w:eastAsia="zh-CN"/>
        </w:rPr>
        <w:t>6个月内无息退还</w:t>
      </w:r>
      <w:r>
        <w:rPr>
          <w:rStyle w:val="280"/>
          <w:rFonts w:ascii="宋体" w:hAnsi="宋体" w:eastAsia="宋体" w:cs="宋体"/>
          <w:b/>
          <w:bCs/>
          <w:color w:val="auto"/>
          <w:sz w:val="24"/>
          <w:szCs w:val="24"/>
        </w:rPr>
        <w:t>。</w:t>
      </w:r>
    </w:p>
    <w:p>
      <w:pPr>
        <w:pStyle w:val="281"/>
        <w:spacing w:line="520" w:lineRule="exact"/>
        <w:ind w:firstLine="482"/>
        <w:outlineLvl w:val="1"/>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六、验收调试</w:t>
      </w:r>
    </w:p>
    <w:p>
      <w:pPr>
        <w:pStyle w:val="281"/>
        <w:spacing w:line="520" w:lineRule="exact"/>
        <w:ind w:firstLine="480"/>
        <w:rPr>
          <w:rStyle w:val="280"/>
          <w:rFonts w:hint="default" w:ascii="宋体" w:hAnsi="宋体" w:eastAsia="宋体" w:cs="宋体"/>
          <w:color w:val="auto"/>
          <w:kern w:val="0"/>
          <w:sz w:val="24"/>
          <w:szCs w:val="24"/>
        </w:rPr>
      </w:pPr>
      <w:r>
        <w:rPr>
          <w:rStyle w:val="280"/>
          <w:rFonts w:ascii="宋体" w:hAnsi="宋体" w:eastAsia="宋体" w:cs="宋体"/>
          <w:color w:val="auto"/>
          <w:sz w:val="24"/>
          <w:szCs w:val="24"/>
        </w:rPr>
        <w:t>1、质量及验收标准：乙方提供</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应符合甲方的技术规范和厂家提供的</w:t>
      </w:r>
      <w:r>
        <w:rPr>
          <w:rStyle w:val="280"/>
          <w:rFonts w:ascii="宋体" w:hAnsi="宋体" w:eastAsia="宋体" w:cs="宋体"/>
          <w:color w:val="auto"/>
          <w:kern w:val="0"/>
          <w:sz w:val="24"/>
          <w:szCs w:val="24"/>
        </w:rPr>
        <w:t>技术规格和参数标准（详见附件一）。</w:t>
      </w:r>
      <w:r>
        <w:rPr>
          <w:rStyle w:val="280"/>
          <w:rFonts w:hint="eastAsia" w:ascii="宋体" w:hAnsi="宋体" w:eastAsia="宋体" w:cs="宋体"/>
          <w:color w:val="auto"/>
          <w:kern w:val="0"/>
          <w:sz w:val="24"/>
          <w:szCs w:val="24"/>
          <w:lang w:eastAsia="zh-CN"/>
        </w:rPr>
        <w:t>货物</w:t>
      </w:r>
      <w:r>
        <w:rPr>
          <w:rStyle w:val="280"/>
          <w:rFonts w:ascii="宋体" w:hAnsi="宋体" w:eastAsia="宋体" w:cs="宋体"/>
          <w:color w:val="auto"/>
          <w:kern w:val="0"/>
          <w:sz w:val="24"/>
          <w:szCs w:val="24"/>
        </w:rPr>
        <w:t>应为原厂、原装、质量合格、全新的</w:t>
      </w:r>
      <w:r>
        <w:rPr>
          <w:rStyle w:val="280"/>
          <w:rFonts w:hint="eastAsia" w:ascii="宋体" w:hAnsi="宋体" w:eastAsia="宋体" w:cs="宋体"/>
          <w:color w:val="auto"/>
          <w:kern w:val="0"/>
          <w:sz w:val="24"/>
          <w:szCs w:val="24"/>
          <w:lang w:eastAsia="zh-CN"/>
        </w:rPr>
        <w:t>货物</w:t>
      </w:r>
      <w:r>
        <w:rPr>
          <w:rStyle w:val="280"/>
          <w:rFonts w:ascii="宋体" w:hAnsi="宋体" w:eastAsia="宋体" w:cs="宋体"/>
          <w:color w:val="auto"/>
          <w:kern w:val="0"/>
          <w:sz w:val="24"/>
          <w:szCs w:val="24"/>
        </w:rPr>
        <w:t>，</w:t>
      </w:r>
      <w:r>
        <w:rPr>
          <w:rStyle w:val="280"/>
          <w:rFonts w:hint="eastAsia" w:ascii="宋体" w:hAnsi="宋体" w:eastAsia="宋体" w:cs="宋体"/>
          <w:color w:val="auto"/>
          <w:kern w:val="0"/>
          <w:sz w:val="24"/>
          <w:szCs w:val="24"/>
          <w:lang w:eastAsia="zh-CN"/>
        </w:rPr>
        <w:t>货物</w:t>
      </w:r>
      <w:r>
        <w:rPr>
          <w:rStyle w:val="280"/>
          <w:rFonts w:ascii="宋体" w:hAnsi="宋体" w:eastAsia="宋体" w:cs="宋体"/>
          <w:color w:val="auto"/>
          <w:kern w:val="0"/>
          <w:sz w:val="24"/>
          <w:szCs w:val="24"/>
        </w:rPr>
        <w:t>应符合国家，行业有关标准，并应符合国家环保标准，前述相关标准不一致的，取其高者适用。</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2、到货验收：乙方将</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运抵甲方指定的交货地点后，甲乙双方应指定专人当场对</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数量、规格、型号、外观等进行验收。</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3、在到货验收时，如甲方发现</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数量等与本合同约定不符，或</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存在质量、技术问题，甲方有权要求乙方退货或更换其</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，乙方应负责按照甲方的要求在五日内采取补足、更换或退货等处理措施，以保证甲方的施工工期，并承担由此发生的相关费用和甲方的经济损失。</w:t>
      </w:r>
    </w:p>
    <w:p>
      <w:pPr>
        <w:pStyle w:val="281"/>
        <w:spacing w:line="520" w:lineRule="exact"/>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    4、最终验收确认：</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安装调试完成并经甲方（及/或最终用户）最终验收合格后，甲方（及/或最终用户）、乙方共同出具书面的验收确认单并加盖各方单位公章。</w:t>
      </w:r>
    </w:p>
    <w:p>
      <w:pPr>
        <w:pStyle w:val="281"/>
        <w:spacing w:line="520" w:lineRule="exact"/>
        <w:ind w:firstLine="480"/>
        <w:outlineLvl w:val="1"/>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七、质保期：</w:t>
      </w:r>
      <w:r>
        <w:rPr>
          <w:rStyle w:val="280"/>
          <w:rFonts w:hint="eastAsia" w:ascii="宋体" w:hAnsi="宋体" w:eastAsia="宋体" w:cs="宋体"/>
          <w:b/>
          <w:bCs/>
          <w:color w:val="auto"/>
          <w:sz w:val="24"/>
          <w:szCs w:val="24"/>
        </w:rPr>
        <w:t>质保期为</w:t>
      </w:r>
      <w:r>
        <w:rPr>
          <w:rStyle w:val="280"/>
          <w:rFonts w:hint="eastAsia" w:ascii="宋体" w:hAnsi="宋体" w:eastAsia="宋体" w:cs="宋体"/>
          <w:b/>
          <w:bCs/>
          <w:color w:val="auto"/>
          <w:sz w:val="24"/>
          <w:szCs w:val="24"/>
          <w:lang w:eastAsia="zh-CN"/>
        </w:rPr>
        <w:t>货物</w:t>
      </w:r>
      <w:r>
        <w:rPr>
          <w:rStyle w:val="280"/>
          <w:rFonts w:hint="eastAsia" w:ascii="宋体" w:hAnsi="宋体" w:eastAsia="宋体" w:cs="宋体"/>
          <w:b/>
          <w:bCs/>
          <w:color w:val="auto"/>
          <w:sz w:val="24"/>
          <w:szCs w:val="24"/>
        </w:rPr>
        <w:t>验收合格后</w:t>
      </w:r>
      <w:r>
        <w:rPr>
          <w:rStyle w:val="280"/>
          <w:rFonts w:hint="eastAsia" w:ascii="宋体" w:hAnsi="宋体" w:eastAsia="宋体" w:cs="宋体"/>
          <w:b/>
          <w:bCs/>
          <w:color w:val="auto"/>
          <w:sz w:val="24"/>
          <w:szCs w:val="24"/>
          <w:lang w:val="en-US" w:eastAsia="zh-CN"/>
        </w:rPr>
        <w:t>三</w:t>
      </w:r>
      <w:r>
        <w:rPr>
          <w:rStyle w:val="280"/>
          <w:rFonts w:hint="eastAsia" w:ascii="宋体" w:hAnsi="宋体" w:eastAsia="宋体" w:cs="宋体"/>
          <w:b/>
          <w:bCs/>
          <w:color w:val="auto"/>
          <w:sz w:val="24"/>
          <w:szCs w:val="24"/>
          <w:lang w:eastAsia="zh-CN"/>
        </w:rPr>
        <w:t>年</w:t>
      </w:r>
      <w:r>
        <w:rPr>
          <w:rStyle w:val="280"/>
          <w:rFonts w:hint="eastAsia" w:ascii="宋体" w:hAnsi="宋体" w:eastAsia="宋体" w:cs="宋体"/>
          <w:b/>
          <w:bCs/>
          <w:color w:val="auto"/>
          <w:sz w:val="24"/>
          <w:szCs w:val="24"/>
        </w:rPr>
        <w:t>。</w:t>
      </w:r>
    </w:p>
    <w:p>
      <w:pPr>
        <w:pStyle w:val="281"/>
        <w:spacing w:line="520" w:lineRule="exact"/>
        <w:ind w:firstLine="48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（1）质量保证期：为三年</w:t>
      </w:r>
      <w:r>
        <w:rPr>
          <w:rStyle w:val="280"/>
          <w:rFonts w:hint="eastAsia" w:ascii="宋体" w:hAnsi="宋体" w:eastAsia="宋体" w:cs="宋体"/>
          <w:b/>
          <w:bCs/>
          <w:color w:val="auto"/>
          <w:sz w:val="24"/>
          <w:szCs w:val="24"/>
          <w:lang w:eastAsia="zh-CN"/>
        </w:rPr>
        <w:t>，</w:t>
      </w:r>
      <w:r>
        <w:rPr>
          <w:rStyle w:val="280"/>
          <w:rFonts w:ascii="宋体" w:hAnsi="宋体" w:eastAsia="宋体" w:cs="宋体"/>
          <w:b/>
          <w:bCs/>
          <w:color w:val="auto"/>
          <w:sz w:val="24"/>
          <w:szCs w:val="24"/>
        </w:rPr>
        <w:t>质量保证期自验收合格之日起算，在质保期内</w:t>
      </w:r>
      <w:r>
        <w:rPr>
          <w:rStyle w:val="280"/>
          <w:rFonts w:hint="eastAsia" w:ascii="宋体" w:hAnsi="宋体" w:eastAsia="宋体" w:cs="宋体"/>
          <w:b/>
          <w:bCs/>
          <w:color w:val="auto"/>
          <w:sz w:val="24"/>
          <w:szCs w:val="24"/>
          <w:lang w:eastAsia="zh-CN"/>
        </w:rPr>
        <w:t>除人为</w:t>
      </w:r>
      <w:r>
        <w:rPr>
          <w:rStyle w:val="280"/>
          <w:rFonts w:ascii="宋体" w:hAnsi="宋体" w:eastAsia="宋体" w:cs="宋体"/>
          <w:b/>
          <w:bCs/>
          <w:color w:val="auto"/>
          <w:sz w:val="24"/>
          <w:szCs w:val="24"/>
        </w:rPr>
        <w:t>原因造成</w:t>
      </w:r>
      <w:r>
        <w:rPr>
          <w:rStyle w:val="280"/>
          <w:rFonts w:hint="eastAsia" w:ascii="宋体" w:hAnsi="宋体" w:eastAsia="宋体" w:cs="宋体"/>
          <w:b/>
          <w:bCs/>
          <w:color w:val="auto"/>
          <w:sz w:val="24"/>
          <w:szCs w:val="24"/>
          <w:lang w:eastAsia="zh-CN"/>
        </w:rPr>
        <w:t>货物</w:t>
      </w:r>
      <w:r>
        <w:rPr>
          <w:rStyle w:val="280"/>
          <w:rFonts w:ascii="宋体" w:hAnsi="宋体" w:eastAsia="宋体" w:cs="宋体"/>
          <w:b/>
          <w:bCs/>
          <w:color w:val="auto"/>
          <w:sz w:val="24"/>
          <w:szCs w:val="24"/>
        </w:rPr>
        <w:t>损</w:t>
      </w:r>
      <w:r>
        <w:rPr>
          <w:rStyle w:val="280"/>
          <w:rFonts w:hint="eastAsia" w:ascii="宋体" w:hAnsi="宋体" w:eastAsia="宋体" w:cs="宋体"/>
          <w:b/>
          <w:bCs/>
          <w:color w:val="auto"/>
          <w:sz w:val="24"/>
          <w:szCs w:val="24"/>
          <w:lang w:eastAsia="zh-CN"/>
        </w:rPr>
        <w:t>外</w:t>
      </w:r>
      <w:r>
        <w:rPr>
          <w:rStyle w:val="280"/>
          <w:rFonts w:ascii="宋体" w:hAnsi="宋体" w:eastAsia="宋体" w:cs="宋体"/>
          <w:b/>
          <w:bCs/>
          <w:color w:val="auto"/>
          <w:sz w:val="24"/>
          <w:szCs w:val="24"/>
        </w:rPr>
        <w:t>，</w:t>
      </w:r>
      <w:r>
        <w:rPr>
          <w:rStyle w:val="280"/>
          <w:rFonts w:hint="eastAsia" w:ascii="宋体" w:hAnsi="宋体" w:eastAsia="宋体" w:cs="宋体"/>
          <w:b/>
          <w:bCs/>
          <w:color w:val="auto"/>
          <w:sz w:val="24"/>
          <w:szCs w:val="24"/>
          <w:lang w:eastAsia="zh-CN"/>
        </w:rPr>
        <w:t>其他质量问题</w:t>
      </w:r>
      <w:r>
        <w:rPr>
          <w:rStyle w:val="280"/>
          <w:rFonts w:ascii="宋体" w:hAnsi="宋体" w:eastAsia="宋体" w:cs="宋体"/>
          <w:b/>
          <w:bCs/>
          <w:color w:val="auto"/>
          <w:sz w:val="24"/>
          <w:szCs w:val="24"/>
        </w:rPr>
        <w:t>乙方负责</w:t>
      </w:r>
      <w:r>
        <w:rPr>
          <w:rStyle w:val="280"/>
          <w:rFonts w:hint="eastAsia" w:ascii="宋体" w:hAnsi="宋体" w:eastAsia="宋体" w:cs="宋体"/>
          <w:b/>
          <w:bCs/>
          <w:color w:val="auto"/>
          <w:sz w:val="24"/>
          <w:szCs w:val="24"/>
          <w:lang w:eastAsia="zh-CN"/>
        </w:rPr>
        <w:t>更换同类同价货物</w:t>
      </w:r>
      <w:r>
        <w:rPr>
          <w:rStyle w:val="280"/>
          <w:rFonts w:ascii="宋体" w:hAnsi="宋体" w:eastAsia="宋体" w:cs="宋体"/>
          <w:b/>
          <w:bCs/>
          <w:color w:val="auto"/>
          <w:sz w:val="24"/>
          <w:szCs w:val="24"/>
        </w:rPr>
        <w:t>，</w:t>
      </w:r>
      <w:r>
        <w:rPr>
          <w:rStyle w:val="280"/>
          <w:rFonts w:hint="eastAsia" w:ascii="宋体" w:hAnsi="宋体" w:eastAsia="宋体" w:cs="宋体"/>
          <w:b/>
          <w:bCs/>
          <w:color w:val="auto"/>
          <w:sz w:val="24"/>
          <w:szCs w:val="24"/>
          <w:lang w:eastAsia="zh-CN"/>
        </w:rPr>
        <w:t>乙</w:t>
      </w:r>
      <w:r>
        <w:rPr>
          <w:rStyle w:val="280"/>
          <w:rFonts w:ascii="宋体" w:hAnsi="宋体" w:eastAsia="宋体" w:cs="宋体"/>
          <w:b/>
          <w:bCs/>
          <w:color w:val="auto"/>
          <w:sz w:val="24"/>
          <w:szCs w:val="24"/>
        </w:rPr>
        <w:t>方承担所有费用。</w:t>
      </w:r>
    </w:p>
    <w:p>
      <w:pPr>
        <w:pStyle w:val="281"/>
        <w:spacing w:line="520" w:lineRule="exact"/>
        <w:ind w:firstLine="48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（2）在质保期内</w:t>
      </w:r>
      <w:r>
        <w:rPr>
          <w:rStyle w:val="280"/>
          <w:rFonts w:hint="eastAsia" w:ascii="宋体" w:hAnsi="宋体" w:eastAsia="宋体" w:cs="宋体"/>
          <w:b/>
          <w:bCs/>
          <w:color w:val="auto"/>
          <w:sz w:val="24"/>
          <w:szCs w:val="24"/>
          <w:lang w:eastAsia="zh-CN"/>
        </w:rPr>
        <w:t>货物</w:t>
      </w:r>
      <w:r>
        <w:rPr>
          <w:rStyle w:val="280"/>
          <w:rFonts w:ascii="宋体" w:hAnsi="宋体" w:eastAsia="宋体" w:cs="宋体"/>
          <w:b/>
          <w:bCs/>
          <w:color w:val="auto"/>
          <w:sz w:val="24"/>
          <w:szCs w:val="24"/>
        </w:rPr>
        <w:t>出现质量问题，乙方应在接到修理故障通知之后2小时内做出应急响应，若无法排除故障，乙方应在2日内赶到现场进行免费维修并提供相应</w:t>
      </w:r>
      <w:r>
        <w:rPr>
          <w:rStyle w:val="280"/>
          <w:rFonts w:hint="eastAsia" w:ascii="宋体" w:hAnsi="宋体" w:eastAsia="宋体" w:cs="宋体"/>
          <w:b/>
          <w:bCs/>
          <w:color w:val="auto"/>
          <w:sz w:val="24"/>
          <w:szCs w:val="24"/>
          <w:lang w:eastAsia="zh-CN"/>
        </w:rPr>
        <w:t>货物</w:t>
      </w:r>
      <w:r>
        <w:rPr>
          <w:rStyle w:val="280"/>
          <w:rFonts w:ascii="宋体" w:hAnsi="宋体" w:eastAsia="宋体" w:cs="宋体"/>
          <w:b/>
          <w:bCs/>
          <w:color w:val="auto"/>
          <w:sz w:val="24"/>
          <w:szCs w:val="24"/>
        </w:rPr>
        <w:t>的零配件，来保证系统的正常运行，由此所发生的一切费用由乙方承担。乙方所提供的</w:t>
      </w:r>
      <w:r>
        <w:rPr>
          <w:rStyle w:val="280"/>
          <w:rFonts w:hint="eastAsia" w:ascii="宋体" w:hAnsi="宋体" w:eastAsia="宋体" w:cs="宋体"/>
          <w:b/>
          <w:bCs/>
          <w:color w:val="auto"/>
          <w:sz w:val="24"/>
          <w:szCs w:val="24"/>
          <w:lang w:eastAsia="zh-CN"/>
        </w:rPr>
        <w:t>货物</w:t>
      </w:r>
      <w:r>
        <w:rPr>
          <w:rStyle w:val="280"/>
          <w:rFonts w:ascii="宋体" w:hAnsi="宋体" w:eastAsia="宋体" w:cs="宋体"/>
          <w:b/>
          <w:bCs/>
          <w:color w:val="auto"/>
          <w:sz w:val="24"/>
          <w:szCs w:val="24"/>
        </w:rPr>
        <w:t>零配件仍应当符合本合同约定的质量标准。维修时所需的</w:t>
      </w:r>
      <w:r>
        <w:rPr>
          <w:rStyle w:val="280"/>
          <w:rFonts w:hint="eastAsia" w:ascii="宋体" w:hAnsi="宋体" w:eastAsia="宋体" w:cs="宋体"/>
          <w:b/>
          <w:bCs/>
          <w:color w:val="auto"/>
          <w:sz w:val="24"/>
          <w:szCs w:val="24"/>
          <w:lang w:eastAsia="zh-CN"/>
        </w:rPr>
        <w:t>货物</w:t>
      </w:r>
      <w:r>
        <w:rPr>
          <w:rStyle w:val="280"/>
          <w:rFonts w:ascii="宋体" w:hAnsi="宋体" w:eastAsia="宋体" w:cs="宋体"/>
          <w:b/>
          <w:bCs/>
          <w:color w:val="auto"/>
          <w:sz w:val="24"/>
          <w:szCs w:val="24"/>
        </w:rPr>
        <w:t>零配件只收取成本费。</w:t>
      </w:r>
    </w:p>
    <w:p>
      <w:pPr>
        <w:pStyle w:val="281"/>
        <w:spacing w:line="520" w:lineRule="exact"/>
        <w:ind w:firstLine="48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（3）其他：若质保期内乙方未依约履行保修义务，甲方有权自行或委托第三方对</w:t>
      </w:r>
      <w:r>
        <w:rPr>
          <w:rStyle w:val="280"/>
          <w:rFonts w:hint="eastAsia" w:ascii="宋体" w:hAnsi="宋体" w:eastAsia="宋体" w:cs="宋体"/>
          <w:b/>
          <w:bCs/>
          <w:color w:val="auto"/>
          <w:sz w:val="24"/>
          <w:szCs w:val="24"/>
          <w:lang w:eastAsia="zh-CN"/>
        </w:rPr>
        <w:t>货物</w:t>
      </w:r>
      <w:r>
        <w:rPr>
          <w:rStyle w:val="280"/>
          <w:rFonts w:ascii="宋体" w:hAnsi="宋体" w:eastAsia="宋体" w:cs="宋体"/>
          <w:b/>
          <w:bCs/>
          <w:color w:val="auto"/>
          <w:sz w:val="24"/>
          <w:szCs w:val="24"/>
        </w:rPr>
        <w:t>进行维修，因此发生的费用由乙方承担。</w:t>
      </w:r>
    </w:p>
    <w:p>
      <w:pPr>
        <w:pStyle w:val="281"/>
        <w:spacing w:line="520" w:lineRule="exact"/>
        <w:ind w:firstLine="48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（4）在此质保期内，凡因设计、材料和制造上的缺陷而造成损坏的，制造商将保证对有缺陷的</w:t>
      </w:r>
      <w:r>
        <w:rPr>
          <w:rStyle w:val="280"/>
          <w:rFonts w:hint="eastAsia" w:ascii="宋体" w:hAnsi="宋体" w:eastAsia="宋体" w:cs="宋体"/>
          <w:b/>
          <w:bCs/>
          <w:color w:val="auto"/>
          <w:sz w:val="24"/>
          <w:szCs w:val="24"/>
          <w:lang w:eastAsia="zh-CN"/>
        </w:rPr>
        <w:t>货物</w:t>
      </w:r>
      <w:r>
        <w:rPr>
          <w:rStyle w:val="280"/>
          <w:rFonts w:ascii="宋体" w:hAnsi="宋体" w:eastAsia="宋体" w:cs="宋体"/>
          <w:b/>
          <w:bCs/>
          <w:color w:val="auto"/>
          <w:sz w:val="24"/>
          <w:szCs w:val="24"/>
        </w:rPr>
        <w:t>或部件进行免费更换或修复。</w:t>
      </w:r>
    </w:p>
    <w:p>
      <w:pPr>
        <w:pStyle w:val="281"/>
        <w:spacing w:line="520" w:lineRule="exact"/>
        <w:ind w:left="480"/>
        <w:outlineLvl w:val="0"/>
        <w:rPr>
          <w:rFonts w:hint="eastAsia" w:ascii="宋体" w:hAnsi="宋体" w:eastAsia="宋体" w:cs="宋体"/>
          <w:b/>
          <w:bCs/>
          <w:color w:val="auto"/>
          <w:sz w:val="24"/>
          <w:szCs w:val="24"/>
          <w:lang w:eastAsia="zh-CN"/>
        </w:rPr>
      </w:pPr>
      <w:r>
        <w:rPr>
          <w:rFonts w:ascii="宋体" w:hAnsi="宋体" w:eastAsia="宋体" w:cs="宋体"/>
          <w:b/>
          <w:bCs/>
          <w:color w:val="auto"/>
          <w:sz w:val="24"/>
          <w:szCs w:val="24"/>
        </w:rPr>
        <w:t>（5）投标人和制造商在质量保证期内应当为采购人提供以下技术支持和服务</w:t>
      </w:r>
      <w:r>
        <w:rPr>
          <w:rFonts w:hint="eastAsia" w:ascii="宋体" w:hAnsi="宋体" w:eastAsia="宋体" w:cs="宋体"/>
          <w:b/>
          <w:bCs/>
          <w:color w:val="auto"/>
          <w:sz w:val="24"/>
          <w:szCs w:val="24"/>
          <w:lang w:eastAsia="zh-CN"/>
        </w:rPr>
        <w:t>。</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4.1电话咨询</w:t>
      </w:r>
    </w:p>
    <w:p>
      <w:pPr>
        <w:pStyle w:val="281"/>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中标人和制造商应当为采购人提供技术援助电话，解答采购人在使用中遇到的问题，及时为采购人提出解决问题的建议。</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4.2现场响应</w:t>
      </w:r>
    </w:p>
    <w:p>
      <w:pPr>
        <w:pStyle w:val="281"/>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采购人遇到使用及技术问题，电话咨询不能解决的，中标人和制造商应在2小时内响应，2日内到达现场进行处理，确保产品正常工作。</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4.3技术升级</w:t>
      </w:r>
    </w:p>
    <w:p>
      <w:pPr>
        <w:pStyle w:val="281"/>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在质保期内，如果中标人和制造商的产品技术升级，供应商应及时通知采购人，如采购人有相应要求，中标人和制造商应对采购人购买的产品进行升级服务。</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4.4、质保期外服务要求</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4.4.1质量保证期过后，供应商和制造商应同样提供免费电话咨询服务，并应承诺提供产品上门维护服务。</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4.4.2质量保证期过后，采购人需要继续由原供应商和制造商提供售后服务的，该供应商和制造商应以优惠价格提供售后服务。</w:t>
      </w:r>
    </w:p>
    <w:p>
      <w:pPr>
        <w:pStyle w:val="281"/>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4.5备品备件及易损件</w:t>
      </w:r>
    </w:p>
    <w:p>
      <w:pPr>
        <w:pStyle w:val="281"/>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4.5.1中标人和制造商售后服务中，维修使用的备品备件及易损件应为原厂配件，未经采购人同意不得使用非原厂配件，常用的、容易损坏的备品备件及易损件的价格清单须在</w:t>
      </w:r>
      <w:r>
        <w:rPr>
          <w:rFonts w:hint="eastAsia" w:ascii="宋体" w:hAnsi="宋体" w:eastAsia="宋体" w:cs="宋体"/>
          <w:b/>
          <w:bCs/>
          <w:color w:val="auto"/>
          <w:sz w:val="24"/>
          <w:szCs w:val="24"/>
          <w:lang w:eastAsia="zh-CN"/>
        </w:rPr>
        <w:t>响应文件</w:t>
      </w:r>
      <w:r>
        <w:rPr>
          <w:rFonts w:ascii="宋体" w:hAnsi="宋体" w:eastAsia="宋体" w:cs="宋体"/>
          <w:b/>
          <w:bCs/>
          <w:color w:val="auto"/>
          <w:sz w:val="24"/>
          <w:szCs w:val="24"/>
        </w:rPr>
        <w:t>中列出。</w:t>
      </w:r>
    </w:p>
    <w:p>
      <w:pPr>
        <w:pStyle w:val="281"/>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4.5.2在签订合同时经销商须提供售后服务承诺书及厂家授权书，若是厂家需提供厂家的售后服务承诺书。</w:t>
      </w:r>
    </w:p>
    <w:p>
      <w:pPr>
        <w:pStyle w:val="281"/>
        <w:spacing w:line="520" w:lineRule="exact"/>
        <w:ind w:firstLine="482" w:firstLineChars="200"/>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八、甲方责任</w:t>
      </w:r>
    </w:p>
    <w:p>
      <w:pPr>
        <w:pStyle w:val="281"/>
        <w:spacing w:line="520" w:lineRule="exact"/>
        <w:ind w:left="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1、甲方收到乙方交付的符合本合同约定的</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应妥善保管。</w:t>
      </w:r>
    </w:p>
    <w:p>
      <w:pPr>
        <w:pStyle w:val="281"/>
        <w:spacing w:line="520" w:lineRule="exact"/>
        <w:ind w:left="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2、甲方应在合同规定的期限内及时付款。</w:t>
      </w:r>
    </w:p>
    <w:p>
      <w:pPr>
        <w:pStyle w:val="281"/>
        <w:spacing w:line="520" w:lineRule="exact"/>
        <w:ind w:left="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3、甲方对乙方误发或多发的</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不承担保管责任。</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九、乙方的责任</w:t>
      </w:r>
    </w:p>
    <w:p>
      <w:pPr>
        <w:pStyle w:val="281"/>
        <w:spacing w:line="520" w:lineRule="exact"/>
        <w:ind w:left="480"/>
        <w:rPr>
          <w:rStyle w:val="280"/>
          <w:rFonts w:hint="default" w:ascii="宋体" w:hAnsi="宋体" w:eastAsia="宋体" w:cs="宋体"/>
          <w:color w:val="auto"/>
          <w:sz w:val="24"/>
          <w:szCs w:val="24"/>
        </w:rPr>
      </w:pPr>
      <w:r>
        <w:rPr>
          <w:rStyle w:val="280"/>
          <w:rFonts w:ascii="宋体" w:hAnsi="宋体" w:eastAsia="宋体" w:cs="宋体"/>
          <w:color w:val="auto"/>
          <w:sz w:val="24"/>
          <w:szCs w:val="24"/>
        </w:rPr>
        <w:t>1、乙方应按双方约定及时交付</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w:t>
      </w:r>
    </w:p>
    <w:p>
      <w:pPr>
        <w:pStyle w:val="281"/>
        <w:spacing w:line="520" w:lineRule="exact"/>
        <w:ind w:left="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2、乙方应提供</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现场安装调试服务。</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3、乙方应按约定为甲方提供</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使用方面的现场及非现场技术支持。</w:t>
      </w:r>
    </w:p>
    <w:p>
      <w:pPr>
        <w:pStyle w:val="281"/>
        <w:spacing w:line="520" w:lineRule="exact"/>
        <w:ind w:left="480"/>
        <w:rPr>
          <w:rStyle w:val="280"/>
          <w:rFonts w:hint="default" w:ascii="宋体" w:hAnsi="宋体" w:eastAsia="宋体" w:cs="宋体"/>
          <w:color w:val="auto"/>
          <w:sz w:val="24"/>
          <w:szCs w:val="24"/>
        </w:rPr>
      </w:pPr>
      <w:r>
        <w:rPr>
          <w:rStyle w:val="280"/>
          <w:rFonts w:ascii="宋体" w:hAnsi="宋体" w:eastAsia="宋体" w:cs="宋体"/>
          <w:color w:val="auto"/>
          <w:sz w:val="24"/>
          <w:szCs w:val="24"/>
        </w:rPr>
        <w:t>4、乙方应及时提供保修服务。</w:t>
      </w:r>
    </w:p>
    <w:p>
      <w:pPr>
        <w:pStyle w:val="281"/>
        <w:spacing w:line="520" w:lineRule="exact"/>
        <w:ind w:firstLine="482"/>
        <w:outlineLvl w:val="0"/>
        <w:rPr>
          <w:rStyle w:val="280"/>
          <w:rFonts w:hint="default" w:ascii="宋体" w:hAnsi="宋体" w:eastAsia="宋体" w:cs="宋体"/>
          <w:color w:val="auto"/>
          <w:sz w:val="24"/>
          <w:szCs w:val="24"/>
        </w:rPr>
      </w:pPr>
      <w:r>
        <w:rPr>
          <w:rStyle w:val="280"/>
          <w:rFonts w:ascii="宋体" w:hAnsi="宋体" w:eastAsia="宋体" w:cs="宋体"/>
          <w:b/>
          <w:bCs/>
          <w:color w:val="auto"/>
          <w:sz w:val="24"/>
          <w:szCs w:val="24"/>
        </w:rPr>
        <w:t>十</w:t>
      </w:r>
      <w:r>
        <w:rPr>
          <w:rStyle w:val="280"/>
          <w:rFonts w:ascii="宋体" w:hAnsi="宋体" w:eastAsia="宋体" w:cs="宋体"/>
          <w:color w:val="auto"/>
          <w:sz w:val="24"/>
          <w:szCs w:val="24"/>
        </w:rPr>
        <w:t>、</w:t>
      </w:r>
      <w:r>
        <w:rPr>
          <w:rStyle w:val="280"/>
          <w:rFonts w:ascii="宋体" w:hAnsi="宋体" w:eastAsia="宋体" w:cs="宋体"/>
          <w:b/>
          <w:bCs/>
          <w:color w:val="auto"/>
          <w:sz w:val="24"/>
          <w:szCs w:val="24"/>
        </w:rPr>
        <w:t>权利瑕疵担保</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1、乙方应当保证对所交付</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享有完全无瑕疵的所有权，所交付的</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上不存在任何未曾向甲方透露的担保物权，如抵押权、质押权、留置权等。</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2、乙方应保证交付的</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没有侵犯任何第三人的知识产权和商业秘密等权利。</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3、如乙方所交付存在上述权利瑕疵或者风险，则由乙方承担全部责任，并赔偿因此给甲方造成的全部损失。</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十一、所有权转移</w:t>
      </w:r>
    </w:p>
    <w:p>
      <w:pPr>
        <w:pStyle w:val="281"/>
        <w:spacing w:line="520" w:lineRule="exact"/>
        <w:ind w:firstLine="480"/>
        <w:rPr>
          <w:rStyle w:val="280"/>
          <w:rFonts w:hint="default" w:ascii="宋体" w:hAnsi="宋体" w:eastAsia="宋体" w:cs="宋体"/>
          <w:color w:val="auto"/>
          <w:sz w:val="24"/>
          <w:szCs w:val="24"/>
        </w:rPr>
      </w:pP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的所有权应在乙方交付至甲方指定到货地点由乙方转移至甲方，</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毁损灭失的风险在甲方及最终用户最终验收合格后由乙方转移至甲方。</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十二、保密义务</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在本合同生效之日起五年内，双方都应对本合同的内容及履行合同过程中知悉的对方信息和商业秘密承担保密义务；任何一方未经对方允许，不得向第三人披露、泄漏上述信息和秘密，也不得为本合同之外的目的使用或者允许第三人使用上述信息和秘密。</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十三、违约责任</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1、乙方如迟延交货或迟延安装调试完成（不可抗力除外，以交付货物或安装调试完成期限届满的第二日起计算），每五个工作日，乙方应向甲方支付合同总金额1％的违约金。</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2、乙方提供</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如质量不符合合同约定标准或最终验收不合格，甲方有权无条件退货，乙方应按合同总金额的20%向甲方支付违约金，返还甲方已付货款，并赔偿因此给甲方造成的全部损失。</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3、乙方提供的</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若为假冒伪劣产品，甲方有权自行处置其</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，同时乙方应按合同总金额的100%支付违约金，返还甲方已付货款并赔偿因此给甲方造成的全部损失。</w:t>
      </w:r>
    </w:p>
    <w:p>
      <w:pPr>
        <w:pStyle w:val="281"/>
        <w:spacing w:line="520" w:lineRule="exact"/>
        <w:ind w:left="210" w:firstLine="241"/>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十四、不可抗力</w:t>
      </w:r>
    </w:p>
    <w:p>
      <w:pPr>
        <w:pStyle w:val="281"/>
        <w:spacing w:line="520" w:lineRule="exact"/>
        <w:ind w:firstLine="449"/>
        <w:rPr>
          <w:rStyle w:val="280"/>
          <w:rFonts w:hint="default" w:ascii="宋体" w:hAnsi="宋体" w:eastAsia="宋体" w:cs="宋体"/>
          <w:color w:val="auto"/>
          <w:sz w:val="24"/>
          <w:szCs w:val="24"/>
        </w:rPr>
      </w:pPr>
      <w:r>
        <w:rPr>
          <w:rStyle w:val="280"/>
          <w:rFonts w:ascii="宋体" w:hAnsi="宋体" w:eastAsia="宋体" w:cs="宋体"/>
          <w:color w:val="auto"/>
          <w:sz w:val="24"/>
          <w:szCs w:val="24"/>
        </w:rPr>
        <w:t>1、合同双方中的任何一方，由于战争或严重的水灾、火灾，台风和地震等自然灾害，以及双方同意的可作为不可抗力的其他事故而影响合同执行时，则延长履行合同的期限，延长的期限相当于事故所影响的时间。</w:t>
      </w:r>
    </w:p>
    <w:p>
      <w:pPr>
        <w:pStyle w:val="281"/>
        <w:spacing w:line="520" w:lineRule="exact"/>
        <w:ind w:firstLine="449"/>
        <w:rPr>
          <w:rStyle w:val="280"/>
          <w:rFonts w:hint="default" w:ascii="宋体" w:hAnsi="宋体" w:eastAsia="宋体" w:cs="宋体"/>
          <w:color w:val="auto"/>
          <w:sz w:val="24"/>
          <w:szCs w:val="24"/>
        </w:rPr>
      </w:pPr>
      <w:r>
        <w:rPr>
          <w:rStyle w:val="280"/>
          <w:rFonts w:ascii="宋体" w:hAnsi="宋体" w:eastAsia="宋体" w:cs="宋体"/>
          <w:color w:val="auto"/>
          <w:sz w:val="24"/>
          <w:szCs w:val="24"/>
        </w:rPr>
        <w:t>2、受不可抗力影响的一方应尽快将发生不可抗力事故的情况以电传或电报通知对方，并于十四天内以航空挂号信件将有权证明的机构出具的证明文件提交给另一方进行确认。</w:t>
      </w:r>
    </w:p>
    <w:p>
      <w:pPr>
        <w:pStyle w:val="281"/>
        <w:spacing w:line="520" w:lineRule="exact"/>
        <w:ind w:firstLine="509"/>
        <w:rPr>
          <w:rStyle w:val="280"/>
          <w:rFonts w:hint="default" w:ascii="宋体" w:hAnsi="宋体" w:eastAsia="宋体" w:cs="宋体"/>
          <w:color w:val="auto"/>
          <w:sz w:val="24"/>
          <w:szCs w:val="24"/>
        </w:rPr>
      </w:pPr>
      <w:r>
        <w:rPr>
          <w:rStyle w:val="280"/>
          <w:rFonts w:ascii="宋体" w:hAnsi="宋体" w:eastAsia="宋体" w:cs="宋体"/>
          <w:color w:val="auto"/>
          <w:sz w:val="24"/>
          <w:szCs w:val="24"/>
        </w:rPr>
        <w:t>3、如果不可抗力事故的影响延续到一百二十天以上时，合同双方应通过友好协商解决合同的执行问题。</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十五、合同的解除</w:t>
      </w:r>
    </w:p>
    <w:p>
      <w:pPr>
        <w:pStyle w:val="281"/>
        <w:spacing w:line="520" w:lineRule="exact"/>
        <w:ind w:firstLine="482"/>
        <w:rPr>
          <w:rStyle w:val="280"/>
          <w:rFonts w:hint="default" w:ascii="宋体" w:hAnsi="宋体" w:eastAsia="宋体" w:cs="宋体"/>
          <w:color w:val="auto"/>
          <w:sz w:val="24"/>
          <w:szCs w:val="24"/>
        </w:rPr>
      </w:pPr>
      <w:r>
        <w:rPr>
          <w:rStyle w:val="280"/>
          <w:rFonts w:ascii="宋体" w:hAnsi="宋体" w:eastAsia="宋体" w:cs="宋体"/>
          <w:color w:val="auto"/>
          <w:sz w:val="24"/>
          <w:szCs w:val="24"/>
        </w:rPr>
        <w:t>1、迟延交付或迟延安装调试完成的解除权：如果乙方未能在合同规定的期限或双方同意延长的期限内提供本合同项下的</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或安装调试完成，并在甲方发出催告通知的五日内仍未能提供或未能安装调试完成，则甲方有权解除合同；乙方应在收到甲方解除合同的通知之日起五日内将已付合同价款退还给甲方，并按合同总金额的10%支付违约金（甲方有权选择适用本条款或本合同第十三条第1款），同时应赔偿因此给甲方造成的损失。</w:t>
      </w:r>
    </w:p>
    <w:p>
      <w:pPr>
        <w:pStyle w:val="281"/>
        <w:spacing w:line="520" w:lineRule="exact"/>
        <w:ind w:firstLine="482"/>
        <w:rPr>
          <w:rStyle w:val="280"/>
          <w:rFonts w:hint="default" w:ascii="宋体" w:hAnsi="宋体" w:eastAsia="宋体" w:cs="宋体"/>
          <w:color w:val="auto"/>
          <w:sz w:val="24"/>
          <w:szCs w:val="24"/>
        </w:rPr>
      </w:pPr>
      <w:r>
        <w:rPr>
          <w:rStyle w:val="280"/>
          <w:rFonts w:ascii="宋体" w:hAnsi="宋体" w:eastAsia="宋体" w:cs="宋体"/>
          <w:color w:val="auto"/>
          <w:sz w:val="24"/>
          <w:szCs w:val="24"/>
        </w:rPr>
        <w:t>2、迟延付款的解除权：如果甲方未能在合同规定的期限或双方同意延长的期限内按照合同约定的时间和方式支付货款，并在乙方发出催告通知的五日内仍未能提供货款，则乙方有权解除合同；甲方收到乙方解除合同的通知后，仍应当承担相应的违约责任，并应赔偿乙方因此而受到的损失。</w:t>
      </w:r>
    </w:p>
    <w:p>
      <w:pPr>
        <w:pStyle w:val="281"/>
        <w:spacing w:line="520" w:lineRule="exact"/>
        <w:ind w:firstLine="513"/>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十六、争议的解决</w:t>
      </w:r>
    </w:p>
    <w:p>
      <w:pPr>
        <w:pStyle w:val="282"/>
        <w:tabs>
          <w:tab w:val="left" w:pos="1290"/>
        </w:tabs>
        <w:spacing w:line="520" w:lineRule="exact"/>
        <w:ind w:firstLine="520"/>
        <w:rPr>
          <w:rStyle w:val="280"/>
          <w:rFonts w:ascii="宋体" w:hAnsi="宋体" w:cs="宋体"/>
          <w:color w:val="auto"/>
          <w:spacing w:val="10"/>
          <w:sz w:val="24"/>
          <w:szCs w:val="24"/>
        </w:rPr>
      </w:pPr>
      <w:r>
        <w:rPr>
          <w:rStyle w:val="280"/>
          <w:rFonts w:hint="eastAsia" w:ascii="宋体" w:hAnsi="宋体" w:cs="宋体"/>
          <w:color w:val="auto"/>
          <w:spacing w:val="10"/>
          <w:sz w:val="24"/>
          <w:szCs w:val="24"/>
        </w:rPr>
        <w:t>甲乙双方因履行本合同发生争议，应协商解决，协商不成时，双方均可向甲方所在地有管辖权的人民法院提起诉讼。</w:t>
      </w:r>
    </w:p>
    <w:p>
      <w:pPr>
        <w:pStyle w:val="281"/>
        <w:tabs>
          <w:tab w:val="left" w:pos="1290"/>
        </w:tabs>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十七、合同的生效与期限</w:t>
      </w:r>
    </w:p>
    <w:p>
      <w:pPr>
        <w:pStyle w:val="281"/>
        <w:tabs>
          <w:tab w:val="left" w:pos="1290"/>
        </w:tabs>
        <w:spacing w:line="520" w:lineRule="exact"/>
        <w:ind w:firstLine="520"/>
        <w:rPr>
          <w:rStyle w:val="280"/>
          <w:rFonts w:hint="default" w:ascii="宋体" w:hAnsi="宋体" w:eastAsia="宋体" w:cs="宋体"/>
          <w:color w:val="auto"/>
          <w:spacing w:val="10"/>
          <w:sz w:val="24"/>
          <w:szCs w:val="24"/>
        </w:rPr>
      </w:pPr>
      <w:r>
        <w:rPr>
          <w:rStyle w:val="280"/>
          <w:rFonts w:ascii="宋体" w:hAnsi="宋体" w:eastAsia="宋体" w:cs="宋体"/>
          <w:color w:val="auto"/>
          <w:spacing w:val="10"/>
          <w:sz w:val="24"/>
          <w:szCs w:val="24"/>
        </w:rPr>
        <w:t>本合同由双方法人代表或法人授权代表在签署，并于双方签字盖章之日起生效。</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十八、合同的更改</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本合同的执行中，对其条款的任何变更、修改和增减，都须经双方协商同意并签署书面文件，作为合同的组成部分，与本合同具有同等效力。</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十九、合同附件</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本合同附件与本合同具有同等效力。</w:t>
      </w:r>
    </w:p>
    <w:p>
      <w:pPr>
        <w:pStyle w:val="281"/>
        <w:spacing w:line="520" w:lineRule="exact"/>
        <w:ind w:firstLine="480"/>
        <w:outlineLvl w:val="1"/>
        <w:rPr>
          <w:rStyle w:val="280"/>
          <w:rFonts w:hint="default" w:ascii="宋体" w:hAnsi="宋体" w:eastAsia="宋体" w:cs="宋体"/>
          <w:color w:val="auto"/>
          <w:sz w:val="24"/>
          <w:szCs w:val="24"/>
        </w:rPr>
      </w:pPr>
      <w:r>
        <w:rPr>
          <w:rStyle w:val="280"/>
          <w:rFonts w:ascii="宋体" w:hAnsi="宋体" w:eastAsia="宋体" w:cs="宋体"/>
          <w:color w:val="auto"/>
          <w:sz w:val="24"/>
          <w:szCs w:val="24"/>
        </w:rPr>
        <w:t>附件1：</w:t>
      </w:r>
      <w:r>
        <w:rPr>
          <w:rStyle w:val="280"/>
          <w:rFonts w:hint="eastAsia" w:ascii="宋体" w:hAnsi="宋体" w:eastAsia="宋体" w:cs="宋体"/>
          <w:color w:val="auto"/>
          <w:sz w:val="24"/>
          <w:szCs w:val="24"/>
          <w:lang w:eastAsia="zh-CN"/>
        </w:rPr>
        <w:t>货物</w:t>
      </w:r>
      <w:r>
        <w:rPr>
          <w:rStyle w:val="280"/>
          <w:rFonts w:ascii="宋体" w:hAnsi="宋体" w:eastAsia="宋体" w:cs="宋体"/>
          <w:color w:val="auto"/>
          <w:sz w:val="24"/>
          <w:szCs w:val="24"/>
        </w:rPr>
        <w:t>清单及价格表</w:t>
      </w:r>
    </w:p>
    <w:p>
      <w:pPr>
        <w:pStyle w:val="281"/>
        <w:spacing w:line="520" w:lineRule="exact"/>
        <w:ind w:firstLine="482"/>
        <w:outlineLvl w:val="0"/>
        <w:rPr>
          <w:rStyle w:val="280"/>
          <w:rFonts w:hint="default" w:ascii="宋体" w:hAnsi="宋体" w:eastAsia="宋体" w:cs="宋体"/>
          <w:b/>
          <w:bCs/>
          <w:color w:val="auto"/>
          <w:sz w:val="24"/>
          <w:szCs w:val="24"/>
        </w:rPr>
      </w:pPr>
      <w:r>
        <w:rPr>
          <w:rStyle w:val="280"/>
          <w:rFonts w:ascii="宋体" w:hAnsi="宋体" w:eastAsia="宋体" w:cs="宋体"/>
          <w:b/>
          <w:bCs/>
          <w:color w:val="auto"/>
          <w:sz w:val="24"/>
          <w:szCs w:val="24"/>
        </w:rPr>
        <w:t>二十、其他</w:t>
      </w:r>
    </w:p>
    <w:p>
      <w:pPr>
        <w:pStyle w:val="281"/>
        <w:spacing w:line="520" w:lineRule="exact"/>
        <w:ind w:firstLine="480"/>
        <w:rPr>
          <w:rStyle w:val="280"/>
          <w:rFonts w:hint="default" w:ascii="宋体" w:hAnsi="宋体" w:eastAsia="宋体" w:cs="宋体"/>
          <w:color w:val="auto"/>
          <w:spacing w:val="10"/>
          <w:sz w:val="24"/>
          <w:szCs w:val="24"/>
        </w:rPr>
      </w:pPr>
      <w:r>
        <w:rPr>
          <w:rStyle w:val="280"/>
          <w:rFonts w:ascii="宋体" w:hAnsi="宋体" w:eastAsia="宋体" w:cs="宋体"/>
          <w:color w:val="auto"/>
          <w:sz w:val="24"/>
          <w:szCs w:val="24"/>
        </w:rPr>
        <w:t>1、本合同的订立、效力、解释、履行、争议管辖及解决均适用中国法律。</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2、本合同以中文书写和签署。中文本一式</w:t>
      </w:r>
      <w:r>
        <w:rPr>
          <w:rStyle w:val="280"/>
          <w:rFonts w:ascii="宋体" w:hAnsi="宋体" w:eastAsia="宋体" w:cs="宋体"/>
          <w:color w:val="auto"/>
          <w:sz w:val="24"/>
          <w:szCs w:val="24"/>
          <w:u w:val="single"/>
        </w:rPr>
        <w:t>肆</w:t>
      </w:r>
      <w:r>
        <w:rPr>
          <w:rStyle w:val="280"/>
          <w:rFonts w:ascii="宋体" w:hAnsi="宋体" w:eastAsia="宋体" w:cs="宋体"/>
          <w:color w:val="auto"/>
          <w:sz w:val="24"/>
          <w:szCs w:val="24"/>
        </w:rPr>
        <w:t>份，甲方</w:t>
      </w:r>
      <w:r>
        <w:rPr>
          <w:rStyle w:val="280"/>
          <w:rFonts w:ascii="宋体" w:hAnsi="宋体" w:eastAsia="宋体" w:cs="宋体"/>
          <w:color w:val="auto"/>
          <w:sz w:val="24"/>
          <w:szCs w:val="24"/>
          <w:u w:val="single"/>
        </w:rPr>
        <w:t>贰</w:t>
      </w:r>
      <w:r>
        <w:rPr>
          <w:rStyle w:val="280"/>
          <w:rFonts w:ascii="宋体" w:hAnsi="宋体" w:eastAsia="宋体" w:cs="宋体"/>
          <w:color w:val="auto"/>
          <w:sz w:val="24"/>
          <w:szCs w:val="24"/>
        </w:rPr>
        <w:t>份，乙方</w:t>
      </w:r>
      <w:r>
        <w:rPr>
          <w:rStyle w:val="280"/>
          <w:rFonts w:ascii="宋体" w:hAnsi="宋体" w:eastAsia="宋体" w:cs="宋体"/>
          <w:color w:val="auto"/>
          <w:sz w:val="24"/>
          <w:szCs w:val="24"/>
          <w:u w:val="single"/>
        </w:rPr>
        <w:t>贰</w:t>
      </w:r>
      <w:r>
        <w:rPr>
          <w:rStyle w:val="280"/>
          <w:rFonts w:ascii="宋体" w:hAnsi="宋体" w:eastAsia="宋体" w:cs="宋体"/>
          <w:color w:val="auto"/>
          <w:sz w:val="24"/>
          <w:szCs w:val="24"/>
        </w:rPr>
        <w:t>份。</w:t>
      </w:r>
    </w:p>
    <w:p>
      <w:pPr>
        <w:pStyle w:val="281"/>
        <w:spacing w:line="520" w:lineRule="exact"/>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3、本合同任何条款的无效不影响本合同任何其他条款的有效性。</w:t>
      </w:r>
    </w:p>
    <w:p>
      <w:pPr>
        <w:pStyle w:val="281"/>
        <w:spacing w:line="520" w:lineRule="exact"/>
        <w:ind w:firstLine="480"/>
        <w:rPr>
          <w:rFonts w:hint="default" w:ascii="宋体" w:hAnsi="宋体" w:eastAsia="宋体" w:cs="宋体"/>
          <w:color w:val="auto"/>
          <w:sz w:val="24"/>
          <w:szCs w:val="24"/>
        </w:rPr>
      </w:pPr>
      <w:r>
        <w:rPr>
          <w:rStyle w:val="280"/>
          <w:rFonts w:ascii="宋体" w:hAnsi="宋体" w:eastAsia="宋体" w:cs="宋体"/>
          <w:color w:val="auto"/>
          <w:sz w:val="24"/>
          <w:szCs w:val="24"/>
        </w:rPr>
        <w:t>4、本合同中所述的最终用户为。</w:t>
      </w:r>
    </w:p>
    <w:tbl>
      <w:tblPr>
        <w:tblStyle w:val="47"/>
        <w:tblpPr w:leftFromText="180" w:rightFromText="180" w:vertAnchor="text" w:horzAnchor="page" w:tblpX="1647" w:tblpY="459"/>
        <w:tblOverlap w:val="never"/>
        <w:tblW w:w="8840" w:type="dxa"/>
        <w:tblInd w:w="0" w:type="dxa"/>
        <w:tblLayout w:type="fixed"/>
        <w:tblCellMar>
          <w:top w:w="0" w:type="dxa"/>
          <w:left w:w="108" w:type="dxa"/>
          <w:bottom w:w="0" w:type="dxa"/>
          <w:right w:w="108" w:type="dxa"/>
        </w:tblCellMar>
      </w:tblPr>
      <w:tblGrid>
        <w:gridCol w:w="4619"/>
        <w:gridCol w:w="4221"/>
      </w:tblGrid>
      <w:tr>
        <w:tblPrEx>
          <w:tblCellMar>
            <w:top w:w="0" w:type="dxa"/>
            <w:left w:w="108" w:type="dxa"/>
            <w:bottom w:w="0" w:type="dxa"/>
            <w:right w:w="108" w:type="dxa"/>
          </w:tblCellMar>
        </w:tblPrEx>
        <w:trPr>
          <w:trHeight w:val="632" w:hRule="atLeast"/>
        </w:trPr>
        <w:tc>
          <w:tcPr>
            <w:tcW w:w="4619" w:type="dxa"/>
            <w:vAlign w:val="top"/>
          </w:tcPr>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甲 方：</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地 址：</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联系人：</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联系电话： </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电子邮件: </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邮政编码：</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开户银行：</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账号：</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银行行号：</w:t>
            </w:r>
          </w:p>
        </w:tc>
        <w:tc>
          <w:tcPr>
            <w:tcW w:w="4221" w:type="dxa"/>
            <w:vAlign w:val="top"/>
          </w:tcPr>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乙 方：</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地 址：</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联系人：</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联系电话： </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 xml:space="preserve">电子邮件: </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邮政编码：</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开户银行：</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账号：</w:t>
            </w:r>
          </w:p>
          <w:p>
            <w:pPr>
              <w:pStyle w:val="281"/>
              <w:ind w:firstLine="480"/>
              <w:rPr>
                <w:rStyle w:val="280"/>
                <w:rFonts w:hint="default" w:ascii="宋体" w:hAnsi="宋体" w:eastAsia="宋体" w:cs="宋体"/>
                <w:color w:val="auto"/>
                <w:sz w:val="24"/>
                <w:szCs w:val="24"/>
              </w:rPr>
            </w:pPr>
            <w:r>
              <w:rPr>
                <w:rStyle w:val="280"/>
                <w:rFonts w:ascii="宋体" w:hAnsi="宋体" w:eastAsia="宋体" w:cs="宋体"/>
                <w:color w:val="auto"/>
                <w:sz w:val="24"/>
                <w:szCs w:val="24"/>
              </w:rPr>
              <w:t>银行行号：</w:t>
            </w:r>
          </w:p>
        </w:tc>
      </w:tr>
    </w:tbl>
    <w:p>
      <w:pPr>
        <w:pStyle w:val="31"/>
        <w:tabs>
          <w:tab w:val="left" w:pos="382"/>
          <w:tab w:val="center" w:pos="4790"/>
        </w:tabs>
        <w:jc w:val="left"/>
        <w:rPr>
          <w:rFonts w:hint="eastAsia" w:eastAsia="宋体"/>
          <w:color w:val="auto"/>
          <w:lang w:eastAsia="zh-CN"/>
        </w:rPr>
        <w:sectPr>
          <w:footerReference r:id="rId9" w:type="default"/>
          <w:pgSz w:w="11907" w:h="16840"/>
          <w:pgMar w:top="1134" w:right="1029" w:bottom="1134" w:left="1418" w:header="680" w:footer="907" w:gutter="0"/>
          <w:pgNumType w:fmt="decimal"/>
          <w:cols w:space="720" w:num="1"/>
          <w:docGrid w:linePitch="271" w:charSpace="0"/>
        </w:sectPr>
      </w:pPr>
    </w:p>
    <w:p>
      <w:pPr>
        <w:pageBreakBefore/>
        <w:widowControl/>
        <w:numPr>
          <w:ilvl w:val="0"/>
          <w:numId w:val="0"/>
        </w:numPr>
        <w:tabs>
          <w:tab w:val="left" w:pos="954"/>
          <w:tab w:val="center" w:pos="4393"/>
        </w:tabs>
        <w:spacing w:before="120" w:after="120" w:line="360" w:lineRule="auto"/>
        <w:jc w:val="center"/>
        <w:outlineLvl w:val="0"/>
        <w:rPr>
          <w:rStyle w:val="289"/>
          <w:bCs w:val="0"/>
          <w:color w:val="auto"/>
          <w:sz w:val="44"/>
          <w:szCs w:val="44"/>
        </w:rPr>
      </w:pPr>
      <w:r>
        <w:rPr>
          <w:rStyle w:val="289"/>
          <w:rFonts w:hint="eastAsia"/>
          <w:bCs w:val="0"/>
          <w:color w:val="auto"/>
          <w:sz w:val="44"/>
          <w:szCs w:val="44"/>
          <w:lang w:eastAsia="zh-CN"/>
        </w:rPr>
        <w:t>第五章</w:t>
      </w:r>
      <w:r>
        <w:rPr>
          <w:rStyle w:val="289"/>
          <w:rFonts w:hint="eastAsia"/>
          <w:bCs w:val="0"/>
          <w:color w:val="auto"/>
          <w:sz w:val="44"/>
          <w:szCs w:val="44"/>
          <w:lang w:val="en-US" w:eastAsia="zh-CN"/>
        </w:rPr>
        <w:t xml:space="preserve">  </w:t>
      </w:r>
      <w:r>
        <w:rPr>
          <w:rStyle w:val="289"/>
          <w:rFonts w:hint="eastAsia"/>
          <w:bCs w:val="0"/>
          <w:color w:val="auto"/>
          <w:sz w:val="44"/>
          <w:szCs w:val="44"/>
        </w:rPr>
        <w:t>采购需求及技术参数</w:t>
      </w:r>
    </w:p>
    <w:tbl>
      <w:tblPr>
        <w:tblStyle w:val="47"/>
        <w:tblW w:w="10872" w:type="dxa"/>
        <w:tblInd w:w="-7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744"/>
        <w:gridCol w:w="6612"/>
        <w:gridCol w:w="708"/>
        <w:gridCol w:w="720"/>
        <w:gridCol w:w="768"/>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配置</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单价（元）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台式电脑</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商用办公台式电脑1.CPU芯片:当前主流</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2.内存:8GB(含)以上;3.硬盘:</w:t>
            </w:r>
            <w:r>
              <w:rPr>
                <w:rFonts w:hint="eastAsia" w:ascii="宋体" w:hAnsi="宋体" w:cs="宋体"/>
                <w:i w:val="0"/>
                <w:iCs w:val="0"/>
                <w:color w:val="auto"/>
                <w:kern w:val="0"/>
                <w:sz w:val="22"/>
                <w:szCs w:val="22"/>
                <w:u w:val="none"/>
                <w:lang w:val="en-US" w:eastAsia="zh-CN" w:bidi="ar"/>
              </w:rPr>
              <w:t>512</w:t>
            </w:r>
            <w:r>
              <w:rPr>
                <w:rFonts w:hint="eastAsia" w:ascii="宋体" w:hAnsi="宋体" w:eastAsia="宋体" w:cs="宋体"/>
                <w:i w:val="0"/>
                <w:iCs w:val="0"/>
                <w:color w:val="auto"/>
                <w:kern w:val="0"/>
                <w:sz w:val="22"/>
                <w:szCs w:val="22"/>
                <w:u w:val="none"/>
                <w:lang w:val="en-US" w:eastAsia="zh-CN" w:bidi="ar"/>
              </w:rPr>
              <w:t>GB(含)以上</w:t>
            </w:r>
            <w:r>
              <w:rPr>
                <w:rFonts w:hint="eastAsia" w:ascii="宋体" w:hAnsi="宋体" w:cs="宋体"/>
                <w:i w:val="0"/>
                <w:iCs w:val="0"/>
                <w:color w:val="auto"/>
                <w:kern w:val="0"/>
                <w:sz w:val="22"/>
                <w:szCs w:val="22"/>
                <w:u w:val="none"/>
                <w:lang w:val="en-US" w:eastAsia="zh-CN" w:bidi="ar"/>
              </w:rPr>
              <w:t>机械盘</w:t>
            </w:r>
            <w:r>
              <w:rPr>
                <w:rFonts w:hint="eastAsia" w:ascii="宋体" w:hAnsi="宋体" w:eastAsia="宋体" w:cs="宋体"/>
                <w:i w:val="0"/>
                <w:iCs w:val="0"/>
                <w:color w:val="auto"/>
                <w:kern w:val="0"/>
                <w:sz w:val="22"/>
                <w:szCs w:val="22"/>
                <w:u w:val="none"/>
                <w:lang w:val="en-US" w:eastAsia="zh-CN" w:bidi="ar"/>
              </w:rPr>
              <w:t>,最大可扩展1TB HDD硬盘;4.显卡:集成显卡或独立显卡;5.接口:具有USB3.0接口 TyoeC接口 HDMI接口 VGA接口和网络接口</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6.显示器:分辨率1920x1080 刷新率60Hz(含)以上,尺寸20英寸以上;7.含鼠标 键盘等外设,正版操作系统</w:t>
            </w:r>
            <w:r>
              <w:rPr>
                <w:rFonts w:hint="eastAsia" w:ascii="宋体" w:hAnsi="宋体" w:cs="宋体"/>
                <w:i w:val="0"/>
                <w:iCs w:val="0"/>
                <w:color w:val="auto"/>
                <w:kern w:val="0"/>
                <w:sz w:val="22"/>
                <w:szCs w:val="22"/>
                <w:u w:val="none"/>
                <w:lang w:val="en-US" w:eastAsia="zh-CN" w:bidi="ar"/>
              </w:rPr>
              <w:t>；8.服务:提供3年整机质保 提供1年上门服务 7x24小时电话响应支持</w:t>
            </w:r>
          </w:p>
        </w:tc>
        <w:tc>
          <w:tcPr>
            <w:tcW w:w="7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笔记本电脑</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英特尔 i5-1135G7\内存：8GB\存储：512GB 固态\显卡：集显 Intel Iris Xe Graphics\接口:具有USB3.0接口 TyoeC接口 HDMI接口 VGA接口和网络接口，支持无线\显示器：14英寸\</w:t>
            </w:r>
            <w:r>
              <w:rPr>
                <w:rFonts w:hint="eastAsia" w:ascii="宋体" w:hAnsi="宋体" w:eastAsia="宋体" w:cs="宋体"/>
                <w:i w:val="0"/>
                <w:iCs w:val="0"/>
                <w:color w:val="auto"/>
                <w:kern w:val="0"/>
                <w:sz w:val="22"/>
                <w:szCs w:val="22"/>
                <w:highlight w:val="none"/>
                <w:u w:val="none"/>
                <w:lang w:val="en-US" w:eastAsia="zh-CN" w:bidi="ar"/>
              </w:rPr>
              <w:t>分辨率</w:t>
            </w:r>
            <w:r>
              <w:rPr>
                <w:rFonts w:hint="eastAsia" w:ascii="宋体" w:hAnsi="宋体" w:cs="宋体"/>
                <w:i w:val="0"/>
                <w:iCs w:val="0"/>
                <w:color w:val="auto"/>
                <w:kern w:val="0"/>
                <w:sz w:val="22"/>
                <w:szCs w:val="22"/>
                <w:highlight w:val="none"/>
                <w:u w:val="none"/>
                <w:lang w:val="en-US" w:eastAsia="zh-CN" w:bidi="ar"/>
              </w:rPr>
              <w:t>1920x1080</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u w:val="none"/>
                <w:lang w:val="en-US" w:eastAsia="zh-CN" w:bidi="ar"/>
              </w:rPr>
              <w:t>摄像头：720P高清摄像头，支持物理遮蔽\电源：电源容量56WH，续航时间11小时（含）以上；含正版操作系统\出厂预装WINDOWS 11 HOME 中文版操作系统\USB-Type C支持反向充电\支持WIFI6和蓝牙5.1\内置TPM2.0独立安全芯片，支持国密算法\满足13项军规测试\支持windows和安卓设备跨设备跨系统协同办公)\1*USB-C\1*USB 3.2\1*USB 2.0/1*HDMI/1*MINIRJ45/1*3.5mm音频/提供3年整机质保</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highlight w:val="none"/>
                <w:u w:val="none"/>
                <w:lang w:val="en-US" w:eastAsia="zh-CN" w:bidi="ar"/>
              </w:rPr>
              <w:t>提供1年上门服务 7x24小时电话响应支持</w:t>
            </w:r>
            <w:r>
              <w:rPr>
                <w:rFonts w:hint="eastAsia" w:ascii="宋体" w:hAnsi="宋体" w:eastAsia="宋体" w:cs="宋体"/>
                <w:i w:val="0"/>
                <w:iCs w:val="0"/>
                <w:color w:val="auto"/>
                <w:kern w:val="0"/>
                <w:sz w:val="22"/>
                <w:szCs w:val="22"/>
                <w:highlight w:val="none"/>
                <w:u w:val="none"/>
                <w:lang w:val="en-US" w:eastAsia="zh-CN" w:bidi="ar"/>
              </w:rPr>
              <w:t xml:space="preserve">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笔记本电脑</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1.CPU芯片:当前主流2.内存:8GB(含)以上;3.硬盘:</w:t>
            </w:r>
            <w:r>
              <w:rPr>
                <w:rFonts w:hint="eastAsia" w:ascii="宋体" w:hAnsi="宋体" w:cs="宋体"/>
                <w:i w:val="0"/>
                <w:iCs w:val="0"/>
                <w:color w:val="auto"/>
                <w:kern w:val="0"/>
                <w:sz w:val="22"/>
                <w:szCs w:val="22"/>
                <w:u w:val="none"/>
                <w:lang w:val="en-US" w:eastAsia="zh-CN" w:bidi="ar"/>
              </w:rPr>
              <w:t>512</w:t>
            </w:r>
            <w:r>
              <w:rPr>
                <w:rFonts w:hint="eastAsia" w:ascii="宋体" w:hAnsi="宋体" w:eastAsia="宋体" w:cs="宋体"/>
                <w:i w:val="0"/>
                <w:iCs w:val="0"/>
                <w:color w:val="auto"/>
                <w:kern w:val="0"/>
                <w:sz w:val="22"/>
                <w:szCs w:val="22"/>
                <w:u w:val="none"/>
                <w:lang w:val="en-US" w:eastAsia="zh-CN" w:bidi="ar"/>
              </w:rPr>
              <w:t>GB(含)以上</w:t>
            </w:r>
            <w:r>
              <w:rPr>
                <w:rFonts w:hint="eastAsia" w:ascii="宋体" w:hAnsi="宋体" w:cs="宋体"/>
                <w:i w:val="0"/>
                <w:iCs w:val="0"/>
                <w:color w:val="auto"/>
                <w:kern w:val="0"/>
                <w:sz w:val="22"/>
                <w:szCs w:val="22"/>
                <w:u w:val="none"/>
                <w:lang w:val="en-US" w:eastAsia="zh-CN" w:bidi="ar"/>
              </w:rPr>
              <w:t>固态硬盘</w:t>
            </w:r>
            <w:r>
              <w:rPr>
                <w:rFonts w:hint="eastAsia" w:ascii="宋体" w:hAnsi="宋体" w:eastAsia="宋体" w:cs="宋体"/>
                <w:i w:val="0"/>
                <w:iCs w:val="0"/>
                <w:color w:val="auto"/>
                <w:kern w:val="0"/>
                <w:sz w:val="22"/>
                <w:szCs w:val="22"/>
                <w:u w:val="none"/>
                <w:lang w:val="en-US" w:eastAsia="zh-CN" w:bidi="ar"/>
              </w:rPr>
              <w:t>,4.显卡:独立显卡;5.接口:具有USB3.0接口  HDMI接口 网络接口 支持无线6.显示器:14英寸LCD显示器  分辨率</w:t>
            </w:r>
            <w:r>
              <w:rPr>
                <w:rFonts w:hint="eastAsia" w:ascii="宋体" w:hAnsi="宋体" w:cs="宋体"/>
                <w:i w:val="0"/>
                <w:iCs w:val="0"/>
                <w:color w:val="auto"/>
                <w:kern w:val="0"/>
                <w:sz w:val="22"/>
                <w:szCs w:val="22"/>
                <w:u w:val="none"/>
                <w:lang w:val="en-US" w:eastAsia="zh-CN" w:bidi="ar"/>
              </w:rPr>
              <w:t>1920x1080</w:t>
            </w:r>
            <w:r>
              <w:rPr>
                <w:rFonts w:hint="eastAsia" w:ascii="宋体" w:hAnsi="宋体" w:eastAsia="宋体" w:cs="宋体"/>
                <w:i w:val="0"/>
                <w:iCs w:val="0"/>
                <w:color w:val="auto"/>
                <w:kern w:val="0"/>
                <w:sz w:val="22"/>
                <w:szCs w:val="22"/>
                <w:u w:val="none"/>
                <w:lang w:val="en-US" w:eastAsia="zh-CN" w:bidi="ar"/>
              </w:rPr>
              <w:t>7.电源:电池容量56Wh 续航时间11小时(含)以上 正版操作系统8.服务:提供3年整机质保 提供1年上门服务 7x24小时电话</w:t>
            </w:r>
            <w:r>
              <w:rPr>
                <w:rFonts w:hint="eastAsia" w:ascii="宋体" w:hAnsi="宋体" w:cs="宋体"/>
                <w:i w:val="0"/>
                <w:iCs w:val="0"/>
                <w:color w:val="auto"/>
                <w:kern w:val="0"/>
                <w:sz w:val="22"/>
                <w:szCs w:val="22"/>
                <w:u w:val="none"/>
                <w:lang w:val="en-US" w:eastAsia="zh-CN" w:bidi="ar"/>
              </w:rPr>
              <w:t>响应</w:t>
            </w:r>
            <w:r>
              <w:rPr>
                <w:rFonts w:hint="eastAsia" w:ascii="宋体" w:hAnsi="宋体" w:eastAsia="宋体" w:cs="宋体"/>
                <w:i w:val="0"/>
                <w:iCs w:val="0"/>
                <w:color w:val="auto"/>
                <w:kern w:val="0"/>
                <w:sz w:val="22"/>
                <w:szCs w:val="22"/>
                <w:u w:val="none"/>
                <w:lang w:val="en-US" w:eastAsia="zh-CN" w:bidi="ar"/>
              </w:rPr>
              <w:t>支持</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A3彩色多功能打印扫描一体机</w:t>
            </w:r>
          </w:p>
        </w:tc>
        <w:tc>
          <w:tcPr>
            <w:tcW w:w="66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彩色安全多功能复合机：A3彩色网络PS打印/彩色复印/彩色网络扫描(含网卡）多功能一体机，标配：双面输稿器、双面器，CPU：双核1.6Ghz处理器。黑彩同速22张/每分钟，3G内存，2个500页大容量可拆卸纸盒，100页旁路送纸系统。7英寸彩色液晶触摸屏定制logo图片及动画；连续复印1-9999页,内置载体自动优化系统显影60万寿命.1000Best-T以太网，配备原装工作台，可推行移动，扫描的电子文档数据，发送至电子邮件、SMB、FTP、WebDAV.过纸厚度60-256克，一键身份证复印功能。红头文件专色，USB打印/扫描，智能无线移动打印,良好的系统稳定性：可输出A3至A5、B6、A6及长纸，满足各类用户所需,打印语言:PCL5e/c仿真、PCL6（XL版本3.0）、PostScript3（3016 ）仿真, XPS版本1.0,安全功能。DS印量管理系统、底纹安全，复印保护，用户认证，加密pdf。</w:t>
            </w:r>
            <w:r>
              <w:rPr>
                <w:rFonts w:hint="eastAsia" w:ascii="宋体" w:hAnsi="宋体" w:eastAsia="宋体" w:cs="宋体"/>
                <w:i w:val="0"/>
                <w:iCs w:val="0"/>
                <w:color w:val="auto"/>
                <w:kern w:val="0"/>
                <w:sz w:val="22"/>
                <w:szCs w:val="22"/>
                <w:u w:val="none"/>
                <w:lang w:val="en-US" w:eastAsia="zh-CN" w:bidi="ar"/>
              </w:rPr>
              <w:t>具备</w:t>
            </w:r>
            <w:r>
              <w:rPr>
                <w:rFonts w:hint="eastAsia" w:ascii="宋体" w:hAnsi="宋体" w:cs="宋体"/>
                <w:i w:val="0"/>
                <w:iCs w:val="0"/>
                <w:color w:val="auto"/>
                <w:kern w:val="0"/>
                <w:sz w:val="22"/>
                <w:szCs w:val="22"/>
                <w:u w:val="none"/>
                <w:lang w:val="en-US" w:eastAsia="zh-CN" w:bidi="ar"/>
              </w:rPr>
              <w:t>文字</w:t>
            </w:r>
            <w:r>
              <w:rPr>
                <w:rFonts w:hint="eastAsia" w:ascii="宋体" w:hAnsi="宋体" w:eastAsia="宋体" w:cs="宋体"/>
                <w:i w:val="0"/>
                <w:iCs w:val="0"/>
                <w:color w:val="auto"/>
                <w:kern w:val="0"/>
                <w:sz w:val="22"/>
                <w:szCs w:val="22"/>
                <w:u w:val="none"/>
                <w:lang w:val="en-US" w:eastAsia="zh-CN" w:bidi="ar"/>
              </w:rPr>
              <w:t>文档打印 图片打印 份数设置 范围设置 页边距设置 缩放打印设置 打印队列管理等基本功能 支持彩色/黑白扫描,彩色/黑白打印 彩色/黑白复印 自动双面打印 网络打印 平板稿台及自动进纸器扫描/复印;</w:t>
            </w:r>
            <w:r>
              <w:rPr>
                <w:rFonts w:hint="eastAsia" w:ascii="宋体" w:hAnsi="宋体" w:eastAsia="宋体" w:cs="宋体"/>
                <w:i w:val="0"/>
                <w:iCs w:val="0"/>
                <w:color w:val="auto"/>
                <w:kern w:val="0"/>
                <w:sz w:val="22"/>
                <w:szCs w:val="22"/>
                <w:u w:val="none"/>
                <w:lang w:val="en-US" w:eastAsia="zh-CN" w:bidi="ar"/>
              </w:rPr>
              <w:t>需支持Linux系统，UOS统信桌面操作系统V20系统：银河麒麟桌面操作系统：飞腾版、鲲鹏版、龙芯版、兆芯版、海光版等。耗材鼓粉分离，单鼓架及长寿命显影寿命60万,硒鼓8万，碳粉四色cmyk。需提供原厂项目授权及售后服务承诺函，以保障售后无忧，整机原厂质保服务认证及售后服务体系</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符合GB/T17540-2017&lt;台式激光打印机通用规范&gt;GB/T28166-2011&lt;馈纸式扫描仪通用规范&gt;\GB/T18788-2008&lt;平板式扫描仪通用规范&gt;和基础通用打印机产品 扫描仪测试规范要求。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0"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7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A3彩色多功能打印扫描一体机</w:t>
            </w:r>
          </w:p>
        </w:tc>
        <w:tc>
          <w:tcPr>
            <w:tcW w:w="66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彩色安全多功能复合机：A3彩色网络PS打印/彩色复印/彩色网络扫描(含网卡）多功能一体机，标配：双面输稿器、双面器，CPU：四核1.6Ghz处理器。全中文10.1英寸液晶触摸电容屏可以直接上网浏览网页。黑彩同速30张/每分钟，8G内存，256G固态硬盘，纸张容量标配：2个500页大容量可拆卸纸盒，150页旁路送纸系统，最大最大3600页纸张，过纸厚度52-300克，支持1.2米横幅打印。连续复印1-9999页,打印分辨率：1200DPI*1200高品质输出。可满足A3满幅输出320MM*450mm 297MM*1200mm长纸打印及扫描内置载体自动优化系统显影60万寿命.1000Best-T以太网，扫描的电子文档数据，发送至电子邮件、SMB、FTP、WebDAV.USB打印/扫描，智能无线移动打印,良好的系统稳定性：可输出A3至A5、B6、A6及长纸，满足各类用户所需,打印语言:标配PCL6、PostScript 3仿真、XPS多种打印语言XPS版本1.0,安全功能，DS印量管理系统、底纹安全，复印保护，用户认证，加密pdf。</w:t>
            </w:r>
            <w:r>
              <w:rPr>
                <w:rFonts w:hint="eastAsia" w:ascii="宋体" w:hAnsi="宋体" w:eastAsia="宋体" w:cs="宋体"/>
                <w:i w:val="0"/>
                <w:iCs w:val="0"/>
                <w:color w:val="auto"/>
                <w:kern w:val="0"/>
                <w:sz w:val="22"/>
                <w:szCs w:val="22"/>
                <w:u w:val="none"/>
                <w:lang w:val="en-US" w:eastAsia="zh-CN" w:bidi="ar"/>
              </w:rPr>
              <w:t>具备</w:t>
            </w:r>
            <w:r>
              <w:rPr>
                <w:rFonts w:hint="eastAsia" w:ascii="宋体" w:hAnsi="宋体" w:cs="宋体"/>
                <w:i w:val="0"/>
                <w:iCs w:val="0"/>
                <w:color w:val="auto"/>
                <w:kern w:val="0"/>
                <w:sz w:val="22"/>
                <w:szCs w:val="22"/>
                <w:u w:val="none"/>
                <w:lang w:val="en-US" w:eastAsia="zh-CN" w:bidi="ar"/>
              </w:rPr>
              <w:t>文字</w:t>
            </w:r>
            <w:r>
              <w:rPr>
                <w:rFonts w:hint="eastAsia" w:ascii="宋体" w:hAnsi="宋体" w:eastAsia="宋体" w:cs="宋体"/>
                <w:i w:val="0"/>
                <w:iCs w:val="0"/>
                <w:color w:val="auto"/>
                <w:kern w:val="0"/>
                <w:sz w:val="22"/>
                <w:szCs w:val="22"/>
                <w:u w:val="none"/>
                <w:lang w:val="en-US" w:eastAsia="zh-CN" w:bidi="ar"/>
              </w:rPr>
              <w:t>文档打印 图片打印 份数设置 范围设置 页边距设置 缩放打印设置 打印队列管理等基本功能 支持彩色/黑白扫描,彩色/黑白打印 彩色/黑白复印 自动双面打印 网络打印 平板稿台及自动进纸器扫描/复印;</w:t>
            </w:r>
            <w:r>
              <w:rPr>
                <w:rFonts w:hint="eastAsia" w:ascii="宋体" w:hAnsi="宋体" w:eastAsia="宋体" w:cs="宋体"/>
                <w:i w:val="0"/>
                <w:iCs w:val="0"/>
                <w:color w:val="auto"/>
                <w:kern w:val="0"/>
                <w:sz w:val="22"/>
                <w:szCs w:val="22"/>
                <w:u w:val="none"/>
                <w:lang w:val="en-US" w:eastAsia="zh-CN" w:bidi="ar"/>
              </w:rPr>
              <w:t>支持微信支付系统。需支持双系统及UOS统信桌面操作系统V20系统：银河麒麟桌面操作系统：飞腾版、鲲鹏版、龙芯版、兆芯版、海光版等。耗材鼓粉分离，显影寿命60万,硒鼓寿命：23/11万张，碳粉四色cmyk。扩充升级功能可选购；装订单元，认证单元，服务器单元。需提供原厂项目授权及原厂售后服务承诺函，以保障售后无忧，整机原厂质保服务认证及售后服务体系</w:t>
            </w:r>
            <w:r>
              <w:rPr>
                <w:rFonts w:hint="eastAsia" w:ascii="宋体" w:hAnsi="宋体" w:cs="宋体"/>
                <w:i w:val="0"/>
                <w:iCs w:val="0"/>
                <w:color w:val="auto"/>
                <w:kern w:val="0"/>
                <w:sz w:val="22"/>
                <w:szCs w:val="22"/>
                <w:u w:val="none"/>
                <w:lang w:val="en-US" w:eastAsia="zh-CN" w:bidi="ar"/>
              </w:rPr>
              <w:t>。符合GB/T17540-2017&lt;台式激光打印机通用规范&gt;</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GB/T28166-2011&lt;馈纸式扫描仪通用规范&gt;\GB/T18788-2008&lt;平板式扫描仪通用规范&gt;和基础通用打印机产品 扫描仪测试规范要求。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8"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打印复印传真一体机</w:t>
            </w:r>
          </w:p>
        </w:tc>
        <w:tc>
          <w:tcPr>
            <w:tcW w:w="66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产品定位 多功能商用一体机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产品类型黑白激光多功能一体机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涵盖功能 打印/复印/扫描/传真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最大处理幅面 A4传真控制器 标准配置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调制解调器速度 33.6kbps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PC-FAX PC-FAX发送和接收双向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传真内存 400页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电话手柄 标配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打印机（双面）</w:t>
            </w:r>
          </w:p>
        </w:tc>
        <w:tc>
          <w:tcPr>
            <w:tcW w:w="66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产品类型 黑白激光打印机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最大打印幅面 A4</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最高分辨率 HQ1200，600×600dpi</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黑白打印速度 30ppm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处理器 266MHz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内存 标配：32MB，最大：32MB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双面打印 </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自动纠错</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3"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扫描仪</w:t>
            </w:r>
          </w:p>
        </w:tc>
        <w:tc>
          <w:tcPr>
            <w:tcW w:w="66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产品类型 馈纸式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最大幅面 A4</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扫描元件 CIS×2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光学分辨率 1200dpi</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扫描范围 平台反射稿：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最大：216×508mm，最小：13.2×13.2mm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ADF：最大：216×5080mm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扫描介质 纸张，证件，票据，书本，杂志，相片等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扫描速度 30ppm/60ipm（灰阶/黑白模式，200dpi，A4纵向）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接口类型 USB2.0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录音笔</w:t>
            </w:r>
          </w:p>
        </w:tc>
        <w:tc>
          <w:tcPr>
            <w:tcW w:w="66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存储容量 16GB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录音时间 9小时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录音功能 录音格式：WAV，OPUS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屏幕类型 2.0英寸显示屏，分辨率240*320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内置功能 扬声器，麦克风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传输接口 Type-C，支持转接线纠错电池类型 聚合物锂电池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外形尺寸 117.5*46*15mm产品重量 99.6g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其他性能 WiFi：802.11b/g/n，2.4GHZBT：4.2处理器：四核处理器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移动硬盘</w:t>
            </w:r>
          </w:p>
        </w:tc>
        <w:tc>
          <w:tcPr>
            <w:tcW w:w="66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存储容量</w:t>
            </w:r>
            <w:r>
              <w:rPr>
                <w:rFonts w:hint="eastAsia" w:ascii="宋体" w:hAnsi="宋体" w:eastAsia="宋体" w:cs="宋体"/>
                <w:i w:val="0"/>
                <w:iCs w:val="0"/>
                <w:color w:val="auto"/>
                <w:kern w:val="0"/>
                <w:sz w:val="22"/>
                <w:szCs w:val="22"/>
                <w:u w:val="none"/>
                <w:lang w:val="en-US" w:eastAsia="zh-CN" w:bidi="ar"/>
              </w:rPr>
              <w:tab/>
            </w:r>
            <w:r>
              <w:rPr>
                <w:rFonts w:hint="eastAsia" w:ascii="宋体" w:hAnsi="宋体" w:eastAsia="宋体" w:cs="宋体"/>
                <w:i w:val="0"/>
                <w:iCs w:val="0"/>
                <w:color w:val="auto"/>
                <w:kern w:val="0"/>
                <w:sz w:val="22"/>
                <w:szCs w:val="22"/>
                <w:u w:val="none"/>
                <w:lang w:val="en-US" w:eastAsia="zh-CN" w:bidi="ar"/>
              </w:rPr>
              <w:t>2TB</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硬盘尺寸</w:t>
            </w:r>
            <w:r>
              <w:rPr>
                <w:rFonts w:hint="eastAsia" w:ascii="宋体" w:hAnsi="宋体" w:eastAsia="宋体" w:cs="宋体"/>
                <w:i w:val="0"/>
                <w:iCs w:val="0"/>
                <w:color w:val="auto"/>
                <w:kern w:val="0"/>
                <w:sz w:val="22"/>
                <w:szCs w:val="22"/>
                <w:u w:val="none"/>
                <w:lang w:val="en-US" w:eastAsia="zh-CN" w:bidi="ar"/>
              </w:rPr>
              <w:tab/>
            </w:r>
            <w:r>
              <w:rPr>
                <w:rFonts w:hint="eastAsia" w:ascii="宋体" w:hAnsi="宋体" w:eastAsia="宋体" w:cs="宋体"/>
                <w:i w:val="0"/>
                <w:iCs w:val="0"/>
                <w:color w:val="auto"/>
                <w:kern w:val="0"/>
                <w:sz w:val="22"/>
                <w:szCs w:val="22"/>
                <w:u w:val="none"/>
                <w:lang w:val="en-US" w:eastAsia="zh-CN" w:bidi="ar"/>
              </w:rPr>
              <w:t>2.5英寸硬盘</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接口类型</w:t>
            </w:r>
            <w:r>
              <w:rPr>
                <w:rFonts w:hint="eastAsia" w:ascii="宋体" w:hAnsi="宋体" w:eastAsia="宋体" w:cs="宋体"/>
                <w:i w:val="0"/>
                <w:iCs w:val="0"/>
                <w:color w:val="auto"/>
                <w:kern w:val="0"/>
                <w:sz w:val="22"/>
                <w:szCs w:val="22"/>
                <w:u w:val="none"/>
                <w:lang w:val="en-US" w:eastAsia="zh-CN" w:bidi="ar"/>
              </w:rPr>
              <w:tab/>
            </w:r>
            <w:r>
              <w:rPr>
                <w:rFonts w:hint="eastAsia" w:ascii="宋体" w:hAnsi="宋体" w:eastAsia="宋体" w:cs="宋体"/>
                <w:i w:val="0"/>
                <w:iCs w:val="0"/>
                <w:color w:val="auto"/>
                <w:kern w:val="0"/>
                <w:sz w:val="22"/>
                <w:szCs w:val="22"/>
                <w:u w:val="none"/>
                <w:lang w:val="en-US" w:eastAsia="zh-CN" w:bidi="ar"/>
              </w:rPr>
              <w:t>USB3.0</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外形设计</w:t>
            </w:r>
            <w:r>
              <w:rPr>
                <w:rFonts w:hint="eastAsia" w:ascii="宋体" w:hAnsi="宋体" w:eastAsia="宋体" w:cs="宋体"/>
                <w:i w:val="0"/>
                <w:iCs w:val="0"/>
                <w:color w:val="auto"/>
                <w:kern w:val="0"/>
                <w:sz w:val="22"/>
                <w:szCs w:val="22"/>
                <w:u w:val="none"/>
                <w:lang w:val="en-US" w:eastAsia="zh-CN" w:bidi="ar"/>
              </w:rPr>
              <w:tab/>
            </w:r>
            <w:r>
              <w:rPr>
                <w:rFonts w:hint="eastAsia" w:ascii="宋体" w:hAnsi="宋体" w:eastAsia="宋体" w:cs="宋体"/>
                <w:i w:val="0"/>
                <w:iCs w:val="0"/>
                <w:color w:val="auto"/>
                <w:kern w:val="0"/>
                <w:sz w:val="22"/>
                <w:szCs w:val="22"/>
                <w:u w:val="none"/>
                <w:lang w:val="en-US" w:eastAsia="zh-CN" w:bidi="ar"/>
              </w:rPr>
              <w:t>颜色：黑色</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有指示灯</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其他特点</w:t>
            </w:r>
            <w:r>
              <w:rPr>
                <w:rFonts w:hint="eastAsia" w:ascii="宋体" w:hAnsi="宋体" w:eastAsia="宋体" w:cs="宋体"/>
                <w:i w:val="0"/>
                <w:iCs w:val="0"/>
                <w:color w:val="auto"/>
                <w:kern w:val="0"/>
                <w:sz w:val="22"/>
                <w:szCs w:val="22"/>
                <w:u w:val="none"/>
                <w:lang w:val="en-US" w:eastAsia="zh-CN" w:bidi="ar"/>
              </w:rPr>
              <w:tab/>
            </w:r>
            <w:r>
              <w:rPr>
                <w:rFonts w:hint="eastAsia" w:ascii="宋体" w:hAnsi="宋体" w:eastAsia="宋体" w:cs="宋体"/>
                <w:i w:val="0"/>
                <w:iCs w:val="0"/>
                <w:color w:val="auto"/>
                <w:kern w:val="0"/>
                <w:sz w:val="22"/>
                <w:szCs w:val="22"/>
                <w:u w:val="none"/>
                <w:lang w:val="en-US" w:eastAsia="zh-CN" w:bidi="ar"/>
              </w:rPr>
              <w:t>即插即用</w:t>
            </w:r>
          </w:p>
          <w:p>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系统要求</w:t>
            </w:r>
            <w:r>
              <w:rPr>
                <w:rFonts w:hint="eastAsia" w:ascii="宋体" w:hAnsi="宋体" w:eastAsia="宋体" w:cs="宋体"/>
                <w:i w:val="0"/>
                <w:iCs w:val="0"/>
                <w:color w:val="auto"/>
                <w:kern w:val="0"/>
                <w:sz w:val="22"/>
                <w:szCs w:val="22"/>
                <w:u w:val="none"/>
                <w:lang w:val="en-US" w:eastAsia="zh-CN" w:bidi="ar"/>
              </w:rPr>
              <w:tab/>
            </w:r>
            <w:r>
              <w:rPr>
                <w:rFonts w:hint="eastAsia" w:ascii="宋体" w:hAnsi="宋体" w:eastAsia="宋体" w:cs="宋体"/>
                <w:i w:val="0"/>
                <w:iCs w:val="0"/>
                <w:color w:val="auto"/>
                <w:kern w:val="0"/>
                <w:sz w:val="22"/>
                <w:szCs w:val="22"/>
                <w:u w:val="none"/>
                <w:lang w:val="en-US" w:eastAsia="zh-CN" w:bidi="ar"/>
              </w:rPr>
              <w:t>Win10；Win7；Win8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2"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碎纸机</w:t>
            </w:r>
          </w:p>
        </w:tc>
        <w:tc>
          <w:tcPr>
            <w:tcW w:w="66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碎纸方式 段状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碎纸能力 8张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碎纸速度 2m/min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碎纸宽度 2*12mm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碎纸箱容积 50L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连续碎纸时间 10min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产品尺寸 350*255*535mm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产品重量 8.9kg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工作噪音 ≤58dB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其它特性 自动断电，过载保护，过热保护，可碎CD</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机类型: 电动碎纸机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摄像机</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 xml:space="preserve">产品类型 </w:t>
            </w:r>
            <w:r>
              <w:rPr>
                <w:rFonts w:hint="eastAsia"/>
                <w:color w:val="auto"/>
                <w:lang w:val="en-US" w:eastAsia="zh-CN"/>
              </w:rPr>
              <w:br w:type="textWrapping"/>
            </w:r>
            <w:r>
              <w:rPr>
                <w:rFonts w:hint="eastAsia"/>
                <w:color w:val="auto"/>
                <w:lang w:val="en-US" w:eastAsia="zh-CN"/>
              </w:rPr>
              <w:t xml:space="preserve">高清摄像机,闪存摄像机总像素 659万像素动态有效像素 614万像素(16:9)光学变焦 12倍数码变焦倍数 160倍传感器类型 CMOS传感器,Exmor R CMOS传感器尺寸 1/3.95英寸影像处理器Bionz静态图像分辨率 [16:9]6592×3712,4672×2632,1920×1080[4:3]4960×3712,3504×2632,640×480拍照功能描述 静态图像格式:JPEG(DCF Ver.2.0兼容,Exif Ver.2.3 兼容,MPF基线兼容)镜头参数 镜头描述 索尼G镜头焦距范围 f=2.9-34.8mm; 等效焦距:(16:9):26.8-321.6mm,(4:3):32.8-393.6mm摄影范围 1cm-无限远(广角端),80cm-无限远(长焦端)光圈范围 F1.8-F3.4防抖功能 支持光学防抖功能,(增强模式)视频拍摄 视频格式 AVCHD ver.2.0 兼容:MPEG4-AVC/H.264; MP4:MPEG-4 AVC/H.264高清规格 1080p 1920×1080分辨率 </w:t>
            </w:r>
            <w:r>
              <w:rPr>
                <w:rFonts w:hint="eastAsia"/>
                <w:color w:val="auto"/>
                <w:lang w:val="en-US" w:eastAsia="zh-CN"/>
              </w:rPr>
              <w:br w:type="textWrapping"/>
            </w:r>
            <w:r>
              <w:rPr>
                <w:rFonts w:hint="eastAsia"/>
                <w:color w:val="auto"/>
                <w:lang w:val="en-US" w:eastAsia="zh-CN"/>
              </w:rPr>
              <w:t xml:space="preserve">HD模式:1920×1080/50p(PS),25p(FX,FH),24p(FX,FH),50i(FX,FH),1440×1080/50i(HQ,LP); MP4模式:1280×720 25p曝光控制 快门 自动电子快门,速度:1/6-1/10000秒,标准快门速度:1/50-1/10000秒对焦方式 手动对焦,自动对焦场景模式 自动,夜景,日出和日落,烟花,风景,肖像,聚光灯,海滩,雪景白平衡 自动,一键式,户外,室内屏幕参数 LCD液晶屏 3.0英寸显示屏像素92万像素屏幕特性 触摸屏,翻转屏,翻转角度:约270度取景器 彩色取景器 </w:t>
            </w:r>
          </w:p>
          <w:p>
            <w:pPr>
              <w:pStyle w:val="2"/>
              <w:jc w:val="left"/>
              <w:rPr>
                <w:rFonts w:hint="eastAsia"/>
                <w:color w:val="auto"/>
                <w:lang w:val="en-US" w:eastAsia="zh-CN"/>
              </w:rPr>
            </w:pPr>
            <w:r>
              <w:rPr>
                <w:rFonts w:hint="eastAsia"/>
                <w:color w:val="auto"/>
                <w:lang w:val="en-US" w:eastAsia="zh-CN"/>
              </w:rPr>
              <w:t>存储容量：128GB/可重复充电电池(V系列)</w:t>
            </w:r>
          </w:p>
          <w:p>
            <w:pPr>
              <w:keepNext w:val="0"/>
              <w:keepLines w:val="0"/>
              <w:widowControl/>
              <w:suppressLineNumbers w:val="0"/>
              <w:jc w:val="left"/>
              <w:textAlignment w:val="center"/>
              <w:rPr>
                <w:rFonts w:hint="default"/>
                <w:color w:val="auto"/>
                <w:lang w:val="en-US"/>
              </w:rPr>
            </w:pPr>
            <w:r>
              <w:rPr>
                <w:rFonts w:hint="eastAsia"/>
                <w:color w:val="auto"/>
                <w:lang w:val="en-US" w:eastAsia="zh-CN"/>
              </w:rPr>
              <w:t>附件包含：摄像机包、128G存储卡、适配器、三角架、电池充电器、一块电池、HDMI视频传输线一根、多媒体连接线</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5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照相机</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相机类型 单反数码相机相机画幅 APS画幅相机有效像素 2420万像素光学变焦倍数 视镜头而定操作模式 带全手动功能传感器类型 CMOS传感器传感器尺寸 22.3×14.9mm传感器描述 长比:3:2,4:3,16:9,1:1; 除尘功能:自动,手动,除尘数据追加影像处理系统 DIGIC 6最大分辨率 6000×4000照片分辨率 L(大):2400万像素(6000×4000)M(中):约1060万像素(3984×2656)S1(小1):约590万像素(2976×1984)S2(小2):约250万像素(1920×1280)S3(小3):约35万像素(720×480)RAW:2400万像素(6000×4000)M-RAW:1350万像素(4500×3000)S-RAW:600万像素(3000×2000)</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 xml:space="preserve">镜头参数 </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镜头类型</w:t>
            </w:r>
            <w:r>
              <w:rPr>
                <w:rFonts w:hint="eastAsia"/>
                <w:color w:val="auto"/>
                <w:lang w:val="en-US" w:eastAsia="zh-CN"/>
              </w:rPr>
              <w:tab/>
            </w:r>
            <w:r>
              <w:rPr>
                <w:rFonts w:hint="eastAsia"/>
                <w:color w:val="auto"/>
                <w:lang w:val="en-US" w:eastAsia="zh-CN"/>
              </w:rPr>
              <w:t>可更换镜头</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镜头画幅</w:t>
            </w:r>
            <w:r>
              <w:rPr>
                <w:rFonts w:hint="eastAsia"/>
                <w:color w:val="auto"/>
                <w:lang w:val="en-US" w:eastAsia="zh-CN"/>
              </w:rPr>
              <w:tab/>
            </w:r>
            <w:r>
              <w:rPr>
                <w:rFonts w:hint="eastAsia"/>
                <w:color w:val="auto"/>
                <w:lang w:val="en-US" w:eastAsia="zh-CN"/>
              </w:rPr>
              <w:t>APS画幅镜头</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镜头分类</w:t>
            </w:r>
            <w:r>
              <w:rPr>
                <w:rFonts w:hint="eastAsia"/>
                <w:color w:val="auto"/>
                <w:lang w:val="en-US" w:eastAsia="zh-CN"/>
              </w:rPr>
              <w:tab/>
            </w:r>
            <w:r>
              <w:rPr>
                <w:rFonts w:hint="eastAsia"/>
                <w:color w:val="auto"/>
                <w:lang w:val="en-US" w:eastAsia="zh-CN"/>
              </w:rPr>
              <w:t>单反镜头</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镜头用途</w:t>
            </w:r>
            <w:r>
              <w:rPr>
                <w:rFonts w:hint="eastAsia"/>
                <w:color w:val="auto"/>
                <w:lang w:val="en-US" w:eastAsia="zh-CN"/>
              </w:rPr>
              <w:tab/>
            </w:r>
            <w:r>
              <w:rPr>
                <w:rFonts w:hint="eastAsia"/>
                <w:color w:val="auto"/>
                <w:lang w:val="en-US" w:eastAsia="zh-CN"/>
              </w:rPr>
              <w:t>标准镜头</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镜头类型</w:t>
            </w:r>
            <w:r>
              <w:rPr>
                <w:rFonts w:hint="eastAsia"/>
                <w:color w:val="auto"/>
                <w:lang w:val="en-US" w:eastAsia="zh-CN"/>
              </w:rPr>
              <w:tab/>
            </w:r>
            <w:r>
              <w:rPr>
                <w:rFonts w:hint="eastAsia"/>
                <w:color w:val="auto"/>
                <w:lang w:val="en-US" w:eastAsia="zh-CN"/>
              </w:rPr>
              <w:t>变焦</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镜头结构</w:t>
            </w:r>
            <w:r>
              <w:rPr>
                <w:rFonts w:hint="eastAsia"/>
                <w:color w:val="auto"/>
                <w:lang w:val="en-US" w:eastAsia="zh-CN"/>
              </w:rPr>
              <w:tab/>
            </w:r>
            <w:r>
              <w:rPr>
                <w:rFonts w:hint="eastAsia"/>
                <w:color w:val="auto"/>
                <w:lang w:val="en-US" w:eastAsia="zh-CN"/>
              </w:rPr>
              <w:t>12组16片</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镜头卡口</w:t>
            </w:r>
            <w:r>
              <w:rPr>
                <w:rFonts w:hint="eastAsia"/>
                <w:color w:val="auto"/>
                <w:lang w:val="en-US" w:eastAsia="zh-CN"/>
              </w:rPr>
              <w:tab/>
            </w:r>
            <w:r>
              <w:rPr>
                <w:rFonts w:hint="eastAsia"/>
                <w:color w:val="auto"/>
                <w:lang w:val="en-US" w:eastAsia="zh-CN"/>
              </w:rPr>
              <w:t>EF-S卡口</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变焦方式</w:t>
            </w:r>
            <w:r>
              <w:rPr>
                <w:rFonts w:hint="eastAsia"/>
                <w:color w:val="auto"/>
                <w:lang w:val="en-US" w:eastAsia="zh-CN"/>
              </w:rPr>
              <w:tab/>
            </w:r>
            <w:r>
              <w:rPr>
                <w:rFonts w:hint="eastAsia"/>
                <w:color w:val="auto"/>
                <w:lang w:val="en-US" w:eastAsia="zh-CN"/>
              </w:rPr>
              <w:t>伸缩式镜头</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滤镜尺寸</w:t>
            </w:r>
            <w:r>
              <w:rPr>
                <w:rFonts w:hint="eastAsia"/>
                <w:color w:val="auto"/>
                <w:lang w:val="en-US" w:eastAsia="zh-CN"/>
              </w:rPr>
              <w:tab/>
            </w:r>
            <w:r>
              <w:rPr>
                <w:rFonts w:hint="eastAsia"/>
                <w:color w:val="auto"/>
                <w:lang w:val="en-US" w:eastAsia="zh-CN"/>
              </w:rPr>
              <w:t>67mm</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含遮光罩</w:t>
            </w:r>
            <w:r>
              <w:rPr>
                <w:rFonts w:hint="eastAsia"/>
                <w:color w:val="auto"/>
                <w:lang w:val="en-US" w:eastAsia="zh-CN"/>
              </w:rPr>
              <w:tab/>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附件及电池参数</w:t>
            </w:r>
          </w:p>
          <w:p>
            <w:pPr>
              <w:pStyle w:val="2"/>
              <w:jc w:val="left"/>
              <w:rPr>
                <w:rFonts w:hint="eastAsia"/>
                <w:color w:val="auto"/>
                <w:lang w:val="en-US" w:eastAsia="zh-CN"/>
              </w:rPr>
            </w:pPr>
            <w:r>
              <w:rPr>
                <w:rFonts w:hint="eastAsia"/>
                <w:color w:val="auto"/>
                <w:lang w:val="en-US" w:eastAsia="zh-CN"/>
              </w:rPr>
              <w:t>电池：专用可充电锂电池,电池LP-E6N或LP-E6</w:t>
            </w:r>
          </w:p>
          <w:p>
            <w:pPr>
              <w:jc w:val="left"/>
              <w:rPr>
                <w:rFonts w:hint="default"/>
                <w:color w:val="auto"/>
                <w:lang w:val="en-US" w:eastAsia="zh-CN"/>
              </w:rPr>
            </w:pPr>
            <w:r>
              <w:rPr>
                <w:rFonts w:hint="eastAsia"/>
                <w:color w:val="auto"/>
                <w:lang w:val="en-US" w:eastAsia="zh-CN"/>
              </w:rPr>
              <w:t>附件包含：主机、镜头、照相机包、128G SD内存卡、三脚架、充电器、电池独立座式充电器、HDMI视频传输线、多媒体连接线</w:t>
            </w:r>
          </w:p>
          <w:p>
            <w:pPr>
              <w:pStyle w:val="2"/>
              <w:jc w:val="left"/>
              <w:rPr>
                <w:rFonts w:hint="default"/>
                <w:color w:val="auto"/>
                <w:lang w:val="en-US"/>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bl>
    <w:p>
      <w:pPr>
        <w:spacing w:line="360" w:lineRule="auto"/>
        <w:rPr>
          <w:rStyle w:val="280"/>
          <w:rFonts w:hint="default" w:ascii="宋体" w:hAnsi="宋体" w:eastAsia="宋体" w:cs="宋体"/>
          <w:b/>
          <w:bCs/>
          <w:color w:val="auto"/>
          <w:sz w:val="24"/>
          <w:szCs w:val="24"/>
          <w:lang w:val="en-US" w:eastAsia="zh-CN"/>
        </w:rPr>
      </w:pPr>
      <w:r>
        <w:rPr>
          <w:rFonts w:hint="eastAsia" w:ascii="宋体" w:hAnsi="宋体"/>
          <w:b/>
          <w:color w:val="auto"/>
          <w:sz w:val="24"/>
          <w:lang w:eastAsia="zh-CN"/>
        </w:rPr>
        <w:t>注</w:t>
      </w:r>
      <w:r>
        <w:rPr>
          <w:rFonts w:hint="eastAsia" w:ascii="宋体" w:hAnsi="宋体"/>
          <w:b/>
          <w:color w:val="auto"/>
          <w:sz w:val="24"/>
        </w:rPr>
        <w:t>.</w:t>
      </w:r>
      <w:r>
        <w:rPr>
          <w:rFonts w:hint="eastAsia" w:ascii="宋体" w:hAnsi="宋体"/>
          <w:b/>
          <w:bCs/>
          <w:color w:val="auto"/>
          <w:sz w:val="24"/>
          <w:lang w:val="en-US" w:eastAsia="zh-CN"/>
        </w:rPr>
        <w:t>1.</w:t>
      </w:r>
      <w:r>
        <w:rPr>
          <w:rFonts w:hint="eastAsia" w:ascii="宋体" w:hAnsi="宋体"/>
          <w:b/>
          <w:bCs/>
          <w:color w:val="auto"/>
          <w:sz w:val="24"/>
        </w:rPr>
        <w:t>质保期为</w:t>
      </w:r>
      <w:r>
        <w:rPr>
          <w:rFonts w:hint="eastAsia" w:ascii="宋体" w:hAnsi="宋体"/>
          <w:b/>
          <w:bCs/>
          <w:color w:val="auto"/>
          <w:sz w:val="24"/>
          <w:lang w:eastAsia="zh-CN"/>
        </w:rPr>
        <w:t>货物</w:t>
      </w:r>
      <w:r>
        <w:rPr>
          <w:rFonts w:hint="eastAsia" w:ascii="宋体" w:hAnsi="宋体"/>
          <w:b/>
          <w:bCs/>
          <w:color w:val="auto"/>
          <w:sz w:val="24"/>
        </w:rPr>
        <w:t>验收合格后三</w:t>
      </w:r>
      <w:r>
        <w:rPr>
          <w:rFonts w:hint="eastAsia" w:ascii="宋体" w:hAnsi="宋体"/>
          <w:b/>
          <w:bCs/>
          <w:color w:val="auto"/>
          <w:sz w:val="24"/>
          <w:lang w:eastAsia="zh-CN"/>
        </w:rPr>
        <w:t>年（</w:t>
      </w:r>
      <w:r>
        <w:rPr>
          <w:rStyle w:val="280"/>
          <w:rFonts w:ascii="宋体" w:hAnsi="宋体" w:eastAsia="宋体" w:cs="宋体"/>
          <w:b/>
          <w:bCs/>
          <w:color w:val="auto"/>
          <w:sz w:val="24"/>
          <w:szCs w:val="24"/>
        </w:rPr>
        <w:t>在质保期内</w:t>
      </w:r>
      <w:r>
        <w:rPr>
          <w:rStyle w:val="280"/>
          <w:rFonts w:hint="eastAsia" w:ascii="宋体" w:hAnsi="宋体" w:eastAsia="宋体" w:cs="宋体"/>
          <w:b/>
          <w:bCs/>
          <w:color w:val="auto"/>
          <w:sz w:val="24"/>
          <w:szCs w:val="24"/>
          <w:lang w:eastAsia="zh-CN"/>
        </w:rPr>
        <w:t>除人为</w:t>
      </w:r>
      <w:r>
        <w:rPr>
          <w:rStyle w:val="280"/>
          <w:rFonts w:ascii="宋体" w:hAnsi="宋体" w:eastAsia="宋体" w:cs="宋体"/>
          <w:b/>
          <w:bCs/>
          <w:color w:val="auto"/>
          <w:sz w:val="24"/>
          <w:szCs w:val="24"/>
        </w:rPr>
        <w:t>原因造成</w:t>
      </w:r>
      <w:r>
        <w:rPr>
          <w:rStyle w:val="280"/>
          <w:rFonts w:hint="eastAsia" w:ascii="宋体" w:hAnsi="宋体" w:eastAsia="宋体" w:cs="宋体"/>
          <w:b/>
          <w:bCs/>
          <w:color w:val="auto"/>
          <w:sz w:val="24"/>
          <w:szCs w:val="24"/>
          <w:lang w:eastAsia="zh-CN"/>
        </w:rPr>
        <w:t>货物</w:t>
      </w:r>
      <w:r>
        <w:rPr>
          <w:rStyle w:val="280"/>
          <w:rFonts w:ascii="宋体" w:hAnsi="宋体" w:eastAsia="宋体" w:cs="宋体"/>
          <w:b/>
          <w:bCs/>
          <w:color w:val="auto"/>
          <w:sz w:val="24"/>
          <w:szCs w:val="24"/>
        </w:rPr>
        <w:t>损</w:t>
      </w:r>
      <w:r>
        <w:rPr>
          <w:rStyle w:val="280"/>
          <w:rFonts w:hint="eastAsia" w:ascii="宋体" w:hAnsi="宋体" w:eastAsia="宋体" w:cs="宋体"/>
          <w:b/>
          <w:bCs/>
          <w:color w:val="auto"/>
          <w:sz w:val="24"/>
          <w:szCs w:val="24"/>
          <w:lang w:eastAsia="zh-CN"/>
        </w:rPr>
        <w:t>外</w:t>
      </w:r>
      <w:r>
        <w:rPr>
          <w:rStyle w:val="280"/>
          <w:rFonts w:ascii="宋体" w:hAnsi="宋体" w:eastAsia="宋体" w:cs="宋体"/>
          <w:b/>
          <w:bCs/>
          <w:color w:val="auto"/>
          <w:sz w:val="24"/>
          <w:szCs w:val="24"/>
        </w:rPr>
        <w:t>，</w:t>
      </w:r>
      <w:r>
        <w:rPr>
          <w:rStyle w:val="280"/>
          <w:rFonts w:hint="eastAsia" w:ascii="宋体" w:hAnsi="宋体" w:eastAsia="宋体" w:cs="宋体"/>
          <w:b/>
          <w:bCs/>
          <w:color w:val="auto"/>
          <w:sz w:val="24"/>
          <w:szCs w:val="24"/>
          <w:lang w:eastAsia="zh-CN"/>
        </w:rPr>
        <w:t>其他质量问题</w:t>
      </w:r>
      <w:r>
        <w:rPr>
          <w:rStyle w:val="280"/>
          <w:rFonts w:ascii="宋体" w:hAnsi="宋体" w:eastAsia="宋体" w:cs="宋体"/>
          <w:b/>
          <w:bCs/>
          <w:color w:val="auto"/>
          <w:sz w:val="24"/>
          <w:szCs w:val="24"/>
        </w:rPr>
        <w:t>乙方负责</w:t>
      </w:r>
      <w:r>
        <w:rPr>
          <w:rStyle w:val="280"/>
          <w:rFonts w:hint="eastAsia" w:ascii="宋体" w:hAnsi="宋体" w:eastAsia="宋体" w:cs="宋体"/>
          <w:b/>
          <w:bCs/>
          <w:color w:val="auto"/>
          <w:sz w:val="24"/>
          <w:szCs w:val="24"/>
          <w:lang w:eastAsia="zh-CN"/>
        </w:rPr>
        <w:t>更换同类同价货物</w:t>
      </w:r>
      <w:r>
        <w:rPr>
          <w:rStyle w:val="280"/>
          <w:rFonts w:ascii="宋体" w:hAnsi="宋体" w:eastAsia="宋体" w:cs="宋体"/>
          <w:b/>
          <w:bCs/>
          <w:color w:val="auto"/>
          <w:sz w:val="24"/>
          <w:szCs w:val="24"/>
        </w:rPr>
        <w:t>，</w:t>
      </w:r>
      <w:r>
        <w:rPr>
          <w:rStyle w:val="280"/>
          <w:rFonts w:hint="eastAsia" w:ascii="宋体" w:hAnsi="宋体" w:eastAsia="宋体" w:cs="宋体"/>
          <w:b/>
          <w:bCs/>
          <w:color w:val="auto"/>
          <w:sz w:val="24"/>
          <w:szCs w:val="24"/>
          <w:lang w:eastAsia="zh-CN"/>
        </w:rPr>
        <w:t>乙</w:t>
      </w:r>
      <w:r>
        <w:rPr>
          <w:rStyle w:val="280"/>
          <w:rFonts w:ascii="宋体" w:hAnsi="宋体" w:eastAsia="宋体" w:cs="宋体"/>
          <w:b/>
          <w:bCs/>
          <w:color w:val="auto"/>
          <w:sz w:val="24"/>
          <w:szCs w:val="24"/>
        </w:rPr>
        <w:t>方承担所有费用</w:t>
      </w:r>
      <w:r>
        <w:rPr>
          <w:rFonts w:hint="eastAsia" w:ascii="宋体" w:hAnsi="宋体"/>
          <w:color w:val="auto"/>
          <w:sz w:val="24"/>
          <w:lang w:eastAsia="zh-CN"/>
        </w:rPr>
        <w:t>）</w:t>
      </w:r>
      <w:r>
        <w:rPr>
          <w:rFonts w:hint="eastAsia" w:ascii="宋体" w:hAnsi="宋体"/>
          <w:color w:val="auto"/>
          <w:sz w:val="24"/>
        </w:rPr>
        <w:t>。</w:t>
      </w:r>
      <w:r>
        <w:rPr>
          <w:rStyle w:val="280"/>
          <w:rFonts w:hint="eastAsia" w:ascii="宋体" w:hAnsi="宋体" w:eastAsia="宋体" w:cs="宋体"/>
          <w:b/>
          <w:bCs/>
          <w:color w:val="auto"/>
          <w:sz w:val="24"/>
          <w:szCs w:val="24"/>
          <w:lang w:val="en-US" w:eastAsia="zh-CN"/>
        </w:rPr>
        <w:t>提供一年上门服务，7×24小时电话响应支持。提供三年免费升级服务，三年内免费适配服务。</w:t>
      </w:r>
    </w:p>
    <w:p>
      <w:pPr>
        <w:spacing w:line="360" w:lineRule="auto"/>
        <w:rPr>
          <w:rFonts w:ascii="宋体" w:hAnsi="宋体"/>
          <w:b/>
          <w:color w:val="auto"/>
          <w:sz w:val="24"/>
        </w:rPr>
      </w:pPr>
      <w:r>
        <w:rPr>
          <w:rFonts w:ascii="宋体" w:hAnsi="宋体"/>
          <w:b/>
          <w:color w:val="auto"/>
          <w:sz w:val="24"/>
        </w:rPr>
        <w:t>2</w:t>
      </w:r>
      <w:r>
        <w:rPr>
          <w:rFonts w:hint="eastAsia" w:ascii="宋体" w:hAnsi="宋体"/>
          <w:b/>
          <w:color w:val="auto"/>
          <w:sz w:val="24"/>
        </w:rPr>
        <w:t>.验收</w:t>
      </w:r>
    </w:p>
    <w:p>
      <w:pPr>
        <w:spacing w:line="360" w:lineRule="auto"/>
        <w:ind w:firstLine="480" w:firstLineChars="200"/>
        <w:rPr>
          <w:rFonts w:ascii="宋体" w:hAnsi="宋体"/>
          <w:b/>
          <w:color w:val="auto"/>
          <w:sz w:val="24"/>
        </w:rPr>
      </w:pPr>
      <w:r>
        <w:rPr>
          <w:rFonts w:hint="eastAsia" w:ascii="宋体" w:hAnsi="宋体"/>
          <w:color w:val="auto"/>
          <w:sz w:val="24"/>
        </w:rPr>
        <w:t>在合同采购的</w:t>
      </w:r>
      <w:r>
        <w:rPr>
          <w:rFonts w:hint="eastAsia" w:ascii="宋体" w:hAnsi="宋体"/>
          <w:color w:val="auto"/>
          <w:sz w:val="24"/>
          <w:lang w:eastAsia="zh-CN"/>
        </w:rPr>
        <w:t>货物</w:t>
      </w:r>
      <w:r>
        <w:rPr>
          <w:rFonts w:hint="eastAsia" w:ascii="宋体" w:hAnsi="宋体"/>
          <w:color w:val="auto"/>
          <w:sz w:val="24"/>
        </w:rPr>
        <w:t>和产品质量达到验收标准后，应按合同技术要求进行</w:t>
      </w:r>
      <w:r>
        <w:rPr>
          <w:rFonts w:hint="eastAsia" w:ascii="宋体" w:hAnsi="宋体"/>
          <w:color w:val="auto"/>
          <w:sz w:val="24"/>
          <w:lang w:eastAsia="zh-CN"/>
        </w:rPr>
        <w:t>货物</w:t>
      </w:r>
      <w:r>
        <w:rPr>
          <w:rFonts w:hint="eastAsia" w:ascii="宋体" w:hAnsi="宋体"/>
          <w:color w:val="auto"/>
          <w:sz w:val="24"/>
        </w:rPr>
        <w:t>验收和最终产品检验。买方和卖方应共同签署</w:t>
      </w:r>
      <w:r>
        <w:rPr>
          <w:rFonts w:hint="eastAsia" w:ascii="宋体" w:hAnsi="宋体"/>
          <w:color w:val="auto"/>
          <w:sz w:val="24"/>
          <w:lang w:eastAsia="zh-CN"/>
        </w:rPr>
        <w:t>货物</w:t>
      </w:r>
      <w:r>
        <w:rPr>
          <w:rFonts w:hint="eastAsia" w:ascii="宋体" w:hAnsi="宋体"/>
          <w:color w:val="auto"/>
          <w:sz w:val="24"/>
        </w:rPr>
        <w:t>验收合格证书。</w:t>
      </w:r>
    </w:p>
    <w:p>
      <w:pPr>
        <w:spacing w:line="360" w:lineRule="auto"/>
        <w:ind w:firstLine="480"/>
        <w:rPr>
          <w:rFonts w:hint="eastAsia" w:ascii="宋体" w:hAnsi="宋体"/>
          <w:color w:val="auto"/>
          <w:sz w:val="24"/>
        </w:rPr>
      </w:pPr>
      <w:r>
        <w:rPr>
          <w:rFonts w:hint="eastAsia" w:ascii="宋体" w:hAnsi="宋体"/>
          <w:color w:val="auto"/>
          <w:sz w:val="24"/>
        </w:rPr>
        <w:t>投标方应在</w:t>
      </w:r>
      <w:r>
        <w:rPr>
          <w:rFonts w:hint="eastAsia" w:ascii="宋体" w:hAnsi="宋体"/>
          <w:color w:val="auto"/>
          <w:sz w:val="24"/>
          <w:lang w:eastAsia="zh-CN"/>
        </w:rPr>
        <w:t>响应文件</w:t>
      </w:r>
      <w:r>
        <w:rPr>
          <w:rFonts w:hint="eastAsia" w:ascii="宋体" w:hAnsi="宋体"/>
          <w:color w:val="auto"/>
          <w:sz w:val="24"/>
        </w:rPr>
        <w:t>中提出</w:t>
      </w:r>
      <w:r>
        <w:rPr>
          <w:rFonts w:hint="eastAsia" w:ascii="宋体" w:hAnsi="宋体"/>
          <w:color w:val="auto"/>
          <w:sz w:val="24"/>
          <w:lang w:eastAsia="zh-CN"/>
        </w:rPr>
        <w:t>货物</w:t>
      </w:r>
      <w:r>
        <w:rPr>
          <w:rFonts w:hint="eastAsia" w:ascii="宋体" w:hAnsi="宋体"/>
          <w:color w:val="auto"/>
          <w:sz w:val="24"/>
        </w:rPr>
        <w:t>和产品的验收标准。如若中标，经与业主协商达成一致后，作为验收的依据。</w:t>
      </w:r>
    </w:p>
    <w:p>
      <w:pPr>
        <w:pStyle w:val="3"/>
        <w:tabs>
          <w:tab w:val="left" w:pos="432"/>
        </w:tabs>
        <w:spacing w:line="360" w:lineRule="auto"/>
        <w:jc w:val="both"/>
        <w:rPr>
          <w:rFonts w:hint="eastAsia" w:eastAsia="宋体"/>
          <w:color w:val="auto"/>
          <w:lang w:eastAsia="zh-CN"/>
        </w:rPr>
        <w:sectPr>
          <w:pgSz w:w="11907" w:h="16840"/>
          <w:pgMar w:top="1134" w:right="1029" w:bottom="1134" w:left="1418" w:header="680" w:footer="907" w:gutter="0"/>
          <w:pgNumType w:fmt="decimal"/>
          <w:cols w:space="720" w:num="1"/>
          <w:docGrid w:linePitch="271" w:charSpace="0"/>
        </w:sectPr>
      </w:pPr>
      <w:r>
        <w:rPr>
          <w:rFonts w:hint="eastAsia" w:ascii="宋体" w:hAnsi="宋体" w:eastAsia="宋体" w:cs="宋体"/>
          <w:b/>
          <w:color w:val="auto"/>
          <w:kern w:val="2"/>
          <w:sz w:val="24"/>
          <w:szCs w:val="24"/>
          <w:lang w:val="en-US" w:eastAsia="zh-CN" w:bidi="ar-SA"/>
        </w:rPr>
        <w:t>注：参数清单或技术方案、技术标准和要求中如有给定的品牌仅供参考、并非指定，投标人提供的产品应相当于或不得低于清单中的标准</w:t>
      </w:r>
      <w:r>
        <w:rPr>
          <w:rFonts w:hint="eastAsia" w:ascii="宋体" w:hAnsi="宋体" w:cs="宋体"/>
          <w:b/>
          <w:color w:val="auto"/>
          <w:kern w:val="2"/>
          <w:sz w:val="24"/>
          <w:szCs w:val="24"/>
          <w:lang w:val="en-US" w:eastAsia="zh-CN" w:bidi="ar-SA"/>
        </w:rPr>
        <w:t>。</w:t>
      </w:r>
    </w:p>
    <w:bookmarkEnd w:id="31"/>
    <w:p>
      <w:pPr>
        <w:pStyle w:val="34"/>
        <w:ind w:left="0" w:leftChars="0" w:firstLine="0" w:firstLineChars="0"/>
        <w:rPr>
          <w:rFonts w:hint="eastAsia" w:ascii="宋体" w:hAnsi="宋体" w:cs="宋体"/>
          <w:b/>
          <w:color w:val="auto"/>
          <w:sz w:val="32"/>
          <w:szCs w:val="32"/>
        </w:rPr>
      </w:pPr>
    </w:p>
    <w:p>
      <w:pPr>
        <w:adjustRightInd w:val="0"/>
        <w:snapToGrid w:val="0"/>
        <w:spacing w:line="360" w:lineRule="auto"/>
        <w:ind w:firstLine="643" w:firstLineChars="200"/>
        <w:jc w:val="center"/>
        <w:outlineLvl w:val="9"/>
        <w:rPr>
          <w:rFonts w:hint="eastAsia" w:ascii="宋体" w:hAnsi="宋体" w:cs="宋体"/>
          <w:b/>
          <w:color w:val="auto"/>
          <w:sz w:val="32"/>
          <w:szCs w:val="32"/>
        </w:rPr>
      </w:pPr>
      <w:r>
        <w:rPr>
          <w:rFonts w:hint="eastAsia" w:ascii="宋体" w:hAnsi="宋体" w:cs="宋体"/>
          <w:b/>
          <w:color w:val="auto"/>
          <w:sz w:val="32"/>
          <w:szCs w:val="32"/>
          <w:lang w:eastAsia="zh-CN"/>
        </w:rPr>
        <w:t>第六章</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响应文件组成</w:t>
      </w:r>
    </w:p>
    <w:p>
      <w:pPr>
        <w:pStyle w:val="3"/>
        <w:rPr>
          <w:rFonts w:hint="eastAsia"/>
          <w:color w:val="auto"/>
        </w:rPr>
      </w:pPr>
    </w:p>
    <w:p>
      <w:pPr>
        <w:spacing w:line="360" w:lineRule="auto"/>
        <w:rPr>
          <w:rFonts w:hint="eastAsia" w:ascii="宋体" w:hAnsi="宋体" w:cs="宋体"/>
          <w:color w:val="auto"/>
          <w:sz w:val="24"/>
          <w:szCs w:val="24"/>
        </w:rPr>
      </w:pPr>
      <w:r>
        <w:rPr>
          <w:rFonts w:hint="eastAsia" w:ascii="宋体" w:hAnsi="宋体" w:cs="宋体"/>
          <w:color w:val="auto"/>
          <w:sz w:val="24"/>
          <w:szCs w:val="24"/>
        </w:rPr>
        <w:t>供应商的响应文件应包含以下</w:t>
      </w:r>
      <w:r>
        <w:rPr>
          <w:rFonts w:hint="eastAsia" w:ascii="宋体" w:hAnsi="宋体" w:cs="宋体"/>
          <w:color w:val="auto"/>
          <w:sz w:val="24"/>
          <w:szCs w:val="24"/>
          <w:lang w:eastAsia="zh-CN"/>
        </w:rPr>
        <w:t>十一</w:t>
      </w:r>
      <w:r>
        <w:rPr>
          <w:rFonts w:hint="eastAsia" w:ascii="宋体" w:hAnsi="宋体" w:cs="宋体"/>
          <w:color w:val="auto"/>
          <w:sz w:val="24"/>
          <w:szCs w:val="24"/>
        </w:rPr>
        <w:t>个部分：</w:t>
      </w:r>
    </w:p>
    <w:p>
      <w:pPr>
        <w:adjustRightInd w:val="0"/>
        <w:snapToGrid w:val="0"/>
        <w:spacing w:line="360" w:lineRule="auto"/>
        <w:jc w:val="left"/>
        <w:outlineLvl w:val="9"/>
        <w:rPr>
          <w:rFonts w:hint="eastAsia" w:ascii="宋体" w:hAnsi="宋体" w:cs="宋体"/>
          <w:b/>
          <w:color w:val="auto"/>
          <w:sz w:val="24"/>
          <w:szCs w:val="24"/>
        </w:rPr>
      </w:pPr>
      <w:r>
        <w:rPr>
          <w:rFonts w:hint="eastAsia" w:ascii="宋体" w:hAnsi="宋体" w:cs="宋体"/>
          <w:b/>
          <w:color w:val="auto"/>
          <w:sz w:val="24"/>
          <w:szCs w:val="24"/>
        </w:rPr>
        <w:t>一、磋商响应声明</w:t>
      </w:r>
    </w:p>
    <w:p>
      <w:pPr>
        <w:adjustRightInd w:val="0"/>
        <w:snapToGrid w:val="0"/>
        <w:spacing w:line="360" w:lineRule="auto"/>
        <w:ind w:firstLine="480" w:firstLineChars="200"/>
        <w:jc w:val="left"/>
        <w:outlineLvl w:val="9"/>
        <w:rPr>
          <w:rFonts w:hint="eastAsia" w:ascii="宋体" w:hAnsi="宋体" w:cs="宋体"/>
          <w:color w:val="auto"/>
          <w:sz w:val="24"/>
          <w:szCs w:val="24"/>
        </w:rPr>
      </w:pPr>
      <w:r>
        <w:rPr>
          <w:rFonts w:hint="eastAsia" w:ascii="宋体" w:hAnsi="宋体" w:cs="宋体"/>
          <w:color w:val="auto"/>
          <w:sz w:val="24"/>
          <w:szCs w:val="24"/>
        </w:rPr>
        <w:t>附件1：法定代表人身份证明(法定代表人参加磋商)</w:t>
      </w:r>
    </w:p>
    <w:p>
      <w:pPr>
        <w:adjustRightInd w:val="0"/>
        <w:snapToGrid w:val="0"/>
        <w:spacing w:line="360" w:lineRule="auto"/>
        <w:ind w:firstLine="480" w:firstLineChars="200"/>
        <w:jc w:val="left"/>
        <w:outlineLvl w:val="9"/>
        <w:rPr>
          <w:rFonts w:hint="eastAsia" w:ascii="宋体" w:hAnsi="宋体" w:cs="宋体"/>
          <w:color w:val="auto"/>
          <w:sz w:val="24"/>
          <w:szCs w:val="24"/>
        </w:rPr>
      </w:pPr>
      <w:r>
        <w:rPr>
          <w:rFonts w:hint="eastAsia" w:ascii="宋体" w:hAnsi="宋体" w:cs="宋体"/>
          <w:color w:val="auto"/>
          <w:sz w:val="24"/>
          <w:szCs w:val="24"/>
        </w:rPr>
        <w:t>附件2：法定代表人授权书(委托代理人参加磋商)</w:t>
      </w:r>
    </w:p>
    <w:p>
      <w:pPr>
        <w:numPr>
          <w:ilvl w:val="0"/>
          <w:numId w:val="0"/>
        </w:numPr>
        <w:adjustRightInd w:val="0"/>
        <w:snapToGrid w:val="0"/>
        <w:spacing w:line="360" w:lineRule="auto"/>
        <w:ind w:leftChars="0"/>
        <w:jc w:val="left"/>
        <w:outlineLvl w:val="9"/>
        <w:rPr>
          <w:rFonts w:hint="eastAsia" w:hAnsi="宋体" w:cs="宋体"/>
          <w:b/>
          <w:color w:val="auto"/>
          <w:sz w:val="24"/>
          <w:szCs w:val="24"/>
        </w:rPr>
      </w:pPr>
      <w:r>
        <w:rPr>
          <w:rFonts w:hint="eastAsia" w:hAnsi="宋体" w:cs="宋体"/>
          <w:b/>
          <w:color w:val="auto"/>
          <w:sz w:val="24"/>
          <w:szCs w:val="24"/>
          <w:lang w:eastAsia="zh-CN"/>
        </w:rPr>
        <w:t>二、</w:t>
      </w:r>
      <w:r>
        <w:rPr>
          <w:rFonts w:hint="eastAsia" w:hAnsi="宋体" w:cs="宋体"/>
          <w:b/>
          <w:color w:val="auto"/>
          <w:sz w:val="24"/>
          <w:szCs w:val="24"/>
        </w:rPr>
        <w:t>报价一览表及报价文件</w:t>
      </w:r>
    </w:p>
    <w:p>
      <w:pPr>
        <w:adjustRightInd w:val="0"/>
        <w:snapToGrid w:val="0"/>
        <w:spacing w:line="360" w:lineRule="auto"/>
        <w:ind w:firstLine="420" w:firstLineChars="200"/>
        <w:jc w:val="left"/>
        <w:outlineLvl w:val="9"/>
        <w:rPr>
          <w:rFonts w:hint="eastAsia" w:eastAsia="宋体"/>
          <w:color w:val="auto"/>
          <w:lang w:val="en-US" w:eastAsia="zh-CN"/>
        </w:rPr>
      </w:pPr>
      <w:r>
        <w:rPr>
          <w:rFonts w:hint="eastAsia"/>
          <w:color w:val="auto"/>
          <w:lang w:val="en-US" w:eastAsia="zh-CN"/>
        </w:rPr>
        <w:t xml:space="preserve"> </w:t>
      </w:r>
      <w:r>
        <w:rPr>
          <w:rFonts w:hint="eastAsia" w:ascii="宋体" w:hAnsi="宋体" w:cs="宋体"/>
          <w:color w:val="auto"/>
          <w:sz w:val="24"/>
          <w:szCs w:val="24"/>
        </w:rPr>
        <w:t>附件</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bCs/>
          <w:color w:val="auto"/>
          <w:sz w:val="24"/>
          <w:szCs w:val="24"/>
        </w:rPr>
        <w:t>报价</w:t>
      </w:r>
      <w:r>
        <w:rPr>
          <w:rFonts w:hint="eastAsia" w:ascii="宋体" w:hAnsi="宋体" w:cs="宋体"/>
          <w:bCs/>
          <w:color w:val="auto"/>
          <w:sz w:val="24"/>
          <w:szCs w:val="24"/>
          <w:lang w:eastAsia="zh-CN"/>
        </w:rPr>
        <w:t>一览表</w:t>
      </w:r>
    </w:p>
    <w:p>
      <w:pPr>
        <w:adjustRightInd w:val="0"/>
        <w:snapToGrid w:val="0"/>
        <w:spacing w:line="360" w:lineRule="auto"/>
        <w:jc w:val="left"/>
        <w:outlineLvl w:val="9"/>
        <w:rPr>
          <w:rFonts w:hint="eastAsia" w:ascii="宋体" w:hAnsi="宋体" w:cs="宋体"/>
          <w:b/>
          <w:color w:val="auto"/>
          <w:sz w:val="24"/>
          <w:szCs w:val="24"/>
        </w:rPr>
      </w:pPr>
      <w:r>
        <w:rPr>
          <w:rFonts w:hint="eastAsia" w:ascii="宋体" w:hAnsi="宋体" w:cs="宋体"/>
          <w:b/>
          <w:color w:val="auto"/>
          <w:sz w:val="24"/>
          <w:szCs w:val="24"/>
        </w:rPr>
        <w:t>三、保证金</w:t>
      </w:r>
    </w:p>
    <w:p>
      <w:pPr>
        <w:adjustRightInd w:val="0"/>
        <w:snapToGrid w:val="0"/>
        <w:spacing w:line="360" w:lineRule="auto"/>
        <w:jc w:val="left"/>
        <w:outlineLvl w:val="9"/>
        <w:rPr>
          <w:rFonts w:hint="eastAsia" w:ascii="宋体" w:hAnsi="宋体" w:cs="宋体"/>
          <w:b/>
          <w:color w:val="auto"/>
          <w:sz w:val="24"/>
          <w:szCs w:val="24"/>
        </w:rPr>
      </w:pPr>
      <w:r>
        <w:rPr>
          <w:rFonts w:hint="eastAsia" w:ascii="宋体" w:hAnsi="宋体" w:cs="宋体"/>
          <w:b/>
          <w:color w:val="auto"/>
          <w:sz w:val="24"/>
          <w:szCs w:val="24"/>
          <w:lang w:eastAsia="zh-CN"/>
        </w:rPr>
        <w:t>四、</w:t>
      </w:r>
      <w:r>
        <w:rPr>
          <w:rFonts w:hint="eastAsia" w:ascii="宋体" w:hAnsi="宋体" w:cs="宋体"/>
          <w:b/>
          <w:color w:val="auto"/>
          <w:sz w:val="24"/>
          <w:szCs w:val="24"/>
        </w:rPr>
        <w:t>供应商的资格证明材料</w:t>
      </w:r>
    </w:p>
    <w:p>
      <w:pPr>
        <w:adjustRightInd w:val="0"/>
        <w:snapToGrid w:val="0"/>
        <w:spacing w:line="360" w:lineRule="auto"/>
        <w:ind w:firstLine="480" w:firstLineChars="200"/>
        <w:jc w:val="left"/>
        <w:outlineLvl w:val="9"/>
        <w:rPr>
          <w:rFonts w:hint="eastAsia" w:ascii="宋体" w:hAnsi="宋体" w:cs="宋体"/>
          <w:color w:val="auto"/>
          <w:sz w:val="24"/>
          <w:szCs w:val="24"/>
        </w:rPr>
      </w:pPr>
      <w:r>
        <w:rPr>
          <w:rFonts w:hint="eastAsia" w:ascii="宋体" w:hAnsi="宋体" w:cs="宋体"/>
          <w:color w:val="auto"/>
          <w:sz w:val="24"/>
          <w:szCs w:val="24"/>
        </w:rPr>
        <w:t>附件</w:t>
      </w:r>
      <w:r>
        <w:rPr>
          <w:rFonts w:hint="eastAsia" w:ascii="宋体" w:hAnsi="宋体" w:cs="宋体"/>
          <w:color w:val="auto"/>
          <w:sz w:val="24"/>
          <w:szCs w:val="24"/>
          <w:lang w:val="en-US" w:eastAsia="zh-CN"/>
        </w:rPr>
        <w:t>4</w:t>
      </w:r>
      <w:r>
        <w:rPr>
          <w:rFonts w:hint="eastAsia" w:ascii="宋体" w:hAnsi="宋体" w:cs="宋体"/>
          <w:color w:val="auto"/>
          <w:sz w:val="24"/>
          <w:szCs w:val="24"/>
        </w:rPr>
        <w:t>：供应商基本情况表</w:t>
      </w:r>
    </w:p>
    <w:p>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附件</w:t>
      </w:r>
      <w:r>
        <w:rPr>
          <w:rFonts w:hint="eastAsia" w:ascii="宋体" w:hAnsi="宋体" w:cs="宋体"/>
          <w:color w:val="auto"/>
          <w:sz w:val="24"/>
          <w:szCs w:val="24"/>
          <w:lang w:val="en-US" w:eastAsia="zh-CN"/>
        </w:rPr>
        <w:t>5</w:t>
      </w:r>
      <w:r>
        <w:rPr>
          <w:rFonts w:hint="eastAsia" w:ascii="宋体" w:hAnsi="宋体" w:cs="宋体"/>
          <w:color w:val="auto"/>
          <w:sz w:val="24"/>
          <w:szCs w:val="24"/>
        </w:rPr>
        <w:t>：供应商有关评分内容的材料</w:t>
      </w:r>
    </w:p>
    <w:p>
      <w:pPr>
        <w:pStyle w:val="24"/>
        <w:adjustRightInd w:val="0"/>
        <w:snapToGrid w:val="0"/>
        <w:spacing w:line="360" w:lineRule="auto"/>
        <w:outlineLvl w:val="9"/>
        <w:rPr>
          <w:rFonts w:hint="eastAsia" w:hAnsi="宋体" w:cs="宋体"/>
          <w:b/>
          <w:color w:val="auto"/>
          <w:sz w:val="24"/>
          <w:szCs w:val="24"/>
        </w:rPr>
      </w:pPr>
      <w:r>
        <w:rPr>
          <w:rFonts w:hint="eastAsia" w:hAnsi="宋体" w:cs="宋体"/>
          <w:b/>
          <w:color w:val="auto"/>
          <w:sz w:val="24"/>
          <w:szCs w:val="24"/>
          <w:lang w:eastAsia="zh-CN"/>
        </w:rPr>
        <w:t>五</w:t>
      </w:r>
      <w:r>
        <w:rPr>
          <w:rFonts w:hint="eastAsia" w:hAnsi="宋体" w:cs="宋体"/>
          <w:b/>
          <w:color w:val="auto"/>
          <w:sz w:val="24"/>
          <w:szCs w:val="24"/>
        </w:rPr>
        <w:t>、技术/商务响应与偏离表</w:t>
      </w:r>
    </w:p>
    <w:p>
      <w:pPr>
        <w:pStyle w:val="24"/>
        <w:adjustRightInd w:val="0"/>
        <w:snapToGrid w:val="0"/>
        <w:spacing w:line="360" w:lineRule="auto"/>
        <w:outlineLvl w:val="9"/>
        <w:rPr>
          <w:rFonts w:hint="eastAsia" w:hAnsi="宋体" w:cs="宋体"/>
          <w:b/>
          <w:color w:val="auto"/>
          <w:sz w:val="24"/>
          <w:szCs w:val="24"/>
        </w:rPr>
      </w:pPr>
      <w:r>
        <w:rPr>
          <w:rFonts w:hint="eastAsia" w:hAnsi="宋体" w:cs="宋体"/>
          <w:b/>
          <w:color w:val="auto"/>
          <w:sz w:val="24"/>
          <w:szCs w:val="24"/>
          <w:lang w:eastAsia="zh-CN"/>
        </w:rPr>
        <w:t>六</w:t>
      </w:r>
      <w:r>
        <w:rPr>
          <w:rFonts w:hint="eastAsia" w:hAnsi="宋体" w:cs="宋体"/>
          <w:b/>
          <w:color w:val="auto"/>
          <w:sz w:val="24"/>
          <w:szCs w:val="24"/>
        </w:rPr>
        <w:t>、</w:t>
      </w:r>
      <w:r>
        <w:rPr>
          <w:rFonts w:hint="eastAsia" w:ascii="宋体" w:hAnsi="宋体" w:eastAsia="宋体" w:cs="宋体"/>
          <w:b/>
          <w:color w:val="auto"/>
          <w:kern w:val="2"/>
          <w:sz w:val="24"/>
          <w:szCs w:val="24"/>
          <w:lang w:val="en-US" w:eastAsia="zh-CN" w:bidi="ar-SA"/>
        </w:rPr>
        <w:t>中小微企业证明文件（如有）</w:t>
      </w:r>
    </w:p>
    <w:p>
      <w:pPr>
        <w:pStyle w:val="24"/>
        <w:adjustRightInd w:val="0"/>
        <w:snapToGrid w:val="0"/>
        <w:spacing w:line="360" w:lineRule="auto"/>
        <w:outlineLvl w:val="9"/>
        <w:rPr>
          <w:rFonts w:hint="eastAsia" w:hAnsi="宋体" w:cs="宋体"/>
          <w:b/>
          <w:color w:val="auto"/>
          <w:sz w:val="24"/>
          <w:szCs w:val="24"/>
        </w:rPr>
      </w:pPr>
      <w:r>
        <w:rPr>
          <w:rFonts w:hint="eastAsia" w:hAnsi="宋体" w:cs="宋体"/>
          <w:b/>
          <w:color w:val="auto"/>
          <w:sz w:val="24"/>
          <w:szCs w:val="24"/>
          <w:lang w:eastAsia="zh-CN"/>
        </w:rPr>
        <w:t>七</w:t>
      </w:r>
      <w:r>
        <w:rPr>
          <w:rFonts w:hint="eastAsia" w:hAnsi="宋体" w:cs="宋体"/>
          <w:b/>
          <w:color w:val="auto"/>
          <w:sz w:val="24"/>
          <w:szCs w:val="24"/>
        </w:rPr>
        <w:t>、供应商认为需提供的其它资料</w:t>
      </w:r>
    </w:p>
    <w:p>
      <w:pPr>
        <w:pStyle w:val="24"/>
        <w:adjustRightInd w:val="0"/>
        <w:snapToGrid w:val="0"/>
        <w:spacing w:line="360" w:lineRule="auto"/>
        <w:outlineLvl w:val="9"/>
        <w:rPr>
          <w:rFonts w:hint="eastAsia" w:hAnsi="宋体" w:cs="宋体"/>
          <w:b/>
          <w:color w:val="auto"/>
          <w:sz w:val="24"/>
          <w:szCs w:val="24"/>
        </w:rPr>
      </w:pPr>
      <w:r>
        <w:rPr>
          <w:rFonts w:hint="eastAsia" w:hAnsi="宋体" w:cs="宋体"/>
          <w:b/>
          <w:color w:val="auto"/>
          <w:sz w:val="24"/>
          <w:szCs w:val="24"/>
          <w:lang w:eastAsia="zh-CN"/>
        </w:rPr>
        <w:t>八、</w:t>
      </w:r>
      <w:r>
        <w:rPr>
          <w:rFonts w:hint="eastAsia" w:hAnsi="宋体" w:cs="宋体"/>
          <w:b/>
          <w:color w:val="auto"/>
          <w:sz w:val="24"/>
          <w:szCs w:val="24"/>
        </w:rPr>
        <w:t>最后报价</w:t>
      </w:r>
    </w:p>
    <w:p>
      <w:pPr>
        <w:spacing w:line="360" w:lineRule="auto"/>
        <w:rPr>
          <w:rFonts w:hint="eastAsia" w:ascii="宋体" w:hAnsi="宋体" w:eastAsia="宋体" w:cs="宋体"/>
          <w:b/>
          <w:color w:val="auto"/>
          <w:kern w:val="2"/>
          <w:sz w:val="24"/>
          <w:szCs w:val="24"/>
          <w:lang w:val="en-US" w:eastAsia="zh-CN" w:bidi="ar-SA"/>
        </w:rPr>
      </w:pPr>
    </w:p>
    <w:p>
      <w:pPr>
        <w:adjustRightInd w:val="0"/>
        <w:snapToGrid w:val="0"/>
        <w:spacing w:line="360" w:lineRule="auto"/>
        <w:ind w:firstLine="482" w:firstLineChars="200"/>
        <w:jc w:val="left"/>
        <w:outlineLvl w:val="9"/>
        <w:rPr>
          <w:rFonts w:hint="eastAsia" w:ascii="宋体" w:hAnsi="宋体" w:cs="宋体"/>
          <w:b/>
          <w:color w:val="auto"/>
          <w:sz w:val="24"/>
          <w:szCs w:val="24"/>
        </w:rPr>
      </w:pPr>
    </w:p>
    <w:p>
      <w:pPr>
        <w:tabs>
          <w:tab w:val="left" w:pos="6300"/>
        </w:tabs>
        <w:snapToGrid w:val="0"/>
        <w:spacing w:line="500" w:lineRule="exact"/>
        <w:ind w:firstLine="480" w:firstLineChars="200"/>
        <w:rPr>
          <w:color w:val="auto"/>
          <w:sz w:val="24"/>
        </w:rPr>
      </w:pPr>
    </w:p>
    <w:p>
      <w:pPr>
        <w:pStyle w:val="24"/>
        <w:adjustRightInd w:val="0"/>
        <w:snapToGrid w:val="0"/>
        <w:spacing w:line="360" w:lineRule="auto"/>
        <w:outlineLvl w:val="9"/>
        <w:rPr>
          <w:rFonts w:hint="eastAsia" w:ascii="宋体" w:hAnsi="宋体" w:cs="宋体"/>
          <w:b/>
          <w:color w:val="auto"/>
          <w:sz w:val="28"/>
          <w:szCs w:val="28"/>
          <w:lang w:eastAsia="zh-CN"/>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pPr>
    </w:p>
    <w:p>
      <w:pPr>
        <w:pStyle w:val="24"/>
        <w:adjustRightInd w:val="0"/>
        <w:snapToGrid w:val="0"/>
        <w:spacing w:line="360" w:lineRule="auto"/>
        <w:outlineLvl w:val="9"/>
        <w:rPr>
          <w:rFonts w:hint="eastAsia" w:hAnsi="宋体" w:cs="宋体"/>
          <w:b/>
          <w:color w:val="auto"/>
        </w:rPr>
        <w:sectPr>
          <w:footerReference r:id="rId12" w:type="first"/>
          <w:headerReference r:id="rId10" w:type="default"/>
          <w:footerReference r:id="rId11" w:type="default"/>
          <w:pgSz w:w="12240" w:h="15840"/>
          <w:pgMar w:top="720" w:right="1000" w:bottom="720" w:left="1160" w:header="0" w:footer="850" w:gutter="0"/>
          <w:pgBorders>
            <w:top w:val="none" w:sz="0" w:space="0"/>
            <w:left w:val="none" w:sz="0" w:space="0"/>
            <w:bottom w:val="none" w:sz="0" w:space="0"/>
            <w:right w:val="none" w:sz="0" w:space="0"/>
          </w:pgBorders>
          <w:pgNumType w:fmt="decimal"/>
          <w:cols w:space="720" w:num="1"/>
          <w:titlePg/>
          <w:rtlGutter w:val="0"/>
          <w:docGrid w:linePitch="312" w:charSpace="0"/>
        </w:sectPr>
      </w:pPr>
    </w:p>
    <w:p>
      <w:pPr>
        <w:adjustRightInd w:val="0"/>
        <w:snapToGrid w:val="0"/>
        <w:spacing w:line="360" w:lineRule="auto"/>
        <w:rPr>
          <w:rFonts w:hint="eastAsia" w:ascii="宋体" w:hAnsi="宋体" w:cs="宋体"/>
          <w:b/>
          <w:color w:val="auto"/>
          <w:sz w:val="24"/>
        </w:rPr>
      </w:pPr>
    </w:p>
    <w:p>
      <w:pPr>
        <w:spacing w:line="360" w:lineRule="auto"/>
        <w:jc w:val="right"/>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正/副本</w:t>
      </w:r>
    </w:p>
    <w:p>
      <w:pPr>
        <w:spacing w:line="360" w:lineRule="auto"/>
        <w:jc w:val="center"/>
        <w:rPr>
          <w:rFonts w:hint="eastAsia" w:ascii="宋体" w:hAnsi="宋体" w:eastAsia="宋体" w:cs="宋体"/>
          <w:b/>
          <w:color w:val="auto"/>
          <w:sz w:val="44"/>
          <w:szCs w:val="44"/>
          <w:lang w:eastAsia="zh-CN"/>
        </w:rPr>
      </w:pPr>
      <w:r>
        <w:rPr>
          <w:rFonts w:hint="eastAsia" w:ascii="宋体" w:hAnsi="宋体" w:eastAsia="宋体" w:cs="宋体"/>
          <w:b/>
          <w:color w:val="auto"/>
          <w:sz w:val="44"/>
          <w:szCs w:val="44"/>
          <w:lang w:eastAsia="zh-CN"/>
        </w:rPr>
        <w:t>伊犁哈萨克自治州医疗保障局医疗服务与保障能力提升项目</w:t>
      </w:r>
      <w:r>
        <w:rPr>
          <w:rFonts w:hint="eastAsia" w:ascii="宋体" w:hAnsi="宋体" w:eastAsia="宋体" w:cs="宋体"/>
          <w:b/>
          <w:color w:val="auto"/>
          <w:sz w:val="44"/>
          <w:szCs w:val="44"/>
          <w:lang w:val="en-US" w:eastAsia="zh-CN"/>
        </w:rPr>
        <w:t>(</w:t>
      </w:r>
      <w:r>
        <w:rPr>
          <w:rFonts w:hint="eastAsia" w:ascii="宋体" w:hAnsi="宋体" w:cs="宋体"/>
          <w:b/>
          <w:color w:val="auto"/>
          <w:sz w:val="44"/>
          <w:szCs w:val="44"/>
          <w:lang w:val="en-US" w:eastAsia="zh-CN"/>
        </w:rPr>
        <w:t>标项2</w:t>
      </w:r>
      <w:r>
        <w:rPr>
          <w:rFonts w:hint="eastAsia" w:ascii="宋体" w:hAnsi="宋体" w:eastAsia="宋体" w:cs="宋体"/>
          <w:b/>
          <w:color w:val="auto"/>
          <w:sz w:val="44"/>
          <w:szCs w:val="44"/>
          <w:lang w:val="en-US" w:eastAsia="zh-CN"/>
        </w:rPr>
        <w:t>)</w:t>
      </w:r>
    </w:p>
    <w:p>
      <w:pPr>
        <w:spacing w:line="360" w:lineRule="auto"/>
        <w:jc w:val="center"/>
        <w:rPr>
          <w:rFonts w:hint="eastAsia" w:ascii="宋体" w:hAnsi="宋体" w:eastAsia="宋体" w:cs="宋体"/>
          <w:b/>
          <w:color w:val="auto"/>
          <w:sz w:val="44"/>
          <w:szCs w:val="44"/>
          <w:lang w:eastAsia="zh-CN"/>
        </w:rPr>
      </w:pPr>
    </w:p>
    <w:p>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lang w:eastAsia="zh-CN"/>
        </w:rPr>
        <w:t>响</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lang w:eastAsia="zh-CN"/>
        </w:rPr>
        <w:t>应</w:t>
      </w:r>
      <w:r>
        <w:rPr>
          <w:rFonts w:hint="eastAsia" w:ascii="宋体" w:hAnsi="宋体" w:eastAsia="宋体" w:cs="宋体"/>
          <w:b/>
          <w:color w:val="auto"/>
          <w:sz w:val="44"/>
          <w:szCs w:val="44"/>
        </w:rPr>
        <w:t xml:space="preserve">  文  件</w:t>
      </w:r>
    </w:p>
    <w:p>
      <w:pPr>
        <w:spacing w:line="360" w:lineRule="auto"/>
        <w:jc w:val="center"/>
        <w:rPr>
          <w:rFonts w:hint="default" w:ascii="宋体" w:hAnsi="宋体" w:eastAsia="仿宋" w:cs="宋体"/>
          <w:b/>
          <w:color w:val="auto"/>
          <w:sz w:val="32"/>
          <w:szCs w:val="32"/>
          <w:lang w:val="en-US" w:eastAsia="zh-CN"/>
        </w:rPr>
      </w:pPr>
      <w:r>
        <w:rPr>
          <w:rFonts w:hint="eastAsia" w:ascii="宋体" w:hAnsi="宋体" w:eastAsia="宋体" w:cs="宋体"/>
          <w:b w:val="0"/>
          <w:color w:val="auto"/>
          <w:sz w:val="30"/>
          <w:lang w:eastAsia="zh-CN"/>
        </w:rPr>
        <w:t>项目</w:t>
      </w:r>
      <w:r>
        <w:rPr>
          <w:rFonts w:hint="eastAsia" w:ascii="宋体" w:hAnsi="宋体" w:eastAsia="宋体" w:cs="宋体"/>
          <w:b w:val="0"/>
          <w:color w:val="auto"/>
          <w:sz w:val="30"/>
        </w:rPr>
        <w:t>编号：</w:t>
      </w:r>
      <w:r>
        <w:rPr>
          <w:rFonts w:hint="eastAsia" w:ascii="仿宋" w:hAnsi="仿宋" w:eastAsia="仿宋"/>
          <w:color w:val="auto"/>
          <w:sz w:val="28"/>
          <w:szCs w:val="28"/>
        </w:rPr>
        <w:t>XJQSQZB202</w:t>
      </w:r>
      <w:r>
        <w:rPr>
          <w:rFonts w:hint="eastAsia" w:ascii="仿宋" w:hAnsi="仿宋" w:eastAsia="仿宋"/>
          <w:color w:val="auto"/>
          <w:sz w:val="28"/>
          <w:szCs w:val="28"/>
          <w:lang w:val="en-US" w:eastAsia="zh-CN"/>
        </w:rPr>
        <w:t>2-023-02</w:t>
      </w:r>
    </w:p>
    <w:p>
      <w:pPr>
        <w:spacing w:line="360" w:lineRule="auto"/>
        <w:rPr>
          <w:rFonts w:hint="eastAsia" w:ascii="宋体" w:hAnsi="宋体" w:eastAsia="宋体" w:cs="宋体"/>
          <w:b/>
          <w:color w:val="auto"/>
          <w:sz w:val="32"/>
          <w:szCs w:val="32"/>
        </w:rPr>
      </w:pPr>
    </w:p>
    <w:p>
      <w:pPr>
        <w:spacing w:line="360" w:lineRule="auto"/>
        <w:ind w:firstLine="602"/>
        <w:rPr>
          <w:rFonts w:hint="eastAsia" w:ascii="宋体" w:hAnsi="宋体" w:eastAsia="宋体" w:cs="宋体"/>
          <w:b/>
          <w:color w:val="auto"/>
          <w:sz w:val="30"/>
          <w:szCs w:val="30"/>
        </w:rPr>
      </w:pPr>
    </w:p>
    <w:p>
      <w:pPr>
        <w:spacing w:line="360" w:lineRule="auto"/>
        <w:rPr>
          <w:rFonts w:hint="eastAsia" w:ascii="宋体" w:hAnsi="宋体" w:eastAsia="宋体" w:cs="宋体"/>
          <w:b/>
          <w:color w:val="auto"/>
          <w:sz w:val="30"/>
          <w:szCs w:val="30"/>
        </w:rPr>
      </w:pPr>
    </w:p>
    <w:p>
      <w:pPr>
        <w:spacing w:line="360" w:lineRule="auto"/>
        <w:ind w:firstLine="602"/>
        <w:rPr>
          <w:rFonts w:hint="eastAsia" w:ascii="宋体" w:hAnsi="宋体" w:eastAsia="宋体" w:cs="宋体"/>
          <w:b/>
          <w:color w:val="auto"/>
          <w:sz w:val="30"/>
          <w:szCs w:val="30"/>
        </w:rPr>
      </w:pPr>
    </w:p>
    <w:p>
      <w:pPr>
        <w:spacing w:line="360" w:lineRule="auto"/>
        <w:ind w:firstLine="602"/>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供应商</w:t>
      </w:r>
      <w:r>
        <w:rPr>
          <w:rFonts w:hint="eastAsia" w:ascii="宋体" w:hAnsi="宋体" w:eastAsia="宋体" w:cs="宋体"/>
          <w:b/>
          <w:color w:val="auto"/>
          <w:sz w:val="30"/>
          <w:szCs w:val="30"/>
        </w:rPr>
        <w:t>： （单位名称）盖章</w:t>
      </w:r>
    </w:p>
    <w:p>
      <w:pPr>
        <w:spacing w:line="360" w:lineRule="auto"/>
        <w:rPr>
          <w:rFonts w:hint="eastAsia" w:ascii="宋体" w:hAnsi="宋体" w:eastAsia="宋体" w:cs="宋体"/>
          <w:b/>
          <w:color w:val="auto"/>
          <w:sz w:val="30"/>
          <w:szCs w:val="30"/>
        </w:rPr>
      </w:pPr>
    </w:p>
    <w:p>
      <w:pPr>
        <w:spacing w:line="360" w:lineRule="auto"/>
        <w:ind w:firstLine="602"/>
        <w:rPr>
          <w:rFonts w:hint="eastAsia" w:ascii="宋体" w:hAnsi="宋体" w:eastAsia="宋体" w:cs="宋体"/>
          <w:b/>
          <w:color w:val="auto"/>
          <w:sz w:val="30"/>
          <w:szCs w:val="30"/>
        </w:rPr>
      </w:pPr>
    </w:p>
    <w:p>
      <w:pPr>
        <w:spacing w:line="360" w:lineRule="auto"/>
        <w:ind w:firstLine="602"/>
        <w:rPr>
          <w:rFonts w:hint="eastAsia" w:ascii="宋体" w:hAnsi="宋体" w:eastAsia="宋体" w:cs="宋体"/>
          <w:b/>
          <w:color w:val="auto"/>
          <w:sz w:val="30"/>
          <w:szCs w:val="30"/>
        </w:rPr>
      </w:pPr>
      <w:r>
        <w:rPr>
          <w:rFonts w:hint="eastAsia" w:ascii="宋体" w:hAnsi="宋体" w:eastAsia="宋体" w:cs="宋体"/>
          <w:b/>
          <w:color w:val="auto"/>
          <w:sz w:val="30"/>
          <w:szCs w:val="30"/>
        </w:rPr>
        <w:t>单位地址：</w:t>
      </w:r>
    </w:p>
    <w:p>
      <w:pPr>
        <w:spacing w:line="360" w:lineRule="auto"/>
        <w:rPr>
          <w:rFonts w:hint="eastAsia" w:ascii="宋体" w:hAnsi="宋体" w:eastAsia="宋体" w:cs="宋体"/>
          <w:b/>
          <w:color w:val="auto"/>
          <w:sz w:val="30"/>
          <w:szCs w:val="30"/>
        </w:rPr>
      </w:pPr>
    </w:p>
    <w:p>
      <w:pPr>
        <w:pStyle w:val="24"/>
        <w:spacing w:line="360" w:lineRule="auto"/>
        <w:ind w:firstLine="596" w:firstLineChars="198"/>
        <w:rPr>
          <w:rFonts w:hint="eastAsia" w:ascii="宋体" w:hAnsi="宋体" w:eastAsia="宋体" w:cs="宋体"/>
          <w:b/>
          <w:color w:val="auto"/>
          <w:sz w:val="30"/>
          <w:szCs w:val="30"/>
        </w:rPr>
      </w:pPr>
    </w:p>
    <w:p>
      <w:pPr>
        <w:pStyle w:val="24"/>
        <w:spacing w:line="360" w:lineRule="auto"/>
        <w:ind w:firstLine="596" w:firstLineChars="198"/>
        <w:rPr>
          <w:rFonts w:hint="eastAsia" w:ascii="宋体" w:hAnsi="宋体" w:eastAsia="宋体" w:cs="宋体"/>
          <w:b/>
          <w:color w:val="auto"/>
          <w:sz w:val="30"/>
          <w:szCs w:val="30"/>
        </w:rPr>
      </w:pPr>
      <w:r>
        <w:rPr>
          <w:rFonts w:hint="eastAsia" w:ascii="宋体" w:hAnsi="宋体" w:eastAsia="宋体" w:cs="宋体"/>
          <w:b/>
          <w:color w:val="auto"/>
          <w:sz w:val="30"/>
          <w:szCs w:val="30"/>
        </w:rPr>
        <w:t>联系人：                   联系电话：</w:t>
      </w:r>
    </w:p>
    <w:p>
      <w:pPr>
        <w:pStyle w:val="3"/>
        <w:rPr>
          <w:rFonts w:hint="eastAsia"/>
          <w:color w:val="auto"/>
        </w:rPr>
      </w:pPr>
    </w:p>
    <w:p>
      <w:pPr>
        <w:adjustRightInd w:val="0"/>
        <w:snapToGrid w:val="0"/>
        <w:spacing w:line="360" w:lineRule="auto"/>
        <w:jc w:val="center"/>
        <w:outlineLvl w:val="9"/>
        <w:rPr>
          <w:rFonts w:hint="eastAsia" w:ascii="宋体" w:hAnsi="宋体" w:cs="宋体"/>
          <w:b/>
          <w:bCs/>
          <w:color w:val="auto"/>
          <w:sz w:val="28"/>
          <w:szCs w:val="28"/>
        </w:rPr>
      </w:pPr>
    </w:p>
    <w:p>
      <w:pPr>
        <w:adjustRightInd w:val="0"/>
        <w:snapToGrid w:val="0"/>
        <w:spacing w:line="360" w:lineRule="auto"/>
        <w:jc w:val="both"/>
        <w:outlineLvl w:val="9"/>
        <w:rPr>
          <w:rFonts w:hint="eastAsia" w:ascii="宋体" w:hAnsi="宋体" w:cs="宋体"/>
          <w:b/>
          <w:bCs/>
          <w:color w:val="auto"/>
          <w:sz w:val="28"/>
          <w:szCs w:val="28"/>
        </w:rPr>
      </w:pPr>
    </w:p>
    <w:p>
      <w:pPr>
        <w:pStyle w:val="34"/>
        <w:rPr>
          <w:rFonts w:hint="eastAsia" w:ascii="宋体" w:hAnsi="宋体" w:cs="宋体"/>
          <w:b/>
          <w:bCs/>
          <w:color w:val="auto"/>
          <w:sz w:val="28"/>
          <w:szCs w:val="28"/>
        </w:rPr>
      </w:pPr>
    </w:p>
    <w:p>
      <w:pPr>
        <w:pStyle w:val="34"/>
        <w:rPr>
          <w:rFonts w:hint="eastAsia" w:ascii="宋体" w:hAnsi="宋体" w:cs="宋体"/>
          <w:b/>
          <w:bCs/>
          <w:color w:val="auto"/>
          <w:sz w:val="28"/>
          <w:szCs w:val="28"/>
        </w:rPr>
      </w:pPr>
    </w:p>
    <w:p>
      <w:pPr>
        <w:adjustRightInd w:val="0"/>
        <w:snapToGrid w:val="0"/>
        <w:spacing w:line="360" w:lineRule="auto"/>
        <w:ind w:left="219" w:leftChars="0" w:hanging="219" w:hangingChars="78"/>
        <w:jc w:val="both"/>
        <w:outlineLvl w:val="9"/>
        <w:rPr>
          <w:rFonts w:hint="eastAsia" w:ascii="宋体" w:hAnsi="宋体" w:cs="宋体"/>
          <w:b/>
          <w:bCs/>
          <w:color w:val="auto"/>
          <w:sz w:val="28"/>
          <w:szCs w:val="28"/>
        </w:rPr>
      </w:pPr>
    </w:p>
    <w:p>
      <w:pPr>
        <w:adjustRightInd w:val="0"/>
        <w:snapToGrid w:val="0"/>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一、磋商响应声明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(采购人或采购代理机构)：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我方已仔细研究了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项目名称)的竞争性磋商文件（</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）的全部内容，知悉参加竞争性磋商的风险，我方承诺接受磋商文件的全部条款且无任何异议。</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一、我方同意在磋商文件中规定的提交首次响应文件截止时间起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日内(响应文件有效期)遵守本响应文件中的承诺且在此期限期满之前均具有法律约束力。</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二、我方提交响应文件正本一份和副本一式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份，同时提供一份电子文档（</w:t>
      </w:r>
      <w:r>
        <w:rPr>
          <w:rFonts w:hint="eastAsia" w:ascii="宋体" w:hAnsi="宋体" w:eastAsia="宋体" w:cs="宋体"/>
          <w:color w:val="auto"/>
          <w:sz w:val="24"/>
          <w:szCs w:val="24"/>
          <w:lang w:eastAsia="zh-CN"/>
        </w:rPr>
        <w:t>U盘及光盘</w:t>
      </w:r>
      <w:r>
        <w:rPr>
          <w:rFonts w:hint="eastAsia" w:ascii="宋体" w:hAnsi="宋体" w:eastAsia="宋体" w:cs="宋体"/>
          <w:color w:val="auto"/>
          <w:sz w:val="24"/>
          <w:szCs w:val="24"/>
        </w:rPr>
        <w:t>），并保证响应文件提供的数据和材料是真实、准确的。否则，愿承担《政府采购法》</w:t>
      </w:r>
      <w:r>
        <w:rPr>
          <w:rFonts w:hint="eastAsia" w:ascii="宋体" w:hAnsi="宋体" w:eastAsia="宋体" w:cs="宋体"/>
          <w:bCs/>
          <w:color w:val="auto"/>
          <w:sz w:val="24"/>
          <w:szCs w:val="24"/>
        </w:rPr>
        <w:t>第七十七条规定的法律责任。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三、我方愿意向贵方提供任何与本项采购有关的数据、情况和技术资料。若贵方需要，我方愿意提供我方作出的一切承诺的证明材料。</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四、我方愿意按磋商文件规定和磋商小组要求重新提交响应文件和最后报价。</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五、我方承诺遵守《中华人民共和国政府采购法》的有关规定，保证在获得成交资格后，按照磋商文件确定的事项签订合同，履行双方所签订的合同，并承担合同规定的责任和义务。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附件1：</w:t>
      </w:r>
      <w:r>
        <w:rPr>
          <w:rFonts w:hint="eastAsia" w:ascii="宋体" w:hAnsi="宋体" w:eastAsia="宋体" w:cs="宋体"/>
          <w:color w:val="auto"/>
          <w:sz w:val="24"/>
          <w:szCs w:val="24"/>
        </w:rPr>
        <w:t>法定代表人身份证明(法定代表人参加磋商)</w:t>
      </w:r>
    </w:p>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附件2</w:t>
      </w:r>
      <w:r>
        <w:rPr>
          <w:rFonts w:hint="eastAsia" w:ascii="宋体" w:hAnsi="宋体" w:eastAsia="宋体" w:cs="宋体"/>
          <w:color w:val="auto"/>
          <w:sz w:val="24"/>
          <w:szCs w:val="24"/>
        </w:rPr>
        <w:t>：法定代表人授权书(委托代理人参加磋商)</w:t>
      </w:r>
    </w:p>
    <w:p>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pPr>
        <w:pStyle w:val="24"/>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rPr>
        <w:t>供应商名称(盖单位章)：</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法定代表人或其委托代理人 (签字)：</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adjustRightInd w:val="0"/>
        <w:snapToGrid w:val="0"/>
        <w:spacing w:line="360" w:lineRule="auto"/>
        <w:ind w:right="24"/>
        <w:rPr>
          <w:rFonts w:hint="eastAsia" w:ascii="宋体" w:hAnsi="宋体" w:cs="宋体"/>
          <w:bCs/>
          <w:color w:val="auto"/>
          <w:szCs w:val="21"/>
        </w:rPr>
      </w:pPr>
    </w:p>
    <w:p>
      <w:pPr>
        <w:adjustRightInd w:val="0"/>
        <w:snapToGrid w:val="0"/>
        <w:spacing w:line="360" w:lineRule="auto"/>
        <w:ind w:right="24"/>
        <w:rPr>
          <w:rFonts w:hint="eastAsia" w:ascii="宋体" w:hAnsi="宋体" w:cs="宋体"/>
          <w:bCs/>
          <w:color w:val="auto"/>
          <w:sz w:val="32"/>
          <w:szCs w:val="32"/>
        </w:rPr>
      </w:pPr>
    </w:p>
    <w:p>
      <w:pPr>
        <w:adjustRightInd w:val="0"/>
        <w:snapToGrid w:val="0"/>
        <w:spacing w:line="360" w:lineRule="auto"/>
        <w:ind w:right="24"/>
        <w:rPr>
          <w:rFonts w:hint="eastAsia" w:ascii="宋体" w:hAnsi="宋体" w:cs="宋体"/>
          <w:bCs/>
          <w:color w:val="auto"/>
          <w:sz w:val="32"/>
          <w:szCs w:val="32"/>
        </w:rPr>
      </w:pPr>
    </w:p>
    <w:p>
      <w:pPr>
        <w:adjustRightInd w:val="0"/>
        <w:snapToGrid w:val="0"/>
        <w:spacing w:line="360" w:lineRule="auto"/>
        <w:ind w:right="24"/>
        <w:rPr>
          <w:rFonts w:hint="eastAsia" w:ascii="宋体" w:hAnsi="宋体" w:cs="宋体"/>
          <w:bCs/>
          <w:color w:val="auto"/>
          <w:sz w:val="32"/>
          <w:szCs w:val="32"/>
        </w:rPr>
      </w:pPr>
      <w:r>
        <w:rPr>
          <w:rFonts w:hint="eastAsia" w:ascii="宋体" w:hAnsi="宋体" w:cs="宋体"/>
          <w:bCs/>
          <w:color w:val="auto"/>
          <w:sz w:val="32"/>
          <w:szCs w:val="32"/>
        </w:rPr>
        <w:t>附件1</w:t>
      </w:r>
    </w:p>
    <w:p>
      <w:pPr>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法定代表人身份证明(法定代表人参加磋商)</w:t>
      </w:r>
    </w:p>
    <w:p>
      <w:pPr>
        <w:snapToGrid w:val="0"/>
        <w:spacing w:line="360" w:lineRule="auto"/>
        <w:rPr>
          <w:rFonts w:hint="eastAsia" w:ascii="宋体" w:hAnsi="宋体" w:cs="宋体"/>
          <w:color w:val="auto"/>
          <w:szCs w:val="21"/>
        </w:rPr>
      </w:pP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名称：</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注册号：</w:t>
      </w:r>
      <w:r>
        <w:rPr>
          <w:rFonts w:hint="eastAsia" w:ascii="宋体" w:hAnsi="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注册地址：</w:t>
      </w:r>
      <w:r>
        <w:rPr>
          <w:rFonts w:hint="eastAsia" w:ascii="宋体" w:hAnsi="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成立时间： </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年 </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日</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u w:val="single"/>
        </w:rPr>
      </w:pPr>
      <w:r>
        <w:rPr>
          <w:rFonts w:hint="eastAsia" w:ascii="宋体" w:hAnsi="宋体" w:cs="宋体"/>
          <w:color w:val="auto"/>
          <w:kern w:val="0"/>
          <w:sz w:val="24"/>
          <w:szCs w:val="24"/>
        </w:rPr>
        <w:t>经营期限：</w:t>
      </w:r>
      <w:r>
        <w:rPr>
          <w:rFonts w:hint="eastAsia" w:ascii="宋体" w:hAnsi="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u w:val="single"/>
        </w:rPr>
      </w:pPr>
      <w:r>
        <w:rPr>
          <w:rFonts w:hint="eastAsia" w:ascii="宋体" w:hAnsi="宋体" w:cs="宋体"/>
          <w:color w:val="auto"/>
          <w:kern w:val="0"/>
          <w:sz w:val="24"/>
          <w:szCs w:val="24"/>
        </w:rPr>
        <w:t>经营范围：主营：</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；兼营：</w:t>
      </w:r>
      <w:r>
        <w:rPr>
          <w:rFonts w:hint="eastAsia" w:ascii="宋体" w:hAnsi="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姓名：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性别：</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年龄：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系</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r>
        <w:rPr>
          <w:rFonts w:hint="eastAsia" w:ascii="宋体" w:hAnsi="宋体" w:cs="宋体"/>
          <w:color w:val="auto"/>
          <w:sz w:val="24"/>
          <w:szCs w:val="24"/>
        </w:rPr>
        <w:t>供应商</w:t>
      </w:r>
      <w:r>
        <w:rPr>
          <w:rFonts w:hint="eastAsia" w:ascii="宋体" w:hAnsi="宋体" w:cs="宋体"/>
          <w:color w:val="auto"/>
          <w:kern w:val="0"/>
          <w:sz w:val="24"/>
          <w:szCs w:val="24"/>
        </w:rPr>
        <w:t>名称）的法定代表人。</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特此证明。</w:t>
      </w:r>
    </w:p>
    <w:p>
      <w:pPr>
        <w:autoSpaceDE w:val="0"/>
        <w:autoSpaceDN w:val="0"/>
        <w:adjustRightInd w:val="0"/>
        <w:snapToGrid w:val="0"/>
        <w:spacing w:before="156" w:beforeLines="50" w:line="360" w:lineRule="auto"/>
        <w:jc w:val="left"/>
        <w:rPr>
          <w:rFonts w:hint="eastAsia" w:ascii="宋体" w:hAnsi="宋体" w:cs="宋体"/>
          <w:color w:val="auto"/>
          <w:kern w:val="0"/>
          <w:sz w:val="24"/>
          <w:szCs w:val="24"/>
        </w:rPr>
      </w:pPr>
      <w:r>
        <w:rPr>
          <w:rFonts w:hint="eastAsia" w:ascii="宋体" w:hAnsi="宋体" w:cs="宋体"/>
          <w:color w:val="auto"/>
          <w:sz w:val="24"/>
          <w:szCs w:val="24"/>
        </w:rPr>
        <w:t>附：法定代表人身份证复印件</w:t>
      </w:r>
    </w:p>
    <w:p>
      <w:pPr>
        <w:snapToGrid w:val="0"/>
        <w:spacing w:line="360" w:lineRule="auto"/>
        <w:rPr>
          <w:rFonts w:hint="eastAsia" w:ascii="宋体" w:hAnsi="宋体" w:cs="宋体"/>
          <w:color w:val="auto"/>
          <w:sz w:val="24"/>
          <w:szCs w:val="24"/>
        </w:rPr>
      </w:pPr>
    </w:p>
    <w:p>
      <w:pPr>
        <w:snapToGrid w:val="0"/>
        <w:spacing w:line="360" w:lineRule="auto"/>
        <w:rPr>
          <w:rFonts w:hint="eastAsia" w:ascii="宋体" w:hAnsi="宋体" w:cs="宋体"/>
          <w:color w:val="auto"/>
          <w:sz w:val="24"/>
          <w:szCs w:val="24"/>
        </w:rPr>
      </w:pPr>
    </w:p>
    <w:p>
      <w:pPr>
        <w:snapToGrid w:val="0"/>
        <w:spacing w:line="360" w:lineRule="auto"/>
        <w:rPr>
          <w:rFonts w:hint="eastAsia" w:ascii="宋体" w:hAnsi="宋体" w:cs="宋体"/>
          <w:color w:val="auto"/>
          <w:sz w:val="24"/>
          <w:szCs w:val="24"/>
        </w:rPr>
      </w:pPr>
    </w:p>
    <w:p>
      <w:pPr>
        <w:snapToGrid w:val="0"/>
        <w:spacing w:line="360" w:lineRule="auto"/>
        <w:rPr>
          <w:rFonts w:hint="eastAsia" w:ascii="宋体" w:hAnsi="宋体" w:cs="宋体"/>
          <w:color w:val="auto"/>
          <w:sz w:val="24"/>
          <w:szCs w:val="24"/>
        </w:rPr>
      </w:pPr>
    </w:p>
    <w:p>
      <w:pPr>
        <w:snapToGrid w:val="0"/>
        <w:spacing w:line="360" w:lineRule="auto"/>
        <w:rPr>
          <w:rFonts w:hint="eastAsia" w:ascii="宋体" w:hAnsi="宋体" w:cs="宋体"/>
          <w:color w:val="auto"/>
          <w:sz w:val="24"/>
          <w:szCs w:val="24"/>
        </w:rPr>
      </w:pPr>
    </w:p>
    <w:p>
      <w:pPr>
        <w:adjustRightInd w:val="0"/>
        <w:snapToGrid w:val="0"/>
        <w:spacing w:line="360" w:lineRule="auto"/>
        <w:rPr>
          <w:rFonts w:hint="eastAsia" w:ascii="宋体" w:hAnsi="宋体" w:cs="宋体"/>
          <w:color w:val="auto"/>
          <w:sz w:val="24"/>
          <w:szCs w:val="24"/>
        </w:rPr>
      </w:pPr>
    </w:p>
    <w:p>
      <w:pPr>
        <w:adjustRightInd w:val="0"/>
        <w:snapToGrid w:val="0"/>
        <w:spacing w:line="360" w:lineRule="auto"/>
        <w:ind w:right="420"/>
        <w:jc w:val="right"/>
        <w:rPr>
          <w:rFonts w:hint="eastAsia" w:ascii="宋体" w:hAnsi="宋体" w:cs="宋体"/>
          <w:color w:val="auto"/>
          <w:sz w:val="24"/>
          <w:szCs w:val="24"/>
        </w:rPr>
      </w:pPr>
      <w:r>
        <w:rPr>
          <w:rFonts w:hint="eastAsia" w:ascii="宋体" w:hAnsi="宋体" w:cs="宋体"/>
          <w:color w:val="auto"/>
          <w:sz w:val="24"/>
          <w:szCs w:val="24"/>
        </w:rPr>
        <w:t>供应商名称（盖单位章）：</w:t>
      </w:r>
    </w:p>
    <w:p>
      <w:pPr>
        <w:adjustRightInd w:val="0"/>
        <w:snapToGrid w:val="0"/>
        <w:spacing w:line="360" w:lineRule="auto"/>
        <w:ind w:right="420"/>
        <w:jc w:val="righ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日      </w:t>
      </w:r>
    </w:p>
    <w:p>
      <w:pPr>
        <w:adjustRightInd w:val="0"/>
        <w:snapToGrid w:val="0"/>
        <w:spacing w:before="156" w:beforeLines="50" w:line="360" w:lineRule="auto"/>
        <w:rPr>
          <w:rFonts w:hint="eastAsia" w:ascii="宋体" w:hAnsi="宋体" w:cs="宋体"/>
          <w:color w:val="auto"/>
          <w:szCs w:val="21"/>
        </w:rPr>
      </w:pPr>
    </w:p>
    <w:p>
      <w:pPr>
        <w:adjustRightInd w:val="0"/>
        <w:snapToGrid w:val="0"/>
        <w:spacing w:before="156" w:beforeLines="50" w:line="360" w:lineRule="auto"/>
        <w:rPr>
          <w:rFonts w:hint="eastAsia" w:ascii="宋体" w:hAnsi="宋体" w:cs="宋体"/>
          <w:color w:val="auto"/>
          <w:szCs w:val="21"/>
        </w:rPr>
      </w:pPr>
    </w:p>
    <w:p>
      <w:pPr>
        <w:adjustRightInd w:val="0"/>
        <w:snapToGrid w:val="0"/>
        <w:spacing w:before="156" w:beforeLines="50" w:line="360" w:lineRule="auto"/>
        <w:rPr>
          <w:rFonts w:hint="eastAsia" w:ascii="宋体" w:hAnsi="宋体" w:cs="宋体"/>
          <w:color w:val="auto"/>
          <w:sz w:val="32"/>
          <w:szCs w:val="32"/>
        </w:rPr>
      </w:pPr>
      <w:r>
        <w:rPr>
          <w:rFonts w:hint="eastAsia" w:ascii="宋体" w:hAnsi="宋体" w:cs="宋体"/>
          <w:color w:val="auto"/>
          <w:szCs w:val="21"/>
        </w:rPr>
        <w:br w:type="page"/>
      </w:r>
      <w:r>
        <w:rPr>
          <w:rFonts w:hint="eastAsia" w:ascii="宋体" w:hAnsi="宋体" w:cs="宋体"/>
          <w:bCs/>
          <w:color w:val="auto"/>
          <w:sz w:val="32"/>
          <w:szCs w:val="32"/>
        </w:rPr>
        <w:t>附件2</w:t>
      </w:r>
    </w:p>
    <w:p>
      <w:pPr>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法定代表人授权书(委托代理人参加磋商)</w:t>
      </w:r>
    </w:p>
    <w:p>
      <w:pPr>
        <w:adjustRightInd w:val="0"/>
        <w:snapToGrid w:val="0"/>
        <w:spacing w:line="360" w:lineRule="auto"/>
        <w:jc w:val="center"/>
        <w:rPr>
          <w:rFonts w:hint="eastAsia" w:ascii="宋体" w:hAnsi="宋体" w:cs="宋体"/>
          <w:b/>
          <w:bCs/>
          <w:color w:val="auto"/>
          <w:sz w:val="28"/>
          <w:szCs w:val="28"/>
        </w:rPr>
      </w:pPr>
    </w:p>
    <w:p>
      <w:pPr>
        <w:autoSpaceDE w:val="0"/>
        <w:autoSpaceDN w:val="0"/>
        <w:adjustRightInd w:val="0"/>
        <w:snapToGrid w:val="0"/>
        <w:spacing w:before="156" w:beforeLines="50"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本人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（姓名、职务）系</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r>
        <w:rPr>
          <w:rFonts w:hint="eastAsia" w:ascii="宋体" w:hAnsi="宋体" w:cs="宋体"/>
          <w:color w:val="auto"/>
          <w:sz w:val="24"/>
          <w:szCs w:val="24"/>
        </w:rPr>
        <w:t>供应商</w:t>
      </w:r>
      <w:r>
        <w:rPr>
          <w:rFonts w:hint="eastAsia" w:ascii="宋体" w:hAnsi="宋体" w:cs="宋体"/>
          <w:color w:val="auto"/>
          <w:kern w:val="0"/>
          <w:sz w:val="24"/>
          <w:szCs w:val="24"/>
        </w:rPr>
        <w:t>名称）的法定代表人，现授权</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（姓名、职务）为我方代理人。代理人根据授权，以我方名义：(1)签署、澄清、补正、修改、撤回、提交</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（项目名称、</w:t>
      </w:r>
      <w:r>
        <w:rPr>
          <w:rFonts w:hint="eastAsia" w:ascii="宋体" w:hAnsi="宋体" w:cs="宋体"/>
          <w:color w:val="auto"/>
          <w:sz w:val="24"/>
          <w:szCs w:val="24"/>
          <w:lang w:eastAsia="zh-CN"/>
        </w:rPr>
        <w:t>项目</w:t>
      </w:r>
      <w:r>
        <w:rPr>
          <w:rFonts w:hint="eastAsia" w:ascii="宋体" w:hAnsi="宋体" w:cs="宋体"/>
          <w:color w:val="auto"/>
          <w:kern w:val="0"/>
          <w:sz w:val="24"/>
          <w:szCs w:val="24"/>
        </w:rPr>
        <w:t>编号）响应文件；(2)签署并重新提交响应文件及最后报价；(3)退出磋商；(4)签订合同和处理有关事宜，其法律后果由我方承担。</w:t>
      </w:r>
    </w:p>
    <w:p>
      <w:pPr>
        <w:autoSpaceDE w:val="0"/>
        <w:autoSpaceDN w:val="0"/>
        <w:adjustRightInd w:val="0"/>
        <w:snapToGrid w:val="0"/>
        <w:spacing w:before="156" w:beforeLines="50"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委托期限：</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pPr>
        <w:spacing w:line="360" w:lineRule="auto"/>
        <w:ind w:firstLine="435"/>
        <w:rPr>
          <w:rFonts w:hint="eastAsia" w:ascii="宋体" w:hAnsi="宋体" w:cs="宋体"/>
          <w:color w:val="auto"/>
          <w:kern w:val="0"/>
          <w:sz w:val="24"/>
          <w:szCs w:val="24"/>
        </w:rPr>
      </w:pPr>
      <w:r>
        <w:rPr>
          <w:rFonts w:hint="eastAsia" w:ascii="宋体" w:hAnsi="宋体" w:cs="宋体"/>
          <w:color w:val="auto"/>
          <w:kern w:val="0"/>
          <w:sz w:val="24"/>
          <w:szCs w:val="24"/>
        </w:rPr>
        <w:t>代理人无转委托权。</w:t>
      </w:r>
    </w:p>
    <w:p>
      <w:pPr>
        <w:spacing w:line="360" w:lineRule="auto"/>
        <w:ind w:firstLine="435"/>
        <w:rPr>
          <w:rFonts w:hint="eastAsia" w:ascii="宋体" w:hAnsi="宋体" w:cs="宋体"/>
          <w:color w:val="auto"/>
          <w:sz w:val="24"/>
          <w:szCs w:val="24"/>
        </w:rPr>
      </w:pPr>
      <w:r>
        <w:rPr>
          <w:rFonts w:hint="eastAsia" w:ascii="宋体" w:hAnsi="宋体" w:cs="宋体"/>
          <w:color w:val="auto"/>
          <w:sz w:val="24"/>
          <w:szCs w:val="24"/>
        </w:rPr>
        <w:t>本授权书于</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adjustRightInd w:val="0"/>
        <w:snapToGrid w:val="0"/>
        <w:spacing w:before="156" w:beforeLines="5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附：委托代理人身份证复印件及法定代表人身份证明(附件1，原件)</w:t>
      </w: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p>
    <w:p>
      <w:pPr>
        <w:adjustRightInd w:val="0"/>
        <w:snapToGrid w:val="0"/>
        <w:spacing w:line="360" w:lineRule="auto"/>
        <w:ind w:right="420"/>
        <w:jc w:val="right"/>
        <w:rPr>
          <w:rFonts w:hint="eastAsia" w:ascii="宋体" w:hAnsi="宋体" w:cs="宋体"/>
          <w:color w:val="auto"/>
          <w:sz w:val="24"/>
          <w:szCs w:val="24"/>
        </w:rPr>
      </w:pPr>
      <w:r>
        <w:rPr>
          <w:rFonts w:hint="eastAsia" w:ascii="宋体" w:hAnsi="宋体" w:cs="宋体"/>
          <w:color w:val="auto"/>
          <w:sz w:val="24"/>
          <w:szCs w:val="24"/>
        </w:rPr>
        <w:t>供应商名称（盖单位章）：</w:t>
      </w:r>
    </w:p>
    <w:p>
      <w:pPr>
        <w:adjustRightInd w:val="0"/>
        <w:snapToGrid w:val="0"/>
        <w:spacing w:line="360" w:lineRule="auto"/>
        <w:ind w:right="420"/>
        <w:jc w:val="right"/>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eastAsia="zh-CN"/>
        </w:rPr>
        <w:t>或</w:t>
      </w:r>
      <w:r>
        <w:rPr>
          <w:rFonts w:hint="eastAsia" w:ascii="宋体" w:hAnsi="宋体" w:cs="宋体"/>
          <w:color w:val="auto"/>
          <w:sz w:val="24"/>
          <w:szCs w:val="24"/>
        </w:rPr>
        <w:t>委托代理人（签字）：</w:t>
      </w:r>
      <w:r>
        <w:rPr>
          <w:rFonts w:hint="eastAsia" w:ascii="宋体" w:hAnsi="宋体" w:cs="宋体"/>
          <w:color w:val="auto"/>
          <w:sz w:val="24"/>
          <w:szCs w:val="24"/>
          <w:u w:val="single"/>
        </w:rPr>
        <w:t xml:space="preserve">                                       </w:t>
      </w:r>
    </w:p>
    <w:p>
      <w:pPr>
        <w:adjustRightInd w:val="0"/>
        <w:snapToGrid w:val="0"/>
        <w:spacing w:line="360" w:lineRule="auto"/>
        <w:ind w:right="24"/>
        <w:jc w:val="right"/>
        <w:rPr>
          <w:rFonts w:hint="eastAsia" w:ascii="宋体" w:hAnsi="宋体" w:cs="宋体"/>
          <w:color w:val="auto"/>
          <w:szCs w:val="21"/>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spacing w:line="360" w:lineRule="auto"/>
        <w:rPr>
          <w:rFonts w:hint="eastAsia" w:ascii="宋体" w:hAnsi="宋体" w:cs="宋体"/>
          <w:b/>
          <w:color w:val="auto"/>
        </w:rPr>
      </w:pPr>
    </w:p>
    <w:p>
      <w:pPr>
        <w:spacing w:line="360" w:lineRule="auto"/>
        <w:rPr>
          <w:rFonts w:hint="eastAsia" w:ascii="宋体" w:hAnsi="宋体" w:cs="宋体"/>
          <w:b/>
          <w:color w:val="auto"/>
        </w:rPr>
      </w:pPr>
    </w:p>
    <w:p>
      <w:pPr>
        <w:spacing w:line="360" w:lineRule="auto"/>
        <w:rPr>
          <w:rFonts w:hint="eastAsia" w:ascii="宋体" w:hAnsi="宋体" w:cs="宋体"/>
          <w:b/>
          <w:color w:val="auto"/>
        </w:rPr>
      </w:pPr>
    </w:p>
    <w:p>
      <w:pPr>
        <w:spacing w:line="360" w:lineRule="auto"/>
        <w:rPr>
          <w:rFonts w:hint="eastAsia" w:ascii="宋体" w:hAnsi="宋体" w:cs="宋体"/>
          <w:b/>
          <w:color w:val="auto"/>
        </w:rPr>
      </w:pPr>
    </w:p>
    <w:p>
      <w:pPr>
        <w:pStyle w:val="24"/>
        <w:adjustRightInd w:val="0"/>
        <w:snapToGrid w:val="0"/>
        <w:spacing w:line="360" w:lineRule="auto"/>
        <w:rPr>
          <w:rFonts w:hint="eastAsia" w:hAnsi="宋体" w:cs="宋体"/>
          <w:b/>
          <w:color w:val="auto"/>
          <w:sz w:val="32"/>
          <w:szCs w:val="32"/>
        </w:rPr>
      </w:pPr>
    </w:p>
    <w:p>
      <w:pPr>
        <w:pStyle w:val="24"/>
        <w:adjustRightInd w:val="0"/>
        <w:snapToGrid w:val="0"/>
        <w:spacing w:line="360" w:lineRule="auto"/>
        <w:rPr>
          <w:rFonts w:hint="eastAsia" w:hAnsi="宋体" w:cs="宋体"/>
          <w:b/>
          <w:color w:val="auto"/>
          <w:sz w:val="32"/>
          <w:szCs w:val="32"/>
        </w:rPr>
      </w:pPr>
    </w:p>
    <w:p>
      <w:pPr>
        <w:spacing w:line="360" w:lineRule="auto"/>
        <w:jc w:val="center"/>
        <w:outlineLvl w:val="9"/>
        <w:rPr>
          <w:rFonts w:hint="eastAsia" w:hAnsi="宋体" w:cs="宋体"/>
          <w:b/>
          <w:color w:val="auto"/>
          <w:sz w:val="28"/>
          <w:szCs w:val="28"/>
        </w:rPr>
      </w:pPr>
    </w:p>
    <w:p>
      <w:pPr>
        <w:spacing w:line="360" w:lineRule="auto"/>
        <w:jc w:val="center"/>
        <w:outlineLvl w:val="9"/>
        <w:rPr>
          <w:rFonts w:hint="eastAsia" w:ascii="宋体" w:hAnsi="宋体" w:cs="宋体"/>
          <w:b/>
          <w:color w:val="auto"/>
          <w:sz w:val="28"/>
          <w:szCs w:val="28"/>
        </w:rPr>
      </w:pPr>
      <w:r>
        <w:rPr>
          <w:rFonts w:hint="eastAsia" w:hAnsi="宋体" w:cs="宋体"/>
          <w:b/>
          <w:color w:val="auto"/>
          <w:sz w:val="28"/>
          <w:szCs w:val="28"/>
        </w:rPr>
        <w:t>二、</w:t>
      </w:r>
      <w:r>
        <w:rPr>
          <w:rFonts w:hint="eastAsia" w:ascii="宋体" w:hAnsi="宋体" w:cs="宋体"/>
          <w:b/>
          <w:color w:val="auto"/>
          <w:sz w:val="28"/>
          <w:szCs w:val="28"/>
        </w:rPr>
        <w:t>报价一览表</w:t>
      </w:r>
    </w:p>
    <w:p>
      <w:pPr>
        <w:adjustRightInd w:val="0"/>
        <w:snapToGrid w:val="0"/>
        <w:spacing w:line="360" w:lineRule="auto"/>
        <w:ind w:firstLine="640" w:firstLineChars="200"/>
        <w:rPr>
          <w:rFonts w:hint="eastAsia" w:ascii="宋体" w:hAnsi="宋体" w:cs="宋体"/>
          <w:color w:val="auto"/>
          <w:sz w:val="24"/>
        </w:rPr>
      </w:pPr>
      <w:r>
        <w:rPr>
          <w:rFonts w:hint="eastAsia" w:ascii="宋体" w:hAnsi="宋体" w:cs="宋体"/>
          <w:color w:val="auto"/>
          <w:sz w:val="32"/>
          <w:szCs w:val="32"/>
        </w:rPr>
        <w:t>附件</w:t>
      </w:r>
      <w:r>
        <w:rPr>
          <w:rFonts w:hint="eastAsia" w:ascii="宋体" w:hAnsi="宋体" w:cs="宋体"/>
          <w:color w:val="auto"/>
          <w:sz w:val="32"/>
          <w:szCs w:val="32"/>
          <w:lang w:val="en-US" w:eastAsia="zh-CN"/>
        </w:rPr>
        <w:t>3</w:t>
      </w:r>
    </w:p>
    <w:p>
      <w:pPr>
        <w:pStyle w:val="4"/>
        <w:jc w:val="center"/>
        <w:rPr>
          <w:rFonts w:hint="eastAsia" w:ascii="宋体" w:hAnsi="宋体" w:eastAsia="宋体" w:cs="宋体"/>
          <w:color w:val="auto"/>
          <w:sz w:val="28"/>
          <w:szCs w:val="28"/>
          <w:lang w:eastAsia="zh-CN"/>
        </w:rPr>
      </w:pPr>
      <w:bookmarkStart w:id="32" w:name="_Toc6595202"/>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一览表</w:t>
      </w:r>
      <w:bookmarkEnd w:id="32"/>
      <w:r>
        <w:rPr>
          <w:rFonts w:hint="eastAsia" w:ascii="宋体" w:hAnsi="宋体" w:eastAsia="宋体" w:cs="宋体"/>
          <w:color w:val="auto"/>
          <w:sz w:val="28"/>
          <w:szCs w:val="28"/>
          <w:lang w:eastAsia="zh-CN"/>
        </w:rPr>
        <w:t>（首次）</w:t>
      </w:r>
    </w:p>
    <w:p>
      <w:pPr>
        <w:adjustRightInd w:val="0"/>
        <w:snapToGrid w:val="0"/>
        <w:rPr>
          <w:rFonts w:hint="eastAsia" w:ascii="新宋体" w:hAnsi="新宋体" w:eastAsia="新宋体"/>
          <w:b/>
          <w:color w:val="auto"/>
          <w:sz w:val="24"/>
        </w:rPr>
      </w:pPr>
    </w:p>
    <w:p>
      <w:pPr>
        <w:adjustRightInd w:val="0"/>
        <w:snapToGrid w:val="0"/>
        <w:spacing w:line="360" w:lineRule="auto"/>
        <w:ind w:firstLine="964" w:firstLineChars="4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p>
      <w:pPr>
        <w:adjustRightInd w:val="0"/>
        <w:snapToGrid w:val="0"/>
        <w:spacing w:line="360" w:lineRule="auto"/>
        <w:ind w:firstLine="964" w:firstLineChars="400"/>
        <w:rPr>
          <w:rFonts w:hint="eastAsia" w:ascii="宋体" w:hAnsi="宋体" w:eastAsia="宋体" w:cs="宋体"/>
          <w:b/>
          <w:color w:val="auto"/>
          <w:sz w:val="24"/>
          <w:szCs w:val="24"/>
        </w:rPr>
      </w:pPr>
      <w:r>
        <w:rPr>
          <w:rFonts w:hint="eastAsia" w:ascii="宋体" w:hAnsi="宋体" w:eastAsia="宋体" w:cs="宋体"/>
          <w:b/>
          <w:color w:val="auto"/>
          <w:sz w:val="24"/>
          <w:szCs w:val="24"/>
        </w:rPr>
        <w:t>项目编号：</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6495" w:type="dxa"/>
            <w:gridSpan w:val="2"/>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内容</w:t>
            </w:r>
          </w:p>
        </w:tc>
        <w:tc>
          <w:tcPr>
            <w:tcW w:w="1299"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4668" w:type="dxa"/>
            <w:tcBorders>
              <w:top w:val="single" w:color="auto" w:sz="4" w:space="0"/>
              <w:left w:val="single" w:color="auto" w:sz="4" w:space="0"/>
              <w:right w:val="single" w:color="auto" w:sz="4" w:space="0"/>
            </w:tcBorders>
            <w:vAlign w:val="center"/>
          </w:tcPr>
          <w:p>
            <w:pPr>
              <w:snapToGrid w:val="0"/>
              <w:spacing w:line="400" w:lineRule="exact"/>
              <w:rPr>
                <w:rFonts w:hint="eastAsia" w:ascii="宋体" w:hAnsi="宋体" w:eastAsia="宋体" w:cs="宋体"/>
                <w:color w:val="auto"/>
                <w:sz w:val="24"/>
                <w:szCs w:val="24"/>
              </w:rPr>
            </w:pPr>
          </w:p>
        </w:tc>
        <w:tc>
          <w:tcPr>
            <w:tcW w:w="1299"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82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投标报价</w:t>
            </w:r>
          </w:p>
        </w:tc>
        <w:tc>
          <w:tcPr>
            <w:tcW w:w="4668"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 w:val="24"/>
                <w:szCs w:val="24"/>
                <w:lang w:eastAsia="zh-CN"/>
              </w:rPr>
            </w:pPr>
          </w:p>
          <w:p>
            <w:pPr>
              <w:widowControl/>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小写：</w:t>
            </w:r>
            <w:r>
              <w:rPr>
                <w:rFonts w:hint="eastAsia" w:ascii="宋体" w:hAnsi="宋体" w:eastAsia="宋体" w:cs="宋体"/>
                <w:color w:val="auto"/>
                <w:sz w:val="24"/>
                <w:szCs w:val="24"/>
                <w:lang w:val="en-US" w:eastAsia="zh-CN"/>
              </w:rPr>
              <w:t xml:space="preserve">          元</w:t>
            </w:r>
          </w:p>
          <w:p>
            <w:pPr>
              <w:pStyle w:val="3"/>
              <w:rPr>
                <w:rFonts w:hint="eastAsia" w:ascii="宋体" w:hAnsi="宋体" w:eastAsia="宋体" w:cs="宋体"/>
                <w:color w:val="auto"/>
                <w:sz w:val="24"/>
                <w:szCs w:val="24"/>
                <w:lang w:val="en-US" w:eastAsia="zh-CN"/>
              </w:rPr>
            </w:pPr>
          </w:p>
          <w:p>
            <w:pPr>
              <w:widowControl/>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大写：</w:t>
            </w: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2559"/>
              <w:rPr>
                <w:rFonts w:hint="eastAsia" w:ascii="宋体" w:hAnsi="宋体" w:eastAsia="宋体" w:cs="宋体"/>
                <w:color w:val="auto"/>
                <w:sz w:val="24"/>
                <w:szCs w:val="24"/>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质量要求</w:t>
            </w:r>
          </w:p>
        </w:tc>
        <w:tc>
          <w:tcPr>
            <w:tcW w:w="4668"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hint="eastAsia" w:ascii="宋体" w:hAnsi="宋体" w:eastAsia="宋体" w:cs="宋体"/>
                <w:color w:val="auto"/>
                <w:sz w:val="24"/>
                <w:szCs w:val="24"/>
              </w:rPr>
            </w:pPr>
          </w:p>
        </w:tc>
        <w:tc>
          <w:tcPr>
            <w:tcW w:w="1299"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hint="eastAsia" w:ascii="宋体" w:hAnsi="宋体" w:eastAsia="宋体" w:cs="宋体"/>
                <w:color w:val="auto"/>
                <w:sz w:val="24"/>
                <w:szCs w:val="24"/>
              </w:rPr>
            </w:pPr>
          </w:p>
        </w:tc>
      </w:tr>
    </w:tbl>
    <w:p>
      <w:pPr>
        <w:adjustRightInd w:val="0"/>
        <w:snapToGrid w:val="0"/>
        <w:spacing w:line="360" w:lineRule="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 1、报价一经涂改，应在涂改处加盖单位公章或者由法定代表人或授权委托人签字或盖章，否则其投标作无效标处理。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2、投标人须按本报价一览表格式制作“最后报价表”，并加盖单位公章后自行带至磋商现场，经磋商后由各投标人填写最后报价。</w:t>
      </w:r>
    </w:p>
    <w:p>
      <w:pPr>
        <w:adjustRightInd w:val="0"/>
        <w:snapToGrid w:val="0"/>
        <w:spacing w:line="360" w:lineRule="auto"/>
        <w:rPr>
          <w:rFonts w:hint="eastAsia" w:ascii="宋体" w:hAnsi="宋体" w:eastAsia="宋体" w:cs="宋体"/>
          <w:color w:val="auto"/>
          <w:sz w:val="24"/>
          <w:szCs w:val="24"/>
        </w:rPr>
      </w:pPr>
    </w:p>
    <w:p>
      <w:pPr>
        <w:adjustRightInd w:val="0"/>
        <w:snapToGrid w:val="0"/>
        <w:spacing w:line="360" w:lineRule="auto"/>
        <w:rPr>
          <w:rFonts w:hint="eastAsia" w:ascii="宋体" w:hAnsi="宋体" w:eastAsia="宋体" w:cs="宋体"/>
          <w:color w:val="auto"/>
          <w:sz w:val="24"/>
          <w:szCs w:val="24"/>
        </w:rPr>
      </w:pPr>
    </w:p>
    <w:p>
      <w:pPr>
        <w:adjustRightInd w:val="0"/>
        <w:snapToGrid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（盖单位章）：</w:t>
      </w:r>
    </w:p>
    <w:p>
      <w:pPr>
        <w:adjustRightInd w:val="0"/>
        <w:snapToGrid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r>
        <w:rPr>
          <w:rFonts w:hint="eastAsia" w:ascii="宋体" w:hAnsi="宋体" w:eastAsia="宋体" w:cs="宋体"/>
          <w:color w:val="auto"/>
          <w:sz w:val="24"/>
          <w:szCs w:val="24"/>
          <w:u w:val="single"/>
        </w:rPr>
        <w:t xml:space="preserve">       </w:t>
      </w:r>
    </w:p>
    <w:p>
      <w:pPr>
        <w:adjustRightInd w:val="0"/>
        <w:snapToGrid w:val="0"/>
        <w:spacing w:line="360" w:lineRule="auto"/>
        <w:jc w:val="right"/>
        <w:rPr>
          <w:rFonts w:hint="eastAsia" w:ascii="宋体" w:hAnsi="宋体" w:eastAsia="宋体" w:cs="宋体"/>
          <w:b/>
          <w:color w:val="auto"/>
          <w:sz w:val="24"/>
          <w:szCs w:val="24"/>
        </w:rPr>
      </w:pPr>
      <w:bookmarkStart w:id="33" w:name="_Toc446500173"/>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bookmarkEnd w:id="33"/>
    </w:p>
    <w:p>
      <w:pPr>
        <w:adjustRightInd w:val="0"/>
        <w:snapToGrid w:val="0"/>
        <w:spacing w:line="360" w:lineRule="auto"/>
        <w:jc w:val="center"/>
        <w:outlineLvl w:val="9"/>
        <w:rPr>
          <w:rFonts w:hint="eastAsia" w:ascii="宋体" w:hAnsi="宋体"/>
          <w:b/>
          <w:color w:val="auto"/>
          <w:sz w:val="28"/>
          <w:szCs w:val="28"/>
          <w:u w:val="none"/>
        </w:rPr>
      </w:pPr>
      <w:r>
        <w:rPr>
          <w:rFonts w:ascii="新宋体" w:hAnsi="新宋体" w:eastAsia="新宋体"/>
          <w:b w:val="0"/>
          <w:color w:val="auto"/>
          <w:sz w:val="28"/>
          <w:szCs w:val="28"/>
        </w:rPr>
        <w:br w:type="page"/>
      </w:r>
      <w:r>
        <w:rPr>
          <w:rFonts w:hint="eastAsia" w:ascii="宋体" w:hAnsi="宋体" w:cs="宋体"/>
          <w:b/>
          <w:color w:val="auto"/>
          <w:sz w:val="28"/>
          <w:szCs w:val="28"/>
        </w:rPr>
        <w:t>分项</w:t>
      </w:r>
      <w:r>
        <w:rPr>
          <w:rFonts w:hint="eastAsia" w:ascii="宋体" w:hAnsi="宋体" w:cs="宋体"/>
          <w:b/>
          <w:color w:val="auto"/>
          <w:sz w:val="28"/>
          <w:szCs w:val="28"/>
          <w:lang w:eastAsia="zh-CN"/>
        </w:rPr>
        <w:t>明细报价</w:t>
      </w:r>
      <w:r>
        <w:rPr>
          <w:rFonts w:hint="eastAsia" w:ascii="宋体" w:hAnsi="宋体" w:cs="宋体"/>
          <w:b/>
          <w:color w:val="auto"/>
          <w:sz w:val="28"/>
          <w:szCs w:val="28"/>
        </w:rPr>
        <w:t>表</w:t>
      </w:r>
    </w:p>
    <w:tbl>
      <w:tblPr>
        <w:tblStyle w:val="47"/>
        <w:tblpPr w:leftFromText="180" w:rightFromText="180" w:vertAnchor="text" w:horzAnchor="page" w:tblpX="1266" w:tblpY="236"/>
        <w:tblOverlap w:val="never"/>
        <w:tblW w:w="10519" w:type="dxa"/>
        <w:tblInd w:w="0" w:type="dxa"/>
        <w:tblLayout w:type="fixed"/>
        <w:tblCellMar>
          <w:top w:w="0" w:type="dxa"/>
          <w:left w:w="108" w:type="dxa"/>
          <w:bottom w:w="0" w:type="dxa"/>
          <w:right w:w="108" w:type="dxa"/>
        </w:tblCellMar>
      </w:tblPr>
      <w:tblGrid>
        <w:gridCol w:w="794"/>
        <w:gridCol w:w="1961"/>
        <w:gridCol w:w="1908"/>
        <w:gridCol w:w="1360"/>
        <w:gridCol w:w="1046"/>
        <w:gridCol w:w="1138"/>
        <w:gridCol w:w="1287"/>
        <w:gridCol w:w="1025"/>
      </w:tblGrid>
      <w:tr>
        <w:tblPrEx>
          <w:tblCellMar>
            <w:top w:w="0" w:type="dxa"/>
            <w:left w:w="108" w:type="dxa"/>
            <w:bottom w:w="0" w:type="dxa"/>
            <w:right w:w="108" w:type="dxa"/>
          </w:tblCellMar>
        </w:tblPrEx>
        <w:trPr>
          <w:trHeight w:val="755" w:hRule="atLeast"/>
        </w:trPr>
        <w:tc>
          <w:tcPr>
            <w:tcW w:w="794" w:type="dxa"/>
            <w:tcBorders>
              <w:top w:val="single" w:color="auto" w:sz="4" w:space="0"/>
              <w:left w:val="single" w:color="auto" w:sz="4" w:space="0"/>
              <w:bottom w:val="single" w:color="auto" w:sz="4" w:space="0"/>
              <w:right w:val="single" w:color="auto" w:sz="4" w:space="0"/>
            </w:tcBorders>
            <w:vAlign w:val="center"/>
          </w:tcPr>
          <w:p>
            <w:pPr>
              <w:pStyle w:val="259"/>
              <w:spacing w:line="480" w:lineRule="exact"/>
              <w:ind w:left="-13" w:leftChars="-50" w:hanging="92" w:hangingChars="38"/>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货物名称</w:t>
            </w:r>
          </w:p>
        </w:tc>
        <w:tc>
          <w:tcPr>
            <w:tcW w:w="1961" w:type="dxa"/>
            <w:tcBorders>
              <w:top w:val="single" w:color="auto" w:sz="4" w:space="0"/>
              <w:left w:val="nil"/>
              <w:bottom w:val="single" w:color="auto" w:sz="4" w:space="0"/>
              <w:right w:val="single" w:color="auto" w:sz="4" w:space="0"/>
            </w:tcBorders>
            <w:vAlign w:val="center"/>
          </w:tcPr>
          <w:p>
            <w:pPr>
              <w:pStyle w:val="259"/>
              <w:spacing w:line="480" w:lineRule="exact"/>
              <w:ind w:left="-13" w:leftChars="-50" w:hanging="92" w:hangingChars="38"/>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规格型号</w:t>
            </w:r>
          </w:p>
        </w:tc>
        <w:tc>
          <w:tcPr>
            <w:tcW w:w="190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生产厂家</w:t>
            </w:r>
          </w:p>
        </w:tc>
        <w:tc>
          <w:tcPr>
            <w:tcW w:w="136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品牌</w:t>
            </w:r>
          </w:p>
        </w:tc>
        <w:tc>
          <w:tcPr>
            <w:tcW w:w="104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数量</w:t>
            </w:r>
          </w:p>
        </w:tc>
        <w:tc>
          <w:tcPr>
            <w:tcW w:w="113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单价</w:t>
            </w:r>
          </w:p>
        </w:tc>
        <w:tc>
          <w:tcPr>
            <w:tcW w:w="1287" w:type="dxa"/>
            <w:tcBorders>
              <w:top w:val="single" w:color="auto" w:sz="4" w:space="0"/>
              <w:left w:val="nil"/>
              <w:bottom w:val="single" w:color="auto" w:sz="4" w:space="0"/>
              <w:right w:val="single" w:color="auto" w:sz="4" w:space="0"/>
            </w:tcBorders>
            <w:vAlign w:val="center"/>
          </w:tcPr>
          <w:p>
            <w:pPr>
              <w:ind w:firstLine="241" w:firstLineChars="1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合</w:t>
            </w:r>
            <w:r>
              <w:rPr>
                <w:rFonts w:hint="eastAsia" w:ascii="宋体" w:hAnsi="宋体" w:eastAsia="宋体" w:cs="宋体"/>
                <w:b/>
                <w:bCs/>
                <w:color w:val="auto"/>
                <w:sz w:val="24"/>
                <w:szCs w:val="24"/>
                <w:lang w:val="en-US" w:eastAsia="zh-CN"/>
              </w:rPr>
              <w:t>价</w:t>
            </w:r>
          </w:p>
        </w:tc>
        <w:tc>
          <w:tcPr>
            <w:tcW w:w="1025" w:type="dxa"/>
            <w:tcBorders>
              <w:top w:val="single" w:color="auto" w:sz="4" w:space="0"/>
              <w:left w:val="nil"/>
              <w:bottom w:val="single" w:color="auto" w:sz="4" w:space="0"/>
              <w:right w:val="single" w:color="auto" w:sz="4" w:space="0"/>
            </w:tcBorders>
            <w:vAlign w:val="center"/>
          </w:tcPr>
          <w:p>
            <w:pPr>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CellMar>
            <w:top w:w="0" w:type="dxa"/>
            <w:left w:w="108" w:type="dxa"/>
            <w:bottom w:w="0" w:type="dxa"/>
            <w:right w:w="108" w:type="dxa"/>
          </w:tblCellMar>
        </w:tblPrEx>
        <w:trPr>
          <w:trHeight w:val="622" w:hRule="atLeast"/>
        </w:trPr>
        <w:tc>
          <w:tcPr>
            <w:tcW w:w="794" w:type="dxa"/>
            <w:tcBorders>
              <w:top w:val="nil"/>
              <w:left w:val="single" w:color="auto" w:sz="4" w:space="0"/>
              <w:bottom w:val="single" w:color="auto" w:sz="4" w:space="0"/>
              <w:right w:val="single" w:color="auto" w:sz="4" w:space="0"/>
            </w:tcBorders>
            <w:shd w:val="clear" w:color="auto" w:fill="FFFFFF"/>
            <w:vAlign w:val="center"/>
          </w:tcPr>
          <w:p>
            <w:pPr>
              <w:ind w:firstLine="0" w:firstLineChars="0"/>
              <w:jc w:val="center"/>
              <w:rPr>
                <w:rFonts w:hint="eastAsia" w:ascii="宋体" w:hAnsi="宋体" w:eastAsia="宋体" w:cs="宋体"/>
                <w:b/>
                <w:bCs/>
                <w:color w:val="auto"/>
                <w:sz w:val="24"/>
                <w:szCs w:val="24"/>
              </w:rPr>
            </w:pPr>
          </w:p>
        </w:tc>
        <w:tc>
          <w:tcPr>
            <w:tcW w:w="1961" w:type="dxa"/>
            <w:tcBorders>
              <w:top w:val="nil"/>
              <w:left w:val="nil"/>
              <w:bottom w:val="single" w:color="auto" w:sz="4" w:space="0"/>
              <w:right w:val="single" w:color="auto" w:sz="4" w:space="0"/>
            </w:tcBorders>
            <w:shd w:val="clear" w:color="auto" w:fill="FFFFFF"/>
            <w:vAlign w:val="center"/>
          </w:tcPr>
          <w:p>
            <w:pPr>
              <w:ind w:firstLine="420"/>
              <w:rPr>
                <w:rFonts w:hint="eastAsia" w:ascii="宋体" w:hAnsi="宋体" w:eastAsia="宋体" w:cs="宋体"/>
                <w:color w:val="auto"/>
                <w:sz w:val="24"/>
                <w:szCs w:val="24"/>
              </w:rPr>
            </w:pPr>
          </w:p>
        </w:tc>
        <w:tc>
          <w:tcPr>
            <w:tcW w:w="1908" w:type="dxa"/>
            <w:tcBorders>
              <w:top w:val="nil"/>
              <w:left w:val="nil"/>
              <w:bottom w:val="single" w:color="auto" w:sz="4" w:space="0"/>
              <w:right w:val="single" w:color="auto" w:sz="4" w:space="0"/>
            </w:tcBorders>
            <w:shd w:val="clear" w:color="auto" w:fill="FFFFFF"/>
            <w:vAlign w:val="center"/>
          </w:tcPr>
          <w:p>
            <w:pPr>
              <w:ind w:firstLine="420"/>
              <w:rPr>
                <w:rFonts w:hint="eastAsia" w:ascii="宋体" w:hAnsi="宋体" w:eastAsia="宋体" w:cs="宋体"/>
                <w:color w:val="auto"/>
                <w:sz w:val="24"/>
                <w:szCs w:val="24"/>
              </w:rPr>
            </w:pPr>
          </w:p>
        </w:tc>
        <w:tc>
          <w:tcPr>
            <w:tcW w:w="1360" w:type="dxa"/>
            <w:tcBorders>
              <w:top w:val="nil"/>
              <w:left w:val="nil"/>
              <w:bottom w:val="single" w:color="auto" w:sz="4" w:space="0"/>
              <w:right w:val="single" w:color="auto" w:sz="4" w:space="0"/>
            </w:tcBorders>
            <w:shd w:val="clear" w:color="auto" w:fill="FFFFFF"/>
            <w:vAlign w:val="center"/>
          </w:tcPr>
          <w:p>
            <w:pPr>
              <w:ind w:firstLine="420"/>
              <w:rPr>
                <w:rFonts w:hint="eastAsia" w:ascii="宋体" w:hAnsi="宋体" w:eastAsia="宋体" w:cs="宋体"/>
                <w:color w:val="auto"/>
                <w:sz w:val="24"/>
                <w:szCs w:val="24"/>
              </w:rPr>
            </w:pPr>
          </w:p>
        </w:tc>
        <w:tc>
          <w:tcPr>
            <w:tcW w:w="1046" w:type="dxa"/>
            <w:tcBorders>
              <w:top w:val="nil"/>
              <w:left w:val="nil"/>
              <w:bottom w:val="single" w:color="auto" w:sz="4" w:space="0"/>
              <w:right w:val="single" w:color="auto" w:sz="4" w:space="0"/>
            </w:tcBorders>
            <w:shd w:val="clear" w:color="auto" w:fill="FFFFFF"/>
            <w:vAlign w:val="center"/>
          </w:tcPr>
          <w:p>
            <w:pPr>
              <w:ind w:firstLine="420"/>
              <w:rPr>
                <w:rFonts w:hint="eastAsia" w:ascii="宋体" w:hAnsi="宋体" w:eastAsia="宋体" w:cs="宋体"/>
                <w:color w:val="auto"/>
                <w:sz w:val="24"/>
                <w:szCs w:val="24"/>
              </w:rPr>
            </w:pPr>
          </w:p>
        </w:tc>
        <w:tc>
          <w:tcPr>
            <w:tcW w:w="1138"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287"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025" w:type="dxa"/>
            <w:tcBorders>
              <w:top w:val="nil"/>
              <w:left w:val="nil"/>
              <w:bottom w:val="single" w:color="auto" w:sz="4" w:space="0"/>
              <w:right w:val="single" w:color="auto" w:sz="4" w:space="0"/>
            </w:tcBorders>
            <w:vAlign w:val="center"/>
          </w:tcPr>
          <w:p>
            <w:pPr>
              <w:ind w:firstLine="420"/>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99" w:hRule="atLeast"/>
        </w:trPr>
        <w:tc>
          <w:tcPr>
            <w:tcW w:w="794"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hint="eastAsia" w:ascii="宋体" w:hAnsi="宋体" w:eastAsia="宋体" w:cs="宋体"/>
                <w:color w:val="auto"/>
                <w:sz w:val="24"/>
                <w:szCs w:val="24"/>
              </w:rPr>
            </w:pPr>
          </w:p>
        </w:tc>
        <w:tc>
          <w:tcPr>
            <w:tcW w:w="1961" w:type="dxa"/>
            <w:tcBorders>
              <w:top w:val="nil"/>
              <w:left w:val="nil"/>
              <w:bottom w:val="single" w:color="auto" w:sz="4" w:space="0"/>
              <w:right w:val="single" w:color="auto" w:sz="4" w:space="0"/>
            </w:tcBorders>
            <w:shd w:val="clear" w:color="auto" w:fill="auto"/>
            <w:vAlign w:val="center"/>
          </w:tcPr>
          <w:p>
            <w:pPr>
              <w:ind w:firstLine="420"/>
              <w:rPr>
                <w:rFonts w:hint="eastAsia" w:ascii="宋体" w:hAnsi="宋体" w:eastAsia="宋体" w:cs="宋体"/>
                <w:color w:val="auto"/>
                <w:sz w:val="24"/>
                <w:szCs w:val="24"/>
              </w:rPr>
            </w:pPr>
          </w:p>
        </w:tc>
        <w:tc>
          <w:tcPr>
            <w:tcW w:w="1908" w:type="dxa"/>
            <w:tcBorders>
              <w:top w:val="nil"/>
              <w:left w:val="nil"/>
              <w:bottom w:val="single" w:color="auto" w:sz="4" w:space="0"/>
              <w:right w:val="single" w:color="auto" w:sz="4" w:space="0"/>
            </w:tcBorders>
            <w:shd w:val="clear" w:color="auto" w:fill="auto"/>
            <w:vAlign w:val="center"/>
          </w:tcPr>
          <w:p>
            <w:pPr>
              <w:ind w:firstLine="420"/>
              <w:rPr>
                <w:rFonts w:hint="eastAsia" w:ascii="宋体" w:hAnsi="宋体" w:eastAsia="宋体" w:cs="宋体"/>
                <w:color w:val="auto"/>
                <w:sz w:val="24"/>
                <w:szCs w:val="24"/>
              </w:rPr>
            </w:pPr>
          </w:p>
        </w:tc>
        <w:tc>
          <w:tcPr>
            <w:tcW w:w="1360" w:type="dxa"/>
            <w:tcBorders>
              <w:top w:val="nil"/>
              <w:left w:val="nil"/>
              <w:bottom w:val="single" w:color="auto" w:sz="4" w:space="0"/>
              <w:right w:val="single" w:color="auto" w:sz="4" w:space="0"/>
            </w:tcBorders>
            <w:shd w:val="clear" w:color="auto" w:fill="auto"/>
            <w:vAlign w:val="center"/>
          </w:tcPr>
          <w:p>
            <w:pPr>
              <w:ind w:firstLine="420"/>
              <w:rPr>
                <w:rFonts w:hint="eastAsia" w:ascii="宋体" w:hAnsi="宋体" w:eastAsia="宋体" w:cs="宋体"/>
                <w:color w:val="auto"/>
                <w:sz w:val="24"/>
                <w:szCs w:val="24"/>
              </w:rPr>
            </w:pPr>
          </w:p>
        </w:tc>
        <w:tc>
          <w:tcPr>
            <w:tcW w:w="1046" w:type="dxa"/>
            <w:tcBorders>
              <w:top w:val="nil"/>
              <w:left w:val="nil"/>
              <w:bottom w:val="single" w:color="auto" w:sz="4" w:space="0"/>
              <w:right w:val="single" w:color="auto" w:sz="4" w:space="0"/>
            </w:tcBorders>
            <w:shd w:val="clear" w:color="auto" w:fill="auto"/>
            <w:vAlign w:val="center"/>
          </w:tcPr>
          <w:p>
            <w:pPr>
              <w:ind w:firstLine="420"/>
              <w:rPr>
                <w:rFonts w:hint="eastAsia" w:ascii="宋体" w:hAnsi="宋体" w:eastAsia="宋体" w:cs="宋体"/>
                <w:color w:val="auto"/>
                <w:sz w:val="24"/>
                <w:szCs w:val="24"/>
              </w:rPr>
            </w:pPr>
          </w:p>
        </w:tc>
        <w:tc>
          <w:tcPr>
            <w:tcW w:w="1138" w:type="dxa"/>
            <w:tcBorders>
              <w:top w:val="nil"/>
              <w:left w:val="nil"/>
              <w:bottom w:val="single" w:color="auto" w:sz="4" w:space="0"/>
              <w:right w:val="single" w:color="auto" w:sz="4" w:space="0"/>
            </w:tcBorders>
            <w:shd w:val="clear" w:color="auto" w:fill="FFFFFF"/>
            <w:vAlign w:val="center"/>
          </w:tcPr>
          <w:p>
            <w:pPr>
              <w:ind w:firstLine="422"/>
              <w:jc w:val="center"/>
              <w:rPr>
                <w:rFonts w:hint="eastAsia" w:ascii="宋体" w:hAnsi="宋体" w:eastAsia="宋体" w:cs="宋体"/>
                <w:b/>
                <w:bCs/>
                <w:color w:val="auto"/>
                <w:sz w:val="24"/>
                <w:szCs w:val="24"/>
              </w:rPr>
            </w:pPr>
          </w:p>
        </w:tc>
        <w:tc>
          <w:tcPr>
            <w:tcW w:w="1287" w:type="dxa"/>
            <w:tcBorders>
              <w:top w:val="nil"/>
              <w:left w:val="nil"/>
              <w:bottom w:val="single" w:color="auto" w:sz="4" w:space="0"/>
              <w:right w:val="single" w:color="auto" w:sz="4" w:space="0"/>
            </w:tcBorders>
            <w:shd w:val="clear" w:color="auto" w:fill="FFFFFF"/>
            <w:vAlign w:val="center"/>
          </w:tcPr>
          <w:p>
            <w:pPr>
              <w:ind w:firstLine="420"/>
              <w:jc w:val="center"/>
              <w:rPr>
                <w:rFonts w:hint="eastAsia" w:ascii="宋体" w:hAnsi="宋体" w:eastAsia="宋体" w:cs="宋体"/>
                <w:color w:val="auto"/>
                <w:sz w:val="24"/>
                <w:szCs w:val="24"/>
              </w:rPr>
            </w:pPr>
          </w:p>
        </w:tc>
        <w:tc>
          <w:tcPr>
            <w:tcW w:w="1025" w:type="dxa"/>
            <w:tcBorders>
              <w:top w:val="nil"/>
              <w:left w:val="nil"/>
              <w:bottom w:val="single" w:color="auto" w:sz="4" w:space="0"/>
              <w:right w:val="single" w:color="auto" w:sz="4" w:space="0"/>
            </w:tcBorders>
            <w:shd w:val="clear" w:color="auto" w:fill="FFFFFF"/>
            <w:vAlign w:val="center"/>
          </w:tcPr>
          <w:p>
            <w:pPr>
              <w:ind w:firstLine="420"/>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99" w:hRule="atLeast"/>
        </w:trPr>
        <w:tc>
          <w:tcPr>
            <w:tcW w:w="794" w:type="dxa"/>
            <w:tcBorders>
              <w:top w:val="nil"/>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color w:val="auto"/>
                <w:sz w:val="24"/>
                <w:szCs w:val="24"/>
              </w:rPr>
            </w:pPr>
          </w:p>
        </w:tc>
        <w:tc>
          <w:tcPr>
            <w:tcW w:w="1961"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908"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360"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046"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138" w:type="dxa"/>
            <w:tcBorders>
              <w:top w:val="nil"/>
              <w:left w:val="nil"/>
              <w:bottom w:val="single" w:color="auto" w:sz="4" w:space="0"/>
              <w:right w:val="single" w:color="auto" w:sz="4" w:space="0"/>
            </w:tcBorders>
            <w:vAlign w:val="center"/>
          </w:tcPr>
          <w:p>
            <w:pPr>
              <w:ind w:firstLine="400"/>
              <w:jc w:val="center"/>
              <w:rPr>
                <w:rFonts w:hint="eastAsia" w:ascii="宋体" w:hAnsi="宋体" w:eastAsia="宋体" w:cs="宋体"/>
                <w:color w:val="auto"/>
                <w:sz w:val="24"/>
                <w:szCs w:val="24"/>
              </w:rPr>
            </w:pPr>
          </w:p>
        </w:tc>
        <w:tc>
          <w:tcPr>
            <w:tcW w:w="1287" w:type="dxa"/>
            <w:tcBorders>
              <w:top w:val="nil"/>
              <w:left w:val="nil"/>
              <w:bottom w:val="single" w:color="auto" w:sz="4" w:space="0"/>
              <w:right w:val="single" w:color="auto" w:sz="4" w:space="0"/>
            </w:tcBorders>
            <w:vAlign w:val="center"/>
          </w:tcPr>
          <w:p>
            <w:pPr>
              <w:ind w:firstLine="400"/>
              <w:jc w:val="center"/>
              <w:rPr>
                <w:rFonts w:hint="eastAsia" w:ascii="宋体" w:hAnsi="宋体" w:eastAsia="宋体" w:cs="宋体"/>
                <w:color w:val="auto"/>
                <w:sz w:val="24"/>
                <w:szCs w:val="24"/>
              </w:rPr>
            </w:pPr>
          </w:p>
        </w:tc>
        <w:tc>
          <w:tcPr>
            <w:tcW w:w="1025" w:type="dxa"/>
            <w:tcBorders>
              <w:top w:val="nil"/>
              <w:left w:val="nil"/>
              <w:bottom w:val="single" w:color="auto" w:sz="4" w:space="0"/>
              <w:right w:val="single" w:color="auto" w:sz="4" w:space="0"/>
            </w:tcBorders>
            <w:vAlign w:val="center"/>
          </w:tcPr>
          <w:p>
            <w:pPr>
              <w:ind w:firstLine="420"/>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99" w:hRule="atLeast"/>
        </w:trPr>
        <w:tc>
          <w:tcPr>
            <w:tcW w:w="794" w:type="dxa"/>
            <w:tcBorders>
              <w:top w:val="nil"/>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color w:val="auto"/>
                <w:sz w:val="24"/>
                <w:szCs w:val="24"/>
              </w:rPr>
            </w:pPr>
          </w:p>
        </w:tc>
        <w:tc>
          <w:tcPr>
            <w:tcW w:w="1961"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908"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360"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046"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138" w:type="dxa"/>
            <w:tcBorders>
              <w:top w:val="nil"/>
              <w:left w:val="nil"/>
              <w:bottom w:val="single" w:color="auto" w:sz="4" w:space="0"/>
              <w:right w:val="single" w:color="auto" w:sz="4" w:space="0"/>
            </w:tcBorders>
            <w:vAlign w:val="center"/>
          </w:tcPr>
          <w:p>
            <w:pPr>
              <w:ind w:firstLine="400"/>
              <w:jc w:val="center"/>
              <w:rPr>
                <w:rFonts w:hint="eastAsia" w:ascii="宋体" w:hAnsi="宋体" w:eastAsia="宋体" w:cs="宋体"/>
                <w:color w:val="auto"/>
                <w:sz w:val="24"/>
                <w:szCs w:val="24"/>
              </w:rPr>
            </w:pPr>
          </w:p>
        </w:tc>
        <w:tc>
          <w:tcPr>
            <w:tcW w:w="1287" w:type="dxa"/>
            <w:tcBorders>
              <w:top w:val="nil"/>
              <w:left w:val="nil"/>
              <w:bottom w:val="single" w:color="auto" w:sz="4" w:space="0"/>
              <w:right w:val="single" w:color="auto" w:sz="4" w:space="0"/>
            </w:tcBorders>
            <w:vAlign w:val="center"/>
          </w:tcPr>
          <w:p>
            <w:pPr>
              <w:ind w:firstLine="400"/>
              <w:jc w:val="center"/>
              <w:rPr>
                <w:rFonts w:hint="eastAsia" w:ascii="宋体" w:hAnsi="宋体" w:eastAsia="宋体" w:cs="宋体"/>
                <w:color w:val="auto"/>
                <w:sz w:val="24"/>
                <w:szCs w:val="24"/>
              </w:rPr>
            </w:pPr>
          </w:p>
        </w:tc>
        <w:tc>
          <w:tcPr>
            <w:tcW w:w="1025" w:type="dxa"/>
            <w:tcBorders>
              <w:top w:val="nil"/>
              <w:left w:val="nil"/>
              <w:bottom w:val="single" w:color="auto" w:sz="4" w:space="0"/>
              <w:right w:val="single" w:color="auto" w:sz="4" w:space="0"/>
            </w:tcBorders>
            <w:vAlign w:val="center"/>
          </w:tcPr>
          <w:p>
            <w:pPr>
              <w:ind w:firstLine="420"/>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67" w:hRule="atLeast"/>
        </w:trPr>
        <w:tc>
          <w:tcPr>
            <w:tcW w:w="794" w:type="dxa"/>
            <w:tcBorders>
              <w:top w:val="nil"/>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color w:val="auto"/>
                <w:sz w:val="24"/>
                <w:szCs w:val="24"/>
              </w:rPr>
            </w:pPr>
          </w:p>
        </w:tc>
        <w:tc>
          <w:tcPr>
            <w:tcW w:w="1961"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908"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360"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046" w:type="dxa"/>
            <w:tcBorders>
              <w:top w:val="nil"/>
              <w:left w:val="nil"/>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138" w:type="dxa"/>
            <w:tcBorders>
              <w:top w:val="nil"/>
              <w:left w:val="nil"/>
              <w:bottom w:val="single" w:color="auto" w:sz="4" w:space="0"/>
              <w:right w:val="single" w:color="auto" w:sz="4" w:space="0"/>
            </w:tcBorders>
            <w:vAlign w:val="center"/>
          </w:tcPr>
          <w:p>
            <w:pPr>
              <w:ind w:firstLine="400"/>
              <w:jc w:val="center"/>
              <w:rPr>
                <w:rFonts w:hint="eastAsia" w:ascii="宋体" w:hAnsi="宋体" w:eastAsia="宋体" w:cs="宋体"/>
                <w:color w:val="auto"/>
                <w:sz w:val="24"/>
                <w:szCs w:val="24"/>
              </w:rPr>
            </w:pPr>
          </w:p>
        </w:tc>
        <w:tc>
          <w:tcPr>
            <w:tcW w:w="1287" w:type="dxa"/>
            <w:tcBorders>
              <w:top w:val="nil"/>
              <w:left w:val="nil"/>
              <w:bottom w:val="single" w:color="auto" w:sz="4" w:space="0"/>
              <w:right w:val="single" w:color="auto" w:sz="4" w:space="0"/>
            </w:tcBorders>
            <w:vAlign w:val="center"/>
          </w:tcPr>
          <w:p>
            <w:pPr>
              <w:ind w:firstLine="400"/>
              <w:jc w:val="center"/>
              <w:rPr>
                <w:rFonts w:hint="eastAsia" w:ascii="宋体" w:hAnsi="宋体" w:eastAsia="宋体" w:cs="宋体"/>
                <w:color w:val="auto"/>
                <w:sz w:val="24"/>
                <w:szCs w:val="24"/>
              </w:rPr>
            </w:pPr>
          </w:p>
        </w:tc>
        <w:tc>
          <w:tcPr>
            <w:tcW w:w="1025" w:type="dxa"/>
            <w:tcBorders>
              <w:top w:val="nil"/>
              <w:left w:val="nil"/>
              <w:bottom w:val="single" w:color="auto" w:sz="4" w:space="0"/>
              <w:right w:val="single" w:color="auto" w:sz="4" w:space="0"/>
            </w:tcBorders>
            <w:vAlign w:val="center"/>
          </w:tcPr>
          <w:p>
            <w:pPr>
              <w:ind w:firstLine="420"/>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021" w:hRule="atLeast"/>
        </w:trPr>
        <w:tc>
          <w:tcPr>
            <w:tcW w:w="79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color w:val="auto"/>
                <w:sz w:val="24"/>
                <w:szCs w:val="24"/>
                <w:lang w:eastAsia="zh-CN"/>
              </w:rPr>
            </w:pPr>
          </w:p>
        </w:tc>
        <w:tc>
          <w:tcPr>
            <w:tcW w:w="1961" w:type="dxa"/>
            <w:tcBorders>
              <w:top w:val="single" w:color="auto" w:sz="4" w:space="0"/>
              <w:left w:val="single" w:color="auto" w:sz="4" w:space="0"/>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908" w:type="dxa"/>
            <w:tcBorders>
              <w:top w:val="single" w:color="auto" w:sz="4" w:space="0"/>
              <w:left w:val="single" w:color="auto" w:sz="4" w:space="0"/>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360" w:type="dxa"/>
            <w:tcBorders>
              <w:top w:val="single" w:color="auto" w:sz="4" w:space="0"/>
              <w:left w:val="single" w:color="auto" w:sz="4" w:space="0"/>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046" w:type="dxa"/>
            <w:tcBorders>
              <w:top w:val="single" w:color="auto" w:sz="4" w:space="0"/>
              <w:left w:val="single" w:color="auto" w:sz="4" w:space="0"/>
              <w:bottom w:val="single" w:color="auto" w:sz="4" w:space="0"/>
              <w:right w:val="single" w:color="auto" w:sz="4" w:space="0"/>
            </w:tcBorders>
            <w:vAlign w:val="center"/>
          </w:tcPr>
          <w:p>
            <w:pPr>
              <w:ind w:firstLine="420"/>
              <w:rPr>
                <w:rFonts w:hint="eastAsia" w:ascii="宋体" w:hAnsi="宋体" w:eastAsia="宋体" w:cs="宋体"/>
                <w:color w:val="auto"/>
                <w:sz w:val="24"/>
                <w:szCs w:val="24"/>
              </w:rPr>
            </w:pPr>
          </w:p>
        </w:tc>
        <w:tc>
          <w:tcPr>
            <w:tcW w:w="1138" w:type="dxa"/>
            <w:tcBorders>
              <w:top w:val="single" w:color="auto" w:sz="4" w:space="0"/>
              <w:left w:val="single" w:color="auto" w:sz="4" w:space="0"/>
              <w:bottom w:val="single" w:color="auto" w:sz="4" w:space="0"/>
              <w:right w:val="single" w:color="auto" w:sz="4" w:space="0"/>
            </w:tcBorders>
            <w:vAlign w:val="center"/>
          </w:tcPr>
          <w:p>
            <w:pPr>
              <w:ind w:firstLine="400"/>
              <w:jc w:val="center"/>
              <w:rPr>
                <w:rFonts w:hint="eastAsia" w:ascii="宋体" w:hAnsi="宋体" w:eastAsia="宋体" w:cs="宋体"/>
                <w:color w:val="auto"/>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pPr>
              <w:ind w:firstLine="400"/>
              <w:jc w:val="center"/>
              <w:rPr>
                <w:rFonts w:hint="eastAsia" w:ascii="宋体" w:hAnsi="宋体" w:eastAsia="宋体" w:cs="宋体"/>
                <w:color w:val="auto"/>
                <w:sz w:val="24"/>
                <w:szCs w:val="24"/>
              </w:rPr>
            </w:pPr>
          </w:p>
        </w:tc>
        <w:tc>
          <w:tcPr>
            <w:tcW w:w="1025" w:type="dxa"/>
            <w:tcBorders>
              <w:top w:val="single" w:color="auto" w:sz="4" w:space="0"/>
              <w:left w:val="single" w:color="auto" w:sz="4" w:space="0"/>
              <w:bottom w:val="single" w:color="auto" w:sz="4" w:space="0"/>
              <w:right w:val="single" w:color="auto" w:sz="4" w:space="0"/>
            </w:tcBorders>
            <w:vAlign w:val="center"/>
          </w:tcPr>
          <w:p>
            <w:pPr>
              <w:ind w:firstLine="420"/>
              <w:jc w:val="center"/>
              <w:rPr>
                <w:rFonts w:hint="eastAsia" w:ascii="宋体" w:hAnsi="宋体" w:eastAsia="宋体" w:cs="宋体"/>
                <w:color w:val="auto"/>
                <w:sz w:val="24"/>
                <w:szCs w:val="24"/>
              </w:rPr>
            </w:pPr>
          </w:p>
        </w:tc>
      </w:tr>
    </w:tbl>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注：1、供应商必须按“分项报价明细表”的格式详细报出投标总价的各个组成部分的报价，否则作无效投标处理。</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2、“分项报价明细表”各分项报价合计应当与“</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一览表”报价合计相等。</w:t>
      </w:r>
    </w:p>
    <w:p>
      <w:pPr>
        <w:adjustRightInd w:val="0"/>
        <w:snapToGrid w:val="0"/>
        <w:spacing w:line="360" w:lineRule="auto"/>
        <w:rPr>
          <w:rFonts w:hint="eastAsia" w:ascii="宋体" w:hAnsi="宋体" w:eastAsia="宋体" w:cs="宋体"/>
          <w:color w:val="auto"/>
          <w:sz w:val="24"/>
          <w:szCs w:val="24"/>
        </w:rPr>
      </w:pPr>
    </w:p>
    <w:p>
      <w:pPr>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adjustRightInd w:val="0"/>
        <w:snapToGrid w:val="0"/>
        <w:spacing w:line="360" w:lineRule="auto"/>
        <w:rPr>
          <w:rFonts w:hint="eastAsia" w:ascii="宋体" w:hAnsi="宋体" w:eastAsia="宋体" w:cs="宋体"/>
          <w:color w:val="auto"/>
          <w:sz w:val="24"/>
          <w:szCs w:val="24"/>
          <w:lang w:val="en-US" w:eastAsia="zh-CN"/>
        </w:rPr>
      </w:pP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供应商名称：        （盖章）</w:t>
      </w:r>
    </w:p>
    <w:p>
      <w:pPr>
        <w:adjustRightInd w:val="0"/>
        <w:snapToGrid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法定代表人或授权代表（签字或盖章）：</w:t>
      </w:r>
    </w:p>
    <w:p>
      <w:pPr>
        <w:adjustRightInd w:val="0"/>
        <w:snapToGrid w:val="0"/>
        <w:spacing w:line="360" w:lineRule="auto"/>
        <w:jc w:val="right"/>
        <w:rPr>
          <w:rFonts w:hint="eastAsia" w:ascii="新宋体" w:hAnsi="新宋体" w:eastAsia="新宋体"/>
          <w:color w:val="auto"/>
          <w:sz w:val="24"/>
        </w:rPr>
        <w:sectPr>
          <w:footerReference r:id="rId14" w:type="first"/>
          <w:footerReference r:id="rId13" w:type="default"/>
          <w:pgSz w:w="12240" w:h="15840"/>
          <w:pgMar w:top="720" w:right="1000" w:bottom="720" w:left="940" w:header="0" w:footer="85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p>
    <w:p>
      <w:pPr>
        <w:pStyle w:val="24"/>
        <w:adjustRightInd w:val="0"/>
        <w:snapToGrid w:val="0"/>
        <w:spacing w:line="360" w:lineRule="auto"/>
        <w:jc w:val="both"/>
        <w:outlineLvl w:val="9"/>
        <w:rPr>
          <w:rFonts w:hint="eastAsia" w:hAnsi="宋体" w:cs="宋体"/>
          <w:b/>
          <w:color w:val="auto"/>
          <w:sz w:val="28"/>
          <w:szCs w:val="28"/>
        </w:rPr>
      </w:pPr>
    </w:p>
    <w:p>
      <w:pPr>
        <w:pStyle w:val="24"/>
        <w:adjustRightInd w:val="0"/>
        <w:snapToGrid w:val="0"/>
        <w:spacing w:line="360" w:lineRule="auto"/>
        <w:jc w:val="center"/>
        <w:outlineLvl w:val="9"/>
        <w:rPr>
          <w:rFonts w:hint="eastAsia" w:hAnsi="宋体" w:cs="宋体"/>
          <w:b/>
          <w:color w:val="auto"/>
          <w:sz w:val="28"/>
          <w:szCs w:val="28"/>
        </w:rPr>
      </w:pPr>
      <w:r>
        <w:rPr>
          <w:rFonts w:hint="eastAsia" w:hAnsi="宋体" w:cs="宋体"/>
          <w:b/>
          <w:color w:val="auto"/>
          <w:sz w:val="28"/>
          <w:szCs w:val="28"/>
          <w:lang w:eastAsia="zh-CN"/>
        </w:rPr>
        <w:t>三、投标</w:t>
      </w:r>
      <w:r>
        <w:rPr>
          <w:rFonts w:hint="eastAsia" w:hAnsi="宋体" w:cs="宋体"/>
          <w:b/>
          <w:color w:val="auto"/>
          <w:sz w:val="28"/>
          <w:szCs w:val="28"/>
        </w:rPr>
        <w:t>保证金</w:t>
      </w:r>
    </w:p>
    <w:p>
      <w:pPr>
        <w:pStyle w:val="24"/>
        <w:adjustRightInd w:val="0"/>
        <w:snapToGrid w:val="0"/>
        <w:spacing w:before="156" w:beforeLines="50" w:line="360" w:lineRule="auto"/>
        <w:rPr>
          <w:rFonts w:hint="eastAsia" w:hAnsi="宋体" w:cs="宋体"/>
          <w:color w:val="auto"/>
        </w:rPr>
      </w:pPr>
    </w:p>
    <w:p>
      <w:pPr>
        <w:adjustRightInd w:val="0"/>
        <w:snapToGrid w:val="0"/>
        <w:spacing w:line="360" w:lineRule="auto"/>
        <w:rPr>
          <w:rFonts w:hint="eastAsia" w:ascii="宋体" w:hAnsi="宋体" w:cs="宋体"/>
          <w:bCs/>
          <w:color w:val="auto"/>
          <w:sz w:val="24"/>
        </w:rPr>
      </w:pPr>
      <w:r>
        <w:rPr>
          <w:rFonts w:hint="eastAsia" w:ascii="宋体" w:hAnsi="宋体" w:cs="宋体"/>
          <w:color w:val="auto"/>
          <w:sz w:val="24"/>
          <w:lang w:eastAsia="zh-CN"/>
        </w:rPr>
        <w:t>投标保证金收据</w:t>
      </w:r>
      <w:r>
        <w:rPr>
          <w:rFonts w:hint="eastAsia" w:ascii="宋体" w:hAnsi="宋体" w:cs="宋体"/>
          <w:color w:val="auto"/>
          <w:sz w:val="24"/>
        </w:rPr>
        <w:t>复印件</w:t>
      </w: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szCs w:val="24"/>
        </w:rPr>
      </w:pPr>
    </w:p>
    <w:p>
      <w:pPr>
        <w:adjustRightInd w:val="0"/>
        <w:snapToGrid w:val="0"/>
        <w:spacing w:line="360" w:lineRule="auto"/>
        <w:ind w:right="420"/>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供应商名称（盖单位章）：</w:t>
      </w:r>
    </w:p>
    <w:p>
      <w:pPr>
        <w:adjustRightInd w:val="0"/>
        <w:snapToGrid w:val="0"/>
        <w:spacing w:line="360" w:lineRule="auto"/>
        <w:ind w:right="420" w:firstLine="4560" w:firstLineChars="19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eastAsia="zh-CN"/>
        </w:rPr>
        <w:t>或</w:t>
      </w:r>
      <w:r>
        <w:rPr>
          <w:rFonts w:hint="eastAsia" w:ascii="宋体" w:hAnsi="宋体" w:cs="宋体"/>
          <w:color w:val="auto"/>
          <w:sz w:val="24"/>
          <w:szCs w:val="24"/>
        </w:rPr>
        <w:t>委托代理人（签字）：</w:t>
      </w:r>
      <w:r>
        <w:rPr>
          <w:rFonts w:hint="eastAsia" w:ascii="宋体" w:hAnsi="宋体" w:cs="宋体"/>
          <w:color w:val="auto"/>
          <w:sz w:val="24"/>
          <w:szCs w:val="24"/>
          <w:u w:val="single"/>
        </w:rPr>
        <w:t xml:space="preserve">                                       </w:t>
      </w:r>
    </w:p>
    <w:p>
      <w:pPr>
        <w:adjustRightInd w:val="0"/>
        <w:snapToGrid w:val="0"/>
        <w:spacing w:line="360" w:lineRule="auto"/>
        <w:ind w:right="24" w:firstLine="4080" w:firstLineChars="17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autoSpaceDE w:val="0"/>
        <w:autoSpaceDN w:val="0"/>
        <w:adjustRightInd w:val="0"/>
        <w:snapToGrid w:val="0"/>
        <w:spacing w:line="360" w:lineRule="auto"/>
        <w:ind w:firstLine="480" w:firstLineChars="200"/>
        <w:rPr>
          <w:rFonts w:hint="default" w:ascii="宋体" w:hAnsi="宋体" w:eastAsia="宋体" w:cs="宋体"/>
          <w:color w:val="auto"/>
          <w:sz w:val="24"/>
          <w:szCs w:val="24"/>
          <w:lang w:val="en-US" w:eastAsia="zh-CN"/>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rPr>
          <w:rFonts w:hint="eastAsia" w:ascii="宋体" w:hAnsi="宋体" w:cs="宋体"/>
          <w:color w:val="auto"/>
          <w:sz w:val="24"/>
        </w:rPr>
      </w:pPr>
    </w:p>
    <w:p>
      <w:pPr>
        <w:spacing w:line="360" w:lineRule="auto"/>
        <w:rPr>
          <w:rFonts w:hint="eastAsia" w:ascii="宋体" w:hAnsi="宋体" w:eastAsia="宋体" w:cs="宋体"/>
          <w:color w:val="auto"/>
          <w:sz w:val="32"/>
          <w:szCs w:val="32"/>
          <w:lang w:eastAsia="zh-CN"/>
        </w:rPr>
      </w:pPr>
      <w:r>
        <w:rPr>
          <w:rFonts w:hint="eastAsia" w:ascii="宋体" w:hAnsi="宋体" w:cs="宋体"/>
          <w:color w:val="auto"/>
          <w:sz w:val="32"/>
          <w:szCs w:val="32"/>
        </w:rPr>
        <w:t>附件</w:t>
      </w:r>
      <w:r>
        <w:rPr>
          <w:rFonts w:hint="eastAsia" w:ascii="宋体" w:hAnsi="宋体" w:cs="宋体"/>
          <w:color w:val="auto"/>
          <w:sz w:val="32"/>
          <w:szCs w:val="32"/>
          <w:lang w:val="en-US" w:eastAsia="zh-CN"/>
        </w:rPr>
        <w:t>4</w:t>
      </w:r>
    </w:p>
    <w:p>
      <w:pPr>
        <w:adjustRightInd w:val="0"/>
        <w:snapToGrid w:val="0"/>
        <w:spacing w:line="360" w:lineRule="auto"/>
        <w:jc w:val="center"/>
        <w:outlineLvl w:val="9"/>
        <w:rPr>
          <w:rFonts w:hint="eastAsia" w:ascii="宋体" w:hAnsi="宋体" w:cs="宋体"/>
          <w:b/>
          <w:bCs/>
          <w:color w:val="auto"/>
          <w:sz w:val="28"/>
          <w:szCs w:val="28"/>
        </w:rPr>
      </w:pPr>
      <w:r>
        <w:rPr>
          <w:rFonts w:hint="eastAsia" w:ascii="宋体" w:hAnsi="宋体" w:cs="宋体"/>
          <w:b/>
          <w:color w:val="auto"/>
          <w:sz w:val="28"/>
          <w:szCs w:val="28"/>
          <w:lang w:eastAsia="zh-CN"/>
        </w:rPr>
        <w:t>四</w:t>
      </w:r>
      <w:r>
        <w:rPr>
          <w:rFonts w:hint="eastAsia" w:ascii="宋体" w:hAnsi="宋体" w:cs="宋体"/>
          <w:b/>
          <w:color w:val="auto"/>
          <w:sz w:val="28"/>
          <w:szCs w:val="28"/>
        </w:rPr>
        <w:t>、供应商</w:t>
      </w:r>
      <w:r>
        <w:rPr>
          <w:rFonts w:hint="eastAsia" w:ascii="宋体" w:hAnsi="宋体" w:cs="宋体"/>
          <w:b/>
          <w:bCs/>
          <w:color w:val="auto"/>
          <w:sz w:val="28"/>
          <w:szCs w:val="28"/>
        </w:rPr>
        <w:t>的资格证明材料</w:t>
      </w:r>
    </w:p>
    <w:p>
      <w:pPr>
        <w:adjustRightInd w:val="0"/>
        <w:snapToGrid w:val="0"/>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供应商基本情况表</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盖供应商单位章</w:t>
      </w:r>
    </w:p>
    <w:tbl>
      <w:tblPr>
        <w:tblStyle w:val="47"/>
        <w:tblW w:w="93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1440"/>
        <w:gridCol w:w="1377"/>
        <w:gridCol w:w="1329"/>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3960"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1329"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485"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3960"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1329"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485"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0"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1329"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485"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3960"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1329"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2485"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4"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40"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1377" w:type="dxa"/>
            <w:tcBorders>
              <w:tl2br w:val="nil"/>
              <w:tr2bl w:val="nil"/>
            </w:tcBorders>
            <w:vAlign w:val="center"/>
          </w:tcPr>
          <w:p>
            <w:pPr>
              <w:topLinePunct/>
              <w:spacing w:line="360" w:lineRule="auto"/>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814" w:type="dxa"/>
            <w:gridSpan w:val="2"/>
            <w:tcBorders>
              <w:tl2br w:val="nil"/>
              <w:tr2bl w:val="nil"/>
            </w:tcBorders>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2044"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1377" w:type="dxa"/>
            <w:tcBorders>
              <w:tl2br w:val="nil"/>
              <w:tr2bl w:val="nil"/>
            </w:tcBorders>
            <w:vAlign w:val="center"/>
          </w:tcPr>
          <w:p>
            <w:pPr>
              <w:topLinePunct/>
              <w:spacing w:line="360" w:lineRule="auto"/>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814" w:type="dxa"/>
            <w:gridSpan w:val="2"/>
            <w:tcBorders>
              <w:tl2br w:val="nil"/>
              <w:tr2bl w:val="nil"/>
            </w:tcBorders>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2044"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631" w:type="dxa"/>
            <w:gridSpan w:val="4"/>
            <w:tcBorders>
              <w:tl2br w:val="nil"/>
              <w:tr2bl w:val="nil"/>
            </w:tcBorders>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c>
          <w:tcPr>
            <w:tcW w:w="2044" w:type="dxa"/>
            <w:gridSpan w:val="3"/>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631" w:type="dxa"/>
            <w:gridSpan w:val="4"/>
            <w:tcBorders>
              <w:tl2br w:val="nil"/>
              <w:tr2bl w:val="nil"/>
            </w:tcBorders>
            <w:vAlign w:val="center"/>
          </w:tcPr>
          <w:p>
            <w:pPr>
              <w:topLinePunct/>
              <w:spacing w:line="360" w:lineRule="auto"/>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基本账户开户行及帐号</w:t>
            </w:r>
          </w:p>
        </w:tc>
        <w:tc>
          <w:tcPr>
            <w:tcW w:w="6631" w:type="dxa"/>
            <w:gridSpan w:val="4"/>
            <w:tcBorders>
              <w:tl2br w:val="nil"/>
              <w:tr2bl w:val="nil"/>
            </w:tcBorders>
            <w:vAlign w:val="center"/>
          </w:tcPr>
          <w:p>
            <w:pPr>
              <w:topLinePunct/>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58" w:type="dxa"/>
            <w:gridSpan w:val="2"/>
            <w:tcBorders>
              <w:tl2br w:val="nil"/>
              <w:tr2bl w:val="nil"/>
            </w:tcBorders>
            <w:vAlign w:val="center"/>
          </w:tcPr>
          <w:p>
            <w:pPr>
              <w:topLinePunc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136" w:type="dxa"/>
            <w:gridSpan w:val="6"/>
            <w:tcBorders>
              <w:tl2br w:val="nil"/>
              <w:tr2bl w:val="nil"/>
            </w:tcBorders>
            <w:vAlign w:val="center"/>
          </w:tcPr>
          <w:p>
            <w:pPr>
              <w:topLinePunct/>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后附：营业执照、会计事务所出具的20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lang w:eastAsia="zh-CN"/>
              </w:rPr>
              <w:t>度财务审计报告或</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lang w:eastAsia="zh-CN"/>
              </w:rPr>
              <w:t>银行出具的资信证明、税务部门出具的202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年依法纳税证明资料</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供应商分别在“信用中国”（www.creditchina.gov.cn）网上查询本公司未被列入失信被执行人、</w:t>
            </w:r>
            <w:r>
              <w:rPr>
                <w:rFonts w:hint="eastAsia" w:ascii="宋体" w:hAnsi="宋体" w:cs="宋体"/>
                <w:color w:val="auto"/>
                <w:sz w:val="24"/>
                <w:szCs w:val="24"/>
                <w:lang w:eastAsia="zh-CN"/>
              </w:rPr>
              <w:t>重大税收违法失信主体</w:t>
            </w:r>
            <w:r>
              <w:rPr>
                <w:rFonts w:hint="eastAsia" w:ascii="宋体" w:hAnsi="宋体" w:eastAsia="宋体" w:cs="宋体"/>
                <w:color w:val="auto"/>
                <w:sz w:val="24"/>
                <w:szCs w:val="24"/>
                <w:lang w:eastAsia="zh-CN"/>
              </w:rPr>
              <w:t xml:space="preserve">、“中国政府采购网”（ </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"http://www.ccgp.gov.cn）网上查询本公司未被列入政府采购严重违法失信行为记录名单（提供查询结果网页截图并加盖供应商公章，网页打印件须自招标公告发布之日起至截止日内从上述网站中打印）；" </w:instrText>
            </w:r>
            <w:r>
              <w:rPr>
                <w:rFonts w:hint="eastAsia" w:ascii="宋体" w:hAnsi="宋体" w:eastAsia="宋体" w:cs="宋体"/>
                <w:color w:val="auto"/>
                <w:sz w:val="24"/>
                <w:szCs w:val="24"/>
                <w:lang w:eastAsia="zh-CN"/>
              </w:rPr>
              <w:fldChar w:fldCharType="separate"/>
            </w:r>
            <w:r>
              <w:rPr>
                <w:rStyle w:val="56"/>
                <w:rFonts w:hint="eastAsia" w:ascii="宋体" w:hAnsi="宋体" w:eastAsia="宋体" w:cs="宋体"/>
                <w:color w:val="auto"/>
                <w:sz w:val="24"/>
                <w:szCs w:val="24"/>
                <w:lang w:eastAsia="zh-CN"/>
              </w:rPr>
              <w:t>www.ccgp.gov.cn）网上查询本公司未被列入政府采购严重违法失信行为记录名单（提供查询结果网页截图并加盖供应商公章，网页打印件须自公告发布之日起至截止日内从上述网站中打印）。</w:t>
            </w:r>
            <w:r>
              <w:rPr>
                <w:rFonts w:hint="eastAsia" w:ascii="宋体" w:hAnsi="宋体" w:eastAsia="宋体" w:cs="宋体"/>
                <w:color w:val="auto"/>
                <w:sz w:val="24"/>
                <w:szCs w:val="24"/>
                <w:lang w:eastAsia="zh-CN"/>
              </w:rPr>
              <w:fldChar w:fldCharType="end"/>
            </w:r>
          </w:p>
          <w:p>
            <w:pPr>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（注：以上复印件需加盖单位公章）</w:t>
            </w:r>
          </w:p>
        </w:tc>
      </w:tr>
    </w:tbl>
    <w:p>
      <w:pPr>
        <w:tabs>
          <w:tab w:val="left" w:pos="360"/>
          <w:tab w:val="left" w:pos="1800"/>
        </w:tabs>
        <w:spacing w:line="360" w:lineRule="auto"/>
        <w:ind w:right="960"/>
        <w:jc w:val="both"/>
        <w:rPr>
          <w:rFonts w:hint="eastAsia" w:ascii="宋体" w:hAnsi="宋体" w:eastAsia="宋体" w:cs="宋体"/>
          <w:b/>
          <w:color w:val="auto"/>
          <w:sz w:val="24"/>
          <w:szCs w:val="24"/>
          <w:highlight w:val="none"/>
          <w:lang w:val="en-US" w:eastAsia="zh-CN"/>
        </w:rPr>
      </w:pPr>
    </w:p>
    <w:p>
      <w:pPr>
        <w:adjustRightInd w:val="0"/>
        <w:snapToGrid w:val="0"/>
        <w:spacing w:line="360" w:lineRule="auto"/>
        <w:jc w:val="center"/>
        <w:outlineLvl w:val="9"/>
        <w:rPr>
          <w:rFonts w:hint="eastAsia" w:ascii="宋体" w:hAnsi="宋体" w:cs="宋体"/>
          <w:b/>
          <w:bCs/>
          <w:color w:val="auto"/>
          <w:sz w:val="28"/>
          <w:szCs w:val="28"/>
        </w:rPr>
      </w:pPr>
    </w:p>
    <w:p>
      <w:pPr>
        <w:pStyle w:val="3"/>
        <w:rPr>
          <w:rFonts w:hint="eastAsia"/>
          <w:color w:val="auto"/>
        </w:rPr>
      </w:pPr>
    </w:p>
    <w:p>
      <w:pPr>
        <w:adjustRightInd w:val="0"/>
        <w:snapToGrid w:val="0"/>
        <w:spacing w:line="360" w:lineRule="auto"/>
        <w:jc w:val="center"/>
        <w:outlineLvl w:val="9"/>
        <w:rPr>
          <w:rFonts w:hint="eastAsia" w:ascii="宋体" w:hAnsi="宋体" w:cs="宋体"/>
          <w:b/>
          <w:bCs/>
          <w:color w:val="auto"/>
          <w:sz w:val="28"/>
          <w:szCs w:val="28"/>
        </w:rPr>
      </w:pPr>
      <w:r>
        <w:rPr>
          <w:rFonts w:hint="eastAsia" w:ascii="宋体" w:hAnsi="宋体" w:cs="宋体"/>
          <w:b/>
          <w:bCs/>
          <w:color w:val="auto"/>
          <w:sz w:val="28"/>
          <w:szCs w:val="28"/>
        </w:rPr>
        <w:t>供应商有关评分标准内容的证明文件</w:t>
      </w:r>
    </w:p>
    <w:p>
      <w:pPr>
        <w:adjustRightInd w:val="0"/>
        <w:snapToGrid w:val="0"/>
        <w:spacing w:before="156" w:beforeLines="50" w:line="360" w:lineRule="auto"/>
        <w:rPr>
          <w:rFonts w:hint="eastAsia" w:ascii="宋体" w:hAnsi="宋体" w:cs="宋体"/>
          <w:color w:val="auto"/>
          <w:sz w:val="28"/>
          <w:szCs w:val="28"/>
        </w:rPr>
      </w:pPr>
    </w:p>
    <w:p>
      <w:pPr>
        <w:autoSpaceDE w:val="0"/>
        <w:autoSpaceDN w:val="0"/>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说明：</w:t>
      </w:r>
      <w:r>
        <w:rPr>
          <w:rFonts w:hint="eastAsia" w:ascii="宋体" w:hAnsi="宋体" w:cs="宋体"/>
          <w:color w:val="auto"/>
          <w:kern w:val="0"/>
          <w:sz w:val="24"/>
          <w:lang w:val="zh-CN"/>
        </w:rPr>
        <w:t>供应商根据磋商文件第三章“评分细则”的要求，</w:t>
      </w:r>
      <w:r>
        <w:rPr>
          <w:rFonts w:hint="eastAsia" w:ascii="宋体" w:hAnsi="宋体" w:cs="宋体"/>
          <w:color w:val="auto"/>
          <w:sz w:val="24"/>
        </w:rPr>
        <w:t>提供有关证明材料。</w:t>
      </w: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utoSpaceDE w:val="0"/>
        <w:autoSpaceDN w:val="0"/>
        <w:adjustRightInd w:val="0"/>
        <w:snapToGrid w:val="0"/>
        <w:spacing w:line="360" w:lineRule="auto"/>
        <w:ind w:firstLine="480" w:firstLineChars="200"/>
        <w:rPr>
          <w:rFonts w:hint="eastAsia" w:ascii="宋体" w:hAnsi="宋体" w:cs="宋体"/>
          <w:color w:val="auto"/>
          <w:sz w:val="24"/>
        </w:rPr>
      </w:pPr>
    </w:p>
    <w:p>
      <w:pPr>
        <w:adjustRightInd w:val="0"/>
        <w:snapToGrid w:val="0"/>
        <w:spacing w:line="360" w:lineRule="auto"/>
        <w:jc w:val="both"/>
        <w:outlineLvl w:val="9"/>
        <w:rPr>
          <w:rFonts w:hint="eastAsia" w:ascii="宋体" w:hAnsi="宋体" w:cs="宋体"/>
          <w:b/>
          <w:color w:val="auto"/>
          <w:sz w:val="28"/>
          <w:szCs w:val="28"/>
          <w:lang w:eastAsia="zh-CN"/>
        </w:rPr>
      </w:pPr>
    </w:p>
    <w:p>
      <w:pPr>
        <w:adjustRightInd w:val="0"/>
        <w:snapToGrid w:val="0"/>
        <w:spacing w:line="360" w:lineRule="auto"/>
        <w:jc w:val="both"/>
        <w:outlineLvl w:val="9"/>
        <w:rPr>
          <w:rFonts w:hint="eastAsia" w:ascii="宋体" w:hAnsi="宋体" w:cs="宋体"/>
          <w:b/>
          <w:color w:val="auto"/>
          <w:sz w:val="28"/>
          <w:szCs w:val="28"/>
          <w:lang w:eastAsia="zh-CN"/>
        </w:rPr>
      </w:pPr>
    </w:p>
    <w:p>
      <w:pPr>
        <w:adjustRightInd w:val="0"/>
        <w:snapToGrid w:val="0"/>
        <w:spacing w:line="360" w:lineRule="auto"/>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、技术/商务响应与偏离表</w:t>
      </w:r>
    </w:p>
    <w:p>
      <w:pPr>
        <w:adjustRightInd w:val="0"/>
        <w:snapToGrid w:val="0"/>
        <w:spacing w:line="360" w:lineRule="auto"/>
        <w:ind w:left="-88" w:leftChars="-42" w:firstLine="315" w:firstLineChars="150"/>
        <w:rPr>
          <w:rFonts w:hint="eastAsia" w:ascii="宋体" w:hAnsi="宋体" w:cs="宋体"/>
          <w:color w:val="auto"/>
          <w:szCs w:val="21"/>
          <w:u w:val="single"/>
        </w:rPr>
      </w:pPr>
    </w:p>
    <w:tbl>
      <w:tblPr>
        <w:tblStyle w:val="47"/>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8"/>
        <w:gridCol w:w="1965"/>
        <w:gridCol w:w="2160"/>
        <w:gridCol w:w="2832"/>
        <w:gridCol w:w="129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948"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965"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磋商文件条目号</w:t>
            </w:r>
          </w:p>
        </w:tc>
        <w:tc>
          <w:tcPr>
            <w:tcW w:w="21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采购规格/商务条款</w:t>
            </w:r>
          </w:p>
        </w:tc>
        <w:tc>
          <w:tcPr>
            <w:tcW w:w="2832"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响应文件的规格/商务条款</w:t>
            </w:r>
          </w:p>
        </w:tc>
        <w:tc>
          <w:tcPr>
            <w:tcW w:w="129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响应与偏离</w:t>
            </w:r>
          </w:p>
        </w:tc>
        <w:tc>
          <w:tcPr>
            <w:tcW w:w="7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48" w:type="dxa"/>
            <w:tcBorders>
              <w:tl2br w:val="nil"/>
              <w:tr2bl w:val="nil"/>
            </w:tcBorders>
            <w:vAlign w:val="top"/>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965"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1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2832"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129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c>
          <w:tcPr>
            <w:tcW w:w="760" w:type="dxa"/>
            <w:tcBorders>
              <w:tl2br w:val="nil"/>
              <w:tr2bl w:val="nil"/>
            </w:tcBorders>
            <w:vAlign w:val="center"/>
          </w:tcPr>
          <w:p>
            <w:pPr>
              <w:adjustRightInd w:val="0"/>
              <w:snapToGrid w:val="0"/>
              <w:spacing w:line="360" w:lineRule="auto"/>
              <w:ind w:left="-88" w:leftChars="-42"/>
              <w:jc w:val="center"/>
              <w:rPr>
                <w:rFonts w:hint="eastAsia" w:ascii="宋体" w:hAnsi="宋体" w:eastAsia="宋体" w:cs="宋体"/>
                <w:color w:val="auto"/>
                <w:sz w:val="24"/>
                <w:szCs w:val="24"/>
              </w:rPr>
            </w:pPr>
          </w:p>
        </w:tc>
      </w:tr>
    </w:tbl>
    <w:p>
      <w:pPr>
        <w:adjustRightInd w:val="0"/>
        <w:snapToGrid w:val="0"/>
        <w:spacing w:line="360" w:lineRule="auto"/>
        <w:ind w:left="-88" w:leftChars="-42"/>
        <w:rPr>
          <w:rFonts w:hint="eastAsia" w:ascii="宋体" w:hAnsi="宋体" w:cs="宋体"/>
          <w:color w:val="auto"/>
          <w:sz w:val="24"/>
          <w:szCs w:val="24"/>
        </w:rPr>
      </w:pPr>
      <w:r>
        <w:rPr>
          <w:rFonts w:hint="eastAsia" w:ascii="宋体" w:hAnsi="宋体" w:cs="宋体"/>
          <w:color w:val="auto"/>
          <w:sz w:val="24"/>
          <w:szCs w:val="24"/>
        </w:rPr>
        <w:t>说明：1、“响应与偏离”应注明“响应”或“偏离”。</w:t>
      </w:r>
    </w:p>
    <w:p>
      <w:pPr>
        <w:adjustRightInd w:val="0"/>
        <w:snapToGrid w:val="0"/>
        <w:spacing w:line="360" w:lineRule="auto"/>
        <w:rPr>
          <w:rFonts w:hint="eastAsia" w:ascii="宋体" w:hAnsi="宋体" w:cs="宋体"/>
          <w:color w:val="auto"/>
          <w:sz w:val="24"/>
          <w:szCs w:val="24"/>
        </w:rPr>
      </w:pPr>
      <w:r>
        <w:rPr>
          <w:rFonts w:hint="eastAsia" w:ascii="宋体" w:hAnsi="宋体" w:cs="宋体"/>
          <w:b/>
          <w:color w:val="auto"/>
          <w:sz w:val="24"/>
          <w:szCs w:val="24"/>
        </w:rPr>
        <w:t xml:space="preserve">     </w:t>
      </w:r>
      <w:r>
        <w:rPr>
          <w:rFonts w:hint="eastAsia" w:ascii="宋体" w:hAnsi="宋体" w:cs="宋体"/>
          <w:color w:val="auto"/>
          <w:sz w:val="24"/>
          <w:szCs w:val="24"/>
        </w:rPr>
        <w:t>2、属磋商文件规定可能变动的内容在“说明”栏中注明。</w:t>
      </w:r>
    </w:p>
    <w:p>
      <w:pPr>
        <w:pStyle w:val="27"/>
        <w:adjustRightInd w:val="0"/>
        <w:snapToGrid w:val="0"/>
        <w:spacing w:line="360" w:lineRule="auto"/>
        <w:outlineLvl w:val="9"/>
        <w:rPr>
          <w:rFonts w:hint="eastAsia" w:ascii="宋体" w:hAnsi="宋体" w:cs="宋体"/>
          <w:color w:val="auto"/>
          <w:sz w:val="24"/>
          <w:szCs w:val="24"/>
        </w:rPr>
      </w:pPr>
    </w:p>
    <w:p>
      <w:pPr>
        <w:pStyle w:val="27"/>
        <w:adjustRightInd w:val="0"/>
        <w:snapToGrid w:val="0"/>
        <w:spacing w:line="360" w:lineRule="auto"/>
        <w:jc w:val="right"/>
        <w:outlineLvl w:val="9"/>
        <w:rPr>
          <w:rFonts w:hint="eastAsia" w:ascii="宋体" w:hAnsi="宋体" w:cs="宋体"/>
          <w:bCs/>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p>
    <w:p>
      <w:pPr>
        <w:adjustRightInd w:val="0"/>
        <w:snapToGrid w:val="0"/>
        <w:spacing w:line="360" w:lineRule="auto"/>
        <w:jc w:val="right"/>
        <w:outlineLvl w:val="9"/>
        <w:rPr>
          <w:rFonts w:hint="eastAsia" w:ascii="宋体" w:hAnsi="宋体" w:cs="宋体"/>
          <w:color w:val="auto"/>
          <w:sz w:val="24"/>
          <w:szCs w:val="24"/>
        </w:rPr>
      </w:pPr>
      <w:r>
        <w:rPr>
          <w:rFonts w:hint="eastAsia" w:ascii="宋体" w:hAnsi="宋体" w:cs="宋体"/>
          <w:color w:val="auto"/>
          <w:sz w:val="24"/>
          <w:szCs w:val="24"/>
        </w:rPr>
        <w:t>法定代表人或其委托代理人(签字)：</w:t>
      </w:r>
      <w:r>
        <w:rPr>
          <w:rFonts w:hint="eastAsia" w:ascii="宋体" w:hAnsi="宋体" w:cs="宋体"/>
          <w:color w:val="auto"/>
          <w:sz w:val="24"/>
          <w:szCs w:val="24"/>
          <w:u w:val="single"/>
        </w:rPr>
        <w:t xml:space="preserve">                   </w:t>
      </w:r>
    </w:p>
    <w:p>
      <w:pPr>
        <w:adjustRightInd w:val="0"/>
        <w:snapToGrid w:val="0"/>
        <w:spacing w:line="360" w:lineRule="auto"/>
        <w:jc w:val="right"/>
        <w:outlineLvl w:val="9"/>
        <w:rPr>
          <w:rFonts w:hint="eastAsia" w:ascii="宋体" w:hAnsi="宋体" w:cs="宋体"/>
          <w:color w:val="auto"/>
          <w:sz w:val="24"/>
          <w:szCs w:val="24"/>
        </w:rPr>
      </w:pPr>
      <w:r>
        <w:rPr>
          <w:rFonts w:hint="eastAsia" w:ascii="宋体" w:hAnsi="宋体" w:cs="宋体"/>
          <w:color w:val="auto"/>
          <w:sz w:val="24"/>
          <w:szCs w:val="24"/>
        </w:rPr>
        <w:t xml:space="preserve">日  期：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月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日</w:t>
      </w:r>
    </w:p>
    <w:p>
      <w:pPr>
        <w:pStyle w:val="3"/>
        <w:jc w:val="both"/>
        <w:rPr>
          <w:rFonts w:hint="eastAsia"/>
          <w:color w:val="auto"/>
        </w:rPr>
      </w:pPr>
    </w:p>
    <w:p>
      <w:pPr>
        <w:rPr>
          <w:rFonts w:hint="eastAsia"/>
          <w:color w:val="auto"/>
        </w:rPr>
      </w:pPr>
    </w:p>
    <w:p>
      <w:pPr>
        <w:spacing w:line="360" w:lineRule="auto"/>
        <w:jc w:val="both"/>
        <w:rPr>
          <w:rFonts w:hint="eastAsia" w:ascii="宋体" w:hAnsi="宋体" w:cs="宋体"/>
          <w:b/>
          <w:color w:val="auto"/>
          <w:sz w:val="32"/>
          <w:szCs w:val="32"/>
          <w:lang w:eastAsia="zh-CN"/>
        </w:rPr>
      </w:pPr>
    </w:p>
    <w:p>
      <w:pPr>
        <w:spacing w:line="360" w:lineRule="auto"/>
        <w:jc w:val="center"/>
        <w:rPr>
          <w:rFonts w:hint="eastAsia" w:ascii="宋体" w:hAnsi="宋体" w:cs="宋体"/>
          <w:b/>
          <w:color w:val="auto"/>
          <w:sz w:val="32"/>
          <w:szCs w:val="32"/>
          <w:lang w:eastAsia="zh-CN"/>
        </w:rPr>
      </w:pPr>
    </w:p>
    <w:p>
      <w:pPr>
        <w:rPr>
          <w:rFonts w:hint="eastAsia"/>
          <w:color w:val="auto"/>
          <w:lang w:eastAsia="zh-CN"/>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lang w:eastAsia="zh-CN"/>
        </w:rPr>
        <w:t>六、</w:t>
      </w:r>
      <w:r>
        <w:rPr>
          <w:rFonts w:hint="eastAsia" w:ascii="宋体" w:hAnsi="宋体" w:cs="宋体"/>
          <w:b/>
          <w:color w:val="auto"/>
          <w:sz w:val="32"/>
          <w:szCs w:val="32"/>
        </w:rPr>
        <w:t>中小微企业证明文件（如有）</w:t>
      </w:r>
    </w:p>
    <w:p>
      <w:pPr>
        <w:widowControl/>
        <w:spacing w:line="560" w:lineRule="exact"/>
        <w:jc w:val="center"/>
        <w:outlineLvl w:val="0"/>
        <w:rPr>
          <w:rFonts w:hint="eastAsia" w:ascii="宋体" w:hAnsi="宋体"/>
          <w:b/>
          <w:bCs/>
          <w:color w:val="auto"/>
          <w:sz w:val="24"/>
          <w:szCs w:val="24"/>
        </w:rPr>
      </w:pPr>
      <w:r>
        <w:rPr>
          <w:rFonts w:hint="eastAsia" w:ascii="宋体" w:hAnsi="宋体"/>
          <w:b/>
          <w:color w:val="auto"/>
          <w:sz w:val="30"/>
          <w:szCs w:val="30"/>
        </w:rPr>
        <w:t>1-1中小企业声明函（如有）</w:t>
      </w:r>
    </w:p>
    <w:p>
      <w:pPr>
        <w:pStyle w:val="286"/>
        <w:spacing w:line="360" w:lineRule="auto"/>
        <w:ind w:right="-97"/>
        <w:jc w:val="center"/>
        <w:rPr>
          <w:rFonts w:hint="eastAsia" w:ascii="宋体" w:hAnsi="宋体"/>
          <w:bCs/>
          <w:color w:val="auto"/>
          <w:sz w:val="24"/>
        </w:rPr>
      </w:pPr>
      <w:r>
        <w:rPr>
          <w:rFonts w:hint="eastAsia" w:ascii="宋体" w:hAnsi="宋体"/>
          <w:b/>
          <w:bCs/>
          <w:color w:val="auto"/>
          <w:sz w:val="24"/>
          <w:szCs w:val="24"/>
        </w:rPr>
        <w:t>中小企业声明函</w:t>
      </w:r>
      <w:r>
        <w:rPr>
          <w:rFonts w:hint="eastAsia" w:ascii="宋体" w:hAnsi="宋体"/>
          <w:b/>
          <w:bCs/>
          <w:color w:val="auto"/>
          <w:sz w:val="24"/>
          <w:szCs w:val="24"/>
          <w:lang w:eastAsia="zh-CN"/>
        </w:rPr>
        <w:t>（货物）</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本公司（联合体）郑重声明，根据《政府采购促进中小企业发展管理办法》（财库（2020)46号）的规定，本公司（联合体）参加</w:t>
      </w:r>
      <w:r>
        <w:rPr>
          <w:rFonts w:hint="eastAsia" w:ascii="宋体" w:hAnsi="宋体"/>
          <w:bCs/>
          <w:color w:val="auto"/>
          <w:sz w:val="24"/>
          <w:u w:val="single"/>
        </w:rPr>
        <w:t>（单位名称）</w:t>
      </w:r>
      <w:r>
        <w:rPr>
          <w:rFonts w:hint="eastAsia" w:ascii="宋体" w:hAnsi="宋体"/>
          <w:bCs/>
          <w:color w:val="auto"/>
          <w:sz w:val="24"/>
        </w:rPr>
        <w:t>的</w:t>
      </w:r>
      <w:r>
        <w:rPr>
          <w:rFonts w:hint="eastAsia" w:ascii="宋体" w:hAnsi="宋体"/>
          <w:bCs/>
          <w:color w:val="auto"/>
          <w:sz w:val="24"/>
          <w:u w:val="single"/>
        </w:rPr>
        <w:t>（项目名称）</w:t>
      </w:r>
      <w:r>
        <w:rPr>
          <w:rFonts w:hint="eastAsia" w:ascii="宋体" w:hAnsi="宋体"/>
          <w:bCs/>
          <w:color w:val="auto"/>
          <w:sz w:val="24"/>
        </w:rPr>
        <w:t>采购活动，提供的货物全部由符合政策要求的中小企业制造。相关企业（含联合体中的中小企业、签订分包意向协议的中小企业）的具体情况如下：</w:t>
      </w:r>
    </w:p>
    <w:p>
      <w:pPr>
        <w:spacing w:line="460" w:lineRule="exact"/>
        <w:ind w:firstLine="480" w:firstLineChars="200"/>
        <w:jc w:val="both"/>
        <w:rPr>
          <w:rFonts w:hint="eastAsia" w:ascii="宋体" w:hAnsi="宋体"/>
          <w:bCs/>
          <w:color w:val="auto"/>
          <w:sz w:val="24"/>
          <w:u w:val="single"/>
        </w:rPr>
      </w:pPr>
      <w:r>
        <w:rPr>
          <w:rFonts w:hint="eastAsia" w:ascii="宋体" w:hAnsi="宋体"/>
          <w:bCs/>
          <w:color w:val="auto"/>
          <w:sz w:val="24"/>
        </w:rPr>
        <w:t>1.</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（采购文件中明确的所属行业）行业</w:t>
      </w:r>
      <w:r>
        <w:rPr>
          <w:rFonts w:hint="eastAsia" w:ascii="宋体" w:hAnsi="宋体"/>
          <w:bCs/>
          <w:color w:val="auto"/>
          <w:sz w:val="24"/>
        </w:rPr>
        <w:t>；制造商为</w:t>
      </w:r>
      <w:r>
        <w:rPr>
          <w:rFonts w:hint="eastAsia" w:ascii="宋体" w:hAnsi="宋体"/>
          <w:bCs/>
          <w:color w:val="auto"/>
          <w:sz w:val="24"/>
          <w:u w:val="single"/>
        </w:rPr>
        <w:t>（企业名称）</w:t>
      </w:r>
      <w:r>
        <w:rPr>
          <w:rFonts w:hint="eastAsia" w:ascii="宋体" w:hAnsi="宋体"/>
          <w:bCs/>
          <w:color w:val="auto"/>
          <w:sz w:val="24"/>
        </w:rPr>
        <w:t>，从业人员</w:t>
      </w:r>
      <w:r>
        <w:rPr>
          <w:rFonts w:hint="eastAsia" w:ascii="宋体" w:hAnsi="宋体"/>
          <w:bCs/>
          <w:color w:val="auto"/>
          <w:sz w:val="24"/>
          <w:u w:val="single"/>
          <w:lang w:val="en-US" w:eastAsia="zh-CN"/>
        </w:rPr>
        <w:t xml:space="preserve">     </w:t>
      </w:r>
      <w:r>
        <w:rPr>
          <w:rFonts w:hint="eastAsia" w:ascii="宋体" w:hAnsi="宋体"/>
          <w:bCs/>
          <w:color w:val="auto"/>
          <w:sz w:val="24"/>
        </w:rPr>
        <w:t>人，营业收入为</w:t>
      </w:r>
      <w:r>
        <w:rPr>
          <w:rFonts w:hint="eastAsia" w:ascii="宋体" w:hAnsi="宋体"/>
          <w:bCs/>
          <w:color w:val="auto"/>
          <w:sz w:val="24"/>
          <w:u w:val="single"/>
          <w:lang w:val="en-US" w:eastAsia="zh-CN"/>
        </w:rPr>
        <w:t xml:space="preserve">   </w:t>
      </w:r>
      <w:r>
        <w:rPr>
          <w:rFonts w:hint="eastAsia" w:ascii="宋体" w:hAnsi="宋体"/>
          <w:bCs/>
          <w:color w:val="auto"/>
          <w:sz w:val="24"/>
        </w:rPr>
        <w:t>万元，资产总额为</w:t>
      </w:r>
      <w:r>
        <w:rPr>
          <w:rFonts w:hint="eastAsia" w:ascii="宋体" w:hAnsi="宋体"/>
          <w:bCs/>
          <w:color w:val="auto"/>
          <w:sz w:val="24"/>
          <w:u w:val="single"/>
          <w:lang w:val="en-US" w:eastAsia="zh-CN"/>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p>
    <w:p>
      <w:pPr>
        <w:spacing w:line="460" w:lineRule="exact"/>
        <w:ind w:firstLine="480" w:firstLineChars="200"/>
        <w:jc w:val="both"/>
        <w:rPr>
          <w:rFonts w:hint="eastAsia" w:ascii="宋体" w:hAnsi="宋体"/>
          <w:bCs/>
          <w:color w:val="auto"/>
          <w:sz w:val="24"/>
          <w:u w:val="single"/>
        </w:rPr>
      </w:pPr>
      <w:r>
        <w:rPr>
          <w:rFonts w:hint="eastAsia" w:ascii="宋体" w:hAnsi="宋体"/>
          <w:bCs/>
          <w:color w:val="auto"/>
          <w:sz w:val="24"/>
        </w:rPr>
        <w:t>2.</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（采购文件中明确的所属行业）行业</w:t>
      </w:r>
      <w:r>
        <w:rPr>
          <w:rFonts w:hint="eastAsia" w:ascii="宋体" w:hAnsi="宋体"/>
          <w:bCs/>
          <w:color w:val="auto"/>
          <w:sz w:val="24"/>
        </w:rPr>
        <w:t>；制造商为</w:t>
      </w:r>
      <w:r>
        <w:rPr>
          <w:rFonts w:hint="eastAsia" w:ascii="宋体" w:hAnsi="宋体"/>
          <w:bCs/>
          <w:color w:val="auto"/>
          <w:sz w:val="24"/>
          <w:u w:val="single"/>
        </w:rPr>
        <w:t>（企业名称）</w:t>
      </w:r>
      <w:r>
        <w:rPr>
          <w:rFonts w:hint="eastAsia" w:ascii="宋体" w:hAnsi="宋体"/>
          <w:bCs/>
          <w:color w:val="auto"/>
          <w:sz w:val="24"/>
        </w:rPr>
        <w:t>，从业人员</w:t>
      </w:r>
      <w:r>
        <w:rPr>
          <w:rFonts w:hint="eastAsia" w:ascii="宋体" w:hAnsi="宋体"/>
          <w:bCs/>
          <w:color w:val="auto"/>
          <w:sz w:val="24"/>
          <w:u w:val="single"/>
          <w:lang w:val="en-US" w:eastAsia="zh-CN"/>
        </w:rPr>
        <w:t xml:space="preserve">        </w:t>
      </w:r>
      <w:r>
        <w:rPr>
          <w:rFonts w:hint="eastAsia" w:ascii="宋体" w:hAnsi="宋体"/>
          <w:bCs/>
          <w:color w:val="auto"/>
          <w:sz w:val="24"/>
        </w:rPr>
        <w:t>人，营业收入为</w:t>
      </w:r>
      <w:r>
        <w:rPr>
          <w:rFonts w:hint="eastAsia" w:ascii="宋体" w:hAnsi="宋体"/>
          <w:bCs/>
          <w:color w:val="auto"/>
          <w:sz w:val="24"/>
          <w:u w:val="single"/>
          <w:lang w:val="en-US" w:eastAsia="zh-CN"/>
        </w:rPr>
        <w:t xml:space="preserve">       </w:t>
      </w:r>
      <w:r>
        <w:rPr>
          <w:rFonts w:hint="eastAsia" w:ascii="宋体" w:hAnsi="宋体"/>
          <w:bCs/>
          <w:color w:val="auto"/>
          <w:sz w:val="24"/>
        </w:rPr>
        <w:t>万元，资产总额为</w:t>
      </w:r>
      <w:r>
        <w:rPr>
          <w:rFonts w:hint="eastAsia" w:ascii="宋体" w:hAnsi="宋体"/>
          <w:bCs/>
          <w:color w:val="auto"/>
          <w:sz w:val="24"/>
          <w:u w:val="single"/>
          <w:lang w:val="en-US" w:eastAsia="zh-CN"/>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p>
    <w:p>
      <w:pPr>
        <w:spacing w:line="460" w:lineRule="exact"/>
        <w:ind w:firstLine="480" w:firstLineChars="200"/>
        <w:jc w:val="both"/>
        <w:rPr>
          <w:rFonts w:hint="default" w:ascii="宋体" w:hAnsi="宋体" w:eastAsia="宋体"/>
          <w:bCs/>
          <w:color w:val="auto"/>
          <w:sz w:val="24"/>
          <w:lang w:val="en-US" w:eastAsia="zh-CN"/>
        </w:rPr>
      </w:pPr>
      <w:r>
        <w:rPr>
          <w:rFonts w:hint="eastAsia" w:ascii="宋体" w:hAnsi="宋体"/>
          <w:bCs/>
          <w:color w:val="auto"/>
          <w:sz w:val="24"/>
          <w:lang w:val="en-US" w:eastAsia="zh-CN"/>
        </w:rPr>
        <w:t>.........</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以上企业，不属于大企业的分支机构，不存在控股股东为大企业的情形，也不存在与大企业的负责人为同一人的情形。</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本企业对上述声明内容的真实性负责。如有虚假，将依法承担相应责任。</w:t>
      </w:r>
    </w:p>
    <w:p>
      <w:pPr>
        <w:spacing w:line="460" w:lineRule="exact"/>
        <w:jc w:val="right"/>
        <w:rPr>
          <w:rFonts w:hint="eastAsia" w:ascii="宋体" w:hAnsi="宋体"/>
          <w:bCs/>
          <w:color w:val="auto"/>
          <w:sz w:val="24"/>
        </w:rPr>
      </w:pPr>
      <w:r>
        <w:rPr>
          <w:rFonts w:hint="eastAsia" w:ascii="宋体" w:hAnsi="宋体"/>
          <w:bCs/>
          <w:color w:val="auto"/>
          <w:sz w:val="24"/>
        </w:rPr>
        <w:t>企业名称（盖章）：</w:t>
      </w:r>
    </w:p>
    <w:p>
      <w:pPr>
        <w:widowControl/>
        <w:adjustRightInd w:val="0"/>
        <w:snapToGrid w:val="0"/>
        <w:spacing w:line="420" w:lineRule="exact"/>
        <w:jc w:val="center"/>
        <w:rPr>
          <w:b w:val="0"/>
          <w:bCs w:val="0"/>
          <w:color w:val="auto"/>
          <w:sz w:val="21"/>
          <w:szCs w:val="21"/>
        </w:rPr>
      </w:pPr>
      <w:r>
        <w:rPr>
          <w:rFonts w:hint="eastAsia"/>
          <w:color w:val="auto"/>
          <w:spacing w:val="6"/>
          <w:kern w:val="0"/>
          <w:sz w:val="24"/>
          <w:lang w:val="en-US" w:eastAsia="zh-CN"/>
        </w:rPr>
        <w:t xml:space="preserve">                                                  </w:t>
      </w:r>
      <w:r>
        <w:rPr>
          <w:color w:val="auto"/>
          <w:spacing w:val="6"/>
          <w:kern w:val="0"/>
          <w:sz w:val="24"/>
        </w:rPr>
        <w:t>日期：</w:t>
      </w:r>
      <w:r>
        <w:rPr>
          <w:color w:val="auto"/>
          <w:sz w:val="24"/>
        </w:rPr>
        <w:t>年月日</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注：小型和微型企业适用价格扣除办法时应同时提供的相关资料：</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1.小型、微型企业提供其他小型、微型企业生产的产品时，则须同时提供该小微企业的声明函、上一年度（或近期）的审计报告及拟投标产品的报价明细。</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2. 小型、微型企业提供中型（或大型）企业制造的货物的，视同为中型（或大型）企业，不享受本项优惠。</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3.其他相关的证明材料（如：上一年度（或近期）的审计报告等，须能反映出企业的应纳税所得额、从业人员、资产总额、营业收入等相关内容）。</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4.提供投标人工商行政登记所在地管理部门或相关监督管理部门出具的小微企业证明文件。</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5.提供所代理产品生产厂家的属地主管部门出具的小微企业证明文件；</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6.进口产品不享受中小企业评审优惠。</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rFonts w:hint="eastAsia"/>
          <w:b w:val="0"/>
          <w:bCs w:val="0"/>
          <w:color w:val="auto"/>
          <w:sz w:val="21"/>
          <w:szCs w:val="21"/>
        </w:rPr>
      </w:pPr>
      <w:r>
        <w:rPr>
          <w:rFonts w:hint="eastAsia"/>
          <w:b w:val="0"/>
          <w:bCs w:val="0"/>
          <w:color w:val="auto"/>
          <w:sz w:val="21"/>
          <w:szCs w:val="21"/>
        </w:rPr>
        <w:t>未按上述要求填写并提供证明材料的，评审时不予以考虑。</w:t>
      </w:r>
    </w:p>
    <w:p>
      <w:pPr>
        <w:pStyle w:val="283"/>
        <w:spacing w:before="0"/>
        <w:ind w:left="0"/>
        <w:rPr>
          <w:rFonts w:hint="eastAsia"/>
          <w:b w:val="0"/>
          <w:bCs w:val="0"/>
          <w:color w:val="auto"/>
          <w:sz w:val="21"/>
          <w:szCs w:val="21"/>
        </w:rPr>
      </w:pPr>
    </w:p>
    <w:p>
      <w:pPr>
        <w:pStyle w:val="286"/>
        <w:spacing w:line="360" w:lineRule="auto"/>
        <w:ind w:right="-97"/>
        <w:jc w:val="center"/>
        <w:rPr>
          <w:rFonts w:hint="eastAsia" w:ascii="宋体" w:hAnsi="宋体" w:eastAsia="宋体"/>
          <w:b/>
          <w:bCs/>
          <w:color w:val="auto"/>
          <w:sz w:val="24"/>
          <w:szCs w:val="24"/>
          <w:lang w:eastAsia="zh-CN"/>
        </w:rPr>
      </w:pPr>
      <w:r>
        <w:rPr>
          <w:rFonts w:hint="eastAsia" w:ascii="宋体" w:hAnsi="宋体"/>
          <w:b/>
          <w:bCs/>
          <w:color w:val="auto"/>
          <w:sz w:val="24"/>
          <w:szCs w:val="24"/>
        </w:rPr>
        <w:t>中小企业声明函</w:t>
      </w:r>
      <w:r>
        <w:rPr>
          <w:rFonts w:hint="eastAsia" w:ascii="宋体" w:hAnsi="宋体"/>
          <w:b/>
          <w:bCs/>
          <w:color w:val="auto"/>
          <w:sz w:val="24"/>
          <w:szCs w:val="24"/>
          <w:lang w:eastAsia="zh-CN"/>
        </w:rPr>
        <w:t>（工程、服务）</w:t>
      </w:r>
    </w:p>
    <w:p>
      <w:pPr>
        <w:spacing w:line="460" w:lineRule="exact"/>
        <w:ind w:firstLine="480" w:firstLineChars="200"/>
        <w:jc w:val="both"/>
        <w:rPr>
          <w:rFonts w:hint="eastAsia" w:ascii="宋体" w:hAnsi="宋体"/>
          <w:bCs/>
          <w:color w:val="auto"/>
          <w:sz w:val="24"/>
        </w:rPr>
      </w:pP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本公司（联合体）郑重声明，根据《政府采购促进中小企业发展管理办法》（财库（2020)46号）的规定，本公司（联合体）参加</w:t>
      </w:r>
      <w:r>
        <w:rPr>
          <w:rFonts w:hint="eastAsia" w:ascii="宋体" w:hAnsi="宋体"/>
          <w:bCs/>
          <w:color w:val="auto"/>
          <w:sz w:val="24"/>
          <w:u w:val="single"/>
        </w:rPr>
        <w:t>（单位名称）</w:t>
      </w:r>
      <w:r>
        <w:rPr>
          <w:rFonts w:hint="eastAsia" w:ascii="宋体" w:hAnsi="宋体"/>
          <w:bCs/>
          <w:color w:val="auto"/>
          <w:sz w:val="24"/>
        </w:rPr>
        <w:t>的</w:t>
      </w:r>
      <w:r>
        <w:rPr>
          <w:rFonts w:hint="eastAsia" w:ascii="宋体" w:hAnsi="宋体"/>
          <w:bCs/>
          <w:color w:val="auto"/>
          <w:sz w:val="24"/>
          <w:u w:val="single"/>
        </w:rPr>
        <w:t>（项目名称）</w:t>
      </w:r>
      <w:r>
        <w:rPr>
          <w:rFonts w:hint="eastAsia" w:ascii="宋体" w:hAnsi="宋体"/>
          <w:bCs/>
          <w:color w:val="auto"/>
          <w:sz w:val="24"/>
        </w:rPr>
        <w:t>采购活动，</w:t>
      </w:r>
      <w:r>
        <w:rPr>
          <w:rFonts w:hint="eastAsia" w:ascii="宋体" w:hAnsi="宋体"/>
          <w:bCs/>
          <w:color w:val="auto"/>
          <w:sz w:val="24"/>
          <w:lang w:eastAsia="zh-CN"/>
        </w:rPr>
        <w:t>工程的施工单位</w:t>
      </w:r>
      <w:r>
        <w:rPr>
          <w:rFonts w:hint="eastAsia" w:ascii="宋体" w:hAnsi="宋体"/>
          <w:bCs/>
          <w:color w:val="auto"/>
          <w:sz w:val="24"/>
        </w:rPr>
        <w:t>全部由符合政策要求的中小企业</w:t>
      </w:r>
      <w:r>
        <w:rPr>
          <w:rFonts w:hint="eastAsia" w:ascii="宋体" w:hAnsi="宋体"/>
          <w:bCs/>
          <w:color w:val="auto"/>
          <w:sz w:val="24"/>
          <w:lang w:eastAsia="zh-CN"/>
        </w:rPr>
        <w:t>承接</w:t>
      </w:r>
      <w:r>
        <w:rPr>
          <w:rFonts w:hint="eastAsia" w:ascii="宋体" w:hAnsi="宋体"/>
          <w:bCs/>
          <w:color w:val="auto"/>
          <w:sz w:val="24"/>
        </w:rPr>
        <w:t>。相关企业（含联合体中的中小企业、签订分包意向协议的中小企业）的具体情况如下：</w:t>
      </w:r>
    </w:p>
    <w:p>
      <w:pPr>
        <w:spacing w:line="460" w:lineRule="exact"/>
        <w:ind w:firstLine="480" w:firstLineChars="200"/>
        <w:jc w:val="both"/>
        <w:rPr>
          <w:rFonts w:hint="eastAsia" w:ascii="宋体" w:hAnsi="宋体"/>
          <w:bCs/>
          <w:color w:val="auto"/>
          <w:sz w:val="24"/>
          <w:u w:val="single"/>
        </w:rPr>
      </w:pPr>
      <w:r>
        <w:rPr>
          <w:rFonts w:hint="eastAsia" w:ascii="宋体" w:hAnsi="宋体"/>
          <w:bCs/>
          <w:color w:val="auto"/>
          <w:sz w:val="24"/>
        </w:rPr>
        <w:t>1.</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（采购文件中明确的所属行业）行业</w:t>
      </w:r>
      <w:r>
        <w:rPr>
          <w:rFonts w:hint="eastAsia" w:ascii="宋体" w:hAnsi="宋体"/>
          <w:bCs/>
          <w:color w:val="auto"/>
          <w:sz w:val="24"/>
        </w:rPr>
        <w:t>；</w:t>
      </w:r>
      <w:r>
        <w:rPr>
          <w:rFonts w:hint="eastAsia" w:ascii="宋体" w:hAnsi="宋体"/>
          <w:bCs/>
          <w:color w:val="auto"/>
          <w:sz w:val="24"/>
          <w:lang w:eastAsia="zh-CN"/>
        </w:rPr>
        <w:t>承建（承接）</w:t>
      </w:r>
      <w:r>
        <w:rPr>
          <w:rFonts w:hint="eastAsia" w:ascii="宋体" w:hAnsi="宋体"/>
          <w:bCs/>
          <w:color w:val="auto"/>
          <w:sz w:val="24"/>
        </w:rPr>
        <w:t>为</w:t>
      </w:r>
      <w:r>
        <w:rPr>
          <w:rFonts w:hint="eastAsia" w:ascii="宋体" w:hAnsi="宋体"/>
          <w:bCs/>
          <w:color w:val="auto"/>
          <w:sz w:val="24"/>
          <w:u w:val="single"/>
        </w:rPr>
        <w:t>（企业名称）</w:t>
      </w:r>
      <w:r>
        <w:rPr>
          <w:rFonts w:hint="eastAsia" w:ascii="宋体" w:hAnsi="宋体"/>
          <w:bCs/>
          <w:color w:val="auto"/>
          <w:sz w:val="24"/>
        </w:rPr>
        <w:t>，从业人员</w:t>
      </w:r>
      <w:r>
        <w:rPr>
          <w:rFonts w:hint="eastAsia" w:ascii="宋体" w:hAnsi="宋体"/>
          <w:bCs/>
          <w:color w:val="auto"/>
          <w:sz w:val="24"/>
          <w:u w:val="single"/>
          <w:lang w:val="en-US" w:eastAsia="zh-CN"/>
        </w:rPr>
        <w:t xml:space="preserve">     </w:t>
      </w:r>
      <w:r>
        <w:rPr>
          <w:rFonts w:hint="eastAsia" w:ascii="宋体" w:hAnsi="宋体"/>
          <w:bCs/>
          <w:color w:val="auto"/>
          <w:sz w:val="24"/>
        </w:rPr>
        <w:t>人，营业收入为</w:t>
      </w:r>
      <w:r>
        <w:rPr>
          <w:rFonts w:hint="eastAsia" w:ascii="宋体" w:hAnsi="宋体"/>
          <w:bCs/>
          <w:color w:val="auto"/>
          <w:sz w:val="24"/>
          <w:u w:val="single"/>
          <w:lang w:val="en-US" w:eastAsia="zh-CN"/>
        </w:rPr>
        <w:t xml:space="preserve">   </w:t>
      </w:r>
      <w:r>
        <w:rPr>
          <w:rFonts w:hint="eastAsia" w:ascii="宋体" w:hAnsi="宋体"/>
          <w:bCs/>
          <w:color w:val="auto"/>
          <w:sz w:val="24"/>
        </w:rPr>
        <w:t>万元，资产总额为</w:t>
      </w:r>
      <w:r>
        <w:rPr>
          <w:rFonts w:hint="eastAsia" w:ascii="宋体" w:hAnsi="宋体"/>
          <w:bCs/>
          <w:color w:val="auto"/>
          <w:sz w:val="24"/>
          <w:u w:val="single"/>
          <w:lang w:val="en-US" w:eastAsia="zh-CN"/>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p>
    <w:p>
      <w:pPr>
        <w:spacing w:line="460" w:lineRule="exact"/>
        <w:ind w:firstLine="480" w:firstLineChars="200"/>
        <w:jc w:val="both"/>
        <w:rPr>
          <w:rFonts w:hint="eastAsia" w:ascii="宋体" w:hAnsi="宋体"/>
          <w:bCs/>
          <w:color w:val="auto"/>
          <w:sz w:val="24"/>
          <w:u w:val="single"/>
        </w:rPr>
      </w:pPr>
      <w:r>
        <w:rPr>
          <w:rFonts w:hint="eastAsia" w:ascii="宋体" w:hAnsi="宋体"/>
          <w:bCs/>
          <w:color w:val="auto"/>
          <w:sz w:val="24"/>
        </w:rPr>
        <w:t>2.</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（采购文件中明确的所属行业）行业</w:t>
      </w:r>
      <w:r>
        <w:rPr>
          <w:rFonts w:hint="eastAsia" w:ascii="宋体" w:hAnsi="宋体"/>
          <w:bCs/>
          <w:color w:val="auto"/>
          <w:sz w:val="24"/>
        </w:rPr>
        <w:t>；</w:t>
      </w:r>
      <w:r>
        <w:rPr>
          <w:rFonts w:hint="eastAsia" w:ascii="宋体" w:hAnsi="宋体"/>
          <w:bCs/>
          <w:color w:val="auto"/>
          <w:sz w:val="24"/>
          <w:lang w:eastAsia="zh-CN"/>
        </w:rPr>
        <w:t>承建（承接）</w:t>
      </w:r>
      <w:r>
        <w:rPr>
          <w:rFonts w:hint="eastAsia" w:ascii="宋体" w:hAnsi="宋体"/>
          <w:bCs/>
          <w:color w:val="auto"/>
          <w:sz w:val="24"/>
        </w:rPr>
        <w:t>为</w:t>
      </w:r>
      <w:r>
        <w:rPr>
          <w:rFonts w:hint="eastAsia" w:ascii="宋体" w:hAnsi="宋体"/>
          <w:bCs/>
          <w:color w:val="auto"/>
          <w:sz w:val="24"/>
          <w:u w:val="single"/>
        </w:rPr>
        <w:t>（企业名称）</w:t>
      </w:r>
      <w:r>
        <w:rPr>
          <w:rFonts w:hint="eastAsia" w:ascii="宋体" w:hAnsi="宋体"/>
          <w:bCs/>
          <w:color w:val="auto"/>
          <w:sz w:val="24"/>
        </w:rPr>
        <w:t>，从业人员</w:t>
      </w:r>
      <w:r>
        <w:rPr>
          <w:rFonts w:hint="eastAsia" w:ascii="宋体" w:hAnsi="宋体"/>
          <w:bCs/>
          <w:color w:val="auto"/>
          <w:sz w:val="24"/>
          <w:u w:val="single"/>
          <w:lang w:val="en-US" w:eastAsia="zh-CN"/>
        </w:rPr>
        <w:t xml:space="preserve">        </w:t>
      </w:r>
      <w:r>
        <w:rPr>
          <w:rFonts w:hint="eastAsia" w:ascii="宋体" w:hAnsi="宋体"/>
          <w:bCs/>
          <w:color w:val="auto"/>
          <w:sz w:val="24"/>
        </w:rPr>
        <w:t>人，营业收入为</w:t>
      </w:r>
      <w:r>
        <w:rPr>
          <w:rFonts w:hint="eastAsia" w:ascii="宋体" w:hAnsi="宋体"/>
          <w:bCs/>
          <w:color w:val="auto"/>
          <w:sz w:val="24"/>
          <w:u w:val="single"/>
          <w:lang w:val="en-US" w:eastAsia="zh-CN"/>
        </w:rPr>
        <w:t xml:space="preserve">       </w:t>
      </w:r>
      <w:r>
        <w:rPr>
          <w:rFonts w:hint="eastAsia" w:ascii="宋体" w:hAnsi="宋体"/>
          <w:bCs/>
          <w:color w:val="auto"/>
          <w:sz w:val="24"/>
        </w:rPr>
        <w:t>万元，资产总额为</w:t>
      </w:r>
      <w:r>
        <w:rPr>
          <w:rFonts w:hint="eastAsia" w:ascii="宋体" w:hAnsi="宋体"/>
          <w:bCs/>
          <w:color w:val="auto"/>
          <w:sz w:val="24"/>
          <w:u w:val="single"/>
          <w:lang w:val="en-US" w:eastAsia="zh-CN"/>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p>
    <w:p>
      <w:pPr>
        <w:spacing w:line="460" w:lineRule="exact"/>
        <w:ind w:firstLine="480" w:firstLineChars="200"/>
        <w:jc w:val="both"/>
        <w:rPr>
          <w:rFonts w:hint="default" w:ascii="宋体" w:hAnsi="宋体" w:eastAsia="宋体"/>
          <w:bCs/>
          <w:color w:val="auto"/>
          <w:sz w:val="24"/>
          <w:lang w:val="en-US" w:eastAsia="zh-CN"/>
        </w:rPr>
      </w:pPr>
      <w:r>
        <w:rPr>
          <w:rFonts w:hint="eastAsia" w:ascii="宋体" w:hAnsi="宋体"/>
          <w:bCs/>
          <w:color w:val="auto"/>
          <w:sz w:val="24"/>
          <w:lang w:val="en-US" w:eastAsia="zh-CN"/>
        </w:rPr>
        <w:t>.........</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以上企业，不属于大企业的分支机构，不存在控股股东为大企业的情形，也不存在与大企业的负责人为同一人的情形。</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本企业对上述声明内容的真实性负责。如有虚假，将依法承担相应责任。</w:t>
      </w:r>
    </w:p>
    <w:p>
      <w:pPr>
        <w:spacing w:line="460" w:lineRule="exact"/>
        <w:jc w:val="right"/>
        <w:rPr>
          <w:rFonts w:hint="eastAsia" w:ascii="宋体" w:hAnsi="宋体"/>
          <w:bCs/>
          <w:color w:val="auto"/>
          <w:sz w:val="24"/>
        </w:rPr>
      </w:pPr>
      <w:r>
        <w:rPr>
          <w:rFonts w:hint="eastAsia" w:ascii="宋体" w:hAnsi="宋体"/>
          <w:bCs/>
          <w:color w:val="auto"/>
          <w:sz w:val="24"/>
        </w:rPr>
        <w:t>企业名称（盖章）：</w:t>
      </w:r>
    </w:p>
    <w:p>
      <w:pPr>
        <w:widowControl/>
        <w:adjustRightInd w:val="0"/>
        <w:snapToGrid w:val="0"/>
        <w:spacing w:line="420" w:lineRule="exact"/>
        <w:jc w:val="center"/>
        <w:rPr>
          <w:color w:val="auto"/>
          <w:sz w:val="24"/>
        </w:rPr>
      </w:pPr>
      <w:r>
        <w:rPr>
          <w:rFonts w:hint="eastAsia"/>
          <w:color w:val="auto"/>
          <w:spacing w:val="6"/>
          <w:kern w:val="0"/>
          <w:sz w:val="24"/>
          <w:lang w:val="en-US" w:eastAsia="zh-CN"/>
        </w:rPr>
        <w:t xml:space="preserve">                                                  </w:t>
      </w:r>
      <w:r>
        <w:rPr>
          <w:color w:val="auto"/>
          <w:spacing w:val="6"/>
          <w:kern w:val="0"/>
          <w:sz w:val="24"/>
        </w:rPr>
        <w:t>日期：</w:t>
      </w:r>
      <w:r>
        <w:rPr>
          <w:color w:val="auto"/>
          <w:sz w:val="24"/>
        </w:rPr>
        <w:t>年月日</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注：小型和微型企业适用价格扣除办法时应同时提供的相关资料：</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1.小型、微型企业提供其他小型、微型企业生产的产品时，则须同时提供该小微企业的声明函、上一年度（或近期）的审计报告及拟投标产品的报价明细。</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2. 小型、微型企业提供中型（或大型）企业制造的货物的，视同为中型（或大型）企业，不享受本项优惠。</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3.其他相关的证明材料（如：上一年度（或近期）的审计报告等，须能反映出企业的应纳税所得额、从业人员、资产总额、营业收入等相关内容）。</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4.提供投标人工商行政登记所在地管理部门或相关监督管理部门出具的小微企业证明文件。</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5.提供所代理产品生产厂家的属地主管部门出具的小微企业证明文件；</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6.进口产品不享受中小企业评审优惠。</w:t>
      </w:r>
    </w:p>
    <w:p>
      <w:pPr>
        <w:pStyle w:val="283"/>
        <w:keepNext w:val="0"/>
        <w:keepLines w:val="0"/>
        <w:pageBreakBefore w:val="0"/>
        <w:widowControl w:val="0"/>
        <w:kinsoku/>
        <w:wordWrap/>
        <w:overflowPunct/>
        <w:topLinePunct w:val="0"/>
        <w:autoSpaceDE/>
        <w:autoSpaceDN/>
        <w:bidi w:val="0"/>
        <w:adjustRightInd/>
        <w:snapToGrid/>
        <w:spacing w:before="0" w:after="0" w:afterAutospacing="0" w:line="400" w:lineRule="exact"/>
        <w:ind w:left="0"/>
        <w:textAlignment w:val="auto"/>
        <w:rPr>
          <w:b w:val="0"/>
          <w:bCs w:val="0"/>
          <w:color w:val="auto"/>
          <w:sz w:val="21"/>
          <w:szCs w:val="21"/>
        </w:rPr>
      </w:pPr>
      <w:r>
        <w:rPr>
          <w:rFonts w:hint="eastAsia"/>
          <w:b w:val="0"/>
          <w:bCs w:val="0"/>
          <w:color w:val="auto"/>
          <w:sz w:val="21"/>
          <w:szCs w:val="21"/>
        </w:rPr>
        <w:t>未按上述要求填写并提供证明材料的，评审时不予以考虑。</w:t>
      </w:r>
    </w:p>
    <w:p>
      <w:pPr>
        <w:tabs>
          <w:tab w:val="left" w:pos="6300"/>
        </w:tabs>
        <w:snapToGrid w:val="0"/>
        <w:spacing w:line="500" w:lineRule="exact"/>
        <w:ind w:firstLine="602" w:firstLineChars="200"/>
        <w:jc w:val="center"/>
        <w:outlineLvl w:val="0"/>
        <w:rPr>
          <w:rFonts w:hint="eastAsia"/>
          <w:b/>
          <w:color w:val="auto"/>
          <w:sz w:val="30"/>
        </w:rPr>
      </w:pPr>
    </w:p>
    <w:p>
      <w:pPr>
        <w:tabs>
          <w:tab w:val="left" w:pos="6300"/>
        </w:tabs>
        <w:snapToGrid w:val="0"/>
        <w:spacing w:line="500" w:lineRule="exact"/>
        <w:ind w:firstLine="602" w:firstLineChars="200"/>
        <w:jc w:val="center"/>
        <w:outlineLvl w:val="0"/>
        <w:rPr>
          <w:rFonts w:eastAsia="方正仿宋_GBK"/>
          <w:color w:val="auto"/>
        </w:rPr>
      </w:pPr>
      <w:r>
        <w:rPr>
          <w:rFonts w:hint="eastAsia"/>
          <w:b/>
          <w:color w:val="auto"/>
          <w:sz w:val="30"/>
        </w:rPr>
        <w:t>1</w:t>
      </w:r>
      <w:r>
        <w:rPr>
          <w:b/>
          <w:color w:val="auto"/>
          <w:sz w:val="30"/>
        </w:rPr>
        <w:t>-</w:t>
      </w:r>
      <w:r>
        <w:rPr>
          <w:rFonts w:hint="eastAsia"/>
          <w:b/>
          <w:color w:val="auto"/>
          <w:sz w:val="30"/>
        </w:rPr>
        <w:t>2</w:t>
      </w:r>
      <w:r>
        <w:rPr>
          <w:b/>
          <w:color w:val="auto"/>
          <w:sz w:val="30"/>
        </w:rPr>
        <w:t xml:space="preserve"> 残疾人福利性单位声明函（如有）</w:t>
      </w:r>
    </w:p>
    <w:p>
      <w:pPr>
        <w:tabs>
          <w:tab w:val="left" w:pos="6300"/>
        </w:tabs>
        <w:snapToGrid w:val="0"/>
        <w:spacing w:line="500" w:lineRule="exact"/>
        <w:ind w:firstLine="480" w:firstLineChars="200"/>
        <w:rPr>
          <w:color w:val="auto"/>
          <w:sz w:val="24"/>
        </w:rPr>
      </w:pPr>
    </w:p>
    <w:p>
      <w:pPr>
        <w:tabs>
          <w:tab w:val="left" w:pos="6300"/>
        </w:tabs>
        <w:snapToGrid w:val="0"/>
        <w:spacing w:line="500" w:lineRule="exact"/>
        <w:ind w:firstLine="480" w:firstLineChars="200"/>
        <w:rPr>
          <w:color w:val="auto"/>
          <w:sz w:val="24"/>
        </w:rPr>
      </w:pPr>
      <w:r>
        <w:rPr>
          <w:color w:val="auto"/>
          <w:sz w:val="24"/>
        </w:rPr>
        <w:t>本单位郑重声明，根据《财政部 民政部 中国残疾人联合会关于促进残疾人就业政府采购政策的通知》（财库〔2017〕 141号）的规定，本单位为符合条件的残疾人福利性单位，且本单位参加</w:t>
      </w:r>
      <w:r>
        <w:rPr>
          <w:color w:val="auto"/>
          <w:sz w:val="24"/>
          <w:u w:val="single"/>
        </w:rPr>
        <w:t>_（采购人）单位</w:t>
      </w:r>
      <w:r>
        <w:rPr>
          <w:color w:val="auto"/>
          <w:sz w:val="24"/>
        </w:rPr>
        <w:t>的______项目采购活动提供本单位制造的货物</w:t>
      </w:r>
      <w:r>
        <w:rPr>
          <w:color w:val="auto"/>
          <w:sz w:val="24"/>
          <w:u w:val="single"/>
        </w:rPr>
        <w:t>（由本单位承担工程/提供服务）</w:t>
      </w:r>
      <w:r>
        <w:rPr>
          <w:color w:val="auto"/>
          <w:sz w:val="24"/>
        </w:rPr>
        <w:t>，或者提供其他残疾人福利性单位制造的货物（不包括使用非残疾人福利性单位注册商标的货物）。</w:t>
      </w:r>
    </w:p>
    <w:p>
      <w:pPr>
        <w:tabs>
          <w:tab w:val="left" w:pos="6300"/>
        </w:tabs>
        <w:snapToGrid w:val="0"/>
        <w:spacing w:line="500" w:lineRule="exact"/>
        <w:ind w:firstLine="480" w:firstLineChars="200"/>
        <w:rPr>
          <w:color w:val="auto"/>
          <w:sz w:val="24"/>
        </w:rPr>
      </w:pPr>
      <w:r>
        <w:rPr>
          <w:color w:val="auto"/>
          <w:sz w:val="24"/>
        </w:rPr>
        <w:t>本单位对上述声明的真实性负责。如有虚假，将依法承担相应责任。</w:t>
      </w:r>
    </w:p>
    <w:p>
      <w:pPr>
        <w:tabs>
          <w:tab w:val="left" w:pos="6300"/>
        </w:tabs>
        <w:snapToGrid w:val="0"/>
        <w:spacing w:line="500" w:lineRule="exact"/>
        <w:ind w:firstLine="480" w:firstLineChars="200"/>
        <w:rPr>
          <w:rFonts w:eastAsia="方正仿宋_GBK"/>
          <w:color w:val="auto"/>
          <w:sz w:val="24"/>
        </w:rPr>
      </w:pPr>
    </w:p>
    <w:p>
      <w:pPr>
        <w:widowControl/>
        <w:adjustRightInd w:val="0"/>
        <w:snapToGrid w:val="0"/>
        <w:spacing w:line="420" w:lineRule="exact"/>
        <w:ind w:firstLine="480" w:firstLineChars="200"/>
        <w:jc w:val="center"/>
        <w:rPr>
          <w:rFonts w:eastAsia="方正仿宋_GBK"/>
          <w:color w:val="auto"/>
          <w:sz w:val="24"/>
        </w:rPr>
      </w:pPr>
    </w:p>
    <w:p>
      <w:pPr>
        <w:spacing w:line="460" w:lineRule="exact"/>
        <w:rPr>
          <w:rFonts w:ascii="宋体"/>
          <w:color w:val="auto"/>
          <w:sz w:val="24"/>
        </w:rPr>
      </w:pPr>
      <w:r>
        <w:rPr>
          <w:rFonts w:hint="eastAsia" w:ascii="宋体" w:hAnsi="宋体"/>
          <w:bCs/>
          <w:color w:val="auto"/>
          <w:sz w:val="24"/>
        </w:rPr>
        <w:t>投标单位：</w:t>
      </w:r>
      <w:r>
        <w:rPr>
          <w:rFonts w:hint="eastAsia" w:ascii="宋体" w:hAnsi="宋体"/>
          <w:bCs/>
          <w:color w:val="auto"/>
          <w:sz w:val="24"/>
          <w:u w:val="single"/>
        </w:rPr>
        <w:t>（全称）（盖章）</w:t>
      </w:r>
    </w:p>
    <w:p>
      <w:pPr>
        <w:pStyle w:val="2"/>
        <w:spacing w:line="420" w:lineRule="exact"/>
        <w:rPr>
          <w:bCs/>
          <w:color w:val="auto"/>
          <w:sz w:val="24"/>
        </w:rPr>
      </w:pPr>
      <w:r>
        <w:rPr>
          <w:bCs/>
          <w:color w:val="auto"/>
          <w:sz w:val="24"/>
        </w:rPr>
        <w:t>法定代表人或委托代理人：</w:t>
      </w:r>
      <w:r>
        <w:rPr>
          <w:bCs/>
          <w:color w:val="auto"/>
          <w:sz w:val="24"/>
          <w:u w:val="single"/>
        </w:rPr>
        <w:t>（签字或盖章）</w:t>
      </w:r>
    </w:p>
    <w:p>
      <w:pPr>
        <w:widowControl/>
        <w:adjustRightInd w:val="0"/>
        <w:snapToGrid w:val="0"/>
        <w:spacing w:line="420" w:lineRule="exact"/>
        <w:rPr>
          <w:color w:val="auto"/>
          <w:sz w:val="24"/>
        </w:rPr>
      </w:pPr>
      <w:r>
        <w:rPr>
          <w:color w:val="auto"/>
          <w:spacing w:val="6"/>
          <w:kern w:val="0"/>
          <w:sz w:val="24"/>
        </w:rPr>
        <w:t>日期：</w:t>
      </w:r>
      <w:r>
        <w:rPr>
          <w:color w:val="auto"/>
          <w:sz w:val="24"/>
        </w:rPr>
        <w:t>年月日</w:t>
      </w:r>
    </w:p>
    <w:p>
      <w:pPr>
        <w:spacing w:line="360" w:lineRule="auto"/>
        <w:jc w:val="center"/>
        <w:rPr>
          <w:rFonts w:ascii="宋体" w:hAnsi="宋体"/>
          <w:b/>
          <w:bCs/>
          <w:color w:val="auto"/>
          <w:sz w:val="30"/>
          <w:szCs w:val="30"/>
        </w:rPr>
      </w:pPr>
    </w:p>
    <w:p>
      <w:pPr>
        <w:pStyle w:val="287"/>
        <w:spacing w:before="38"/>
        <w:ind w:left="157"/>
        <w:rPr>
          <w:rFonts w:ascii="宋体" w:hAnsi="宋体"/>
          <w:color w:val="auto"/>
          <w:sz w:val="24"/>
          <w:szCs w:val="24"/>
        </w:rPr>
      </w:pPr>
    </w:p>
    <w:p>
      <w:pPr>
        <w:pStyle w:val="287"/>
        <w:spacing w:before="38"/>
        <w:ind w:left="157"/>
        <w:rPr>
          <w:rFonts w:ascii="宋体" w:hAnsi="宋体"/>
          <w:color w:val="auto"/>
          <w:sz w:val="24"/>
          <w:szCs w:val="24"/>
        </w:rPr>
      </w:pPr>
    </w:p>
    <w:p>
      <w:pPr>
        <w:pStyle w:val="287"/>
        <w:spacing w:before="38"/>
        <w:ind w:left="157"/>
        <w:rPr>
          <w:rFonts w:ascii="宋体" w:hAnsi="宋体"/>
          <w:color w:val="auto"/>
          <w:sz w:val="24"/>
          <w:szCs w:val="24"/>
        </w:rPr>
      </w:pPr>
    </w:p>
    <w:p>
      <w:pPr>
        <w:pStyle w:val="283"/>
        <w:spacing w:before="0"/>
        <w:ind w:left="0"/>
        <w:rPr>
          <w:b w:val="0"/>
          <w:bCs w:val="0"/>
          <w:color w:val="auto"/>
          <w:sz w:val="21"/>
          <w:szCs w:val="21"/>
        </w:rPr>
      </w:pPr>
      <w:r>
        <w:rPr>
          <w:rFonts w:hint="eastAsia"/>
          <w:b w:val="0"/>
          <w:bCs w:val="0"/>
          <w:color w:val="auto"/>
          <w:sz w:val="21"/>
          <w:szCs w:val="21"/>
        </w:rPr>
        <w:t>备注：享受政府采购支持政策的残疾人福利性单位应当同时满足以下条件：</w:t>
      </w:r>
    </w:p>
    <w:p>
      <w:pPr>
        <w:pStyle w:val="283"/>
        <w:spacing w:before="0"/>
        <w:ind w:left="0"/>
        <w:rPr>
          <w:b w:val="0"/>
          <w:bCs w:val="0"/>
          <w:color w:val="auto"/>
          <w:sz w:val="21"/>
          <w:szCs w:val="21"/>
        </w:rPr>
      </w:pPr>
      <w:r>
        <w:rPr>
          <w:rFonts w:hint="eastAsia"/>
          <w:b w:val="0"/>
          <w:bCs w:val="0"/>
          <w:color w:val="auto"/>
          <w:sz w:val="21"/>
          <w:szCs w:val="21"/>
        </w:rPr>
        <w:t>（1）安置的残疾人占本单位在职职工人数的比例不低于 25%（含 25%），并且安置的残疾人 人数不少于 10 人（含 10 人）；</w:t>
      </w:r>
    </w:p>
    <w:p>
      <w:pPr>
        <w:pStyle w:val="283"/>
        <w:spacing w:before="0"/>
        <w:ind w:left="0"/>
        <w:rPr>
          <w:b w:val="0"/>
          <w:bCs w:val="0"/>
          <w:color w:val="auto"/>
          <w:sz w:val="21"/>
          <w:szCs w:val="21"/>
        </w:rPr>
      </w:pPr>
      <w:r>
        <w:rPr>
          <w:rFonts w:hint="eastAsia"/>
          <w:b w:val="0"/>
          <w:bCs w:val="0"/>
          <w:color w:val="auto"/>
          <w:sz w:val="21"/>
          <w:szCs w:val="21"/>
        </w:rPr>
        <w:t>（2）依法与安置的每位残疾人签订了一年以上（含一年）的劳动合同或服务协议；</w:t>
      </w:r>
    </w:p>
    <w:p>
      <w:pPr>
        <w:pStyle w:val="283"/>
        <w:spacing w:before="0"/>
        <w:ind w:left="0"/>
        <w:rPr>
          <w:b w:val="0"/>
          <w:bCs w:val="0"/>
          <w:color w:val="auto"/>
          <w:sz w:val="21"/>
          <w:szCs w:val="21"/>
        </w:rPr>
      </w:pPr>
      <w:r>
        <w:rPr>
          <w:rFonts w:hint="eastAsia"/>
          <w:b w:val="0"/>
          <w:bCs w:val="0"/>
          <w:color w:val="auto"/>
          <w:sz w:val="21"/>
          <w:szCs w:val="21"/>
        </w:rPr>
        <w:t>（3）为安置的每位残疾人按月足额缴纳了基本养老保险、基本医疗保险、失业保险、工伤保 险和生育保险等社会保险费；</w:t>
      </w:r>
    </w:p>
    <w:p>
      <w:pPr>
        <w:pStyle w:val="283"/>
        <w:spacing w:before="0"/>
        <w:ind w:left="0"/>
        <w:rPr>
          <w:b w:val="0"/>
          <w:bCs w:val="0"/>
          <w:color w:val="auto"/>
          <w:sz w:val="21"/>
          <w:szCs w:val="21"/>
        </w:rPr>
      </w:pPr>
      <w:r>
        <w:rPr>
          <w:rFonts w:hint="eastAsia"/>
          <w:b w:val="0"/>
          <w:bCs w:val="0"/>
          <w:color w:val="auto"/>
          <w:sz w:val="21"/>
          <w:szCs w:val="21"/>
        </w:rPr>
        <w:t>（4）通过银行等金融机构向安置的每位残疾人，按月支付了不低于单位所在区县适用的经省 级人民政府批准的月最低工资标准的工资；</w:t>
      </w:r>
    </w:p>
    <w:p>
      <w:pPr>
        <w:pStyle w:val="283"/>
        <w:spacing w:before="0"/>
        <w:ind w:left="0"/>
        <w:rPr>
          <w:b w:val="0"/>
          <w:bCs w:val="0"/>
          <w:color w:val="auto"/>
          <w:sz w:val="21"/>
          <w:szCs w:val="21"/>
        </w:rPr>
      </w:pPr>
      <w:r>
        <w:rPr>
          <w:rFonts w:hint="eastAsia"/>
          <w:b w:val="0"/>
          <w:bCs w:val="0"/>
          <w:color w:val="auto"/>
          <w:sz w:val="21"/>
          <w:szCs w:val="21"/>
        </w:rPr>
        <w:t>（5）提供本单位制造的货物、承担的工程或者服务（以下简称产品），或者提供其他残疾人 福利性单位制造的货物（不包括使用非残疾人福利性单位注册商标的货物）。</w:t>
      </w:r>
    </w:p>
    <w:p>
      <w:pPr>
        <w:pStyle w:val="283"/>
        <w:spacing w:before="0"/>
        <w:ind w:left="0"/>
        <w:rPr>
          <w:b/>
          <w:color w:val="auto"/>
          <w:sz w:val="32"/>
          <w:szCs w:val="32"/>
        </w:rPr>
      </w:pPr>
      <w:r>
        <w:rPr>
          <w:rFonts w:hint="eastAsia"/>
          <w:b w:val="0"/>
          <w:bCs w:val="0"/>
          <w:color w:val="auto"/>
          <w:sz w:val="21"/>
          <w:szCs w:val="21"/>
        </w:rPr>
        <w:t>前款所称残疾人是指法定劳动年龄内，持有《中华人民共和国残疾人证》或者《中华人民共和 国残疾军人证（1 至 8 级）》的自然人，包括具有劳动条件和劳动意愿的精神残疾人。在职职工人 数是指与残疾人福利性单位建立劳动关系并依法签订劳动合同或者服务协议的雇员人数。</w:t>
      </w:r>
    </w:p>
    <w:p>
      <w:pPr>
        <w:widowControl/>
        <w:spacing w:line="560" w:lineRule="exact"/>
        <w:jc w:val="center"/>
        <w:outlineLvl w:val="0"/>
        <w:rPr>
          <w:rFonts w:eastAsia="方正仿宋_GBK"/>
          <w:color w:val="auto"/>
        </w:rPr>
      </w:pPr>
      <w:r>
        <w:rPr>
          <w:rFonts w:hint="eastAsia"/>
          <w:b/>
          <w:color w:val="auto"/>
          <w:sz w:val="32"/>
          <w:szCs w:val="32"/>
        </w:rPr>
        <w:t>1</w:t>
      </w:r>
      <w:r>
        <w:rPr>
          <w:b/>
          <w:color w:val="auto"/>
          <w:sz w:val="32"/>
          <w:szCs w:val="32"/>
        </w:rPr>
        <w:t>-</w:t>
      </w:r>
      <w:r>
        <w:rPr>
          <w:rFonts w:hint="eastAsia"/>
          <w:b/>
          <w:color w:val="auto"/>
          <w:sz w:val="32"/>
          <w:szCs w:val="32"/>
        </w:rPr>
        <w:t>3</w:t>
      </w:r>
      <w:r>
        <w:rPr>
          <w:b/>
          <w:color w:val="auto"/>
          <w:sz w:val="32"/>
          <w:szCs w:val="32"/>
        </w:rPr>
        <w:t>监狱企业证明文件（如有）</w:t>
      </w:r>
    </w:p>
    <w:p>
      <w:pPr>
        <w:spacing w:line="400" w:lineRule="exact"/>
        <w:ind w:firstLine="480" w:firstLineChars="200"/>
        <w:jc w:val="left"/>
        <w:rPr>
          <w:rFonts w:ascii="宋体" w:hAnsi="宋体"/>
          <w:color w:val="auto"/>
          <w:sz w:val="24"/>
        </w:rPr>
      </w:pPr>
    </w:p>
    <w:p>
      <w:pPr>
        <w:spacing w:line="400" w:lineRule="exact"/>
        <w:ind w:firstLine="480" w:firstLineChars="200"/>
        <w:jc w:val="left"/>
        <w:rPr>
          <w:rFonts w:asci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监狱企业证明（如属于监狱企业，需提供由省级以上监狱管理局、戒毒管理局（含新疆生产建设兵团）出具的属于监狱企业的证明文件）；</w:t>
      </w:r>
    </w:p>
    <w:p>
      <w:pPr>
        <w:spacing w:line="400" w:lineRule="exact"/>
        <w:ind w:firstLine="480" w:firstLineChars="200"/>
        <w:jc w:val="left"/>
        <w:rPr>
          <w:rFonts w:asci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证明材料加盖供应商公章。</w:t>
      </w:r>
    </w:p>
    <w:p>
      <w:pPr>
        <w:adjustRightInd w:val="0"/>
        <w:snapToGrid w:val="0"/>
        <w:spacing w:line="440" w:lineRule="exact"/>
        <w:ind w:firstLine="480" w:firstLineChars="200"/>
        <w:rPr>
          <w:rFonts w:ascii="宋体" w:hAnsi="宋体"/>
          <w:color w:val="auto"/>
          <w:sz w:val="24"/>
        </w:rPr>
      </w:pPr>
    </w:p>
    <w:p>
      <w:pPr>
        <w:adjustRightInd w:val="0"/>
        <w:snapToGrid w:val="0"/>
        <w:spacing w:line="360" w:lineRule="auto"/>
        <w:jc w:val="both"/>
        <w:rPr>
          <w:rFonts w:hint="eastAsia" w:ascii="宋体" w:hAnsi="宋体" w:eastAsia="宋体" w:cs="宋体"/>
          <w:b/>
          <w:color w:val="auto"/>
          <w:sz w:val="32"/>
          <w:szCs w:val="32"/>
          <w:lang w:eastAsia="zh-CN"/>
        </w:rPr>
      </w:pPr>
    </w:p>
    <w:p>
      <w:pPr>
        <w:adjustRightInd w:val="0"/>
        <w:snapToGrid w:val="0"/>
        <w:spacing w:line="360" w:lineRule="auto"/>
        <w:ind w:left="-88" w:leftChars="-42"/>
        <w:jc w:val="center"/>
        <w:outlineLvl w:val="9"/>
        <w:rPr>
          <w:rFonts w:hint="eastAsia" w:ascii="宋体" w:hAnsi="宋体" w:cs="宋体"/>
          <w:color w:val="auto"/>
          <w:sz w:val="28"/>
          <w:szCs w:val="28"/>
        </w:rPr>
      </w:pPr>
      <w:r>
        <w:rPr>
          <w:rFonts w:hint="eastAsia" w:ascii="宋体" w:hAnsi="宋体" w:cs="宋体"/>
          <w:b/>
          <w:color w:val="auto"/>
          <w:sz w:val="28"/>
          <w:szCs w:val="28"/>
          <w:lang w:eastAsia="zh-CN"/>
        </w:rPr>
        <w:t>七</w:t>
      </w:r>
      <w:r>
        <w:rPr>
          <w:rFonts w:hint="eastAsia" w:ascii="宋体" w:hAnsi="宋体" w:cs="宋体"/>
          <w:b/>
          <w:bCs/>
          <w:color w:val="auto"/>
          <w:sz w:val="28"/>
          <w:szCs w:val="28"/>
        </w:rPr>
        <w:t>、供应商认为需要提供的其它资料</w:t>
      </w:r>
    </w:p>
    <w:p>
      <w:pPr>
        <w:pStyle w:val="3"/>
        <w:jc w:val="both"/>
        <w:rPr>
          <w:rFonts w:hint="eastAsia" w:ascii="宋体" w:hAnsi="宋体" w:cs="宋体"/>
          <w:b w:val="0"/>
          <w:color w:val="auto"/>
          <w:sz w:val="32"/>
          <w:szCs w:val="32"/>
        </w:rPr>
      </w:pPr>
    </w:p>
    <w:p>
      <w:pPr>
        <w:rPr>
          <w:rFonts w:hint="eastAsia"/>
          <w:color w:val="auto"/>
        </w:rPr>
      </w:pPr>
    </w:p>
    <w:p>
      <w:pPr>
        <w:adjustRightInd w:val="0"/>
        <w:snapToGrid w:val="0"/>
        <w:spacing w:before="156" w:beforeLines="50" w:line="360" w:lineRule="auto"/>
        <w:jc w:val="center"/>
        <w:outlineLvl w:val="9"/>
        <w:rPr>
          <w:rFonts w:hint="eastAsia" w:ascii="宋体" w:hAnsi="宋体" w:cs="宋体"/>
          <w:b/>
          <w:color w:val="auto"/>
          <w:sz w:val="28"/>
          <w:szCs w:val="28"/>
        </w:rPr>
      </w:pPr>
      <w:r>
        <w:rPr>
          <w:rFonts w:hint="eastAsia" w:ascii="宋体" w:hAnsi="宋体" w:cs="宋体"/>
          <w:b/>
          <w:color w:val="auto"/>
          <w:sz w:val="28"/>
          <w:szCs w:val="28"/>
          <w:lang w:eastAsia="zh-CN"/>
        </w:rPr>
        <w:t>八</w:t>
      </w:r>
      <w:r>
        <w:rPr>
          <w:rFonts w:hint="eastAsia" w:ascii="宋体" w:hAnsi="宋体" w:cs="宋体"/>
          <w:b/>
          <w:color w:val="auto"/>
          <w:sz w:val="28"/>
          <w:szCs w:val="28"/>
        </w:rPr>
        <w:t>、最后报价</w:t>
      </w:r>
    </w:p>
    <w:p>
      <w:pPr>
        <w:adjustRightInd w:val="0"/>
        <w:snapToGrid w:val="0"/>
        <w:spacing w:line="360" w:lineRule="auto"/>
        <w:ind w:left="-88" w:leftChars="-42"/>
        <w:rPr>
          <w:rFonts w:hint="eastAsia" w:ascii="宋体" w:hAnsi="宋体" w:eastAsia="宋体" w:cs="宋体"/>
          <w:color w:val="auto"/>
          <w:sz w:val="24"/>
          <w:szCs w:val="24"/>
        </w:rPr>
      </w:pP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说明：最后报价按第二章磋商须知第</w:t>
      </w:r>
      <w:r>
        <w:rPr>
          <w:rFonts w:hint="eastAsia" w:ascii="宋体" w:hAnsi="宋体" w:eastAsia="宋体" w:cs="宋体"/>
          <w:color w:val="auto"/>
          <w:sz w:val="24"/>
          <w:szCs w:val="24"/>
          <w:lang w:eastAsia="zh-CN"/>
        </w:rPr>
        <w:t>28</w:t>
      </w:r>
      <w:r>
        <w:rPr>
          <w:rFonts w:hint="eastAsia" w:ascii="宋体" w:hAnsi="宋体" w:eastAsia="宋体" w:cs="宋体"/>
          <w:color w:val="auto"/>
          <w:sz w:val="24"/>
          <w:szCs w:val="24"/>
        </w:rPr>
        <w:t>条规定提供，格式按附件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。最后报价按照磋商小组的要求在磋商后再递交。</w:t>
      </w:r>
    </w:p>
    <w:p>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最终报价表是各供应商在与</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小组</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后的第二次报价表，是响应文件的一部分，但</w:t>
      </w:r>
      <w:r>
        <w:rPr>
          <w:rFonts w:hint="eastAsia" w:ascii="宋体" w:hAnsi="宋体" w:eastAsia="宋体" w:cs="宋体"/>
          <w:b/>
          <w:bCs/>
          <w:color w:val="auto"/>
          <w:sz w:val="24"/>
          <w:szCs w:val="24"/>
          <w:lang w:eastAsia="zh-CN"/>
        </w:rPr>
        <w:t>无</w:t>
      </w:r>
      <w:r>
        <w:rPr>
          <w:rFonts w:hint="eastAsia" w:ascii="宋体" w:hAnsi="宋体" w:eastAsia="宋体" w:cs="宋体"/>
          <w:b/>
          <w:bCs/>
          <w:color w:val="auto"/>
          <w:sz w:val="24"/>
          <w:szCs w:val="24"/>
        </w:rPr>
        <w:t>须装订入响应文件中，由各供应商参加</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的代表带至</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现场，</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后填写，请各供应商先行加盖单位公章。</w:t>
      </w:r>
    </w:p>
    <w:p>
      <w:pPr>
        <w:pStyle w:val="34"/>
        <w:rPr>
          <w:rFonts w:hint="eastAsia" w:ascii="宋体" w:hAnsi="宋体" w:eastAsia="宋体" w:cs="宋体"/>
          <w:b/>
          <w:bCs/>
          <w:color w:val="auto"/>
          <w:sz w:val="24"/>
          <w:szCs w:val="24"/>
        </w:rPr>
      </w:pPr>
    </w:p>
    <w:p>
      <w:pPr>
        <w:pStyle w:val="34"/>
        <w:rPr>
          <w:rFonts w:hint="eastAsia" w:ascii="宋体" w:hAnsi="宋体" w:eastAsia="宋体" w:cs="宋体"/>
          <w:b/>
          <w:bCs/>
          <w:color w:val="auto"/>
          <w:sz w:val="24"/>
          <w:szCs w:val="24"/>
        </w:rPr>
      </w:pPr>
    </w:p>
    <w:p>
      <w:pPr>
        <w:pStyle w:val="34"/>
        <w:rPr>
          <w:rFonts w:hint="eastAsia" w:ascii="宋体" w:hAnsi="宋体" w:eastAsia="宋体" w:cs="宋体"/>
          <w:b/>
          <w:bCs/>
          <w:color w:val="auto"/>
          <w:sz w:val="24"/>
          <w:szCs w:val="24"/>
        </w:rPr>
      </w:pPr>
    </w:p>
    <w:p>
      <w:pPr>
        <w:pStyle w:val="3"/>
        <w:jc w:val="both"/>
        <w:rPr>
          <w:rFonts w:hint="eastAsia"/>
          <w:color w:val="auto"/>
        </w:rPr>
      </w:pPr>
    </w:p>
    <w:sectPr>
      <w:footerReference r:id="rId17" w:type="first"/>
      <w:headerReference r:id="rId15" w:type="default"/>
      <w:footerReference r:id="rId16" w:type="default"/>
      <w:pgSz w:w="11906" w:h="16838"/>
      <w:pgMar w:top="1440" w:right="1286" w:bottom="1440" w:left="1800" w:header="851" w:footer="992" w:gutter="0"/>
      <w:pgBorders w:offsetFrom="page">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6FF" w:usb1="420024FF" w:usb2="02000000" w:usb3="00000000" w:csb0="2000019F" w:csb1="00000000"/>
  </w:font>
  <w:font w:name="Arail">
    <w:altName w:val="Times New Roman"/>
    <w:panose1 w:val="00000000000000000000"/>
    <w:charset w:val="00"/>
    <w:family w:val="decorative"/>
    <w:pitch w:val="default"/>
    <w:sig w:usb0="00000000" w:usb1="00000000" w:usb2="00000000" w:usb3="00000000" w:csb0="00000001" w:csb1="00000000"/>
  </w:font>
  <w:font w:name="MS Sans Serif">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modern"/>
    <w:pitch w:val="default"/>
    <w:sig w:usb0="E1002EFF" w:usb1="C000605B" w:usb2="00000029" w:usb3="00000000" w:csb0="200101FF" w:csb1="20280000"/>
  </w:font>
  <w:font w:name="长城仿宋">
    <w:altName w:val="黑体"/>
    <w:panose1 w:val="00000000000000000000"/>
    <w:charset w:val="86"/>
    <w:family w:val="roman"/>
    <w:pitch w:val="default"/>
    <w:sig w:usb0="00000000" w:usb1="00000000" w:usb2="00000010" w:usb3="00000000" w:csb0="00040000" w:csb1="00000000"/>
  </w:font>
  <w:font w:name="Arial Unicode MS">
    <w:panose1 w:val="020B0604020202020204"/>
    <w:charset w:val="86"/>
    <w:family w:val="modern"/>
    <w:pitch w:val="default"/>
    <w:sig w:usb0="FFFFFFFF" w:usb1="E9FFFFFF" w:usb2="0000003F" w:usb3="00000000" w:csb0="603F01FF" w:csb1="FFFF0000"/>
  </w:font>
  <w:font w:name="Verdana">
    <w:panose1 w:val="020B0604030504040204"/>
    <w:charset w:val="00"/>
    <w:family w:val="modern"/>
    <w:pitch w:val="default"/>
    <w:sig w:usb0="A00006FF" w:usb1="4000205B" w:usb2="00000010" w:usb3="00000000" w:csb0="2000019F" w:csb1="00000000"/>
  </w:font>
  <w:font w:name="_x000B__x000C_">
    <w:altName w:val="Times New Roman"/>
    <w:panose1 w:val="00000000000000000000"/>
    <w:charset w:val="00"/>
    <w:family w:val="decorative"/>
    <w:pitch w:val="default"/>
    <w:sig w:usb0="00000000" w:usb1="00000000" w:usb2="00000000" w:usb3="00000000" w:csb0="00040001" w:csb1="00000000"/>
  </w:font>
  <w:font w:name="新宋体">
    <w:panose1 w:val="02010609030101010101"/>
    <w:charset w:val="86"/>
    <w:family w:val="roman"/>
    <w:pitch w:val="default"/>
    <w:sig w:usb0="00000283" w:usb1="288F0000" w:usb2="00000006" w:usb3="00000000" w:csb0="00040001" w:csb1="00000000"/>
  </w:font>
  <w:font w:name="方正仿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eastAsia"/>
      </w:rPr>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82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4hz//TAQAApA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parpE/voca0R4+Jcbh3A27NfA94mWgPMpj0RUIE46ju6aKuGCLh6VG1rKoSQxxjs4P4xdNz&#10;HyC+E86QZDQ04Piyquz4AeKYOqekatY9KK3zCLUlPaKuqjer/OISQnRtsUhiMXabrDjshonazrUn&#10;ZNbjDjTU4spTot9blDity2yE2djNxsEHte/yPqVWwL89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J4hz//TAQAApAMAAA4AAAAAAAAAAQAgAAAA&#10;IgEAAGRycy9lMm9Eb2MueG1sUEsFBgAAAAAGAAYAWQEAAGcFAA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820"/>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eastAsia"/>
      </w:rPr>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82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gGdlHTAQAApAMAAA4AAAAAAAAAAQAgAAAA&#10;IgEAAGRycy9lMm9Eb2MueG1sUEsFBgAAAAAGAAYAWQEAAGcFAA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820"/>
        <w:tab w:val="clear" w:pos="4153"/>
      </w:tabs>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default"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spacing w:line="100" w:lineRule="exact"/>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ind w:firstLine="0" w:firstLineChars="0"/>
      <w:jc w:val="both"/>
      <w:rPr>
        <w:rFonts w:hint="eastAsia" w:ascii="黑体" w:eastAsia="黑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31503"/>
    <w:multiLevelType w:val="singleLevel"/>
    <w:tmpl w:val="8FB31503"/>
    <w:lvl w:ilvl="0" w:tentative="0">
      <w:start w:val="1"/>
      <w:numFmt w:val="chineseCounting"/>
      <w:suff w:val="nothing"/>
      <w:lvlText w:val="%1、"/>
      <w:lvlJc w:val="left"/>
      <w:rPr>
        <w:rFonts w:hint="eastAsia"/>
      </w:rPr>
    </w:lvl>
  </w:abstractNum>
  <w:abstractNum w:abstractNumId="1">
    <w:nsid w:val="906F2CA2"/>
    <w:multiLevelType w:val="singleLevel"/>
    <w:tmpl w:val="906F2CA2"/>
    <w:lvl w:ilvl="0" w:tentative="0">
      <w:start w:val="4"/>
      <w:numFmt w:val="chineseCounting"/>
      <w:suff w:val="space"/>
      <w:lvlText w:val="第%1章"/>
      <w:lvlJc w:val="left"/>
      <w:rPr>
        <w:rFonts w:hint="eastAsia"/>
      </w:rPr>
    </w:lvl>
  </w:abstractNum>
  <w:abstractNum w:abstractNumId="2">
    <w:nsid w:val="01693DC9"/>
    <w:multiLevelType w:val="multilevel"/>
    <w:tmpl w:val="01693DC9"/>
    <w:lvl w:ilvl="0" w:tentative="0">
      <w:start w:val="1"/>
      <w:numFmt w:val="decimal"/>
      <w:lvlText w:val="（%1）"/>
      <w:lvlJc w:val="left"/>
      <w:pPr>
        <w:ind w:left="632" w:hanging="720"/>
      </w:pPr>
      <w:rPr>
        <w:rFonts w:hint="default"/>
      </w:rPr>
    </w:lvl>
    <w:lvl w:ilvl="1" w:tentative="0">
      <w:start w:val="1"/>
      <w:numFmt w:val="lowerLetter"/>
      <w:lvlText w:val="%2)"/>
      <w:lvlJc w:val="left"/>
      <w:pPr>
        <w:ind w:left="752" w:hanging="420"/>
      </w:pPr>
    </w:lvl>
    <w:lvl w:ilvl="2" w:tentative="0">
      <w:start w:val="1"/>
      <w:numFmt w:val="lowerRoman"/>
      <w:lvlText w:val="%3."/>
      <w:lvlJc w:val="right"/>
      <w:pPr>
        <w:ind w:left="1172" w:hanging="420"/>
      </w:pPr>
    </w:lvl>
    <w:lvl w:ilvl="3" w:tentative="0">
      <w:start w:val="1"/>
      <w:numFmt w:val="decimal"/>
      <w:lvlText w:val="%4."/>
      <w:lvlJc w:val="left"/>
      <w:pPr>
        <w:ind w:left="1592" w:hanging="420"/>
      </w:pPr>
    </w:lvl>
    <w:lvl w:ilvl="4" w:tentative="0">
      <w:start w:val="1"/>
      <w:numFmt w:val="lowerLetter"/>
      <w:lvlText w:val="%5)"/>
      <w:lvlJc w:val="left"/>
      <w:pPr>
        <w:ind w:left="2012" w:hanging="420"/>
      </w:pPr>
    </w:lvl>
    <w:lvl w:ilvl="5" w:tentative="0">
      <w:start w:val="1"/>
      <w:numFmt w:val="lowerRoman"/>
      <w:lvlText w:val="%6."/>
      <w:lvlJc w:val="right"/>
      <w:pPr>
        <w:ind w:left="2432" w:hanging="420"/>
      </w:pPr>
    </w:lvl>
    <w:lvl w:ilvl="6" w:tentative="0">
      <w:start w:val="1"/>
      <w:numFmt w:val="decimal"/>
      <w:lvlText w:val="%7."/>
      <w:lvlJc w:val="left"/>
      <w:pPr>
        <w:ind w:left="2852" w:hanging="420"/>
      </w:pPr>
    </w:lvl>
    <w:lvl w:ilvl="7" w:tentative="0">
      <w:start w:val="1"/>
      <w:numFmt w:val="lowerLetter"/>
      <w:lvlText w:val="%8)"/>
      <w:lvlJc w:val="left"/>
      <w:pPr>
        <w:ind w:left="3272" w:hanging="420"/>
      </w:pPr>
    </w:lvl>
    <w:lvl w:ilvl="8" w:tentative="0">
      <w:start w:val="1"/>
      <w:numFmt w:val="lowerRoman"/>
      <w:lvlText w:val="%9."/>
      <w:lvlJc w:val="right"/>
      <w:pPr>
        <w:ind w:left="3692" w:hanging="420"/>
      </w:pPr>
    </w:lvl>
  </w:abstractNum>
  <w:abstractNum w:abstractNumId="3">
    <w:nsid w:val="5A00955B"/>
    <w:multiLevelType w:val="singleLevel"/>
    <w:tmpl w:val="5A00955B"/>
    <w:lvl w:ilvl="0" w:tentative="0">
      <w:start w:val="1"/>
      <w:numFmt w:val="decimal"/>
      <w:suff w:val="nothing"/>
      <w:lvlText w:val="%1、"/>
      <w:lvlJc w:val="left"/>
    </w:lvl>
  </w:abstractNum>
  <w:abstractNum w:abstractNumId="4">
    <w:nsid w:val="5C9147D9"/>
    <w:multiLevelType w:val="singleLevel"/>
    <w:tmpl w:val="5C9147D9"/>
    <w:lvl w:ilvl="0" w:tentative="0">
      <w:start w:val="7"/>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Y2E0NDRiZGYzZmUxZTc0NGU4MjJiMjY1N2EyZTcifQ=="/>
  </w:docVars>
  <w:rsids>
    <w:rsidRoot w:val="0018220C"/>
    <w:rsid w:val="000041E5"/>
    <w:rsid w:val="00004E70"/>
    <w:rsid w:val="000056B2"/>
    <w:rsid w:val="000077E8"/>
    <w:rsid w:val="00012E9C"/>
    <w:rsid w:val="000269B8"/>
    <w:rsid w:val="00036A5B"/>
    <w:rsid w:val="00036CAB"/>
    <w:rsid w:val="0004600C"/>
    <w:rsid w:val="0004634C"/>
    <w:rsid w:val="00051081"/>
    <w:rsid w:val="00054B69"/>
    <w:rsid w:val="0005683F"/>
    <w:rsid w:val="00063209"/>
    <w:rsid w:val="00063BFE"/>
    <w:rsid w:val="0007037B"/>
    <w:rsid w:val="00071649"/>
    <w:rsid w:val="000746D3"/>
    <w:rsid w:val="000749A8"/>
    <w:rsid w:val="00082A1C"/>
    <w:rsid w:val="00082AE8"/>
    <w:rsid w:val="00084A4B"/>
    <w:rsid w:val="000913E5"/>
    <w:rsid w:val="00093221"/>
    <w:rsid w:val="000A14DC"/>
    <w:rsid w:val="000A3470"/>
    <w:rsid w:val="000A3552"/>
    <w:rsid w:val="000A5FCD"/>
    <w:rsid w:val="000B1DAE"/>
    <w:rsid w:val="000B2156"/>
    <w:rsid w:val="000B2C6F"/>
    <w:rsid w:val="000B3BBD"/>
    <w:rsid w:val="000B42A4"/>
    <w:rsid w:val="000B4ADB"/>
    <w:rsid w:val="000B654A"/>
    <w:rsid w:val="000D005B"/>
    <w:rsid w:val="000D4521"/>
    <w:rsid w:val="000D4CCC"/>
    <w:rsid w:val="000D5EA5"/>
    <w:rsid w:val="000D5F5A"/>
    <w:rsid w:val="000E1A98"/>
    <w:rsid w:val="000E2038"/>
    <w:rsid w:val="000E728C"/>
    <w:rsid w:val="000F1F17"/>
    <w:rsid w:val="000F2F6A"/>
    <w:rsid w:val="001030C0"/>
    <w:rsid w:val="00103564"/>
    <w:rsid w:val="0010531F"/>
    <w:rsid w:val="001072CD"/>
    <w:rsid w:val="00115189"/>
    <w:rsid w:val="00116B04"/>
    <w:rsid w:val="001271D4"/>
    <w:rsid w:val="00130853"/>
    <w:rsid w:val="0013457C"/>
    <w:rsid w:val="00136363"/>
    <w:rsid w:val="00137F0A"/>
    <w:rsid w:val="00142086"/>
    <w:rsid w:val="001449F0"/>
    <w:rsid w:val="00146228"/>
    <w:rsid w:val="00146E0B"/>
    <w:rsid w:val="00150297"/>
    <w:rsid w:val="00150EC2"/>
    <w:rsid w:val="00153390"/>
    <w:rsid w:val="001622EF"/>
    <w:rsid w:val="001647E0"/>
    <w:rsid w:val="001661DA"/>
    <w:rsid w:val="00171EB6"/>
    <w:rsid w:val="00182092"/>
    <w:rsid w:val="0018220C"/>
    <w:rsid w:val="00182EE7"/>
    <w:rsid w:val="001837DF"/>
    <w:rsid w:val="00184559"/>
    <w:rsid w:val="00184D5B"/>
    <w:rsid w:val="00184EE0"/>
    <w:rsid w:val="00190B51"/>
    <w:rsid w:val="00194F90"/>
    <w:rsid w:val="001973B9"/>
    <w:rsid w:val="001A2451"/>
    <w:rsid w:val="001A5351"/>
    <w:rsid w:val="001B0075"/>
    <w:rsid w:val="001B34C6"/>
    <w:rsid w:val="001B437E"/>
    <w:rsid w:val="001C2220"/>
    <w:rsid w:val="001C556C"/>
    <w:rsid w:val="001C6E4F"/>
    <w:rsid w:val="001C71E6"/>
    <w:rsid w:val="001D0009"/>
    <w:rsid w:val="001D3162"/>
    <w:rsid w:val="001E0FEE"/>
    <w:rsid w:val="001E3121"/>
    <w:rsid w:val="001E48BD"/>
    <w:rsid w:val="001E543A"/>
    <w:rsid w:val="001E5553"/>
    <w:rsid w:val="001E59C0"/>
    <w:rsid w:val="001E5B64"/>
    <w:rsid w:val="001F1718"/>
    <w:rsid w:val="001F2E10"/>
    <w:rsid w:val="001F3712"/>
    <w:rsid w:val="001F65D4"/>
    <w:rsid w:val="00215521"/>
    <w:rsid w:val="002261D0"/>
    <w:rsid w:val="00230747"/>
    <w:rsid w:val="00231AC3"/>
    <w:rsid w:val="00242727"/>
    <w:rsid w:val="00242AD5"/>
    <w:rsid w:val="00245878"/>
    <w:rsid w:val="0024734F"/>
    <w:rsid w:val="00264634"/>
    <w:rsid w:val="00264718"/>
    <w:rsid w:val="0026561E"/>
    <w:rsid w:val="0027080B"/>
    <w:rsid w:val="0027771D"/>
    <w:rsid w:val="0028022A"/>
    <w:rsid w:val="00284235"/>
    <w:rsid w:val="002861B8"/>
    <w:rsid w:val="00287C5B"/>
    <w:rsid w:val="0029022C"/>
    <w:rsid w:val="00290654"/>
    <w:rsid w:val="00290D91"/>
    <w:rsid w:val="00290DC1"/>
    <w:rsid w:val="00290E42"/>
    <w:rsid w:val="00296000"/>
    <w:rsid w:val="002972CA"/>
    <w:rsid w:val="002A2256"/>
    <w:rsid w:val="002A30B6"/>
    <w:rsid w:val="002A517E"/>
    <w:rsid w:val="002B1A3E"/>
    <w:rsid w:val="002B1BDE"/>
    <w:rsid w:val="002B28FF"/>
    <w:rsid w:val="002B4991"/>
    <w:rsid w:val="002B4E05"/>
    <w:rsid w:val="002B6A09"/>
    <w:rsid w:val="002C1646"/>
    <w:rsid w:val="002C3DC3"/>
    <w:rsid w:val="002C4FE0"/>
    <w:rsid w:val="002C64E1"/>
    <w:rsid w:val="002D1089"/>
    <w:rsid w:val="002D5209"/>
    <w:rsid w:val="002D6988"/>
    <w:rsid w:val="002E075B"/>
    <w:rsid w:val="002E21CB"/>
    <w:rsid w:val="002E6379"/>
    <w:rsid w:val="002F0A28"/>
    <w:rsid w:val="002F0E1A"/>
    <w:rsid w:val="002F362D"/>
    <w:rsid w:val="00302CA0"/>
    <w:rsid w:val="00303366"/>
    <w:rsid w:val="00304DA5"/>
    <w:rsid w:val="003055B7"/>
    <w:rsid w:val="003059E2"/>
    <w:rsid w:val="00323E5C"/>
    <w:rsid w:val="003244D1"/>
    <w:rsid w:val="0032627D"/>
    <w:rsid w:val="00326C91"/>
    <w:rsid w:val="00326CC9"/>
    <w:rsid w:val="0033161A"/>
    <w:rsid w:val="0033586F"/>
    <w:rsid w:val="003431C2"/>
    <w:rsid w:val="003511D4"/>
    <w:rsid w:val="00351293"/>
    <w:rsid w:val="003516BB"/>
    <w:rsid w:val="00352478"/>
    <w:rsid w:val="00355423"/>
    <w:rsid w:val="00355581"/>
    <w:rsid w:val="00355DED"/>
    <w:rsid w:val="00356F70"/>
    <w:rsid w:val="00357D65"/>
    <w:rsid w:val="003606E5"/>
    <w:rsid w:val="00360E3D"/>
    <w:rsid w:val="00360F05"/>
    <w:rsid w:val="0036161C"/>
    <w:rsid w:val="003640B6"/>
    <w:rsid w:val="00367ACE"/>
    <w:rsid w:val="003707CB"/>
    <w:rsid w:val="00370AAD"/>
    <w:rsid w:val="003713E2"/>
    <w:rsid w:val="003723DE"/>
    <w:rsid w:val="00372ED8"/>
    <w:rsid w:val="003748ED"/>
    <w:rsid w:val="00376DB7"/>
    <w:rsid w:val="0037724D"/>
    <w:rsid w:val="003801AD"/>
    <w:rsid w:val="00384440"/>
    <w:rsid w:val="00392DC5"/>
    <w:rsid w:val="003966C0"/>
    <w:rsid w:val="00397311"/>
    <w:rsid w:val="003A363C"/>
    <w:rsid w:val="003A50AD"/>
    <w:rsid w:val="003B18B4"/>
    <w:rsid w:val="003B3C38"/>
    <w:rsid w:val="003B4787"/>
    <w:rsid w:val="003B5C4F"/>
    <w:rsid w:val="003C07AA"/>
    <w:rsid w:val="003D5A60"/>
    <w:rsid w:val="003E0424"/>
    <w:rsid w:val="003E0796"/>
    <w:rsid w:val="003E2107"/>
    <w:rsid w:val="003F189B"/>
    <w:rsid w:val="003F3BE4"/>
    <w:rsid w:val="003F3FF7"/>
    <w:rsid w:val="0040051F"/>
    <w:rsid w:val="00405357"/>
    <w:rsid w:val="00406585"/>
    <w:rsid w:val="00411960"/>
    <w:rsid w:val="00411A11"/>
    <w:rsid w:val="00411F00"/>
    <w:rsid w:val="00412C1C"/>
    <w:rsid w:val="004205C2"/>
    <w:rsid w:val="00422A4B"/>
    <w:rsid w:val="00422D79"/>
    <w:rsid w:val="004231C5"/>
    <w:rsid w:val="0042354E"/>
    <w:rsid w:val="004248BD"/>
    <w:rsid w:val="00427237"/>
    <w:rsid w:val="00454765"/>
    <w:rsid w:val="00455D5D"/>
    <w:rsid w:val="00456122"/>
    <w:rsid w:val="00457100"/>
    <w:rsid w:val="00461BA8"/>
    <w:rsid w:val="00464917"/>
    <w:rsid w:val="00465194"/>
    <w:rsid w:val="00470E84"/>
    <w:rsid w:val="00471C99"/>
    <w:rsid w:val="00474E24"/>
    <w:rsid w:val="004771C2"/>
    <w:rsid w:val="00477523"/>
    <w:rsid w:val="0047782B"/>
    <w:rsid w:val="004778B2"/>
    <w:rsid w:val="00480C8D"/>
    <w:rsid w:val="004908A8"/>
    <w:rsid w:val="0049510C"/>
    <w:rsid w:val="004965BB"/>
    <w:rsid w:val="00496AB6"/>
    <w:rsid w:val="004A1E75"/>
    <w:rsid w:val="004B2E67"/>
    <w:rsid w:val="004B3156"/>
    <w:rsid w:val="004B60CE"/>
    <w:rsid w:val="004C0711"/>
    <w:rsid w:val="004C4008"/>
    <w:rsid w:val="004C73F0"/>
    <w:rsid w:val="004C7656"/>
    <w:rsid w:val="004C7EEB"/>
    <w:rsid w:val="004D2912"/>
    <w:rsid w:val="004D79D1"/>
    <w:rsid w:val="004E0919"/>
    <w:rsid w:val="004E2559"/>
    <w:rsid w:val="004F04F9"/>
    <w:rsid w:val="004F2994"/>
    <w:rsid w:val="004F381C"/>
    <w:rsid w:val="004F515B"/>
    <w:rsid w:val="00501CF6"/>
    <w:rsid w:val="00502D3D"/>
    <w:rsid w:val="00504C85"/>
    <w:rsid w:val="00505849"/>
    <w:rsid w:val="00505D28"/>
    <w:rsid w:val="00510A75"/>
    <w:rsid w:val="005143DA"/>
    <w:rsid w:val="00522229"/>
    <w:rsid w:val="005322F8"/>
    <w:rsid w:val="005348FE"/>
    <w:rsid w:val="005356F4"/>
    <w:rsid w:val="005376DD"/>
    <w:rsid w:val="00537DBD"/>
    <w:rsid w:val="00541D82"/>
    <w:rsid w:val="00542DB5"/>
    <w:rsid w:val="00550179"/>
    <w:rsid w:val="005515A9"/>
    <w:rsid w:val="00560072"/>
    <w:rsid w:val="00564C38"/>
    <w:rsid w:val="00573640"/>
    <w:rsid w:val="00574894"/>
    <w:rsid w:val="005749FE"/>
    <w:rsid w:val="005823B5"/>
    <w:rsid w:val="00582516"/>
    <w:rsid w:val="00584679"/>
    <w:rsid w:val="005854E9"/>
    <w:rsid w:val="00585996"/>
    <w:rsid w:val="00586086"/>
    <w:rsid w:val="00590117"/>
    <w:rsid w:val="005905AB"/>
    <w:rsid w:val="00590EE6"/>
    <w:rsid w:val="005961DA"/>
    <w:rsid w:val="005A00E8"/>
    <w:rsid w:val="005A32DC"/>
    <w:rsid w:val="005A7973"/>
    <w:rsid w:val="005B2F92"/>
    <w:rsid w:val="005B429C"/>
    <w:rsid w:val="005B6122"/>
    <w:rsid w:val="005B68E9"/>
    <w:rsid w:val="005C2E86"/>
    <w:rsid w:val="005C3F51"/>
    <w:rsid w:val="005C4FCF"/>
    <w:rsid w:val="005C6407"/>
    <w:rsid w:val="005D3C70"/>
    <w:rsid w:val="005D522A"/>
    <w:rsid w:val="005D54C4"/>
    <w:rsid w:val="005D7588"/>
    <w:rsid w:val="005D792C"/>
    <w:rsid w:val="005D7A40"/>
    <w:rsid w:val="005F11B7"/>
    <w:rsid w:val="005F25E9"/>
    <w:rsid w:val="005F3471"/>
    <w:rsid w:val="005F48F6"/>
    <w:rsid w:val="006002D3"/>
    <w:rsid w:val="00600B85"/>
    <w:rsid w:val="00602242"/>
    <w:rsid w:val="00602BF3"/>
    <w:rsid w:val="006030E7"/>
    <w:rsid w:val="00603E13"/>
    <w:rsid w:val="00606595"/>
    <w:rsid w:val="006072C3"/>
    <w:rsid w:val="006077A8"/>
    <w:rsid w:val="006171A0"/>
    <w:rsid w:val="00625361"/>
    <w:rsid w:val="006253DC"/>
    <w:rsid w:val="006320AC"/>
    <w:rsid w:val="00637D7C"/>
    <w:rsid w:val="00643301"/>
    <w:rsid w:val="00645245"/>
    <w:rsid w:val="0065724F"/>
    <w:rsid w:val="00661583"/>
    <w:rsid w:val="0066439A"/>
    <w:rsid w:val="006646DA"/>
    <w:rsid w:val="00671D6A"/>
    <w:rsid w:val="00684164"/>
    <w:rsid w:val="00692613"/>
    <w:rsid w:val="00693916"/>
    <w:rsid w:val="006A4295"/>
    <w:rsid w:val="006A538A"/>
    <w:rsid w:val="006A67CB"/>
    <w:rsid w:val="006A7F89"/>
    <w:rsid w:val="006B6E1C"/>
    <w:rsid w:val="006C0403"/>
    <w:rsid w:val="006C2F59"/>
    <w:rsid w:val="006C341E"/>
    <w:rsid w:val="006C40F3"/>
    <w:rsid w:val="006D3F2A"/>
    <w:rsid w:val="006D4BB0"/>
    <w:rsid w:val="006D5AD9"/>
    <w:rsid w:val="006D68A1"/>
    <w:rsid w:val="006E6210"/>
    <w:rsid w:val="006F355C"/>
    <w:rsid w:val="006F6898"/>
    <w:rsid w:val="00703243"/>
    <w:rsid w:val="00703291"/>
    <w:rsid w:val="0070597B"/>
    <w:rsid w:val="007075C8"/>
    <w:rsid w:val="0071098C"/>
    <w:rsid w:val="00712061"/>
    <w:rsid w:val="00713857"/>
    <w:rsid w:val="00715BE2"/>
    <w:rsid w:val="007227E7"/>
    <w:rsid w:val="00723B6E"/>
    <w:rsid w:val="00723E2A"/>
    <w:rsid w:val="00726B32"/>
    <w:rsid w:val="00727ACD"/>
    <w:rsid w:val="00733060"/>
    <w:rsid w:val="0073493B"/>
    <w:rsid w:val="0074502E"/>
    <w:rsid w:val="007460DA"/>
    <w:rsid w:val="00746927"/>
    <w:rsid w:val="00746E28"/>
    <w:rsid w:val="00747118"/>
    <w:rsid w:val="00751FA4"/>
    <w:rsid w:val="0076265A"/>
    <w:rsid w:val="00763E2E"/>
    <w:rsid w:val="00764B16"/>
    <w:rsid w:val="00765052"/>
    <w:rsid w:val="00765F3F"/>
    <w:rsid w:val="00766220"/>
    <w:rsid w:val="00766BF7"/>
    <w:rsid w:val="00767283"/>
    <w:rsid w:val="00767C02"/>
    <w:rsid w:val="007724A3"/>
    <w:rsid w:val="007735FD"/>
    <w:rsid w:val="007767EF"/>
    <w:rsid w:val="00783148"/>
    <w:rsid w:val="007858FB"/>
    <w:rsid w:val="007910F7"/>
    <w:rsid w:val="00793672"/>
    <w:rsid w:val="007A083A"/>
    <w:rsid w:val="007A1BA6"/>
    <w:rsid w:val="007A1C4B"/>
    <w:rsid w:val="007A3744"/>
    <w:rsid w:val="007A4700"/>
    <w:rsid w:val="007B11C6"/>
    <w:rsid w:val="007B15E1"/>
    <w:rsid w:val="007B4126"/>
    <w:rsid w:val="007B4298"/>
    <w:rsid w:val="007B79BB"/>
    <w:rsid w:val="007C2B41"/>
    <w:rsid w:val="007C2D76"/>
    <w:rsid w:val="007C73E4"/>
    <w:rsid w:val="007C74B7"/>
    <w:rsid w:val="007C7DE8"/>
    <w:rsid w:val="007D0D46"/>
    <w:rsid w:val="007D0DC0"/>
    <w:rsid w:val="007D2CB4"/>
    <w:rsid w:val="007D48E0"/>
    <w:rsid w:val="007D70FF"/>
    <w:rsid w:val="007E3317"/>
    <w:rsid w:val="007E3494"/>
    <w:rsid w:val="007E3CE0"/>
    <w:rsid w:val="007E5819"/>
    <w:rsid w:val="007F5BFA"/>
    <w:rsid w:val="0080008B"/>
    <w:rsid w:val="00801B5A"/>
    <w:rsid w:val="00801C86"/>
    <w:rsid w:val="008057C5"/>
    <w:rsid w:val="008109D5"/>
    <w:rsid w:val="00815216"/>
    <w:rsid w:val="00816E60"/>
    <w:rsid w:val="00821F4B"/>
    <w:rsid w:val="008247CC"/>
    <w:rsid w:val="00830F89"/>
    <w:rsid w:val="0083205A"/>
    <w:rsid w:val="00832164"/>
    <w:rsid w:val="0083500D"/>
    <w:rsid w:val="00835CB8"/>
    <w:rsid w:val="008361B3"/>
    <w:rsid w:val="008361E3"/>
    <w:rsid w:val="00837842"/>
    <w:rsid w:val="0083787F"/>
    <w:rsid w:val="00843376"/>
    <w:rsid w:val="00846914"/>
    <w:rsid w:val="00851A38"/>
    <w:rsid w:val="00853676"/>
    <w:rsid w:val="00855FB3"/>
    <w:rsid w:val="00862274"/>
    <w:rsid w:val="00872691"/>
    <w:rsid w:val="00876628"/>
    <w:rsid w:val="00882257"/>
    <w:rsid w:val="00885783"/>
    <w:rsid w:val="0088595B"/>
    <w:rsid w:val="0089158D"/>
    <w:rsid w:val="00892E19"/>
    <w:rsid w:val="00893237"/>
    <w:rsid w:val="00895384"/>
    <w:rsid w:val="008975E5"/>
    <w:rsid w:val="00897942"/>
    <w:rsid w:val="008A0187"/>
    <w:rsid w:val="008A3C7D"/>
    <w:rsid w:val="008A43E4"/>
    <w:rsid w:val="008A7D99"/>
    <w:rsid w:val="008B0FE5"/>
    <w:rsid w:val="008B1305"/>
    <w:rsid w:val="008B2644"/>
    <w:rsid w:val="008B4925"/>
    <w:rsid w:val="008B5B78"/>
    <w:rsid w:val="008B60B6"/>
    <w:rsid w:val="008B6D38"/>
    <w:rsid w:val="008B77BE"/>
    <w:rsid w:val="008C2D7D"/>
    <w:rsid w:val="008C6DF2"/>
    <w:rsid w:val="008C7E9C"/>
    <w:rsid w:val="008C7FEB"/>
    <w:rsid w:val="008D1F45"/>
    <w:rsid w:val="008D2867"/>
    <w:rsid w:val="008D355B"/>
    <w:rsid w:val="008E2EE3"/>
    <w:rsid w:val="008E3D29"/>
    <w:rsid w:val="008E58A1"/>
    <w:rsid w:val="008E5C7F"/>
    <w:rsid w:val="008E7495"/>
    <w:rsid w:val="008F06DF"/>
    <w:rsid w:val="008F383F"/>
    <w:rsid w:val="008F5172"/>
    <w:rsid w:val="008F5DEA"/>
    <w:rsid w:val="008F7317"/>
    <w:rsid w:val="008F735C"/>
    <w:rsid w:val="00900C7F"/>
    <w:rsid w:val="00901DEC"/>
    <w:rsid w:val="0090221E"/>
    <w:rsid w:val="00905F57"/>
    <w:rsid w:val="00906A57"/>
    <w:rsid w:val="0090746D"/>
    <w:rsid w:val="00912B97"/>
    <w:rsid w:val="00917313"/>
    <w:rsid w:val="009202E3"/>
    <w:rsid w:val="00923AA5"/>
    <w:rsid w:val="009244F3"/>
    <w:rsid w:val="00925E3B"/>
    <w:rsid w:val="00926EC9"/>
    <w:rsid w:val="00927603"/>
    <w:rsid w:val="009312E7"/>
    <w:rsid w:val="00934686"/>
    <w:rsid w:val="00934E83"/>
    <w:rsid w:val="0094451C"/>
    <w:rsid w:val="00945B06"/>
    <w:rsid w:val="00952BFD"/>
    <w:rsid w:val="00952FD9"/>
    <w:rsid w:val="00953ADF"/>
    <w:rsid w:val="00961C41"/>
    <w:rsid w:val="00962F19"/>
    <w:rsid w:val="0096605B"/>
    <w:rsid w:val="00971245"/>
    <w:rsid w:val="0097174C"/>
    <w:rsid w:val="00977F9B"/>
    <w:rsid w:val="00980892"/>
    <w:rsid w:val="00984922"/>
    <w:rsid w:val="009A180A"/>
    <w:rsid w:val="009A6725"/>
    <w:rsid w:val="009B142E"/>
    <w:rsid w:val="009B3733"/>
    <w:rsid w:val="009B63DB"/>
    <w:rsid w:val="009B66D6"/>
    <w:rsid w:val="009C1491"/>
    <w:rsid w:val="009C3CED"/>
    <w:rsid w:val="009C4BC1"/>
    <w:rsid w:val="009C4EFB"/>
    <w:rsid w:val="009D207E"/>
    <w:rsid w:val="009D2348"/>
    <w:rsid w:val="009E1B0E"/>
    <w:rsid w:val="009E52C8"/>
    <w:rsid w:val="009F10F3"/>
    <w:rsid w:val="009F10FA"/>
    <w:rsid w:val="009F3099"/>
    <w:rsid w:val="009F3B08"/>
    <w:rsid w:val="009F3C2D"/>
    <w:rsid w:val="009F43D1"/>
    <w:rsid w:val="009F60CD"/>
    <w:rsid w:val="009F7BD5"/>
    <w:rsid w:val="00A02E56"/>
    <w:rsid w:val="00A0625B"/>
    <w:rsid w:val="00A07475"/>
    <w:rsid w:val="00A13586"/>
    <w:rsid w:val="00A20CB0"/>
    <w:rsid w:val="00A258DD"/>
    <w:rsid w:val="00A3069F"/>
    <w:rsid w:val="00A31BD0"/>
    <w:rsid w:val="00A3205D"/>
    <w:rsid w:val="00A333AA"/>
    <w:rsid w:val="00A344D1"/>
    <w:rsid w:val="00A34AF2"/>
    <w:rsid w:val="00A35CD6"/>
    <w:rsid w:val="00A47E28"/>
    <w:rsid w:val="00A51021"/>
    <w:rsid w:val="00A54770"/>
    <w:rsid w:val="00A60734"/>
    <w:rsid w:val="00A608FC"/>
    <w:rsid w:val="00A60EFF"/>
    <w:rsid w:val="00A70E4D"/>
    <w:rsid w:val="00A719E1"/>
    <w:rsid w:val="00A73120"/>
    <w:rsid w:val="00A73A8C"/>
    <w:rsid w:val="00A73D91"/>
    <w:rsid w:val="00A74A9E"/>
    <w:rsid w:val="00A80C6F"/>
    <w:rsid w:val="00A8127C"/>
    <w:rsid w:val="00A81496"/>
    <w:rsid w:val="00A815B0"/>
    <w:rsid w:val="00A83F1E"/>
    <w:rsid w:val="00A8453B"/>
    <w:rsid w:val="00A92D82"/>
    <w:rsid w:val="00A941A5"/>
    <w:rsid w:val="00A96FE5"/>
    <w:rsid w:val="00A97453"/>
    <w:rsid w:val="00AA2770"/>
    <w:rsid w:val="00AA3226"/>
    <w:rsid w:val="00AB0604"/>
    <w:rsid w:val="00AB1CC9"/>
    <w:rsid w:val="00AB752B"/>
    <w:rsid w:val="00AC681C"/>
    <w:rsid w:val="00AC6BB4"/>
    <w:rsid w:val="00AC6C4A"/>
    <w:rsid w:val="00AC6F17"/>
    <w:rsid w:val="00AD0829"/>
    <w:rsid w:val="00AD30FD"/>
    <w:rsid w:val="00AD344A"/>
    <w:rsid w:val="00AD724D"/>
    <w:rsid w:val="00AE45FF"/>
    <w:rsid w:val="00AE58AC"/>
    <w:rsid w:val="00AE5EC0"/>
    <w:rsid w:val="00AF100D"/>
    <w:rsid w:val="00AF3043"/>
    <w:rsid w:val="00AF4E4A"/>
    <w:rsid w:val="00B010AC"/>
    <w:rsid w:val="00B04ED9"/>
    <w:rsid w:val="00B146F3"/>
    <w:rsid w:val="00B16085"/>
    <w:rsid w:val="00B208DA"/>
    <w:rsid w:val="00B22E77"/>
    <w:rsid w:val="00B36107"/>
    <w:rsid w:val="00B36883"/>
    <w:rsid w:val="00B47F7A"/>
    <w:rsid w:val="00B51211"/>
    <w:rsid w:val="00B52AC8"/>
    <w:rsid w:val="00B55913"/>
    <w:rsid w:val="00B56CB3"/>
    <w:rsid w:val="00B56F02"/>
    <w:rsid w:val="00B65C8A"/>
    <w:rsid w:val="00B73650"/>
    <w:rsid w:val="00B740D1"/>
    <w:rsid w:val="00B75884"/>
    <w:rsid w:val="00B75C6F"/>
    <w:rsid w:val="00B80982"/>
    <w:rsid w:val="00B80A40"/>
    <w:rsid w:val="00B84E5A"/>
    <w:rsid w:val="00B94503"/>
    <w:rsid w:val="00B94D4C"/>
    <w:rsid w:val="00BA4C73"/>
    <w:rsid w:val="00BB390A"/>
    <w:rsid w:val="00BB7D5A"/>
    <w:rsid w:val="00BC12E3"/>
    <w:rsid w:val="00BD373A"/>
    <w:rsid w:val="00BD592B"/>
    <w:rsid w:val="00BD5C40"/>
    <w:rsid w:val="00BD72F6"/>
    <w:rsid w:val="00BE29C1"/>
    <w:rsid w:val="00BE61E1"/>
    <w:rsid w:val="00BF221D"/>
    <w:rsid w:val="00BF3C47"/>
    <w:rsid w:val="00C06A53"/>
    <w:rsid w:val="00C171B1"/>
    <w:rsid w:val="00C1792D"/>
    <w:rsid w:val="00C36264"/>
    <w:rsid w:val="00C3743A"/>
    <w:rsid w:val="00C4415D"/>
    <w:rsid w:val="00C44A60"/>
    <w:rsid w:val="00C45AB4"/>
    <w:rsid w:val="00C45F15"/>
    <w:rsid w:val="00C505CB"/>
    <w:rsid w:val="00C512C2"/>
    <w:rsid w:val="00C546EC"/>
    <w:rsid w:val="00C550C0"/>
    <w:rsid w:val="00C57399"/>
    <w:rsid w:val="00C575B9"/>
    <w:rsid w:val="00C61C50"/>
    <w:rsid w:val="00C677C2"/>
    <w:rsid w:val="00C728E4"/>
    <w:rsid w:val="00C72B3F"/>
    <w:rsid w:val="00C7390C"/>
    <w:rsid w:val="00C745B7"/>
    <w:rsid w:val="00C75CF7"/>
    <w:rsid w:val="00C760AA"/>
    <w:rsid w:val="00C773CA"/>
    <w:rsid w:val="00C77C7C"/>
    <w:rsid w:val="00C800A1"/>
    <w:rsid w:val="00C82DC0"/>
    <w:rsid w:val="00C87708"/>
    <w:rsid w:val="00C92FF6"/>
    <w:rsid w:val="00C93933"/>
    <w:rsid w:val="00C953E2"/>
    <w:rsid w:val="00C9634A"/>
    <w:rsid w:val="00CA5711"/>
    <w:rsid w:val="00CB164D"/>
    <w:rsid w:val="00CB2873"/>
    <w:rsid w:val="00CB32E8"/>
    <w:rsid w:val="00CB421A"/>
    <w:rsid w:val="00CB4B95"/>
    <w:rsid w:val="00CB6F36"/>
    <w:rsid w:val="00CC3373"/>
    <w:rsid w:val="00CC4803"/>
    <w:rsid w:val="00CC72F3"/>
    <w:rsid w:val="00CD01BF"/>
    <w:rsid w:val="00CD0B8A"/>
    <w:rsid w:val="00CD147C"/>
    <w:rsid w:val="00CD5329"/>
    <w:rsid w:val="00CD7106"/>
    <w:rsid w:val="00CD7B47"/>
    <w:rsid w:val="00CE3627"/>
    <w:rsid w:val="00CE5374"/>
    <w:rsid w:val="00CF107E"/>
    <w:rsid w:val="00CF3C66"/>
    <w:rsid w:val="00CF78B9"/>
    <w:rsid w:val="00D0250A"/>
    <w:rsid w:val="00D03EEC"/>
    <w:rsid w:val="00D06D4E"/>
    <w:rsid w:val="00D1143A"/>
    <w:rsid w:val="00D14127"/>
    <w:rsid w:val="00D16B1F"/>
    <w:rsid w:val="00D20304"/>
    <w:rsid w:val="00D2111F"/>
    <w:rsid w:val="00D2658F"/>
    <w:rsid w:val="00D26963"/>
    <w:rsid w:val="00D36299"/>
    <w:rsid w:val="00D44580"/>
    <w:rsid w:val="00D50E5D"/>
    <w:rsid w:val="00D5109A"/>
    <w:rsid w:val="00D51319"/>
    <w:rsid w:val="00D54FF2"/>
    <w:rsid w:val="00D6114E"/>
    <w:rsid w:val="00D6411C"/>
    <w:rsid w:val="00D64BDA"/>
    <w:rsid w:val="00D64E40"/>
    <w:rsid w:val="00D7131A"/>
    <w:rsid w:val="00D71440"/>
    <w:rsid w:val="00D73D0B"/>
    <w:rsid w:val="00D7451B"/>
    <w:rsid w:val="00D7544E"/>
    <w:rsid w:val="00D75FD3"/>
    <w:rsid w:val="00D77BBD"/>
    <w:rsid w:val="00D816A6"/>
    <w:rsid w:val="00D81D68"/>
    <w:rsid w:val="00D83A54"/>
    <w:rsid w:val="00D83F3A"/>
    <w:rsid w:val="00D8568E"/>
    <w:rsid w:val="00D862AF"/>
    <w:rsid w:val="00D86737"/>
    <w:rsid w:val="00D87275"/>
    <w:rsid w:val="00D9626A"/>
    <w:rsid w:val="00DA0ADC"/>
    <w:rsid w:val="00DA112E"/>
    <w:rsid w:val="00DA25C8"/>
    <w:rsid w:val="00DA53C0"/>
    <w:rsid w:val="00DB0193"/>
    <w:rsid w:val="00DB0A18"/>
    <w:rsid w:val="00DB19AF"/>
    <w:rsid w:val="00DB371C"/>
    <w:rsid w:val="00DB46E0"/>
    <w:rsid w:val="00DB72B9"/>
    <w:rsid w:val="00DC093C"/>
    <w:rsid w:val="00DD6229"/>
    <w:rsid w:val="00DD6A89"/>
    <w:rsid w:val="00DE27CC"/>
    <w:rsid w:val="00DE7322"/>
    <w:rsid w:val="00DE73D6"/>
    <w:rsid w:val="00DF0EA8"/>
    <w:rsid w:val="00DF1C5B"/>
    <w:rsid w:val="00DF26B4"/>
    <w:rsid w:val="00DF607C"/>
    <w:rsid w:val="00DF61B3"/>
    <w:rsid w:val="00E00398"/>
    <w:rsid w:val="00E024EF"/>
    <w:rsid w:val="00E05B13"/>
    <w:rsid w:val="00E10C95"/>
    <w:rsid w:val="00E17FD5"/>
    <w:rsid w:val="00E20972"/>
    <w:rsid w:val="00E247AD"/>
    <w:rsid w:val="00E24DD0"/>
    <w:rsid w:val="00E30D99"/>
    <w:rsid w:val="00E400D2"/>
    <w:rsid w:val="00E442BD"/>
    <w:rsid w:val="00E448FF"/>
    <w:rsid w:val="00E525B2"/>
    <w:rsid w:val="00E53B20"/>
    <w:rsid w:val="00E54F27"/>
    <w:rsid w:val="00E62680"/>
    <w:rsid w:val="00E64CF7"/>
    <w:rsid w:val="00E656A5"/>
    <w:rsid w:val="00E752E4"/>
    <w:rsid w:val="00E77B23"/>
    <w:rsid w:val="00E80470"/>
    <w:rsid w:val="00E8135C"/>
    <w:rsid w:val="00E816CC"/>
    <w:rsid w:val="00E81C5D"/>
    <w:rsid w:val="00E837F8"/>
    <w:rsid w:val="00E8499C"/>
    <w:rsid w:val="00E87FB0"/>
    <w:rsid w:val="00E95756"/>
    <w:rsid w:val="00EB2CFE"/>
    <w:rsid w:val="00EC28ED"/>
    <w:rsid w:val="00EC429A"/>
    <w:rsid w:val="00EC61E3"/>
    <w:rsid w:val="00EC640E"/>
    <w:rsid w:val="00EC73CF"/>
    <w:rsid w:val="00EC73FA"/>
    <w:rsid w:val="00ED6776"/>
    <w:rsid w:val="00EE2B60"/>
    <w:rsid w:val="00EF0A9B"/>
    <w:rsid w:val="00EF204A"/>
    <w:rsid w:val="00EF2D00"/>
    <w:rsid w:val="00EF3BF5"/>
    <w:rsid w:val="00EF41FD"/>
    <w:rsid w:val="00F00C94"/>
    <w:rsid w:val="00F03FC0"/>
    <w:rsid w:val="00F055F0"/>
    <w:rsid w:val="00F0562B"/>
    <w:rsid w:val="00F114F9"/>
    <w:rsid w:val="00F1373D"/>
    <w:rsid w:val="00F14DB7"/>
    <w:rsid w:val="00F17B0C"/>
    <w:rsid w:val="00F27B81"/>
    <w:rsid w:val="00F42586"/>
    <w:rsid w:val="00F4676F"/>
    <w:rsid w:val="00F51344"/>
    <w:rsid w:val="00F537EE"/>
    <w:rsid w:val="00F53DB3"/>
    <w:rsid w:val="00F55F0E"/>
    <w:rsid w:val="00F56FFE"/>
    <w:rsid w:val="00F57D7D"/>
    <w:rsid w:val="00F6297D"/>
    <w:rsid w:val="00F64307"/>
    <w:rsid w:val="00F66E48"/>
    <w:rsid w:val="00F66E88"/>
    <w:rsid w:val="00F672B0"/>
    <w:rsid w:val="00F75B7D"/>
    <w:rsid w:val="00F75DA1"/>
    <w:rsid w:val="00F812A5"/>
    <w:rsid w:val="00F81343"/>
    <w:rsid w:val="00F815F8"/>
    <w:rsid w:val="00F83CCB"/>
    <w:rsid w:val="00F86B2F"/>
    <w:rsid w:val="00F87B43"/>
    <w:rsid w:val="00F916E6"/>
    <w:rsid w:val="00FA2203"/>
    <w:rsid w:val="00FA2688"/>
    <w:rsid w:val="00FA2AE9"/>
    <w:rsid w:val="00FA79FE"/>
    <w:rsid w:val="00FB209C"/>
    <w:rsid w:val="00FB504F"/>
    <w:rsid w:val="00FB51EA"/>
    <w:rsid w:val="00FB55BF"/>
    <w:rsid w:val="00FC520C"/>
    <w:rsid w:val="00FC605E"/>
    <w:rsid w:val="00FD055D"/>
    <w:rsid w:val="00FD18AB"/>
    <w:rsid w:val="00FD19DD"/>
    <w:rsid w:val="00FD544B"/>
    <w:rsid w:val="00FD7982"/>
    <w:rsid w:val="00FE542D"/>
    <w:rsid w:val="00FE5859"/>
    <w:rsid w:val="00FE6C5D"/>
    <w:rsid w:val="00FF1BB2"/>
    <w:rsid w:val="00FF217D"/>
    <w:rsid w:val="00FF2CC8"/>
    <w:rsid w:val="00FF5FD0"/>
    <w:rsid w:val="00FF767A"/>
    <w:rsid w:val="01B65E79"/>
    <w:rsid w:val="024824CB"/>
    <w:rsid w:val="02667F7E"/>
    <w:rsid w:val="02806025"/>
    <w:rsid w:val="028476F6"/>
    <w:rsid w:val="02EA1513"/>
    <w:rsid w:val="02F97523"/>
    <w:rsid w:val="03156634"/>
    <w:rsid w:val="03902059"/>
    <w:rsid w:val="03F4673A"/>
    <w:rsid w:val="04112BF4"/>
    <w:rsid w:val="046F4501"/>
    <w:rsid w:val="04894060"/>
    <w:rsid w:val="053662B0"/>
    <w:rsid w:val="056962AD"/>
    <w:rsid w:val="059D4E0F"/>
    <w:rsid w:val="05C74732"/>
    <w:rsid w:val="06175CBA"/>
    <w:rsid w:val="070A1140"/>
    <w:rsid w:val="07DE1F31"/>
    <w:rsid w:val="084A53B9"/>
    <w:rsid w:val="08D97463"/>
    <w:rsid w:val="0955265E"/>
    <w:rsid w:val="09AA066A"/>
    <w:rsid w:val="0A306AEF"/>
    <w:rsid w:val="0A3B566D"/>
    <w:rsid w:val="0AD80001"/>
    <w:rsid w:val="0B684E17"/>
    <w:rsid w:val="0BA63DE5"/>
    <w:rsid w:val="0BE638D2"/>
    <w:rsid w:val="0C43688E"/>
    <w:rsid w:val="0C4E4B5A"/>
    <w:rsid w:val="0C5040D3"/>
    <w:rsid w:val="0CCC67E8"/>
    <w:rsid w:val="0CD85A18"/>
    <w:rsid w:val="0D087037"/>
    <w:rsid w:val="0D3F2E04"/>
    <w:rsid w:val="0D552822"/>
    <w:rsid w:val="0D842DC2"/>
    <w:rsid w:val="0E4D389D"/>
    <w:rsid w:val="0EDB69F1"/>
    <w:rsid w:val="0F2A1437"/>
    <w:rsid w:val="102A7247"/>
    <w:rsid w:val="104A43CA"/>
    <w:rsid w:val="109626A9"/>
    <w:rsid w:val="117C734A"/>
    <w:rsid w:val="11A84D46"/>
    <w:rsid w:val="11CC5A66"/>
    <w:rsid w:val="121224A4"/>
    <w:rsid w:val="127D2645"/>
    <w:rsid w:val="13BB71DD"/>
    <w:rsid w:val="13D9188E"/>
    <w:rsid w:val="146128A0"/>
    <w:rsid w:val="14672052"/>
    <w:rsid w:val="149A7141"/>
    <w:rsid w:val="154B3B6D"/>
    <w:rsid w:val="15AA72D0"/>
    <w:rsid w:val="162F711C"/>
    <w:rsid w:val="16986C9E"/>
    <w:rsid w:val="16EF7EB0"/>
    <w:rsid w:val="180B3A19"/>
    <w:rsid w:val="18183800"/>
    <w:rsid w:val="183F42A0"/>
    <w:rsid w:val="18420C6D"/>
    <w:rsid w:val="185429C5"/>
    <w:rsid w:val="185841E5"/>
    <w:rsid w:val="18653CB1"/>
    <w:rsid w:val="18D34A70"/>
    <w:rsid w:val="19FC62C7"/>
    <w:rsid w:val="1A2D7545"/>
    <w:rsid w:val="1A393593"/>
    <w:rsid w:val="1A4E3384"/>
    <w:rsid w:val="1AA77145"/>
    <w:rsid w:val="1AEC50F8"/>
    <w:rsid w:val="1B7E06DD"/>
    <w:rsid w:val="1C2B2CE0"/>
    <w:rsid w:val="1D904501"/>
    <w:rsid w:val="1DDB09FE"/>
    <w:rsid w:val="1E187D2C"/>
    <w:rsid w:val="1E5D1ABE"/>
    <w:rsid w:val="1E781F23"/>
    <w:rsid w:val="1EDE37EF"/>
    <w:rsid w:val="1F5F7009"/>
    <w:rsid w:val="1FDE65F7"/>
    <w:rsid w:val="20093A1F"/>
    <w:rsid w:val="2036510E"/>
    <w:rsid w:val="20AD6A38"/>
    <w:rsid w:val="21652D0E"/>
    <w:rsid w:val="22323DAE"/>
    <w:rsid w:val="22593948"/>
    <w:rsid w:val="225E7CC7"/>
    <w:rsid w:val="22D076D7"/>
    <w:rsid w:val="22FA3CD6"/>
    <w:rsid w:val="23201B7C"/>
    <w:rsid w:val="235068D9"/>
    <w:rsid w:val="23DA44E1"/>
    <w:rsid w:val="240D0D6C"/>
    <w:rsid w:val="24102138"/>
    <w:rsid w:val="24C13812"/>
    <w:rsid w:val="24FF2938"/>
    <w:rsid w:val="250108E8"/>
    <w:rsid w:val="261F6773"/>
    <w:rsid w:val="263C4950"/>
    <w:rsid w:val="268102D1"/>
    <w:rsid w:val="27140C97"/>
    <w:rsid w:val="2774130C"/>
    <w:rsid w:val="27756788"/>
    <w:rsid w:val="28151E11"/>
    <w:rsid w:val="284B4BC2"/>
    <w:rsid w:val="285130FF"/>
    <w:rsid w:val="28B83EB2"/>
    <w:rsid w:val="29C36909"/>
    <w:rsid w:val="2A606C02"/>
    <w:rsid w:val="2A6D405F"/>
    <w:rsid w:val="2AD632CE"/>
    <w:rsid w:val="2B783D3F"/>
    <w:rsid w:val="2B8564F9"/>
    <w:rsid w:val="2BB311AE"/>
    <w:rsid w:val="2C0C5041"/>
    <w:rsid w:val="2CA0682F"/>
    <w:rsid w:val="2CD412A8"/>
    <w:rsid w:val="2CE43D34"/>
    <w:rsid w:val="2D157E75"/>
    <w:rsid w:val="2DB9722D"/>
    <w:rsid w:val="2DFE643A"/>
    <w:rsid w:val="2F2D3B3F"/>
    <w:rsid w:val="2F4549EF"/>
    <w:rsid w:val="2FAC7DEE"/>
    <w:rsid w:val="300565F4"/>
    <w:rsid w:val="30DA282A"/>
    <w:rsid w:val="30E0747C"/>
    <w:rsid w:val="317A6C87"/>
    <w:rsid w:val="31C17329"/>
    <w:rsid w:val="31DA08B9"/>
    <w:rsid w:val="32E12CF2"/>
    <w:rsid w:val="347F38A5"/>
    <w:rsid w:val="34A17125"/>
    <w:rsid w:val="351E1FDA"/>
    <w:rsid w:val="352967C1"/>
    <w:rsid w:val="356B4862"/>
    <w:rsid w:val="35872663"/>
    <w:rsid w:val="35FF7F3C"/>
    <w:rsid w:val="360246C9"/>
    <w:rsid w:val="36ED7168"/>
    <w:rsid w:val="37AE116C"/>
    <w:rsid w:val="38776F45"/>
    <w:rsid w:val="389F3C37"/>
    <w:rsid w:val="38EB4B7C"/>
    <w:rsid w:val="3913429A"/>
    <w:rsid w:val="3A253ABC"/>
    <w:rsid w:val="3A3E7678"/>
    <w:rsid w:val="3A6F7EB5"/>
    <w:rsid w:val="3AB26DFD"/>
    <w:rsid w:val="3AE7785D"/>
    <w:rsid w:val="3B7E51F9"/>
    <w:rsid w:val="3C2F4A59"/>
    <w:rsid w:val="3C474E08"/>
    <w:rsid w:val="3CE33E7F"/>
    <w:rsid w:val="3D2741C3"/>
    <w:rsid w:val="3D2D1545"/>
    <w:rsid w:val="3DCF3D03"/>
    <w:rsid w:val="3DF74BB3"/>
    <w:rsid w:val="3E1C6B63"/>
    <w:rsid w:val="3E403C74"/>
    <w:rsid w:val="3E526667"/>
    <w:rsid w:val="3E616306"/>
    <w:rsid w:val="3E983B7D"/>
    <w:rsid w:val="3EB33BFA"/>
    <w:rsid w:val="3EF14A2B"/>
    <w:rsid w:val="401E3D56"/>
    <w:rsid w:val="406A1ADE"/>
    <w:rsid w:val="407A0F6A"/>
    <w:rsid w:val="4113629B"/>
    <w:rsid w:val="41E434D6"/>
    <w:rsid w:val="422A2DD4"/>
    <w:rsid w:val="425F3C2B"/>
    <w:rsid w:val="4390238B"/>
    <w:rsid w:val="44007A04"/>
    <w:rsid w:val="44016F6F"/>
    <w:rsid w:val="447F4527"/>
    <w:rsid w:val="44D1692B"/>
    <w:rsid w:val="44DC2B73"/>
    <w:rsid w:val="45393578"/>
    <w:rsid w:val="45BA0110"/>
    <w:rsid w:val="45DD78B6"/>
    <w:rsid w:val="45FF11F4"/>
    <w:rsid w:val="46832348"/>
    <w:rsid w:val="47620DD6"/>
    <w:rsid w:val="47BD3567"/>
    <w:rsid w:val="484D7E8F"/>
    <w:rsid w:val="48B21FC6"/>
    <w:rsid w:val="48CD7708"/>
    <w:rsid w:val="48D52849"/>
    <w:rsid w:val="499977C5"/>
    <w:rsid w:val="49F724B5"/>
    <w:rsid w:val="4A1D6D71"/>
    <w:rsid w:val="4A1E125B"/>
    <w:rsid w:val="4A2C1E00"/>
    <w:rsid w:val="4A333C6B"/>
    <w:rsid w:val="4B0E39F6"/>
    <w:rsid w:val="4B87510E"/>
    <w:rsid w:val="4BEF564B"/>
    <w:rsid w:val="4C0D0478"/>
    <w:rsid w:val="4CB01F28"/>
    <w:rsid w:val="4CF118E0"/>
    <w:rsid w:val="4CFB0439"/>
    <w:rsid w:val="4DB81986"/>
    <w:rsid w:val="4DE73062"/>
    <w:rsid w:val="4E23403A"/>
    <w:rsid w:val="4F945018"/>
    <w:rsid w:val="5052092F"/>
    <w:rsid w:val="50A9440A"/>
    <w:rsid w:val="512363F2"/>
    <w:rsid w:val="51723362"/>
    <w:rsid w:val="518906F7"/>
    <w:rsid w:val="522451F8"/>
    <w:rsid w:val="52513E5A"/>
    <w:rsid w:val="526E570A"/>
    <w:rsid w:val="52B654C0"/>
    <w:rsid w:val="53204157"/>
    <w:rsid w:val="53353B3B"/>
    <w:rsid w:val="5340516C"/>
    <w:rsid w:val="53525A18"/>
    <w:rsid w:val="53C44483"/>
    <w:rsid w:val="53E20E0F"/>
    <w:rsid w:val="541D5912"/>
    <w:rsid w:val="547114FD"/>
    <w:rsid w:val="5537422D"/>
    <w:rsid w:val="553B2720"/>
    <w:rsid w:val="55C96344"/>
    <w:rsid w:val="56000B25"/>
    <w:rsid w:val="57035332"/>
    <w:rsid w:val="58102DB3"/>
    <w:rsid w:val="581D4A79"/>
    <w:rsid w:val="58610F95"/>
    <w:rsid w:val="58AD67A3"/>
    <w:rsid w:val="590D2144"/>
    <w:rsid w:val="591D3D35"/>
    <w:rsid w:val="592D2783"/>
    <w:rsid w:val="597D353C"/>
    <w:rsid w:val="59B875A3"/>
    <w:rsid w:val="59C15552"/>
    <w:rsid w:val="5A76428B"/>
    <w:rsid w:val="5AEA59CD"/>
    <w:rsid w:val="5B044A82"/>
    <w:rsid w:val="5B3A75D2"/>
    <w:rsid w:val="5CD536EC"/>
    <w:rsid w:val="5D481D97"/>
    <w:rsid w:val="5E3F4A2F"/>
    <w:rsid w:val="5E5E64AA"/>
    <w:rsid w:val="5E7D6EE0"/>
    <w:rsid w:val="5F2800AE"/>
    <w:rsid w:val="5F7A4635"/>
    <w:rsid w:val="5F955667"/>
    <w:rsid w:val="5F9F3570"/>
    <w:rsid w:val="5FB75D35"/>
    <w:rsid w:val="60240466"/>
    <w:rsid w:val="60A05D2A"/>
    <w:rsid w:val="61325196"/>
    <w:rsid w:val="61344D5D"/>
    <w:rsid w:val="618925DC"/>
    <w:rsid w:val="61DB3332"/>
    <w:rsid w:val="621458D1"/>
    <w:rsid w:val="62E37AE1"/>
    <w:rsid w:val="6309153F"/>
    <w:rsid w:val="632905BE"/>
    <w:rsid w:val="634670E0"/>
    <w:rsid w:val="63847813"/>
    <w:rsid w:val="63952A8A"/>
    <w:rsid w:val="63A759F4"/>
    <w:rsid w:val="63C4391E"/>
    <w:rsid w:val="640353A7"/>
    <w:rsid w:val="64143EB6"/>
    <w:rsid w:val="6414690B"/>
    <w:rsid w:val="642A3ADA"/>
    <w:rsid w:val="64322E41"/>
    <w:rsid w:val="646C1BB9"/>
    <w:rsid w:val="66093922"/>
    <w:rsid w:val="663C2250"/>
    <w:rsid w:val="66D435C2"/>
    <w:rsid w:val="6774405A"/>
    <w:rsid w:val="67A14304"/>
    <w:rsid w:val="68021CCD"/>
    <w:rsid w:val="687B11FC"/>
    <w:rsid w:val="687D6DF9"/>
    <w:rsid w:val="68B54116"/>
    <w:rsid w:val="69ED64ED"/>
    <w:rsid w:val="69F001AD"/>
    <w:rsid w:val="69F21D63"/>
    <w:rsid w:val="6A455A66"/>
    <w:rsid w:val="6A58605F"/>
    <w:rsid w:val="6A655D75"/>
    <w:rsid w:val="6A9E4A4A"/>
    <w:rsid w:val="6B4A5FEF"/>
    <w:rsid w:val="6C0A19E4"/>
    <w:rsid w:val="6C134EBB"/>
    <w:rsid w:val="6C402E91"/>
    <w:rsid w:val="6C53563C"/>
    <w:rsid w:val="6C542CCA"/>
    <w:rsid w:val="6C834703"/>
    <w:rsid w:val="6D05726A"/>
    <w:rsid w:val="6E00004A"/>
    <w:rsid w:val="6E4C7581"/>
    <w:rsid w:val="6E571918"/>
    <w:rsid w:val="6ED529B5"/>
    <w:rsid w:val="6F777C83"/>
    <w:rsid w:val="6FB90FB8"/>
    <w:rsid w:val="6FE02CFD"/>
    <w:rsid w:val="6FF3711A"/>
    <w:rsid w:val="702C4227"/>
    <w:rsid w:val="708C1B2E"/>
    <w:rsid w:val="70911841"/>
    <w:rsid w:val="715A2E91"/>
    <w:rsid w:val="720B0969"/>
    <w:rsid w:val="72AC7BAF"/>
    <w:rsid w:val="72AD239A"/>
    <w:rsid w:val="72C8223C"/>
    <w:rsid w:val="732F03F6"/>
    <w:rsid w:val="736F173E"/>
    <w:rsid w:val="738C70E7"/>
    <w:rsid w:val="73AF0582"/>
    <w:rsid w:val="73D751AE"/>
    <w:rsid w:val="73EE1899"/>
    <w:rsid w:val="74120EED"/>
    <w:rsid w:val="74603AB3"/>
    <w:rsid w:val="74686F6D"/>
    <w:rsid w:val="74B73AC8"/>
    <w:rsid w:val="74E37EA5"/>
    <w:rsid w:val="74FC00D2"/>
    <w:rsid w:val="754D5AA2"/>
    <w:rsid w:val="75A61537"/>
    <w:rsid w:val="76EF774D"/>
    <w:rsid w:val="76F93EB7"/>
    <w:rsid w:val="76FD1F5B"/>
    <w:rsid w:val="770C6C26"/>
    <w:rsid w:val="77267F9B"/>
    <w:rsid w:val="772A2332"/>
    <w:rsid w:val="774D28A4"/>
    <w:rsid w:val="778F0789"/>
    <w:rsid w:val="77B43F0C"/>
    <w:rsid w:val="77BE197A"/>
    <w:rsid w:val="77C6046F"/>
    <w:rsid w:val="77E12415"/>
    <w:rsid w:val="78E96541"/>
    <w:rsid w:val="78FA1A5E"/>
    <w:rsid w:val="797868F5"/>
    <w:rsid w:val="797E2594"/>
    <w:rsid w:val="79EE2A66"/>
    <w:rsid w:val="79F42671"/>
    <w:rsid w:val="7A480882"/>
    <w:rsid w:val="7A52043F"/>
    <w:rsid w:val="7B15113E"/>
    <w:rsid w:val="7B7A76C4"/>
    <w:rsid w:val="7BAB2DA7"/>
    <w:rsid w:val="7C21232A"/>
    <w:rsid w:val="7C715C38"/>
    <w:rsid w:val="7CA47630"/>
    <w:rsid w:val="7D091DF7"/>
    <w:rsid w:val="7D357D84"/>
    <w:rsid w:val="7E1F6C80"/>
    <w:rsid w:val="7E763DE7"/>
    <w:rsid w:val="7F0C263B"/>
    <w:rsid w:val="7F6C11ED"/>
    <w:rsid w:val="7FF647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5"/>
    <w:qFormat/>
    <w:uiPriority w:val="0"/>
    <w:pPr>
      <w:keepNext/>
      <w:keepLines/>
      <w:spacing w:before="260" w:after="260" w:line="416" w:lineRule="auto"/>
      <w:outlineLvl w:val="2"/>
    </w:pPr>
    <w:rPr>
      <w:b/>
      <w:bCs/>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widowControl/>
      <w:ind w:firstLine="420"/>
      <w:jc w:val="left"/>
    </w:pPr>
    <w:rPr>
      <w:kern w:val="0"/>
      <w:sz w:val="20"/>
      <w:szCs w:val="20"/>
    </w:rPr>
  </w:style>
  <w:style w:type="paragraph" w:styleId="14">
    <w:name w:val="caption"/>
    <w:basedOn w:val="1"/>
    <w:next w:val="1"/>
    <w:qFormat/>
    <w:uiPriority w:val="0"/>
    <w:pPr>
      <w:wordWrap w:val="0"/>
      <w:spacing w:beforeLines="50"/>
      <w:jc w:val="center"/>
    </w:pPr>
    <w:rPr>
      <w:rFonts w:ascii="宋体" w:hAnsi="宋体" w:eastAsia="仿宋_GB2312"/>
      <w:b/>
      <w:kern w:val="0"/>
      <w:sz w:val="20"/>
      <w:szCs w:val="21"/>
    </w:rPr>
  </w:style>
  <w:style w:type="paragraph" w:styleId="15">
    <w:name w:val="Document Map"/>
    <w:basedOn w:val="1"/>
    <w:semiHidden/>
    <w:qFormat/>
    <w:uiPriority w:val="0"/>
    <w:pPr>
      <w:shd w:val="clear" w:color="auto" w:fill="000080"/>
    </w:pPr>
  </w:style>
  <w:style w:type="paragraph" w:styleId="16">
    <w:name w:val="annotation text"/>
    <w:basedOn w:val="1"/>
    <w:link w:val="72"/>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Indent"/>
    <w:basedOn w:val="1"/>
    <w:link w:val="73"/>
    <w:qFormat/>
    <w:uiPriority w:val="0"/>
    <w:pPr>
      <w:spacing w:after="120"/>
      <w:ind w:left="420" w:leftChars="200"/>
    </w:pPr>
  </w:style>
  <w:style w:type="paragraph" w:styleId="20">
    <w:name w:val="List 2"/>
    <w:basedOn w:val="1"/>
    <w:qFormat/>
    <w:uiPriority w:val="0"/>
    <w:pPr>
      <w:ind w:left="100" w:leftChars="200" w:hanging="200" w:hangingChars="200"/>
    </w:p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next w:val="25"/>
    <w:link w:val="74"/>
    <w:qFormat/>
    <w:uiPriority w:val="0"/>
    <w:rPr>
      <w:rFonts w:ascii="宋体" w:hAnsi="Courier New" w:cs="Courier New"/>
      <w:szCs w:val="21"/>
    </w:rPr>
  </w:style>
  <w:style w:type="paragraph" w:styleId="25">
    <w:name w:val="toc 1"/>
    <w:basedOn w:val="1"/>
    <w:next w:val="1"/>
    <w:qFormat/>
    <w:uiPriority w:val="0"/>
    <w:pPr>
      <w:spacing w:beforeLines="50"/>
    </w:pPr>
    <w:rPr>
      <w:rFonts w:eastAsia="黑体"/>
      <w:szCs w:val="30"/>
      <w:lang w:val="zh-CN" w:eastAsia="zh-CN"/>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5"/>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76"/>
    <w:qFormat/>
    <w:uiPriority w:val="0"/>
    <w:rPr>
      <w:rFonts w:ascii="Calibri" w:hAnsi="Calibri"/>
      <w:sz w:val="18"/>
      <w:szCs w:val="18"/>
    </w:rPr>
  </w:style>
  <w:style w:type="paragraph" w:styleId="30">
    <w:name w:val="footer"/>
    <w:basedOn w:val="1"/>
    <w:link w:val="77"/>
    <w:qFormat/>
    <w:uiPriority w:val="0"/>
    <w:pPr>
      <w:tabs>
        <w:tab w:val="center" w:pos="4153"/>
        <w:tab w:val="right" w:pos="8306"/>
      </w:tabs>
      <w:snapToGrid w:val="0"/>
      <w:jc w:val="left"/>
    </w:pPr>
    <w:rPr>
      <w:sz w:val="18"/>
      <w:szCs w:val="18"/>
    </w:rPr>
  </w:style>
  <w:style w:type="paragraph" w:styleId="31">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32">
    <w:name w:val="toc 4"/>
    <w:basedOn w:val="1"/>
    <w:next w:val="1"/>
    <w:qFormat/>
    <w:uiPriority w:val="0"/>
    <w:pPr>
      <w:ind w:left="1260" w:leftChars="600"/>
    </w:pPr>
  </w:style>
  <w:style w:type="paragraph" w:styleId="33">
    <w:name w:val="Subtitle"/>
    <w:basedOn w:val="1"/>
    <w:next w:val="1"/>
    <w:qFormat/>
    <w:uiPriority w:val="0"/>
    <w:pPr>
      <w:spacing w:before="240" w:after="60" w:line="312" w:lineRule="auto"/>
      <w:jc w:val="center"/>
      <w:outlineLvl w:val="1"/>
    </w:pPr>
    <w:rPr>
      <w:rFonts w:ascii="Cambria" w:hAnsi="Cambria" w:cs="黑体"/>
      <w:b/>
      <w:bCs/>
      <w:kern w:val="28"/>
      <w:sz w:val="28"/>
      <w:szCs w:val="28"/>
    </w:rPr>
  </w:style>
  <w:style w:type="paragraph" w:styleId="34">
    <w:name w:val="List"/>
    <w:basedOn w:val="1"/>
    <w:qFormat/>
    <w:uiPriority w:val="0"/>
    <w:pPr>
      <w:ind w:left="200" w:hanging="200" w:hangingChars="200"/>
    </w:pPr>
  </w:style>
  <w:style w:type="paragraph" w:styleId="35">
    <w:name w:val="footnote text"/>
    <w:basedOn w:val="1"/>
    <w:semiHidden/>
    <w:qFormat/>
    <w:uiPriority w:val="0"/>
    <w:pPr>
      <w:widowControl w:val="0"/>
      <w:snapToGrid w:val="0"/>
    </w:pPr>
    <w:rPr>
      <w:kern w:val="2"/>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78"/>
    <w:qFormat/>
    <w:uiPriority w:val="0"/>
    <w:pPr>
      <w:spacing w:after="120"/>
      <w:ind w:left="420" w:leftChars="200"/>
    </w:pPr>
    <w:rPr>
      <w:sz w:val="16"/>
      <w:szCs w:val="16"/>
    </w:r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qFormat/>
    <w:uiPriority w:val="0"/>
    <w:pPr>
      <w:spacing w:after="120" w:line="480" w:lineRule="auto"/>
    </w:p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qFormat/>
    <w:uiPriority w:val="0"/>
    <w:pPr>
      <w:spacing w:before="240" w:after="60"/>
      <w:jc w:val="center"/>
      <w:outlineLvl w:val="0"/>
    </w:pPr>
    <w:rPr>
      <w:rFonts w:ascii="Cambria" w:hAnsi="Cambria"/>
      <w:b/>
      <w:sz w:val="32"/>
    </w:rPr>
  </w:style>
  <w:style w:type="paragraph" w:styleId="45">
    <w:name w:val="annotation subject"/>
    <w:basedOn w:val="16"/>
    <w:next w:val="16"/>
    <w:link w:val="79"/>
    <w:qFormat/>
    <w:uiPriority w:val="0"/>
    <w:rPr>
      <w:b/>
      <w:bCs/>
    </w:rPr>
  </w:style>
  <w:style w:type="paragraph" w:styleId="46">
    <w:name w:val="Body Text First Indent"/>
    <w:basedOn w:val="2"/>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741274"/>
      <w:u w:val="single"/>
    </w:rPr>
  </w:style>
  <w:style w:type="character" w:styleId="53">
    <w:name w:val="Emphasis"/>
    <w:qFormat/>
    <w:uiPriority w:val="2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0"/>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Char1"/>
    <w:link w:val="31"/>
    <w:qFormat/>
    <w:uiPriority w:val="0"/>
    <w:rPr>
      <w:rFonts w:eastAsia="宋体"/>
      <w:kern w:val="2"/>
      <w:sz w:val="18"/>
      <w:szCs w:val="18"/>
      <w:lang w:val="en-US" w:eastAsia="zh-CN" w:bidi="ar-SA"/>
    </w:rPr>
  </w:style>
  <w:style w:type="character" w:customStyle="1" w:styleId="63">
    <w:name w:val="标题 1 Char1"/>
    <w:link w:val="3"/>
    <w:qFormat/>
    <w:uiPriority w:val="0"/>
    <w:rPr>
      <w:rFonts w:eastAsia="宋体"/>
      <w:b/>
      <w:bCs/>
      <w:kern w:val="2"/>
      <w:sz w:val="24"/>
      <w:lang w:val="en-US" w:eastAsia="zh-CN" w:bidi="ar-SA"/>
    </w:rPr>
  </w:style>
  <w:style w:type="character" w:customStyle="1" w:styleId="64">
    <w:name w:val="标题 2 Char1"/>
    <w:link w:val="4"/>
    <w:qFormat/>
    <w:uiPriority w:val="0"/>
    <w:rPr>
      <w:rFonts w:ascii="Arial" w:hAnsi="Arial" w:eastAsia="宋体"/>
      <w:b/>
      <w:bCs/>
      <w:kern w:val="2"/>
      <w:sz w:val="24"/>
      <w:szCs w:val="32"/>
      <w:lang w:val="en-US" w:eastAsia="zh-CN" w:bidi="ar-SA"/>
    </w:rPr>
  </w:style>
  <w:style w:type="character" w:customStyle="1" w:styleId="65">
    <w:name w:val="标题 3 Char1"/>
    <w:link w:val="5"/>
    <w:qFormat/>
    <w:uiPriority w:val="0"/>
    <w:rPr>
      <w:rFonts w:eastAsia="宋体"/>
      <w:b/>
      <w:bCs/>
      <w:kern w:val="2"/>
      <w:sz w:val="32"/>
      <w:szCs w:val="32"/>
      <w:lang w:val="en-US" w:eastAsia="zh-CN" w:bidi="ar-SA"/>
    </w:rPr>
  </w:style>
  <w:style w:type="character" w:customStyle="1" w:styleId="66">
    <w:name w:val="标题 4 Char1"/>
    <w:link w:val="6"/>
    <w:qFormat/>
    <w:uiPriority w:val="0"/>
    <w:rPr>
      <w:rFonts w:ascii="Arial" w:hAnsi="Arial" w:eastAsia="黑体"/>
      <w:b/>
      <w:bCs/>
      <w:kern w:val="2"/>
      <w:sz w:val="28"/>
      <w:szCs w:val="28"/>
      <w:lang w:val="en-US" w:eastAsia="zh-CN" w:bidi="ar-SA"/>
    </w:rPr>
  </w:style>
  <w:style w:type="character" w:customStyle="1" w:styleId="67">
    <w:name w:val="标题 5 Char1"/>
    <w:link w:val="7"/>
    <w:qFormat/>
    <w:uiPriority w:val="0"/>
    <w:rPr>
      <w:rFonts w:eastAsia="宋体"/>
      <w:b/>
      <w:bCs/>
      <w:sz w:val="28"/>
      <w:szCs w:val="28"/>
      <w:lang w:val="en-US" w:eastAsia="zh-CN" w:bidi="ar-SA"/>
    </w:rPr>
  </w:style>
  <w:style w:type="character" w:customStyle="1" w:styleId="68">
    <w:name w:val="标题 6 Char1"/>
    <w:link w:val="8"/>
    <w:qFormat/>
    <w:uiPriority w:val="0"/>
    <w:rPr>
      <w:rFonts w:ascii="Arial" w:hAnsi="Arial" w:eastAsia="黑体"/>
      <w:b/>
      <w:bCs/>
      <w:sz w:val="24"/>
      <w:szCs w:val="24"/>
      <w:lang w:val="en-US" w:eastAsia="zh-CN" w:bidi="ar-SA"/>
    </w:rPr>
  </w:style>
  <w:style w:type="character" w:customStyle="1" w:styleId="69">
    <w:name w:val="标题 7 Char1"/>
    <w:link w:val="9"/>
    <w:qFormat/>
    <w:uiPriority w:val="0"/>
    <w:rPr>
      <w:rFonts w:eastAsia="宋体"/>
      <w:b/>
      <w:bCs/>
      <w:sz w:val="24"/>
      <w:szCs w:val="24"/>
      <w:lang w:val="en-US" w:eastAsia="zh-CN" w:bidi="ar-SA"/>
    </w:rPr>
  </w:style>
  <w:style w:type="character" w:customStyle="1" w:styleId="70">
    <w:name w:val="标题 8 Char1"/>
    <w:link w:val="10"/>
    <w:qFormat/>
    <w:uiPriority w:val="0"/>
    <w:rPr>
      <w:rFonts w:ascii="Arial" w:hAnsi="Arial" w:eastAsia="黑体"/>
      <w:sz w:val="24"/>
      <w:szCs w:val="24"/>
      <w:lang w:val="en-US" w:eastAsia="zh-CN" w:bidi="ar-SA"/>
    </w:rPr>
  </w:style>
  <w:style w:type="character" w:customStyle="1" w:styleId="71">
    <w:name w:val="标题 9 Char1"/>
    <w:link w:val="11"/>
    <w:qFormat/>
    <w:uiPriority w:val="0"/>
    <w:rPr>
      <w:rFonts w:ascii="Arial" w:hAnsi="Arial" w:eastAsia="黑体"/>
      <w:sz w:val="21"/>
      <w:szCs w:val="21"/>
      <w:lang w:val="en-US" w:eastAsia="zh-CN" w:bidi="ar-SA"/>
    </w:rPr>
  </w:style>
  <w:style w:type="character" w:customStyle="1" w:styleId="72">
    <w:name w:val="批注文字 Char1"/>
    <w:link w:val="16"/>
    <w:qFormat/>
    <w:uiPriority w:val="0"/>
    <w:rPr>
      <w:rFonts w:eastAsia="宋体"/>
      <w:kern w:val="2"/>
      <w:sz w:val="21"/>
      <w:szCs w:val="24"/>
      <w:lang w:val="en-US" w:eastAsia="zh-CN" w:bidi="ar-SA"/>
    </w:rPr>
  </w:style>
  <w:style w:type="character" w:customStyle="1" w:styleId="73">
    <w:name w:val="正文文本缩进 Char"/>
    <w:link w:val="19"/>
    <w:qFormat/>
    <w:uiPriority w:val="0"/>
    <w:rPr>
      <w:rFonts w:eastAsia="宋体"/>
      <w:kern w:val="2"/>
      <w:sz w:val="21"/>
      <w:szCs w:val="24"/>
      <w:lang w:val="en-US" w:eastAsia="zh-CN" w:bidi="ar-SA"/>
    </w:rPr>
  </w:style>
  <w:style w:type="character" w:customStyle="1" w:styleId="74">
    <w:name w:val="纯文本 Char"/>
    <w:link w:val="24"/>
    <w:semiHidden/>
    <w:qFormat/>
    <w:locked/>
    <w:uiPriority w:val="0"/>
    <w:rPr>
      <w:rFonts w:ascii="宋体" w:hAnsi="Courier New" w:eastAsia="宋体" w:cs="Courier New"/>
      <w:kern w:val="2"/>
      <w:sz w:val="21"/>
      <w:szCs w:val="21"/>
      <w:lang w:val="en-US" w:eastAsia="zh-CN" w:bidi="ar-SA"/>
    </w:rPr>
  </w:style>
  <w:style w:type="character" w:customStyle="1" w:styleId="75">
    <w:name w:val="日期 Char1"/>
    <w:link w:val="27"/>
    <w:qFormat/>
    <w:uiPriority w:val="0"/>
    <w:rPr>
      <w:rFonts w:eastAsia="宋体"/>
      <w:kern w:val="2"/>
      <w:sz w:val="24"/>
      <w:lang w:val="en-US" w:eastAsia="zh-CN" w:bidi="ar-SA"/>
    </w:rPr>
  </w:style>
  <w:style w:type="character" w:customStyle="1" w:styleId="76">
    <w:name w:val="批注框文本 Char1"/>
    <w:link w:val="29"/>
    <w:semiHidden/>
    <w:qFormat/>
    <w:locked/>
    <w:uiPriority w:val="0"/>
    <w:rPr>
      <w:rFonts w:ascii="Calibri" w:hAnsi="Calibri" w:eastAsia="宋体"/>
      <w:kern w:val="2"/>
      <w:sz w:val="18"/>
      <w:szCs w:val="18"/>
      <w:lang w:val="en-US" w:eastAsia="zh-CN" w:bidi="ar-SA"/>
    </w:rPr>
  </w:style>
  <w:style w:type="character" w:customStyle="1" w:styleId="77">
    <w:name w:val="页脚 Char1"/>
    <w:link w:val="30"/>
    <w:qFormat/>
    <w:uiPriority w:val="0"/>
    <w:rPr>
      <w:rFonts w:eastAsia="宋体"/>
      <w:kern w:val="2"/>
      <w:sz w:val="18"/>
      <w:szCs w:val="18"/>
      <w:lang w:val="en-US" w:eastAsia="zh-CN" w:bidi="ar-SA"/>
    </w:rPr>
  </w:style>
  <w:style w:type="character" w:customStyle="1" w:styleId="78">
    <w:name w:val="正文文本缩进 3 Char1"/>
    <w:link w:val="37"/>
    <w:qFormat/>
    <w:uiPriority w:val="0"/>
    <w:rPr>
      <w:rFonts w:eastAsia="宋体"/>
      <w:kern w:val="2"/>
      <w:sz w:val="16"/>
      <w:szCs w:val="16"/>
      <w:lang w:val="en-US" w:eastAsia="zh-CN" w:bidi="ar-SA"/>
    </w:rPr>
  </w:style>
  <w:style w:type="character" w:customStyle="1" w:styleId="79">
    <w:name w:val="批注主题 Char1"/>
    <w:link w:val="45"/>
    <w:qFormat/>
    <w:uiPriority w:val="0"/>
    <w:rPr>
      <w:rFonts w:eastAsia="宋体"/>
      <w:b/>
      <w:bCs/>
      <w:kern w:val="2"/>
      <w:sz w:val="21"/>
      <w:szCs w:val="24"/>
      <w:lang w:val="en-US" w:eastAsia="zh-CN" w:bidi="ar-SA"/>
    </w:rPr>
  </w:style>
  <w:style w:type="character" w:customStyle="1" w:styleId="80">
    <w:name w:val="标题 5 Char"/>
    <w:qFormat/>
    <w:uiPriority w:val="0"/>
    <w:rPr>
      <w:b/>
      <w:bCs/>
      <w:kern w:val="2"/>
      <w:sz w:val="28"/>
      <w:szCs w:val="28"/>
    </w:rPr>
  </w:style>
  <w:style w:type="character" w:customStyle="1" w:styleId="81">
    <w:name w:val="Font Style119"/>
    <w:unhideWhenUsed/>
    <w:qFormat/>
    <w:uiPriority w:val="0"/>
    <w:rPr>
      <w:rFonts w:hint="eastAsia" w:ascii="宋体" w:hAnsi="宋体" w:eastAsia="宋体"/>
      <w:sz w:val="24"/>
    </w:rPr>
  </w:style>
  <w:style w:type="character" w:customStyle="1" w:styleId="82">
    <w:name w:val="sidecatalog-index2"/>
    <w:qFormat/>
    <w:uiPriority w:val="0"/>
    <w:rPr>
      <w:rFonts w:ascii="Arail" w:hAnsi="Arail" w:eastAsia="Arail" w:cs="Arail"/>
      <w:color w:val="999999"/>
      <w:sz w:val="21"/>
      <w:szCs w:val="21"/>
    </w:rPr>
  </w:style>
  <w:style w:type="character" w:customStyle="1" w:styleId="83">
    <w:name w:val="t41"/>
    <w:qFormat/>
    <w:uiPriority w:val="0"/>
    <w:rPr>
      <w:sz w:val="21"/>
      <w:szCs w:val="21"/>
    </w:rPr>
  </w:style>
  <w:style w:type="character" w:customStyle="1" w:styleId="84">
    <w:name w:val="bds_nopic2"/>
    <w:qFormat/>
    <w:uiPriority w:val="0"/>
    <w:rPr>
      <w:rFonts w:ascii="Times New Roman" w:hAnsi="Times New Roman" w:eastAsia="宋体"/>
    </w:rPr>
  </w:style>
  <w:style w:type="character" w:customStyle="1" w:styleId="85">
    <w:name w:val="批注框文本 Char"/>
    <w:qFormat/>
    <w:uiPriority w:val="0"/>
    <w:rPr>
      <w:kern w:val="2"/>
      <w:sz w:val="18"/>
      <w:szCs w:val="18"/>
    </w:rPr>
  </w:style>
  <w:style w:type="character" w:customStyle="1" w:styleId="86">
    <w:name w:val="gray1"/>
    <w:qFormat/>
    <w:uiPriority w:val="0"/>
    <w:rPr>
      <w:color w:val="666666"/>
    </w:rPr>
  </w:style>
  <w:style w:type="character" w:customStyle="1" w:styleId="87">
    <w:name w:val="日期 Char"/>
    <w:qFormat/>
    <w:uiPriority w:val="0"/>
    <w:rPr>
      <w:kern w:val="2"/>
      <w:sz w:val="21"/>
      <w:szCs w:val="24"/>
    </w:rPr>
  </w:style>
  <w:style w:type="character" w:customStyle="1" w:styleId="88">
    <w:name w:val="Font Style86"/>
    <w:unhideWhenUsed/>
    <w:qFormat/>
    <w:uiPriority w:val="0"/>
    <w:rPr>
      <w:rFonts w:hint="eastAsia" w:ascii="黑体" w:hAnsi="黑体" w:eastAsia="黑体"/>
      <w:spacing w:val="10"/>
      <w:sz w:val="30"/>
    </w:rPr>
  </w:style>
  <w:style w:type="character" w:customStyle="1" w:styleId="89">
    <w:name w:val=" Char Char16"/>
    <w:qFormat/>
    <w:uiPriority w:val="0"/>
    <w:rPr>
      <w:rFonts w:ascii="宋体" w:hAnsi="Times New Roman" w:eastAsia="宋体"/>
      <w:b/>
      <w:sz w:val="24"/>
      <w:lang w:val="en-US" w:eastAsia="zh-CN" w:bidi="ar-SA"/>
    </w:rPr>
  </w:style>
  <w:style w:type="character" w:customStyle="1" w:styleId="90">
    <w:name w:val="morelink-item"/>
    <w:qFormat/>
    <w:uiPriority w:val="0"/>
    <w:rPr>
      <w:rFonts w:ascii="Times New Roman" w:hAnsi="Times New Roman" w:eastAsia="宋体"/>
    </w:rPr>
  </w:style>
  <w:style w:type="character" w:customStyle="1" w:styleId="91">
    <w:name w:val="标题 Char1"/>
    <w:qFormat/>
    <w:uiPriority w:val="0"/>
    <w:rPr>
      <w:rFonts w:ascii="Cambria" w:hAnsi="Cambria" w:eastAsia="宋体" w:cs="Times New Roman"/>
      <w:b/>
      <w:bCs/>
      <w:sz w:val="32"/>
      <w:szCs w:val="32"/>
    </w:rPr>
  </w:style>
  <w:style w:type="character" w:customStyle="1" w:styleId="92">
    <w:name w:val="Font Style121"/>
    <w:unhideWhenUsed/>
    <w:qFormat/>
    <w:uiPriority w:val="0"/>
    <w:rPr>
      <w:rFonts w:hint="eastAsia" w:ascii="宋体" w:hAnsi="宋体" w:eastAsia="宋体"/>
      <w:spacing w:val="-10"/>
      <w:sz w:val="30"/>
    </w:rPr>
  </w:style>
  <w:style w:type="character" w:customStyle="1" w:styleId="93">
    <w:name w:val="标题 3 Char"/>
    <w:qFormat/>
    <w:uiPriority w:val="0"/>
    <w:rPr>
      <w:b/>
      <w:bCs/>
      <w:sz w:val="24"/>
      <w:szCs w:val="24"/>
    </w:rPr>
  </w:style>
  <w:style w:type="character" w:customStyle="1" w:styleId="94">
    <w:name w:val="Font Style115"/>
    <w:unhideWhenUsed/>
    <w:qFormat/>
    <w:uiPriority w:val="0"/>
    <w:rPr>
      <w:rFonts w:hint="eastAsia" w:ascii="Times New Roman" w:hAnsi="Times New Roman" w:eastAsia="Times New Roman"/>
      <w:sz w:val="16"/>
    </w:rPr>
  </w:style>
  <w:style w:type="character" w:customStyle="1" w:styleId="95">
    <w:name w:val="Font Style131"/>
    <w:unhideWhenUsed/>
    <w:qFormat/>
    <w:uiPriority w:val="0"/>
    <w:rPr>
      <w:rFonts w:hint="eastAsia" w:ascii="Times New Roman" w:hAnsi="Times New Roman" w:eastAsia="Times New Roman"/>
      <w:sz w:val="18"/>
    </w:rPr>
  </w:style>
  <w:style w:type="character" w:customStyle="1" w:styleId="96">
    <w:name w:val="p0 Char Char"/>
    <w:qFormat/>
    <w:uiPriority w:val="0"/>
    <w:rPr>
      <w:rFonts w:eastAsia="宋体"/>
      <w:kern w:val="2"/>
      <w:sz w:val="21"/>
      <w:szCs w:val="21"/>
      <w:lang w:val="en-US" w:eastAsia="zh-CN" w:bidi="ar-SA"/>
    </w:rPr>
  </w:style>
  <w:style w:type="character" w:customStyle="1" w:styleId="97">
    <w:name w:val="批注文字 Char"/>
    <w:qFormat/>
    <w:uiPriority w:val="0"/>
    <w:rPr>
      <w:kern w:val="2"/>
      <w:sz w:val="21"/>
      <w:szCs w:val="24"/>
    </w:rPr>
  </w:style>
  <w:style w:type="character" w:customStyle="1" w:styleId="98">
    <w:name w:val="desc"/>
    <w:qFormat/>
    <w:uiPriority w:val="0"/>
    <w:rPr>
      <w:rFonts w:ascii="Times New Roman" w:hAnsi="Times New Roman" w:eastAsia="宋体"/>
      <w:color w:val="000000"/>
      <w:sz w:val="18"/>
      <w:szCs w:val="18"/>
    </w:rPr>
  </w:style>
  <w:style w:type="character" w:customStyle="1" w:styleId="99">
    <w:name w:val="批注文字 Char Char"/>
    <w:qFormat/>
    <w:uiPriority w:val="0"/>
    <w:rPr>
      <w:kern w:val="2"/>
      <w:sz w:val="21"/>
      <w:szCs w:val="24"/>
      <w:lang w:bidi="ar-SA"/>
    </w:rPr>
  </w:style>
  <w:style w:type="character" w:customStyle="1" w:styleId="100">
    <w:name w:val="批注主题 Char"/>
    <w:qFormat/>
    <w:uiPriority w:val="0"/>
    <w:rPr>
      <w:b/>
      <w:bCs/>
      <w:kern w:val="2"/>
      <w:sz w:val="21"/>
      <w:szCs w:val="24"/>
    </w:rPr>
  </w:style>
  <w:style w:type="character" w:customStyle="1" w:styleId="101">
    <w:name w:val="页脚 Char"/>
    <w:qFormat/>
    <w:uiPriority w:val="0"/>
    <w:rPr>
      <w:kern w:val="2"/>
      <w:sz w:val="18"/>
      <w:szCs w:val="18"/>
    </w:rPr>
  </w:style>
  <w:style w:type="character" w:customStyle="1" w:styleId="102">
    <w:name w:val="标题 8 Char"/>
    <w:qFormat/>
    <w:uiPriority w:val="0"/>
    <w:rPr>
      <w:rFonts w:ascii="Arial" w:hAnsi="Arial" w:eastAsia="黑体"/>
      <w:sz w:val="24"/>
      <w:szCs w:val="24"/>
    </w:rPr>
  </w:style>
  <w:style w:type="character" w:customStyle="1" w:styleId="103">
    <w:name w:val="Font Style125"/>
    <w:unhideWhenUsed/>
    <w:qFormat/>
    <w:uiPriority w:val="0"/>
    <w:rPr>
      <w:rFonts w:hint="eastAsia" w:ascii="宋体" w:hAnsi="宋体" w:eastAsia="宋体"/>
      <w:b/>
      <w:sz w:val="26"/>
    </w:rPr>
  </w:style>
  <w:style w:type="character" w:customStyle="1" w:styleId="104">
    <w:name w:val="apple-style-span"/>
    <w:qFormat/>
    <w:uiPriority w:val="0"/>
  </w:style>
  <w:style w:type="character" w:customStyle="1" w:styleId="105">
    <w:name w:val="sort1"/>
    <w:qFormat/>
    <w:uiPriority w:val="0"/>
    <w:rPr>
      <w:rFonts w:ascii="Times New Roman" w:hAnsi="Times New Roman" w:eastAsia="宋体"/>
    </w:rPr>
  </w:style>
  <w:style w:type="character" w:customStyle="1" w:styleId="106">
    <w:name w:val="font31"/>
    <w:basedOn w:val="49"/>
    <w:qFormat/>
    <w:uiPriority w:val="0"/>
    <w:rPr>
      <w:rFonts w:hint="eastAsia" w:ascii="仿宋" w:hAnsi="仿宋" w:eastAsia="仿宋" w:cs="仿宋"/>
      <w:color w:val="000000"/>
      <w:sz w:val="24"/>
      <w:szCs w:val="24"/>
      <w:u w:val="none"/>
    </w:rPr>
  </w:style>
  <w:style w:type="character" w:customStyle="1" w:styleId="107">
    <w:name w:val="bds_more10"/>
    <w:qFormat/>
    <w:uiPriority w:val="0"/>
    <w:rPr>
      <w:rFonts w:ascii="Times New Roman" w:hAnsi="Times New Roman" w:eastAsia="宋体"/>
    </w:rPr>
  </w:style>
  <w:style w:type="character" w:customStyle="1" w:styleId="108">
    <w:name w:val="Font Style134"/>
    <w:unhideWhenUsed/>
    <w:qFormat/>
    <w:uiPriority w:val="0"/>
    <w:rPr>
      <w:rFonts w:hint="eastAsia" w:ascii="宋体" w:hAnsi="宋体" w:eastAsia="宋体"/>
      <w:spacing w:val="20"/>
      <w:sz w:val="22"/>
    </w:rPr>
  </w:style>
  <w:style w:type="character" w:customStyle="1" w:styleId="109">
    <w:name w:val="polysemyexp"/>
    <w:qFormat/>
    <w:uiPriority w:val="0"/>
    <w:rPr>
      <w:rFonts w:ascii="Times New Roman" w:hAnsi="Times New Roman" w:eastAsia="宋体"/>
      <w:color w:val="AAAAAA"/>
      <w:sz w:val="18"/>
      <w:szCs w:val="18"/>
    </w:rPr>
  </w:style>
  <w:style w:type="character" w:customStyle="1" w:styleId="110">
    <w:name w:val="标题 Char"/>
    <w:qFormat/>
    <w:uiPriority w:val="0"/>
    <w:rPr>
      <w:rFonts w:ascii="Cambria" w:hAnsi="Cambria"/>
      <w:b/>
      <w:kern w:val="2"/>
      <w:sz w:val="32"/>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Font Style123"/>
    <w:unhideWhenUsed/>
    <w:qFormat/>
    <w:uiPriority w:val="0"/>
    <w:rPr>
      <w:rFonts w:hint="eastAsia" w:ascii="宋体" w:hAnsi="宋体" w:eastAsia="宋体"/>
      <w:b/>
      <w:sz w:val="32"/>
    </w:rPr>
  </w:style>
  <w:style w:type="character" w:customStyle="1" w:styleId="113">
    <w:name w:val="sort"/>
    <w:qFormat/>
    <w:uiPriority w:val="0"/>
    <w:rPr>
      <w:rFonts w:ascii="Times New Roman" w:hAnsi="Times New Roman" w:eastAsia="宋体"/>
      <w:color w:val="FFFFFF"/>
      <w:bdr w:val="single" w:color="auto" w:sz="24" w:space="0"/>
    </w:rPr>
  </w:style>
  <w:style w:type="character" w:customStyle="1" w:styleId="114">
    <w:name w:val="无间隔 Char"/>
    <w:link w:val="115"/>
    <w:qFormat/>
    <w:uiPriority w:val="1"/>
    <w:rPr>
      <w:sz w:val="22"/>
      <w:szCs w:val="22"/>
      <w:lang w:val="en-US" w:eastAsia="zh-CN" w:bidi="ar-SA"/>
    </w:rPr>
  </w:style>
  <w:style w:type="paragraph" w:customStyle="1" w:styleId="115">
    <w:name w:val="无间隔12"/>
    <w:link w:val="114"/>
    <w:qFormat/>
    <w:uiPriority w:val="1"/>
    <w:rPr>
      <w:rFonts w:ascii="Times New Roman" w:hAnsi="Times New Roman" w:eastAsia="宋体" w:cs="Times New Roman"/>
      <w:sz w:val="22"/>
      <w:szCs w:val="22"/>
      <w:lang w:val="en-US" w:eastAsia="zh-CN" w:bidi="ar-SA"/>
    </w:rPr>
  </w:style>
  <w:style w:type="character" w:customStyle="1" w:styleId="116">
    <w:name w:val="bds_more7"/>
    <w:qFormat/>
    <w:uiPriority w:val="0"/>
    <w:rPr>
      <w:rFonts w:ascii="Times New Roman" w:hAnsi="Times New Roman" w:eastAsia="宋体"/>
    </w:rPr>
  </w:style>
  <w:style w:type="character" w:customStyle="1" w:styleId="117">
    <w:name w:val="标题 1 Char"/>
    <w:qFormat/>
    <w:uiPriority w:val="0"/>
    <w:rPr>
      <w:rFonts w:ascii="Cambria" w:hAnsi="Cambria"/>
      <w:b/>
      <w:bCs/>
      <w:kern w:val="32"/>
      <w:sz w:val="32"/>
      <w:szCs w:val="32"/>
    </w:rPr>
  </w:style>
  <w:style w:type="character" w:customStyle="1" w:styleId="118">
    <w:name w:val="Font Style94"/>
    <w:unhideWhenUsed/>
    <w:qFormat/>
    <w:uiPriority w:val="0"/>
    <w:rPr>
      <w:rFonts w:hint="eastAsia" w:ascii="Times New Roman" w:hAnsi="Times New Roman" w:eastAsia="Times New Roman"/>
      <w:sz w:val="28"/>
    </w:rPr>
  </w:style>
  <w:style w:type="character" w:customStyle="1" w:styleId="119">
    <w:name w:val="bds_more6"/>
    <w:qFormat/>
    <w:uiPriority w:val="0"/>
    <w:rPr>
      <w:rFonts w:hint="eastAsia" w:ascii="宋体" w:hAnsi="宋体" w:eastAsia="宋体" w:cs="宋体"/>
    </w:rPr>
  </w:style>
  <w:style w:type="character" w:customStyle="1" w:styleId="120">
    <w:name w:val=" Char Char15"/>
    <w:qFormat/>
    <w:uiPriority w:val="0"/>
    <w:rPr>
      <w:b/>
      <w:bCs/>
      <w:sz w:val="24"/>
      <w:szCs w:val="24"/>
    </w:rPr>
  </w:style>
  <w:style w:type="character" w:customStyle="1" w:styleId="121">
    <w:name w:val="sugg-loading"/>
    <w:basedOn w:val="49"/>
    <w:qFormat/>
    <w:uiPriority w:val="0"/>
  </w:style>
  <w:style w:type="character" w:customStyle="1" w:styleId="122">
    <w:name w:val="Font Style133"/>
    <w:unhideWhenUsed/>
    <w:qFormat/>
    <w:uiPriority w:val="0"/>
    <w:rPr>
      <w:rFonts w:hint="eastAsia" w:ascii="宋体" w:hAnsi="宋体" w:eastAsia="宋体"/>
      <w:spacing w:val="30"/>
      <w:sz w:val="24"/>
    </w:rPr>
  </w:style>
  <w:style w:type="character" w:customStyle="1" w:styleId="123">
    <w:name w:val="p0 Char"/>
    <w:link w:val="124"/>
    <w:qFormat/>
    <w:uiPriority w:val="0"/>
    <w:rPr>
      <w:rFonts w:eastAsia="宋体"/>
      <w:sz w:val="21"/>
      <w:szCs w:val="21"/>
      <w:lang w:val="en-US" w:eastAsia="zh-CN" w:bidi="ar-SA"/>
    </w:rPr>
  </w:style>
  <w:style w:type="paragraph" w:customStyle="1" w:styleId="124">
    <w:name w:val="p0"/>
    <w:basedOn w:val="1"/>
    <w:link w:val="123"/>
    <w:qFormat/>
    <w:uiPriority w:val="0"/>
    <w:pPr>
      <w:widowControl/>
    </w:pPr>
    <w:rPr>
      <w:kern w:val="0"/>
      <w:szCs w:val="21"/>
    </w:rPr>
  </w:style>
  <w:style w:type="character" w:customStyle="1" w:styleId="125">
    <w:name w:val=" Char Char13"/>
    <w:qFormat/>
    <w:uiPriority w:val="0"/>
    <w:rPr>
      <w:rFonts w:eastAsia="宋体"/>
      <w:kern w:val="2"/>
      <w:sz w:val="21"/>
      <w:szCs w:val="24"/>
      <w:lang w:val="en-US" w:eastAsia="zh-CN" w:bidi="ar-SA"/>
    </w:rPr>
  </w:style>
  <w:style w:type="character" w:customStyle="1" w:styleId="126">
    <w:name w:val=" Char Char6"/>
    <w:qFormat/>
    <w:uiPriority w:val="0"/>
    <w:rPr>
      <w:rFonts w:ascii="Arial" w:hAnsi="Arial" w:eastAsia="黑体"/>
      <w:sz w:val="24"/>
      <w:szCs w:val="24"/>
      <w:lang w:val="en-US" w:eastAsia="zh-CN" w:bidi="ar-SA"/>
    </w:rPr>
  </w:style>
  <w:style w:type="character" w:customStyle="1" w:styleId="127">
    <w:name w:val="样式2 Char Char"/>
    <w:qFormat/>
    <w:uiPriority w:val="0"/>
    <w:rPr>
      <w:rFonts w:eastAsia="宋体"/>
      <w:kern w:val="2"/>
      <w:sz w:val="18"/>
      <w:szCs w:val="18"/>
      <w:lang w:val="en-US" w:eastAsia="zh-CN" w:bidi="ar-SA"/>
    </w:rPr>
  </w:style>
  <w:style w:type="character" w:customStyle="1" w:styleId="128">
    <w:name w:val="Font Style104"/>
    <w:unhideWhenUsed/>
    <w:qFormat/>
    <w:uiPriority w:val="0"/>
    <w:rPr>
      <w:rFonts w:hint="eastAsia" w:ascii="宋体" w:hAnsi="宋体" w:eastAsia="宋体"/>
      <w:spacing w:val="30"/>
      <w:sz w:val="18"/>
    </w:rPr>
  </w:style>
  <w:style w:type="character" w:customStyle="1" w:styleId="129">
    <w:name w:val=" Char Char17"/>
    <w:qFormat/>
    <w:uiPriority w:val="0"/>
    <w:rPr>
      <w:rFonts w:ascii="宋体" w:hAnsi="Times New Roman" w:eastAsia="宋体"/>
      <w:b/>
      <w:sz w:val="28"/>
      <w:lang w:val="en-US" w:eastAsia="zh-CN" w:bidi="ar-SA"/>
    </w:rPr>
  </w:style>
  <w:style w:type="character" w:customStyle="1" w:styleId="130">
    <w:name w:val="bds_more9"/>
    <w:qFormat/>
    <w:uiPriority w:val="0"/>
    <w:rPr>
      <w:rFonts w:ascii="Times New Roman" w:hAnsi="Times New Roman" w:eastAsia="宋体"/>
    </w:rPr>
  </w:style>
  <w:style w:type="character" w:customStyle="1" w:styleId="131">
    <w:name w:val="Font Style124"/>
    <w:unhideWhenUsed/>
    <w:qFormat/>
    <w:uiPriority w:val="0"/>
    <w:rPr>
      <w:rFonts w:hint="eastAsia" w:ascii="宋体" w:hAnsi="宋体" w:eastAsia="宋体"/>
      <w:spacing w:val="30"/>
      <w:sz w:val="24"/>
    </w:rPr>
  </w:style>
  <w:style w:type="character" w:customStyle="1" w:styleId="132">
    <w:name w:val="page-cur"/>
    <w:qFormat/>
    <w:uiPriority w:val="0"/>
    <w:rPr>
      <w:b/>
      <w:color w:val="333333"/>
      <w:bdr w:val="single" w:color="E5E5E5" w:sz="6" w:space="0"/>
      <w:shd w:val="clear" w:color="auto" w:fill="F2F2F2"/>
    </w:rPr>
  </w:style>
  <w:style w:type="character" w:customStyle="1" w:styleId="133">
    <w:name w:val="Font Style122"/>
    <w:unhideWhenUsed/>
    <w:qFormat/>
    <w:uiPriority w:val="0"/>
    <w:rPr>
      <w:rFonts w:hint="eastAsia" w:ascii="宋体" w:hAnsi="宋体" w:eastAsia="宋体"/>
      <w:spacing w:val="20"/>
      <w:sz w:val="24"/>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sidecatalog-dot1"/>
    <w:qFormat/>
    <w:uiPriority w:val="0"/>
    <w:rPr>
      <w:rFonts w:ascii="Times New Roman" w:hAnsi="Times New Roman" w:eastAsia="宋体"/>
    </w:rPr>
  </w:style>
  <w:style w:type="character" w:customStyle="1" w:styleId="136">
    <w:name w:val="Font Style105"/>
    <w:unhideWhenUsed/>
    <w:qFormat/>
    <w:uiPriority w:val="0"/>
    <w:rPr>
      <w:rFonts w:hint="eastAsia" w:ascii="Times New Roman" w:hAnsi="Times New Roman" w:eastAsia="Times New Roman"/>
      <w:w w:val="60"/>
      <w:sz w:val="26"/>
    </w:rPr>
  </w:style>
  <w:style w:type="character" w:customStyle="1" w:styleId="137">
    <w:name w:val="标题 6 Char"/>
    <w:qFormat/>
    <w:uiPriority w:val="0"/>
    <w:rPr>
      <w:rFonts w:ascii="Arial" w:hAnsi="Arial" w:eastAsia="黑体"/>
      <w:b/>
      <w:bCs/>
      <w:sz w:val="24"/>
      <w:szCs w:val="24"/>
    </w:rPr>
  </w:style>
  <w:style w:type="character" w:customStyle="1" w:styleId="138">
    <w:name w:val="标题 7 Char"/>
    <w:qFormat/>
    <w:uiPriority w:val="0"/>
    <w:rPr>
      <w:b/>
      <w:bCs/>
      <w:sz w:val="24"/>
      <w:szCs w:val="24"/>
    </w:rPr>
  </w:style>
  <w:style w:type="character" w:customStyle="1" w:styleId="139">
    <w:name w:val="样式 标题 3 + 小四 Char"/>
    <w:qFormat/>
    <w:uiPriority w:val="0"/>
    <w:rPr>
      <w:rFonts w:ascii="宋体" w:hAnsi="宋体" w:eastAsia="宋体" w:cs="Arial"/>
      <w:b/>
      <w:bCs/>
      <w:smallCaps/>
      <w:kern w:val="2"/>
      <w:sz w:val="24"/>
      <w:szCs w:val="24"/>
      <w:lang w:val="en-US" w:eastAsia="zh-CN" w:bidi="ar-SA"/>
    </w:rPr>
  </w:style>
  <w:style w:type="character" w:customStyle="1" w:styleId="140">
    <w:name w:val="plus"/>
    <w:qFormat/>
    <w:uiPriority w:val="0"/>
    <w:rPr>
      <w:rFonts w:ascii="Times New Roman" w:hAnsi="Times New Roman" w:eastAsia="宋体"/>
      <w:b/>
      <w:vanish/>
      <w:color w:val="1F8DEF"/>
      <w:sz w:val="24"/>
      <w:szCs w:val="24"/>
    </w:rPr>
  </w:style>
  <w:style w:type="character" w:customStyle="1" w:styleId="141">
    <w:name w:val="标题 4 Char"/>
    <w:qFormat/>
    <w:uiPriority w:val="0"/>
    <w:rPr>
      <w:rFonts w:ascii="Arial" w:hAnsi="Arial" w:eastAsia="宋体" w:cs="Times New Roman"/>
      <w:b/>
      <w:bCs/>
      <w:szCs w:val="28"/>
    </w:rPr>
  </w:style>
  <w:style w:type="character" w:customStyle="1" w:styleId="142">
    <w:name w:val="标题 9 Char"/>
    <w:qFormat/>
    <w:uiPriority w:val="0"/>
    <w:rPr>
      <w:rFonts w:ascii="Arial" w:hAnsi="Arial" w:eastAsia="黑体"/>
      <w:sz w:val="21"/>
      <w:szCs w:val="21"/>
    </w:rPr>
  </w:style>
  <w:style w:type="character" w:customStyle="1" w:styleId="143">
    <w:name w:val="sidecatalog-index1"/>
    <w:qFormat/>
    <w:uiPriority w:val="0"/>
    <w:rPr>
      <w:rFonts w:ascii="Arial" w:hAnsi="Arial" w:eastAsia="宋体" w:cs="Arial"/>
      <w:b/>
      <w:color w:val="999999"/>
      <w:sz w:val="21"/>
      <w:szCs w:val="21"/>
    </w:rPr>
  </w:style>
  <w:style w:type="character" w:customStyle="1" w:styleId="144">
    <w:name w:val="样式 宋体"/>
    <w:qFormat/>
    <w:uiPriority w:val="0"/>
    <w:rPr>
      <w:rFonts w:ascii="宋体" w:hAnsi="宋体"/>
      <w:sz w:val="24"/>
    </w:rPr>
  </w:style>
  <w:style w:type="character" w:customStyle="1" w:styleId="145">
    <w:name w:val=" Char Char14"/>
    <w:qFormat/>
    <w:uiPriority w:val="0"/>
    <w:rPr>
      <w:rFonts w:ascii="Arial" w:hAnsi="Arial" w:eastAsia="黑体"/>
      <w:b/>
      <w:bCs/>
      <w:sz w:val="28"/>
      <w:szCs w:val="28"/>
      <w:lang w:val="en-US" w:eastAsia="zh-CN" w:bidi="ar-SA"/>
    </w:rPr>
  </w:style>
  <w:style w:type="character" w:customStyle="1" w:styleId="146">
    <w:name w:val="正文文本缩进 3 Char"/>
    <w:qFormat/>
    <w:uiPriority w:val="0"/>
    <w:rPr>
      <w:rFonts w:ascii="宋体" w:hAnsi="MS Sans Serif"/>
      <w:color w:val="000000"/>
      <w:sz w:val="24"/>
    </w:rPr>
  </w:style>
  <w:style w:type="character" w:customStyle="1" w:styleId="147">
    <w:name w:val="标题 4 Char Char"/>
    <w:qFormat/>
    <w:uiPriority w:val="0"/>
    <w:rPr>
      <w:rFonts w:ascii="Arial" w:hAnsi="Arial" w:eastAsia="宋体"/>
      <w:b/>
      <w:bCs/>
      <w:kern w:val="2"/>
      <w:sz w:val="21"/>
      <w:szCs w:val="28"/>
      <w:lang w:val="en-US" w:eastAsia="zh-CN" w:bidi="ar-SA"/>
    </w:rPr>
  </w:style>
  <w:style w:type="character" w:customStyle="1" w:styleId="148">
    <w:name w:val="bds_nopic"/>
    <w:qFormat/>
    <w:uiPriority w:val="0"/>
    <w:rPr>
      <w:rFonts w:ascii="Times New Roman" w:hAnsi="Times New Roman" w:eastAsia="宋体"/>
    </w:rPr>
  </w:style>
  <w:style w:type="character" w:customStyle="1" w:styleId="149">
    <w:name w:val="Font Style127"/>
    <w:unhideWhenUsed/>
    <w:qFormat/>
    <w:uiPriority w:val="0"/>
    <w:rPr>
      <w:rFonts w:hint="eastAsia" w:ascii="Times New Roman" w:hAnsi="Times New Roman" w:eastAsia="Times New Roman"/>
      <w:sz w:val="20"/>
    </w:rPr>
  </w:style>
  <w:style w:type="character" w:customStyle="1" w:styleId="150">
    <w:name w:val="bds_nopic1"/>
    <w:qFormat/>
    <w:uiPriority w:val="0"/>
    <w:rPr>
      <w:rFonts w:ascii="Times New Roman" w:hAnsi="Times New Roman" w:eastAsia="宋体"/>
    </w:rPr>
  </w:style>
  <w:style w:type="character" w:customStyle="1" w:styleId="151">
    <w:name w:val="Font Style116"/>
    <w:unhideWhenUsed/>
    <w:qFormat/>
    <w:uiPriority w:val="0"/>
    <w:rPr>
      <w:rFonts w:hint="eastAsia" w:ascii="宋体" w:hAnsi="宋体" w:eastAsia="宋体"/>
      <w:spacing w:val="-20"/>
      <w:sz w:val="24"/>
    </w:rPr>
  </w:style>
  <w:style w:type="character" w:customStyle="1" w:styleId="152">
    <w:name w:val="lemmatitleh12"/>
    <w:qFormat/>
    <w:uiPriority w:val="0"/>
    <w:rPr>
      <w:rFonts w:ascii="Times New Roman" w:hAnsi="Times New Roman" w:eastAsia="宋体"/>
    </w:rPr>
  </w:style>
  <w:style w:type="character" w:customStyle="1" w:styleId="153">
    <w:name w:val="Font Style90"/>
    <w:unhideWhenUsed/>
    <w:qFormat/>
    <w:uiPriority w:val="0"/>
    <w:rPr>
      <w:rFonts w:hint="eastAsia" w:ascii="宋体" w:hAnsi="宋体" w:eastAsia="宋体"/>
      <w:b/>
      <w:spacing w:val="-20"/>
      <w:sz w:val="40"/>
    </w:rPr>
  </w:style>
  <w:style w:type="character" w:customStyle="1" w:styleId="154">
    <w:name w:val="Font Style128"/>
    <w:unhideWhenUsed/>
    <w:qFormat/>
    <w:uiPriority w:val="0"/>
    <w:rPr>
      <w:rFonts w:hint="eastAsia" w:ascii="Times New Roman" w:hAnsi="Times New Roman" w:eastAsia="Times New Roman"/>
      <w:sz w:val="16"/>
    </w:rPr>
  </w:style>
  <w:style w:type="character" w:customStyle="1" w:styleId="155">
    <w:name w:val="sidecatalog-dot"/>
    <w:qFormat/>
    <w:uiPriority w:val="0"/>
    <w:rPr>
      <w:rFonts w:ascii="Times New Roman" w:hAnsi="Times New Roman" w:eastAsia="宋体"/>
    </w:rPr>
  </w:style>
  <w:style w:type="character" w:customStyle="1" w:styleId="156">
    <w:name w:val="标题 2 Char"/>
    <w:qFormat/>
    <w:uiPriority w:val="0"/>
    <w:rPr>
      <w:rFonts w:ascii="Cambria" w:hAnsi="Cambria" w:eastAsia="宋体" w:cs="Times New Roman"/>
      <w:b/>
      <w:bCs/>
      <w:kern w:val="2"/>
      <w:sz w:val="32"/>
      <w:szCs w:val="32"/>
    </w:rPr>
  </w:style>
  <w:style w:type="character" w:customStyle="1" w:styleId="157">
    <w:name w:val="bds_more8"/>
    <w:qFormat/>
    <w:uiPriority w:val="0"/>
    <w:rPr>
      <w:rFonts w:ascii="Times New Roman" w:hAnsi="Times New Roman" w:eastAsia="宋体"/>
    </w:rPr>
  </w:style>
  <w:style w:type="character" w:customStyle="1" w:styleId="158">
    <w:name w:val="polysemyred"/>
    <w:qFormat/>
    <w:uiPriority w:val="0"/>
    <w:rPr>
      <w:rFonts w:ascii="Times New Roman" w:hAnsi="Times New Roman" w:eastAsia="宋体"/>
      <w:color w:val="FF6666"/>
      <w:sz w:val="18"/>
      <w:szCs w:val="18"/>
    </w:rPr>
  </w:style>
  <w:style w:type="character" w:customStyle="1" w:styleId="159">
    <w:name w:val="页眉 Char"/>
    <w:qFormat/>
    <w:uiPriority w:val="0"/>
    <w:rPr>
      <w:kern w:val="2"/>
      <w:sz w:val="18"/>
      <w:szCs w:val="18"/>
    </w:rPr>
  </w:style>
  <w:style w:type="paragraph" w:customStyle="1" w:styleId="160">
    <w:name w:val="_Style 159"/>
    <w:qFormat/>
    <w:uiPriority w:val="0"/>
    <w:rPr>
      <w:rFonts w:ascii="Times New Roman" w:hAnsi="Times New Roman" w:eastAsia="宋体" w:cs="Times New Roman"/>
      <w:kern w:val="2"/>
      <w:sz w:val="21"/>
      <w:szCs w:val="24"/>
      <w:lang w:val="en-US" w:eastAsia="zh-CN" w:bidi="ar-SA"/>
    </w:rPr>
  </w:style>
  <w:style w:type="paragraph" w:customStyle="1" w:styleId="161">
    <w:name w:val="Style64"/>
    <w:basedOn w:val="1"/>
    <w:unhideWhenUsed/>
    <w:qFormat/>
    <w:uiPriority w:val="0"/>
  </w:style>
  <w:style w:type="paragraph" w:customStyle="1" w:styleId="162">
    <w:name w:val="Style58"/>
    <w:basedOn w:val="1"/>
    <w:unhideWhenUsed/>
    <w:qFormat/>
    <w:uiPriority w:val="0"/>
    <w:pPr>
      <w:spacing w:line="413" w:lineRule="exact"/>
    </w:pPr>
  </w:style>
  <w:style w:type="paragraph" w:customStyle="1" w:styleId="163">
    <w:name w:val="_Style 39"/>
    <w:basedOn w:val="164"/>
    <w:qFormat/>
    <w:uiPriority w:val="0"/>
  </w:style>
  <w:style w:type="paragraph" w:customStyle="1" w:styleId="16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Style81"/>
    <w:basedOn w:val="1"/>
    <w:unhideWhenUsed/>
    <w:qFormat/>
    <w:uiPriority w:val="0"/>
    <w:pPr>
      <w:spacing w:line="547" w:lineRule="exact"/>
    </w:pPr>
  </w:style>
  <w:style w:type="paragraph" w:customStyle="1" w:styleId="166">
    <w:name w:val="Style76"/>
    <w:basedOn w:val="1"/>
    <w:unhideWhenUsed/>
    <w:qFormat/>
    <w:uiPriority w:val="0"/>
  </w:style>
  <w:style w:type="paragraph" w:customStyle="1" w:styleId="167">
    <w:name w:val="Style16"/>
    <w:basedOn w:val="1"/>
    <w:unhideWhenUsed/>
    <w:qFormat/>
    <w:uiPriority w:val="0"/>
    <w:pPr>
      <w:jc w:val="right"/>
    </w:pPr>
  </w:style>
  <w:style w:type="paragraph" w:customStyle="1" w:styleId="168">
    <w:name w:val="Style27"/>
    <w:basedOn w:val="1"/>
    <w:unhideWhenUsed/>
    <w:qFormat/>
    <w:uiPriority w:val="0"/>
  </w:style>
  <w:style w:type="paragraph" w:customStyle="1" w:styleId="169">
    <w:name w:val="_Style 11"/>
    <w:basedOn w:val="3"/>
    <w:next w:val="1"/>
    <w:qFormat/>
    <w:uiPriority w:val="39"/>
    <w:pPr>
      <w:pageBreakBefore w:val="0"/>
      <w:widowControl/>
      <w:numPr>
        <w:ilvl w:val="0"/>
        <w:numId w:val="0"/>
      </w:numPr>
      <w:tabs>
        <w:tab w:val="left" w:pos="432"/>
      </w:tabs>
      <w:spacing w:before="480" w:beforeLines="0" w:afterLines="0" w:line="276" w:lineRule="auto"/>
      <w:outlineLvl w:val="9"/>
    </w:pPr>
    <w:rPr>
      <w:rFonts w:ascii="Cambria" w:hAnsi="Cambria" w:eastAsia="宋体"/>
      <w:color w:val="365F91"/>
      <w:sz w:val="28"/>
      <w:szCs w:val="28"/>
    </w:rPr>
  </w:style>
  <w:style w:type="paragraph" w:customStyle="1" w:styleId="170">
    <w:name w:val="样式20"/>
    <w:basedOn w:val="1"/>
    <w:qFormat/>
    <w:uiPriority w:val="0"/>
    <w:pPr>
      <w:widowControl/>
      <w:jc w:val="center"/>
    </w:pPr>
    <w:rPr>
      <w:kern w:val="0"/>
      <w:sz w:val="21"/>
    </w:rPr>
  </w:style>
  <w:style w:type="paragraph" w:customStyle="1" w:styleId="171">
    <w:name w:val="Char Char1 Char Char Char Char Char1 Char Char Char Char"/>
    <w:basedOn w:val="15"/>
    <w:qFormat/>
    <w:uiPriority w:val="0"/>
    <w:rPr>
      <w:rFonts w:ascii="Tahoma" w:hAnsi="Tahoma"/>
    </w:rPr>
  </w:style>
  <w:style w:type="paragraph" w:customStyle="1" w:styleId="172">
    <w:name w:val="样式 样式 首行缩进:  2.25 字符 + 首行缩进:  2.25 字符"/>
    <w:basedOn w:val="1"/>
    <w:qFormat/>
    <w:uiPriority w:val="0"/>
    <w:pPr>
      <w:ind w:firstLine="480" w:firstLineChars="200"/>
    </w:pPr>
    <w:rPr>
      <w:rFonts w:ascii="宋体" w:hAnsi="宋体"/>
      <w:szCs w:val="20"/>
    </w:rPr>
  </w:style>
  <w:style w:type="paragraph" w:customStyle="1" w:styleId="173">
    <w:name w:val="Style80"/>
    <w:basedOn w:val="1"/>
    <w:unhideWhenUsed/>
    <w:qFormat/>
    <w:uiPriority w:val="0"/>
  </w:style>
  <w:style w:type="paragraph" w:customStyle="1" w:styleId="174">
    <w:name w:val="Style70"/>
    <w:basedOn w:val="1"/>
    <w:unhideWhenUsed/>
    <w:qFormat/>
    <w:uiPriority w:val="0"/>
    <w:pPr>
      <w:spacing w:line="549" w:lineRule="exact"/>
      <w:ind w:firstLine="686"/>
    </w:pPr>
  </w:style>
  <w:style w:type="paragraph" w:customStyle="1" w:styleId="175">
    <w:name w:val="Normal Indent"/>
    <w:basedOn w:val="1"/>
    <w:qFormat/>
    <w:uiPriority w:val="0"/>
    <w:pPr>
      <w:ind w:firstLine="420"/>
    </w:pPr>
    <w:rPr>
      <w:kern w:val="0"/>
    </w:rPr>
  </w:style>
  <w:style w:type="paragraph" w:customStyle="1" w:styleId="176">
    <w:name w:val="Style77"/>
    <w:basedOn w:val="1"/>
    <w:unhideWhenUsed/>
    <w:qFormat/>
    <w:uiPriority w:val="0"/>
  </w:style>
  <w:style w:type="paragraph" w:customStyle="1" w:styleId="177">
    <w:name w:val="小四 段落 宋体 Char Char"/>
    <w:basedOn w:val="1"/>
    <w:qFormat/>
    <w:uiPriority w:val="0"/>
    <w:pPr>
      <w:ind w:firstLine="480" w:firstLineChars="200"/>
    </w:pPr>
    <w:rPr>
      <w:rFonts w:ascii="宋体" w:hAnsi="宋体"/>
    </w:rPr>
  </w:style>
  <w:style w:type="paragraph" w:customStyle="1" w:styleId="178">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9">
    <w:name w:val="Style56"/>
    <w:basedOn w:val="1"/>
    <w:unhideWhenUsed/>
    <w:qFormat/>
    <w:uiPriority w:val="0"/>
  </w:style>
  <w:style w:type="paragraph" w:customStyle="1" w:styleId="180">
    <w:name w:val="Style28"/>
    <w:basedOn w:val="1"/>
    <w:unhideWhenUsed/>
    <w:qFormat/>
    <w:uiPriority w:val="0"/>
    <w:pPr>
      <w:spacing w:line="552" w:lineRule="exact"/>
      <w:ind w:firstLine="547"/>
    </w:pPr>
  </w:style>
  <w:style w:type="paragraph" w:customStyle="1" w:styleId="181">
    <w:name w:val=" Char1 Char Char Char Char Char Char Char Char Char"/>
    <w:basedOn w:val="1"/>
    <w:qFormat/>
    <w:uiPriority w:val="0"/>
    <w:rPr>
      <w:szCs w:val="20"/>
    </w:rPr>
  </w:style>
  <w:style w:type="paragraph" w:customStyle="1" w:styleId="182">
    <w:name w:val="Style34"/>
    <w:basedOn w:val="1"/>
    <w:unhideWhenUsed/>
    <w:qFormat/>
    <w:uiPriority w:val="0"/>
    <w:pPr>
      <w:spacing w:line="375" w:lineRule="exact"/>
    </w:pPr>
  </w:style>
  <w:style w:type="paragraph" w:customStyle="1" w:styleId="183">
    <w:name w:val="Style67"/>
    <w:basedOn w:val="1"/>
    <w:unhideWhenUsed/>
    <w:qFormat/>
    <w:uiPriority w:val="0"/>
    <w:pPr>
      <w:spacing w:line="566" w:lineRule="exact"/>
      <w:ind w:firstLine="552"/>
    </w:pPr>
  </w:style>
  <w:style w:type="paragraph" w:customStyle="1" w:styleId="184">
    <w:name w:val="Char1 Char Char Char 字元 Char Char 字元 Char 字元 Char1 Char Char Char"/>
    <w:basedOn w:val="1"/>
    <w:qFormat/>
    <w:uiPriority w:val="0"/>
    <w:rPr>
      <w:szCs w:val="20"/>
    </w:rPr>
  </w:style>
  <w:style w:type="paragraph" w:customStyle="1" w:styleId="185">
    <w:name w:val="List Paragraph"/>
    <w:basedOn w:val="1"/>
    <w:qFormat/>
    <w:uiPriority w:val="0"/>
    <w:pPr>
      <w:ind w:firstLine="420" w:firstLineChars="200"/>
    </w:pPr>
    <w:rPr>
      <w:rFonts w:ascii="Calibri" w:hAnsi="Calibri"/>
      <w:szCs w:val="22"/>
    </w:rPr>
  </w:style>
  <w:style w:type="paragraph" w:customStyle="1" w:styleId="186">
    <w:name w:val="List Paragraph1"/>
    <w:basedOn w:val="1"/>
    <w:qFormat/>
    <w:uiPriority w:val="0"/>
    <w:pPr>
      <w:ind w:firstLine="420" w:firstLineChars="200"/>
    </w:pPr>
    <w:rPr>
      <w:rFonts w:ascii="Calibri" w:hAnsi="Calibri" w:cs="Calibri"/>
      <w:szCs w:val="21"/>
    </w:rPr>
  </w:style>
  <w:style w:type="paragraph" w:customStyle="1" w:styleId="18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189">
    <w:name w:val="Style5"/>
    <w:basedOn w:val="1"/>
    <w:unhideWhenUsed/>
    <w:qFormat/>
    <w:uiPriority w:val="0"/>
  </w:style>
  <w:style w:type="paragraph" w:customStyle="1" w:styleId="190">
    <w:name w:val="Style78"/>
    <w:basedOn w:val="1"/>
    <w:unhideWhenUsed/>
    <w:qFormat/>
    <w:uiPriority w:val="0"/>
  </w:style>
  <w:style w:type="paragraph" w:customStyle="1" w:styleId="191">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92">
    <w:name w:val=" Char Char Char"/>
    <w:basedOn w:val="1"/>
    <w:qFormat/>
    <w:uiPriority w:val="0"/>
    <w:rPr>
      <w:rFonts w:ascii="宋体" w:hAnsi="宋体"/>
      <w:b/>
      <w:sz w:val="28"/>
      <w:szCs w:val="28"/>
    </w:rPr>
  </w:style>
  <w:style w:type="paragraph" w:customStyle="1" w:styleId="193">
    <w:name w:val="Char Char1 Char Char Char Char Char Char Char"/>
    <w:basedOn w:val="1"/>
    <w:qFormat/>
    <w:uiPriority w:val="0"/>
    <w:pPr>
      <w:widowControl/>
      <w:spacing w:after="160" w:line="240" w:lineRule="exact"/>
      <w:jc w:val="left"/>
    </w:pPr>
  </w:style>
  <w:style w:type="paragraph" w:customStyle="1" w:styleId="19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5">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9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9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Char"/>
    <w:basedOn w:val="1"/>
    <w:qFormat/>
    <w:uiPriority w:val="0"/>
    <w:pPr>
      <w:tabs>
        <w:tab w:val="left" w:pos="360"/>
      </w:tabs>
      <w:ind w:left="360" w:hanging="360" w:hangingChars="200"/>
    </w:pPr>
    <w:rPr>
      <w:sz w:val="24"/>
    </w:rPr>
  </w:style>
  <w:style w:type="paragraph" w:customStyle="1" w:styleId="199">
    <w:name w:val="Style29"/>
    <w:basedOn w:val="1"/>
    <w:unhideWhenUsed/>
    <w:qFormat/>
    <w:uiPriority w:val="0"/>
    <w:pPr>
      <w:spacing w:line="547" w:lineRule="exact"/>
      <w:ind w:firstLine="547"/>
    </w:pPr>
  </w:style>
  <w:style w:type="paragraph" w:customStyle="1" w:styleId="200">
    <w:name w:val="Style46"/>
    <w:basedOn w:val="1"/>
    <w:unhideWhenUsed/>
    <w:qFormat/>
    <w:uiPriority w:val="0"/>
    <w:pPr>
      <w:spacing w:line="672" w:lineRule="exact"/>
    </w:pPr>
  </w:style>
  <w:style w:type="paragraph" w:customStyle="1" w:styleId="201">
    <w:name w:val="Style11"/>
    <w:basedOn w:val="1"/>
    <w:unhideWhenUsed/>
    <w:qFormat/>
    <w:uiPriority w:val="0"/>
    <w:pPr>
      <w:spacing w:line="559" w:lineRule="exact"/>
      <w:ind w:firstLine="590"/>
    </w:pPr>
  </w:style>
  <w:style w:type="paragraph" w:customStyle="1" w:styleId="202">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3">
    <w:name w:val="正文（缩进）"/>
    <w:basedOn w:val="1"/>
    <w:qFormat/>
    <w:uiPriority w:val="0"/>
    <w:pPr>
      <w:spacing w:beforeLines="50" w:afterLines="50"/>
      <w:ind w:firstLine="480" w:firstLineChars="200"/>
    </w:pPr>
    <w:rPr>
      <w:kern w:val="0"/>
    </w:rPr>
  </w:style>
  <w:style w:type="paragraph" w:customStyle="1" w:styleId="204">
    <w:name w:val="Style4"/>
    <w:basedOn w:val="1"/>
    <w:unhideWhenUsed/>
    <w:qFormat/>
    <w:uiPriority w:val="0"/>
  </w:style>
  <w:style w:type="paragraph" w:customStyle="1" w:styleId="205">
    <w:name w:val="Char Char1 Char Char Char"/>
    <w:basedOn w:val="1"/>
    <w:qFormat/>
    <w:uiPriority w:val="0"/>
    <w:rPr>
      <w:kern w:val="0"/>
      <w:sz w:val="20"/>
      <w:szCs w:val="20"/>
    </w:rPr>
  </w:style>
  <w:style w:type="paragraph" w:customStyle="1" w:styleId="206">
    <w:name w:val="标题2"/>
    <w:basedOn w:val="44"/>
    <w:qFormat/>
    <w:uiPriority w:val="0"/>
    <w:pPr>
      <w:spacing w:after="240"/>
      <w:jc w:val="left"/>
    </w:pPr>
    <w:rPr>
      <w:sz w:val="30"/>
    </w:rPr>
  </w:style>
  <w:style w:type="paragraph" w:customStyle="1" w:styleId="20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8">
    <w:name w:val="4"/>
    <w:basedOn w:val="1"/>
    <w:qFormat/>
    <w:uiPriority w:val="0"/>
    <w:rPr>
      <w:rFonts w:ascii="Tahoma" w:hAnsi="Tahoma"/>
      <w:sz w:val="24"/>
      <w:szCs w:val="20"/>
    </w:rPr>
  </w:style>
  <w:style w:type="paragraph" w:customStyle="1" w:styleId="209">
    <w:name w:val="Style63"/>
    <w:basedOn w:val="1"/>
    <w:unhideWhenUsed/>
    <w:qFormat/>
    <w:uiPriority w:val="0"/>
    <w:pPr>
      <w:spacing w:line="564" w:lineRule="exact"/>
      <w:ind w:firstLine="682"/>
    </w:pPr>
  </w:style>
  <w:style w:type="paragraph" w:customStyle="1" w:styleId="210">
    <w:name w:val="Style13"/>
    <w:basedOn w:val="1"/>
    <w:unhideWhenUsed/>
    <w:qFormat/>
    <w:uiPriority w:val="0"/>
  </w:style>
  <w:style w:type="paragraph" w:customStyle="1" w:styleId="211">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正文缩进4"/>
    <w:basedOn w:val="1"/>
    <w:qFormat/>
    <w:uiPriority w:val="0"/>
    <w:pPr>
      <w:spacing w:beforeLines="50" w:afterLines="50" w:line="300" w:lineRule="auto"/>
      <w:ind w:firstLine="480" w:firstLineChars="200"/>
    </w:pPr>
    <w:rPr>
      <w:rFonts w:eastAsia="仿宋_GB2312"/>
      <w:kern w:val="0"/>
    </w:rPr>
  </w:style>
  <w:style w:type="paragraph" w:customStyle="1" w:styleId="213">
    <w:name w:val="Style52"/>
    <w:basedOn w:val="1"/>
    <w:unhideWhenUsed/>
    <w:qFormat/>
    <w:uiPriority w:val="0"/>
    <w:pPr>
      <w:spacing w:line="682" w:lineRule="exact"/>
      <w:ind w:firstLine="557"/>
    </w:pPr>
  </w:style>
  <w:style w:type="paragraph" w:customStyle="1" w:styleId="214">
    <w:name w:val="标题 1 +"/>
    <w:basedOn w:val="3"/>
    <w:next w:val="1"/>
    <w:qFormat/>
    <w:uiPriority w:val="0"/>
    <w:pPr>
      <w:keepLines/>
      <w:spacing w:line="600" w:lineRule="auto"/>
    </w:pPr>
    <w:rPr>
      <w:rFonts w:eastAsia="黑体"/>
      <w:kern w:val="0"/>
      <w:sz w:val="32"/>
      <w:szCs w:val="32"/>
    </w:rPr>
  </w:style>
  <w:style w:type="paragraph" w:customStyle="1" w:styleId="215">
    <w:name w:val="附录标识"/>
    <w:basedOn w:val="216"/>
    <w:qFormat/>
    <w:uiPriority w:val="0"/>
    <w:pPr>
      <w:tabs>
        <w:tab w:val="left" w:pos="360"/>
        <w:tab w:val="left" w:pos="720"/>
        <w:tab w:val="left" w:pos="6405"/>
      </w:tabs>
      <w:spacing w:after="200"/>
    </w:pPr>
    <w:rPr>
      <w:sz w:val="21"/>
    </w:rPr>
  </w:style>
  <w:style w:type="paragraph" w:customStyle="1" w:styleId="21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7">
    <w:name w:val=" Char1 Char Char Char"/>
    <w:basedOn w:val="1"/>
    <w:qFormat/>
    <w:uiPriority w:val="0"/>
    <w:pPr>
      <w:widowControl/>
      <w:spacing w:after="160" w:line="240" w:lineRule="exact"/>
      <w:jc w:val="left"/>
    </w:pPr>
    <w:rPr>
      <w:kern w:val="0"/>
      <w:sz w:val="24"/>
      <w:szCs w:val="20"/>
    </w:rPr>
  </w:style>
  <w:style w:type="paragraph" w:customStyle="1" w:styleId="218">
    <w:name w:val="Style48"/>
    <w:basedOn w:val="1"/>
    <w:unhideWhenUsed/>
    <w:qFormat/>
    <w:uiPriority w:val="0"/>
    <w:pPr>
      <w:spacing w:line="542" w:lineRule="exact"/>
      <w:jc w:val="right"/>
    </w:pPr>
  </w:style>
  <w:style w:type="paragraph" w:customStyle="1" w:styleId="219">
    <w:name w:val="默认段落字体 Para Char Char Char Char Char Char Char Char Char Char Char Char Char Char Char Char Char Char Char"/>
    <w:basedOn w:val="1"/>
    <w:qFormat/>
    <w:uiPriority w:val="0"/>
  </w:style>
  <w:style w:type="paragraph" w:customStyle="1" w:styleId="220">
    <w:name w:val="标准"/>
    <w:basedOn w:val="1"/>
    <w:qFormat/>
    <w:uiPriority w:val="0"/>
    <w:pPr>
      <w:autoSpaceDE w:val="0"/>
      <w:autoSpaceDN w:val="0"/>
      <w:adjustRightInd w:val="0"/>
      <w:spacing w:line="400" w:lineRule="exact"/>
      <w:textAlignment w:val="baseline"/>
    </w:pPr>
    <w:rPr>
      <w:rFonts w:ascii="黑体" w:eastAsia="黑体"/>
      <w:kern w:val="0"/>
      <w:szCs w:val="20"/>
    </w:rPr>
  </w:style>
  <w:style w:type="paragraph" w:customStyle="1" w:styleId="221">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2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1 Char Char Char Char"/>
    <w:basedOn w:val="1"/>
    <w:qFormat/>
    <w:uiPriority w:val="0"/>
  </w:style>
  <w:style w:type="paragraph" w:customStyle="1" w:styleId="224">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25">
    <w:name w:val="表格内容"/>
    <w:basedOn w:val="2"/>
    <w:qFormat/>
    <w:uiPriority w:val="0"/>
    <w:pPr>
      <w:suppressLineNumbers/>
      <w:suppressAutoHyphens/>
      <w:jc w:val="left"/>
    </w:pPr>
    <w:rPr>
      <w:rFonts w:cs="Tahoma"/>
      <w:kern w:val="0"/>
      <w:sz w:val="24"/>
    </w:rPr>
  </w:style>
  <w:style w:type="paragraph" w:customStyle="1" w:styleId="226">
    <w:name w:val="Style1"/>
    <w:basedOn w:val="3"/>
    <w:qFormat/>
    <w:uiPriority w:val="0"/>
    <w:pPr>
      <w:keepNext w:val="0"/>
      <w:pageBreakBefore w:val="0"/>
      <w:numPr>
        <w:ilvl w:val="0"/>
        <w:numId w:val="0"/>
      </w:numPr>
      <w:tabs>
        <w:tab w:val="left" w:pos="425"/>
      </w:tabs>
      <w:spacing w:before="340" w:beforeLines="0" w:after="330" w:afterLines="0" w:line="578" w:lineRule="auto"/>
      <w:jc w:val="center"/>
      <w:outlineLvl w:val="9"/>
    </w:pPr>
    <w:rPr>
      <w:rFonts w:ascii="Times New Roman" w:hAnsi="Times New Roman" w:eastAsia="宋体"/>
      <w:b w:val="0"/>
      <w:bCs w:val="0"/>
      <w:smallCaps/>
      <w:spacing w:val="20"/>
      <w:kern w:val="24"/>
      <w:sz w:val="24"/>
      <w:szCs w:val="20"/>
    </w:rPr>
  </w:style>
  <w:style w:type="paragraph" w:customStyle="1" w:styleId="227">
    <w:name w:val="正文-1"/>
    <w:basedOn w:val="1"/>
    <w:qFormat/>
    <w:uiPriority w:val="0"/>
    <w:pPr>
      <w:autoSpaceDE w:val="0"/>
      <w:autoSpaceDN w:val="0"/>
      <w:adjustRightInd w:val="0"/>
      <w:ind w:firstLine="420" w:firstLineChars="200"/>
      <w:jc w:val="left"/>
    </w:pPr>
    <w:rPr>
      <w:kern w:val="0"/>
      <w:sz w:val="20"/>
      <w:szCs w:val="21"/>
    </w:rPr>
  </w:style>
  <w:style w:type="paragraph" w:customStyle="1" w:styleId="228">
    <w:name w:val="Style12"/>
    <w:basedOn w:val="1"/>
    <w:unhideWhenUsed/>
    <w:qFormat/>
    <w:uiPriority w:val="0"/>
    <w:pPr>
      <w:spacing w:line="564" w:lineRule="exact"/>
      <w:ind w:hanging="115"/>
    </w:pPr>
  </w:style>
  <w:style w:type="paragraph" w:customStyle="1" w:styleId="229">
    <w:name w:val="Style45"/>
    <w:basedOn w:val="1"/>
    <w:unhideWhenUsed/>
    <w:qFormat/>
    <w:uiPriority w:val="0"/>
  </w:style>
  <w:style w:type="paragraph" w:customStyle="1" w:styleId="230">
    <w:name w:val="Style8"/>
    <w:basedOn w:val="1"/>
    <w:unhideWhenUsed/>
    <w:qFormat/>
    <w:uiPriority w:val="0"/>
    <w:pPr>
      <w:spacing w:line="566" w:lineRule="exact"/>
      <w:jc w:val="center"/>
    </w:pPr>
  </w:style>
  <w:style w:type="paragraph" w:customStyle="1" w:styleId="23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Style36"/>
    <w:basedOn w:val="1"/>
    <w:unhideWhenUsed/>
    <w:qFormat/>
    <w:uiPriority w:val="0"/>
  </w:style>
  <w:style w:type="paragraph" w:customStyle="1" w:styleId="233">
    <w:name w:val="p16"/>
    <w:basedOn w:val="1"/>
    <w:qFormat/>
    <w:uiPriority w:val="0"/>
    <w:pPr>
      <w:widowControl/>
      <w:jc w:val="left"/>
    </w:pPr>
    <w:rPr>
      <w:kern w:val="0"/>
      <w:szCs w:val="21"/>
    </w:rPr>
  </w:style>
  <w:style w:type="paragraph" w:customStyle="1" w:styleId="234">
    <w:name w:val="Style74"/>
    <w:basedOn w:val="1"/>
    <w:unhideWhenUsed/>
    <w:qFormat/>
    <w:uiPriority w:val="0"/>
    <w:pPr>
      <w:spacing w:line="437" w:lineRule="exact"/>
    </w:pPr>
  </w:style>
  <w:style w:type="paragraph" w:customStyle="1" w:styleId="235">
    <w:name w:val="WPS Plain"/>
    <w:qFormat/>
    <w:uiPriority w:val="0"/>
    <w:rPr>
      <w:rFonts w:ascii="Times New Roman" w:hAnsi="Times New Roman" w:eastAsia="宋体" w:cs="Times New Roman"/>
      <w:lang w:val="en-US" w:eastAsia="zh-CN" w:bidi="ar-SA"/>
    </w:rPr>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1"/>
    <w:basedOn w:val="1"/>
    <w:qFormat/>
    <w:uiPriority w:val="0"/>
    <w:pPr>
      <w:spacing w:after="156" w:afterLines="50" w:line="360" w:lineRule="auto"/>
    </w:pPr>
    <w:rPr>
      <w:rFonts w:ascii="宋体" w:hAnsi="宋体"/>
      <w:b/>
      <w:sz w:val="30"/>
      <w:szCs w:val="21"/>
    </w:rPr>
  </w:style>
  <w:style w:type="paragraph" w:customStyle="1" w:styleId="238">
    <w:name w:val="Style54"/>
    <w:basedOn w:val="1"/>
    <w:unhideWhenUsed/>
    <w:qFormat/>
    <w:uiPriority w:val="0"/>
  </w:style>
  <w:style w:type="paragraph" w:customStyle="1" w:styleId="239">
    <w:name w:val="Style53"/>
    <w:basedOn w:val="1"/>
    <w:unhideWhenUsed/>
    <w:qFormat/>
    <w:uiPriority w:val="0"/>
    <w:pPr>
      <w:spacing w:line="533" w:lineRule="exact"/>
      <w:ind w:firstLine="581"/>
    </w:pPr>
  </w:style>
  <w:style w:type="paragraph" w:customStyle="1" w:styleId="240">
    <w:name w:val="Style60"/>
    <w:basedOn w:val="1"/>
    <w:unhideWhenUsed/>
    <w:qFormat/>
    <w:uiPriority w:val="0"/>
    <w:pPr>
      <w:spacing w:line="566" w:lineRule="exact"/>
    </w:pPr>
  </w:style>
  <w:style w:type="paragraph" w:customStyle="1" w:styleId="241">
    <w:name w:val="样式19"/>
    <w:basedOn w:val="1"/>
    <w:qFormat/>
    <w:uiPriority w:val="0"/>
    <w:pPr>
      <w:widowControl/>
      <w:tabs>
        <w:tab w:val="left" w:pos="0"/>
      </w:tabs>
      <w:ind w:firstLine="480" w:firstLineChars="200"/>
    </w:pPr>
    <w:rPr>
      <w:rFonts w:ascii="Arial" w:hAnsi="Arial"/>
      <w:color w:val="000000"/>
      <w:kern w:val="0"/>
    </w:rPr>
  </w:style>
  <w:style w:type="paragraph" w:customStyle="1" w:styleId="242">
    <w:name w:val="Style71"/>
    <w:basedOn w:val="1"/>
    <w:unhideWhenUsed/>
    <w:qFormat/>
    <w:uiPriority w:val="0"/>
    <w:pPr>
      <w:spacing w:line="538" w:lineRule="exact"/>
      <w:ind w:firstLine="101"/>
    </w:pPr>
  </w:style>
  <w:style w:type="paragraph" w:customStyle="1" w:styleId="243">
    <w:name w:val="默认段落字体 Para Char Char Char Char Char Char Char Char Char1 Char Char Char Char Char Char Char"/>
    <w:basedOn w:val="15"/>
    <w:qFormat/>
    <w:uiPriority w:val="0"/>
  </w:style>
  <w:style w:type="paragraph" w:customStyle="1" w:styleId="244">
    <w:name w:val="Style9"/>
    <w:basedOn w:val="1"/>
    <w:unhideWhenUsed/>
    <w:qFormat/>
    <w:uiPriority w:val="0"/>
  </w:style>
  <w:style w:type="paragraph" w:customStyle="1" w:styleId="245">
    <w:name w:val="Style24"/>
    <w:basedOn w:val="1"/>
    <w:unhideWhenUsed/>
    <w:qFormat/>
    <w:uiPriority w:val="0"/>
  </w:style>
  <w:style w:type="paragraph" w:customStyle="1" w:styleId="24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47">
    <w:name w:val="Style65"/>
    <w:basedOn w:val="1"/>
    <w:unhideWhenUsed/>
    <w:qFormat/>
    <w:uiPriority w:val="0"/>
  </w:style>
  <w:style w:type="paragraph" w:customStyle="1" w:styleId="248">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49">
    <w:name w:val="Style26"/>
    <w:basedOn w:val="1"/>
    <w:unhideWhenUsed/>
    <w:qFormat/>
    <w:uiPriority w:val="0"/>
  </w:style>
  <w:style w:type="paragraph" w:customStyle="1" w:styleId="250">
    <w:name w:val="Style23"/>
    <w:basedOn w:val="1"/>
    <w:unhideWhenUsed/>
    <w:qFormat/>
    <w:uiPriority w:val="0"/>
  </w:style>
  <w:style w:type="paragraph" w:customStyle="1" w:styleId="251">
    <w:name w:val="Style73"/>
    <w:basedOn w:val="1"/>
    <w:unhideWhenUsed/>
    <w:qFormat/>
    <w:uiPriority w:val="0"/>
    <w:pPr>
      <w:spacing w:line="538" w:lineRule="exact"/>
      <w:ind w:firstLine="533"/>
    </w:pPr>
  </w:style>
  <w:style w:type="paragraph" w:customStyle="1" w:styleId="25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Style61"/>
    <w:basedOn w:val="1"/>
    <w:unhideWhenUsed/>
    <w:qFormat/>
    <w:uiPriority w:val="0"/>
  </w:style>
  <w:style w:type="paragraph" w:customStyle="1" w:styleId="25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55">
    <w:name w:val="正文1.25"/>
    <w:basedOn w:val="1"/>
    <w:qFormat/>
    <w:uiPriority w:val="0"/>
    <w:pPr>
      <w:spacing w:line="300" w:lineRule="auto"/>
      <w:ind w:firstLine="480" w:firstLineChars="200"/>
    </w:pPr>
    <w:rPr>
      <w:rFonts w:ascii="Calibri" w:hAnsi="Calibri"/>
      <w:szCs w:val="20"/>
    </w:rPr>
  </w:style>
  <w:style w:type="paragraph" w:customStyle="1" w:styleId="256">
    <w:name w:val="Style21"/>
    <w:basedOn w:val="1"/>
    <w:unhideWhenUsed/>
    <w:qFormat/>
    <w:uiPriority w:val="0"/>
    <w:pPr>
      <w:spacing w:line="566" w:lineRule="exact"/>
      <w:ind w:firstLine="682"/>
    </w:pPr>
  </w:style>
  <w:style w:type="paragraph" w:customStyle="1" w:styleId="257">
    <w:name w:val="Style10"/>
    <w:basedOn w:val="1"/>
    <w:unhideWhenUsed/>
    <w:qFormat/>
    <w:uiPriority w:val="0"/>
    <w:pPr>
      <w:spacing w:line="538" w:lineRule="exact"/>
    </w:pPr>
  </w:style>
  <w:style w:type="paragraph" w:customStyle="1" w:styleId="258">
    <w:name w:val="Style15"/>
    <w:basedOn w:val="1"/>
    <w:unhideWhenUsed/>
    <w:qFormat/>
    <w:uiPriority w:val="0"/>
    <w:pPr>
      <w:spacing w:line="557" w:lineRule="exact"/>
      <w:ind w:firstLine="672"/>
    </w:pPr>
  </w:style>
  <w:style w:type="paragraph" w:customStyle="1" w:styleId="259">
    <w:name w:val="case3"/>
    <w:basedOn w:val="1"/>
    <w:qFormat/>
    <w:uiPriority w:val="0"/>
    <w:pPr>
      <w:widowControl/>
      <w:spacing w:before="100" w:beforeAutospacing="1" w:after="100" w:afterAutospacing="1" w:line="520" w:lineRule="atLeast"/>
      <w:jc w:val="left"/>
    </w:pPr>
    <w:rPr>
      <w:rFonts w:ascii="_x000B__x000C_" w:hAnsi="_x000B__x000C_"/>
      <w:color w:val="000000"/>
      <w:kern w:val="0"/>
      <w:sz w:val="28"/>
      <w:szCs w:val="28"/>
    </w:rPr>
  </w:style>
  <w:style w:type="paragraph" w:customStyle="1" w:styleId="260">
    <w:name w:val="Style72"/>
    <w:basedOn w:val="1"/>
    <w:unhideWhenUsed/>
    <w:qFormat/>
    <w:uiPriority w:val="0"/>
  </w:style>
  <w:style w:type="paragraph" w:customStyle="1" w:styleId="261">
    <w:name w:val="Style69"/>
    <w:basedOn w:val="1"/>
    <w:unhideWhenUsed/>
    <w:qFormat/>
    <w:uiPriority w:val="0"/>
    <w:pPr>
      <w:spacing w:line="557" w:lineRule="exact"/>
      <w:ind w:firstLine="1666"/>
    </w:pPr>
  </w:style>
  <w:style w:type="paragraph" w:customStyle="1" w:styleId="262">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3">
    <w:name w:val="Style50"/>
    <w:basedOn w:val="1"/>
    <w:unhideWhenUsed/>
    <w:qFormat/>
    <w:uiPriority w:val="0"/>
  </w:style>
  <w:style w:type="paragraph" w:customStyle="1" w:styleId="264">
    <w:name w:val="*正文"/>
    <w:basedOn w:val="1"/>
    <w:qFormat/>
    <w:uiPriority w:val="0"/>
    <w:pPr>
      <w:ind w:firstLine="200" w:firstLineChars="200"/>
    </w:pPr>
    <w:rPr>
      <w:rFonts w:ascii="宋体" w:hAnsi="宋体"/>
    </w:rPr>
  </w:style>
  <w:style w:type="paragraph" w:customStyle="1" w:styleId="26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66">
    <w:name w:val="Style47"/>
    <w:basedOn w:val="1"/>
    <w:unhideWhenUsed/>
    <w:qFormat/>
    <w:uiPriority w:val="0"/>
  </w:style>
  <w:style w:type="paragraph" w:customStyle="1" w:styleId="267">
    <w:name w:val="_Style 34"/>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Style59"/>
    <w:basedOn w:val="1"/>
    <w:unhideWhenUsed/>
    <w:qFormat/>
    <w:uiPriority w:val="0"/>
  </w:style>
  <w:style w:type="paragraph" w:customStyle="1" w:styleId="269">
    <w:name w:val="_Style 28"/>
    <w:basedOn w:val="1"/>
    <w:qFormat/>
    <w:uiPriority w:val="0"/>
    <w:pPr>
      <w:ind w:firstLine="420" w:firstLineChars="200"/>
    </w:pPr>
  </w:style>
  <w:style w:type="paragraph" w:customStyle="1" w:styleId="27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1">
    <w:name w:val="Style68"/>
    <w:basedOn w:val="1"/>
    <w:unhideWhenUsed/>
    <w:qFormat/>
    <w:uiPriority w:val="0"/>
    <w:pPr>
      <w:spacing w:line="547" w:lineRule="exact"/>
    </w:pPr>
  </w:style>
  <w:style w:type="paragraph" w:customStyle="1" w:styleId="272">
    <w:name w:val="Style62"/>
    <w:basedOn w:val="1"/>
    <w:unhideWhenUsed/>
    <w:qFormat/>
    <w:uiPriority w:val="0"/>
  </w:style>
  <w:style w:type="paragraph" w:customStyle="1" w:styleId="273">
    <w:name w:val="Style41"/>
    <w:basedOn w:val="1"/>
    <w:unhideWhenUsed/>
    <w:qFormat/>
    <w:uiPriority w:val="0"/>
    <w:pPr>
      <w:spacing w:line="542" w:lineRule="exact"/>
      <w:ind w:firstLine="125"/>
    </w:pPr>
  </w:style>
  <w:style w:type="paragraph" w:customStyle="1" w:styleId="27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75">
    <w:name w:val="Style44"/>
    <w:basedOn w:val="1"/>
    <w:unhideWhenUsed/>
    <w:qFormat/>
    <w:uiPriority w:val="0"/>
  </w:style>
  <w:style w:type="paragraph" w:customStyle="1" w:styleId="276">
    <w:name w:val="Style42"/>
    <w:basedOn w:val="1"/>
    <w:unhideWhenUsed/>
    <w:qFormat/>
    <w:uiPriority w:val="0"/>
    <w:pPr>
      <w:spacing w:line="542" w:lineRule="exact"/>
      <w:ind w:firstLine="547"/>
    </w:pPr>
  </w:style>
  <w:style w:type="table" w:customStyle="1" w:styleId="277">
    <w:name w:val="TableGrid"/>
    <w:qFormat/>
    <w:uiPriority w:val="0"/>
    <w:tblPr>
      <w:tblCellMar>
        <w:top w:w="0" w:type="dxa"/>
        <w:left w:w="0" w:type="dxa"/>
        <w:bottom w:w="0" w:type="dxa"/>
        <w:right w:w="0" w:type="dxa"/>
      </w:tblCellMar>
    </w:tblPr>
  </w:style>
  <w:style w:type="paragraph" w:customStyle="1" w:styleId="278">
    <w:name w:val="Table Paragraph"/>
    <w:basedOn w:val="1"/>
    <w:qFormat/>
    <w:uiPriority w:val="1"/>
    <w:rPr>
      <w:rFonts w:ascii="宋体" w:hAnsi="宋体" w:eastAsia="宋体" w:cs="宋体"/>
      <w:lang w:val="zh-CN" w:eastAsia="zh-CN" w:bidi="zh-CN"/>
    </w:rPr>
  </w:style>
  <w:style w:type="paragraph" w:customStyle="1" w:styleId="279">
    <w:name w:val="正文文本缩进1"/>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character" w:customStyle="1" w:styleId="280">
    <w:name w:val="页码1"/>
    <w:basedOn w:val="49"/>
    <w:qFormat/>
    <w:uiPriority w:val="0"/>
  </w:style>
  <w:style w:type="paragraph" w:customStyle="1" w:styleId="28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282">
    <w:name w:val="正文文本缩进 21"/>
    <w:basedOn w:val="1"/>
    <w:qFormat/>
    <w:uiPriority w:val="0"/>
    <w:pPr>
      <w:ind w:firstLine="640" w:firstLineChars="200"/>
    </w:pPr>
    <w:rPr>
      <w:sz w:val="32"/>
      <w:szCs w:val="20"/>
    </w:rPr>
  </w:style>
  <w:style w:type="paragraph" w:customStyle="1" w:styleId="283">
    <w:name w:val="Heading 5"/>
    <w:basedOn w:val="284"/>
    <w:qFormat/>
    <w:uiPriority w:val="0"/>
    <w:pPr>
      <w:spacing w:before="26" w:after="100" w:afterAutospacing="1"/>
      <w:ind w:left="157"/>
      <w:jc w:val="left"/>
      <w:outlineLvl w:val="5"/>
    </w:pPr>
    <w:rPr>
      <w:rFonts w:ascii="宋体" w:hAnsi="宋体" w:cs="宋体"/>
      <w:b/>
      <w:bCs/>
      <w:kern w:val="0"/>
      <w:sz w:val="24"/>
      <w:szCs w:val="24"/>
    </w:rPr>
  </w:style>
  <w:style w:type="paragraph" w:customStyle="1" w:styleId="284">
    <w:name w:val="正文_4_0_0_0"/>
    <w:basedOn w:val="285"/>
    <w:qFormat/>
    <w:uiPriority w:val="0"/>
    <w:rPr>
      <w:rFonts w:ascii="Times New Roman" w:hAnsi="Times New Roman"/>
      <w:szCs w:val="21"/>
    </w:rPr>
  </w:style>
  <w:style w:type="paragraph" w:customStyle="1" w:styleId="28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6">
    <w:name w:val="正文_4_0_0"/>
    <w:basedOn w:val="285"/>
    <w:qFormat/>
    <w:uiPriority w:val="0"/>
    <w:rPr>
      <w:rFonts w:ascii="Times New Roman" w:hAnsi="Times New Roman"/>
      <w:szCs w:val="21"/>
    </w:rPr>
  </w:style>
  <w:style w:type="paragraph" w:customStyle="1" w:styleId="287">
    <w:name w:val="正文_4_0_0_0_0"/>
    <w:basedOn w:val="285"/>
    <w:qFormat/>
    <w:uiPriority w:val="0"/>
    <w:rPr>
      <w:szCs w:val="21"/>
    </w:rPr>
  </w:style>
  <w:style w:type="paragraph" w:customStyle="1" w:styleId="288">
    <w:name w:val="Char Char Char1 Char8"/>
    <w:basedOn w:val="1"/>
    <w:qFormat/>
    <w:uiPriority w:val="0"/>
    <w:pPr>
      <w:spacing w:line="360" w:lineRule="auto"/>
      <w:ind w:firstLine="200" w:firstLineChars="200"/>
    </w:pPr>
    <w:rPr>
      <w:rFonts w:hint="eastAsia" w:ascii="宋体" w:hAnsi="宋体"/>
      <w:sz w:val="24"/>
    </w:rPr>
  </w:style>
  <w:style w:type="character" w:customStyle="1" w:styleId="289">
    <w:name w:val="标题一"/>
    <w:qFormat/>
    <w:uiPriority w:val="0"/>
    <w:rPr>
      <w:rFonts w:ascii="宋体" w:hAnsi="宋体"/>
      <w:b/>
      <w:bCs/>
      <w:sz w:val="36"/>
    </w:rPr>
  </w:style>
  <w:style w:type="character" w:customStyle="1" w:styleId="290">
    <w:name w:val="c lh15"/>
    <w:basedOn w:val="49"/>
    <w:qFormat/>
    <w:uiPriority w:val="0"/>
  </w:style>
  <w:style w:type="character" w:customStyle="1" w:styleId="291">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292">
    <w:name w:val="Heading Left"/>
    <w:basedOn w:val="1"/>
    <w:qFormat/>
    <w:uiPriority w:val="0"/>
    <w:pPr>
      <w:tabs>
        <w:tab w:val="center" w:pos="4820"/>
        <w:tab w:val="right" w:pos="9049"/>
      </w:tabs>
      <w:spacing w:before="120" w:after="120" w:line="360" w:lineRule="auto"/>
    </w:pPr>
    <w:rPr>
      <w:rFonts w:ascii="Arial" w:hAnsi="Arial" w:cs="Arial"/>
      <w:b/>
      <w:caps/>
      <w:color w:val="000000"/>
      <w:sz w:val="24"/>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60</Pages>
  <Words>32796</Words>
  <Characters>35604</Characters>
  <Lines>423</Lines>
  <Paragraphs>119</Paragraphs>
  <TotalTime>72</TotalTime>
  <ScaleCrop>false</ScaleCrop>
  <LinksUpToDate>false</LinksUpToDate>
  <CharactersWithSpaces>37684</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2016-03-31T06:49:00Z</dcterms:created>
  <dc:creator>湖南中招张小兰</dc:creator>
  <cp:lastModifiedBy>MY</cp:lastModifiedBy>
  <cp:lastPrinted>2021-07-05T02:20:00Z</cp:lastPrinted>
  <dcterms:modified xsi:type="dcterms:W3CDTF">2022-08-04T10:22:30Z</dcterms:modified>
  <dc:title>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009225F0CFC14FE28C5B1ABDAC633EC1</vt:lpwstr>
  </property>
</Properties>
</file>